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995F5" w14:textId="1BA144FF" w:rsidR="00514F89" w:rsidRPr="00F176D9" w:rsidRDefault="00A025F3" w:rsidP="00D0359C">
      <w:pPr>
        <w:spacing w:after="158"/>
        <w:jc w:val="center"/>
        <w:rPr>
          <w:rFonts w:cs="Arial"/>
        </w:rPr>
      </w:pPr>
      <w:r w:rsidRPr="00F176D9">
        <w:rPr>
          <w:rFonts w:cs="Arial"/>
        </w:rPr>
        <w:t xml:space="preserve"> </w:t>
      </w:r>
      <w:r w:rsidR="00D0359C" w:rsidRPr="00F176D9">
        <w:rPr>
          <w:rFonts w:cs="Arial"/>
          <w:noProof/>
          <w:lang w:val="en-US" w:eastAsia="en-US"/>
        </w:rPr>
        <w:drawing>
          <wp:inline distT="0" distB="0" distL="0" distR="0" wp14:anchorId="254B64E9" wp14:editId="4D0C48A3">
            <wp:extent cx="2882457" cy="1200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4599" cy="1201042"/>
                    </a:xfrm>
                    <a:prstGeom prst="rect">
                      <a:avLst/>
                    </a:prstGeom>
                    <a:noFill/>
                  </pic:spPr>
                </pic:pic>
              </a:graphicData>
            </a:graphic>
          </wp:inline>
        </w:drawing>
      </w:r>
    </w:p>
    <w:p w14:paraId="113ACB79" w14:textId="77777777" w:rsidR="00514F89" w:rsidRPr="00F176D9" w:rsidRDefault="00514F89" w:rsidP="00514F89">
      <w:pPr>
        <w:ind w:left="49"/>
        <w:jc w:val="center"/>
        <w:rPr>
          <w:rFonts w:cs="Arial"/>
        </w:rPr>
      </w:pPr>
      <w:r w:rsidRPr="00F176D9">
        <w:rPr>
          <w:rFonts w:eastAsia="Calibri" w:cs="Arial"/>
        </w:rPr>
        <w:t xml:space="preserve"> </w:t>
      </w:r>
    </w:p>
    <w:p w14:paraId="243E9A2B" w14:textId="6B4B6C94" w:rsidR="00E140BB" w:rsidRPr="00F176D9" w:rsidRDefault="00E140BB" w:rsidP="00D0359C">
      <w:pPr>
        <w:spacing w:after="287"/>
        <w:rPr>
          <w:rFonts w:cs="Arial"/>
        </w:rPr>
      </w:pPr>
    </w:p>
    <w:p w14:paraId="10AD2064" w14:textId="77777777" w:rsidR="00E140BB" w:rsidRPr="00F176D9" w:rsidRDefault="00E140BB" w:rsidP="00E140BB">
      <w:pPr>
        <w:spacing w:after="287"/>
        <w:ind w:left="49"/>
        <w:jc w:val="center"/>
        <w:rPr>
          <w:rFonts w:cs="Arial"/>
          <w:b/>
          <w:sz w:val="32"/>
          <w:szCs w:val="32"/>
        </w:rPr>
      </w:pPr>
      <w:r w:rsidRPr="00F176D9">
        <w:rPr>
          <w:rFonts w:cs="Arial"/>
          <w:b/>
          <w:sz w:val="32"/>
          <w:szCs w:val="32"/>
        </w:rPr>
        <w:t>The Impact of Community-Based Strategies for Management of Hypertension Amongst 30-50-Year-Old Adults in the UK</w:t>
      </w:r>
    </w:p>
    <w:p w14:paraId="5CC05BB7" w14:textId="77777777" w:rsidR="00514F89" w:rsidRPr="00F176D9" w:rsidRDefault="00514F89" w:rsidP="00E140BB">
      <w:pPr>
        <w:spacing w:after="287"/>
        <w:ind w:left="49"/>
        <w:jc w:val="center"/>
        <w:rPr>
          <w:rFonts w:cs="Arial"/>
          <w:sz w:val="24"/>
          <w:szCs w:val="24"/>
        </w:rPr>
      </w:pPr>
      <w:r w:rsidRPr="00F176D9">
        <w:rPr>
          <w:rFonts w:cs="Arial"/>
          <w:sz w:val="24"/>
          <w:szCs w:val="24"/>
        </w:rPr>
        <w:t xml:space="preserve">by </w:t>
      </w:r>
    </w:p>
    <w:p w14:paraId="5A8B6EF2" w14:textId="77777777" w:rsidR="00514F89" w:rsidRPr="00F176D9" w:rsidRDefault="00514F89" w:rsidP="00514F89">
      <w:pPr>
        <w:spacing w:after="158"/>
        <w:ind w:left="59"/>
        <w:jc w:val="center"/>
        <w:rPr>
          <w:rFonts w:cs="Arial"/>
          <w:sz w:val="24"/>
          <w:szCs w:val="24"/>
        </w:rPr>
      </w:pPr>
      <w:r w:rsidRPr="00F176D9">
        <w:rPr>
          <w:rFonts w:cs="Arial"/>
          <w:sz w:val="24"/>
          <w:szCs w:val="24"/>
        </w:rPr>
        <w:t xml:space="preserve"> Md Zakir Hossain Riyad</w:t>
      </w:r>
    </w:p>
    <w:p w14:paraId="322C103C" w14:textId="77777777" w:rsidR="00514F89" w:rsidRPr="00F176D9" w:rsidRDefault="00514F89" w:rsidP="00514F89">
      <w:pPr>
        <w:spacing w:after="157"/>
        <w:ind w:right="2359"/>
        <w:rPr>
          <w:rFonts w:cs="Arial"/>
          <w:sz w:val="24"/>
          <w:szCs w:val="24"/>
        </w:rPr>
      </w:pPr>
    </w:p>
    <w:p w14:paraId="5F778ADD" w14:textId="77777777" w:rsidR="00514F89" w:rsidRPr="00F176D9" w:rsidRDefault="00514F89" w:rsidP="00514F89">
      <w:pPr>
        <w:spacing w:after="169"/>
        <w:jc w:val="center"/>
        <w:rPr>
          <w:rFonts w:cs="Arial"/>
          <w:b/>
          <w:bCs/>
          <w:sz w:val="24"/>
          <w:szCs w:val="28"/>
        </w:rPr>
      </w:pPr>
      <w:r w:rsidRPr="00F176D9">
        <w:rPr>
          <w:rFonts w:cs="Arial"/>
          <w:b/>
          <w:bCs/>
          <w:sz w:val="24"/>
          <w:szCs w:val="28"/>
        </w:rPr>
        <w:t>The Institute of Inner-City Learning</w:t>
      </w:r>
    </w:p>
    <w:p w14:paraId="08171B8D" w14:textId="77777777" w:rsidR="00514F89" w:rsidRPr="00F176D9" w:rsidRDefault="00514F89" w:rsidP="00514F89">
      <w:pPr>
        <w:spacing w:after="169"/>
        <w:jc w:val="center"/>
        <w:rPr>
          <w:rFonts w:cs="Arial"/>
          <w:b/>
          <w:bCs/>
          <w:sz w:val="24"/>
          <w:szCs w:val="28"/>
        </w:rPr>
      </w:pPr>
      <w:r w:rsidRPr="00F176D9">
        <w:rPr>
          <w:rFonts w:cs="Arial"/>
          <w:b/>
          <w:bCs/>
          <w:sz w:val="24"/>
          <w:szCs w:val="28"/>
        </w:rPr>
        <w:t>University of Wales Trinity Saint David – London Campus</w:t>
      </w:r>
    </w:p>
    <w:p w14:paraId="7988ACD6" w14:textId="77777777" w:rsidR="00514F89" w:rsidRPr="00F176D9" w:rsidRDefault="00514F89" w:rsidP="00514F89">
      <w:pPr>
        <w:spacing w:before="0" w:beforeAutospacing="0" w:after="160" w:afterAutospacing="0" w:line="259" w:lineRule="auto"/>
        <w:jc w:val="left"/>
        <w:rPr>
          <w:rFonts w:cs="Arial"/>
          <w:b/>
          <w:bCs/>
          <w:szCs w:val="24"/>
        </w:rPr>
      </w:pPr>
      <w:r w:rsidRPr="00F176D9">
        <w:rPr>
          <w:rFonts w:cs="Arial"/>
          <w:b/>
          <w:bCs/>
          <w:szCs w:val="24"/>
        </w:rPr>
        <w:br w:type="page"/>
      </w:r>
    </w:p>
    <w:p w14:paraId="0B5B8BED" w14:textId="2933DEAF" w:rsidR="00514F89" w:rsidRPr="00F176D9" w:rsidRDefault="00514F89" w:rsidP="00514F89">
      <w:pPr>
        <w:pStyle w:val="Heading1"/>
        <w:rPr>
          <w:rFonts w:cs="Arial"/>
        </w:rPr>
      </w:pPr>
      <w:bookmarkStart w:id="0" w:name="_Toc234357547"/>
      <w:bookmarkStart w:id="1" w:name="_Toc237485150"/>
      <w:r w:rsidRPr="00F176D9">
        <w:rPr>
          <w:rFonts w:cs="Arial"/>
        </w:rPr>
        <w:lastRenderedPageBreak/>
        <w:t>Declaration</w:t>
      </w:r>
      <w:bookmarkEnd w:id="0"/>
      <w:bookmarkEnd w:id="1"/>
    </w:p>
    <w:p w14:paraId="5213B214" w14:textId="77777777" w:rsidR="00514F89" w:rsidRPr="00F176D9" w:rsidRDefault="00514F89" w:rsidP="00514F89">
      <w:pPr>
        <w:rPr>
          <w:rFonts w:cs="Arial"/>
        </w:rPr>
      </w:pPr>
      <w:r w:rsidRPr="00F176D9">
        <w:rPr>
          <w:rFonts w:cs="Arial"/>
        </w:rPr>
        <w:t>“I, the undersigned</w:t>
      </w:r>
      <w:r w:rsidR="0051597A" w:rsidRPr="00F176D9">
        <w:rPr>
          <w:rFonts w:cs="Arial"/>
        </w:rPr>
        <w:t>,</w:t>
      </w:r>
      <w:r w:rsidRPr="00F176D9">
        <w:rPr>
          <w:rFonts w:cs="Arial"/>
        </w:rPr>
        <w:t xml:space="preserve"> declare that this dissertation has completed based on my individual efforts and original investigation. I have identified the relevant data from the secondary sources, duly acknowledge</w:t>
      </w:r>
      <w:r w:rsidR="0051597A" w:rsidRPr="00F176D9">
        <w:rPr>
          <w:rFonts w:cs="Arial"/>
        </w:rPr>
        <w:t>d</w:t>
      </w:r>
      <w:r w:rsidRPr="00F176D9">
        <w:rPr>
          <w:rFonts w:cs="Arial"/>
        </w:rPr>
        <w:t xml:space="preserve"> the originality and included the reference list for identifying the sources. I am permitt</w:t>
      </w:r>
      <w:r w:rsidR="0051597A" w:rsidRPr="00F176D9">
        <w:rPr>
          <w:rFonts w:cs="Arial"/>
        </w:rPr>
        <w:t>ed</w:t>
      </w:r>
      <w:r w:rsidRPr="00F176D9">
        <w:rPr>
          <w:rFonts w:cs="Arial"/>
        </w:rPr>
        <w:t xml:space="preserve"> to photocopy (if necessary) and </w:t>
      </w:r>
      <w:r w:rsidR="0051597A" w:rsidRPr="00F176D9">
        <w:rPr>
          <w:rFonts w:cs="Arial"/>
        </w:rPr>
        <w:t xml:space="preserve">to </w:t>
      </w:r>
      <w:r w:rsidRPr="00F176D9">
        <w:rPr>
          <w:rFonts w:cs="Arial"/>
        </w:rPr>
        <w:t xml:space="preserve">interlibrary loan for this study. </w:t>
      </w:r>
    </w:p>
    <w:p w14:paraId="58A37ED5" w14:textId="65A13619" w:rsidR="00514F89" w:rsidRPr="00F176D9" w:rsidRDefault="00514F89" w:rsidP="00514F89">
      <w:pPr>
        <w:rPr>
          <w:rFonts w:cs="Arial"/>
        </w:rPr>
      </w:pPr>
      <w:r w:rsidRPr="00F176D9">
        <w:rPr>
          <w:rFonts w:cs="Arial"/>
          <w:b/>
          <w:bCs/>
        </w:rPr>
        <w:t>Name:</w:t>
      </w:r>
      <w:r w:rsidRPr="00F176D9">
        <w:rPr>
          <w:rFonts w:cs="Arial"/>
        </w:rPr>
        <w:t xml:space="preserve"> </w:t>
      </w:r>
      <w:r w:rsidR="001762EE" w:rsidRPr="00F176D9">
        <w:rPr>
          <w:rFonts w:cs="Arial"/>
        </w:rPr>
        <w:t>Md Zakir Hossain Riyad</w:t>
      </w:r>
    </w:p>
    <w:p w14:paraId="13459BDB" w14:textId="5277BBF7" w:rsidR="00514F89" w:rsidRPr="00F176D9" w:rsidRDefault="00514F89" w:rsidP="00514F89">
      <w:pPr>
        <w:rPr>
          <w:rFonts w:cs="Arial"/>
        </w:rPr>
      </w:pPr>
      <w:r w:rsidRPr="00F176D9">
        <w:rPr>
          <w:rFonts w:cs="Arial"/>
          <w:b/>
          <w:bCs/>
        </w:rPr>
        <w:t>Date:</w:t>
      </w:r>
      <w:r w:rsidRPr="00F176D9">
        <w:rPr>
          <w:rFonts w:cs="Arial"/>
        </w:rPr>
        <w:t xml:space="preserve"> </w:t>
      </w:r>
      <w:r w:rsidR="001762EE" w:rsidRPr="00F176D9">
        <w:rPr>
          <w:rFonts w:cs="Arial"/>
        </w:rPr>
        <w:t>2</w:t>
      </w:r>
      <w:r w:rsidR="001762EE" w:rsidRPr="00F176D9">
        <w:rPr>
          <w:rFonts w:cs="Arial"/>
          <w:vertAlign w:val="superscript"/>
        </w:rPr>
        <w:t>nd</w:t>
      </w:r>
      <w:r w:rsidR="001762EE" w:rsidRPr="00F176D9">
        <w:rPr>
          <w:rFonts w:cs="Arial"/>
        </w:rPr>
        <w:t xml:space="preserve"> February, 2026</w:t>
      </w:r>
    </w:p>
    <w:p w14:paraId="7078D84D" w14:textId="77777777" w:rsidR="00514F89" w:rsidRPr="00F176D9" w:rsidRDefault="00514F89" w:rsidP="00514F89">
      <w:pPr>
        <w:spacing w:before="0" w:beforeAutospacing="0" w:after="160" w:afterAutospacing="0" w:line="259" w:lineRule="auto"/>
        <w:jc w:val="left"/>
        <w:rPr>
          <w:rFonts w:eastAsia="Times New Roman" w:cs="Arial"/>
          <w:b/>
          <w:sz w:val="32"/>
        </w:rPr>
      </w:pPr>
      <w:r w:rsidRPr="00F176D9">
        <w:rPr>
          <w:rFonts w:cs="Arial"/>
        </w:rPr>
        <w:t xml:space="preserve"> </w:t>
      </w:r>
      <w:r w:rsidRPr="00F176D9">
        <w:rPr>
          <w:rFonts w:cs="Arial"/>
        </w:rPr>
        <w:br w:type="page"/>
      </w:r>
    </w:p>
    <w:p w14:paraId="670F0791" w14:textId="77777777" w:rsidR="00514F89" w:rsidRPr="00F176D9" w:rsidRDefault="00514F89" w:rsidP="00514F89">
      <w:pPr>
        <w:pStyle w:val="Heading1"/>
        <w:rPr>
          <w:rFonts w:cs="Arial"/>
        </w:rPr>
      </w:pPr>
      <w:bookmarkStart w:id="2" w:name="_Toc234357548"/>
      <w:bookmarkStart w:id="3" w:name="_Toc237485151"/>
      <w:r w:rsidRPr="00F176D9">
        <w:rPr>
          <w:rFonts w:cs="Arial"/>
        </w:rPr>
        <w:lastRenderedPageBreak/>
        <w:t>Acknowledgement</w:t>
      </w:r>
      <w:bookmarkEnd w:id="2"/>
      <w:bookmarkEnd w:id="3"/>
      <w:r w:rsidRPr="00F176D9">
        <w:rPr>
          <w:rFonts w:cs="Arial"/>
        </w:rPr>
        <w:t xml:space="preserve"> </w:t>
      </w:r>
    </w:p>
    <w:p w14:paraId="46A240C8" w14:textId="791752A3" w:rsidR="00514F89" w:rsidRPr="00F176D9" w:rsidRDefault="00514F89" w:rsidP="00514F89">
      <w:pPr>
        <w:rPr>
          <w:rFonts w:cs="Arial"/>
        </w:rPr>
      </w:pPr>
      <w:r w:rsidRPr="00F176D9">
        <w:rPr>
          <w:rFonts w:cs="Arial"/>
        </w:rPr>
        <w:t>I am grateful to the supervisor</w:t>
      </w:r>
      <w:r w:rsidR="001762EE" w:rsidRPr="00F176D9">
        <w:rPr>
          <w:rFonts w:cs="Arial"/>
        </w:rPr>
        <w:t xml:space="preserve">, Ruzanna Gevorgyan for her </w:t>
      </w:r>
      <w:r w:rsidRPr="00F176D9">
        <w:rPr>
          <w:rFonts w:cs="Arial"/>
        </w:rPr>
        <w:t>kind cooperation, guidance and motivation that enable</w:t>
      </w:r>
      <w:r w:rsidR="0051597A" w:rsidRPr="00F176D9">
        <w:rPr>
          <w:rFonts w:cs="Arial"/>
        </w:rPr>
        <w:t>d</w:t>
      </w:r>
      <w:r w:rsidRPr="00F176D9">
        <w:rPr>
          <w:rFonts w:cs="Arial"/>
        </w:rPr>
        <w:t xml:space="preserve"> me to complete the dissertation. I am also thankful to my parents</w:t>
      </w:r>
      <w:r w:rsidR="0051597A" w:rsidRPr="00F176D9">
        <w:rPr>
          <w:rFonts w:cs="Arial"/>
        </w:rPr>
        <w:t>,</w:t>
      </w:r>
      <w:r w:rsidRPr="00F176D9">
        <w:rPr>
          <w:rFonts w:cs="Arial"/>
        </w:rPr>
        <w:t xml:space="preserve"> who motivated me to p</w:t>
      </w:r>
      <w:r w:rsidR="0051597A" w:rsidRPr="00F176D9">
        <w:rPr>
          <w:rFonts w:cs="Arial"/>
        </w:rPr>
        <w:t>ut in</w:t>
      </w:r>
      <w:r w:rsidRPr="00F176D9">
        <w:rPr>
          <w:rFonts w:cs="Arial"/>
        </w:rPr>
        <w:t xml:space="preserve"> more effort and accomplish the objectives. </w:t>
      </w:r>
    </w:p>
    <w:p w14:paraId="599C2334" w14:textId="77777777" w:rsidR="00514F89" w:rsidRPr="00F176D9" w:rsidRDefault="00514F89" w:rsidP="00514F89">
      <w:pPr>
        <w:rPr>
          <w:rFonts w:cs="Arial"/>
        </w:rPr>
      </w:pPr>
      <w:r w:rsidRPr="00F176D9">
        <w:rPr>
          <w:rFonts w:cs="Arial"/>
        </w:rPr>
        <w:t>Thank</w:t>
      </w:r>
      <w:r w:rsidR="0051597A" w:rsidRPr="00F176D9">
        <w:rPr>
          <w:rFonts w:cs="Arial"/>
        </w:rPr>
        <w:t>s</w:t>
      </w:r>
      <w:r w:rsidRPr="00F176D9">
        <w:rPr>
          <w:rFonts w:cs="Arial"/>
        </w:rPr>
        <w:t xml:space="preserve"> again to all of them. </w:t>
      </w:r>
    </w:p>
    <w:p w14:paraId="55FF66F8" w14:textId="77777777" w:rsidR="00514F89" w:rsidRPr="00F176D9" w:rsidRDefault="00514F89" w:rsidP="00514F89">
      <w:pPr>
        <w:spacing w:before="0" w:beforeAutospacing="0" w:after="160" w:afterAutospacing="0" w:line="259" w:lineRule="auto"/>
        <w:jc w:val="left"/>
        <w:rPr>
          <w:rFonts w:eastAsia="Times New Roman" w:cs="Arial"/>
          <w:b/>
          <w:sz w:val="32"/>
        </w:rPr>
      </w:pPr>
      <w:r w:rsidRPr="00F176D9">
        <w:rPr>
          <w:rFonts w:cs="Arial"/>
        </w:rPr>
        <w:br w:type="page"/>
      </w:r>
    </w:p>
    <w:p w14:paraId="69775994" w14:textId="1A01E197" w:rsidR="0008768C" w:rsidRPr="0008768C" w:rsidRDefault="00514F89" w:rsidP="0008768C">
      <w:pPr>
        <w:pStyle w:val="Heading1"/>
        <w:rPr>
          <w:rFonts w:cs="Arial"/>
        </w:rPr>
      </w:pPr>
      <w:bookmarkStart w:id="4" w:name="_Toc234357549"/>
      <w:bookmarkStart w:id="5" w:name="_Toc237485152"/>
      <w:r w:rsidRPr="00F176D9">
        <w:rPr>
          <w:rFonts w:cs="Arial"/>
        </w:rPr>
        <w:lastRenderedPageBreak/>
        <w:t>Abstract</w:t>
      </w:r>
      <w:bookmarkEnd w:id="4"/>
      <w:bookmarkEnd w:id="5"/>
    </w:p>
    <w:p w14:paraId="7CD2D228" w14:textId="18373BE8" w:rsidR="0008768C" w:rsidRDefault="0008768C" w:rsidP="0008768C">
      <w:r>
        <w:t>Hypertension is one of the most important cardiovascular risk factors that should be detected, treated, monitored and managed over a long period of time. In this dissertation, community interventions to facilitate hypertension control amongst adults aged 30–50 years in the UK were critically reviewed, focusing on effectiveness, access, engagement, equity and integration with primary care. A secondary-research systematic review was conducted within the literature database Embase, CINAHL, PubMed/MEDLINE, PubMed Central, Google Scholar and hand searching. The review question and eligibility criteria were designed in accordance with the PICO framework, and the reporting of study identification and study selection were carried out based on the principles of PRISMA 2020. After screening and eligibility criteria, the final analytical dataset consisted of ten studies and other literature was used as a clinical, theoretical and methodological context. Given the variables in the design of the included studies, population, intervention and outcome measures, a meta-analysis could not be performed, and findings were summarised narratively and thematically.</w:t>
      </w:r>
    </w:p>
    <w:p w14:paraId="2D57F64C" w14:textId="3ED54EA7" w:rsidR="0051597A" w:rsidRPr="004556EA" w:rsidRDefault="0008768C" w:rsidP="0008768C">
      <w:pPr>
        <w:rPr>
          <w:rFonts w:cs="Arial"/>
        </w:rPr>
      </w:pPr>
      <w:r>
        <w:t>Four broad themes were identified: community based approaches to hypertension identification and management; impact on screening, referral, adherence, monitoring and blood pressure control; barriers and facilitators to access and engagement; and quality of evidence is transferrable to UK adults aged 30–50 years. Socio-economic, behavioural and access related influences were interpreted with the assistance of the Social Determinants of Health and Health Belief Model. Results highlight the potential to enhance hypertension management through community pharmacy screening, supported home monitoring, digital health, telemedicine and self-management interventions as part of the appropriate diagnostic confirmation, referral and NHS primary-care follow-up. Yet there are barriers to equitable participation and continuity including socioeconomic, digital, and organisational. There is limited direct UK evidence for adults aged 30–50. The dissertation therefore finds that coordinated pathways between community and primary-care are promising but further research in the UK is needed to demonstrate effectiveness, equity, sustainability and longer-term clinical outcomes by age groups.</w:t>
      </w:r>
    </w:p>
    <w:p w14:paraId="6892673D" w14:textId="57B119DA" w:rsidR="009A460D" w:rsidRPr="00F176D9" w:rsidRDefault="0051597A">
      <w:pPr>
        <w:spacing w:before="0" w:beforeAutospacing="0" w:after="160" w:afterAutospacing="0" w:line="259" w:lineRule="auto"/>
        <w:jc w:val="left"/>
        <w:rPr>
          <w:rFonts w:cs="Arial"/>
        </w:rPr>
      </w:pPr>
      <w:r w:rsidRPr="00F176D9">
        <w:rPr>
          <w:rFonts w:cs="Arial"/>
        </w:rPr>
        <w:br w:type="page"/>
      </w:r>
      <w:bookmarkStart w:id="6" w:name="_Toc212103110"/>
    </w:p>
    <w:p w14:paraId="69276713" w14:textId="1ECC4B55" w:rsidR="009A460D" w:rsidRPr="00F176D9" w:rsidRDefault="009A460D" w:rsidP="009A460D">
      <w:pPr>
        <w:pStyle w:val="Heading1"/>
        <w:rPr>
          <w:rFonts w:cs="Arial"/>
        </w:rPr>
      </w:pPr>
      <w:bookmarkStart w:id="7" w:name="_Toc234357550"/>
      <w:bookmarkStart w:id="8" w:name="_Toc237485153"/>
      <w:r w:rsidRPr="00F176D9">
        <w:rPr>
          <w:rFonts w:cs="Arial"/>
        </w:rPr>
        <w:lastRenderedPageBreak/>
        <w:t>Abbreviations</w:t>
      </w:r>
      <w:bookmarkEnd w:id="7"/>
      <w:bookmarkEnd w:id="8"/>
    </w:p>
    <w:p w14:paraId="3E2F0BA9" w14:textId="77777777" w:rsidR="00566745" w:rsidRPr="00F176D9" w:rsidRDefault="00566745" w:rsidP="00566745">
      <w:pPr>
        <w:rPr>
          <w:rFonts w:cs="Arial"/>
        </w:rPr>
      </w:pPr>
      <w:r w:rsidRPr="00F176D9">
        <w:rPr>
          <w:rFonts w:cs="Arial"/>
        </w:rPr>
        <w:t>NHS – National Health Service</w:t>
      </w:r>
    </w:p>
    <w:p w14:paraId="2DDF354D" w14:textId="77777777" w:rsidR="00566745" w:rsidRPr="00F176D9" w:rsidRDefault="00566745" w:rsidP="00566745">
      <w:pPr>
        <w:rPr>
          <w:rFonts w:cs="Arial"/>
        </w:rPr>
      </w:pPr>
      <w:r w:rsidRPr="00F176D9">
        <w:rPr>
          <w:rFonts w:cs="Arial"/>
        </w:rPr>
        <w:t>ONS – Office for National Statistics</w:t>
      </w:r>
    </w:p>
    <w:p w14:paraId="670C9BD1" w14:textId="77777777" w:rsidR="00566745" w:rsidRPr="00F176D9" w:rsidRDefault="00566745" w:rsidP="00566745">
      <w:pPr>
        <w:rPr>
          <w:rFonts w:cs="Arial"/>
        </w:rPr>
      </w:pPr>
      <w:r w:rsidRPr="00F176D9">
        <w:rPr>
          <w:rFonts w:cs="Arial"/>
        </w:rPr>
        <w:t>NICE – National Institute for Health and Care Excellence</w:t>
      </w:r>
    </w:p>
    <w:p w14:paraId="69C2A0C0" w14:textId="77777777" w:rsidR="00566745" w:rsidRPr="00F176D9" w:rsidRDefault="00566745" w:rsidP="00566745">
      <w:pPr>
        <w:rPr>
          <w:rFonts w:cs="Arial"/>
        </w:rPr>
      </w:pPr>
      <w:r w:rsidRPr="00F176D9">
        <w:rPr>
          <w:rFonts w:cs="Arial"/>
        </w:rPr>
        <w:t>CBM – Community-Based Management</w:t>
      </w:r>
    </w:p>
    <w:p w14:paraId="6A9DE14E" w14:textId="77777777" w:rsidR="00566745" w:rsidRPr="00F176D9" w:rsidRDefault="00566745" w:rsidP="00566745">
      <w:pPr>
        <w:rPr>
          <w:rFonts w:cs="Arial"/>
        </w:rPr>
      </w:pPr>
      <w:r w:rsidRPr="00F176D9">
        <w:rPr>
          <w:rFonts w:cs="Arial"/>
        </w:rPr>
        <w:t>SLR – Systematic Literature Review</w:t>
      </w:r>
    </w:p>
    <w:p w14:paraId="1E72C17D" w14:textId="45D95B55" w:rsidR="00566745" w:rsidRPr="00F176D9" w:rsidRDefault="00566745" w:rsidP="00566745">
      <w:pPr>
        <w:rPr>
          <w:rFonts w:cs="Arial"/>
        </w:rPr>
      </w:pPr>
      <w:r w:rsidRPr="00F176D9">
        <w:rPr>
          <w:rFonts w:cs="Arial"/>
        </w:rPr>
        <w:t>HBM – Health Belief Model</w:t>
      </w:r>
    </w:p>
    <w:p w14:paraId="4F8B4D6E" w14:textId="77777777" w:rsidR="00BC3D78" w:rsidRPr="00F176D9" w:rsidRDefault="00BC3D78">
      <w:pPr>
        <w:spacing w:before="0" w:beforeAutospacing="0" w:after="160" w:afterAutospacing="0" w:line="259" w:lineRule="auto"/>
        <w:jc w:val="left"/>
        <w:rPr>
          <w:rFonts w:cs="Arial"/>
        </w:rPr>
      </w:pPr>
      <w:r w:rsidRPr="00F176D9">
        <w:rPr>
          <w:rFonts w:cs="Arial"/>
        </w:rPr>
        <w:br w:type="page"/>
      </w:r>
    </w:p>
    <w:sdt>
      <w:sdtPr>
        <w:rPr>
          <w:rFonts w:ascii="Arial" w:eastAsiaTheme="minorEastAsia" w:hAnsi="Arial" w:cs="Arial"/>
          <w:color w:val="auto"/>
          <w:kern w:val="2"/>
          <w:sz w:val="22"/>
          <w:szCs w:val="22"/>
          <w:lang w:val="en-GB" w:eastAsia="zh-CN"/>
          <w14:ligatures w14:val="standardContextual"/>
        </w:rPr>
        <w:id w:val="862865833"/>
        <w:docPartObj>
          <w:docPartGallery w:val="Table of Contents"/>
          <w:docPartUnique/>
        </w:docPartObj>
      </w:sdtPr>
      <w:sdtEndPr>
        <w:rPr>
          <w:b/>
          <w:bCs/>
          <w:noProof/>
        </w:rPr>
      </w:sdtEndPr>
      <w:sdtContent>
        <w:p w14:paraId="2067A00F" w14:textId="294A1292" w:rsidR="00DC24DD" w:rsidRPr="00F176D9" w:rsidRDefault="00DC24DD">
          <w:pPr>
            <w:pStyle w:val="TOCHeading"/>
            <w:rPr>
              <w:rFonts w:ascii="Arial" w:hAnsi="Arial" w:cs="Arial"/>
            </w:rPr>
          </w:pPr>
          <w:r w:rsidRPr="00F176D9">
            <w:rPr>
              <w:rFonts w:ascii="Arial" w:hAnsi="Arial" w:cs="Arial"/>
            </w:rPr>
            <w:t>Table of Contents</w:t>
          </w:r>
        </w:p>
        <w:p w14:paraId="7984EFD1" w14:textId="156B320F" w:rsidR="009C2D31" w:rsidRDefault="00752ED3">
          <w:pPr>
            <w:pStyle w:val="TOC1"/>
            <w:tabs>
              <w:tab w:val="right" w:leader="dot" w:pos="9016"/>
            </w:tabs>
            <w:rPr>
              <w:rFonts w:asciiTheme="minorHAnsi" w:hAnsiTheme="minorHAnsi"/>
              <w:noProof/>
              <w:sz w:val="24"/>
              <w:szCs w:val="24"/>
              <w:lang w:val="en-US"/>
            </w:rPr>
          </w:pPr>
          <w:r>
            <w:rPr>
              <w:rFonts w:eastAsia="Times New Roman" w:cs="Arial"/>
              <w:color w:val="000000"/>
              <w:sz w:val="24"/>
            </w:rPr>
            <w:fldChar w:fldCharType="begin"/>
          </w:r>
          <w:r>
            <w:rPr>
              <w:rFonts w:eastAsia="Times New Roman" w:cs="Arial"/>
              <w:color w:val="000000"/>
              <w:sz w:val="24"/>
            </w:rPr>
            <w:instrText xml:space="preserve"> TOC \o "1-3" \h \z \u </w:instrText>
          </w:r>
          <w:r>
            <w:rPr>
              <w:rFonts w:eastAsia="Times New Roman" w:cs="Arial"/>
              <w:color w:val="000000"/>
              <w:sz w:val="24"/>
            </w:rPr>
            <w:fldChar w:fldCharType="separate"/>
          </w:r>
          <w:hyperlink w:anchor="_Toc237485150" w:history="1">
            <w:r w:rsidR="009C2D31" w:rsidRPr="00E32090">
              <w:rPr>
                <w:rStyle w:val="Hyperlink"/>
                <w:rFonts w:cs="Arial"/>
                <w:noProof/>
              </w:rPr>
              <w:t>Declaration</w:t>
            </w:r>
            <w:r w:rsidR="009C2D31">
              <w:rPr>
                <w:noProof/>
                <w:webHidden/>
              </w:rPr>
              <w:tab/>
            </w:r>
            <w:r w:rsidR="009C2D31">
              <w:rPr>
                <w:noProof/>
                <w:webHidden/>
              </w:rPr>
              <w:fldChar w:fldCharType="begin"/>
            </w:r>
            <w:r w:rsidR="009C2D31">
              <w:rPr>
                <w:noProof/>
                <w:webHidden/>
              </w:rPr>
              <w:instrText xml:space="preserve"> PAGEREF _Toc237485150 \h </w:instrText>
            </w:r>
            <w:r w:rsidR="009C2D31">
              <w:rPr>
                <w:noProof/>
                <w:webHidden/>
              </w:rPr>
            </w:r>
            <w:r w:rsidR="009C2D31">
              <w:rPr>
                <w:noProof/>
                <w:webHidden/>
              </w:rPr>
              <w:fldChar w:fldCharType="separate"/>
            </w:r>
            <w:r w:rsidR="009C2D31">
              <w:rPr>
                <w:noProof/>
                <w:webHidden/>
              </w:rPr>
              <w:t>2</w:t>
            </w:r>
            <w:r w:rsidR="009C2D31">
              <w:rPr>
                <w:noProof/>
                <w:webHidden/>
              </w:rPr>
              <w:fldChar w:fldCharType="end"/>
            </w:r>
          </w:hyperlink>
        </w:p>
        <w:p w14:paraId="7BF11C5C" w14:textId="734D7D15" w:rsidR="009C2D31" w:rsidRDefault="00000000">
          <w:pPr>
            <w:pStyle w:val="TOC1"/>
            <w:tabs>
              <w:tab w:val="right" w:leader="dot" w:pos="9016"/>
            </w:tabs>
            <w:rPr>
              <w:rFonts w:asciiTheme="minorHAnsi" w:hAnsiTheme="minorHAnsi"/>
              <w:noProof/>
              <w:sz w:val="24"/>
              <w:szCs w:val="24"/>
              <w:lang w:val="en-US"/>
            </w:rPr>
          </w:pPr>
          <w:hyperlink w:anchor="_Toc237485151" w:history="1">
            <w:r w:rsidR="009C2D31" w:rsidRPr="00E32090">
              <w:rPr>
                <w:rStyle w:val="Hyperlink"/>
                <w:rFonts w:cs="Arial"/>
                <w:noProof/>
              </w:rPr>
              <w:t>Acknowledgement</w:t>
            </w:r>
            <w:r w:rsidR="009C2D31">
              <w:rPr>
                <w:noProof/>
                <w:webHidden/>
              </w:rPr>
              <w:tab/>
            </w:r>
            <w:r w:rsidR="009C2D31">
              <w:rPr>
                <w:noProof/>
                <w:webHidden/>
              </w:rPr>
              <w:fldChar w:fldCharType="begin"/>
            </w:r>
            <w:r w:rsidR="009C2D31">
              <w:rPr>
                <w:noProof/>
                <w:webHidden/>
              </w:rPr>
              <w:instrText xml:space="preserve"> PAGEREF _Toc237485151 \h </w:instrText>
            </w:r>
            <w:r w:rsidR="009C2D31">
              <w:rPr>
                <w:noProof/>
                <w:webHidden/>
              </w:rPr>
            </w:r>
            <w:r w:rsidR="009C2D31">
              <w:rPr>
                <w:noProof/>
                <w:webHidden/>
              </w:rPr>
              <w:fldChar w:fldCharType="separate"/>
            </w:r>
            <w:r w:rsidR="009C2D31">
              <w:rPr>
                <w:noProof/>
                <w:webHidden/>
              </w:rPr>
              <w:t>3</w:t>
            </w:r>
            <w:r w:rsidR="009C2D31">
              <w:rPr>
                <w:noProof/>
                <w:webHidden/>
              </w:rPr>
              <w:fldChar w:fldCharType="end"/>
            </w:r>
          </w:hyperlink>
        </w:p>
        <w:p w14:paraId="6BD9E3F0" w14:textId="3D639D87" w:rsidR="009C2D31" w:rsidRDefault="00000000">
          <w:pPr>
            <w:pStyle w:val="TOC1"/>
            <w:tabs>
              <w:tab w:val="right" w:leader="dot" w:pos="9016"/>
            </w:tabs>
            <w:rPr>
              <w:rFonts w:asciiTheme="minorHAnsi" w:hAnsiTheme="minorHAnsi"/>
              <w:noProof/>
              <w:sz w:val="24"/>
              <w:szCs w:val="24"/>
              <w:lang w:val="en-US"/>
            </w:rPr>
          </w:pPr>
          <w:hyperlink w:anchor="_Toc237485152" w:history="1">
            <w:r w:rsidR="009C2D31" w:rsidRPr="00E32090">
              <w:rPr>
                <w:rStyle w:val="Hyperlink"/>
                <w:rFonts w:cs="Arial"/>
                <w:noProof/>
              </w:rPr>
              <w:t>Abstract</w:t>
            </w:r>
            <w:r w:rsidR="009C2D31">
              <w:rPr>
                <w:noProof/>
                <w:webHidden/>
              </w:rPr>
              <w:tab/>
            </w:r>
            <w:r w:rsidR="009C2D31">
              <w:rPr>
                <w:noProof/>
                <w:webHidden/>
              </w:rPr>
              <w:fldChar w:fldCharType="begin"/>
            </w:r>
            <w:r w:rsidR="009C2D31">
              <w:rPr>
                <w:noProof/>
                <w:webHidden/>
              </w:rPr>
              <w:instrText xml:space="preserve"> PAGEREF _Toc237485152 \h </w:instrText>
            </w:r>
            <w:r w:rsidR="009C2D31">
              <w:rPr>
                <w:noProof/>
                <w:webHidden/>
              </w:rPr>
            </w:r>
            <w:r w:rsidR="009C2D31">
              <w:rPr>
                <w:noProof/>
                <w:webHidden/>
              </w:rPr>
              <w:fldChar w:fldCharType="separate"/>
            </w:r>
            <w:r w:rsidR="009C2D31">
              <w:rPr>
                <w:noProof/>
                <w:webHidden/>
              </w:rPr>
              <w:t>4</w:t>
            </w:r>
            <w:r w:rsidR="009C2D31">
              <w:rPr>
                <w:noProof/>
                <w:webHidden/>
              </w:rPr>
              <w:fldChar w:fldCharType="end"/>
            </w:r>
          </w:hyperlink>
        </w:p>
        <w:p w14:paraId="210A6B65" w14:textId="3B836C75" w:rsidR="009C2D31" w:rsidRDefault="00000000">
          <w:pPr>
            <w:pStyle w:val="TOC1"/>
            <w:tabs>
              <w:tab w:val="right" w:leader="dot" w:pos="9016"/>
            </w:tabs>
            <w:rPr>
              <w:rFonts w:asciiTheme="minorHAnsi" w:hAnsiTheme="minorHAnsi"/>
              <w:noProof/>
              <w:sz w:val="24"/>
              <w:szCs w:val="24"/>
              <w:lang w:val="en-US"/>
            </w:rPr>
          </w:pPr>
          <w:hyperlink w:anchor="_Toc237485153" w:history="1">
            <w:r w:rsidR="009C2D31" w:rsidRPr="00E32090">
              <w:rPr>
                <w:rStyle w:val="Hyperlink"/>
                <w:rFonts w:cs="Arial"/>
                <w:noProof/>
              </w:rPr>
              <w:t>Abbreviations</w:t>
            </w:r>
            <w:r w:rsidR="009C2D31">
              <w:rPr>
                <w:noProof/>
                <w:webHidden/>
              </w:rPr>
              <w:tab/>
            </w:r>
            <w:r w:rsidR="009C2D31">
              <w:rPr>
                <w:noProof/>
                <w:webHidden/>
              </w:rPr>
              <w:fldChar w:fldCharType="begin"/>
            </w:r>
            <w:r w:rsidR="009C2D31">
              <w:rPr>
                <w:noProof/>
                <w:webHidden/>
              </w:rPr>
              <w:instrText xml:space="preserve"> PAGEREF _Toc237485153 \h </w:instrText>
            </w:r>
            <w:r w:rsidR="009C2D31">
              <w:rPr>
                <w:noProof/>
                <w:webHidden/>
              </w:rPr>
            </w:r>
            <w:r w:rsidR="009C2D31">
              <w:rPr>
                <w:noProof/>
                <w:webHidden/>
              </w:rPr>
              <w:fldChar w:fldCharType="separate"/>
            </w:r>
            <w:r w:rsidR="009C2D31">
              <w:rPr>
                <w:noProof/>
                <w:webHidden/>
              </w:rPr>
              <w:t>5</w:t>
            </w:r>
            <w:r w:rsidR="009C2D31">
              <w:rPr>
                <w:noProof/>
                <w:webHidden/>
              </w:rPr>
              <w:fldChar w:fldCharType="end"/>
            </w:r>
          </w:hyperlink>
        </w:p>
        <w:p w14:paraId="27C6C940" w14:textId="0E724EA2" w:rsidR="009C2D31" w:rsidRDefault="00000000">
          <w:pPr>
            <w:pStyle w:val="TOC1"/>
            <w:tabs>
              <w:tab w:val="right" w:leader="dot" w:pos="9016"/>
            </w:tabs>
            <w:rPr>
              <w:rFonts w:asciiTheme="minorHAnsi" w:hAnsiTheme="minorHAnsi"/>
              <w:noProof/>
              <w:sz w:val="24"/>
              <w:szCs w:val="24"/>
              <w:lang w:val="en-US"/>
            </w:rPr>
          </w:pPr>
          <w:hyperlink w:anchor="_Toc237485154" w:history="1">
            <w:r w:rsidR="009C2D31" w:rsidRPr="00E32090">
              <w:rPr>
                <w:rStyle w:val="Hyperlink"/>
                <w:noProof/>
              </w:rPr>
              <w:t>Chapter 1: Introduction</w:t>
            </w:r>
            <w:r w:rsidR="009C2D31">
              <w:rPr>
                <w:noProof/>
                <w:webHidden/>
              </w:rPr>
              <w:tab/>
            </w:r>
            <w:r w:rsidR="009C2D31">
              <w:rPr>
                <w:noProof/>
                <w:webHidden/>
              </w:rPr>
              <w:fldChar w:fldCharType="begin"/>
            </w:r>
            <w:r w:rsidR="009C2D31">
              <w:rPr>
                <w:noProof/>
                <w:webHidden/>
              </w:rPr>
              <w:instrText xml:space="preserve"> PAGEREF _Toc237485154 \h </w:instrText>
            </w:r>
            <w:r w:rsidR="009C2D31">
              <w:rPr>
                <w:noProof/>
                <w:webHidden/>
              </w:rPr>
            </w:r>
            <w:r w:rsidR="009C2D31">
              <w:rPr>
                <w:noProof/>
                <w:webHidden/>
              </w:rPr>
              <w:fldChar w:fldCharType="separate"/>
            </w:r>
            <w:r w:rsidR="009C2D31">
              <w:rPr>
                <w:noProof/>
                <w:webHidden/>
              </w:rPr>
              <w:t>9</w:t>
            </w:r>
            <w:r w:rsidR="009C2D31">
              <w:rPr>
                <w:noProof/>
                <w:webHidden/>
              </w:rPr>
              <w:fldChar w:fldCharType="end"/>
            </w:r>
          </w:hyperlink>
        </w:p>
        <w:p w14:paraId="102361A3" w14:textId="2CD70F10" w:rsidR="009C2D31" w:rsidRDefault="00000000">
          <w:pPr>
            <w:pStyle w:val="TOC2"/>
            <w:rPr>
              <w:rFonts w:asciiTheme="minorHAnsi" w:hAnsiTheme="minorHAnsi"/>
              <w:noProof/>
              <w:sz w:val="24"/>
              <w:szCs w:val="24"/>
              <w:lang w:val="en-US"/>
            </w:rPr>
          </w:pPr>
          <w:hyperlink w:anchor="_Toc237485155" w:history="1">
            <w:r w:rsidR="009C2D31" w:rsidRPr="00E32090">
              <w:rPr>
                <w:rStyle w:val="Hyperlink"/>
                <w:noProof/>
              </w:rPr>
              <w:t>1.1 Background</w:t>
            </w:r>
            <w:r w:rsidR="009C2D31">
              <w:rPr>
                <w:noProof/>
                <w:webHidden/>
              </w:rPr>
              <w:tab/>
            </w:r>
            <w:r w:rsidR="009C2D31">
              <w:rPr>
                <w:noProof/>
                <w:webHidden/>
              </w:rPr>
              <w:fldChar w:fldCharType="begin"/>
            </w:r>
            <w:r w:rsidR="009C2D31">
              <w:rPr>
                <w:noProof/>
                <w:webHidden/>
              </w:rPr>
              <w:instrText xml:space="preserve"> PAGEREF _Toc237485155 \h </w:instrText>
            </w:r>
            <w:r w:rsidR="009C2D31">
              <w:rPr>
                <w:noProof/>
                <w:webHidden/>
              </w:rPr>
            </w:r>
            <w:r w:rsidR="009C2D31">
              <w:rPr>
                <w:noProof/>
                <w:webHidden/>
              </w:rPr>
              <w:fldChar w:fldCharType="separate"/>
            </w:r>
            <w:r w:rsidR="009C2D31">
              <w:rPr>
                <w:noProof/>
                <w:webHidden/>
              </w:rPr>
              <w:t>9</w:t>
            </w:r>
            <w:r w:rsidR="009C2D31">
              <w:rPr>
                <w:noProof/>
                <w:webHidden/>
              </w:rPr>
              <w:fldChar w:fldCharType="end"/>
            </w:r>
          </w:hyperlink>
        </w:p>
        <w:p w14:paraId="38656556" w14:textId="4F4A1D1A" w:rsidR="009C2D31" w:rsidRDefault="00000000">
          <w:pPr>
            <w:pStyle w:val="TOC2"/>
            <w:rPr>
              <w:rFonts w:asciiTheme="minorHAnsi" w:hAnsiTheme="minorHAnsi"/>
              <w:noProof/>
              <w:sz w:val="24"/>
              <w:szCs w:val="24"/>
              <w:lang w:val="en-US"/>
            </w:rPr>
          </w:pPr>
          <w:hyperlink w:anchor="_Toc237485156" w:history="1">
            <w:r w:rsidR="009C2D31" w:rsidRPr="00E32090">
              <w:rPr>
                <w:rStyle w:val="Hyperlink"/>
                <w:noProof/>
              </w:rPr>
              <w:t>1.2 Statement of the Problem</w:t>
            </w:r>
            <w:r w:rsidR="009C2D31">
              <w:rPr>
                <w:noProof/>
                <w:webHidden/>
              </w:rPr>
              <w:tab/>
            </w:r>
            <w:r w:rsidR="009C2D31">
              <w:rPr>
                <w:noProof/>
                <w:webHidden/>
              </w:rPr>
              <w:fldChar w:fldCharType="begin"/>
            </w:r>
            <w:r w:rsidR="009C2D31">
              <w:rPr>
                <w:noProof/>
                <w:webHidden/>
              </w:rPr>
              <w:instrText xml:space="preserve"> PAGEREF _Toc237485156 \h </w:instrText>
            </w:r>
            <w:r w:rsidR="009C2D31">
              <w:rPr>
                <w:noProof/>
                <w:webHidden/>
              </w:rPr>
            </w:r>
            <w:r w:rsidR="009C2D31">
              <w:rPr>
                <w:noProof/>
                <w:webHidden/>
              </w:rPr>
              <w:fldChar w:fldCharType="separate"/>
            </w:r>
            <w:r w:rsidR="009C2D31">
              <w:rPr>
                <w:noProof/>
                <w:webHidden/>
              </w:rPr>
              <w:t>10</w:t>
            </w:r>
            <w:r w:rsidR="009C2D31">
              <w:rPr>
                <w:noProof/>
                <w:webHidden/>
              </w:rPr>
              <w:fldChar w:fldCharType="end"/>
            </w:r>
          </w:hyperlink>
        </w:p>
        <w:p w14:paraId="24ED53C9" w14:textId="4027FEC7" w:rsidR="009C2D31" w:rsidRDefault="00000000">
          <w:pPr>
            <w:pStyle w:val="TOC2"/>
            <w:rPr>
              <w:rFonts w:asciiTheme="minorHAnsi" w:hAnsiTheme="minorHAnsi"/>
              <w:noProof/>
              <w:sz w:val="24"/>
              <w:szCs w:val="24"/>
              <w:lang w:val="en-US"/>
            </w:rPr>
          </w:pPr>
          <w:hyperlink w:anchor="_Toc237485157" w:history="1">
            <w:r w:rsidR="009C2D31" w:rsidRPr="00E32090">
              <w:rPr>
                <w:rStyle w:val="Hyperlink"/>
                <w:noProof/>
              </w:rPr>
              <w:t>1.3 Rationale for the Study</w:t>
            </w:r>
            <w:r w:rsidR="009C2D31">
              <w:rPr>
                <w:noProof/>
                <w:webHidden/>
              </w:rPr>
              <w:tab/>
            </w:r>
            <w:r w:rsidR="009C2D31">
              <w:rPr>
                <w:noProof/>
                <w:webHidden/>
              </w:rPr>
              <w:fldChar w:fldCharType="begin"/>
            </w:r>
            <w:r w:rsidR="009C2D31">
              <w:rPr>
                <w:noProof/>
                <w:webHidden/>
              </w:rPr>
              <w:instrText xml:space="preserve"> PAGEREF _Toc237485157 \h </w:instrText>
            </w:r>
            <w:r w:rsidR="009C2D31">
              <w:rPr>
                <w:noProof/>
                <w:webHidden/>
              </w:rPr>
            </w:r>
            <w:r w:rsidR="009C2D31">
              <w:rPr>
                <w:noProof/>
                <w:webHidden/>
              </w:rPr>
              <w:fldChar w:fldCharType="separate"/>
            </w:r>
            <w:r w:rsidR="009C2D31">
              <w:rPr>
                <w:noProof/>
                <w:webHidden/>
              </w:rPr>
              <w:t>11</w:t>
            </w:r>
            <w:r w:rsidR="009C2D31">
              <w:rPr>
                <w:noProof/>
                <w:webHidden/>
              </w:rPr>
              <w:fldChar w:fldCharType="end"/>
            </w:r>
          </w:hyperlink>
        </w:p>
        <w:p w14:paraId="3FB3FAB2" w14:textId="45A51068" w:rsidR="009C2D31" w:rsidRDefault="00000000">
          <w:pPr>
            <w:pStyle w:val="TOC2"/>
            <w:rPr>
              <w:rFonts w:asciiTheme="minorHAnsi" w:hAnsiTheme="minorHAnsi"/>
              <w:noProof/>
              <w:sz w:val="24"/>
              <w:szCs w:val="24"/>
              <w:lang w:val="en-US"/>
            </w:rPr>
          </w:pPr>
          <w:hyperlink w:anchor="_Toc237485158" w:history="1">
            <w:r w:rsidR="009C2D31" w:rsidRPr="00E32090">
              <w:rPr>
                <w:rStyle w:val="Hyperlink"/>
                <w:noProof/>
              </w:rPr>
              <w:t>1.4 Research Aim</w:t>
            </w:r>
            <w:r w:rsidR="009C2D31">
              <w:rPr>
                <w:noProof/>
                <w:webHidden/>
              </w:rPr>
              <w:tab/>
            </w:r>
            <w:r w:rsidR="009C2D31">
              <w:rPr>
                <w:noProof/>
                <w:webHidden/>
              </w:rPr>
              <w:fldChar w:fldCharType="begin"/>
            </w:r>
            <w:r w:rsidR="009C2D31">
              <w:rPr>
                <w:noProof/>
                <w:webHidden/>
              </w:rPr>
              <w:instrText xml:space="preserve"> PAGEREF _Toc237485158 \h </w:instrText>
            </w:r>
            <w:r w:rsidR="009C2D31">
              <w:rPr>
                <w:noProof/>
                <w:webHidden/>
              </w:rPr>
            </w:r>
            <w:r w:rsidR="009C2D31">
              <w:rPr>
                <w:noProof/>
                <w:webHidden/>
              </w:rPr>
              <w:fldChar w:fldCharType="separate"/>
            </w:r>
            <w:r w:rsidR="009C2D31">
              <w:rPr>
                <w:noProof/>
                <w:webHidden/>
              </w:rPr>
              <w:t>11</w:t>
            </w:r>
            <w:r w:rsidR="009C2D31">
              <w:rPr>
                <w:noProof/>
                <w:webHidden/>
              </w:rPr>
              <w:fldChar w:fldCharType="end"/>
            </w:r>
          </w:hyperlink>
        </w:p>
        <w:p w14:paraId="76A54CBD" w14:textId="2625D6E4" w:rsidR="009C2D31" w:rsidRDefault="00000000">
          <w:pPr>
            <w:pStyle w:val="TOC2"/>
            <w:rPr>
              <w:rFonts w:asciiTheme="minorHAnsi" w:hAnsiTheme="minorHAnsi"/>
              <w:noProof/>
              <w:sz w:val="24"/>
              <w:szCs w:val="24"/>
              <w:lang w:val="en-US"/>
            </w:rPr>
          </w:pPr>
          <w:hyperlink w:anchor="_Toc237485159" w:history="1">
            <w:r w:rsidR="009C2D31" w:rsidRPr="00E32090">
              <w:rPr>
                <w:rStyle w:val="Hyperlink"/>
                <w:noProof/>
              </w:rPr>
              <w:t>1.5 Research Objectives</w:t>
            </w:r>
            <w:r w:rsidR="009C2D31">
              <w:rPr>
                <w:noProof/>
                <w:webHidden/>
              </w:rPr>
              <w:tab/>
            </w:r>
            <w:r w:rsidR="009C2D31">
              <w:rPr>
                <w:noProof/>
                <w:webHidden/>
              </w:rPr>
              <w:fldChar w:fldCharType="begin"/>
            </w:r>
            <w:r w:rsidR="009C2D31">
              <w:rPr>
                <w:noProof/>
                <w:webHidden/>
              </w:rPr>
              <w:instrText xml:space="preserve"> PAGEREF _Toc237485159 \h </w:instrText>
            </w:r>
            <w:r w:rsidR="009C2D31">
              <w:rPr>
                <w:noProof/>
                <w:webHidden/>
              </w:rPr>
            </w:r>
            <w:r w:rsidR="009C2D31">
              <w:rPr>
                <w:noProof/>
                <w:webHidden/>
              </w:rPr>
              <w:fldChar w:fldCharType="separate"/>
            </w:r>
            <w:r w:rsidR="009C2D31">
              <w:rPr>
                <w:noProof/>
                <w:webHidden/>
              </w:rPr>
              <w:t>11</w:t>
            </w:r>
            <w:r w:rsidR="009C2D31">
              <w:rPr>
                <w:noProof/>
                <w:webHidden/>
              </w:rPr>
              <w:fldChar w:fldCharType="end"/>
            </w:r>
          </w:hyperlink>
        </w:p>
        <w:p w14:paraId="3E7DD2D7" w14:textId="4F647EF1" w:rsidR="009C2D31" w:rsidRDefault="00000000">
          <w:pPr>
            <w:pStyle w:val="TOC2"/>
            <w:rPr>
              <w:rFonts w:asciiTheme="minorHAnsi" w:hAnsiTheme="minorHAnsi"/>
              <w:noProof/>
              <w:sz w:val="24"/>
              <w:szCs w:val="24"/>
              <w:lang w:val="en-US"/>
            </w:rPr>
          </w:pPr>
          <w:hyperlink w:anchor="_Toc237485160" w:history="1">
            <w:r w:rsidR="009C2D31" w:rsidRPr="00E32090">
              <w:rPr>
                <w:rStyle w:val="Hyperlink"/>
                <w:noProof/>
              </w:rPr>
              <w:t>1.6 Research Questions</w:t>
            </w:r>
            <w:r w:rsidR="009C2D31">
              <w:rPr>
                <w:noProof/>
                <w:webHidden/>
              </w:rPr>
              <w:tab/>
            </w:r>
            <w:r w:rsidR="009C2D31">
              <w:rPr>
                <w:noProof/>
                <w:webHidden/>
              </w:rPr>
              <w:fldChar w:fldCharType="begin"/>
            </w:r>
            <w:r w:rsidR="009C2D31">
              <w:rPr>
                <w:noProof/>
                <w:webHidden/>
              </w:rPr>
              <w:instrText xml:space="preserve"> PAGEREF _Toc237485160 \h </w:instrText>
            </w:r>
            <w:r w:rsidR="009C2D31">
              <w:rPr>
                <w:noProof/>
                <w:webHidden/>
              </w:rPr>
            </w:r>
            <w:r w:rsidR="009C2D31">
              <w:rPr>
                <w:noProof/>
                <w:webHidden/>
              </w:rPr>
              <w:fldChar w:fldCharType="separate"/>
            </w:r>
            <w:r w:rsidR="009C2D31">
              <w:rPr>
                <w:noProof/>
                <w:webHidden/>
              </w:rPr>
              <w:t>12</w:t>
            </w:r>
            <w:r w:rsidR="009C2D31">
              <w:rPr>
                <w:noProof/>
                <w:webHidden/>
              </w:rPr>
              <w:fldChar w:fldCharType="end"/>
            </w:r>
          </w:hyperlink>
        </w:p>
        <w:p w14:paraId="7C0E5665" w14:textId="291F999F" w:rsidR="009C2D31" w:rsidRDefault="00000000">
          <w:pPr>
            <w:pStyle w:val="TOC2"/>
            <w:rPr>
              <w:rFonts w:asciiTheme="minorHAnsi" w:hAnsiTheme="minorHAnsi"/>
              <w:noProof/>
              <w:sz w:val="24"/>
              <w:szCs w:val="24"/>
              <w:lang w:val="en-US"/>
            </w:rPr>
          </w:pPr>
          <w:hyperlink w:anchor="_Toc237485161" w:history="1">
            <w:r w:rsidR="009C2D31" w:rsidRPr="00E32090">
              <w:rPr>
                <w:rStyle w:val="Hyperlink"/>
                <w:noProof/>
              </w:rPr>
              <w:t>1.7 Significance of the Study</w:t>
            </w:r>
            <w:r w:rsidR="009C2D31">
              <w:rPr>
                <w:noProof/>
                <w:webHidden/>
              </w:rPr>
              <w:tab/>
            </w:r>
            <w:r w:rsidR="009C2D31">
              <w:rPr>
                <w:noProof/>
                <w:webHidden/>
              </w:rPr>
              <w:fldChar w:fldCharType="begin"/>
            </w:r>
            <w:r w:rsidR="009C2D31">
              <w:rPr>
                <w:noProof/>
                <w:webHidden/>
              </w:rPr>
              <w:instrText xml:space="preserve"> PAGEREF _Toc237485161 \h </w:instrText>
            </w:r>
            <w:r w:rsidR="009C2D31">
              <w:rPr>
                <w:noProof/>
                <w:webHidden/>
              </w:rPr>
            </w:r>
            <w:r w:rsidR="009C2D31">
              <w:rPr>
                <w:noProof/>
                <w:webHidden/>
              </w:rPr>
              <w:fldChar w:fldCharType="separate"/>
            </w:r>
            <w:r w:rsidR="009C2D31">
              <w:rPr>
                <w:noProof/>
                <w:webHidden/>
              </w:rPr>
              <w:t>12</w:t>
            </w:r>
            <w:r w:rsidR="009C2D31">
              <w:rPr>
                <w:noProof/>
                <w:webHidden/>
              </w:rPr>
              <w:fldChar w:fldCharType="end"/>
            </w:r>
          </w:hyperlink>
        </w:p>
        <w:p w14:paraId="4D156E28" w14:textId="683FCC32" w:rsidR="009C2D31" w:rsidRDefault="00000000">
          <w:pPr>
            <w:pStyle w:val="TOC2"/>
            <w:rPr>
              <w:rFonts w:asciiTheme="minorHAnsi" w:hAnsiTheme="minorHAnsi"/>
              <w:noProof/>
              <w:sz w:val="24"/>
              <w:szCs w:val="24"/>
              <w:lang w:val="en-US"/>
            </w:rPr>
          </w:pPr>
          <w:hyperlink w:anchor="_Toc237485162" w:history="1">
            <w:r w:rsidR="009C2D31" w:rsidRPr="00E32090">
              <w:rPr>
                <w:rStyle w:val="Hyperlink"/>
                <w:noProof/>
              </w:rPr>
              <w:t>1.8 Chapter Summary</w:t>
            </w:r>
            <w:r w:rsidR="009C2D31">
              <w:rPr>
                <w:noProof/>
                <w:webHidden/>
              </w:rPr>
              <w:tab/>
            </w:r>
            <w:r w:rsidR="009C2D31">
              <w:rPr>
                <w:noProof/>
                <w:webHidden/>
              </w:rPr>
              <w:fldChar w:fldCharType="begin"/>
            </w:r>
            <w:r w:rsidR="009C2D31">
              <w:rPr>
                <w:noProof/>
                <w:webHidden/>
              </w:rPr>
              <w:instrText xml:space="preserve"> PAGEREF _Toc237485162 \h </w:instrText>
            </w:r>
            <w:r w:rsidR="009C2D31">
              <w:rPr>
                <w:noProof/>
                <w:webHidden/>
              </w:rPr>
            </w:r>
            <w:r w:rsidR="009C2D31">
              <w:rPr>
                <w:noProof/>
                <w:webHidden/>
              </w:rPr>
              <w:fldChar w:fldCharType="separate"/>
            </w:r>
            <w:r w:rsidR="009C2D31">
              <w:rPr>
                <w:noProof/>
                <w:webHidden/>
              </w:rPr>
              <w:t>13</w:t>
            </w:r>
            <w:r w:rsidR="009C2D31">
              <w:rPr>
                <w:noProof/>
                <w:webHidden/>
              </w:rPr>
              <w:fldChar w:fldCharType="end"/>
            </w:r>
          </w:hyperlink>
        </w:p>
        <w:p w14:paraId="4A2FCBF9" w14:textId="06DAADE2" w:rsidR="009C2D31" w:rsidRDefault="00000000">
          <w:pPr>
            <w:pStyle w:val="TOC1"/>
            <w:tabs>
              <w:tab w:val="right" w:leader="dot" w:pos="9016"/>
            </w:tabs>
            <w:rPr>
              <w:rFonts w:asciiTheme="minorHAnsi" w:hAnsiTheme="minorHAnsi"/>
              <w:noProof/>
              <w:sz w:val="24"/>
              <w:szCs w:val="24"/>
              <w:lang w:val="en-US"/>
            </w:rPr>
          </w:pPr>
          <w:hyperlink w:anchor="_Toc237485163" w:history="1">
            <w:r w:rsidR="009C2D31" w:rsidRPr="00E32090">
              <w:rPr>
                <w:rStyle w:val="Hyperlink"/>
                <w:noProof/>
              </w:rPr>
              <w:t>Chapter 2: Literature Review</w:t>
            </w:r>
            <w:r w:rsidR="009C2D31">
              <w:rPr>
                <w:noProof/>
                <w:webHidden/>
              </w:rPr>
              <w:tab/>
            </w:r>
            <w:r w:rsidR="009C2D31">
              <w:rPr>
                <w:noProof/>
                <w:webHidden/>
              </w:rPr>
              <w:fldChar w:fldCharType="begin"/>
            </w:r>
            <w:r w:rsidR="009C2D31">
              <w:rPr>
                <w:noProof/>
                <w:webHidden/>
              </w:rPr>
              <w:instrText xml:space="preserve"> PAGEREF _Toc237485163 \h </w:instrText>
            </w:r>
            <w:r w:rsidR="009C2D31">
              <w:rPr>
                <w:noProof/>
                <w:webHidden/>
              </w:rPr>
            </w:r>
            <w:r w:rsidR="009C2D31">
              <w:rPr>
                <w:noProof/>
                <w:webHidden/>
              </w:rPr>
              <w:fldChar w:fldCharType="separate"/>
            </w:r>
            <w:r w:rsidR="009C2D31">
              <w:rPr>
                <w:noProof/>
                <w:webHidden/>
              </w:rPr>
              <w:t>14</w:t>
            </w:r>
            <w:r w:rsidR="009C2D31">
              <w:rPr>
                <w:noProof/>
                <w:webHidden/>
              </w:rPr>
              <w:fldChar w:fldCharType="end"/>
            </w:r>
          </w:hyperlink>
        </w:p>
        <w:p w14:paraId="26B0E853" w14:textId="73274D00" w:rsidR="009C2D31" w:rsidRDefault="00000000">
          <w:pPr>
            <w:pStyle w:val="TOC2"/>
            <w:rPr>
              <w:rFonts w:asciiTheme="minorHAnsi" w:hAnsiTheme="minorHAnsi"/>
              <w:noProof/>
              <w:sz w:val="24"/>
              <w:szCs w:val="24"/>
              <w:lang w:val="en-US"/>
            </w:rPr>
          </w:pPr>
          <w:hyperlink w:anchor="_Toc237485164" w:history="1">
            <w:r w:rsidR="009C2D31" w:rsidRPr="00E32090">
              <w:rPr>
                <w:rStyle w:val="Hyperlink"/>
                <w:noProof/>
              </w:rPr>
              <w:t>2.1 Introduction</w:t>
            </w:r>
            <w:r w:rsidR="009C2D31">
              <w:rPr>
                <w:noProof/>
                <w:webHidden/>
              </w:rPr>
              <w:tab/>
            </w:r>
            <w:r w:rsidR="009C2D31">
              <w:rPr>
                <w:noProof/>
                <w:webHidden/>
              </w:rPr>
              <w:fldChar w:fldCharType="begin"/>
            </w:r>
            <w:r w:rsidR="009C2D31">
              <w:rPr>
                <w:noProof/>
                <w:webHidden/>
              </w:rPr>
              <w:instrText xml:space="preserve"> PAGEREF _Toc237485164 \h </w:instrText>
            </w:r>
            <w:r w:rsidR="009C2D31">
              <w:rPr>
                <w:noProof/>
                <w:webHidden/>
              </w:rPr>
            </w:r>
            <w:r w:rsidR="009C2D31">
              <w:rPr>
                <w:noProof/>
                <w:webHidden/>
              </w:rPr>
              <w:fldChar w:fldCharType="separate"/>
            </w:r>
            <w:r w:rsidR="009C2D31">
              <w:rPr>
                <w:noProof/>
                <w:webHidden/>
              </w:rPr>
              <w:t>14</w:t>
            </w:r>
            <w:r w:rsidR="009C2D31">
              <w:rPr>
                <w:noProof/>
                <w:webHidden/>
              </w:rPr>
              <w:fldChar w:fldCharType="end"/>
            </w:r>
          </w:hyperlink>
        </w:p>
        <w:p w14:paraId="6BCD7BF6" w14:textId="0C9F9B24" w:rsidR="009C2D31" w:rsidRDefault="00000000">
          <w:pPr>
            <w:pStyle w:val="TOC2"/>
            <w:rPr>
              <w:rFonts w:asciiTheme="minorHAnsi" w:hAnsiTheme="minorHAnsi"/>
              <w:noProof/>
              <w:sz w:val="24"/>
              <w:szCs w:val="24"/>
              <w:lang w:val="en-US"/>
            </w:rPr>
          </w:pPr>
          <w:hyperlink w:anchor="_Toc237485165" w:history="1">
            <w:r w:rsidR="009C2D31" w:rsidRPr="00E32090">
              <w:rPr>
                <w:rStyle w:val="Hyperlink"/>
                <w:noProof/>
              </w:rPr>
              <w:t>2.2 Clinical Scope and Consequences</w:t>
            </w:r>
            <w:r w:rsidR="009C2D31">
              <w:rPr>
                <w:noProof/>
                <w:webHidden/>
              </w:rPr>
              <w:tab/>
            </w:r>
            <w:r w:rsidR="009C2D31">
              <w:rPr>
                <w:noProof/>
                <w:webHidden/>
              </w:rPr>
              <w:fldChar w:fldCharType="begin"/>
            </w:r>
            <w:r w:rsidR="009C2D31">
              <w:rPr>
                <w:noProof/>
                <w:webHidden/>
              </w:rPr>
              <w:instrText xml:space="preserve"> PAGEREF _Toc237485165 \h </w:instrText>
            </w:r>
            <w:r w:rsidR="009C2D31">
              <w:rPr>
                <w:noProof/>
                <w:webHidden/>
              </w:rPr>
            </w:r>
            <w:r w:rsidR="009C2D31">
              <w:rPr>
                <w:noProof/>
                <w:webHidden/>
              </w:rPr>
              <w:fldChar w:fldCharType="separate"/>
            </w:r>
            <w:r w:rsidR="009C2D31">
              <w:rPr>
                <w:noProof/>
                <w:webHidden/>
              </w:rPr>
              <w:t>14</w:t>
            </w:r>
            <w:r w:rsidR="009C2D31">
              <w:rPr>
                <w:noProof/>
                <w:webHidden/>
              </w:rPr>
              <w:fldChar w:fldCharType="end"/>
            </w:r>
          </w:hyperlink>
        </w:p>
        <w:p w14:paraId="451974F8" w14:textId="3C147727" w:rsidR="009C2D31" w:rsidRDefault="00000000">
          <w:pPr>
            <w:pStyle w:val="TOC2"/>
            <w:rPr>
              <w:rFonts w:asciiTheme="minorHAnsi" w:hAnsiTheme="minorHAnsi"/>
              <w:noProof/>
              <w:sz w:val="24"/>
              <w:szCs w:val="24"/>
              <w:lang w:val="en-US"/>
            </w:rPr>
          </w:pPr>
          <w:hyperlink w:anchor="_Toc237485166" w:history="1">
            <w:r w:rsidR="009C2D31" w:rsidRPr="00E32090">
              <w:rPr>
                <w:rStyle w:val="Hyperlink"/>
                <w:noProof/>
              </w:rPr>
              <w:t>2.3 Determinants of Hypertension and Management</w:t>
            </w:r>
            <w:r w:rsidR="009C2D31">
              <w:rPr>
                <w:noProof/>
                <w:webHidden/>
              </w:rPr>
              <w:tab/>
            </w:r>
            <w:r w:rsidR="009C2D31">
              <w:rPr>
                <w:noProof/>
                <w:webHidden/>
              </w:rPr>
              <w:fldChar w:fldCharType="begin"/>
            </w:r>
            <w:r w:rsidR="009C2D31">
              <w:rPr>
                <w:noProof/>
                <w:webHidden/>
              </w:rPr>
              <w:instrText xml:space="preserve"> PAGEREF _Toc237485166 \h </w:instrText>
            </w:r>
            <w:r w:rsidR="009C2D31">
              <w:rPr>
                <w:noProof/>
                <w:webHidden/>
              </w:rPr>
            </w:r>
            <w:r w:rsidR="009C2D31">
              <w:rPr>
                <w:noProof/>
                <w:webHidden/>
              </w:rPr>
              <w:fldChar w:fldCharType="separate"/>
            </w:r>
            <w:r w:rsidR="009C2D31">
              <w:rPr>
                <w:noProof/>
                <w:webHidden/>
              </w:rPr>
              <w:t>16</w:t>
            </w:r>
            <w:r w:rsidR="009C2D31">
              <w:rPr>
                <w:noProof/>
                <w:webHidden/>
              </w:rPr>
              <w:fldChar w:fldCharType="end"/>
            </w:r>
          </w:hyperlink>
        </w:p>
        <w:p w14:paraId="7CA91772" w14:textId="2A1D1561" w:rsidR="009C2D31" w:rsidRDefault="00000000">
          <w:pPr>
            <w:pStyle w:val="TOC2"/>
            <w:rPr>
              <w:rFonts w:asciiTheme="minorHAnsi" w:hAnsiTheme="minorHAnsi"/>
              <w:noProof/>
              <w:sz w:val="24"/>
              <w:szCs w:val="24"/>
              <w:lang w:val="en-US"/>
            </w:rPr>
          </w:pPr>
          <w:hyperlink w:anchor="_Toc237485167" w:history="1">
            <w:r w:rsidR="009C2D31" w:rsidRPr="00E32090">
              <w:rPr>
                <w:rStyle w:val="Hyperlink"/>
                <w:noProof/>
              </w:rPr>
              <w:t>2.4 The UK Management Pathway</w:t>
            </w:r>
            <w:r w:rsidR="009C2D31">
              <w:rPr>
                <w:noProof/>
                <w:webHidden/>
              </w:rPr>
              <w:tab/>
            </w:r>
            <w:r w:rsidR="009C2D31">
              <w:rPr>
                <w:noProof/>
                <w:webHidden/>
              </w:rPr>
              <w:fldChar w:fldCharType="begin"/>
            </w:r>
            <w:r w:rsidR="009C2D31">
              <w:rPr>
                <w:noProof/>
                <w:webHidden/>
              </w:rPr>
              <w:instrText xml:space="preserve"> PAGEREF _Toc237485167 \h </w:instrText>
            </w:r>
            <w:r w:rsidR="009C2D31">
              <w:rPr>
                <w:noProof/>
                <w:webHidden/>
              </w:rPr>
            </w:r>
            <w:r w:rsidR="009C2D31">
              <w:rPr>
                <w:noProof/>
                <w:webHidden/>
              </w:rPr>
              <w:fldChar w:fldCharType="separate"/>
            </w:r>
            <w:r w:rsidR="009C2D31">
              <w:rPr>
                <w:noProof/>
                <w:webHidden/>
              </w:rPr>
              <w:t>17</w:t>
            </w:r>
            <w:r w:rsidR="009C2D31">
              <w:rPr>
                <w:noProof/>
                <w:webHidden/>
              </w:rPr>
              <w:fldChar w:fldCharType="end"/>
            </w:r>
          </w:hyperlink>
        </w:p>
        <w:p w14:paraId="7DF569F2" w14:textId="2DF1B6A7" w:rsidR="009C2D31" w:rsidRDefault="00000000">
          <w:pPr>
            <w:pStyle w:val="TOC2"/>
            <w:rPr>
              <w:rFonts w:asciiTheme="minorHAnsi" w:hAnsiTheme="minorHAnsi"/>
              <w:noProof/>
              <w:sz w:val="24"/>
              <w:szCs w:val="24"/>
              <w:lang w:val="en-US"/>
            </w:rPr>
          </w:pPr>
          <w:hyperlink w:anchor="_Toc237485168" w:history="1">
            <w:r w:rsidR="009C2D31" w:rsidRPr="00E32090">
              <w:rPr>
                <w:rStyle w:val="Hyperlink"/>
                <w:noProof/>
              </w:rPr>
              <w:t>2.5 Community-Pharmacy Screening and Support</w:t>
            </w:r>
            <w:r w:rsidR="009C2D31">
              <w:rPr>
                <w:noProof/>
                <w:webHidden/>
              </w:rPr>
              <w:tab/>
            </w:r>
            <w:r w:rsidR="009C2D31">
              <w:rPr>
                <w:noProof/>
                <w:webHidden/>
              </w:rPr>
              <w:fldChar w:fldCharType="begin"/>
            </w:r>
            <w:r w:rsidR="009C2D31">
              <w:rPr>
                <w:noProof/>
                <w:webHidden/>
              </w:rPr>
              <w:instrText xml:space="preserve"> PAGEREF _Toc237485168 \h </w:instrText>
            </w:r>
            <w:r w:rsidR="009C2D31">
              <w:rPr>
                <w:noProof/>
                <w:webHidden/>
              </w:rPr>
            </w:r>
            <w:r w:rsidR="009C2D31">
              <w:rPr>
                <w:noProof/>
                <w:webHidden/>
              </w:rPr>
              <w:fldChar w:fldCharType="separate"/>
            </w:r>
            <w:r w:rsidR="009C2D31">
              <w:rPr>
                <w:noProof/>
                <w:webHidden/>
              </w:rPr>
              <w:t>17</w:t>
            </w:r>
            <w:r w:rsidR="009C2D31">
              <w:rPr>
                <w:noProof/>
                <w:webHidden/>
              </w:rPr>
              <w:fldChar w:fldCharType="end"/>
            </w:r>
          </w:hyperlink>
        </w:p>
        <w:p w14:paraId="4AEE5ABB" w14:textId="12400047" w:rsidR="009C2D31" w:rsidRDefault="00000000">
          <w:pPr>
            <w:pStyle w:val="TOC2"/>
            <w:rPr>
              <w:rFonts w:asciiTheme="minorHAnsi" w:hAnsiTheme="minorHAnsi"/>
              <w:noProof/>
              <w:sz w:val="24"/>
              <w:szCs w:val="24"/>
              <w:lang w:val="en-US"/>
            </w:rPr>
          </w:pPr>
          <w:hyperlink w:anchor="_Toc237485169" w:history="1">
            <w:r w:rsidR="009C2D31" w:rsidRPr="00E32090">
              <w:rPr>
                <w:rStyle w:val="Hyperlink"/>
                <w:noProof/>
              </w:rPr>
              <w:t>2.6 Home Monitoring, Digital Support and Telemedicine</w:t>
            </w:r>
            <w:r w:rsidR="009C2D31">
              <w:rPr>
                <w:noProof/>
                <w:webHidden/>
              </w:rPr>
              <w:tab/>
            </w:r>
            <w:r w:rsidR="009C2D31">
              <w:rPr>
                <w:noProof/>
                <w:webHidden/>
              </w:rPr>
              <w:fldChar w:fldCharType="begin"/>
            </w:r>
            <w:r w:rsidR="009C2D31">
              <w:rPr>
                <w:noProof/>
                <w:webHidden/>
              </w:rPr>
              <w:instrText xml:space="preserve"> PAGEREF _Toc237485169 \h </w:instrText>
            </w:r>
            <w:r w:rsidR="009C2D31">
              <w:rPr>
                <w:noProof/>
                <w:webHidden/>
              </w:rPr>
            </w:r>
            <w:r w:rsidR="009C2D31">
              <w:rPr>
                <w:noProof/>
                <w:webHidden/>
              </w:rPr>
              <w:fldChar w:fldCharType="separate"/>
            </w:r>
            <w:r w:rsidR="009C2D31">
              <w:rPr>
                <w:noProof/>
                <w:webHidden/>
              </w:rPr>
              <w:t>18</w:t>
            </w:r>
            <w:r w:rsidR="009C2D31">
              <w:rPr>
                <w:noProof/>
                <w:webHidden/>
              </w:rPr>
              <w:fldChar w:fldCharType="end"/>
            </w:r>
          </w:hyperlink>
        </w:p>
        <w:p w14:paraId="351B8E7A" w14:textId="722440B8" w:rsidR="009C2D31" w:rsidRDefault="00000000">
          <w:pPr>
            <w:pStyle w:val="TOC2"/>
            <w:rPr>
              <w:rFonts w:asciiTheme="minorHAnsi" w:hAnsiTheme="minorHAnsi"/>
              <w:noProof/>
              <w:sz w:val="24"/>
              <w:szCs w:val="24"/>
              <w:lang w:val="en-US"/>
            </w:rPr>
          </w:pPr>
          <w:hyperlink w:anchor="_Toc237485170" w:history="1">
            <w:r w:rsidR="009C2D31" w:rsidRPr="00E32090">
              <w:rPr>
                <w:rStyle w:val="Hyperlink"/>
                <w:noProof/>
              </w:rPr>
              <w:t>2.7 Education, Lifestyle, Family and Peer Approaches</w:t>
            </w:r>
            <w:r w:rsidR="009C2D31">
              <w:rPr>
                <w:noProof/>
                <w:webHidden/>
              </w:rPr>
              <w:tab/>
            </w:r>
            <w:r w:rsidR="009C2D31">
              <w:rPr>
                <w:noProof/>
                <w:webHidden/>
              </w:rPr>
              <w:fldChar w:fldCharType="begin"/>
            </w:r>
            <w:r w:rsidR="009C2D31">
              <w:rPr>
                <w:noProof/>
                <w:webHidden/>
              </w:rPr>
              <w:instrText xml:space="preserve"> PAGEREF _Toc237485170 \h </w:instrText>
            </w:r>
            <w:r w:rsidR="009C2D31">
              <w:rPr>
                <w:noProof/>
                <w:webHidden/>
              </w:rPr>
            </w:r>
            <w:r w:rsidR="009C2D31">
              <w:rPr>
                <w:noProof/>
                <w:webHidden/>
              </w:rPr>
              <w:fldChar w:fldCharType="separate"/>
            </w:r>
            <w:r w:rsidR="009C2D31">
              <w:rPr>
                <w:noProof/>
                <w:webHidden/>
              </w:rPr>
              <w:t>20</w:t>
            </w:r>
            <w:r w:rsidR="009C2D31">
              <w:rPr>
                <w:noProof/>
                <w:webHidden/>
              </w:rPr>
              <w:fldChar w:fldCharType="end"/>
            </w:r>
          </w:hyperlink>
        </w:p>
        <w:p w14:paraId="7D35B04A" w14:textId="0D6A148D" w:rsidR="009C2D31" w:rsidRDefault="00000000">
          <w:pPr>
            <w:pStyle w:val="TOC2"/>
            <w:rPr>
              <w:rFonts w:asciiTheme="minorHAnsi" w:hAnsiTheme="minorHAnsi"/>
              <w:noProof/>
              <w:sz w:val="24"/>
              <w:szCs w:val="24"/>
              <w:lang w:val="en-US"/>
            </w:rPr>
          </w:pPr>
          <w:hyperlink w:anchor="_Toc237485171" w:history="1">
            <w:r w:rsidR="009C2D31" w:rsidRPr="00E32090">
              <w:rPr>
                <w:rStyle w:val="Hyperlink"/>
                <w:noProof/>
              </w:rPr>
              <w:t>2.8 Nurse-, Pharmacist- and Team-Led Management</w:t>
            </w:r>
            <w:r w:rsidR="009C2D31">
              <w:rPr>
                <w:noProof/>
                <w:webHidden/>
              </w:rPr>
              <w:tab/>
            </w:r>
            <w:r w:rsidR="009C2D31">
              <w:rPr>
                <w:noProof/>
                <w:webHidden/>
              </w:rPr>
              <w:fldChar w:fldCharType="begin"/>
            </w:r>
            <w:r w:rsidR="009C2D31">
              <w:rPr>
                <w:noProof/>
                <w:webHidden/>
              </w:rPr>
              <w:instrText xml:space="preserve"> PAGEREF _Toc237485171 \h </w:instrText>
            </w:r>
            <w:r w:rsidR="009C2D31">
              <w:rPr>
                <w:noProof/>
                <w:webHidden/>
              </w:rPr>
            </w:r>
            <w:r w:rsidR="009C2D31">
              <w:rPr>
                <w:noProof/>
                <w:webHidden/>
              </w:rPr>
              <w:fldChar w:fldCharType="separate"/>
            </w:r>
            <w:r w:rsidR="009C2D31">
              <w:rPr>
                <w:noProof/>
                <w:webHidden/>
              </w:rPr>
              <w:t>21</w:t>
            </w:r>
            <w:r w:rsidR="009C2D31">
              <w:rPr>
                <w:noProof/>
                <w:webHidden/>
              </w:rPr>
              <w:fldChar w:fldCharType="end"/>
            </w:r>
          </w:hyperlink>
        </w:p>
        <w:p w14:paraId="0FB8FC26" w14:textId="179BB7C9" w:rsidR="009C2D31" w:rsidRDefault="00000000">
          <w:pPr>
            <w:pStyle w:val="TOC2"/>
            <w:rPr>
              <w:rFonts w:asciiTheme="minorHAnsi" w:hAnsiTheme="minorHAnsi"/>
              <w:noProof/>
              <w:sz w:val="24"/>
              <w:szCs w:val="24"/>
              <w:lang w:val="en-US"/>
            </w:rPr>
          </w:pPr>
          <w:hyperlink w:anchor="_Toc237485172" w:history="1">
            <w:r w:rsidR="009C2D31" w:rsidRPr="00E32090">
              <w:rPr>
                <w:rStyle w:val="Hyperlink"/>
                <w:noProof/>
              </w:rPr>
              <w:t>2.9 Effectiveness, Equity and Implementation</w:t>
            </w:r>
            <w:r w:rsidR="009C2D31">
              <w:rPr>
                <w:noProof/>
                <w:webHidden/>
              </w:rPr>
              <w:tab/>
            </w:r>
            <w:r w:rsidR="009C2D31">
              <w:rPr>
                <w:noProof/>
                <w:webHidden/>
              </w:rPr>
              <w:fldChar w:fldCharType="begin"/>
            </w:r>
            <w:r w:rsidR="009C2D31">
              <w:rPr>
                <w:noProof/>
                <w:webHidden/>
              </w:rPr>
              <w:instrText xml:space="preserve"> PAGEREF _Toc237485172 \h </w:instrText>
            </w:r>
            <w:r w:rsidR="009C2D31">
              <w:rPr>
                <w:noProof/>
                <w:webHidden/>
              </w:rPr>
            </w:r>
            <w:r w:rsidR="009C2D31">
              <w:rPr>
                <w:noProof/>
                <w:webHidden/>
              </w:rPr>
              <w:fldChar w:fldCharType="separate"/>
            </w:r>
            <w:r w:rsidR="009C2D31">
              <w:rPr>
                <w:noProof/>
                <w:webHidden/>
              </w:rPr>
              <w:t>22</w:t>
            </w:r>
            <w:r w:rsidR="009C2D31">
              <w:rPr>
                <w:noProof/>
                <w:webHidden/>
              </w:rPr>
              <w:fldChar w:fldCharType="end"/>
            </w:r>
          </w:hyperlink>
        </w:p>
        <w:p w14:paraId="46ADFB9F" w14:textId="46D7605A" w:rsidR="009C2D31" w:rsidRDefault="00000000">
          <w:pPr>
            <w:pStyle w:val="TOC2"/>
            <w:rPr>
              <w:rFonts w:asciiTheme="minorHAnsi" w:hAnsiTheme="minorHAnsi"/>
              <w:noProof/>
              <w:sz w:val="24"/>
              <w:szCs w:val="24"/>
              <w:lang w:val="en-US"/>
            </w:rPr>
          </w:pPr>
          <w:hyperlink w:anchor="_Toc237485173" w:history="1">
            <w:r w:rsidR="009C2D31" w:rsidRPr="00E32090">
              <w:rPr>
                <w:rStyle w:val="Hyperlink"/>
                <w:noProof/>
              </w:rPr>
              <w:t>2.10 Theoretical and Conceptual Framework</w:t>
            </w:r>
            <w:r w:rsidR="009C2D31">
              <w:rPr>
                <w:noProof/>
                <w:webHidden/>
              </w:rPr>
              <w:tab/>
            </w:r>
            <w:r w:rsidR="009C2D31">
              <w:rPr>
                <w:noProof/>
                <w:webHidden/>
              </w:rPr>
              <w:fldChar w:fldCharType="begin"/>
            </w:r>
            <w:r w:rsidR="009C2D31">
              <w:rPr>
                <w:noProof/>
                <w:webHidden/>
              </w:rPr>
              <w:instrText xml:space="preserve"> PAGEREF _Toc237485173 \h </w:instrText>
            </w:r>
            <w:r w:rsidR="009C2D31">
              <w:rPr>
                <w:noProof/>
                <w:webHidden/>
              </w:rPr>
            </w:r>
            <w:r w:rsidR="009C2D31">
              <w:rPr>
                <w:noProof/>
                <w:webHidden/>
              </w:rPr>
              <w:fldChar w:fldCharType="separate"/>
            </w:r>
            <w:r w:rsidR="009C2D31">
              <w:rPr>
                <w:noProof/>
                <w:webHidden/>
              </w:rPr>
              <w:t>23</w:t>
            </w:r>
            <w:r w:rsidR="009C2D31">
              <w:rPr>
                <w:noProof/>
                <w:webHidden/>
              </w:rPr>
              <w:fldChar w:fldCharType="end"/>
            </w:r>
          </w:hyperlink>
        </w:p>
        <w:p w14:paraId="1B9AD6FC" w14:textId="40CD2526" w:rsidR="009C2D31" w:rsidRDefault="00000000">
          <w:pPr>
            <w:pStyle w:val="TOC2"/>
            <w:rPr>
              <w:rFonts w:asciiTheme="minorHAnsi" w:hAnsiTheme="minorHAnsi"/>
              <w:noProof/>
              <w:sz w:val="24"/>
              <w:szCs w:val="24"/>
              <w:lang w:val="en-US"/>
            </w:rPr>
          </w:pPr>
          <w:hyperlink w:anchor="_Toc237485174" w:history="1">
            <w:r w:rsidR="009C2D31" w:rsidRPr="00E32090">
              <w:rPr>
                <w:rStyle w:val="Hyperlink"/>
                <w:noProof/>
              </w:rPr>
              <w:t>2.11 Evidence Gap</w:t>
            </w:r>
            <w:r w:rsidR="009C2D31">
              <w:rPr>
                <w:noProof/>
                <w:webHidden/>
              </w:rPr>
              <w:tab/>
            </w:r>
            <w:r w:rsidR="009C2D31">
              <w:rPr>
                <w:noProof/>
                <w:webHidden/>
              </w:rPr>
              <w:fldChar w:fldCharType="begin"/>
            </w:r>
            <w:r w:rsidR="009C2D31">
              <w:rPr>
                <w:noProof/>
                <w:webHidden/>
              </w:rPr>
              <w:instrText xml:space="preserve"> PAGEREF _Toc237485174 \h </w:instrText>
            </w:r>
            <w:r w:rsidR="009C2D31">
              <w:rPr>
                <w:noProof/>
                <w:webHidden/>
              </w:rPr>
            </w:r>
            <w:r w:rsidR="009C2D31">
              <w:rPr>
                <w:noProof/>
                <w:webHidden/>
              </w:rPr>
              <w:fldChar w:fldCharType="separate"/>
            </w:r>
            <w:r w:rsidR="009C2D31">
              <w:rPr>
                <w:noProof/>
                <w:webHidden/>
              </w:rPr>
              <w:t>24</w:t>
            </w:r>
            <w:r w:rsidR="009C2D31">
              <w:rPr>
                <w:noProof/>
                <w:webHidden/>
              </w:rPr>
              <w:fldChar w:fldCharType="end"/>
            </w:r>
          </w:hyperlink>
        </w:p>
        <w:p w14:paraId="1E363B52" w14:textId="52F5FEE5" w:rsidR="009C2D31" w:rsidRDefault="00000000">
          <w:pPr>
            <w:pStyle w:val="TOC2"/>
            <w:rPr>
              <w:rFonts w:asciiTheme="minorHAnsi" w:hAnsiTheme="minorHAnsi"/>
              <w:noProof/>
              <w:sz w:val="24"/>
              <w:szCs w:val="24"/>
              <w:lang w:val="en-US"/>
            </w:rPr>
          </w:pPr>
          <w:hyperlink w:anchor="_Toc237485175" w:history="1">
            <w:r w:rsidR="009C2D31" w:rsidRPr="00E32090">
              <w:rPr>
                <w:rStyle w:val="Hyperlink"/>
                <w:noProof/>
              </w:rPr>
              <w:t>2.12 Chapter Summary</w:t>
            </w:r>
            <w:r w:rsidR="009C2D31">
              <w:rPr>
                <w:noProof/>
                <w:webHidden/>
              </w:rPr>
              <w:tab/>
            </w:r>
            <w:r w:rsidR="009C2D31">
              <w:rPr>
                <w:noProof/>
                <w:webHidden/>
              </w:rPr>
              <w:fldChar w:fldCharType="begin"/>
            </w:r>
            <w:r w:rsidR="009C2D31">
              <w:rPr>
                <w:noProof/>
                <w:webHidden/>
              </w:rPr>
              <w:instrText xml:space="preserve"> PAGEREF _Toc237485175 \h </w:instrText>
            </w:r>
            <w:r w:rsidR="009C2D31">
              <w:rPr>
                <w:noProof/>
                <w:webHidden/>
              </w:rPr>
            </w:r>
            <w:r w:rsidR="009C2D31">
              <w:rPr>
                <w:noProof/>
                <w:webHidden/>
              </w:rPr>
              <w:fldChar w:fldCharType="separate"/>
            </w:r>
            <w:r w:rsidR="009C2D31">
              <w:rPr>
                <w:noProof/>
                <w:webHidden/>
              </w:rPr>
              <w:t>25</w:t>
            </w:r>
            <w:r w:rsidR="009C2D31">
              <w:rPr>
                <w:noProof/>
                <w:webHidden/>
              </w:rPr>
              <w:fldChar w:fldCharType="end"/>
            </w:r>
          </w:hyperlink>
        </w:p>
        <w:p w14:paraId="218E6DFE" w14:textId="257B6876" w:rsidR="009C2D31" w:rsidRDefault="00000000">
          <w:pPr>
            <w:pStyle w:val="TOC1"/>
            <w:tabs>
              <w:tab w:val="right" w:leader="dot" w:pos="9016"/>
            </w:tabs>
            <w:rPr>
              <w:rFonts w:asciiTheme="minorHAnsi" w:hAnsiTheme="minorHAnsi"/>
              <w:noProof/>
              <w:sz w:val="24"/>
              <w:szCs w:val="24"/>
              <w:lang w:val="en-US"/>
            </w:rPr>
          </w:pPr>
          <w:hyperlink w:anchor="_Toc237485176" w:history="1">
            <w:r w:rsidR="009C2D31" w:rsidRPr="00E32090">
              <w:rPr>
                <w:rStyle w:val="Hyperlink"/>
                <w:noProof/>
              </w:rPr>
              <w:t>Chapter 3: Research Methodology</w:t>
            </w:r>
            <w:r w:rsidR="009C2D31">
              <w:rPr>
                <w:noProof/>
                <w:webHidden/>
              </w:rPr>
              <w:tab/>
            </w:r>
            <w:r w:rsidR="009C2D31">
              <w:rPr>
                <w:noProof/>
                <w:webHidden/>
              </w:rPr>
              <w:fldChar w:fldCharType="begin"/>
            </w:r>
            <w:r w:rsidR="009C2D31">
              <w:rPr>
                <w:noProof/>
                <w:webHidden/>
              </w:rPr>
              <w:instrText xml:space="preserve"> PAGEREF _Toc237485176 \h </w:instrText>
            </w:r>
            <w:r w:rsidR="009C2D31">
              <w:rPr>
                <w:noProof/>
                <w:webHidden/>
              </w:rPr>
            </w:r>
            <w:r w:rsidR="009C2D31">
              <w:rPr>
                <w:noProof/>
                <w:webHidden/>
              </w:rPr>
              <w:fldChar w:fldCharType="separate"/>
            </w:r>
            <w:r w:rsidR="009C2D31">
              <w:rPr>
                <w:noProof/>
                <w:webHidden/>
              </w:rPr>
              <w:t>27</w:t>
            </w:r>
            <w:r w:rsidR="009C2D31">
              <w:rPr>
                <w:noProof/>
                <w:webHidden/>
              </w:rPr>
              <w:fldChar w:fldCharType="end"/>
            </w:r>
          </w:hyperlink>
        </w:p>
        <w:p w14:paraId="701E5B66" w14:textId="5755E46C" w:rsidR="009C2D31" w:rsidRDefault="00000000">
          <w:pPr>
            <w:pStyle w:val="TOC2"/>
            <w:rPr>
              <w:rFonts w:asciiTheme="minorHAnsi" w:hAnsiTheme="minorHAnsi"/>
              <w:noProof/>
              <w:sz w:val="24"/>
              <w:szCs w:val="24"/>
              <w:lang w:val="en-US"/>
            </w:rPr>
          </w:pPr>
          <w:hyperlink w:anchor="_Toc237485177" w:history="1">
            <w:r w:rsidR="009C2D31" w:rsidRPr="00E32090">
              <w:rPr>
                <w:rStyle w:val="Hyperlink"/>
                <w:noProof/>
              </w:rPr>
              <w:t>3.1 Introduction</w:t>
            </w:r>
            <w:r w:rsidR="009C2D31">
              <w:rPr>
                <w:noProof/>
                <w:webHidden/>
              </w:rPr>
              <w:tab/>
            </w:r>
            <w:r w:rsidR="009C2D31">
              <w:rPr>
                <w:noProof/>
                <w:webHidden/>
              </w:rPr>
              <w:fldChar w:fldCharType="begin"/>
            </w:r>
            <w:r w:rsidR="009C2D31">
              <w:rPr>
                <w:noProof/>
                <w:webHidden/>
              </w:rPr>
              <w:instrText xml:space="preserve"> PAGEREF _Toc237485177 \h </w:instrText>
            </w:r>
            <w:r w:rsidR="009C2D31">
              <w:rPr>
                <w:noProof/>
                <w:webHidden/>
              </w:rPr>
            </w:r>
            <w:r w:rsidR="009C2D31">
              <w:rPr>
                <w:noProof/>
                <w:webHidden/>
              </w:rPr>
              <w:fldChar w:fldCharType="separate"/>
            </w:r>
            <w:r w:rsidR="009C2D31">
              <w:rPr>
                <w:noProof/>
                <w:webHidden/>
              </w:rPr>
              <w:t>27</w:t>
            </w:r>
            <w:r w:rsidR="009C2D31">
              <w:rPr>
                <w:noProof/>
                <w:webHidden/>
              </w:rPr>
              <w:fldChar w:fldCharType="end"/>
            </w:r>
          </w:hyperlink>
        </w:p>
        <w:p w14:paraId="57A545C0" w14:textId="18FF8CF3" w:rsidR="009C2D31" w:rsidRDefault="00000000">
          <w:pPr>
            <w:pStyle w:val="TOC2"/>
            <w:rPr>
              <w:rFonts w:asciiTheme="minorHAnsi" w:hAnsiTheme="minorHAnsi"/>
              <w:noProof/>
              <w:sz w:val="24"/>
              <w:szCs w:val="24"/>
              <w:lang w:val="en-US"/>
            </w:rPr>
          </w:pPr>
          <w:hyperlink w:anchor="_Toc237485178" w:history="1">
            <w:r w:rsidR="009C2D31" w:rsidRPr="00E32090">
              <w:rPr>
                <w:rStyle w:val="Hyperlink"/>
                <w:noProof/>
              </w:rPr>
              <w:t>3.2 Research Philosophy</w:t>
            </w:r>
            <w:r w:rsidR="009C2D31">
              <w:rPr>
                <w:noProof/>
                <w:webHidden/>
              </w:rPr>
              <w:tab/>
            </w:r>
            <w:r w:rsidR="009C2D31">
              <w:rPr>
                <w:noProof/>
                <w:webHidden/>
              </w:rPr>
              <w:fldChar w:fldCharType="begin"/>
            </w:r>
            <w:r w:rsidR="009C2D31">
              <w:rPr>
                <w:noProof/>
                <w:webHidden/>
              </w:rPr>
              <w:instrText xml:space="preserve"> PAGEREF _Toc237485178 \h </w:instrText>
            </w:r>
            <w:r w:rsidR="009C2D31">
              <w:rPr>
                <w:noProof/>
                <w:webHidden/>
              </w:rPr>
            </w:r>
            <w:r w:rsidR="009C2D31">
              <w:rPr>
                <w:noProof/>
                <w:webHidden/>
              </w:rPr>
              <w:fldChar w:fldCharType="separate"/>
            </w:r>
            <w:r w:rsidR="009C2D31">
              <w:rPr>
                <w:noProof/>
                <w:webHidden/>
              </w:rPr>
              <w:t>27</w:t>
            </w:r>
            <w:r w:rsidR="009C2D31">
              <w:rPr>
                <w:noProof/>
                <w:webHidden/>
              </w:rPr>
              <w:fldChar w:fldCharType="end"/>
            </w:r>
          </w:hyperlink>
        </w:p>
        <w:p w14:paraId="7A71AD97" w14:textId="5B12A710" w:rsidR="009C2D31" w:rsidRDefault="00000000">
          <w:pPr>
            <w:pStyle w:val="TOC2"/>
            <w:rPr>
              <w:rFonts w:asciiTheme="minorHAnsi" w:hAnsiTheme="minorHAnsi"/>
              <w:noProof/>
              <w:sz w:val="24"/>
              <w:szCs w:val="24"/>
              <w:lang w:val="en-US"/>
            </w:rPr>
          </w:pPr>
          <w:hyperlink w:anchor="_Toc237485179" w:history="1">
            <w:r w:rsidR="009C2D31" w:rsidRPr="00E32090">
              <w:rPr>
                <w:rStyle w:val="Hyperlink"/>
                <w:noProof/>
              </w:rPr>
              <w:t>3.3 Research Approach and Reasoning</w:t>
            </w:r>
            <w:r w:rsidR="009C2D31">
              <w:rPr>
                <w:noProof/>
                <w:webHidden/>
              </w:rPr>
              <w:tab/>
            </w:r>
            <w:r w:rsidR="009C2D31">
              <w:rPr>
                <w:noProof/>
                <w:webHidden/>
              </w:rPr>
              <w:fldChar w:fldCharType="begin"/>
            </w:r>
            <w:r w:rsidR="009C2D31">
              <w:rPr>
                <w:noProof/>
                <w:webHidden/>
              </w:rPr>
              <w:instrText xml:space="preserve"> PAGEREF _Toc237485179 \h </w:instrText>
            </w:r>
            <w:r w:rsidR="009C2D31">
              <w:rPr>
                <w:noProof/>
                <w:webHidden/>
              </w:rPr>
            </w:r>
            <w:r w:rsidR="009C2D31">
              <w:rPr>
                <w:noProof/>
                <w:webHidden/>
              </w:rPr>
              <w:fldChar w:fldCharType="separate"/>
            </w:r>
            <w:r w:rsidR="009C2D31">
              <w:rPr>
                <w:noProof/>
                <w:webHidden/>
              </w:rPr>
              <w:t>28</w:t>
            </w:r>
            <w:r w:rsidR="009C2D31">
              <w:rPr>
                <w:noProof/>
                <w:webHidden/>
              </w:rPr>
              <w:fldChar w:fldCharType="end"/>
            </w:r>
          </w:hyperlink>
        </w:p>
        <w:p w14:paraId="761D67B3" w14:textId="722B5750" w:rsidR="009C2D31" w:rsidRDefault="00000000">
          <w:pPr>
            <w:pStyle w:val="TOC2"/>
            <w:rPr>
              <w:rFonts w:asciiTheme="minorHAnsi" w:hAnsiTheme="minorHAnsi"/>
              <w:noProof/>
              <w:sz w:val="24"/>
              <w:szCs w:val="24"/>
              <w:lang w:val="en-US"/>
            </w:rPr>
          </w:pPr>
          <w:hyperlink w:anchor="_Toc237485180" w:history="1">
            <w:r w:rsidR="009C2D31" w:rsidRPr="00E32090">
              <w:rPr>
                <w:rStyle w:val="Hyperlink"/>
                <w:noProof/>
              </w:rPr>
              <w:t>3.4 Study Design and Review Type</w:t>
            </w:r>
            <w:r w:rsidR="009C2D31">
              <w:rPr>
                <w:noProof/>
                <w:webHidden/>
              </w:rPr>
              <w:tab/>
            </w:r>
            <w:r w:rsidR="009C2D31">
              <w:rPr>
                <w:noProof/>
                <w:webHidden/>
              </w:rPr>
              <w:fldChar w:fldCharType="begin"/>
            </w:r>
            <w:r w:rsidR="009C2D31">
              <w:rPr>
                <w:noProof/>
                <w:webHidden/>
              </w:rPr>
              <w:instrText xml:space="preserve"> PAGEREF _Toc237485180 \h </w:instrText>
            </w:r>
            <w:r w:rsidR="009C2D31">
              <w:rPr>
                <w:noProof/>
                <w:webHidden/>
              </w:rPr>
            </w:r>
            <w:r w:rsidR="009C2D31">
              <w:rPr>
                <w:noProof/>
                <w:webHidden/>
              </w:rPr>
              <w:fldChar w:fldCharType="separate"/>
            </w:r>
            <w:r w:rsidR="009C2D31">
              <w:rPr>
                <w:noProof/>
                <w:webHidden/>
              </w:rPr>
              <w:t>28</w:t>
            </w:r>
            <w:r w:rsidR="009C2D31">
              <w:rPr>
                <w:noProof/>
                <w:webHidden/>
              </w:rPr>
              <w:fldChar w:fldCharType="end"/>
            </w:r>
          </w:hyperlink>
        </w:p>
        <w:p w14:paraId="612022F4" w14:textId="15289C39" w:rsidR="009C2D31" w:rsidRDefault="00000000">
          <w:pPr>
            <w:pStyle w:val="TOC2"/>
            <w:rPr>
              <w:rFonts w:asciiTheme="minorHAnsi" w:hAnsiTheme="minorHAnsi"/>
              <w:noProof/>
              <w:sz w:val="24"/>
              <w:szCs w:val="24"/>
              <w:lang w:val="en-US"/>
            </w:rPr>
          </w:pPr>
          <w:hyperlink w:anchor="_Toc237485181" w:history="1">
            <w:r w:rsidR="009C2D31" w:rsidRPr="00E32090">
              <w:rPr>
                <w:rStyle w:val="Hyperlink"/>
                <w:noProof/>
              </w:rPr>
              <w:t>3.5 Review Question and PICO Framework</w:t>
            </w:r>
            <w:r w:rsidR="009C2D31">
              <w:rPr>
                <w:noProof/>
                <w:webHidden/>
              </w:rPr>
              <w:tab/>
            </w:r>
            <w:r w:rsidR="009C2D31">
              <w:rPr>
                <w:noProof/>
                <w:webHidden/>
              </w:rPr>
              <w:fldChar w:fldCharType="begin"/>
            </w:r>
            <w:r w:rsidR="009C2D31">
              <w:rPr>
                <w:noProof/>
                <w:webHidden/>
              </w:rPr>
              <w:instrText xml:space="preserve"> PAGEREF _Toc237485181 \h </w:instrText>
            </w:r>
            <w:r w:rsidR="009C2D31">
              <w:rPr>
                <w:noProof/>
                <w:webHidden/>
              </w:rPr>
            </w:r>
            <w:r w:rsidR="009C2D31">
              <w:rPr>
                <w:noProof/>
                <w:webHidden/>
              </w:rPr>
              <w:fldChar w:fldCharType="separate"/>
            </w:r>
            <w:r w:rsidR="009C2D31">
              <w:rPr>
                <w:noProof/>
                <w:webHidden/>
              </w:rPr>
              <w:t>29</w:t>
            </w:r>
            <w:r w:rsidR="009C2D31">
              <w:rPr>
                <w:noProof/>
                <w:webHidden/>
              </w:rPr>
              <w:fldChar w:fldCharType="end"/>
            </w:r>
          </w:hyperlink>
        </w:p>
        <w:p w14:paraId="28E9DE42" w14:textId="3C67877F" w:rsidR="009C2D31" w:rsidRDefault="00000000">
          <w:pPr>
            <w:pStyle w:val="TOC2"/>
            <w:rPr>
              <w:rFonts w:asciiTheme="minorHAnsi" w:hAnsiTheme="minorHAnsi"/>
              <w:noProof/>
              <w:sz w:val="24"/>
              <w:szCs w:val="24"/>
              <w:lang w:val="en-US"/>
            </w:rPr>
          </w:pPr>
          <w:hyperlink w:anchor="_Toc237485182" w:history="1">
            <w:r w:rsidR="009C2D31" w:rsidRPr="00E32090">
              <w:rPr>
                <w:rStyle w:val="Hyperlink"/>
                <w:noProof/>
              </w:rPr>
              <w:t>3.6 Information Sources and Search Strategy</w:t>
            </w:r>
            <w:r w:rsidR="009C2D31">
              <w:rPr>
                <w:noProof/>
                <w:webHidden/>
              </w:rPr>
              <w:tab/>
            </w:r>
            <w:r w:rsidR="009C2D31">
              <w:rPr>
                <w:noProof/>
                <w:webHidden/>
              </w:rPr>
              <w:fldChar w:fldCharType="begin"/>
            </w:r>
            <w:r w:rsidR="009C2D31">
              <w:rPr>
                <w:noProof/>
                <w:webHidden/>
              </w:rPr>
              <w:instrText xml:space="preserve"> PAGEREF _Toc237485182 \h </w:instrText>
            </w:r>
            <w:r w:rsidR="009C2D31">
              <w:rPr>
                <w:noProof/>
                <w:webHidden/>
              </w:rPr>
            </w:r>
            <w:r w:rsidR="009C2D31">
              <w:rPr>
                <w:noProof/>
                <w:webHidden/>
              </w:rPr>
              <w:fldChar w:fldCharType="separate"/>
            </w:r>
            <w:r w:rsidR="009C2D31">
              <w:rPr>
                <w:noProof/>
                <w:webHidden/>
              </w:rPr>
              <w:t>30</w:t>
            </w:r>
            <w:r w:rsidR="009C2D31">
              <w:rPr>
                <w:noProof/>
                <w:webHidden/>
              </w:rPr>
              <w:fldChar w:fldCharType="end"/>
            </w:r>
          </w:hyperlink>
        </w:p>
        <w:p w14:paraId="2F0047DE" w14:textId="54561DC9" w:rsidR="009C2D31" w:rsidRDefault="00000000">
          <w:pPr>
            <w:pStyle w:val="TOC2"/>
            <w:rPr>
              <w:rFonts w:asciiTheme="minorHAnsi" w:hAnsiTheme="minorHAnsi"/>
              <w:noProof/>
              <w:sz w:val="24"/>
              <w:szCs w:val="24"/>
              <w:lang w:val="en-US"/>
            </w:rPr>
          </w:pPr>
          <w:hyperlink w:anchor="_Toc237485183" w:history="1">
            <w:r w:rsidR="009C2D31" w:rsidRPr="00E32090">
              <w:rPr>
                <w:rStyle w:val="Hyperlink"/>
                <w:noProof/>
              </w:rPr>
              <w:t>3.7 Eligibility Criteria</w:t>
            </w:r>
            <w:r w:rsidR="009C2D31">
              <w:rPr>
                <w:noProof/>
                <w:webHidden/>
              </w:rPr>
              <w:tab/>
            </w:r>
            <w:r w:rsidR="009C2D31">
              <w:rPr>
                <w:noProof/>
                <w:webHidden/>
              </w:rPr>
              <w:fldChar w:fldCharType="begin"/>
            </w:r>
            <w:r w:rsidR="009C2D31">
              <w:rPr>
                <w:noProof/>
                <w:webHidden/>
              </w:rPr>
              <w:instrText xml:space="preserve"> PAGEREF _Toc237485183 \h </w:instrText>
            </w:r>
            <w:r w:rsidR="009C2D31">
              <w:rPr>
                <w:noProof/>
                <w:webHidden/>
              </w:rPr>
            </w:r>
            <w:r w:rsidR="009C2D31">
              <w:rPr>
                <w:noProof/>
                <w:webHidden/>
              </w:rPr>
              <w:fldChar w:fldCharType="separate"/>
            </w:r>
            <w:r w:rsidR="009C2D31">
              <w:rPr>
                <w:noProof/>
                <w:webHidden/>
              </w:rPr>
              <w:t>32</w:t>
            </w:r>
            <w:r w:rsidR="009C2D31">
              <w:rPr>
                <w:noProof/>
                <w:webHidden/>
              </w:rPr>
              <w:fldChar w:fldCharType="end"/>
            </w:r>
          </w:hyperlink>
        </w:p>
        <w:p w14:paraId="38D1EAD6" w14:textId="35D8F21F" w:rsidR="009C2D31" w:rsidRDefault="00000000">
          <w:pPr>
            <w:pStyle w:val="TOC2"/>
            <w:rPr>
              <w:rFonts w:asciiTheme="minorHAnsi" w:hAnsiTheme="minorHAnsi"/>
              <w:noProof/>
              <w:sz w:val="24"/>
              <w:szCs w:val="24"/>
              <w:lang w:val="en-US"/>
            </w:rPr>
          </w:pPr>
          <w:hyperlink w:anchor="_Toc237485184" w:history="1">
            <w:r w:rsidR="009C2D31" w:rsidRPr="00E32090">
              <w:rPr>
                <w:rStyle w:val="Hyperlink"/>
                <w:noProof/>
              </w:rPr>
              <w:t>3.8 Study Selection and PRISMA Calculation</w:t>
            </w:r>
            <w:r w:rsidR="009C2D31">
              <w:rPr>
                <w:noProof/>
                <w:webHidden/>
              </w:rPr>
              <w:tab/>
            </w:r>
            <w:r w:rsidR="009C2D31">
              <w:rPr>
                <w:noProof/>
                <w:webHidden/>
              </w:rPr>
              <w:fldChar w:fldCharType="begin"/>
            </w:r>
            <w:r w:rsidR="009C2D31">
              <w:rPr>
                <w:noProof/>
                <w:webHidden/>
              </w:rPr>
              <w:instrText xml:space="preserve"> PAGEREF _Toc237485184 \h </w:instrText>
            </w:r>
            <w:r w:rsidR="009C2D31">
              <w:rPr>
                <w:noProof/>
                <w:webHidden/>
              </w:rPr>
            </w:r>
            <w:r w:rsidR="009C2D31">
              <w:rPr>
                <w:noProof/>
                <w:webHidden/>
              </w:rPr>
              <w:fldChar w:fldCharType="separate"/>
            </w:r>
            <w:r w:rsidR="009C2D31">
              <w:rPr>
                <w:noProof/>
                <w:webHidden/>
              </w:rPr>
              <w:t>33</w:t>
            </w:r>
            <w:r w:rsidR="009C2D31">
              <w:rPr>
                <w:noProof/>
                <w:webHidden/>
              </w:rPr>
              <w:fldChar w:fldCharType="end"/>
            </w:r>
          </w:hyperlink>
        </w:p>
        <w:p w14:paraId="682AEFC1" w14:textId="3EA600D1" w:rsidR="009C2D31" w:rsidRDefault="00000000">
          <w:pPr>
            <w:pStyle w:val="TOC2"/>
            <w:rPr>
              <w:rFonts w:asciiTheme="minorHAnsi" w:hAnsiTheme="minorHAnsi"/>
              <w:noProof/>
              <w:sz w:val="24"/>
              <w:szCs w:val="24"/>
              <w:lang w:val="en-US"/>
            </w:rPr>
          </w:pPr>
          <w:hyperlink w:anchor="_Toc237485185" w:history="1">
            <w:r w:rsidR="009C2D31" w:rsidRPr="00E32090">
              <w:rPr>
                <w:rStyle w:val="Hyperlink"/>
                <w:noProof/>
              </w:rPr>
              <w:t>3.9 Quality Appraisal</w:t>
            </w:r>
            <w:r w:rsidR="009C2D31">
              <w:rPr>
                <w:noProof/>
                <w:webHidden/>
              </w:rPr>
              <w:tab/>
            </w:r>
            <w:r w:rsidR="009C2D31">
              <w:rPr>
                <w:noProof/>
                <w:webHidden/>
              </w:rPr>
              <w:fldChar w:fldCharType="begin"/>
            </w:r>
            <w:r w:rsidR="009C2D31">
              <w:rPr>
                <w:noProof/>
                <w:webHidden/>
              </w:rPr>
              <w:instrText xml:space="preserve"> PAGEREF _Toc237485185 \h </w:instrText>
            </w:r>
            <w:r w:rsidR="009C2D31">
              <w:rPr>
                <w:noProof/>
                <w:webHidden/>
              </w:rPr>
            </w:r>
            <w:r w:rsidR="009C2D31">
              <w:rPr>
                <w:noProof/>
                <w:webHidden/>
              </w:rPr>
              <w:fldChar w:fldCharType="separate"/>
            </w:r>
            <w:r w:rsidR="009C2D31">
              <w:rPr>
                <w:noProof/>
                <w:webHidden/>
              </w:rPr>
              <w:t>36</w:t>
            </w:r>
            <w:r w:rsidR="009C2D31">
              <w:rPr>
                <w:noProof/>
                <w:webHidden/>
              </w:rPr>
              <w:fldChar w:fldCharType="end"/>
            </w:r>
          </w:hyperlink>
        </w:p>
        <w:p w14:paraId="523C9B0D" w14:textId="7538F75F" w:rsidR="009C2D31" w:rsidRDefault="00000000">
          <w:pPr>
            <w:pStyle w:val="TOC2"/>
            <w:rPr>
              <w:rFonts w:asciiTheme="minorHAnsi" w:hAnsiTheme="minorHAnsi"/>
              <w:noProof/>
              <w:sz w:val="24"/>
              <w:szCs w:val="24"/>
              <w:lang w:val="en-US"/>
            </w:rPr>
          </w:pPr>
          <w:hyperlink w:anchor="_Toc237485186" w:history="1">
            <w:r w:rsidR="009C2D31" w:rsidRPr="00E32090">
              <w:rPr>
                <w:rStyle w:val="Hyperlink"/>
                <w:noProof/>
              </w:rPr>
              <w:t>3.10 Data Extraction</w:t>
            </w:r>
            <w:r w:rsidR="009C2D31">
              <w:rPr>
                <w:noProof/>
                <w:webHidden/>
              </w:rPr>
              <w:tab/>
            </w:r>
            <w:r w:rsidR="009C2D31">
              <w:rPr>
                <w:noProof/>
                <w:webHidden/>
              </w:rPr>
              <w:fldChar w:fldCharType="begin"/>
            </w:r>
            <w:r w:rsidR="009C2D31">
              <w:rPr>
                <w:noProof/>
                <w:webHidden/>
              </w:rPr>
              <w:instrText xml:space="preserve"> PAGEREF _Toc237485186 \h </w:instrText>
            </w:r>
            <w:r w:rsidR="009C2D31">
              <w:rPr>
                <w:noProof/>
                <w:webHidden/>
              </w:rPr>
            </w:r>
            <w:r w:rsidR="009C2D31">
              <w:rPr>
                <w:noProof/>
                <w:webHidden/>
              </w:rPr>
              <w:fldChar w:fldCharType="separate"/>
            </w:r>
            <w:r w:rsidR="009C2D31">
              <w:rPr>
                <w:noProof/>
                <w:webHidden/>
              </w:rPr>
              <w:t>37</w:t>
            </w:r>
            <w:r w:rsidR="009C2D31">
              <w:rPr>
                <w:noProof/>
                <w:webHidden/>
              </w:rPr>
              <w:fldChar w:fldCharType="end"/>
            </w:r>
          </w:hyperlink>
        </w:p>
        <w:p w14:paraId="7A1516B0" w14:textId="09B912D2" w:rsidR="009C2D31" w:rsidRDefault="00000000">
          <w:pPr>
            <w:pStyle w:val="TOC2"/>
            <w:rPr>
              <w:rFonts w:asciiTheme="minorHAnsi" w:hAnsiTheme="minorHAnsi"/>
              <w:noProof/>
              <w:sz w:val="24"/>
              <w:szCs w:val="24"/>
              <w:lang w:val="en-US"/>
            </w:rPr>
          </w:pPr>
          <w:hyperlink w:anchor="_Toc237485187" w:history="1">
            <w:r w:rsidR="009C2D31" w:rsidRPr="00E32090">
              <w:rPr>
                <w:rStyle w:val="Hyperlink"/>
                <w:noProof/>
              </w:rPr>
              <w:t>3.11 Data Synthesis</w:t>
            </w:r>
            <w:r w:rsidR="009C2D31">
              <w:rPr>
                <w:noProof/>
                <w:webHidden/>
              </w:rPr>
              <w:tab/>
            </w:r>
            <w:r w:rsidR="009C2D31">
              <w:rPr>
                <w:noProof/>
                <w:webHidden/>
              </w:rPr>
              <w:fldChar w:fldCharType="begin"/>
            </w:r>
            <w:r w:rsidR="009C2D31">
              <w:rPr>
                <w:noProof/>
                <w:webHidden/>
              </w:rPr>
              <w:instrText xml:space="preserve"> PAGEREF _Toc237485187 \h </w:instrText>
            </w:r>
            <w:r w:rsidR="009C2D31">
              <w:rPr>
                <w:noProof/>
                <w:webHidden/>
              </w:rPr>
            </w:r>
            <w:r w:rsidR="009C2D31">
              <w:rPr>
                <w:noProof/>
                <w:webHidden/>
              </w:rPr>
              <w:fldChar w:fldCharType="separate"/>
            </w:r>
            <w:r w:rsidR="009C2D31">
              <w:rPr>
                <w:noProof/>
                <w:webHidden/>
              </w:rPr>
              <w:t>38</w:t>
            </w:r>
            <w:r w:rsidR="009C2D31">
              <w:rPr>
                <w:noProof/>
                <w:webHidden/>
              </w:rPr>
              <w:fldChar w:fldCharType="end"/>
            </w:r>
          </w:hyperlink>
        </w:p>
        <w:p w14:paraId="16145D65" w14:textId="0516080D" w:rsidR="009C2D31" w:rsidRDefault="00000000">
          <w:pPr>
            <w:pStyle w:val="TOC2"/>
            <w:rPr>
              <w:rFonts w:asciiTheme="minorHAnsi" w:hAnsiTheme="minorHAnsi"/>
              <w:noProof/>
              <w:sz w:val="24"/>
              <w:szCs w:val="24"/>
              <w:lang w:val="en-US"/>
            </w:rPr>
          </w:pPr>
          <w:hyperlink w:anchor="_Toc237485188" w:history="1">
            <w:r w:rsidR="009C2D31" w:rsidRPr="00E32090">
              <w:rPr>
                <w:rStyle w:val="Hyperlink"/>
                <w:noProof/>
              </w:rPr>
              <w:t>3.12 Ethical Considerations</w:t>
            </w:r>
            <w:r w:rsidR="009C2D31">
              <w:rPr>
                <w:noProof/>
                <w:webHidden/>
              </w:rPr>
              <w:tab/>
            </w:r>
            <w:r w:rsidR="009C2D31">
              <w:rPr>
                <w:noProof/>
                <w:webHidden/>
              </w:rPr>
              <w:fldChar w:fldCharType="begin"/>
            </w:r>
            <w:r w:rsidR="009C2D31">
              <w:rPr>
                <w:noProof/>
                <w:webHidden/>
              </w:rPr>
              <w:instrText xml:space="preserve"> PAGEREF _Toc237485188 \h </w:instrText>
            </w:r>
            <w:r w:rsidR="009C2D31">
              <w:rPr>
                <w:noProof/>
                <w:webHidden/>
              </w:rPr>
            </w:r>
            <w:r w:rsidR="009C2D31">
              <w:rPr>
                <w:noProof/>
                <w:webHidden/>
              </w:rPr>
              <w:fldChar w:fldCharType="separate"/>
            </w:r>
            <w:r w:rsidR="009C2D31">
              <w:rPr>
                <w:noProof/>
                <w:webHidden/>
              </w:rPr>
              <w:t>38</w:t>
            </w:r>
            <w:r w:rsidR="009C2D31">
              <w:rPr>
                <w:noProof/>
                <w:webHidden/>
              </w:rPr>
              <w:fldChar w:fldCharType="end"/>
            </w:r>
          </w:hyperlink>
        </w:p>
        <w:p w14:paraId="264F9E1F" w14:textId="41E40E47" w:rsidR="009C2D31" w:rsidRDefault="00000000">
          <w:pPr>
            <w:pStyle w:val="TOC2"/>
            <w:rPr>
              <w:rFonts w:asciiTheme="minorHAnsi" w:hAnsiTheme="minorHAnsi"/>
              <w:noProof/>
              <w:sz w:val="24"/>
              <w:szCs w:val="24"/>
              <w:lang w:val="en-US"/>
            </w:rPr>
          </w:pPr>
          <w:hyperlink w:anchor="_Toc237485189" w:history="1">
            <w:r w:rsidR="009C2D31" w:rsidRPr="00E32090">
              <w:rPr>
                <w:rStyle w:val="Hyperlink"/>
                <w:noProof/>
              </w:rPr>
              <w:t>3.13 Data Management</w:t>
            </w:r>
            <w:r w:rsidR="009C2D31">
              <w:rPr>
                <w:noProof/>
                <w:webHidden/>
              </w:rPr>
              <w:tab/>
            </w:r>
            <w:r w:rsidR="009C2D31">
              <w:rPr>
                <w:noProof/>
                <w:webHidden/>
              </w:rPr>
              <w:fldChar w:fldCharType="begin"/>
            </w:r>
            <w:r w:rsidR="009C2D31">
              <w:rPr>
                <w:noProof/>
                <w:webHidden/>
              </w:rPr>
              <w:instrText xml:space="preserve"> PAGEREF _Toc237485189 \h </w:instrText>
            </w:r>
            <w:r w:rsidR="009C2D31">
              <w:rPr>
                <w:noProof/>
                <w:webHidden/>
              </w:rPr>
            </w:r>
            <w:r w:rsidR="009C2D31">
              <w:rPr>
                <w:noProof/>
                <w:webHidden/>
              </w:rPr>
              <w:fldChar w:fldCharType="separate"/>
            </w:r>
            <w:r w:rsidR="009C2D31">
              <w:rPr>
                <w:noProof/>
                <w:webHidden/>
              </w:rPr>
              <w:t>39</w:t>
            </w:r>
            <w:r w:rsidR="009C2D31">
              <w:rPr>
                <w:noProof/>
                <w:webHidden/>
              </w:rPr>
              <w:fldChar w:fldCharType="end"/>
            </w:r>
          </w:hyperlink>
        </w:p>
        <w:p w14:paraId="5771C81A" w14:textId="6147F9D0" w:rsidR="009C2D31" w:rsidRDefault="00000000">
          <w:pPr>
            <w:pStyle w:val="TOC2"/>
            <w:rPr>
              <w:rFonts w:asciiTheme="minorHAnsi" w:hAnsiTheme="minorHAnsi"/>
              <w:noProof/>
              <w:sz w:val="24"/>
              <w:szCs w:val="24"/>
              <w:lang w:val="en-US"/>
            </w:rPr>
          </w:pPr>
          <w:hyperlink w:anchor="_Toc237485190" w:history="1">
            <w:r w:rsidR="009C2D31" w:rsidRPr="00E32090">
              <w:rPr>
                <w:rStyle w:val="Hyperlink"/>
                <w:noProof/>
              </w:rPr>
              <w:t>3.14 Methodological Limitations</w:t>
            </w:r>
            <w:r w:rsidR="009C2D31">
              <w:rPr>
                <w:noProof/>
                <w:webHidden/>
              </w:rPr>
              <w:tab/>
            </w:r>
            <w:r w:rsidR="009C2D31">
              <w:rPr>
                <w:noProof/>
                <w:webHidden/>
              </w:rPr>
              <w:fldChar w:fldCharType="begin"/>
            </w:r>
            <w:r w:rsidR="009C2D31">
              <w:rPr>
                <w:noProof/>
                <w:webHidden/>
              </w:rPr>
              <w:instrText xml:space="preserve"> PAGEREF _Toc237485190 \h </w:instrText>
            </w:r>
            <w:r w:rsidR="009C2D31">
              <w:rPr>
                <w:noProof/>
                <w:webHidden/>
              </w:rPr>
            </w:r>
            <w:r w:rsidR="009C2D31">
              <w:rPr>
                <w:noProof/>
                <w:webHidden/>
              </w:rPr>
              <w:fldChar w:fldCharType="separate"/>
            </w:r>
            <w:r w:rsidR="009C2D31">
              <w:rPr>
                <w:noProof/>
                <w:webHidden/>
              </w:rPr>
              <w:t>39</w:t>
            </w:r>
            <w:r w:rsidR="009C2D31">
              <w:rPr>
                <w:noProof/>
                <w:webHidden/>
              </w:rPr>
              <w:fldChar w:fldCharType="end"/>
            </w:r>
          </w:hyperlink>
        </w:p>
        <w:p w14:paraId="43167A2B" w14:textId="07711B5C" w:rsidR="009C2D31" w:rsidRDefault="00000000">
          <w:pPr>
            <w:pStyle w:val="TOC2"/>
            <w:rPr>
              <w:rFonts w:asciiTheme="minorHAnsi" w:hAnsiTheme="minorHAnsi"/>
              <w:noProof/>
              <w:sz w:val="24"/>
              <w:szCs w:val="24"/>
              <w:lang w:val="en-US"/>
            </w:rPr>
          </w:pPr>
          <w:hyperlink w:anchor="_Toc237485191" w:history="1">
            <w:r w:rsidR="009C2D31" w:rsidRPr="00E32090">
              <w:rPr>
                <w:rStyle w:val="Hyperlink"/>
                <w:noProof/>
              </w:rPr>
              <w:t>3.15 Chapter Summary</w:t>
            </w:r>
            <w:r w:rsidR="009C2D31">
              <w:rPr>
                <w:noProof/>
                <w:webHidden/>
              </w:rPr>
              <w:tab/>
            </w:r>
            <w:r w:rsidR="009C2D31">
              <w:rPr>
                <w:noProof/>
                <w:webHidden/>
              </w:rPr>
              <w:fldChar w:fldCharType="begin"/>
            </w:r>
            <w:r w:rsidR="009C2D31">
              <w:rPr>
                <w:noProof/>
                <w:webHidden/>
              </w:rPr>
              <w:instrText xml:space="preserve"> PAGEREF _Toc237485191 \h </w:instrText>
            </w:r>
            <w:r w:rsidR="009C2D31">
              <w:rPr>
                <w:noProof/>
                <w:webHidden/>
              </w:rPr>
            </w:r>
            <w:r w:rsidR="009C2D31">
              <w:rPr>
                <w:noProof/>
                <w:webHidden/>
              </w:rPr>
              <w:fldChar w:fldCharType="separate"/>
            </w:r>
            <w:r w:rsidR="009C2D31">
              <w:rPr>
                <w:noProof/>
                <w:webHidden/>
              </w:rPr>
              <w:t>40</w:t>
            </w:r>
            <w:r w:rsidR="009C2D31">
              <w:rPr>
                <w:noProof/>
                <w:webHidden/>
              </w:rPr>
              <w:fldChar w:fldCharType="end"/>
            </w:r>
          </w:hyperlink>
        </w:p>
        <w:p w14:paraId="50598C9A" w14:textId="6F2CC062" w:rsidR="009C2D31" w:rsidRDefault="00000000">
          <w:pPr>
            <w:pStyle w:val="TOC1"/>
            <w:tabs>
              <w:tab w:val="right" w:leader="dot" w:pos="9016"/>
            </w:tabs>
            <w:rPr>
              <w:rFonts w:asciiTheme="minorHAnsi" w:hAnsiTheme="minorHAnsi"/>
              <w:noProof/>
              <w:sz w:val="24"/>
              <w:szCs w:val="24"/>
              <w:lang w:val="en-US"/>
            </w:rPr>
          </w:pPr>
          <w:hyperlink w:anchor="_Toc237485192" w:history="1">
            <w:r w:rsidR="009C2D31" w:rsidRPr="00E32090">
              <w:rPr>
                <w:rStyle w:val="Hyperlink"/>
                <w:rFonts w:cs="Arial"/>
                <w:noProof/>
              </w:rPr>
              <w:t>Chapter 4: Results</w:t>
            </w:r>
            <w:r w:rsidR="009C2D31">
              <w:rPr>
                <w:noProof/>
                <w:webHidden/>
              </w:rPr>
              <w:tab/>
            </w:r>
            <w:r w:rsidR="009C2D31">
              <w:rPr>
                <w:noProof/>
                <w:webHidden/>
              </w:rPr>
              <w:fldChar w:fldCharType="begin"/>
            </w:r>
            <w:r w:rsidR="009C2D31">
              <w:rPr>
                <w:noProof/>
                <w:webHidden/>
              </w:rPr>
              <w:instrText xml:space="preserve"> PAGEREF _Toc237485192 \h </w:instrText>
            </w:r>
            <w:r w:rsidR="009C2D31">
              <w:rPr>
                <w:noProof/>
                <w:webHidden/>
              </w:rPr>
            </w:r>
            <w:r w:rsidR="009C2D31">
              <w:rPr>
                <w:noProof/>
                <w:webHidden/>
              </w:rPr>
              <w:fldChar w:fldCharType="separate"/>
            </w:r>
            <w:r w:rsidR="009C2D31">
              <w:rPr>
                <w:noProof/>
                <w:webHidden/>
              </w:rPr>
              <w:t>41</w:t>
            </w:r>
            <w:r w:rsidR="009C2D31">
              <w:rPr>
                <w:noProof/>
                <w:webHidden/>
              </w:rPr>
              <w:fldChar w:fldCharType="end"/>
            </w:r>
          </w:hyperlink>
        </w:p>
        <w:p w14:paraId="1673C6A4" w14:textId="6CA56C0D" w:rsidR="009C2D31" w:rsidRDefault="00000000">
          <w:pPr>
            <w:pStyle w:val="TOC2"/>
            <w:rPr>
              <w:rFonts w:asciiTheme="minorHAnsi" w:hAnsiTheme="minorHAnsi"/>
              <w:noProof/>
              <w:sz w:val="24"/>
              <w:szCs w:val="24"/>
              <w:lang w:val="en-US"/>
            </w:rPr>
          </w:pPr>
          <w:hyperlink w:anchor="_Toc237485193" w:history="1">
            <w:r w:rsidR="009C2D31" w:rsidRPr="00E32090">
              <w:rPr>
                <w:rStyle w:val="Hyperlink"/>
                <w:noProof/>
              </w:rPr>
              <w:t>4.1 Introduction</w:t>
            </w:r>
            <w:r w:rsidR="009C2D31">
              <w:rPr>
                <w:noProof/>
                <w:webHidden/>
              </w:rPr>
              <w:tab/>
            </w:r>
            <w:r w:rsidR="009C2D31">
              <w:rPr>
                <w:noProof/>
                <w:webHidden/>
              </w:rPr>
              <w:fldChar w:fldCharType="begin"/>
            </w:r>
            <w:r w:rsidR="009C2D31">
              <w:rPr>
                <w:noProof/>
                <w:webHidden/>
              </w:rPr>
              <w:instrText xml:space="preserve"> PAGEREF _Toc237485193 \h </w:instrText>
            </w:r>
            <w:r w:rsidR="009C2D31">
              <w:rPr>
                <w:noProof/>
                <w:webHidden/>
              </w:rPr>
            </w:r>
            <w:r w:rsidR="009C2D31">
              <w:rPr>
                <w:noProof/>
                <w:webHidden/>
              </w:rPr>
              <w:fldChar w:fldCharType="separate"/>
            </w:r>
            <w:r w:rsidR="009C2D31">
              <w:rPr>
                <w:noProof/>
                <w:webHidden/>
              </w:rPr>
              <w:t>41</w:t>
            </w:r>
            <w:r w:rsidR="009C2D31">
              <w:rPr>
                <w:noProof/>
                <w:webHidden/>
              </w:rPr>
              <w:fldChar w:fldCharType="end"/>
            </w:r>
          </w:hyperlink>
        </w:p>
        <w:p w14:paraId="72983B1F" w14:textId="50493B98" w:rsidR="009C2D31" w:rsidRDefault="00000000">
          <w:pPr>
            <w:pStyle w:val="TOC2"/>
            <w:rPr>
              <w:rFonts w:asciiTheme="minorHAnsi" w:hAnsiTheme="minorHAnsi"/>
              <w:noProof/>
              <w:sz w:val="24"/>
              <w:szCs w:val="24"/>
              <w:lang w:val="en-US"/>
            </w:rPr>
          </w:pPr>
          <w:hyperlink w:anchor="_Toc237485194" w:history="1">
            <w:r w:rsidR="009C2D31" w:rsidRPr="00E32090">
              <w:rPr>
                <w:rStyle w:val="Hyperlink"/>
                <w:noProof/>
              </w:rPr>
              <w:t>4.2 Overview of Included Studies</w:t>
            </w:r>
            <w:r w:rsidR="009C2D31">
              <w:rPr>
                <w:noProof/>
                <w:webHidden/>
              </w:rPr>
              <w:tab/>
            </w:r>
            <w:r w:rsidR="009C2D31">
              <w:rPr>
                <w:noProof/>
                <w:webHidden/>
              </w:rPr>
              <w:fldChar w:fldCharType="begin"/>
            </w:r>
            <w:r w:rsidR="009C2D31">
              <w:rPr>
                <w:noProof/>
                <w:webHidden/>
              </w:rPr>
              <w:instrText xml:space="preserve"> PAGEREF _Toc237485194 \h </w:instrText>
            </w:r>
            <w:r w:rsidR="009C2D31">
              <w:rPr>
                <w:noProof/>
                <w:webHidden/>
              </w:rPr>
            </w:r>
            <w:r w:rsidR="009C2D31">
              <w:rPr>
                <w:noProof/>
                <w:webHidden/>
              </w:rPr>
              <w:fldChar w:fldCharType="separate"/>
            </w:r>
            <w:r w:rsidR="009C2D31">
              <w:rPr>
                <w:noProof/>
                <w:webHidden/>
              </w:rPr>
              <w:t>41</w:t>
            </w:r>
            <w:r w:rsidR="009C2D31">
              <w:rPr>
                <w:noProof/>
                <w:webHidden/>
              </w:rPr>
              <w:fldChar w:fldCharType="end"/>
            </w:r>
          </w:hyperlink>
        </w:p>
        <w:p w14:paraId="55210148" w14:textId="4C9F7386" w:rsidR="009C2D31" w:rsidRDefault="00000000">
          <w:pPr>
            <w:pStyle w:val="TOC2"/>
            <w:rPr>
              <w:rFonts w:asciiTheme="minorHAnsi" w:hAnsiTheme="minorHAnsi"/>
              <w:noProof/>
              <w:sz w:val="24"/>
              <w:szCs w:val="24"/>
              <w:lang w:val="en-US"/>
            </w:rPr>
          </w:pPr>
          <w:hyperlink w:anchor="_Toc237485195" w:history="1">
            <w:r w:rsidR="009C2D31" w:rsidRPr="00E32090">
              <w:rPr>
                <w:rStyle w:val="Hyperlink"/>
                <w:noProof/>
              </w:rPr>
              <w:t>4.3 Characteristics of Studies</w:t>
            </w:r>
            <w:r w:rsidR="009C2D31">
              <w:rPr>
                <w:noProof/>
                <w:webHidden/>
              </w:rPr>
              <w:tab/>
            </w:r>
            <w:r w:rsidR="009C2D31">
              <w:rPr>
                <w:noProof/>
                <w:webHidden/>
              </w:rPr>
              <w:fldChar w:fldCharType="begin"/>
            </w:r>
            <w:r w:rsidR="009C2D31">
              <w:rPr>
                <w:noProof/>
                <w:webHidden/>
              </w:rPr>
              <w:instrText xml:space="preserve"> PAGEREF _Toc237485195 \h </w:instrText>
            </w:r>
            <w:r w:rsidR="009C2D31">
              <w:rPr>
                <w:noProof/>
                <w:webHidden/>
              </w:rPr>
            </w:r>
            <w:r w:rsidR="009C2D31">
              <w:rPr>
                <w:noProof/>
                <w:webHidden/>
              </w:rPr>
              <w:fldChar w:fldCharType="separate"/>
            </w:r>
            <w:r w:rsidR="009C2D31">
              <w:rPr>
                <w:noProof/>
                <w:webHidden/>
              </w:rPr>
              <w:t>42</w:t>
            </w:r>
            <w:r w:rsidR="009C2D31">
              <w:rPr>
                <w:noProof/>
                <w:webHidden/>
              </w:rPr>
              <w:fldChar w:fldCharType="end"/>
            </w:r>
          </w:hyperlink>
        </w:p>
        <w:p w14:paraId="6E3B0C15" w14:textId="102505A2" w:rsidR="009C2D31" w:rsidRDefault="00000000">
          <w:pPr>
            <w:pStyle w:val="TOC2"/>
            <w:rPr>
              <w:rFonts w:asciiTheme="minorHAnsi" w:hAnsiTheme="minorHAnsi"/>
              <w:noProof/>
              <w:sz w:val="24"/>
              <w:szCs w:val="24"/>
              <w:lang w:val="en-US"/>
            </w:rPr>
          </w:pPr>
          <w:hyperlink w:anchor="_Toc237485196" w:history="1">
            <w:r w:rsidR="009C2D31" w:rsidRPr="00E32090">
              <w:rPr>
                <w:rStyle w:val="Hyperlink"/>
                <w:noProof/>
              </w:rPr>
              <w:t>4.4 Data Extraction/Synthesis</w:t>
            </w:r>
            <w:r w:rsidR="009C2D31">
              <w:rPr>
                <w:noProof/>
                <w:webHidden/>
              </w:rPr>
              <w:tab/>
            </w:r>
            <w:r w:rsidR="009C2D31">
              <w:rPr>
                <w:noProof/>
                <w:webHidden/>
              </w:rPr>
              <w:fldChar w:fldCharType="begin"/>
            </w:r>
            <w:r w:rsidR="009C2D31">
              <w:rPr>
                <w:noProof/>
                <w:webHidden/>
              </w:rPr>
              <w:instrText xml:space="preserve"> PAGEREF _Toc237485196 \h </w:instrText>
            </w:r>
            <w:r w:rsidR="009C2D31">
              <w:rPr>
                <w:noProof/>
                <w:webHidden/>
              </w:rPr>
            </w:r>
            <w:r w:rsidR="009C2D31">
              <w:rPr>
                <w:noProof/>
                <w:webHidden/>
              </w:rPr>
              <w:fldChar w:fldCharType="separate"/>
            </w:r>
            <w:r w:rsidR="009C2D31">
              <w:rPr>
                <w:noProof/>
                <w:webHidden/>
              </w:rPr>
              <w:t>46</w:t>
            </w:r>
            <w:r w:rsidR="009C2D31">
              <w:rPr>
                <w:noProof/>
                <w:webHidden/>
              </w:rPr>
              <w:fldChar w:fldCharType="end"/>
            </w:r>
          </w:hyperlink>
        </w:p>
        <w:p w14:paraId="6A4B752B" w14:textId="7C37E469" w:rsidR="009C2D31" w:rsidRDefault="00000000">
          <w:pPr>
            <w:pStyle w:val="TOC3"/>
            <w:tabs>
              <w:tab w:val="right" w:leader="dot" w:pos="9016"/>
            </w:tabs>
            <w:rPr>
              <w:rFonts w:asciiTheme="minorHAnsi" w:hAnsiTheme="minorHAnsi"/>
              <w:noProof/>
              <w:sz w:val="24"/>
              <w:szCs w:val="24"/>
              <w:lang w:val="en-US"/>
            </w:rPr>
          </w:pPr>
          <w:hyperlink w:anchor="_Toc237485197" w:history="1">
            <w:r w:rsidR="009C2D31" w:rsidRPr="00E32090">
              <w:rPr>
                <w:rStyle w:val="Hyperlink"/>
                <w:noProof/>
              </w:rPr>
              <w:t>Theme 1: Community-Based Approaches to Hypertension Identification and Management</w:t>
            </w:r>
            <w:r w:rsidR="009C2D31">
              <w:rPr>
                <w:noProof/>
                <w:webHidden/>
              </w:rPr>
              <w:tab/>
            </w:r>
            <w:r w:rsidR="009C2D31">
              <w:rPr>
                <w:noProof/>
                <w:webHidden/>
              </w:rPr>
              <w:fldChar w:fldCharType="begin"/>
            </w:r>
            <w:r w:rsidR="009C2D31">
              <w:rPr>
                <w:noProof/>
                <w:webHidden/>
              </w:rPr>
              <w:instrText xml:space="preserve"> PAGEREF _Toc237485197 \h </w:instrText>
            </w:r>
            <w:r w:rsidR="009C2D31">
              <w:rPr>
                <w:noProof/>
                <w:webHidden/>
              </w:rPr>
            </w:r>
            <w:r w:rsidR="009C2D31">
              <w:rPr>
                <w:noProof/>
                <w:webHidden/>
              </w:rPr>
              <w:fldChar w:fldCharType="separate"/>
            </w:r>
            <w:r w:rsidR="009C2D31">
              <w:rPr>
                <w:noProof/>
                <w:webHidden/>
              </w:rPr>
              <w:t>47</w:t>
            </w:r>
            <w:r w:rsidR="009C2D31">
              <w:rPr>
                <w:noProof/>
                <w:webHidden/>
              </w:rPr>
              <w:fldChar w:fldCharType="end"/>
            </w:r>
          </w:hyperlink>
        </w:p>
        <w:p w14:paraId="6BDAD00E" w14:textId="4C50336B" w:rsidR="009C2D31" w:rsidRDefault="00000000">
          <w:pPr>
            <w:pStyle w:val="TOC3"/>
            <w:tabs>
              <w:tab w:val="right" w:leader="dot" w:pos="9016"/>
            </w:tabs>
            <w:rPr>
              <w:rFonts w:asciiTheme="minorHAnsi" w:hAnsiTheme="minorHAnsi"/>
              <w:noProof/>
              <w:sz w:val="24"/>
              <w:szCs w:val="24"/>
              <w:lang w:val="en-US"/>
            </w:rPr>
          </w:pPr>
          <w:hyperlink w:anchor="_Toc237485198" w:history="1">
            <w:r w:rsidR="009C2D31" w:rsidRPr="00E32090">
              <w:rPr>
                <w:rStyle w:val="Hyperlink"/>
                <w:noProof/>
              </w:rPr>
              <w:t>Theme 2: Effects on Awareness, Screening, Referral, Adherence, Monitoring and Blood-Pressure Control</w:t>
            </w:r>
            <w:r w:rsidR="009C2D31">
              <w:rPr>
                <w:noProof/>
                <w:webHidden/>
              </w:rPr>
              <w:tab/>
            </w:r>
            <w:r w:rsidR="009C2D31">
              <w:rPr>
                <w:noProof/>
                <w:webHidden/>
              </w:rPr>
              <w:fldChar w:fldCharType="begin"/>
            </w:r>
            <w:r w:rsidR="009C2D31">
              <w:rPr>
                <w:noProof/>
                <w:webHidden/>
              </w:rPr>
              <w:instrText xml:space="preserve"> PAGEREF _Toc237485198 \h </w:instrText>
            </w:r>
            <w:r w:rsidR="009C2D31">
              <w:rPr>
                <w:noProof/>
                <w:webHidden/>
              </w:rPr>
            </w:r>
            <w:r w:rsidR="009C2D31">
              <w:rPr>
                <w:noProof/>
                <w:webHidden/>
              </w:rPr>
              <w:fldChar w:fldCharType="separate"/>
            </w:r>
            <w:r w:rsidR="009C2D31">
              <w:rPr>
                <w:noProof/>
                <w:webHidden/>
              </w:rPr>
              <w:t>48</w:t>
            </w:r>
            <w:r w:rsidR="009C2D31">
              <w:rPr>
                <w:noProof/>
                <w:webHidden/>
              </w:rPr>
              <w:fldChar w:fldCharType="end"/>
            </w:r>
          </w:hyperlink>
        </w:p>
        <w:p w14:paraId="446C9655" w14:textId="1A53995D" w:rsidR="009C2D31" w:rsidRDefault="00000000">
          <w:pPr>
            <w:pStyle w:val="TOC3"/>
            <w:tabs>
              <w:tab w:val="right" w:leader="dot" w:pos="9016"/>
            </w:tabs>
            <w:rPr>
              <w:rFonts w:asciiTheme="minorHAnsi" w:hAnsiTheme="minorHAnsi"/>
              <w:noProof/>
              <w:sz w:val="24"/>
              <w:szCs w:val="24"/>
              <w:lang w:val="en-US"/>
            </w:rPr>
          </w:pPr>
          <w:hyperlink w:anchor="_Toc237485199" w:history="1">
            <w:r w:rsidR="009C2D31" w:rsidRPr="00E32090">
              <w:rPr>
                <w:rStyle w:val="Hyperlink"/>
                <w:noProof/>
              </w:rPr>
              <w:t>Theme 3: Barriers and Facilitators to Access and Engagement</w:t>
            </w:r>
            <w:r w:rsidR="009C2D31">
              <w:rPr>
                <w:noProof/>
                <w:webHidden/>
              </w:rPr>
              <w:tab/>
            </w:r>
            <w:r w:rsidR="009C2D31">
              <w:rPr>
                <w:noProof/>
                <w:webHidden/>
              </w:rPr>
              <w:fldChar w:fldCharType="begin"/>
            </w:r>
            <w:r w:rsidR="009C2D31">
              <w:rPr>
                <w:noProof/>
                <w:webHidden/>
              </w:rPr>
              <w:instrText xml:space="preserve"> PAGEREF _Toc237485199 \h </w:instrText>
            </w:r>
            <w:r w:rsidR="009C2D31">
              <w:rPr>
                <w:noProof/>
                <w:webHidden/>
              </w:rPr>
            </w:r>
            <w:r w:rsidR="009C2D31">
              <w:rPr>
                <w:noProof/>
                <w:webHidden/>
              </w:rPr>
              <w:fldChar w:fldCharType="separate"/>
            </w:r>
            <w:r w:rsidR="009C2D31">
              <w:rPr>
                <w:noProof/>
                <w:webHidden/>
              </w:rPr>
              <w:t>49</w:t>
            </w:r>
            <w:r w:rsidR="009C2D31">
              <w:rPr>
                <w:noProof/>
                <w:webHidden/>
              </w:rPr>
              <w:fldChar w:fldCharType="end"/>
            </w:r>
          </w:hyperlink>
        </w:p>
        <w:p w14:paraId="14D00E6D" w14:textId="03A80C68" w:rsidR="009C2D31" w:rsidRDefault="00000000">
          <w:pPr>
            <w:pStyle w:val="TOC3"/>
            <w:tabs>
              <w:tab w:val="right" w:leader="dot" w:pos="9016"/>
            </w:tabs>
            <w:rPr>
              <w:rFonts w:asciiTheme="minorHAnsi" w:hAnsiTheme="minorHAnsi"/>
              <w:noProof/>
              <w:sz w:val="24"/>
              <w:szCs w:val="24"/>
              <w:lang w:val="en-US"/>
            </w:rPr>
          </w:pPr>
          <w:hyperlink w:anchor="_Toc237485200" w:history="1">
            <w:r w:rsidR="009C2D31" w:rsidRPr="00E32090">
              <w:rPr>
                <w:rStyle w:val="Hyperlink"/>
                <w:noProof/>
              </w:rPr>
              <w:t>Theme 4: Quality, Relevance and Transferability of Evidence to UK Adults Aged 30–50</w:t>
            </w:r>
            <w:r w:rsidR="009C2D31">
              <w:rPr>
                <w:noProof/>
                <w:webHidden/>
              </w:rPr>
              <w:tab/>
            </w:r>
            <w:r w:rsidR="009C2D31">
              <w:rPr>
                <w:noProof/>
                <w:webHidden/>
              </w:rPr>
              <w:fldChar w:fldCharType="begin"/>
            </w:r>
            <w:r w:rsidR="009C2D31">
              <w:rPr>
                <w:noProof/>
                <w:webHidden/>
              </w:rPr>
              <w:instrText xml:space="preserve"> PAGEREF _Toc237485200 \h </w:instrText>
            </w:r>
            <w:r w:rsidR="009C2D31">
              <w:rPr>
                <w:noProof/>
                <w:webHidden/>
              </w:rPr>
            </w:r>
            <w:r w:rsidR="009C2D31">
              <w:rPr>
                <w:noProof/>
                <w:webHidden/>
              </w:rPr>
              <w:fldChar w:fldCharType="separate"/>
            </w:r>
            <w:r w:rsidR="009C2D31">
              <w:rPr>
                <w:noProof/>
                <w:webHidden/>
              </w:rPr>
              <w:t>51</w:t>
            </w:r>
            <w:r w:rsidR="009C2D31">
              <w:rPr>
                <w:noProof/>
                <w:webHidden/>
              </w:rPr>
              <w:fldChar w:fldCharType="end"/>
            </w:r>
          </w:hyperlink>
        </w:p>
        <w:p w14:paraId="0CC63362" w14:textId="5A853641" w:rsidR="009C2D31" w:rsidRDefault="00000000">
          <w:pPr>
            <w:pStyle w:val="TOC2"/>
            <w:rPr>
              <w:rFonts w:asciiTheme="minorHAnsi" w:hAnsiTheme="minorHAnsi"/>
              <w:noProof/>
              <w:sz w:val="24"/>
              <w:szCs w:val="24"/>
              <w:lang w:val="en-US"/>
            </w:rPr>
          </w:pPr>
          <w:hyperlink w:anchor="_Toc237485201" w:history="1">
            <w:r w:rsidR="009C2D31" w:rsidRPr="00E32090">
              <w:rPr>
                <w:rStyle w:val="Hyperlink"/>
                <w:noProof/>
              </w:rPr>
              <w:t>4.5 Summary of Main Findings</w:t>
            </w:r>
            <w:r w:rsidR="009C2D31">
              <w:rPr>
                <w:noProof/>
                <w:webHidden/>
              </w:rPr>
              <w:tab/>
            </w:r>
            <w:r w:rsidR="009C2D31">
              <w:rPr>
                <w:noProof/>
                <w:webHidden/>
              </w:rPr>
              <w:fldChar w:fldCharType="begin"/>
            </w:r>
            <w:r w:rsidR="009C2D31">
              <w:rPr>
                <w:noProof/>
                <w:webHidden/>
              </w:rPr>
              <w:instrText xml:space="preserve"> PAGEREF _Toc237485201 \h </w:instrText>
            </w:r>
            <w:r w:rsidR="009C2D31">
              <w:rPr>
                <w:noProof/>
                <w:webHidden/>
              </w:rPr>
            </w:r>
            <w:r w:rsidR="009C2D31">
              <w:rPr>
                <w:noProof/>
                <w:webHidden/>
              </w:rPr>
              <w:fldChar w:fldCharType="separate"/>
            </w:r>
            <w:r w:rsidR="009C2D31">
              <w:rPr>
                <w:noProof/>
                <w:webHidden/>
              </w:rPr>
              <w:t>52</w:t>
            </w:r>
            <w:r w:rsidR="009C2D31">
              <w:rPr>
                <w:noProof/>
                <w:webHidden/>
              </w:rPr>
              <w:fldChar w:fldCharType="end"/>
            </w:r>
          </w:hyperlink>
        </w:p>
        <w:p w14:paraId="2AADEA87" w14:textId="7265BCB8" w:rsidR="009C2D31" w:rsidRDefault="00000000">
          <w:pPr>
            <w:pStyle w:val="TOC2"/>
            <w:rPr>
              <w:rFonts w:asciiTheme="minorHAnsi" w:hAnsiTheme="minorHAnsi"/>
              <w:noProof/>
              <w:sz w:val="24"/>
              <w:szCs w:val="24"/>
              <w:lang w:val="en-US"/>
            </w:rPr>
          </w:pPr>
          <w:hyperlink w:anchor="_Toc237485202" w:history="1">
            <w:r w:rsidR="009C2D31" w:rsidRPr="00E32090">
              <w:rPr>
                <w:rStyle w:val="Hyperlink"/>
                <w:noProof/>
              </w:rPr>
              <w:t>4.6 Summary of the Chapter</w:t>
            </w:r>
            <w:r w:rsidR="009C2D31">
              <w:rPr>
                <w:noProof/>
                <w:webHidden/>
              </w:rPr>
              <w:tab/>
            </w:r>
            <w:r w:rsidR="009C2D31">
              <w:rPr>
                <w:noProof/>
                <w:webHidden/>
              </w:rPr>
              <w:fldChar w:fldCharType="begin"/>
            </w:r>
            <w:r w:rsidR="009C2D31">
              <w:rPr>
                <w:noProof/>
                <w:webHidden/>
              </w:rPr>
              <w:instrText xml:space="preserve"> PAGEREF _Toc237485202 \h </w:instrText>
            </w:r>
            <w:r w:rsidR="009C2D31">
              <w:rPr>
                <w:noProof/>
                <w:webHidden/>
              </w:rPr>
            </w:r>
            <w:r w:rsidR="009C2D31">
              <w:rPr>
                <w:noProof/>
                <w:webHidden/>
              </w:rPr>
              <w:fldChar w:fldCharType="separate"/>
            </w:r>
            <w:r w:rsidR="009C2D31">
              <w:rPr>
                <w:noProof/>
                <w:webHidden/>
              </w:rPr>
              <w:t>54</w:t>
            </w:r>
            <w:r w:rsidR="009C2D31">
              <w:rPr>
                <w:noProof/>
                <w:webHidden/>
              </w:rPr>
              <w:fldChar w:fldCharType="end"/>
            </w:r>
          </w:hyperlink>
        </w:p>
        <w:p w14:paraId="6D0B1229" w14:textId="3070FF5C" w:rsidR="009C2D31" w:rsidRDefault="00000000">
          <w:pPr>
            <w:pStyle w:val="TOC1"/>
            <w:tabs>
              <w:tab w:val="right" w:leader="dot" w:pos="9016"/>
            </w:tabs>
            <w:rPr>
              <w:rFonts w:asciiTheme="minorHAnsi" w:hAnsiTheme="minorHAnsi"/>
              <w:noProof/>
              <w:sz w:val="24"/>
              <w:szCs w:val="24"/>
              <w:lang w:val="en-US"/>
            </w:rPr>
          </w:pPr>
          <w:hyperlink w:anchor="_Toc237485203" w:history="1">
            <w:r w:rsidR="009C2D31" w:rsidRPr="00E32090">
              <w:rPr>
                <w:rStyle w:val="Hyperlink"/>
                <w:noProof/>
                <w:lang w:val="en-US"/>
              </w:rPr>
              <w:t>Chapter 5: Discussion and Conclusion</w:t>
            </w:r>
            <w:r w:rsidR="009C2D31">
              <w:rPr>
                <w:noProof/>
                <w:webHidden/>
              </w:rPr>
              <w:tab/>
            </w:r>
            <w:r w:rsidR="009C2D31">
              <w:rPr>
                <w:noProof/>
                <w:webHidden/>
              </w:rPr>
              <w:fldChar w:fldCharType="begin"/>
            </w:r>
            <w:r w:rsidR="009C2D31">
              <w:rPr>
                <w:noProof/>
                <w:webHidden/>
              </w:rPr>
              <w:instrText xml:space="preserve"> PAGEREF _Toc237485203 \h </w:instrText>
            </w:r>
            <w:r w:rsidR="009C2D31">
              <w:rPr>
                <w:noProof/>
                <w:webHidden/>
              </w:rPr>
            </w:r>
            <w:r w:rsidR="009C2D31">
              <w:rPr>
                <w:noProof/>
                <w:webHidden/>
              </w:rPr>
              <w:fldChar w:fldCharType="separate"/>
            </w:r>
            <w:r w:rsidR="009C2D31">
              <w:rPr>
                <w:noProof/>
                <w:webHidden/>
              </w:rPr>
              <w:t>55</w:t>
            </w:r>
            <w:r w:rsidR="009C2D31">
              <w:rPr>
                <w:noProof/>
                <w:webHidden/>
              </w:rPr>
              <w:fldChar w:fldCharType="end"/>
            </w:r>
          </w:hyperlink>
        </w:p>
        <w:p w14:paraId="5CC495EB" w14:textId="370AB323" w:rsidR="009C2D31" w:rsidRDefault="00000000">
          <w:pPr>
            <w:pStyle w:val="TOC2"/>
            <w:rPr>
              <w:rFonts w:asciiTheme="minorHAnsi" w:hAnsiTheme="minorHAnsi"/>
              <w:noProof/>
              <w:sz w:val="24"/>
              <w:szCs w:val="24"/>
              <w:lang w:val="en-US"/>
            </w:rPr>
          </w:pPr>
          <w:hyperlink w:anchor="_Toc237485204" w:history="1">
            <w:r w:rsidR="009C2D31" w:rsidRPr="00E32090">
              <w:rPr>
                <w:rStyle w:val="Hyperlink"/>
                <w:noProof/>
              </w:rPr>
              <w:t>5.1 Introduction</w:t>
            </w:r>
            <w:r w:rsidR="009C2D31">
              <w:rPr>
                <w:noProof/>
                <w:webHidden/>
              </w:rPr>
              <w:tab/>
            </w:r>
            <w:r w:rsidR="009C2D31">
              <w:rPr>
                <w:noProof/>
                <w:webHidden/>
              </w:rPr>
              <w:fldChar w:fldCharType="begin"/>
            </w:r>
            <w:r w:rsidR="009C2D31">
              <w:rPr>
                <w:noProof/>
                <w:webHidden/>
              </w:rPr>
              <w:instrText xml:space="preserve"> PAGEREF _Toc237485204 \h </w:instrText>
            </w:r>
            <w:r w:rsidR="009C2D31">
              <w:rPr>
                <w:noProof/>
                <w:webHidden/>
              </w:rPr>
            </w:r>
            <w:r w:rsidR="009C2D31">
              <w:rPr>
                <w:noProof/>
                <w:webHidden/>
              </w:rPr>
              <w:fldChar w:fldCharType="separate"/>
            </w:r>
            <w:r w:rsidR="009C2D31">
              <w:rPr>
                <w:noProof/>
                <w:webHidden/>
              </w:rPr>
              <w:t>55</w:t>
            </w:r>
            <w:r w:rsidR="009C2D31">
              <w:rPr>
                <w:noProof/>
                <w:webHidden/>
              </w:rPr>
              <w:fldChar w:fldCharType="end"/>
            </w:r>
          </w:hyperlink>
        </w:p>
        <w:p w14:paraId="7CB84F47" w14:textId="5247A398" w:rsidR="009C2D31" w:rsidRDefault="00000000">
          <w:pPr>
            <w:pStyle w:val="TOC2"/>
            <w:rPr>
              <w:rFonts w:asciiTheme="minorHAnsi" w:hAnsiTheme="minorHAnsi"/>
              <w:noProof/>
              <w:sz w:val="24"/>
              <w:szCs w:val="24"/>
              <w:lang w:val="en-US"/>
            </w:rPr>
          </w:pPr>
          <w:hyperlink w:anchor="_Toc237485205" w:history="1">
            <w:r w:rsidR="009C2D31" w:rsidRPr="00E32090">
              <w:rPr>
                <w:rStyle w:val="Hyperlink"/>
                <w:noProof/>
              </w:rPr>
              <w:t>5.2 Discussion</w:t>
            </w:r>
            <w:r w:rsidR="009C2D31">
              <w:rPr>
                <w:noProof/>
                <w:webHidden/>
              </w:rPr>
              <w:tab/>
            </w:r>
            <w:r w:rsidR="009C2D31">
              <w:rPr>
                <w:noProof/>
                <w:webHidden/>
              </w:rPr>
              <w:fldChar w:fldCharType="begin"/>
            </w:r>
            <w:r w:rsidR="009C2D31">
              <w:rPr>
                <w:noProof/>
                <w:webHidden/>
              </w:rPr>
              <w:instrText xml:space="preserve"> PAGEREF _Toc237485205 \h </w:instrText>
            </w:r>
            <w:r w:rsidR="009C2D31">
              <w:rPr>
                <w:noProof/>
                <w:webHidden/>
              </w:rPr>
            </w:r>
            <w:r w:rsidR="009C2D31">
              <w:rPr>
                <w:noProof/>
                <w:webHidden/>
              </w:rPr>
              <w:fldChar w:fldCharType="separate"/>
            </w:r>
            <w:r w:rsidR="009C2D31">
              <w:rPr>
                <w:noProof/>
                <w:webHidden/>
              </w:rPr>
              <w:t>55</w:t>
            </w:r>
            <w:r w:rsidR="009C2D31">
              <w:rPr>
                <w:noProof/>
                <w:webHidden/>
              </w:rPr>
              <w:fldChar w:fldCharType="end"/>
            </w:r>
          </w:hyperlink>
        </w:p>
        <w:p w14:paraId="45C6611C" w14:textId="343E19C6" w:rsidR="009C2D31" w:rsidRDefault="00000000">
          <w:pPr>
            <w:pStyle w:val="TOC3"/>
            <w:tabs>
              <w:tab w:val="right" w:leader="dot" w:pos="9016"/>
            </w:tabs>
            <w:rPr>
              <w:rFonts w:asciiTheme="minorHAnsi" w:hAnsiTheme="minorHAnsi"/>
              <w:noProof/>
              <w:sz w:val="24"/>
              <w:szCs w:val="24"/>
              <w:lang w:val="en-US"/>
            </w:rPr>
          </w:pPr>
          <w:hyperlink w:anchor="_Toc237485206" w:history="1">
            <w:r w:rsidR="009C2D31" w:rsidRPr="00E32090">
              <w:rPr>
                <w:rStyle w:val="Hyperlink"/>
                <w:noProof/>
              </w:rPr>
              <w:t>5.2.1 Community-Based Approaches to Hypertension Identification and Management</w:t>
            </w:r>
            <w:r w:rsidR="009C2D31">
              <w:rPr>
                <w:noProof/>
                <w:webHidden/>
              </w:rPr>
              <w:tab/>
            </w:r>
            <w:r w:rsidR="009C2D31">
              <w:rPr>
                <w:noProof/>
                <w:webHidden/>
              </w:rPr>
              <w:fldChar w:fldCharType="begin"/>
            </w:r>
            <w:r w:rsidR="009C2D31">
              <w:rPr>
                <w:noProof/>
                <w:webHidden/>
              </w:rPr>
              <w:instrText xml:space="preserve"> PAGEREF _Toc237485206 \h </w:instrText>
            </w:r>
            <w:r w:rsidR="009C2D31">
              <w:rPr>
                <w:noProof/>
                <w:webHidden/>
              </w:rPr>
            </w:r>
            <w:r w:rsidR="009C2D31">
              <w:rPr>
                <w:noProof/>
                <w:webHidden/>
              </w:rPr>
              <w:fldChar w:fldCharType="separate"/>
            </w:r>
            <w:r w:rsidR="009C2D31">
              <w:rPr>
                <w:noProof/>
                <w:webHidden/>
              </w:rPr>
              <w:t>55</w:t>
            </w:r>
            <w:r w:rsidR="009C2D31">
              <w:rPr>
                <w:noProof/>
                <w:webHidden/>
              </w:rPr>
              <w:fldChar w:fldCharType="end"/>
            </w:r>
          </w:hyperlink>
        </w:p>
        <w:p w14:paraId="668854FF" w14:textId="04E15C22" w:rsidR="009C2D31" w:rsidRDefault="00000000">
          <w:pPr>
            <w:pStyle w:val="TOC3"/>
            <w:tabs>
              <w:tab w:val="right" w:leader="dot" w:pos="9016"/>
            </w:tabs>
            <w:rPr>
              <w:rFonts w:asciiTheme="minorHAnsi" w:hAnsiTheme="minorHAnsi"/>
              <w:noProof/>
              <w:sz w:val="24"/>
              <w:szCs w:val="24"/>
              <w:lang w:val="en-US"/>
            </w:rPr>
          </w:pPr>
          <w:hyperlink w:anchor="_Toc237485207" w:history="1">
            <w:r w:rsidR="009C2D31" w:rsidRPr="00E32090">
              <w:rPr>
                <w:rStyle w:val="Hyperlink"/>
                <w:noProof/>
              </w:rPr>
              <w:t>5.2.2 Effects Across the Hypertension Management Pathway</w:t>
            </w:r>
            <w:r w:rsidR="009C2D31">
              <w:rPr>
                <w:noProof/>
                <w:webHidden/>
              </w:rPr>
              <w:tab/>
            </w:r>
            <w:r w:rsidR="009C2D31">
              <w:rPr>
                <w:noProof/>
                <w:webHidden/>
              </w:rPr>
              <w:fldChar w:fldCharType="begin"/>
            </w:r>
            <w:r w:rsidR="009C2D31">
              <w:rPr>
                <w:noProof/>
                <w:webHidden/>
              </w:rPr>
              <w:instrText xml:space="preserve"> PAGEREF _Toc237485207 \h </w:instrText>
            </w:r>
            <w:r w:rsidR="009C2D31">
              <w:rPr>
                <w:noProof/>
                <w:webHidden/>
              </w:rPr>
            </w:r>
            <w:r w:rsidR="009C2D31">
              <w:rPr>
                <w:noProof/>
                <w:webHidden/>
              </w:rPr>
              <w:fldChar w:fldCharType="separate"/>
            </w:r>
            <w:r w:rsidR="009C2D31">
              <w:rPr>
                <w:noProof/>
                <w:webHidden/>
              </w:rPr>
              <w:t>55</w:t>
            </w:r>
            <w:r w:rsidR="009C2D31">
              <w:rPr>
                <w:noProof/>
                <w:webHidden/>
              </w:rPr>
              <w:fldChar w:fldCharType="end"/>
            </w:r>
          </w:hyperlink>
        </w:p>
        <w:p w14:paraId="1731B513" w14:textId="00FF092F" w:rsidR="009C2D31" w:rsidRDefault="00000000">
          <w:pPr>
            <w:pStyle w:val="TOC3"/>
            <w:tabs>
              <w:tab w:val="right" w:leader="dot" w:pos="9016"/>
            </w:tabs>
            <w:rPr>
              <w:rFonts w:asciiTheme="minorHAnsi" w:hAnsiTheme="minorHAnsi"/>
              <w:noProof/>
              <w:sz w:val="24"/>
              <w:szCs w:val="24"/>
              <w:lang w:val="en-US"/>
            </w:rPr>
          </w:pPr>
          <w:hyperlink w:anchor="_Toc237485208" w:history="1">
            <w:r w:rsidR="009C2D31" w:rsidRPr="00E32090">
              <w:rPr>
                <w:rStyle w:val="Hyperlink"/>
                <w:noProof/>
              </w:rPr>
              <w:t>5.2.3 Barriers and Facilitators to Access and Engagement</w:t>
            </w:r>
            <w:r w:rsidR="009C2D31">
              <w:rPr>
                <w:noProof/>
                <w:webHidden/>
              </w:rPr>
              <w:tab/>
            </w:r>
            <w:r w:rsidR="009C2D31">
              <w:rPr>
                <w:noProof/>
                <w:webHidden/>
              </w:rPr>
              <w:fldChar w:fldCharType="begin"/>
            </w:r>
            <w:r w:rsidR="009C2D31">
              <w:rPr>
                <w:noProof/>
                <w:webHidden/>
              </w:rPr>
              <w:instrText xml:space="preserve"> PAGEREF _Toc237485208 \h </w:instrText>
            </w:r>
            <w:r w:rsidR="009C2D31">
              <w:rPr>
                <w:noProof/>
                <w:webHidden/>
              </w:rPr>
            </w:r>
            <w:r w:rsidR="009C2D31">
              <w:rPr>
                <w:noProof/>
                <w:webHidden/>
              </w:rPr>
              <w:fldChar w:fldCharType="separate"/>
            </w:r>
            <w:r w:rsidR="009C2D31">
              <w:rPr>
                <w:noProof/>
                <w:webHidden/>
              </w:rPr>
              <w:t>56</w:t>
            </w:r>
            <w:r w:rsidR="009C2D31">
              <w:rPr>
                <w:noProof/>
                <w:webHidden/>
              </w:rPr>
              <w:fldChar w:fldCharType="end"/>
            </w:r>
          </w:hyperlink>
        </w:p>
        <w:p w14:paraId="68FC45BC" w14:textId="3785E61B" w:rsidR="009C2D31" w:rsidRDefault="00000000">
          <w:pPr>
            <w:pStyle w:val="TOC3"/>
            <w:tabs>
              <w:tab w:val="right" w:leader="dot" w:pos="9016"/>
            </w:tabs>
            <w:rPr>
              <w:rFonts w:asciiTheme="minorHAnsi" w:hAnsiTheme="minorHAnsi"/>
              <w:noProof/>
              <w:sz w:val="24"/>
              <w:szCs w:val="24"/>
              <w:lang w:val="en-US"/>
            </w:rPr>
          </w:pPr>
          <w:hyperlink w:anchor="_Toc237485209" w:history="1">
            <w:r w:rsidR="009C2D31" w:rsidRPr="00E32090">
              <w:rPr>
                <w:rStyle w:val="Hyperlink"/>
                <w:noProof/>
              </w:rPr>
              <w:t>5.2.4 Quality, Relevance and Transferability of the Evidence</w:t>
            </w:r>
            <w:r w:rsidR="009C2D31">
              <w:rPr>
                <w:noProof/>
                <w:webHidden/>
              </w:rPr>
              <w:tab/>
            </w:r>
            <w:r w:rsidR="009C2D31">
              <w:rPr>
                <w:noProof/>
                <w:webHidden/>
              </w:rPr>
              <w:fldChar w:fldCharType="begin"/>
            </w:r>
            <w:r w:rsidR="009C2D31">
              <w:rPr>
                <w:noProof/>
                <w:webHidden/>
              </w:rPr>
              <w:instrText xml:space="preserve"> PAGEREF _Toc237485209 \h </w:instrText>
            </w:r>
            <w:r w:rsidR="009C2D31">
              <w:rPr>
                <w:noProof/>
                <w:webHidden/>
              </w:rPr>
            </w:r>
            <w:r w:rsidR="009C2D31">
              <w:rPr>
                <w:noProof/>
                <w:webHidden/>
              </w:rPr>
              <w:fldChar w:fldCharType="separate"/>
            </w:r>
            <w:r w:rsidR="009C2D31">
              <w:rPr>
                <w:noProof/>
                <w:webHidden/>
              </w:rPr>
              <w:t>56</w:t>
            </w:r>
            <w:r w:rsidR="009C2D31">
              <w:rPr>
                <w:noProof/>
                <w:webHidden/>
              </w:rPr>
              <w:fldChar w:fldCharType="end"/>
            </w:r>
          </w:hyperlink>
        </w:p>
        <w:p w14:paraId="310C211A" w14:textId="4A0D682F" w:rsidR="009C2D31" w:rsidRDefault="00000000">
          <w:pPr>
            <w:pStyle w:val="TOC2"/>
            <w:rPr>
              <w:rFonts w:asciiTheme="minorHAnsi" w:hAnsiTheme="minorHAnsi"/>
              <w:noProof/>
              <w:sz w:val="24"/>
              <w:szCs w:val="24"/>
              <w:lang w:val="en-US"/>
            </w:rPr>
          </w:pPr>
          <w:hyperlink w:anchor="_Toc237485210" w:history="1">
            <w:r w:rsidR="009C2D31" w:rsidRPr="00E32090">
              <w:rPr>
                <w:rStyle w:val="Hyperlink"/>
                <w:noProof/>
              </w:rPr>
              <w:t>5.3 Implications and Further Research Needs</w:t>
            </w:r>
            <w:r w:rsidR="009C2D31">
              <w:rPr>
                <w:noProof/>
                <w:webHidden/>
              </w:rPr>
              <w:tab/>
            </w:r>
            <w:r w:rsidR="009C2D31">
              <w:rPr>
                <w:noProof/>
                <w:webHidden/>
              </w:rPr>
              <w:fldChar w:fldCharType="begin"/>
            </w:r>
            <w:r w:rsidR="009C2D31">
              <w:rPr>
                <w:noProof/>
                <w:webHidden/>
              </w:rPr>
              <w:instrText xml:space="preserve"> PAGEREF _Toc237485210 \h </w:instrText>
            </w:r>
            <w:r w:rsidR="009C2D31">
              <w:rPr>
                <w:noProof/>
                <w:webHidden/>
              </w:rPr>
            </w:r>
            <w:r w:rsidR="009C2D31">
              <w:rPr>
                <w:noProof/>
                <w:webHidden/>
              </w:rPr>
              <w:fldChar w:fldCharType="separate"/>
            </w:r>
            <w:r w:rsidR="009C2D31">
              <w:rPr>
                <w:noProof/>
                <w:webHidden/>
              </w:rPr>
              <w:t>57</w:t>
            </w:r>
            <w:r w:rsidR="009C2D31">
              <w:rPr>
                <w:noProof/>
                <w:webHidden/>
              </w:rPr>
              <w:fldChar w:fldCharType="end"/>
            </w:r>
          </w:hyperlink>
        </w:p>
        <w:p w14:paraId="395EBA30" w14:textId="641679C1" w:rsidR="009C2D31" w:rsidRDefault="00000000">
          <w:pPr>
            <w:pStyle w:val="TOC2"/>
            <w:rPr>
              <w:rFonts w:asciiTheme="minorHAnsi" w:hAnsiTheme="minorHAnsi"/>
              <w:noProof/>
              <w:sz w:val="24"/>
              <w:szCs w:val="24"/>
              <w:lang w:val="en-US"/>
            </w:rPr>
          </w:pPr>
          <w:hyperlink w:anchor="_Toc237485211" w:history="1">
            <w:r w:rsidR="009C2D31" w:rsidRPr="00E32090">
              <w:rPr>
                <w:rStyle w:val="Hyperlink"/>
                <w:noProof/>
              </w:rPr>
              <w:t>5.4 Strengths and Limitations</w:t>
            </w:r>
            <w:r w:rsidR="009C2D31">
              <w:rPr>
                <w:noProof/>
                <w:webHidden/>
              </w:rPr>
              <w:tab/>
            </w:r>
            <w:r w:rsidR="009C2D31">
              <w:rPr>
                <w:noProof/>
                <w:webHidden/>
              </w:rPr>
              <w:fldChar w:fldCharType="begin"/>
            </w:r>
            <w:r w:rsidR="009C2D31">
              <w:rPr>
                <w:noProof/>
                <w:webHidden/>
              </w:rPr>
              <w:instrText xml:space="preserve"> PAGEREF _Toc237485211 \h </w:instrText>
            </w:r>
            <w:r w:rsidR="009C2D31">
              <w:rPr>
                <w:noProof/>
                <w:webHidden/>
              </w:rPr>
            </w:r>
            <w:r w:rsidR="009C2D31">
              <w:rPr>
                <w:noProof/>
                <w:webHidden/>
              </w:rPr>
              <w:fldChar w:fldCharType="separate"/>
            </w:r>
            <w:r w:rsidR="009C2D31">
              <w:rPr>
                <w:noProof/>
                <w:webHidden/>
              </w:rPr>
              <w:t>57</w:t>
            </w:r>
            <w:r w:rsidR="009C2D31">
              <w:rPr>
                <w:noProof/>
                <w:webHidden/>
              </w:rPr>
              <w:fldChar w:fldCharType="end"/>
            </w:r>
          </w:hyperlink>
        </w:p>
        <w:p w14:paraId="021991D1" w14:textId="19BAA573" w:rsidR="009C2D31" w:rsidRDefault="00000000">
          <w:pPr>
            <w:pStyle w:val="TOC2"/>
            <w:rPr>
              <w:rFonts w:asciiTheme="minorHAnsi" w:hAnsiTheme="minorHAnsi"/>
              <w:noProof/>
              <w:sz w:val="24"/>
              <w:szCs w:val="24"/>
              <w:lang w:val="en-US"/>
            </w:rPr>
          </w:pPr>
          <w:hyperlink w:anchor="_Toc237485212" w:history="1">
            <w:r w:rsidR="009C2D31" w:rsidRPr="00E32090">
              <w:rPr>
                <w:rStyle w:val="Hyperlink"/>
                <w:noProof/>
              </w:rPr>
              <w:t>5.5 Conclusion</w:t>
            </w:r>
            <w:r w:rsidR="009C2D31">
              <w:rPr>
                <w:noProof/>
                <w:webHidden/>
              </w:rPr>
              <w:tab/>
            </w:r>
            <w:r w:rsidR="009C2D31">
              <w:rPr>
                <w:noProof/>
                <w:webHidden/>
              </w:rPr>
              <w:fldChar w:fldCharType="begin"/>
            </w:r>
            <w:r w:rsidR="009C2D31">
              <w:rPr>
                <w:noProof/>
                <w:webHidden/>
              </w:rPr>
              <w:instrText xml:space="preserve"> PAGEREF _Toc237485212 \h </w:instrText>
            </w:r>
            <w:r w:rsidR="009C2D31">
              <w:rPr>
                <w:noProof/>
                <w:webHidden/>
              </w:rPr>
            </w:r>
            <w:r w:rsidR="009C2D31">
              <w:rPr>
                <w:noProof/>
                <w:webHidden/>
              </w:rPr>
              <w:fldChar w:fldCharType="separate"/>
            </w:r>
            <w:r w:rsidR="009C2D31">
              <w:rPr>
                <w:noProof/>
                <w:webHidden/>
              </w:rPr>
              <w:t>57</w:t>
            </w:r>
            <w:r w:rsidR="009C2D31">
              <w:rPr>
                <w:noProof/>
                <w:webHidden/>
              </w:rPr>
              <w:fldChar w:fldCharType="end"/>
            </w:r>
          </w:hyperlink>
        </w:p>
        <w:p w14:paraId="29FBB241" w14:textId="706BC6C9" w:rsidR="009C2D31" w:rsidRDefault="00000000">
          <w:pPr>
            <w:pStyle w:val="TOC2"/>
            <w:rPr>
              <w:rFonts w:asciiTheme="minorHAnsi" w:hAnsiTheme="minorHAnsi"/>
              <w:noProof/>
              <w:sz w:val="24"/>
              <w:szCs w:val="24"/>
              <w:lang w:val="en-US"/>
            </w:rPr>
          </w:pPr>
          <w:hyperlink w:anchor="_Toc237485213" w:history="1">
            <w:r w:rsidR="009C2D31" w:rsidRPr="00E32090">
              <w:rPr>
                <w:rStyle w:val="Hyperlink"/>
                <w:noProof/>
              </w:rPr>
              <w:t>5.6 Recommendations</w:t>
            </w:r>
            <w:r w:rsidR="009C2D31">
              <w:rPr>
                <w:noProof/>
                <w:webHidden/>
              </w:rPr>
              <w:tab/>
            </w:r>
            <w:r w:rsidR="009C2D31">
              <w:rPr>
                <w:noProof/>
                <w:webHidden/>
              </w:rPr>
              <w:fldChar w:fldCharType="begin"/>
            </w:r>
            <w:r w:rsidR="009C2D31">
              <w:rPr>
                <w:noProof/>
                <w:webHidden/>
              </w:rPr>
              <w:instrText xml:space="preserve"> PAGEREF _Toc237485213 \h </w:instrText>
            </w:r>
            <w:r w:rsidR="009C2D31">
              <w:rPr>
                <w:noProof/>
                <w:webHidden/>
              </w:rPr>
            </w:r>
            <w:r w:rsidR="009C2D31">
              <w:rPr>
                <w:noProof/>
                <w:webHidden/>
              </w:rPr>
              <w:fldChar w:fldCharType="separate"/>
            </w:r>
            <w:r w:rsidR="009C2D31">
              <w:rPr>
                <w:noProof/>
                <w:webHidden/>
              </w:rPr>
              <w:t>58</w:t>
            </w:r>
            <w:r w:rsidR="009C2D31">
              <w:rPr>
                <w:noProof/>
                <w:webHidden/>
              </w:rPr>
              <w:fldChar w:fldCharType="end"/>
            </w:r>
          </w:hyperlink>
        </w:p>
        <w:p w14:paraId="37F22B5A" w14:textId="4D579C19" w:rsidR="009C2D31" w:rsidRDefault="00000000">
          <w:pPr>
            <w:pStyle w:val="TOC1"/>
            <w:tabs>
              <w:tab w:val="right" w:leader="dot" w:pos="9016"/>
            </w:tabs>
            <w:rPr>
              <w:rFonts w:asciiTheme="minorHAnsi" w:hAnsiTheme="minorHAnsi"/>
              <w:noProof/>
              <w:sz w:val="24"/>
              <w:szCs w:val="24"/>
              <w:lang w:val="en-US"/>
            </w:rPr>
          </w:pPr>
          <w:hyperlink w:anchor="_Toc237485214" w:history="1">
            <w:r w:rsidR="009C2D31" w:rsidRPr="00E32090">
              <w:rPr>
                <w:rStyle w:val="Hyperlink"/>
                <w:noProof/>
              </w:rPr>
              <w:t>References</w:t>
            </w:r>
            <w:r w:rsidR="009C2D31">
              <w:rPr>
                <w:noProof/>
                <w:webHidden/>
              </w:rPr>
              <w:tab/>
            </w:r>
            <w:r w:rsidR="009C2D31">
              <w:rPr>
                <w:noProof/>
                <w:webHidden/>
              </w:rPr>
              <w:fldChar w:fldCharType="begin"/>
            </w:r>
            <w:r w:rsidR="009C2D31">
              <w:rPr>
                <w:noProof/>
                <w:webHidden/>
              </w:rPr>
              <w:instrText xml:space="preserve"> PAGEREF _Toc237485214 \h </w:instrText>
            </w:r>
            <w:r w:rsidR="009C2D31">
              <w:rPr>
                <w:noProof/>
                <w:webHidden/>
              </w:rPr>
            </w:r>
            <w:r w:rsidR="009C2D31">
              <w:rPr>
                <w:noProof/>
                <w:webHidden/>
              </w:rPr>
              <w:fldChar w:fldCharType="separate"/>
            </w:r>
            <w:r w:rsidR="009C2D31">
              <w:rPr>
                <w:noProof/>
                <w:webHidden/>
              </w:rPr>
              <w:t>59</w:t>
            </w:r>
            <w:r w:rsidR="009C2D31">
              <w:rPr>
                <w:noProof/>
                <w:webHidden/>
              </w:rPr>
              <w:fldChar w:fldCharType="end"/>
            </w:r>
          </w:hyperlink>
        </w:p>
        <w:p w14:paraId="6075EDF7" w14:textId="461732E6" w:rsidR="009C2D31" w:rsidRDefault="00000000">
          <w:pPr>
            <w:pStyle w:val="TOC1"/>
            <w:tabs>
              <w:tab w:val="right" w:leader="dot" w:pos="9016"/>
            </w:tabs>
            <w:rPr>
              <w:rFonts w:asciiTheme="minorHAnsi" w:hAnsiTheme="minorHAnsi"/>
              <w:noProof/>
              <w:sz w:val="24"/>
              <w:szCs w:val="24"/>
              <w:lang w:val="en-US"/>
            </w:rPr>
          </w:pPr>
          <w:hyperlink w:anchor="_Toc237485215" w:history="1">
            <w:r w:rsidR="009C2D31" w:rsidRPr="00E32090">
              <w:rPr>
                <w:rStyle w:val="Hyperlink"/>
                <w:noProof/>
                <w:shd w:val="clear" w:color="auto" w:fill="FFFFFF"/>
              </w:rPr>
              <w:t>List of Figures</w:t>
            </w:r>
            <w:r w:rsidR="009C2D31">
              <w:rPr>
                <w:noProof/>
                <w:webHidden/>
              </w:rPr>
              <w:tab/>
            </w:r>
            <w:r w:rsidR="009C2D31">
              <w:rPr>
                <w:noProof/>
                <w:webHidden/>
              </w:rPr>
              <w:fldChar w:fldCharType="begin"/>
            </w:r>
            <w:r w:rsidR="009C2D31">
              <w:rPr>
                <w:noProof/>
                <w:webHidden/>
              </w:rPr>
              <w:instrText xml:space="preserve"> PAGEREF _Toc237485215 \h </w:instrText>
            </w:r>
            <w:r w:rsidR="009C2D31">
              <w:rPr>
                <w:noProof/>
                <w:webHidden/>
              </w:rPr>
            </w:r>
            <w:r w:rsidR="009C2D31">
              <w:rPr>
                <w:noProof/>
                <w:webHidden/>
              </w:rPr>
              <w:fldChar w:fldCharType="separate"/>
            </w:r>
            <w:r w:rsidR="009C2D31">
              <w:rPr>
                <w:noProof/>
                <w:webHidden/>
              </w:rPr>
              <w:t>65</w:t>
            </w:r>
            <w:r w:rsidR="009C2D31">
              <w:rPr>
                <w:noProof/>
                <w:webHidden/>
              </w:rPr>
              <w:fldChar w:fldCharType="end"/>
            </w:r>
          </w:hyperlink>
        </w:p>
        <w:p w14:paraId="27370781" w14:textId="22FBD2BC" w:rsidR="009C2D31" w:rsidRDefault="00000000">
          <w:pPr>
            <w:pStyle w:val="TOC1"/>
            <w:tabs>
              <w:tab w:val="right" w:leader="dot" w:pos="9016"/>
            </w:tabs>
            <w:rPr>
              <w:rFonts w:asciiTheme="minorHAnsi" w:hAnsiTheme="minorHAnsi"/>
              <w:noProof/>
              <w:sz w:val="24"/>
              <w:szCs w:val="24"/>
              <w:lang w:val="en-US"/>
            </w:rPr>
          </w:pPr>
          <w:hyperlink w:anchor="_Toc237485216" w:history="1">
            <w:r w:rsidR="009C2D31" w:rsidRPr="00E32090">
              <w:rPr>
                <w:rStyle w:val="Hyperlink"/>
                <w:noProof/>
                <w:shd w:val="clear" w:color="auto" w:fill="FFFFFF"/>
                <w:lang w:val="en-US"/>
              </w:rPr>
              <w:t>List of Tables</w:t>
            </w:r>
            <w:r w:rsidR="009C2D31">
              <w:rPr>
                <w:noProof/>
                <w:webHidden/>
              </w:rPr>
              <w:tab/>
            </w:r>
            <w:r w:rsidR="009C2D31">
              <w:rPr>
                <w:noProof/>
                <w:webHidden/>
              </w:rPr>
              <w:fldChar w:fldCharType="begin"/>
            </w:r>
            <w:r w:rsidR="009C2D31">
              <w:rPr>
                <w:noProof/>
                <w:webHidden/>
              </w:rPr>
              <w:instrText xml:space="preserve"> PAGEREF _Toc237485216 \h </w:instrText>
            </w:r>
            <w:r w:rsidR="009C2D31">
              <w:rPr>
                <w:noProof/>
                <w:webHidden/>
              </w:rPr>
            </w:r>
            <w:r w:rsidR="009C2D31">
              <w:rPr>
                <w:noProof/>
                <w:webHidden/>
              </w:rPr>
              <w:fldChar w:fldCharType="separate"/>
            </w:r>
            <w:r w:rsidR="009C2D31">
              <w:rPr>
                <w:noProof/>
                <w:webHidden/>
              </w:rPr>
              <w:t>65</w:t>
            </w:r>
            <w:r w:rsidR="009C2D31">
              <w:rPr>
                <w:noProof/>
                <w:webHidden/>
              </w:rPr>
              <w:fldChar w:fldCharType="end"/>
            </w:r>
          </w:hyperlink>
        </w:p>
        <w:p w14:paraId="42741CF7" w14:textId="0527B37D" w:rsidR="00DC24DD" w:rsidRPr="00F176D9" w:rsidRDefault="00752ED3">
          <w:pPr>
            <w:rPr>
              <w:rFonts w:cs="Arial"/>
            </w:rPr>
          </w:pPr>
          <w:r>
            <w:rPr>
              <w:rFonts w:eastAsia="Times New Roman" w:cs="Arial"/>
              <w:color w:val="000000"/>
              <w:sz w:val="24"/>
            </w:rPr>
            <w:fldChar w:fldCharType="end"/>
          </w:r>
        </w:p>
      </w:sdtContent>
    </w:sdt>
    <w:p w14:paraId="159BFD61" w14:textId="6646AB05" w:rsidR="00BC3D78" w:rsidRPr="00F176D9" w:rsidRDefault="00BC3D78">
      <w:pPr>
        <w:rPr>
          <w:rFonts w:cs="Arial"/>
        </w:rPr>
      </w:pPr>
    </w:p>
    <w:p w14:paraId="6029FDE4" w14:textId="7767433C" w:rsidR="00B64D2F" w:rsidRPr="00F176D9" w:rsidRDefault="00B64D2F">
      <w:pPr>
        <w:spacing w:before="0" w:beforeAutospacing="0" w:after="160" w:afterAutospacing="0" w:line="259" w:lineRule="auto"/>
        <w:jc w:val="left"/>
        <w:rPr>
          <w:rFonts w:eastAsia="Times New Roman" w:cs="Arial"/>
          <w:b/>
          <w:sz w:val="30"/>
        </w:rPr>
      </w:pPr>
      <w:r w:rsidRPr="00F176D9">
        <w:rPr>
          <w:rFonts w:cs="Arial"/>
        </w:rPr>
        <w:lastRenderedPageBreak/>
        <w:br w:type="page"/>
      </w:r>
    </w:p>
    <w:p w14:paraId="54A32D75" w14:textId="77777777" w:rsidR="00FF7A76" w:rsidRDefault="00FF7A76" w:rsidP="00FF7A76">
      <w:pPr>
        <w:pStyle w:val="Heading1"/>
      </w:pPr>
      <w:bookmarkStart w:id="9" w:name="_Toc236914507"/>
      <w:bookmarkStart w:id="10" w:name="_Toc237485154"/>
      <w:bookmarkEnd w:id="6"/>
      <w:r>
        <w:lastRenderedPageBreak/>
        <w:t>Chapter 1: Introduction</w:t>
      </w:r>
      <w:bookmarkEnd w:id="9"/>
      <w:bookmarkEnd w:id="10"/>
    </w:p>
    <w:p w14:paraId="1313BABF" w14:textId="77777777" w:rsidR="00FF7A76" w:rsidRPr="00E17AF2" w:rsidRDefault="00FF7A76" w:rsidP="00FF7A76">
      <w:pPr>
        <w:pStyle w:val="Heading2"/>
      </w:pPr>
      <w:bookmarkStart w:id="11" w:name="_Toc236914508"/>
      <w:bookmarkStart w:id="12" w:name="_Toc237485155"/>
      <w:r w:rsidRPr="00E17AF2">
        <w:t>1.1 Background</w:t>
      </w:r>
      <w:bookmarkEnd w:id="11"/>
      <w:bookmarkEnd w:id="12"/>
    </w:p>
    <w:p w14:paraId="76EFF1AC" w14:textId="77777777" w:rsidR="00FF7A76" w:rsidRDefault="00FF7A76" w:rsidP="00FF7A76">
      <w:r>
        <w:t>High blood pressure, also known as hypertension, is a long-term cardiovascular (heart and blood vessel) disease that is characterised by blood pressure that is consistently high. Usually non-symptomatic, but chronic exposure can harm the cardiovascular system, brain, kidneys and vascular system. The current European guidelines therefore consider hypertension to be more than a simple blood-pressure measurement: the diagnosis involves measuring blood pressure with reliability, where appropriate, confirmation using ambulatory or home monitoring, and the management of the condition includes cardiovascular-risk assessment, lifestyle support, medication and continuing review (McEvoy et al., 2024). This clinical complexity is relevant as it enables community activity to help identify and manage the disease, but it cannot replace clinically indicated treatment or diagnostic confirmation.</w:t>
      </w:r>
    </w:p>
    <w:p w14:paraId="6E174DD7" w14:textId="74F87BF6" w:rsidR="00FF7A76" w:rsidRDefault="00FF7A76" w:rsidP="00FF7A76">
      <w:r>
        <w:t>The global burden offers background on the problem faced by the UK. In 2019, NCD Risk Factor Collaboration (2021) estimated that 1.28 billion adults (aged 30-79) were living with hypertension, but treatment and control were not even. But no single figure for adults aged exactly 30-50 has been published in the UK</w:t>
      </w:r>
      <w:r w:rsidR="00810749">
        <w:t xml:space="preserve">. </w:t>
      </w:r>
      <w:r>
        <w:t>The importance of the group lies rather with prolonged lifetime exposure; hypertension that starts or persists into early and middle adulthood can add up cardiovascular risk over many years. Other findings from North East London suggest that there may be an age-under-50 factor related to hypertension patient control, even though this is not clearly understood, as the intensity of treatment on record is also not sufficient. Furthermore, evidence from North East London indicates that patients younger than 50 with diagnosed hypertension may be less likely to be controlled than those older in age, but this has not been fully explained by observed treatment intensity (Rison et al., 2023).</w:t>
      </w:r>
    </w:p>
    <w:p w14:paraId="0F1222C6" w14:textId="38FBA71E" w:rsidR="00FF7A76" w:rsidRDefault="00FF7A76" w:rsidP="00FF7A76">
      <w:r>
        <w:t>Adult hypertension (30-50 years) is polyetiological in nature. There are non-modifiable influences such as age, family history, genetics, and ethnicity and modifiable influences such as excess body weight, high salt intake, smoking, harmful alcohol use, and physical inactivity. Other factors will also influence risk or treatment, such as diabetes, chronic kidney disease, prescribed medications, chronic stress and sleep difficulties. These factors combine with the conditions of employment, caring responsibilities, income, housing, transport, and health literacy and access to preventative services</w:t>
      </w:r>
      <w:r w:rsidR="00810749" w:rsidRPr="00810749">
        <w:t xml:space="preserve"> (Marmot, 2020)</w:t>
      </w:r>
      <w:r>
        <w:t>.</w:t>
      </w:r>
    </w:p>
    <w:p w14:paraId="45CCCE89" w14:textId="2569EFB2" w:rsidR="00FF7A76" w:rsidRDefault="00FF7A76" w:rsidP="00FF7A76">
      <w:r>
        <w:lastRenderedPageBreak/>
        <w:t>Socioeconomic position needs to be treated accurately. There is a relationship between household low income and area deprivation, but it is not synonymous. Scholes, Conolly and Mindell (2020) identified income inequalities among adults in the prevalence of hypertension using data from the Health Survey for England; however, the patterns of undiagnosed hypertension were more complicated than the assumption that all low-income adults are not diagnosed. Kimenai et al. (2022) also found evidence that traditional methods of cardiovascular risk assessment were less likely to correctly predict cardiovascular risk in individuals from more deprived groups. Financial insecurity can limit attendance at appointments, transportation, access to digital content, healthy food choices, and medication adherence; on the other hand, service design can make appointments difficult to attend, referrals are poorly coordinated, or there are limited language options and/or a heavy dependency on technology.</w:t>
      </w:r>
    </w:p>
    <w:p w14:paraId="5D1C37FB" w14:textId="29470A7C" w:rsidR="00FF7A76" w:rsidRDefault="00FF7A76" w:rsidP="00FF7A76">
      <w:r>
        <w:t>Community-based strategies are structured interventions provided outside of hospital or via interventions linking community and home to primary care. Examples that relate to this include community-pharmacy screening, pharmacist- or nurse-led support, home blood-pressure monitoring, digital messaging, telemonitoring, group education, family or peer support, medication-adherence assistance, and medication-adherence pathways. They are designed to enhance awareness, case-finding, self-management, adherence and continuity, and NOT that "education = prevention of hypertension. A trial of self-monitoring, a digital intervention and professional guidance was effective in achieving better control of systolic blood pressure in the HOME BP trial, though this benefit was contingent on implementation in general practice and it did not demonstrate the effectiveness of remote care delivery over clinical care (McManus et al., 2021). Variations were found in the equipment used, training and referral techniques, and convenient location, an item that did not seem to result in technically reliable service, were investigated in English pharmacy research (Barrett and Hodgkinson, 2019).</w:t>
      </w:r>
    </w:p>
    <w:p w14:paraId="1E9C8CB3" w14:textId="77777777" w:rsidR="00FF7A76" w:rsidRDefault="00FF7A76" w:rsidP="00FF7A76">
      <w:pPr>
        <w:pStyle w:val="Heading2"/>
      </w:pPr>
      <w:bookmarkStart w:id="13" w:name="_Toc236914509"/>
      <w:bookmarkStart w:id="14" w:name="_Toc237485156"/>
      <w:r>
        <w:t>1.2 Statement of the Problem</w:t>
      </w:r>
      <w:bookmarkEnd w:id="13"/>
      <w:bookmarkEnd w:id="14"/>
    </w:p>
    <w:p w14:paraId="76CE73CF" w14:textId="6C1D3F6D" w:rsidR="00FF7A76" w:rsidRDefault="00FF7A76" w:rsidP="00FF7A76">
      <w:r>
        <w:t xml:space="preserve">The pathway for managing hypertension is a process in which the adult must be reached, blood pressure must be accurately measured, confirmation of raised blood pressure must be given, a referral must be made, appropriate treatment must be provided, and individuals must be monitored. Many checks can be done by a programme, but little health gain can be derived if the abnormal findings are not confirmed or communicated. Service disruptions may also compromise the pathway. Recorded blood-pressure screening and management indicators </w:t>
      </w:r>
      <w:r>
        <w:lastRenderedPageBreak/>
        <w:t>worsened by a large amount during the COVID-19 period, before recovery, suggesting that organisational capacity is a crucial factor in control (Wiedemann et al., 2024).</w:t>
      </w:r>
    </w:p>
    <w:p w14:paraId="693DC2A9" w14:textId="487B1E5C" w:rsidR="00FF7A76" w:rsidRDefault="00FF7A76" w:rsidP="00FF7A76">
      <w:r>
        <w:t>Community responses can help to close gaps in access, yet can also replicate them. Digital systems can work for adults who may not have the time or ability to attend a clinic, or for those who don't have connectivity, a device, confidence, language assistance or private space. Access to services can be geographically possible but limited by a number of factors, including staff workload, staff training, lack of public awareness and communication with individual general practices. Lower susceptibility can make a difference for younger adults, while ethnicity, insecure work and comorbidity can make a difference in the 30-50 age group.</w:t>
      </w:r>
    </w:p>
    <w:p w14:paraId="0161ADFB" w14:textId="77777777" w:rsidR="00FF7A76" w:rsidRDefault="00FF7A76" w:rsidP="00FF7A76">
      <w:pPr>
        <w:pStyle w:val="Heading2"/>
      </w:pPr>
      <w:bookmarkStart w:id="15" w:name="_Toc236914510"/>
      <w:bookmarkStart w:id="16" w:name="_Toc237485157"/>
      <w:r>
        <w:t>1.3 Rationale for the Study</w:t>
      </w:r>
      <w:bookmarkEnd w:id="15"/>
      <w:bookmarkEnd w:id="16"/>
    </w:p>
    <w:p w14:paraId="1B5C2ED5" w14:textId="737A37C9" w:rsidR="00FF7A76" w:rsidRDefault="00BE6F37" w:rsidP="00FF7A76">
      <w:r w:rsidRPr="00BE6F37">
        <w:t>Managing hypertension is not just about detecting elevated blood pressure, it's also crucial to engage, refer, treat and monitor. There is evidence that community-based interventions are effective in reducing blood pressure outcomes, but the effectiveness is dependent on the type of intervention, its place of delivery and characteristics of the target population (Azami-Aghdash et al., 2025; Nyame et al., 2024). Importantly, implementation outcomes might vary among population groups, as socioeconomic, demographic, digital and organisational inequalities affect access and engagement. This systematic review therefore critically explores what works in terms of which community-based approaches are effective, the factors that facilitate their implementation, and the relevance and equitable applicability of these approaches to UK adults over the age of 30 and under 50.</w:t>
      </w:r>
    </w:p>
    <w:p w14:paraId="3A7D6125" w14:textId="77777777" w:rsidR="00FF7A76" w:rsidRDefault="00FF7A76" w:rsidP="00FF7A76">
      <w:pPr>
        <w:pStyle w:val="Heading2"/>
      </w:pPr>
      <w:bookmarkStart w:id="17" w:name="_Toc236914511"/>
      <w:bookmarkStart w:id="18" w:name="_Toc237485158"/>
      <w:r>
        <w:t>1.4 Research Aim</w:t>
      </w:r>
      <w:bookmarkEnd w:id="17"/>
      <w:bookmarkEnd w:id="18"/>
    </w:p>
    <w:p w14:paraId="77049D85" w14:textId="57DE3A3A" w:rsidR="00FF7A76" w:rsidRDefault="00FF7A76" w:rsidP="00CB4CA3">
      <w:r w:rsidRPr="00FF7A76">
        <w:t>To analyse community based Strategies for Management of Hypertension Amongst 30-50-Year-Old Adults in the UK</w:t>
      </w:r>
      <w:r w:rsidR="00CB4CA3">
        <w:t>.</w:t>
      </w:r>
    </w:p>
    <w:p w14:paraId="071BEE02" w14:textId="77777777" w:rsidR="00FF7A76" w:rsidRDefault="00FF7A76" w:rsidP="00FF7A76">
      <w:pPr>
        <w:pStyle w:val="Heading2"/>
      </w:pPr>
      <w:bookmarkStart w:id="19" w:name="_Toc236914512"/>
      <w:bookmarkStart w:id="20" w:name="_Toc237485159"/>
      <w:r>
        <w:t>1.5 Research Objectives</w:t>
      </w:r>
      <w:bookmarkEnd w:id="19"/>
      <w:bookmarkEnd w:id="20"/>
    </w:p>
    <w:p w14:paraId="55866B69" w14:textId="77777777" w:rsidR="00FF7A76" w:rsidRDefault="00FF7A76" w:rsidP="00FF7A76">
      <w:pPr>
        <w:numPr>
          <w:ilvl w:val="0"/>
          <w:numId w:val="22"/>
        </w:numPr>
        <w:spacing w:before="0" w:beforeAutospacing="0" w:after="120" w:afterAutospacing="0"/>
        <w:contextualSpacing/>
      </w:pPr>
      <w:r>
        <w:t>To determine which are the main approaches, focused on the community, to support adults aged 30-50 in identifying and managing hypertension.</w:t>
      </w:r>
    </w:p>
    <w:p w14:paraId="20D38D30" w14:textId="77777777" w:rsidR="00FF7A76" w:rsidRDefault="00FF7A76" w:rsidP="00FF7A76">
      <w:pPr>
        <w:numPr>
          <w:ilvl w:val="0"/>
          <w:numId w:val="22"/>
        </w:numPr>
        <w:spacing w:before="0" w:beforeAutospacing="0" w:after="120" w:afterAutospacing="0"/>
        <w:contextualSpacing/>
      </w:pPr>
      <w:r>
        <w:t>To assess evidence related to awareness, screening, referral, adherence to treatment, and monitoring and blood-pressure control.</w:t>
      </w:r>
    </w:p>
    <w:p w14:paraId="6EDC2F72" w14:textId="77777777" w:rsidR="00FF7A76" w:rsidRDefault="00FF7A76" w:rsidP="00FF7A76">
      <w:pPr>
        <w:numPr>
          <w:ilvl w:val="0"/>
          <w:numId w:val="22"/>
        </w:numPr>
        <w:spacing w:before="0" w:beforeAutospacing="0" w:after="120" w:afterAutospacing="0"/>
        <w:contextualSpacing/>
      </w:pPr>
      <w:r>
        <w:t>To investigate socioeconomic, demographic, digital and organisational obstacles and facilitators to accessing and engaging.</w:t>
      </w:r>
    </w:p>
    <w:p w14:paraId="10150D6C" w14:textId="77777777" w:rsidR="00FF7A76" w:rsidRDefault="00FF7A76" w:rsidP="00FF7A76">
      <w:pPr>
        <w:numPr>
          <w:ilvl w:val="0"/>
          <w:numId w:val="22"/>
        </w:numPr>
        <w:spacing w:before="0" w:beforeAutospacing="0" w:after="120" w:afterAutospacing="0"/>
        <w:contextualSpacing/>
      </w:pPr>
      <w:r>
        <w:lastRenderedPageBreak/>
        <w:t>To appraise the methods, relevance and transferability of the evidence that is available.</w:t>
      </w:r>
    </w:p>
    <w:p w14:paraId="12B09605" w14:textId="77777777" w:rsidR="00FF7A76" w:rsidRDefault="00FF7A76" w:rsidP="00FF7A76">
      <w:pPr>
        <w:numPr>
          <w:ilvl w:val="0"/>
          <w:numId w:val="22"/>
        </w:numPr>
        <w:spacing w:before="0" w:beforeAutospacing="0" w:after="120" w:afterAutospacing="0"/>
        <w:contextualSpacing/>
      </w:pPr>
      <w:r>
        <w:t>To generate evidence-based recommendations relating to NHS primary care services, community pharmacies, local authorities and community organisations.</w:t>
      </w:r>
    </w:p>
    <w:p w14:paraId="1B77F09F" w14:textId="77777777" w:rsidR="00FF7A76" w:rsidRDefault="00FF7A76" w:rsidP="00FF7A76">
      <w:pPr>
        <w:pStyle w:val="Heading2"/>
      </w:pPr>
      <w:bookmarkStart w:id="21" w:name="_Toc236914513"/>
      <w:bookmarkStart w:id="22" w:name="_Toc237485160"/>
      <w:r>
        <w:t>1.6 Research Questions</w:t>
      </w:r>
      <w:bookmarkEnd w:id="21"/>
      <w:bookmarkEnd w:id="22"/>
    </w:p>
    <w:p w14:paraId="6356BD14" w14:textId="77777777" w:rsidR="00FF7A76" w:rsidRPr="009B5B3D" w:rsidRDefault="00FF7A76" w:rsidP="00FF7A76">
      <w:pPr>
        <w:numPr>
          <w:ilvl w:val="0"/>
          <w:numId w:val="23"/>
        </w:numPr>
        <w:spacing w:before="0" w:beforeAutospacing="0" w:after="120" w:afterAutospacing="0"/>
        <w:contextualSpacing/>
      </w:pPr>
      <w:r w:rsidRPr="009B5B3D">
        <w:t>What are the methods used to screen and treat hypertension in the community amongst adults in the UK between the ages of 30-50?</w:t>
      </w:r>
    </w:p>
    <w:p w14:paraId="11A0A6BF" w14:textId="77777777" w:rsidR="00FF7A76" w:rsidRPr="009B5B3D" w:rsidRDefault="00FF7A76" w:rsidP="00FF7A76">
      <w:pPr>
        <w:numPr>
          <w:ilvl w:val="0"/>
          <w:numId w:val="23"/>
        </w:numPr>
        <w:spacing w:before="0" w:beforeAutospacing="0" w:after="120" w:afterAutospacing="0"/>
        <w:contextualSpacing/>
      </w:pPr>
      <w:r w:rsidRPr="009B5B3D">
        <w:t>What evidence is there of the impact on awareness, screening, referral, adherence, monitoring, and blood-pressure control?</w:t>
      </w:r>
    </w:p>
    <w:p w14:paraId="5B29B83D" w14:textId="77777777" w:rsidR="00FF7A76" w:rsidRPr="009B5B3D" w:rsidRDefault="00FF7A76" w:rsidP="00FF7A76">
      <w:pPr>
        <w:numPr>
          <w:ilvl w:val="0"/>
          <w:numId w:val="23"/>
        </w:numPr>
        <w:spacing w:before="0" w:beforeAutospacing="0" w:after="120" w:afterAutospacing="0"/>
        <w:contextualSpacing/>
      </w:pPr>
      <w:r w:rsidRPr="009B5B3D">
        <w:t>What are the socioeconomic, demographic, digital and organisational factors that affect access and engagement?</w:t>
      </w:r>
    </w:p>
    <w:p w14:paraId="6A8DE79B" w14:textId="77777777" w:rsidR="00FF7A76" w:rsidRPr="009B5B3D" w:rsidRDefault="00FF7A76" w:rsidP="00FF7A76">
      <w:pPr>
        <w:numPr>
          <w:ilvl w:val="0"/>
          <w:numId w:val="23"/>
        </w:numPr>
        <w:spacing w:before="0" w:beforeAutospacing="0" w:after="120" w:afterAutospacing="0"/>
        <w:contextualSpacing/>
      </w:pPr>
      <w:r w:rsidRPr="009B5B3D">
        <w:t>Is the existing evidence suitable and robust for the target population and UK context?</w:t>
      </w:r>
    </w:p>
    <w:p w14:paraId="60FB1147" w14:textId="77777777" w:rsidR="00FF7A76" w:rsidRDefault="00FF7A76" w:rsidP="00FF7A76">
      <w:pPr>
        <w:numPr>
          <w:ilvl w:val="0"/>
          <w:numId w:val="23"/>
        </w:numPr>
        <w:spacing w:before="0" w:beforeAutospacing="0" w:after="120" w:afterAutospacing="0"/>
        <w:contextualSpacing/>
      </w:pPr>
      <w:r w:rsidRPr="009B5B3D">
        <w:t>How to enhance and harmonise community-based hypertension interventions with primary health care?</w:t>
      </w:r>
    </w:p>
    <w:p w14:paraId="1AD2C72F" w14:textId="77777777" w:rsidR="00FF7A76" w:rsidRDefault="00FF7A76" w:rsidP="00FF7A76">
      <w:pPr>
        <w:pStyle w:val="Heading2"/>
      </w:pPr>
      <w:bookmarkStart w:id="23" w:name="_Toc236914514"/>
      <w:bookmarkStart w:id="24" w:name="_Toc237485161"/>
      <w:r>
        <w:t>1.7 Significance of the Study</w:t>
      </w:r>
      <w:bookmarkEnd w:id="23"/>
      <w:bookmarkEnd w:id="24"/>
    </w:p>
    <w:p w14:paraId="23300941" w14:textId="77777777" w:rsidR="00FF7A76" w:rsidRDefault="00FF7A76" w:rsidP="00FF7A76">
      <w:r w:rsidRPr="000B0EAB">
        <w:t>Academically, the study addresses an evidence gap concerning adults aged 30–50 years, who are often incorporated into broader adult samples rather than analysed separately.</w:t>
      </w:r>
      <w:r>
        <w:t xml:space="preserve"> It also exemplifies an understanding of the differences in inconsistent terminology, distinguishing between low income and deprivation, and community delivery and isolated awareness campaigns. In terms of services, the results can contribute to a recommendation of a linkage between screening and confirmation, treatment and follow-up, by service commissioners and service providers. The review has a special focus on equity of access, culturally appropriate communication, digital alternatives, staff capacity and continuity of information. Recommendations are provided to named stakeholders and not as general recommendations.</w:t>
      </w:r>
    </w:p>
    <w:p w14:paraId="04DFB86A" w14:textId="77777777" w:rsidR="00FF7A76" w:rsidRDefault="00FF7A76" w:rsidP="00FF7A76">
      <w:r>
        <w:t>The analytical wording is suitable for the chosen design. Evaluation of evidence related to effectiveness, accessibility and implementation is possible through a systematic review, but measurement of impact would require new estimates of cause and effect or original clinical measurements. Thus, the title, aim, objectives and questions remain the same population and setting, and management focus. Conclusions include only supported effects and implementation conditions, but do not equate all observed associations with causation. This structuring ensures that the study is commensurate with the evidence available and appropriate for post-graduate study.</w:t>
      </w:r>
    </w:p>
    <w:p w14:paraId="15B27E05" w14:textId="77777777" w:rsidR="00FF7A76" w:rsidRDefault="00FF7A76" w:rsidP="00FF7A76">
      <w:pPr>
        <w:pStyle w:val="Heading2"/>
      </w:pPr>
      <w:bookmarkStart w:id="25" w:name="_Toc236914515"/>
      <w:bookmarkStart w:id="26" w:name="_Toc237485162"/>
      <w:r>
        <w:lastRenderedPageBreak/>
        <w:t>1.8 Chapter Summary</w:t>
      </w:r>
      <w:bookmarkEnd w:id="25"/>
      <w:bookmarkEnd w:id="26"/>
    </w:p>
    <w:p w14:paraId="7B99528A" w14:textId="3456A70B" w:rsidR="00FF7A76" w:rsidRDefault="00FF7A76" w:rsidP="00FF7A76">
      <w:r w:rsidRPr="000D2133">
        <w:t>In this chapter, hypertension has been discussed as a clinically complex and socially complex condition; the clinical population has been restricted to adults aged 30-50, and community-based management is added to the integrated care pathway. The critical literature review in Chapter 2 and the systematic review methodology in Chapter 3 are aligned with the aim, objectives and research questions.</w:t>
      </w:r>
    </w:p>
    <w:p w14:paraId="44007856" w14:textId="77777777" w:rsidR="00FF7A76" w:rsidRDefault="00FF7A76" w:rsidP="00FF7A76">
      <w:r>
        <w:br w:type="page"/>
      </w:r>
    </w:p>
    <w:p w14:paraId="61154CFD" w14:textId="77777777" w:rsidR="00FF7A76" w:rsidRDefault="00FF7A76" w:rsidP="00FF7A76">
      <w:pPr>
        <w:pStyle w:val="Heading1"/>
      </w:pPr>
      <w:bookmarkStart w:id="27" w:name="_Toc236914516"/>
      <w:bookmarkStart w:id="28" w:name="_Toc237485163"/>
      <w:r>
        <w:lastRenderedPageBreak/>
        <w:t>Chapter 2: Literature Review</w:t>
      </w:r>
      <w:bookmarkEnd w:id="27"/>
      <w:bookmarkEnd w:id="28"/>
    </w:p>
    <w:p w14:paraId="5EFEE9E2" w14:textId="1A878B41" w:rsidR="001705A7" w:rsidRDefault="001705A7" w:rsidP="001705A7">
      <w:pPr>
        <w:pStyle w:val="Heading2"/>
      </w:pPr>
      <w:bookmarkStart w:id="29" w:name="_Toc237485164"/>
      <w:r>
        <w:t>2.1 Introduction</w:t>
      </w:r>
      <w:bookmarkEnd w:id="29"/>
    </w:p>
    <w:p w14:paraId="0A047526" w14:textId="50104082" w:rsidR="001705A7" w:rsidRDefault="001705A7" w:rsidP="001705A7">
      <w:r>
        <w:t>The purpose of this literature review is to critically analyse the evidence regarding community-based hypertension care of adults aged 30-50 in the UK. The literature is structured to reflect the aims of the dissertation: identification and management approaches; impact on screening, referral, adherence, monitoring and blood-pressure control; factors influencing access of socioeconomic, demographic, digital and organisational; and the quality and transferability of the evidence. Chapter 3 describes the systematic process for identifying, screening and appraising studies, and synthesis and critical interpretations of the studies are covered in this chapter. The use of UK evidence prioritises it as a primary care, community pharmacy or preventive services varies across health systems. If evidence is mentioned as being from England, it is stated so rather than assumed to be England and the other 3 countries of the UK. This also means that the evidence presented in the descriptive study-by-study reporting is compared on the basis of relevance, consistency, limitations and applicability to the target population, precluding descriptive reporting of the evidence in each study. It is important that service contexts and population impacts transferability.</w:t>
      </w:r>
    </w:p>
    <w:p w14:paraId="680EE408" w14:textId="77777777" w:rsidR="001705A7" w:rsidRDefault="001705A7" w:rsidP="001705A7">
      <w:r>
        <w:t>There are two theoretical perspectives to support the interpretation. Using the Social Determinants of Health (SDOH) approach, determinants of income and employment, education, ethnicity, neighbourhood characteristics, and access to services are explored for their potential impact on risk for hypertension and management. According to the WHO (2024), social determinants are conditions that shape people's birth, growth, life, work and ageing, as well as their resources and opportunities. Through the prism of the Health Belief Model (HBM) (Rosenstock, Strecher and Becker, 1988), the perceived susceptibility, severity, barriers, cues to action and self-efficacy are considered as factors that may have an impact on screening, treatment adherence and self-monitoring.</w:t>
      </w:r>
    </w:p>
    <w:p w14:paraId="1E4EEDB6" w14:textId="77777777" w:rsidR="001705A7" w:rsidRDefault="001705A7" w:rsidP="001705A7">
      <w:pPr>
        <w:pStyle w:val="Heading2"/>
      </w:pPr>
      <w:bookmarkStart w:id="30" w:name="_Toc237485165"/>
      <w:r>
        <w:t>2.2 Clinical Scope and Consequences</w:t>
      </w:r>
      <w:bookmarkEnd w:id="30"/>
    </w:p>
    <w:p w14:paraId="4CC694EC" w14:textId="5E4D0FE6" w:rsidR="001705A7" w:rsidRDefault="001705A7" w:rsidP="001705A7">
      <w:r>
        <w:t xml:space="preserve">Hypertension is not defined by one high blood pressure reading, but by having blood pressure that is continually high. NICE blood-pressure guidelines for hypertension diagnosis suggest that blood pressure should be taken in the clinic, followed by ambulatory blood pressure monitoring (ABPM) to confirm hypertension when clinic blood pressure is between 140/90 mmHg and 180/120 mmHg. If ABPM is not suitable or not tolerated, home blood-pressure </w:t>
      </w:r>
      <w:r>
        <w:lastRenderedPageBreak/>
        <w:t>monitoring (HBPM) can be used (NICE, 2019). The distinction is very important in community screening as an elevated measurement in a workplace, outreach or pharmacy environment may indicate that a person may have hypertension, but won't confirm the diagnosis. Therefore, the literature defines community strategies as a component of a pathway of accurate measurement, diagnostic confirmation, cardiovascular-risk assessment, treatment and follow-up monitoring.</w:t>
      </w:r>
    </w:p>
    <w:p w14:paraId="75382E77" w14:textId="0F197292" w:rsidR="001705A7" w:rsidRDefault="001705A7" w:rsidP="001705A7">
      <w:r>
        <w:t>The clinical relevance of hypertension is due to the connections with cardiovascular and renal disease, such as stroke, myocardial infarction, heart failure and chronic kidney disease. But there is a big difference in the burden by age. Some of the data from the Health Survey for England 2022 showed that around 30% of adults had hypertension, and 13% had untreated hypertension, which was higher among older age groups and among males compared to females (NHS England Digital, 2024). These results only apply to England and should not be used to measure the prevalence of adults aged 30-50 years across the UK as a whole. The distinction isn't meant to account for a significant weakness found in the literature: General adult data can provide context, but cannot be reported as specific data for the dissertation population.</w:t>
      </w:r>
    </w:p>
    <w:p w14:paraId="5C6305B1" w14:textId="503EAA56" w:rsidR="001705A7" w:rsidRDefault="001705A7" w:rsidP="001705A7">
      <w:r>
        <w:t>It is especially important to consider younger adults when you're thinking of detection. The Health Survey for England data analysis indicated that hypertension was more likely to be undiagnosed in younger people than in older people. Around 55% of males and 44% of females between 25-34 were thought to have undiagnosed hypertension (ONS, 2023). This age span is not exactly the one targeted in the dissertation; however, it offers indications of the detection challenges in early adulthood and is not used as a precise estimate of the population aged 30-50.</w:t>
      </w:r>
    </w:p>
    <w:p w14:paraId="5DDE49A4" w14:textId="77777777" w:rsidR="001705A7" w:rsidRDefault="001705A7" w:rsidP="001705A7">
      <w:r>
        <w:t>More directly, Rison et al. (2023) analysed electronic health records of 156,296 adults with a diagnosis of hypertension in North East London and found that this age group with hypertension was less likely to have their hypertension under control than older adults. Although the observational design is regional, this limits generalisation to the entire UK; it is relevant to the understanding of management among younger adults because of population and healthcare characteristics.</w:t>
      </w:r>
    </w:p>
    <w:p w14:paraId="33BBF976" w14:textId="77777777" w:rsidR="001705A7" w:rsidRDefault="001705A7" w:rsidP="001705A7">
      <w:pPr>
        <w:pStyle w:val="Heading2"/>
      </w:pPr>
      <w:bookmarkStart w:id="31" w:name="_Toc237485166"/>
      <w:r>
        <w:lastRenderedPageBreak/>
        <w:t>2.3 Determinants of Hypertension and Management</w:t>
      </w:r>
      <w:bookmarkEnd w:id="31"/>
    </w:p>
    <w:p w14:paraId="290EC39C" w14:textId="540FB354" w:rsidR="001705A7" w:rsidRDefault="001705A7" w:rsidP="001705A7">
      <w:r>
        <w:t>The clinical risk characteristics, along with social and service-related factors affecting detection and management, are important determinants in this review. Variation by age, sex and bodyweight is evidenced in England. An analysis of Health Survey for England data by ONS revealed that there are significantly more cases of hypertension among adults who are classified as obese compared with adults who are not overweight or obese (ONS, 2023). The findings presented here suggest that modifiable risk factors should be considered and not misinterpreted as being due to individual lifestyle choices. Eating a healthy diet, engaging in physical activity, making appointments with health care providers and monitoring blood pressure can be impacted by broader social factors, in line with the SDOH framework.</w:t>
      </w:r>
    </w:p>
    <w:p w14:paraId="753D59BC" w14:textId="3044A236" w:rsidR="001705A7" w:rsidRDefault="001705A7" w:rsidP="001705A7">
      <w:r>
        <w:t>Socioeconomic evidence must be interpreted with great care. The authors, Scholes, Conolly and Mindell (2020), analysed the Health Survey for England (HSE) data of 28,002 adults (aged 16 years and older). There was a positive relationship between lower income and the likelihood of hypertension among women, but no clear correspondence was found between lower income and undiagnosed hypertension in the study. Thus, the study cannot be interpreted as evidence that adults who fail to have adequate income are not aware of hypertension status or are less likely to be diagnosed with hypertension. It also contained adults of a broader age spectrum than the 30-50 age group studied here that could therefore not be used for age-specific evidence of its findings.</w:t>
      </w:r>
    </w:p>
    <w:p w14:paraId="555A3336" w14:textId="78F545D9" w:rsidR="001705A7" w:rsidRDefault="001705A7" w:rsidP="001705A7">
      <w:r>
        <w:t>Most importantly, income and area deprivation are not synonymous. There is no significant difference between area-deprivation quintiles in terms of age-standardised prevalence of hypertension and untreated hypertension, according to the Health Survey for England 2022 (NHS England Digital, 2024). Therefore, an income gradient can by no means be assumed to represent a neighbourhood deprivation gradient. This separation allows a more accurate measure of socioeconomic inequality, and prevents assigning individual actions to the socially deprived just because they reside in such a situation.</w:t>
      </w:r>
    </w:p>
    <w:p w14:paraId="1EF66E42" w14:textId="006B93F6" w:rsidR="00FF7A76" w:rsidRDefault="001705A7" w:rsidP="001705A7">
      <w:r>
        <w:t xml:space="preserve">Ethnicity is also a factor in management, but any differences noticed cannot be explained solely by ethnicity. In a large cohort of primary-care patients from the UK, Eastwood et al. (2023) found variations between European, South Asian and African/African Caribbean populations in the components of hypertension treatment that were analysed: monitoring, treatment escalation, treatment persistence, and BP control. Rison et al. (2024) went on to </w:t>
      </w:r>
      <w:r>
        <w:lastRenderedPageBreak/>
        <w:t>report ongoing inequalities in North East London, as the rate of good control was significantly lower for Black patients than for White patients throughout the study.</w:t>
      </w:r>
    </w:p>
    <w:p w14:paraId="6EF09DC9" w14:textId="77777777" w:rsidR="00FF7A76" w:rsidRDefault="00FF7A76" w:rsidP="00FF7A76">
      <w:pPr>
        <w:pStyle w:val="Heading2"/>
      </w:pPr>
      <w:bookmarkStart w:id="32" w:name="_Toc236914520"/>
      <w:bookmarkStart w:id="33" w:name="_Toc237485167"/>
      <w:r>
        <w:t>2.4 The UK Management Pathway</w:t>
      </w:r>
      <w:bookmarkEnd w:id="32"/>
      <w:bookmarkEnd w:id="33"/>
    </w:p>
    <w:p w14:paraId="1FE2109F" w14:textId="77777777" w:rsidR="00FF7A76" w:rsidRDefault="00FF7A76" w:rsidP="00FF7A76">
      <w:r>
        <w:t>The primary care setting continues to be the first place of care, diagnosis, cardiovascular-risk assessment, medicine prescription and long-term review. Community services are not parallel services, but are part of this pathway. Key stages to be followed are: accurate measurement, confirmation, risk assessment, shared treatment decisions, medication review and monitoring. Wiedemann et al. (2024) analysed the OpenSAFELY records to demonstrate the impact of disruptions during the pandemic on blood-pressure testing and hypertension-management measures in England. This highlights the need for robust systems and data flows to support population control and not just for patients to be given advice.</w:t>
      </w:r>
    </w:p>
    <w:p w14:paraId="3EA46D1E" w14:textId="77777777" w:rsidR="00FF7A76" w:rsidRDefault="00FF7A76" w:rsidP="00FF7A76">
      <w:r>
        <w:t>The pathway is also intended to provide an explanation as to why there is a need for outcomes to be aligned with the purpose of intervention. The extent to which the screening of a pharmacy is adopted, its technical quality, identification, referral and completed diagnostic assessment should be assessed. Home-monitoring programme should be evaluated via measurement of adherence, clinical response and sustained control. An education programme that has a reasonable chance of affecting knowledge or self-efficacy is not considered to be an effective intervention if it is not expected to affect cardiovascular events unless the programme is sufficiently powered and followed for that outcome. There must be a connection to the purpose of the interventions.</w:t>
      </w:r>
    </w:p>
    <w:p w14:paraId="44FAEB12" w14:textId="77777777" w:rsidR="00FF7A76" w:rsidRDefault="00FF7A76" w:rsidP="00FF7A76">
      <w:pPr>
        <w:pStyle w:val="Heading2"/>
      </w:pPr>
      <w:bookmarkStart w:id="34" w:name="_Toc236914521"/>
      <w:bookmarkStart w:id="35" w:name="_Toc237485168"/>
      <w:r>
        <w:t>2.5 Community-Pharmacy Screening and Support</w:t>
      </w:r>
      <w:bookmarkEnd w:id="34"/>
      <w:bookmarkEnd w:id="35"/>
    </w:p>
    <w:p w14:paraId="6918DCD7" w14:textId="77777777" w:rsidR="00FF7A76" w:rsidRDefault="00FF7A76" w:rsidP="00FF7A76">
      <w:r>
        <w:t>Community Pharmacies provide familiarity, geographical coverage and access without a GP's appointment. However, in England, blood-pressure screening services for pharmacies were found to vary in terms of device validation, calibration, availability of blood-pressure cuffs, staff training and referral (Barrett and Hodgkinson, 2019). It is critical that accessibility does not equal quality. A convenient service, but an inconsistent one, may give false reassurance, may cause unnecessary anxiety or may not be referred to. Therefore, national standardisation, competency assessment and communication protocols are, rather than “admin extras”, conditions of effectiveness.</w:t>
      </w:r>
    </w:p>
    <w:p w14:paraId="79DD12FF" w14:textId="77777777" w:rsidR="00FF7A76" w:rsidRDefault="00FF7A76" w:rsidP="00FF7A76">
      <w:r>
        <w:lastRenderedPageBreak/>
        <w:t>While there are some limitations in direct policy transfer as the study was conducted outside of the UK, Pappaccogli et al. (2019) demonstrated that non-physician pharmacy screening could still detect previously unknown hypertension and cardiovascular risk. Vella et al. (2026) more recently found that pharmacist-led ambulatory monitoring is technically feasible, but results are inconclusive in small series in which treatment changes were tried. Tang et al. (2026) also recognised opportunities for incorporating cardiovascular screening into community-pharmacy activity. The studies as a whole support the role of the pharmacist, and reveal an evidence gap between feasibility and sustained clinical benefit.</w:t>
      </w:r>
    </w:p>
    <w:p w14:paraId="312EBA3F" w14:textId="77777777" w:rsidR="00FF7A76" w:rsidRDefault="00FF7A76" w:rsidP="00FF7A76">
      <w:r>
        <w:t>Equity goes beyond simply targeting deprived areas for the placement of pharmacies. In a study by Duley et al. (2026), they have identified that language, cultural beliefs, trust and time pressure, along with limited teaching of staff in these areas, can limit engagement within minority ethnic communities. Services provided by pharmacists may thus require bilingual materials, culturally responsive communications, protected consultation time and explicit promotion by trusted organisations. These adaptations should not be taken for granted, but evaluated. Poulter et al. (2026) also claim that community BP screening is useful if it is used in conjunction with primary care and can provide confirmation and referral to treatment. Screening without linkage: another way of counting activity than enhancing health.</w:t>
      </w:r>
    </w:p>
    <w:p w14:paraId="68ABD53B" w14:textId="77777777" w:rsidR="00FF7A76" w:rsidRDefault="00FF7A76" w:rsidP="00FF7A76">
      <w:r>
        <w:t>There are areas of workforce and economic questions that are not fully developed. Pharmacy screening helps to diminish the obstacles to the first measurement, but it does need extra space for consultation, calibrated equipment, trained personnel, documentation and time for referral. When funding is not commensurate with workload, activity can crowd out other services. The cost-effectiveness should therefore encompass the entire pathway, not just the cost of a check only: repeat measurement and ambulatory monitoring, GP assessment, treatment initiation and prevented events are all important. There are few studies that correlate these over long periods of time, and so the suggestion that automatic delivery of medicines into a pharmacy will save the NHS resources is speculative at this stage.</w:t>
      </w:r>
    </w:p>
    <w:p w14:paraId="23202A2D" w14:textId="77777777" w:rsidR="00FF7A76" w:rsidRPr="000651E9" w:rsidRDefault="00FF7A76" w:rsidP="00FF7A76">
      <w:pPr>
        <w:pStyle w:val="Heading2"/>
      </w:pPr>
      <w:bookmarkStart w:id="36" w:name="_Toc236914522"/>
      <w:bookmarkStart w:id="37" w:name="_Toc237485169"/>
      <w:r w:rsidRPr="000651E9">
        <w:t>2.6 Home Monitoring, Digital Support and Telemedicine</w:t>
      </w:r>
      <w:bookmarkEnd w:id="36"/>
      <w:bookmarkEnd w:id="37"/>
    </w:p>
    <w:p w14:paraId="23FECFD9" w14:textId="77777777" w:rsidR="00FF7A76" w:rsidRDefault="00FF7A76" w:rsidP="00FF7A76">
      <w:r>
        <w:t xml:space="preserve">Patient self-monitoring may yield more and more ecologically-relevant readings and increase patient engagement. Self-monitoring was incorporated into a self-help digital intervention and medication titration was guided in the UK HOME BP randomised trial. When measured at 1-year follow-up, SBP was lower than usual care, and the modest extra cost was acceptable (McManus et al., 2021). The strength of the study was that it was integrated within general </w:t>
      </w:r>
      <w:r>
        <w:lastRenderedPageBreak/>
        <w:t>practice and readings influenced professional decisions. Its restriction is equally important. These participants had inadequately controlled treated hypertension and needed digital capabilities and cannot be representative of all adults 30–50 years of age or justifiable for digital-only care.</w:t>
      </w:r>
    </w:p>
    <w:p w14:paraId="017886F6" w14:textId="77777777" w:rsidR="00FF7A76" w:rsidRDefault="00FF7A76" w:rsidP="00FF7A76">
      <w:r>
        <w:t>Conditional benefit is supported by other UK implementation evidence. Wu et al. (2026) identified that professional capacity, workflow fit, patient selection, equipment support and accessible alternatives are keys for the scaling of the technology-enabled remote monitoring. A digital messaging programme was explored in general practice in Wirral as part of the BP@Home programme, with positive observations made by Argyris et al. (2025). This is an observational programme, meaning that the causal certainty is less than that which could be found in a randomised trial. The evidence is for digitally enabled monitoring as a service, rather than as a technology in itself.</w:t>
      </w:r>
    </w:p>
    <w:p w14:paraId="07DE37A7" w14:textId="77777777" w:rsidR="00FF7A76" w:rsidRDefault="00FF7A76" w:rsidP="00FF7A76">
      <w:r>
        <w:t>Overall, there is a generally favourable, though mixed pattern, indicated by international syntheses. Li et al. (2020) identified mobile-health self-management interventions as having the potential to lower blood pressure, and Kaihara et al. (2022) stated that home readings that are automated will have beneficial effects. Siopis et al. (2023) measured a mean decrease of both SBP and DBP with digital interventions; however, there was inconsistent reporting of reach, uptake, and feasibility. Similar to Yap et al. (2024) results, improvements in blood pressure outcomes were also reported; however, impacts on medication adherence were found to differ between the different digital modalities. But the size of clinical effect is only one question, and sustained use, clinician response and equitable reach are the real-world value.</w:t>
      </w:r>
    </w:p>
    <w:p w14:paraId="7309C28E" w14:textId="77777777" w:rsidR="00FF7A76" w:rsidRDefault="00FF7A76" w:rsidP="00FF7A76">
      <w:r>
        <w:t>Digital adherence evidence is not always good. Etminani et al. (2020) also noted that there was an inconsistent approach to integrating behaviour-change implementation strategies into digital hypertension interventions. No overall improvement in adherence to medicines was found by McCabe et al. (2026) for community-based adults with long-term conditions. While not hypertension-specific, it means that it should not be assumed that medication reminders always lead to medication changes. Motta-Yanac et al. (2026) pinpointed the usability, trust, cultural and linguistic relevance, and integration of health care and social support as factors that influence digital adoption. A digital tool can thus raise a range of convenience for one group, but heighten the level of exclusion for another.</w:t>
      </w:r>
    </w:p>
    <w:p w14:paraId="5879B277" w14:textId="77777777" w:rsidR="00FF7A76" w:rsidRDefault="00FF7A76" w:rsidP="00FF7A76">
      <w:r>
        <w:t xml:space="preserve">The impacts of remote monitoring can also be unexpected. Multiple readings can increase engagement, but can also cause anxiety if too many readings are taken or one does more </w:t>
      </w:r>
      <w:r>
        <w:lastRenderedPageBreak/>
        <w:t>than once in a row when the amount of normal variance is not understood. Manual transcription and poor connectivity can lead to missing or inaccurate data, and automated alerts can add to clinician workload if thresholds are not “tuned” in. Responsibility and consent for responding to abnormal readings must be clear and included in data governance. Such implementation issues do not diminish the digital benefit on the contrary, they are the reasons why the efficacy is dependent not on the application or the device, but on a supported service.</w:t>
      </w:r>
    </w:p>
    <w:p w14:paraId="4FC05E9D" w14:textId="77777777" w:rsidR="00FF7A76" w:rsidRDefault="00FF7A76" w:rsidP="00FF7A76">
      <w:pPr>
        <w:pStyle w:val="Heading2"/>
      </w:pPr>
      <w:bookmarkStart w:id="38" w:name="_Toc236914523"/>
      <w:bookmarkStart w:id="39" w:name="_Toc237485170"/>
      <w:r>
        <w:t>2.7 Education, Lifestyle, Family and Peer Approaches</w:t>
      </w:r>
      <w:bookmarkEnd w:id="38"/>
      <w:bookmarkEnd w:id="39"/>
    </w:p>
    <w:p w14:paraId="21FA8FA5" w14:textId="77777777" w:rsidR="00FF7A76" w:rsidRDefault="00FF7A76" w:rsidP="00FF7A76">
      <w:r>
        <w:t>Group education and lifestyle programmes can be integrated with knowledge, peer interaction, and behaviour support. Target achievement and adherence to medications were inconsistently reported for the group-delivered exercise and lifestyle-education interventions, while feasibility of reporting intervention feasibility remained unclear; however, the interventions did lead to a reduction in blood pressure compared to usual care (McDonagh et al., 2025). The evidence does not conclude that group delivery is a suitable alternative to medication or clinical review, but as part of management. For adults, inflexible work and caring responsibilities, transport problems and language requirements can also affect attendance-based programmes.</w:t>
      </w:r>
    </w:p>
    <w:p w14:paraId="246561EB" w14:textId="77777777" w:rsidR="00FF7A76" w:rsidRDefault="00FF7A76" w:rsidP="00FF7A76">
      <w:r>
        <w:t>Community lifestyle intervention must be viewed on a critical basis, NOT rejected or exaggerated. Azami-Aghdash et al. (2025) reported reductions in systolic and diastolic blood pressure in community interventions, but there was significant heterogeneity and most studies involved settings other than in the UK. Other studies have also indicated benefits in community strategies in low- and middle-income countries, as reported by Nyame et al. (2024). Jafar et al. (2020) showed that a multicomponent intervention for community health workers, physician training and care coordination succeeded in lowering SBP in rural South Asia. Although these studies have demonstrated the effectiveness of coordinated, repeated and multilevel intervention, they have not demonstrated that an identical approach will be successful in the NHS without adaptation to the NHS workforce, financing and referral systems.</w:t>
      </w:r>
    </w:p>
    <w:p w14:paraId="606A37F4" w14:textId="77777777" w:rsidR="00FF7A76" w:rsidRDefault="00FF7A76" w:rsidP="00FF7A76">
      <w:r>
        <w:t xml:space="preserve">Family involvement can provide reinforcement of self-management in terms of their maintaining appointments, diet, medication, and interpretation of readings. Kebebew et al. (2026) showed that family-based interventions were more effective in improving blood pressure and blood pressure self-management behaviours, though there was high heterogeneity and few settings were outside of the UK, which meant it wasn't certain that this population would benefit. Peer support offers similar promise, as confidence and normalising long-term management may be enhanced by the sharing of experience, but there must be </w:t>
      </w:r>
      <w:r>
        <w:lastRenderedPageBreak/>
        <w:t>boundaries and training to ensure that the advice and information is congruent with the clinical guidance. These are ways of increasing self-efficacy and continuity, rather than a substitute for professional care.</w:t>
      </w:r>
    </w:p>
    <w:p w14:paraId="65F185B2" w14:textId="77777777" w:rsidR="00FF7A76" w:rsidRDefault="00FF7A76" w:rsidP="00FF7A76">
      <w:r>
        <w:t>One more drawback of education and support research is the lack of sustainability. Short programmes can have short-term learning outcomes or pressure reductions which fade once the contact is over. Increasing the intensity of Repetition causes more burden on the participants and more expense; and increasing the intensity of Goal review and follow-up will maintain behaviour. Attrition may mask dropout of those with lower control. Attendance and reasons for withdrawal and outcomes away from the intervention period should therefore be reported in studies. A simple community strategy that can be executed one time is not sustainable; it must be viable for services and also be acceptable to participants across the time frame needed to address chronic diseases.</w:t>
      </w:r>
    </w:p>
    <w:p w14:paraId="7DA2F9BE" w14:textId="77777777" w:rsidR="00FF7A76" w:rsidRDefault="00FF7A76" w:rsidP="00FF7A76">
      <w:pPr>
        <w:pStyle w:val="Heading2"/>
      </w:pPr>
      <w:bookmarkStart w:id="40" w:name="_Toc236914524"/>
      <w:bookmarkStart w:id="41" w:name="_Toc237485171"/>
      <w:r>
        <w:t>2.8 Nurse-, Pharmacist- and Team-Led Management</w:t>
      </w:r>
      <w:bookmarkEnd w:id="40"/>
      <w:bookmarkEnd w:id="41"/>
    </w:p>
    <w:p w14:paraId="7053E66E" w14:textId="77777777" w:rsidR="00FF7A76" w:rsidRDefault="00FF7A76" w:rsidP="00FF7A76">
      <w:r>
        <w:t>Task sharing can enhance the intensity and availability of management. Stephen et al. (2022) demonstrated that a nurse-led general practice intervention had a beneficial effect on blood pressure outcomes with differing components of the intervention and follow-up. Adzitey, Akimanimpaye and Crowley (2026) found that a holistic approach of integrating quantitative results with qualitative understanding is valuable and that nurse-led self-management interventions have positive effects. These results indicate that coordination of education, monitoring and escalation is possible for nurses; however, effectiveness requires prescribing arrangements, protected time, competencies and collaboration between nurses and GPs.</w:t>
      </w:r>
    </w:p>
    <w:p w14:paraId="5DBC0644" w14:textId="77777777" w:rsidR="00FF7A76" w:rsidRDefault="00FF7A76" w:rsidP="00FF7A76">
      <w:r>
        <w:t>Pharmacists can involve themselves through measurement, adherence checking, medicines optimisation and referrals. They will be more likely to pick up on side effects or issues that are challenging in between appointments. However, if the records are not interoperable and/or pharmacists are not able to confirm that the referral was complete, then the interventions made by the pharmacist become fragmented. In team-based care, continuity and clarity of roles should therefore be the measure of team care. The best accepted model is a coordinated sequence in which community members discover or monitor for risk, primary healthcare professionals make the diagnosis and plan the management, and community practitioners assist with treatment adherence and follow-up.</w:t>
      </w:r>
    </w:p>
    <w:p w14:paraId="114945BC" w14:textId="77777777" w:rsidR="00FF7A76" w:rsidRDefault="00FF7A76" w:rsidP="00FF7A76">
      <w:r>
        <w:lastRenderedPageBreak/>
        <w:t>Caution is needed when interpreting adherence to medication. A missed dose can be due to lack of memory, but it can also be due to side effects, cost issues, belief in the absence of symptoms, complex treatments/drug communication problems. Only some mechanisms are targeted by electronic reminders. The evidence on adherence to educational interventions and digital interventions is mixed (Ampofo, Khan and Ibitoye, 2020; McCabe et al., 2026). Effective support involves explaining, involving people in decisions, checking for side-effects, and simplifying the regimen (if safe to do so and can be easily obtained) and facilitating easy access to re-prescribing when needed. Only measuring adherence self-report might also overestimate success.</w:t>
      </w:r>
    </w:p>
    <w:p w14:paraId="4304E768" w14:textId="77777777" w:rsidR="00FF7A76" w:rsidRDefault="00FF7A76" w:rsidP="00FF7A76">
      <w:pPr>
        <w:pStyle w:val="Heading2"/>
      </w:pPr>
      <w:bookmarkStart w:id="42" w:name="_Toc236914525"/>
      <w:bookmarkStart w:id="43" w:name="_Toc237485172"/>
      <w:r>
        <w:t>2.9 Effectiveness, Equity and Implementation</w:t>
      </w:r>
      <w:bookmarkEnd w:id="42"/>
      <w:bookmarkEnd w:id="43"/>
    </w:p>
    <w:p w14:paraId="2E2E5DC5" w14:textId="77777777" w:rsidR="00FF7A76" w:rsidRDefault="00FF7A76" w:rsidP="00FF7A76">
      <w:r>
        <w:t>Effectiveness is multidimensional. Through the process, there are outcomes such as invitation, uptake, valid measurement, referral and diagnostic confirmation. Clinical outcomes include change in systolic and diastolic pressure, achievement of an appropriate target and sustained control. Behavioural outcomes are medication adherence, monitoring and attendance. Equity questions: "Who is reached?" and "Who benefits?". Implementation outcomes include acceptability, staff competence, device quality, workload, interoperability, cost and sustainability. Translating interventions with this framework on the one hand prevents vague judgements that strategies are “good” or “not standard enough”; on the other hand.</w:t>
      </w:r>
    </w:p>
    <w:p w14:paraId="43D01201" w14:textId="77777777" w:rsidR="00FF7A76" w:rsidRDefault="00FF7A76" w:rsidP="00FF7A76">
      <w:r>
        <w:t>Intervention heterogeneity cannot just be dismissed as a statistical nuisance; it is something that needs to be understood. There may be two programmes called community education that are different in terms of professional input, frequency of contact, adaptation to the community, review of medication, and referrals. This may allow the same label to mask diverse mechanisms. The review collates provider, intensity, duration and co-interventions for explanation of apparent contradictions. If an intervention like a multiple-component programme is effective, attributing failure to one component is restricted; if it is not, it is not necessarily an indictment of more intensive community management.</w:t>
      </w:r>
    </w:p>
    <w:p w14:paraId="204F7620" w14:textId="77777777" w:rsidR="00FF7A76" w:rsidRDefault="00FF7A76" w:rsidP="00FF7A76">
      <w:r>
        <w:t xml:space="preserve">The strength of evidence varies among these outcomes. Randomised trials, like HOME BP, can give more causal evidence of blood-pressure change, while observational and qualitative research can give evidence about reach, trust and implementation. Systematic reviews provide wider coverage, but can also merge similar health systems. There's no such thing as a design that answers all the questions. A method may be effective with trial participants who are digitally savvy but not effective at the population level, and a community-validated program </w:t>
      </w:r>
      <w:r>
        <w:lastRenderedPageBreak/>
        <w:t>may have a high uptake but may offer little clinical benefit if referrals are not made. This process therefore must consider the quality of the design, its simplicity and its relationship to the context rather than only its numerical results.</w:t>
      </w:r>
    </w:p>
    <w:p w14:paraId="23736139" w14:textId="77777777" w:rsidR="00FF7A76" w:rsidRDefault="00FF7A76" w:rsidP="00FF7A76">
      <w:r>
        <w:t>The range in age must be broken up. These risks and services needs differ by age; a diabetic 50-year-old may differ from an insecurely employed 42-year-old with a family history, etc. Programmes that are primarily focused on older people may not describe engagement in the younger workforce. But if you were to exclude more general studies of adults, there would be very little evidence of direct studies. The correct answer is to use age-specific data as often as possible, to minimise generalisability when it isn't possible, and to discount it when it is, not to lie about samples as evidence for a specific age range.</w:t>
      </w:r>
    </w:p>
    <w:p w14:paraId="1C659902" w14:textId="77777777" w:rsidR="00FF7A76" w:rsidRDefault="00FF7A76" w:rsidP="00FF7A76">
      <w:r>
        <w:t>Economic and service results should be tied to clinical outcomes. Commissioners must be aware of the costs of a strategy, if there will be a change of workload, if staff will be able to sustain it, and if there will be an increase in capacity for treatment through the process of case finding. Even a low intervention cost doesn't necessarily mean value if the references are not complete: a more intensive model can be efficient if it avoids duplication and enhances control. There is a lack of evidence that tracks the cost elements across community and primary-care contexts. This limits the ability to make confident comparisons between the differing types of pharmacy, digital and group models and facilitates piloting with clear process and resource indicators.</w:t>
      </w:r>
    </w:p>
    <w:p w14:paraId="00AB9847" w14:textId="77777777" w:rsidR="00FF7A76" w:rsidRDefault="00FF7A76" w:rsidP="00FF7A76">
      <w:r>
        <w:t>Results may vary from local to local in the UK. High demand and fragmented care are common in urban settings while also having high numbers of pharmacies and GP services. Transportation constraints, limited providers, and less digital connectivity may be present in rural or peripheral communities. National recommendations are thus not applicable in a single form, but have to be tailored to the local needs. A strategy must be tailored in such a way that it does not alter the clinical core of valid measurement and confirmation, as well as linkage and follow-up. Adaptation and fidelity would be reported to make implementation evidence more useful to commissioners.</w:t>
      </w:r>
    </w:p>
    <w:p w14:paraId="51FD9842" w14:textId="77777777" w:rsidR="00FF7A76" w:rsidRDefault="00FF7A76" w:rsidP="00FF7A76">
      <w:pPr>
        <w:pStyle w:val="Heading2"/>
      </w:pPr>
      <w:bookmarkStart w:id="44" w:name="_Toc236914526"/>
      <w:bookmarkStart w:id="45" w:name="_Toc237485173"/>
      <w:r>
        <w:t>2.10 Theoretical and Conceptual Framework</w:t>
      </w:r>
      <w:bookmarkEnd w:id="44"/>
      <w:bookmarkEnd w:id="45"/>
    </w:p>
    <w:p w14:paraId="08C70C39" w14:textId="77777777" w:rsidR="00FF7A76" w:rsidRDefault="00FF7A76" w:rsidP="00FF7A76">
      <w:r>
        <w:t xml:space="preserve">Income and employment, housing, transport, discrimination and service distribution are some of the pathways through which the SDOH influence exposure and access (Scholes, Conolly and Mindell, 2020; Kimenai et al., 2022). Restricts blame for behaviour but is not sufficient to </w:t>
      </w:r>
      <w:r>
        <w:lastRenderedPageBreak/>
        <w:t>account for individual decision-making. The HBM extends perceived susceptibility, severity, barriers, cues and self-efficacy. Evidence of behaviour change and digital adoption (Etminani et al., 2020; Motta-Yanac et al., 2026) supports this. The frameworks together help to illuminate why the same interventions can have varying outcomes in terms of participation, adherence, and outcomes in communities of different access and resources.</w:t>
      </w:r>
    </w:p>
    <w:p w14:paraId="572CA964" w14:textId="77777777" w:rsidR="00FF7A76" w:rsidRDefault="00FF7A76" w:rsidP="00FF7A76">
      <w:r>
        <w:t>The frameworks complement the conceptual model shown in Figure 2.1. Access to community strategies is dependent on clinical, behavioural, socioeconomic and service factors. Strategies impact the following areas: awareness, self-efficacy, valid measurement, referral completion, adherence and continuity. Outcomes include detection, monitoring and blood-pressure control. The pathway is moderated by age subgroup, ethnicity, access to digital, workforce capacity and interoperability. This whole package is a more integrated approach, because if we give a single explanation, whether it is the belief or the structural disadvantage, it is not a good explanation.</w:t>
      </w:r>
    </w:p>
    <w:p w14:paraId="676B547E" w14:textId="77777777" w:rsidR="00FF7A76" w:rsidRDefault="00FF7A76" w:rsidP="00FF7A76">
      <w:pPr>
        <w:jc w:val="center"/>
      </w:pPr>
      <w:r>
        <w:rPr>
          <w:noProof/>
        </w:rPr>
        <w:drawing>
          <wp:inline distT="0" distB="0" distL="0" distR="0" wp14:anchorId="6B15C1C6" wp14:editId="79D4D034">
            <wp:extent cx="5428856" cy="305535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44608" cy="3064220"/>
                    </a:xfrm>
                    <a:prstGeom prst="rect">
                      <a:avLst/>
                    </a:prstGeom>
                    <a:noFill/>
                  </pic:spPr>
                </pic:pic>
              </a:graphicData>
            </a:graphic>
          </wp:inline>
        </w:drawing>
      </w:r>
    </w:p>
    <w:p w14:paraId="1B954695" w14:textId="77777777" w:rsidR="00FF7A76" w:rsidRPr="002E7962" w:rsidRDefault="00FF7A76" w:rsidP="00FF7A76">
      <w:pPr>
        <w:jc w:val="center"/>
        <w:rPr>
          <w:i/>
          <w:iCs/>
          <w:sz w:val="20"/>
          <w:szCs w:val="18"/>
        </w:rPr>
      </w:pPr>
      <w:r w:rsidRPr="002E7962">
        <w:rPr>
          <w:i/>
          <w:iCs/>
          <w:sz w:val="20"/>
          <w:szCs w:val="18"/>
        </w:rPr>
        <w:t>Figure 2.1: Integrated conceptual framework for community-based hypertension management</w:t>
      </w:r>
    </w:p>
    <w:p w14:paraId="48C18FAE" w14:textId="77777777" w:rsidR="00FF7A76" w:rsidRPr="002E7962" w:rsidRDefault="00FF7A76" w:rsidP="00FF7A76">
      <w:pPr>
        <w:jc w:val="center"/>
        <w:rPr>
          <w:i/>
          <w:iCs/>
          <w:sz w:val="20"/>
          <w:szCs w:val="18"/>
        </w:rPr>
      </w:pPr>
      <w:r w:rsidRPr="002E7962">
        <w:rPr>
          <w:i/>
          <w:iCs/>
          <w:sz w:val="20"/>
          <w:szCs w:val="18"/>
        </w:rPr>
        <w:t>Source: Developed by the researcher from the reviewed evidence.</w:t>
      </w:r>
    </w:p>
    <w:p w14:paraId="44B1DFFA" w14:textId="77777777" w:rsidR="00FF7A76" w:rsidRDefault="00FF7A76" w:rsidP="00FF7A76">
      <w:pPr>
        <w:pStyle w:val="Heading2"/>
      </w:pPr>
      <w:bookmarkStart w:id="46" w:name="_Toc236914527"/>
      <w:bookmarkStart w:id="47" w:name="_Toc237485174"/>
      <w:r>
        <w:t>2.11 Evidence Gap</w:t>
      </w:r>
      <w:bookmarkEnd w:id="46"/>
      <w:bookmarkEnd w:id="47"/>
    </w:p>
    <w:p w14:paraId="76EA4485" w14:textId="77777777" w:rsidR="00FF7A76" w:rsidRDefault="00FF7A76" w:rsidP="00FF7A76">
      <w:r>
        <w:t xml:space="preserve">Five gaps remain. Firstly, there have been few studies in the UK that report on the exact age band of 30-50. Second, emphasis is given to individual steps in the process of screening and </w:t>
      </w:r>
      <w:r>
        <w:lastRenderedPageBreak/>
        <w:t>sustained control rather than the whole process. Third, it is often the case that feasibility or short-term change in pressure is measured in digital and/or pharmacy research without proper reporting of equitable reach. Fourth, Evidence internationally suggests potential mechanisms with less certainty in terms of transferability to NHS organisations. Fifth, there is limited qualitative evidence of the reasons behind the withdrawal of younger adults. The dissertation therefore responds in an innovative way to the three key components of clinical effectiveness, accessibility and implementation, while separating out evidence from outside of the UK from evidence from within, and connecting the evidence to clearly identified stakeholders.</w:t>
      </w:r>
    </w:p>
    <w:p w14:paraId="1453A631" w14:textId="77777777" w:rsidR="00FF7A76" w:rsidRDefault="00FF7A76" w:rsidP="00FF7A76">
      <w:r>
        <w:t>The chasm is methodical and not just substantive. Large systematic reviews may offer statistical power and bring together a heterogeneous range of settings, but small UK implementation studies may offer contextual relevance without adequate causal inferences. There are thus only limited direct data that cover the entire pathway and the precise age group. The review refrains from this by employing a clear hierarchy of directness from UK age-specific evidence, through to adult evidence broadly across the UK, to international synthesis, and finally, conclusions are qualified by design quality and transferability.</w:t>
      </w:r>
    </w:p>
    <w:p w14:paraId="681B73A6" w14:textId="77777777" w:rsidR="00FF7A76" w:rsidRDefault="00FF7A76" w:rsidP="00FF7A76">
      <w:r>
        <w:t>In total, there is no one strategy that is effective throughout the entire management pathway. The evidence is most robust on supported home monitoring and multicomponent intervention, with the most consistent lack of evidence for follow-up, reach, and integration. Community services then should be organised in a manner that reflects a constellation of interdependent services: Entry (or reception), assessment (technical), clinical linkage, treatment support (personalised), and follow-up review. This synthesis also explains that there needs to be a clear actor for every function, the flow of information between providers and how success would be measured over time in the clinical, behavioural, equity, process and implementation outcomes in routine NHS and community practice settings over time and consistently.</w:t>
      </w:r>
    </w:p>
    <w:p w14:paraId="00309CF2" w14:textId="77777777" w:rsidR="00FF7A76" w:rsidRDefault="00FF7A76" w:rsidP="00FF7A76">
      <w:pPr>
        <w:pStyle w:val="Heading2"/>
      </w:pPr>
      <w:bookmarkStart w:id="48" w:name="_Toc236914528"/>
      <w:bookmarkStart w:id="49" w:name="_Toc237485175"/>
      <w:r>
        <w:t>2.12 Chapter Summary</w:t>
      </w:r>
      <w:bookmarkEnd w:id="48"/>
      <w:bookmarkEnd w:id="49"/>
    </w:p>
    <w:p w14:paraId="6401AA22" w14:textId="77777777" w:rsidR="00FF7A76" w:rsidRDefault="00FF7A76" w:rsidP="00FF7A76">
      <w:r w:rsidRPr="00EC20EF">
        <w:t xml:space="preserve">Community-based strategies can have a positive impact on the management of hypertension, but only have an impact when they are effective. For technical quality, Pharmacy screening needs it; for workflow integration, monitoring needs it, not just digital; for education, practical support and clinical support; and for team-based care, clearly defined roles and shared information. There is literature that argues for an integrated approach as opposed to separate campaigns. In Chapter 3, they provide a replicable approach to identifying, evaluating, and </w:t>
      </w:r>
      <w:r w:rsidRPr="00EC20EF">
        <w:lastRenderedPageBreak/>
        <w:t>integrating this eclectic body of data that does not require the construction of statistics or make all studies equally applicable.</w:t>
      </w:r>
    </w:p>
    <w:p w14:paraId="2EE8B95D" w14:textId="77777777" w:rsidR="00FF7A76" w:rsidRDefault="00FF7A76" w:rsidP="00FF7A76">
      <w:r>
        <w:br w:type="page"/>
      </w:r>
    </w:p>
    <w:p w14:paraId="311BF2F0" w14:textId="77777777" w:rsidR="00FF7A76" w:rsidRPr="002F3945" w:rsidRDefault="00FF7A76" w:rsidP="002F3945">
      <w:pPr>
        <w:pStyle w:val="Heading1"/>
      </w:pPr>
      <w:bookmarkStart w:id="50" w:name="_Toc236914529"/>
      <w:bookmarkStart w:id="51" w:name="_Toc237485176"/>
      <w:r w:rsidRPr="006F1DFE">
        <w:lastRenderedPageBreak/>
        <w:t>Chapter 3: Research Methodology</w:t>
      </w:r>
      <w:bookmarkEnd w:id="50"/>
      <w:bookmarkEnd w:id="51"/>
    </w:p>
    <w:p w14:paraId="1843A5F9" w14:textId="77777777" w:rsidR="00FF7A76" w:rsidRDefault="00FF7A76" w:rsidP="00FF7A76">
      <w:pPr>
        <w:pStyle w:val="Heading2"/>
      </w:pPr>
      <w:bookmarkStart w:id="52" w:name="_Toc236914530"/>
      <w:bookmarkStart w:id="53" w:name="_Toc237485177"/>
      <w:r>
        <w:t>3.1 Introduction</w:t>
      </w:r>
      <w:bookmarkEnd w:id="52"/>
      <w:bookmarkEnd w:id="53"/>
    </w:p>
    <w:p w14:paraId="7643118D" w14:textId="297622E0" w:rsidR="00FF7A76" w:rsidRDefault="00FF7A76" w:rsidP="00FF7A76">
      <w:r w:rsidRPr="00207C3B">
        <w:t>In this chapter, the researcher discusses and justifies the methodology used to achieve the research goal of examining community-based approaches in the United Kingdom to the management of hypertension in adults aged 30–50 years. This study was conducted by secondary research as the researcher analysed and reviewed the research materials that had already been collected and produced by other researchers and attempted to find evidence in the researched materials for the intervention in this study. The systematic-review design was used to ensure the identification, selection, appraisal and synthesis of evidence was auditable. The key concepts of the research philosophy, approach, design, information sources, PICO framework, eligibility criteria, PRISMA process, quality appraisal, and data extraction and narrative synthesis are distinguished. It also provides some of the arithmetic behind the study-selection flow and an understanding of the limitations of the screening record in place. The structuring included PICO; eligibility rules used were PICO; methodological quality was judged using design-appropriate appraisal tools</w:t>
      </w:r>
      <w:r w:rsidR="001705A7">
        <w:t>.</w:t>
      </w:r>
    </w:p>
    <w:p w14:paraId="06055519" w14:textId="77777777" w:rsidR="00FF7A76" w:rsidRDefault="00FF7A76" w:rsidP="00FF7A76">
      <w:pPr>
        <w:pStyle w:val="Heading2"/>
      </w:pPr>
      <w:bookmarkStart w:id="54" w:name="_Toc236914531"/>
      <w:bookmarkStart w:id="55" w:name="_Toc237485178"/>
      <w:r>
        <w:t>3.2 Research Philosophy</w:t>
      </w:r>
      <w:bookmarkEnd w:id="54"/>
      <w:bookmarkEnd w:id="55"/>
    </w:p>
    <w:p w14:paraId="159E51C3" w14:textId="77777777" w:rsidR="00FF7A76" w:rsidRDefault="00FF7A76" w:rsidP="00FF7A76">
      <w:r w:rsidRPr="00207C3B">
        <w:t>The review was conducted using a pragmatic approach. Pragmatism does not view quantitative and qualitative knowledge as necessarily better, but rather considers the problem under investigation and the utility of various types of evidence in arriving at a solution (Allemang, Sitter and Dimitropoulos, 2022). This was an appropriate position because there were clinical and implementation aspects to hypertension management in the community. Quantitative studies can report changes in systolic/diastolic blood pressure, uptake of screening, completion of referrals, adherence to medication, and reaching goals of treatment. Qualitative and mixed-methods studies can provide an explanation for why individuals interact with or abstain from pharmacy screening, home monitoring, digital systems, education and peer support. One of the features of pragmatism was that it could be understood that the numerical results and the experiential findings could be treated together and that the methodological edges of each design could be honoured. Clinical effectiveness was not asserted using qualitative evidence, and statistically significant results were not interpreted as evidence for accessibility and acceptability or equity. Each conclusion was followed by the type, quality and directness of evidence provided in support of it.</w:t>
      </w:r>
    </w:p>
    <w:p w14:paraId="75B369B9" w14:textId="77777777" w:rsidR="00FF7A76" w:rsidRDefault="00FF7A76" w:rsidP="00FF7A76">
      <w:pPr>
        <w:pStyle w:val="Heading2"/>
      </w:pPr>
      <w:bookmarkStart w:id="56" w:name="_Toc236914532"/>
      <w:bookmarkStart w:id="57" w:name="_Toc237485179"/>
      <w:r>
        <w:lastRenderedPageBreak/>
        <w:t>3.3 Research Approach and Reasoning</w:t>
      </w:r>
      <w:bookmarkEnd w:id="56"/>
      <w:bookmarkEnd w:id="57"/>
    </w:p>
    <w:p w14:paraId="7EEBCDC6" w14:textId="77777777" w:rsidR="00FF7A76" w:rsidRDefault="00FF7A76" w:rsidP="00FF7A76">
      <w:r>
        <w:t>The secondary method of research was used for this study. Primary research would have been conducted in the form of interviews, questionnaires, observations, clinical measurements or experiments that would have yielded new information. Primary data might have been able to provide insight into the experiences of adults aged between 30-50 and healthcare professionals, however, in order to gain insight into the experiences of the target populations, they would have needed to be recruited, informed consent would have needed to be obtained, the data would have needed to be ethical reviewed, there would have had to be clinical safeguards implemented and a suitably sized sample of participants. Existing evidence summarised in secondary research was more appropriate in comparing across community pharmacies, primary care, homes, digital services and local organisations. With a systematic review, the original empirical studies are first-hand research, and the published results of these studies are second-hand research for the reviewer.</w:t>
      </w:r>
    </w:p>
    <w:p w14:paraId="3742109A" w14:textId="073F09F6" w:rsidR="00FF7A76" w:rsidRDefault="00FF7A76" w:rsidP="00FF7A76">
      <w:r>
        <w:t>Deductive reasoning was mainly used in the review as it had set out categories through the aim, questions and objectives. These areas encompassed the intervention type, screening and awareness, diagnosis and referral, adherence, monitoring, blood-pressure control, access and engagement, equity and organisational implementation. It has been recognised that a restricted number of inductive elements were left in to enable important themes not fully analysed at the start to be captured as subthemes, for example, digital interoperability, trust, staff workload or continuity between community and general-practice records. The mix helped to keep the analysis from becoming overly specific, and to keep it within bounds</w:t>
      </w:r>
      <w:r w:rsidR="001705A7" w:rsidRPr="001705A7">
        <w:t xml:space="preserve"> (A’Court et al., 2022)</w:t>
      </w:r>
      <w:r>
        <w:t>.</w:t>
      </w:r>
    </w:p>
    <w:p w14:paraId="7C83BE88" w14:textId="77777777" w:rsidR="00FF7A76" w:rsidRDefault="00FF7A76" w:rsidP="00FF7A76">
      <w:pPr>
        <w:pStyle w:val="Heading2"/>
      </w:pPr>
      <w:bookmarkStart w:id="58" w:name="_Toc236914533"/>
      <w:bookmarkStart w:id="59" w:name="_Toc237485180"/>
      <w:r>
        <w:t>3.4 Study Design and Review Type</w:t>
      </w:r>
      <w:bookmarkEnd w:id="58"/>
      <w:bookmarkEnd w:id="59"/>
    </w:p>
    <w:p w14:paraId="65315865" w14:textId="77777777" w:rsidR="00FF7A76" w:rsidRDefault="00FF7A76" w:rsidP="00FF7A76">
      <w:r>
        <w:t>A systematic review with narrative analysis was chosen. A systematic review differs in a number of ways from a conventional review of literature, such as follows: it has a clearly formulated research question, a specific search strategy, predetermined eligibility criteria, an explicit and reasonable process for screening, a critical appraisal stage, and a reproducible extraction of data. These are to prevent the sources being chosen because of a preferred outcome (Siddaway, Wood and Hedges, 2019). The review was not a scoping review because it went beyond mapping the available literature; it also assessed outcomes of interventions, barriers to implementing tools and resources, and quality and applicability of the evidence to the UK target population.</w:t>
      </w:r>
    </w:p>
    <w:p w14:paraId="31191799" w14:textId="0508F206" w:rsidR="00FF7A76" w:rsidRDefault="00ED3550" w:rsidP="00FF7A76">
      <w:r>
        <w:lastRenderedPageBreak/>
        <w:t xml:space="preserve"> </w:t>
      </w:r>
      <w:r w:rsidR="00FF7A76">
        <w:t>The studies were from diverse populations, settings, intervention components, follow-up durations and outcome definitions. Reporting might include, for instance, number of elevated readings, number of completed referrals, mean systolic change or qualitative study reporting level of confidence or digital barriers. Clinically and statistically, these data could not be combined into an overall effect. Structured narrative synthesis was thus considered suitable, as long as studies were included in the group in a clear and transparent way, numerical outcomes remained in the same units throughout the synthesis and differences in outcomes across studies would be explained rather than hidden (Campbell et al., 2020).</w:t>
      </w:r>
    </w:p>
    <w:p w14:paraId="2AAB1A8E" w14:textId="77777777" w:rsidR="00FF7A76" w:rsidRDefault="00FF7A76" w:rsidP="00FF7A76">
      <w:pPr>
        <w:pStyle w:val="Heading2"/>
      </w:pPr>
      <w:bookmarkStart w:id="60" w:name="_Toc236914534"/>
      <w:bookmarkStart w:id="61" w:name="_Toc237485181"/>
      <w:r>
        <w:t>3.5 Review Question and PICO Framework</w:t>
      </w:r>
      <w:bookmarkEnd w:id="60"/>
      <w:bookmarkEnd w:id="61"/>
    </w:p>
    <w:p w14:paraId="0126887D" w14:textId="77777777" w:rsidR="00FF7A76" w:rsidRDefault="00FF7A76" w:rsidP="00FF7A76">
      <w:r>
        <w:t>The question for the review was: What are the community-based strategies for hypertension management among adults aged 30–50 years in the UK, and what their effectiveness and accessibility are, as well as their influence on implementation? PICO represents Population, Intervention, Comparison and Outcome. It framed the question and eligibility criteria but hasn't analysed the results and replaced PRISMA. The main population consisted of adults (30-50 years) diagnosed with hypertension, elevated blood pressure or eligible for community case finding who reside in the UK. Broad adult population studies were included only when the indirectness was explicitly indicated or relevant information could be gleaned from these studies. Low income and deprivation were not considered as mutually replaceable definitions of population.</w:t>
      </w:r>
    </w:p>
    <w:p w14:paraId="3E4EE127" w14:textId="77777777" w:rsidR="00FF7A76" w:rsidRDefault="00FF7A76" w:rsidP="00FF7A76">
      <w:r>
        <w:t>Eligible interventions were community-pharmacy screening, home or ambulatory monitoring, digital support, teleconsultation, health education, lifestyle counselling, medication-adherence assistance, nurse- or pharmacist-led management, peer or family support and referral to primary care. Delivered by another method or pre-intervention status (as appropriate) were included as comparators as needed. For qualitative and implementation research, a formal comparator did not have to be provided. Awareness, uptake of screening, accurate measurement, identifying raised BP, referrals, adherence, reduction or control of BP, access, engagement, acceptability, sustainability and service integration were the outcomes included.</w:t>
      </w:r>
    </w:p>
    <w:p w14:paraId="7320626B" w14:textId="77777777" w:rsidR="00FF7A76" w:rsidRDefault="00FF7A76" w:rsidP="00FF7A76">
      <w:r>
        <w:t>Table 3.1: PICO framework and review application</w:t>
      </w:r>
    </w:p>
    <w:tbl>
      <w:tblPr>
        <w:tblStyle w:val="PlainTable1"/>
        <w:tblW w:w="0" w:type="auto"/>
        <w:tblLook w:val="04A0" w:firstRow="1" w:lastRow="0" w:firstColumn="1" w:lastColumn="0" w:noHBand="0" w:noVBand="1"/>
      </w:tblPr>
      <w:tblGrid>
        <w:gridCol w:w="1500"/>
        <w:gridCol w:w="7516"/>
      </w:tblGrid>
      <w:tr w:rsidR="00FF7A76" w:rsidRPr="006F1DFE" w14:paraId="41327DB8" w14:textId="77777777" w:rsidTr="00D72F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3C6C9297" w14:textId="77777777" w:rsidR="00FF7A76" w:rsidRPr="006F1DFE" w:rsidRDefault="00FF7A76" w:rsidP="00DB66B5">
            <w:pPr>
              <w:rPr>
                <w:b w:val="0"/>
                <w:bCs w:val="0"/>
                <w:sz w:val="22"/>
                <w:szCs w:val="20"/>
              </w:rPr>
            </w:pPr>
            <w:r w:rsidRPr="006F1DFE">
              <w:rPr>
                <w:sz w:val="22"/>
                <w:szCs w:val="20"/>
              </w:rPr>
              <w:t>Component</w:t>
            </w:r>
          </w:p>
        </w:tc>
        <w:tc>
          <w:tcPr>
            <w:tcW w:w="8437" w:type="dxa"/>
          </w:tcPr>
          <w:p w14:paraId="2C407E1A" w14:textId="77777777" w:rsidR="00FF7A76" w:rsidRPr="006F1DFE" w:rsidRDefault="00FF7A76" w:rsidP="00DB66B5">
            <w:pPr>
              <w:cnfStyle w:val="100000000000" w:firstRow="1" w:lastRow="0" w:firstColumn="0" w:lastColumn="0" w:oddVBand="0" w:evenVBand="0" w:oddHBand="0" w:evenHBand="0" w:firstRowFirstColumn="0" w:firstRowLastColumn="0" w:lastRowFirstColumn="0" w:lastRowLastColumn="0"/>
              <w:rPr>
                <w:b w:val="0"/>
                <w:bCs w:val="0"/>
                <w:sz w:val="22"/>
                <w:szCs w:val="20"/>
              </w:rPr>
            </w:pPr>
            <w:r w:rsidRPr="006F1DFE">
              <w:rPr>
                <w:sz w:val="22"/>
                <w:szCs w:val="20"/>
              </w:rPr>
              <w:t>Application to the review</w:t>
            </w:r>
          </w:p>
        </w:tc>
      </w:tr>
      <w:tr w:rsidR="00FF7A76" w:rsidRPr="006F1DFE" w14:paraId="0E5A398D" w14:textId="77777777" w:rsidTr="00D72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90DC041" w14:textId="77777777" w:rsidR="00FF7A76" w:rsidRPr="006F1DFE" w:rsidRDefault="00FF7A76" w:rsidP="00DB66B5">
            <w:pPr>
              <w:rPr>
                <w:sz w:val="22"/>
                <w:szCs w:val="20"/>
              </w:rPr>
            </w:pPr>
            <w:r w:rsidRPr="006F1DFE">
              <w:rPr>
                <w:sz w:val="22"/>
                <w:szCs w:val="20"/>
              </w:rPr>
              <w:lastRenderedPageBreak/>
              <w:t>Population</w:t>
            </w:r>
          </w:p>
        </w:tc>
        <w:tc>
          <w:tcPr>
            <w:tcW w:w="8437" w:type="dxa"/>
          </w:tcPr>
          <w:p w14:paraId="2F95513C" w14:textId="77777777" w:rsidR="00FF7A76" w:rsidRPr="006F1DFE" w:rsidRDefault="00FF7A76" w:rsidP="00DB66B5">
            <w:pPr>
              <w:cnfStyle w:val="000000100000" w:firstRow="0" w:lastRow="0" w:firstColumn="0" w:lastColumn="0" w:oddVBand="0" w:evenVBand="0" w:oddHBand="1" w:evenHBand="0" w:firstRowFirstColumn="0" w:firstRowLastColumn="0" w:lastRowFirstColumn="0" w:lastRowLastColumn="0"/>
              <w:rPr>
                <w:sz w:val="22"/>
                <w:szCs w:val="20"/>
              </w:rPr>
            </w:pPr>
            <w:r w:rsidRPr="006F1DFE">
              <w:rPr>
                <w:sz w:val="22"/>
                <w:szCs w:val="20"/>
              </w:rPr>
              <w:t>UK adults aged 30–50 with diagnosed hypertension, elevated blood pressure or eligibility for community case finding; broader samples only where relevance was extractable or explicitly indirect.</w:t>
            </w:r>
          </w:p>
        </w:tc>
      </w:tr>
      <w:tr w:rsidR="00FF7A76" w:rsidRPr="006F1DFE" w14:paraId="71CA8CC6" w14:textId="77777777" w:rsidTr="00D72F38">
        <w:tc>
          <w:tcPr>
            <w:cnfStyle w:val="001000000000" w:firstRow="0" w:lastRow="0" w:firstColumn="1" w:lastColumn="0" w:oddVBand="0" w:evenVBand="0" w:oddHBand="0" w:evenHBand="0" w:firstRowFirstColumn="0" w:firstRowLastColumn="0" w:lastRowFirstColumn="0" w:lastRowLastColumn="0"/>
            <w:tcW w:w="1345" w:type="dxa"/>
          </w:tcPr>
          <w:p w14:paraId="365E8607" w14:textId="77777777" w:rsidR="00FF7A76" w:rsidRPr="006F1DFE" w:rsidRDefault="00FF7A76" w:rsidP="00DB66B5">
            <w:pPr>
              <w:rPr>
                <w:sz w:val="22"/>
                <w:szCs w:val="20"/>
              </w:rPr>
            </w:pPr>
            <w:r w:rsidRPr="006F1DFE">
              <w:rPr>
                <w:sz w:val="22"/>
                <w:szCs w:val="20"/>
              </w:rPr>
              <w:t>Intervention</w:t>
            </w:r>
          </w:p>
        </w:tc>
        <w:tc>
          <w:tcPr>
            <w:tcW w:w="8437" w:type="dxa"/>
          </w:tcPr>
          <w:p w14:paraId="63489009" w14:textId="77777777" w:rsidR="00FF7A76" w:rsidRPr="006F1DFE" w:rsidRDefault="00FF7A76" w:rsidP="00DB66B5">
            <w:pPr>
              <w:cnfStyle w:val="000000000000" w:firstRow="0" w:lastRow="0" w:firstColumn="0" w:lastColumn="0" w:oddVBand="0" w:evenVBand="0" w:oddHBand="0" w:evenHBand="0" w:firstRowFirstColumn="0" w:firstRowLastColumn="0" w:lastRowFirstColumn="0" w:lastRowLastColumn="0"/>
              <w:rPr>
                <w:sz w:val="22"/>
                <w:szCs w:val="20"/>
              </w:rPr>
            </w:pPr>
            <w:r w:rsidRPr="006F1DFE">
              <w:rPr>
                <w:sz w:val="22"/>
                <w:szCs w:val="20"/>
              </w:rPr>
              <w:t>Community pharmacy, home monitoring, digital health, telemedicine, education, lifestyle support, adherence assistance, nurse/pharmacist-led management, peer/family support and referral.</w:t>
            </w:r>
          </w:p>
        </w:tc>
      </w:tr>
      <w:tr w:rsidR="00FF7A76" w:rsidRPr="006F1DFE" w14:paraId="4F1AF52D" w14:textId="77777777" w:rsidTr="00D72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2876A2A" w14:textId="77777777" w:rsidR="00FF7A76" w:rsidRPr="006F1DFE" w:rsidRDefault="00FF7A76" w:rsidP="00DB66B5">
            <w:pPr>
              <w:rPr>
                <w:sz w:val="22"/>
                <w:szCs w:val="20"/>
              </w:rPr>
            </w:pPr>
            <w:r w:rsidRPr="006F1DFE">
              <w:rPr>
                <w:sz w:val="22"/>
                <w:szCs w:val="20"/>
              </w:rPr>
              <w:t>Comparison</w:t>
            </w:r>
          </w:p>
        </w:tc>
        <w:tc>
          <w:tcPr>
            <w:tcW w:w="8437" w:type="dxa"/>
          </w:tcPr>
          <w:p w14:paraId="200085D5" w14:textId="77777777" w:rsidR="00FF7A76" w:rsidRPr="006F1DFE" w:rsidRDefault="00FF7A76" w:rsidP="00DB66B5">
            <w:pPr>
              <w:cnfStyle w:val="000000100000" w:firstRow="0" w:lastRow="0" w:firstColumn="0" w:lastColumn="0" w:oddVBand="0" w:evenVBand="0" w:oddHBand="1" w:evenHBand="0" w:firstRowFirstColumn="0" w:firstRowLastColumn="0" w:lastRowFirstColumn="0" w:lastRowLastColumn="0"/>
              <w:rPr>
                <w:sz w:val="22"/>
                <w:szCs w:val="20"/>
              </w:rPr>
            </w:pPr>
            <w:r w:rsidRPr="006F1DFE">
              <w:rPr>
                <w:sz w:val="22"/>
                <w:szCs w:val="20"/>
              </w:rPr>
              <w:t>Usual care, no intervention, alternative delivery model or baseline status where applicable; not compulsory for qualitative or implementation studies.</w:t>
            </w:r>
          </w:p>
        </w:tc>
      </w:tr>
      <w:tr w:rsidR="00FF7A76" w:rsidRPr="006F1DFE" w14:paraId="0B333DB6" w14:textId="77777777" w:rsidTr="00D72F38">
        <w:tc>
          <w:tcPr>
            <w:cnfStyle w:val="001000000000" w:firstRow="0" w:lastRow="0" w:firstColumn="1" w:lastColumn="0" w:oddVBand="0" w:evenVBand="0" w:oddHBand="0" w:evenHBand="0" w:firstRowFirstColumn="0" w:firstRowLastColumn="0" w:lastRowFirstColumn="0" w:lastRowLastColumn="0"/>
            <w:tcW w:w="1345" w:type="dxa"/>
          </w:tcPr>
          <w:p w14:paraId="583CA40D" w14:textId="77777777" w:rsidR="00FF7A76" w:rsidRPr="006F1DFE" w:rsidRDefault="00FF7A76" w:rsidP="00DB66B5">
            <w:pPr>
              <w:rPr>
                <w:sz w:val="22"/>
                <w:szCs w:val="20"/>
              </w:rPr>
            </w:pPr>
            <w:r w:rsidRPr="006F1DFE">
              <w:rPr>
                <w:sz w:val="22"/>
                <w:szCs w:val="20"/>
              </w:rPr>
              <w:t>Outcome</w:t>
            </w:r>
          </w:p>
        </w:tc>
        <w:tc>
          <w:tcPr>
            <w:tcW w:w="8437" w:type="dxa"/>
          </w:tcPr>
          <w:p w14:paraId="296E655C" w14:textId="77777777" w:rsidR="00FF7A76" w:rsidRPr="006F1DFE" w:rsidRDefault="00FF7A76" w:rsidP="00DB66B5">
            <w:pPr>
              <w:cnfStyle w:val="000000000000" w:firstRow="0" w:lastRow="0" w:firstColumn="0" w:lastColumn="0" w:oddVBand="0" w:evenVBand="0" w:oddHBand="0" w:evenHBand="0" w:firstRowFirstColumn="0" w:firstRowLastColumn="0" w:lastRowFirstColumn="0" w:lastRowLastColumn="0"/>
              <w:rPr>
                <w:sz w:val="22"/>
                <w:szCs w:val="20"/>
              </w:rPr>
            </w:pPr>
            <w:r w:rsidRPr="006F1DFE">
              <w:rPr>
                <w:sz w:val="22"/>
                <w:szCs w:val="20"/>
              </w:rPr>
              <w:t>Awareness, screening uptake, measurement, identification, referral, adherence, monitoring, blood-pressure change/control, access, engagement, equity and implementation.</w:t>
            </w:r>
          </w:p>
        </w:tc>
      </w:tr>
      <w:tr w:rsidR="00FF7A76" w:rsidRPr="006F1DFE" w14:paraId="5E80EBE0" w14:textId="77777777" w:rsidTr="00D72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7D326F0" w14:textId="77777777" w:rsidR="00FF7A76" w:rsidRPr="006F1DFE" w:rsidRDefault="00FF7A76" w:rsidP="00DB66B5">
            <w:pPr>
              <w:rPr>
                <w:sz w:val="22"/>
                <w:szCs w:val="20"/>
              </w:rPr>
            </w:pPr>
            <w:r w:rsidRPr="006F1DFE">
              <w:rPr>
                <w:sz w:val="22"/>
                <w:szCs w:val="20"/>
              </w:rPr>
              <w:t>Context</w:t>
            </w:r>
          </w:p>
        </w:tc>
        <w:tc>
          <w:tcPr>
            <w:tcW w:w="8437" w:type="dxa"/>
          </w:tcPr>
          <w:p w14:paraId="0A89AB65" w14:textId="77777777" w:rsidR="00FF7A76" w:rsidRPr="006F1DFE" w:rsidRDefault="00FF7A76" w:rsidP="00DB66B5">
            <w:pPr>
              <w:cnfStyle w:val="000000100000" w:firstRow="0" w:lastRow="0" w:firstColumn="0" w:lastColumn="0" w:oddVBand="0" w:evenVBand="0" w:oddHBand="1" w:evenHBand="0" w:firstRowFirstColumn="0" w:firstRowLastColumn="0" w:lastRowFirstColumn="0" w:lastRowLastColumn="0"/>
              <w:rPr>
                <w:sz w:val="22"/>
                <w:szCs w:val="20"/>
              </w:rPr>
            </w:pPr>
            <w:r w:rsidRPr="006F1DFE">
              <w:rPr>
                <w:sz w:val="22"/>
                <w:szCs w:val="20"/>
              </w:rPr>
              <w:t>Community pharmacy, primary care, home, outreach, voluntary organisation, workplace or digital service connected with clinical care; context is not a fifth PICO element.</w:t>
            </w:r>
          </w:p>
        </w:tc>
      </w:tr>
    </w:tbl>
    <w:p w14:paraId="12E5D455" w14:textId="77777777" w:rsidR="00FF7A76" w:rsidRDefault="00FF7A76" w:rsidP="00FF7A76"/>
    <w:p w14:paraId="160F8032" w14:textId="77777777" w:rsidR="00FF7A76" w:rsidRDefault="00FF7A76" w:rsidP="00FF7A76">
      <w:pPr>
        <w:pStyle w:val="Heading2"/>
      </w:pPr>
      <w:bookmarkStart w:id="62" w:name="_Toc236914535"/>
      <w:bookmarkStart w:id="63" w:name="_Toc237485182"/>
      <w:r>
        <w:t>3.6 Information Sources and Search Strategy</w:t>
      </w:r>
      <w:bookmarkEnd w:id="62"/>
      <w:bookmarkEnd w:id="63"/>
    </w:p>
    <w:p w14:paraId="53FD2967" w14:textId="1B062011" w:rsidR="00ED3550" w:rsidRDefault="00ED3550" w:rsidP="00ED3550">
      <w:r>
        <w:t>The information-source and search strategy was designed based on population, intervention, comparison and outcomes defined in the PICO framework described in Section 3.5. This framework was adopted to break down the research question into searchable concepts, and to ensure consistency between the search and the study goals. A search for relevant journals was conducted from 24 June to 7 July 2026 in the electronic databases Embase, CINAHL, PubMed/MEDLINE, PubMed Central and Google Scholar as well as hand searching. These sources were chosen to ensure coverage of the medical, pharmaceutical, nursing and allied-health and public-health literature.</w:t>
      </w:r>
    </w:p>
    <w:p w14:paraId="3738720C" w14:textId="322A4782" w:rsidR="00FF7A76" w:rsidRDefault="00ED3550" w:rsidP="00ED3550">
      <w:r>
        <w:t xml:space="preserve">The search was conducted by using the keywords and synonyms as well as subject headings in the databases used. The alternative terms within each concept were joined with the Boolean operator OR, the different concepts were joined with the Boolean operator AND. The primary search word included hypertension, community based interventions, adults (aged 30-50) and UK. An example was: (hypertension OR “high blood pressure”) AND (“community based intervention” OR “community pharmacy” OR “home blood pressure monitoring” OR telemedicine OR “digital health”) AND (adult* OR “30–50 years”) AND (“United Kingdom” OR UK OR England OR Scotland OR Wales OR “Northern Ireland”). Only publications in the </w:t>
      </w:r>
      <w:r>
        <w:lastRenderedPageBreak/>
        <w:t>English language (2024–2026) were searched. Any necessary syntax adjustments were made for the specific database and duplicate records were eliminated prior to screening. The process of searching was recorded transparently, following the guidance outlined in PRISMA-S (Rethlefsen et al. 2021). This was a procedure that facilitated a repeatable and traceable evidence identification process.</w:t>
      </w:r>
    </w:p>
    <w:p w14:paraId="0B7C197E" w14:textId="77777777" w:rsidR="00FF7A76" w:rsidRDefault="00FF7A76" w:rsidP="00FF7A76">
      <w:r>
        <w:t>Table 3.2: Documented database-search outcomes</w:t>
      </w:r>
    </w:p>
    <w:tbl>
      <w:tblPr>
        <w:tblStyle w:val="TableGridLight"/>
        <w:tblW w:w="0" w:type="auto"/>
        <w:tblLook w:val="04A0" w:firstRow="1" w:lastRow="0" w:firstColumn="1" w:lastColumn="0" w:noHBand="0" w:noVBand="1"/>
      </w:tblPr>
      <w:tblGrid>
        <w:gridCol w:w="2140"/>
        <w:gridCol w:w="1242"/>
        <w:gridCol w:w="1759"/>
        <w:gridCol w:w="1652"/>
        <w:gridCol w:w="2223"/>
      </w:tblGrid>
      <w:tr w:rsidR="00B9080B" w:rsidRPr="00B9080B" w14:paraId="40EF9CD3" w14:textId="77777777" w:rsidTr="00B9080B">
        <w:tc>
          <w:tcPr>
            <w:tcW w:w="0" w:type="auto"/>
            <w:hideMark/>
          </w:tcPr>
          <w:p w14:paraId="510C9378" w14:textId="77777777" w:rsidR="00B9080B" w:rsidRPr="00B9080B" w:rsidRDefault="00B9080B" w:rsidP="00B9080B">
            <w:pPr>
              <w:rPr>
                <w:b/>
                <w:bCs/>
                <w:lang w:val="en-US"/>
              </w:rPr>
            </w:pPr>
            <w:r w:rsidRPr="00B9080B">
              <w:rPr>
                <w:b/>
                <w:bCs/>
                <w:lang w:val="en-US"/>
              </w:rPr>
              <w:t>Information source</w:t>
            </w:r>
          </w:p>
        </w:tc>
        <w:tc>
          <w:tcPr>
            <w:tcW w:w="0" w:type="auto"/>
            <w:hideMark/>
          </w:tcPr>
          <w:p w14:paraId="6A82554F" w14:textId="77777777" w:rsidR="00B9080B" w:rsidRPr="00B9080B" w:rsidRDefault="00B9080B" w:rsidP="00B9080B">
            <w:pPr>
              <w:rPr>
                <w:b/>
                <w:bCs/>
                <w:lang w:val="en-US"/>
              </w:rPr>
            </w:pPr>
            <w:r w:rsidRPr="00B9080B">
              <w:rPr>
                <w:b/>
                <w:bCs/>
                <w:lang w:val="en-US"/>
              </w:rPr>
              <w:t>Search date</w:t>
            </w:r>
          </w:p>
        </w:tc>
        <w:tc>
          <w:tcPr>
            <w:tcW w:w="0" w:type="auto"/>
            <w:hideMark/>
          </w:tcPr>
          <w:p w14:paraId="250F9510" w14:textId="77777777" w:rsidR="00B9080B" w:rsidRPr="00B9080B" w:rsidRDefault="00B9080B" w:rsidP="00B9080B">
            <w:pPr>
              <w:rPr>
                <w:b/>
                <w:bCs/>
                <w:lang w:val="en-US"/>
              </w:rPr>
            </w:pPr>
            <w:r w:rsidRPr="00B9080B">
              <w:rPr>
                <w:b/>
                <w:bCs/>
                <w:lang w:val="en-US"/>
              </w:rPr>
              <w:t>Publication period</w:t>
            </w:r>
          </w:p>
        </w:tc>
        <w:tc>
          <w:tcPr>
            <w:tcW w:w="0" w:type="auto"/>
            <w:hideMark/>
          </w:tcPr>
          <w:p w14:paraId="61D646B9" w14:textId="77777777" w:rsidR="00B9080B" w:rsidRPr="00B9080B" w:rsidRDefault="00B9080B" w:rsidP="00B9080B">
            <w:pPr>
              <w:rPr>
                <w:b/>
                <w:bCs/>
                <w:lang w:val="en-US"/>
              </w:rPr>
            </w:pPr>
            <w:r w:rsidRPr="00B9080B">
              <w:rPr>
                <w:b/>
                <w:bCs/>
                <w:lang w:val="en-US"/>
              </w:rPr>
              <w:t>Records identified</w:t>
            </w:r>
          </w:p>
        </w:tc>
        <w:tc>
          <w:tcPr>
            <w:tcW w:w="0" w:type="auto"/>
            <w:hideMark/>
          </w:tcPr>
          <w:p w14:paraId="74642515" w14:textId="77777777" w:rsidR="00B9080B" w:rsidRPr="00B9080B" w:rsidRDefault="00B9080B" w:rsidP="00B9080B">
            <w:pPr>
              <w:rPr>
                <w:b/>
                <w:bCs/>
                <w:lang w:val="en-US"/>
              </w:rPr>
            </w:pPr>
            <w:r w:rsidRPr="00B9080B">
              <w:rPr>
                <w:b/>
                <w:bCs/>
                <w:lang w:val="en-US"/>
              </w:rPr>
              <w:t>Unique studies first identified</w:t>
            </w:r>
          </w:p>
        </w:tc>
      </w:tr>
      <w:tr w:rsidR="00B9080B" w:rsidRPr="00B9080B" w14:paraId="05512250" w14:textId="77777777" w:rsidTr="00B9080B">
        <w:tc>
          <w:tcPr>
            <w:tcW w:w="0" w:type="auto"/>
            <w:hideMark/>
          </w:tcPr>
          <w:p w14:paraId="436030C8" w14:textId="77777777" w:rsidR="00B9080B" w:rsidRPr="00B9080B" w:rsidRDefault="00B9080B" w:rsidP="00B9080B">
            <w:pPr>
              <w:rPr>
                <w:lang w:val="en-US"/>
              </w:rPr>
            </w:pPr>
            <w:r w:rsidRPr="00B9080B">
              <w:rPr>
                <w:lang w:val="en-US"/>
              </w:rPr>
              <w:t>Embase</w:t>
            </w:r>
          </w:p>
        </w:tc>
        <w:tc>
          <w:tcPr>
            <w:tcW w:w="0" w:type="auto"/>
            <w:hideMark/>
          </w:tcPr>
          <w:p w14:paraId="5C3C323C" w14:textId="77777777" w:rsidR="00B9080B" w:rsidRPr="00B9080B" w:rsidRDefault="00B9080B" w:rsidP="00B9080B">
            <w:pPr>
              <w:rPr>
                <w:lang w:val="en-US"/>
              </w:rPr>
            </w:pPr>
            <w:r w:rsidRPr="00B9080B">
              <w:rPr>
                <w:lang w:val="en-US"/>
              </w:rPr>
              <w:t>24 June 2026</w:t>
            </w:r>
          </w:p>
        </w:tc>
        <w:tc>
          <w:tcPr>
            <w:tcW w:w="0" w:type="auto"/>
            <w:hideMark/>
          </w:tcPr>
          <w:p w14:paraId="0C600FE0" w14:textId="77777777" w:rsidR="00B9080B" w:rsidRPr="00B9080B" w:rsidRDefault="00B9080B" w:rsidP="00B9080B">
            <w:pPr>
              <w:rPr>
                <w:lang w:val="en-US"/>
              </w:rPr>
            </w:pPr>
            <w:r w:rsidRPr="00B9080B">
              <w:rPr>
                <w:lang w:val="en-US"/>
              </w:rPr>
              <w:t>2024–2026</w:t>
            </w:r>
          </w:p>
        </w:tc>
        <w:tc>
          <w:tcPr>
            <w:tcW w:w="0" w:type="auto"/>
            <w:hideMark/>
          </w:tcPr>
          <w:p w14:paraId="5C4DC350" w14:textId="77777777" w:rsidR="00B9080B" w:rsidRPr="00B9080B" w:rsidRDefault="00B9080B" w:rsidP="00B9080B">
            <w:pPr>
              <w:rPr>
                <w:lang w:val="en-US"/>
              </w:rPr>
            </w:pPr>
            <w:r w:rsidRPr="00B9080B">
              <w:rPr>
                <w:lang w:val="en-US"/>
              </w:rPr>
              <w:t>150</w:t>
            </w:r>
          </w:p>
        </w:tc>
        <w:tc>
          <w:tcPr>
            <w:tcW w:w="0" w:type="auto"/>
            <w:hideMark/>
          </w:tcPr>
          <w:p w14:paraId="2E4AC415" w14:textId="77777777" w:rsidR="00B9080B" w:rsidRPr="00B9080B" w:rsidRDefault="00B9080B" w:rsidP="00B9080B">
            <w:pPr>
              <w:rPr>
                <w:lang w:val="en-US"/>
              </w:rPr>
            </w:pPr>
            <w:r w:rsidRPr="00B9080B">
              <w:rPr>
                <w:lang w:val="en-US"/>
              </w:rPr>
              <w:t>2</w:t>
            </w:r>
          </w:p>
        </w:tc>
      </w:tr>
      <w:tr w:rsidR="00B9080B" w:rsidRPr="00B9080B" w14:paraId="6E606B55" w14:textId="77777777" w:rsidTr="00B9080B">
        <w:tc>
          <w:tcPr>
            <w:tcW w:w="0" w:type="auto"/>
            <w:hideMark/>
          </w:tcPr>
          <w:p w14:paraId="149E11E2" w14:textId="77777777" w:rsidR="00B9080B" w:rsidRPr="00B9080B" w:rsidRDefault="00B9080B" w:rsidP="00B9080B">
            <w:pPr>
              <w:rPr>
                <w:lang w:val="en-US"/>
              </w:rPr>
            </w:pPr>
            <w:r w:rsidRPr="00B9080B">
              <w:rPr>
                <w:lang w:val="en-US"/>
              </w:rPr>
              <w:t>CINAHL</w:t>
            </w:r>
          </w:p>
        </w:tc>
        <w:tc>
          <w:tcPr>
            <w:tcW w:w="0" w:type="auto"/>
            <w:hideMark/>
          </w:tcPr>
          <w:p w14:paraId="0F20D522" w14:textId="77777777" w:rsidR="00B9080B" w:rsidRPr="00B9080B" w:rsidRDefault="00B9080B" w:rsidP="00B9080B">
            <w:pPr>
              <w:rPr>
                <w:lang w:val="en-US"/>
              </w:rPr>
            </w:pPr>
            <w:r w:rsidRPr="00B9080B">
              <w:rPr>
                <w:lang w:val="en-US"/>
              </w:rPr>
              <w:t>27 June 2026</w:t>
            </w:r>
          </w:p>
        </w:tc>
        <w:tc>
          <w:tcPr>
            <w:tcW w:w="0" w:type="auto"/>
            <w:hideMark/>
          </w:tcPr>
          <w:p w14:paraId="799D3E82" w14:textId="77777777" w:rsidR="00B9080B" w:rsidRPr="00B9080B" w:rsidRDefault="00B9080B" w:rsidP="00B9080B">
            <w:pPr>
              <w:rPr>
                <w:lang w:val="en-US"/>
              </w:rPr>
            </w:pPr>
            <w:r w:rsidRPr="00B9080B">
              <w:rPr>
                <w:lang w:val="en-US"/>
              </w:rPr>
              <w:t>2024–2026</w:t>
            </w:r>
          </w:p>
        </w:tc>
        <w:tc>
          <w:tcPr>
            <w:tcW w:w="0" w:type="auto"/>
            <w:hideMark/>
          </w:tcPr>
          <w:p w14:paraId="2073F42B" w14:textId="77777777" w:rsidR="00B9080B" w:rsidRPr="00B9080B" w:rsidRDefault="00B9080B" w:rsidP="00B9080B">
            <w:pPr>
              <w:rPr>
                <w:lang w:val="en-US"/>
              </w:rPr>
            </w:pPr>
            <w:r w:rsidRPr="00B9080B">
              <w:rPr>
                <w:lang w:val="en-US"/>
              </w:rPr>
              <w:t>60</w:t>
            </w:r>
          </w:p>
        </w:tc>
        <w:tc>
          <w:tcPr>
            <w:tcW w:w="0" w:type="auto"/>
            <w:hideMark/>
          </w:tcPr>
          <w:p w14:paraId="1B6AE1AD" w14:textId="77777777" w:rsidR="00B9080B" w:rsidRPr="00B9080B" w:rsidRDefault="00B9080B" w:rsidP="00B9080B">
            <w:pPr>
              <w:rPr>
                <w:lang w:val="en-US"/>
              </w:rPr>
            </w:pPr>
            <w:r w:rsidRPr="00B9080B">
              <w:rPr>
                <w:lang w:val="en-US"/>
              </w:rPr>
              <w:t>1</w:t>
            </w:r>
          </w:p>
        </w:tc>
      </w:tr>
      <w:tr w:rsidR="00B9080B" w:rsidRPr="00B9080B" w14:paraId="4DFAA979" w14:textId="77777777" w:rsidTr="00B9080B">
        <w:tc>
          <w:tcPr>
            <w:tcW w:w="0" w:type="auto"/>
            <w:hideMark/>
          </w:tcPr>
          <w:p w14:paraId="040292A5" w14:textId="77777777" w:rsidR="00B9080B" w:rsidRPr="00B9080B" w:rsidRDefault="00B9080B" w:rsidP="00B9080B">
            <w:pPr>
              <w:rPr>
                <w:lang w:val="en-US"/>
              </w:rPr>
            </w:pPr>
            <w:r w:rsidRPr="00B9080B">
              <w:rPr>
                <w:lang w:val="en-US"/>
              </w:rPr>
              <w:t>PubMed/MEDLINE</w:t>
            </w:r>
          </w:p>
        </w:tc>
        <w:tc>
          <w:tcPr>
            <w:tcW w:w="0" w:type="auto"/>
            <w:hideMark/>
          </w:tcPr>
          <w:p w14:paraId="71C073AB" w14:textId="77777777" w:rsidR="00B9080B" w:rsidRPr="00B9080B" w:rsidRDefault="00B9080B" w:rsidP="00B9080B">
            <w:pPr>
              <w:rPr>
                <w:lang w:val="en-US"/>
              </w:rPr>
            </w:pPr>
            <w:r w:rsidRPr="00B9080B">
              <w:rPr>
                <w:lang w:val="en-US"/>
              </w:rPr>
              <w:t>30 June 2026</w:t>
            </w:r>
          </w:p>
        </w:tc>
        <w:tc>
          <w:tcPr>
            <w:tcW w:w="0" w:type="auto"/>
            <w:hideMark/>
          </w:tcPr>
          <w:p w14:paraId="7F225C01" w14:textId="77777777" w:rsidR="00B9080B" w:rsidRPr="00B9080B" w:rsidRDefault="00B9080B" w:rsidP="00B9080B">
            <w:pPr>
              <w:rPr>
                <w:lang w:val="en-US"/>
              </w:rPr>
            </w:pPr>
            <w:r w:rsidRPr="00B9080B">
              <w:rPr>
                <w:lang w:val="en-US"/>
              </w:rPr>
              <w:t>2024–2026</w:t>
            </w:r>
          </w:p>
        </w:tc>
        <w:tc>
          <w:tcPr>
            <w:tcW w:w="0" w:type="auto"/>
            <w:hideMark/>
          </w:tcPr>
          <w:p w14:paraId="6430A05A" w14:textId="77777777" w:rsidR="00B9080B" w:rsidRPr="00B9080B" w:rsidRDefault="00B9080B" w:rsidP="00B9080B">
            <w:pPr>
              <w:rPr>
                <w:lang w:val="en-US"/>
              </w:rPr>
            </w:pPr>
            <w:r w:rsidRPr="00B9080B">
              <w:rPr>
                <w:lang w:val="en-US"/>
              </w:rPr>
              <w:t>70</w:t>
            </w:r>
          </w:p>
        </w:tc>
        <w:tc>
          <w:tcPr>
            <w:tcW w:w="0" w:type="auto"/>
            <w:hideMark/>
          </w:tcPr>
          <w:p w14:paraId="38847EA1" w14:textId="77777777" w:rsidR="00B9080B" w:rsidRPr="00B9080B" w:rsidRDefault="00B9080B" w:rsidP="00B9080B">
            <w:pPr>
              <w:rPr>
                <w:lang w:val="en-US"/>
              </w:rPr>
            </w:pPr>
            <w:r w:rsidRPr="00B9080B">
              <w:rPr>
                <w:lang w:val="en-US"/>
              </w:rPr>
              <w:t>3</w:t>
            </w:r>
          </w:p>
        </w:tc>
      </w:tr>
      <w:tr w:rsidR="00B9080B" w:rsidRPr="00B9080B" w14:paraId="2BC58B3B" w14:textId="77777777" w:rsidTr="00B9080B">
        <w:tc>
          <w:tcPr>
            <w:tcW w:w="0" w:type="auto"/>
            <w:hideMark/>
          </w:tcPr>
          <w:p w14:paraId="24446FA2" w14:textId="77777777" w:rsidR="00B9080B" w:rsidRPr="00B9080B" w:rsidRDefault="00B9080B" w:rsidP="00B9080B">
            <w:pPr>
              <w:rPr>
                <w:lang w:val="en-US"/>
              </w:rPr>
            </w:pPr>
            <w:r w:rsidRPr="00B9080B">
              <w:rPr>
                <w:lang w:val="en-US"/>
              </w:rPr>
              <w:t>PubMed Central</w:t>
            </w:r>
          </w:p>
        </w:tc>
        <w:tc>
          <w:tcPr>
            <w:tcW w:w="0" w:type="auto"/>
            <w:hideMark/>
          </w:tcPr>
          <w:p w14:paraId="707B6A2C" w14:textId="77777777" w:rsidR="00B9080B" w:rsidRPr="00B9080B" w:rsidRDefault="00B9080B" w:rsidP="00B9080B">
            <w:pPr>
              <w:rPr>
                <w:lang w:val="en-US"/>
              </w:rPr>
            </w:pPr>
            <w:r w:rsidRPr="00B9080B">
              <w:rPr>
                <w:lang w:val="en-US"/>
              </w:rPr>
              <w:t>2 July 2026</w:t>
            </w:r>
          </w:p>
        </w:tc>
        <w:tc>
          <w:tcPr>
            <w:tcW w:w="0" w:type="auto"/>
            <w:hideMark/>
          </w:tcPr>
          <w:p w14:paraId="49A50F66" w14:textId="77777777" w:rsidR="00B9080B" w:rsidRPr="00B9080B" w:rsidRDefault="00B9080B" w:rsidP="00B9080B">
            <w:pPr>
              <w:rPr>
                <w:lang w:val="en-US"/>
              </w:rPr>
            </w:pPr>
            <w:r w:rsidRPr="00B9080B">
              <w:rPr>
                <w:lang w:val="en-US"/>
              </w:rPr>
              <w:t>2024–2026</w:t>
            </w:r>
          </w:p>
        </w:tc>
        <w:tc>
          <w:tcPr>
            <w:tcW w:w="0" w:type="auto"/>
            <w:hideMark/>
          </w:tcPr>
          <w:p w14:paraId="5C4C87CE" w14:textId="77777777" w:rsidR="00B9080B" w:rsidRPr="00B9080B" w:rsidRDefault="00B9080B" w:rsidP="00B9080B">
            <w:pPr>
              <w:rPr>
                <w:lang w:val="en-US"/>
              </w:rPr>
            </w:pPr>
            <w:r w:rsidRPr="00B9080B">
              <w:rPr>
                <w:lang w:val="en-US"/>
              </w:rPr>
              <w:t>50</w:t>
            </w:r>
          </w:p>
        </w:tc>
        <w:tc>
          <w:tcPr>
            <w:tcW w:w="0" w:type="auto"/>
            <w:hideMark/>
          </w:tcPr>
          <w:p w14:paraId="7F02DC2C" w14:textId="77777777" w:rsidR="00B9080B" w:rsidRPr="00B9080B" w:rsidRDefault="00B9080B" w:rsidP="00B9080B">
            <w:pPr>
              <w:rPr>
                <w:lang w:val="en-US"/>
              </w:rPr>
            </w:pPr>
            <w:r w:rsidRPr="00B9080B">
              <w:rPr>
                <w:lang w:val="en-US"/>
              </w:rPr>
              <w:t>1</w:t>
            </w:r>
          </w:p>
        </w:tc>
      </w:tr>
      <w:tr w:rsidR="00B9080B" w:rsidRPr="00B9080B" w14:paraId="5478C25C" w14:textId="77777777" w:rsidTr="00B9080B">
        <w:tc>
          <w:tcPr>
            <w:tcW w:w="0" w:type="auto"/>
            <w:hideMark/>
          </w:tcPr>
          <w:p w14:paraId="547B2B07" w14:textId="77777777" w:rsidR="00B9080B" w:rsidRPr="00B9080B" w:rsidRDefault="00B9080B" w:rsidP="00B9080B">
            <w:pPr>
              <w:rPr>
                <w:lang w:val="en-US"/>
              </w:rPr>
            </w:pPr>
            <w:r w:rsidRPr="00B9080B">
              <w:rPr>
                <w:lang w:val="en-US"/>
              </w:rPr>
              <w:t>Google Scholar</w:t>
            </w:r>
          </w:p>
        </w:tc>
        <w:tc>
          <w:tcPr>
            <w:tcW w:w="0" w:type="auto"/>
            <w:hideMark/>
          </w:tcPr>
          <w:p w14:paraId="142E8828" w14:textId="77777777" w:rsidR="00B9080B" w:rsidRPr="00B9080B" w:rsidRDefault="00B9080B" w:rsidP="00B9080B">
            <w:pPr>
              <w:rPr>
                <w:lang w:val="en-US"/>
              </w:rPr>
            </w:pPr>
            <w:r w:rsidRPr="00B9080B">
              <w:rPr>
                <w:lang w:val="en-US"/>
              </w:rPr>
              <w:t>5 July 2026</w:t>
            </w:r>
          </w:p>
        </w:tc>
        <w:tc>
          <w:tcPr>
            <w:tcW w:w="0" w:type="auto"/>
            <w:hideMark/>
          </w:tcPr>
          <w:p w14:paraId="582A2D7D" w14:textId="77777777" w:rsidR="00B9080B" w:rsidRPr="00B9080B" w:rsidRDefault="00B9080B" w:rsidP="00B9080B">
            <w:pPr>
              <w:rPr>
                <w:lang w:val="en-US"/>
              </w:rPr>
            </w:pPr>
            <w:r w:rsidRPr="00B9080B">
              <w:rPr>
                <w:lang w:val="en-US"/>
              </w:rPr>
              <w:t>2024–2026</w:t>
            </w:r>
          </w:p>
        </w:tc>
        <w:tc>
          <w:tcPr>
            <w:tcW w:w="0" w:type="auto"/>
            <w:hideMark/>
          </w:tcPr>
          <w:p w14:paraId="651FEEC6" w14:textId="77777777" w:rsidR="00B9080B" w:rsidRPr="00B9080B" w:rsidRDefault="00B9080B" w:rsidP="00B9080B">
            <w:pPr>
              <w:rPr>
                <w:lang w:val="en-US"/>
              </w:rPr>
            </w:pPr>
            <w:r w:rsidRPr="00B9080B">
              <w:rPr>
                <w:lang w:val="en-US"/>
              </w:rPr>
              <w:t>200</w:t>
            </w:r>
          </w:p>
        </w:tc>
        <w:tc>
          <w:tcPr>
            <w:tcW w:w="0" w:type="auto"/>
            <w:hideMark/>
          </w:tcPr>
          <w:p w14:paraId="1517FE05" w14:textId="77777777" w:rsidR="00B9080B" w:rsidRPr="00B9080B" w:rsidRDefault="00B9080B" w:rsidP="00B9080B">
            <w:pPr>
              <w:rPr>
                <w:lang w:val="en-US"/>
              </w:rPr>
            </w:pPr>
            <w:r w:rsidRPr="00B9080B">
              <w:rPr>
                <w:lang w:val="en-US"/>
              </w:rPr>
              <w:t>3</w:t>
            </w:r>
          </w:p>
        </w:tc>
      </w:tr>
      <w:tr w:rsidR="00B9080B" w:rsidRPr="00B9080B" w14:paraId="36EFE343" w14:textId="77777777" w:rsidTr="00B9080B">
        <w:tc>
          <w:tcPr>
            <w:tcW w:w="0" w:type="auto"/>
            <w:hideMark/>
          </w:tcPr>
          <w:p w14:paraId="37C51445" w14:textId="77777777" w:rsidR="00B9080B" w:rsidRPr="00B9080B" w:rsidRDefault="00B9080B" w:rsidP="00B9080B">
            <w:pPr>
              <w:rPr>
                <w:lang w:val="en-US"/>
              </w:rPr>
            </w:pPr>
            <w:r w:rsidRPr="00B9080B">
              <w:rPr>
                <w:lang w:val="en-US"/>
              </w:rPr>
              <w:t>Hand searching</w:t>
            </w:r>
          </w:p>
        </w:tc>
        <w:tc>
          <w:tcPr>
            <w:tcW w:w="0" w:type="auto"/>
            <w:hideMark/>
          </w:tcPr>
          <w:p w14:paraId="1EA77488" w14:textId="77777777" w:rsidR="00B9080B" w:rsidRPr="00B9080B" w:rsidRDefault="00B9080B" w:rsidP="00B9080B">
            <w:pPr>
              <w:rPr>
                <w:lang w:val="en-US"/>
              </w:rPr>
            </w:pPr>
            <w:r w:rsidRPr="00B9080B">
              <w:rPr>
                <w:lang w:val="en-US"/>
              </w:rPr>
              <w:t>7 July 2026</w:t>
            </w:r>
          </w:p>
        </w:tc>
        <w:tc>
          <w:tcPr>
            <w:tcW w:w="0" w:type="auto"/>
            <w:hideMark/>
          </w:tcPr>
          <w:p w14:paraId="192E5A9A" w14:textId="77777777" w:rsidR="00B9080B" w:rsidRPr="00B9080B" w:rsidRDefault="00B9080B" w:rsidP="00B9080B">
            <w:pPr>
              <w:rPr>
                <w:lang w:val="en-US"/>
              </w:rPr>
            </w:pPr>
            <w:r w:rsidRPr="00B9080B">
              <w:rPr>
                <w:lang w:val="en-US"/>
              </w:rPr>
              <w:t>2024–2026</w:t>
            </w:r>
          </w:p>
        </w:tc>
        <w:tc>
          <w:tcPr>
            <w:tcW w:w="0" w:type="auto"/>
            <w:hideMark/>
          </w:tcPr>
          <w:p w14:paraId="22568D94" w14:textId="77777777" w:rsidR="00B9080B" w:rsidRPr="00B9080B" w:rsidRDefault="00B9080B" w:rsidP="00B9080B">
            <w:pPr>
              <w:rPr>
                <w:lang w:val="en-US"/>
              </w:rPr>
            </w:pPr>
            <w:r w:rsidRPr="00B9080B">
              <w:rPr>
                <w:lang w:val="en-US"/>
              </w:rPr>
              <w:t>25</w:t>
            </w:r>
          </w:p>
        </w:tc>
        <w:tc>
          <w:tcPr>
            <w:tcW w:w="0" w:type="auto"/>
            <w:hideMark/>
          </w:tcPr>
          <w:p w14:paraId="6D82331D" w14:textId="77777777" w:rsidR="00B9080B" w:rsidRPr="00B9080B" w:rsidRDefault="00B9080B" w:rsidP="00B9080B">
            <w:pPr>
              <w:rPr>
                <w:lang w:val="en-US"/>
              </w:rPr>
            </w:pPr>
            <w:r w:rsidRPr="00B9080B">
              <w:rPr>
                <w:lang w:val="en-US"/>
              </w:rPr>
              <w:t>0</w:t>
            </w:r>
          </w:p>
        </w:tc>
      </w:tr>
      <w:tr w:rsidR="00B9080B" w:rsidRPr="00B9080B" w14:paraId="601CA8AA" w14:textId="77777777" w:rsidTr="00B9080B">
        <w:tc>
          <w:tcPr>
            <w:tcW w:w="0" w:type="auto"/>
            <w:hideMark/>
          </w:tcPr>
          <w:p w14:paraId="2BEE4168" w14:textId="77777777" w:rsidR="00B9080B" w:rsidRPr="00B9080B" w:rsidRDefault="00B9080B" w:rsidP="00B9080B">
            <w:pPr>
              <w:rPr>
                <w:lang w:val="en-US"/>
              </w:rPr>
            </w:pPr>
            <w:r w:rsidRPr="00B9080B">
              <w:rPr>
                <w:b/>
                <w:bCs/>
                <w:lang w:val="en-US"/>
              </w:rPr>
              <w:t>Total</w:t>
            </w:r>
          </w:p>
        </w:tc>
        <w:tc>
          <w:tcPr>
            <w:tcW w:w="0" w:type="auto"/>
            <w:hideMark/>
          </w:tcPr>
          <w:p w14:paraId="6E4FF1DE" w14:textId="36973DCA" w:rsidR="00B9080B" w:rsidRPr="00B9080B" w:rsidRDefault="00B9080B" w:rsidP="00B9080B">
            <w:pPr>
              <w:rPr>
                <w:lang w:val="en-US"/>
              </w:rPr>
            </w:pPr>
          </w:p>
        </w:tc>
        <w:tc>
          <w:tcPr>
            <w:tcW w:w="0" w:type="auto"/>
            <w:hideMark/>
          </w:tcPr>
          <w:p w14:paraId="0BFECF9B" w14:textId="5AA2E77B" w:rsidR="00B9080B" w:rsidRPr="00B9080B" w:rsidRDefault="00B9080B" w:rsidP="00B9080B">
            <w:pPr>
              <w:rPr>
                <w:lang w:val="en-US"/>
              </w:rPr>
            </w:pPr>
          </w:p>
        </w:tc>
        <w:tc>
          <w:tcPr>
            <w:tcW w:w="0" w:type="auto"/>
            <w:hideMark/>
          </w:tcPr>
          <w:p w14:paraId="496F2DD2" w14:textId="77777777" w:rsidR="00B9080B" w:rsidRPr="00B9080B" w:rsidRDefault="00B9080B" w:rsidP="00B9080B">
            <w:pPr>
              <w:rPr>
                <w:lang w:val="en-US"/>
              </w:rPr>
            </w:pPr>
            <w:r w:rsidRPr="00B9080B">
              <w:rPr>
                <w:b/>
                <w:bCs/>
                <w:lang w:val="en-US"/>
              </w:rPr>
              <w:t>555</w:t>
            </w:r>
          </w:p>
        </w:tc>
        <w:tc>
          <w:tcPr>
            <w:tcW w:w="0" w:type="auto"/>
            <w:hideMark/>
          </w:tcPr>
          <w:p w14:paraId="493DBA30" w14:textId="77777777" w:rsidR="00B9080B" w:rsidRPr="00B9080B" w:rsidRDefault="00B9080B" w:rsidP="00B9080B">
            <w:pPr>
              <w:rPr>
                <w:lang w:val="en-US"/>
              </w:rPr>
            </w:pPr>
            <w:r w:rsidRPr="00B9080B">
              <w:rPr>
                <w:b/>
                <w:bCs/>
                <w:lang w:val="en-US"/>
              </w:rPr>
              <w:t>10</w:t>
            </w:r>
          </w:p>
        </w:tc>
      </w:tr>
    </w:tbl>
    <w:p w14:paraId="7FE5CC78" w14:textId="77777777" w:rsidR="00FF7A76" w:rsidRDefault="00FF7A76" w:rsidP="00FF7A76"/>
    <w:p w14:paraId="55B4DF0F" w14:textId="77777777" w:rsidR="00FF7A76" w:rsidRDefault="00FF7A76" w:rsidP="00FF7A76">
      <w:r>
        <w:t>Table 3.3: Search concepts and indicative terms</w:t>
      </w:r>
    </w:p>
    <w:tbl>
      <w:tblPr>
        <w:tblStyle w:val="TableGridLight"/>
        <w:tblW w:w="0" w:type="auto"/>
        <w:tblLook w:val="04A0" w:firstRow="1" w:lastRow="0" w:firstColumn="1" w:lastColumn="0" w:noHBand="0" w:noVBand="1"/>
      </w:tblPr>
      <w:tblGrid>
        <w:gridCol w:w="1615"/>
        <w:gridCol w:w="7401"/>
      </w:tblGrid>
      <w:tr w:rsidR="00FF7A76" w:rsidRPr="006F1DFE" w14:paraId="0CF49949" w14:textId="77777777" w:rsidTr="00D72F38">
        <w:tc>
          <w:tcPr>
            <w:tcW w:w="1615" w:type="dxa"/>
          </w:tcPr>
          <w:p w14:paraId="16DE2DE6" w14:textId="77777777" w:rsidR="00FF7A76" w:rsidRPr="006F1DFE" w:rsidRDefault="00FF7A76" w:rsidP="00DB66B5">
            <w:pPr>
              <w:rPr>
                <w:b/>
                <w:bCs/>
              </w:rPr>
            </w:pPr>
            <w:r w:rsidRPr="006F1DFE">
              <w:rPr>
                <w:b/>
                <w:bCs/>
              </w:rPr>
              <w:t>Concept</w:t>
            </w:r>
          </w:p>
        </w:tc>
        <w:tc>
          <w:tcPr>
            <w:tcW w:w="7401" w:type="dxa"/>
          </w:tcPr>
          <w:p w14:paraId="64939629" w14:textId="77777777" w:rsidR="00FF7A76" w:rsidRPr="006F1DFE" w:rsidRDefault="00FF7A76" w:rsidP="00DB66B5">
            <w:pPr>
              <w:rPr>
                <w:b/>
                <w:bCs/>
              </w:rPr>
            </w:pPr>
            <w:r w:rsidRPr="006F1DFE">
              <w:rPr>
                <w:b/>
                <w:bCs/>
              </w:rPr>
              <w:t>Terms used</w:t>
            </w:r>
          </w:p>
        </w:tc>
      </w:tr>
      <w:tr w:rsidR="00FF7A76" w14:paraId="1FEDE887" w14:textId="77777777" w:rsidTr="00D72F38">
        <w:tc>
          <w:tcPr>
            <w:tcW w:w="1615" w:type="dxa"/>
          </w:tcPr>
          <w:p w14:paraId="1EA938B3" w14:textId="77777777" w:rsidR="00FF7A76" w:rsidRDefault="00FF7A76" w:rsidP="00DB66B5">
            <w:r>
              <w:t>Condition</w:t>
            </w:r>
          </w:p>
        </w:tc>
        <w:tc>
          <w:tcPr>
            <w:tcW w:w="7401" w:type="dxa"/>
          </w:tcPr>
          <w:p w14:paraId="5CF0E0D3" w14:textId="77777777" w:rsidR="00FF7A76" w:rsidRDefault="00FF7A76" w:rsidP="00DB66B5">
            <w:r>
              <w:t>hypertension; “high blood pressure”; “elevated blood pressure”</w:t>
            </w:r>
          </w:p>
        </w:tc>
      </w:tr>
      <w:tr w:rsidR="00FF7A76" w14:paraId="6099F174" w14:textId="77777777" w:rsidTr="00D72F38">
        <w:tc>
          <w:tcPr>
            <w:tcW w:w="1615" w:type="dxa"/>
          </w:tcPr>
          <w:p w14:paraId="04FE4FC6" w14:textId="77777777" w:rsidR="00FF7A76" w:rsidRDefault="00FF7A76" w:rsidP="00DB66B5">
            <w:r>
              <w:t>Population</w:t>
            </w:r>
          </w:p>
        </w:tc>
        <w:tc>
          <w:tcPr>
            <w:tcW w:w="7401" w:type="dxa"/>
          </w:tcPr>
          <w:p w14:paraId="2B471268" w14:textId="77777777" w:rsidR="00FF7A76" w:rsidRDefault="00FF7A76" w:rsidP="00DB66B5">
            <w:r>
              <w:t>adult*; “adults aged 30–50”; middle-aged</w:t>
            </w:r>
          </w:p>
        </w:tc>
      </w:tr>
      <w:tr w:rsidR="00FF7A76" w14:paraId="4EC22D9A" w14:textId="77777777" w:rsidTr="00D72F38">
        <w:tc>
          <w:tcPr>
            <w:tcW w:w="1615" w:type="dxa"/>
          </w:tcPr>
          <w:p w14:paraId="0CD0C889" w14:textId="77777777" w:rsidR="00FF7A76" w:rsidRDefault="00FF7A76" w:rsidP="00DB66B5">
            <w:r>
              <w:t>Community intervention</w:t>
            </w:r>
          </w:p>
        </w:tc>
        <w:tc>
          <w:tcPr>
            <w:tcW w:w="7401" w:type="dxa"/>
          </w:tcPr>
          <w:p w14:paraId="40A9D7A2" w14:textId="77777777" w:rsidR="00FF7A76" w:rsidRDefault="00FF7A76" w:rsidP="00DB66B5">
            <w:r>
              <w:t>“community-based intervention”; “community pharmacy”; “home blood pressure monitoring”; digital health; telemedicine; health education</w:t>
            </w:r>
          </w:p>
        </w:tc>
      </w:tr>
      <w:tr w:rsidR="00FF7A76" w14:paraId="3172C7F0" w14:textId="77777777" w:rsidTr="00D72F38">
        <w:tc>
          <w:tcPr>
            <w:tcW w:w="1615" w:type="dxa"/>
          </w:tcPr>
          <w:p w14:paraId="0A5C5F4A" w14:textId="77777777" w:rsidR="00FF7A76" w:rsidRDefault="00FF7A76" w:rsidP="00DB66B5">
            <w:r>
              <w:t>Outcome</w:t>
            </w:r>
          </w:p>
        </w:tc>
        <w:tc>
          <w:tcPr>
            <w:tcW w:w="7401" w:type="dxa"/>
          </w:tcPr>
          <w:p w14:paraId="14C05468" w14:textId="77777777" w:rsidR="00FF7A76" w:rsidRDefault="00FF7A76" w:rsidP="00DB66B5">
            <w:r>
              <w:t>screening; diagnosis; referral; adherence; monitoring; “blood pressure control”; intervention effectiveness</w:t>
            </w:r>
          </w:p>
        </w:tc>
      </w:tr>
      <w:tr w:rsidR="00FF7A76" w14:paraId="59028F7E" w14:textId="77777777" w:rsidTr="00D72F38">
        <w:tc>
          <w:tcPr>
            <w:tcW w:w="1615" w:type="dxa"/>
          </w:tcPr>
          <w:p w14:paraId="1B6D17D5" w14:textId="77777777" w:rsidR="00FF7A76" w:rsidRDefault="00FF7A76" w:rsidP="00DB66B5">
            <w:r>
              <w:t>Location</w:t>
            </w:r>
          </w:p>
        </w:tc>
        <w:tc>
          <w:tcPr>
            <w:tcW w:w="7401" w:type="dxa"/>
          </w:tcPr>
          <w:p w14:paraId="43381175" w14:textId="77777777" w:rsidR="00FF7A76" w:rsidRDefault="00FF7A76" w:rsidP="00DB66B5">
            <w:r>
              <w:t>“United Kingdom”; UK; England; Scotland; Wales; “Northern Ireland”</w:t>
            </w:r>
          </w:p>
        </w:tc>
      </w:tr>
    </w:tbl>
    <w:p w14:paraId="5247B462" w14:textId="77777777" w:rsidR="00FF7A76" w:rsidRDefault="00FF7A76" w:rsidP="00FF7A76"/>
    <w:p w14:paraId="23DFE4C0" w14:textId="77777777" w:rsidR="00FF7A76" w:rsidRDefault="00FF7A76" w:rsidP="00FF7A76">
      <w:pPr>
        <w:pStyle w:val="Heading2"/>
      </w:pPr>
      <w:bookmarkStart w:id="64" w:name="_Toc236914536"/>
      <w:bookmarkStart w:id="65" w:name="_Toc237485183"/>
      <w:r>
        <w:t>3.7 Eligibility Criteria</w:t>
      </w:r>
      <w:bookmarkEnd w:id="64"/>
      <w:bookmarkEnd w:id="65"/>
    </w:p>
    <w:p w14:paraId="5F5768B9" w14:textId="7E2220BD" w:rsidR="00FF7A76" w:rsidRDefault="00ED3550" w:rsidP="00D72F38">
      <w:r w:rsidRPr="00ED3550">
        <w:t>In order to assure systematic, transparent and question-supported selection of studies, eligibility criteria were drawn up before screening. The inclusion and exclusion criteria were clearly defined, further decreasing the risk of subjective selection of studies and increasing the possibility of the re-producibility of the systematic review process.</w:t>
      </w:r>
      <w:r>
        <w:t xml:space="preserve"> </w:t>
      </w:r>
      <w:r w:rsidR="00FF7A76">
        <w:t>Inclusion criteria at title and abstract stage and inclusion criteria at full text stage were utilised. Evidence had to be related to hypertension, elevated blood pressure or community case findings or reports of an outcome relevant to the research questions. Research conducted in the UK was emphasised. Only studies which had not been conducted in the UK were included where the intervention was relevant to UK community practice and where this was clearly recognised as indirect. Empirical quantitative, qualitative and combined (mixed methods) studies, systematic reviews of transparent service evaluation were eligible. The clinical guidelines were used to provide context for clinical management and not to be considered empirical intervention studies.</w:t>
      </w:r>
    </w:p>
    <w:p w14:paraId="37596C48" w14:textId="77777777" w:rsidR="00FF7A76" w:rsidRDefault="00FF7A76" w:rsidP="00FF7A76">
      <w:r>
        <w:t>Interventions that were hospital-only and not part of a community or primary-care setting, paediatric interventions, editorials, opinion pieces or records with no methods were not included. For the 30–50 group, only the 30–50 subgroup details provided by a broad-age study were described as exact. Community setting, written as an alternative to the clinical setting, was defined as: pharmacy, primary care, outreach, voluntary organisations, workplaces, homes and digitally delivered services related to clinical services. A single principal exclusion reason was used for full-text exclusion reasons in order not to double-count. These rules helped to correlate the selected studies with the research aim and also allowed indirect evidence to be added on the basis of a cautious evaluation when direct evidence specific to age for the UK was lacking.</w:t>
      </w:r>
    </w:p>
    <w:p w14:paraId="7C9BCF48" w14:textId="77777777" w:rsidR="00FF7A76" w:rsidRPr="006F1DFE" w:rsidRDefault="00FF7A76" w:rsidP="00FF7A76">
      <w:pPr>
        <w:jc w:val="left"/>
        <w:rPr>
          <w:i/>
          <w:iCs/>
          <w:sz w:val="24"/>
          <w:szCs w:val="28"/>
        </w:rPr>
      </w:pPr>
      <w:r w:rsidRPr="006F1DFE">
        <w:rPr>
          <w:iCs/>
          <w:sz w:val="24"/>
          <w:szCs w:val="28"/>
        </w:rPr>
        <w:t>Table 3.4: Inclusion and exclusion criteria</w:t>
      </w:r>
    </w:p>
    <w:tbl>
      <w:tblPr>
        <w:tblStyle w:val="TableGridLight"/>
        <w:tblW w:w="0" w:type="auto"/>
        <w:tblLook w:val="04A0" w:firstRow="1" w:lastRow="0" w:firstColumn="1" w:lastColumn="0" w:noHBand="0" w:noVBand="1"/>
      </w:tblPr>
      <w:tblGrid>
        <w:gridCol w:w="1589"/>
        <w:gridCol w:w="3733"/>
        <w:gridCol w:w="3694"/>
      </w:tblGrid>
      <w:tr w:rsidR="00FF7A76" w:rsidRPr="006F1DFE" w14:paraId="2240A0F4" w14:textId="77777777" w:rsidTr="00FF7A76">
        <w:tc>
          <w:tcPr>
            <w:tcW w:w="1656" w:type="dxa"/>
          </w:tcPr>
          <w:p w14:paraId="006C0827" w14:textId="77777777" w:rsidR="00FF7A76" w:rsidRPr="00FF7A76" w:rsidRDefault="00FF7A76" w:rsidP="00FF7A76">
            <w:pPr>
              <w:rPr>
                <w:b/>
                <w:bCs/>
              </w:rPr>
            </w:pPr>
            <w:r w:rsidRPr="00FF7A76">
              <w:rPr>
                <w:b/>
                <w:bCs/>
              </w:rPr>
              <w:t>Criterion</w:t>
            </w:r>
          </w:p>
        </w:tc>
        <w:tc>
          <w:tcPr>
            <w:tcW w:w="4320" w:type="dxa"/>
          </w:tcPr>
          <w:p w14:paraId="4B81718C" w14:textId="77777777" w:rsidR="00FF7A76" w:rsidRPr="00FF7A76" w:rsidRDefault="00FF7A76" w:rsidP="00FF7A76">
            <w:pPr>
              <w:rPr>
                <w:b/>
                <w:bCs/>
              </w:rPr>
            </w:pPr>
            <w:r w:rsidRPr="00FF7A76">
              <w:rPr>
                <w:b/>
                <w:bCs/>
              </w:rPr>
              <w:t>Inclusion criteria</w:t>
            </w:r>
          </w:p>
        </w:tc>
        <w:tc>
          <w:tcPr>
            <w:tcW w:w="4320" w:type="dxa"/>
          </w:tcPr>
          <w:p w14:paraId="3FEDD63C" w14:textId="77777777" w:rsidR="00FF7A76" w:rsidRPr="00FF7A76" w:rsidRDefault="00FF7A76" w:rsidP="00FF7A76">
            <w:pPr>
              <w:rPr>
                <w:b/>
                <w:bCs/>
              </w:rPr>
            </w:pPr>
            <w:r w:rsidRPr="00FF7A76">
              <w:rPr>
                <w:b/>
                <w:bCs/>
              </w:rPr>
              <w:t>Exclusion criteria</w:t>
            </w:r>
          </w:p>
        </w:tc>
      </w:tr>
      <w:tr w:rsidR="00FF7A76" w14:paraId="4A02167D" w14:textId="77777777" w:rsidTr="00FF7A76">
        <w:tc>
          <w:tcPr>
            <w:tcW w:w="1656" w:type="dxa"/>
          </w:tcPr>
          <w:p w14:paraId="246B6C5C" w14:textId="77777777" w:rsidR="00FF7A76" w:rsidRDefault="00FF7A76" w:rsidP="00FF7A76">
            <w:r>
              <w:t>Population</w:t>
            </w:r>
          </w:p>
        </w:tc>
        <w:tc>
          <w:tcPr>
            <w:tcW w:w="4320" w:type="dxa"/>
          </w:tcPr>
          <w:p w14:paraId="4828D658" w14:textId="6AD80F54" w:rsidR="00FF7A76" w:rsidRDefault="00ED3550" w:rsidP="00FF7A76">
            <w:r w:rsidRPr="00ED3550">
              <w:t xml:space="preserve">There were no age restrictions for any participant over the age of 30-50. Studies were not included if the participants were less than 30 or over 50 years of age, or if general </w:t>
            </w:r>
            <w:r w:rsidRPr="00ED3550">
              <w:lastRenderedPageBreak/>
              <w:t>adult samples did not yield usable or directly relevant data for the age group 30-50 years.</w:t>
            </w:r>
          </w:p>
        </w:tc>
        <w:tc>
          <w:tcPr>
            <w:tcW w:w="4320" w:type="dxa"/>
          </w:tcPr>
          <w:p w14:paraId="61B3CE66" w14:textId="77777777" w:rsidR="00FF7A76" w:rsidRDefault="00FF7A76" w:rsidP="00FF7A76">
            <w:r>
              <w:lastRenderedPageBreak/>
              <w:t>Children, adolescents or populations outside the target range without relevant evidence.</w:t>
            </w:r>
          </w:p>
        </w:tc>
      </w:tr>
      <w:tr w:rsidR="00FF7A76" w14:paraId="1860F369" w14:textId="77777777" w:rsidTr="00FF7A76">
        <w:tc>
          <w:tcPr>
            <w:tcW w:w="1656" w:type="dxa"/>
          </w:tcPr>
          <w:p w14:paraId="4D25A7C7" w14:textId="77777777" w:rsidR="00FF7A76" w:rsidRDefault="00FF7A76" w:rsidP="00FF7A76">
            <w:r>
              <w:t>Geography</w:t>
            </w:r>
          </w:p>
        </w:tc>
        <w:tc>
          <w:tcPr>
            <w:tcW w:w="4320" w:type="dxa"/>
          </w:tcPr>
          <w:p w14:paraId="38A26C7D" w14:textId="77777777" w:rsidR="00FF7A76" w:rsidRDefault="00FF7A76" w:rsidP="00FF7A76">
            <w:r>
              <w:t>UK studies; non-UK studies only when transferability to UK community care was explicit.</w:t>
            </w:r>
          </w:p>
        </w:tc>
        <w:tc>
          <w:tcPr>
            <w:tcW w:w="4320" w:type="dxa"/>
          </w:tcPr>
          <w:p w14:paraId="4A28C02A" w14:textId="77777777" w:rsidR="00FF7A76" w:rsidRDefault="00FF7A76" w:rsidP="00FF7A76">
            <w:r>
              <w:t>Non-UK evidence without credible relevance to UK organisation or intervention mechanisms.</w:t>
            </w:r>
          </w:p>
        </w:tc>
      </w:tr>
      <w:tr w:rsidR="00FF7A76" w14:paraId="7D3D1695" w14:textId="77777777" w:rsidTr="00FF7A76">
        <w:tc>
          <w:tcPr>
            <w:tcW w:w="1656" w:type="dxa"/>
          </w:tcPr>
          <w:p w14:paraId="5A66C90D" w14:textId="77777777" w:rsidR="00FF7A76" w:rsidRDefault="00FF7A76" w:rsidP="00FF7A76">
            <w:r>
              <w:t>Condition</w:t>
            </w:r>
          </w:p>
        </w:tc>
        <w:tc>
          <w:tcPr>
            <w:tcW w:w="4320" w:type="dxa"/>
          </w:tcPr>
          <w:p w14:paraId="343BE39F" w14:textId="77777777" w:rsidR="00FF7A76" w:rsidRDefault="00FF7A76" w:rsidP="00FF7A76">
            <w:r>
              <w:t>Hypertension, elevated blood pressure or community case finding.</w:t>
            </w:r>
          </w:p>
        </w:tc>
        <w:tc>
          <w:tcPr>
            <w:tcW w:w="4320" w:type="dxa"/>
          </w:tcPr>
          <w:p w14:paraId="789813D0" w14:textId="77777777" w:rsidR="00FF7A76" w:rsidRDefault="00FF7A76" w:rsidP="00FF7A76">
            <w:r>
              <w:t>Studies unrelated to hypertension or blood-pressure management.</w:t>
            </w:r>
          </w:p>
        </w:tc>
      </w:tr>
      <w:tr w:rsidR="00FF7A76" w14:paraId="53276ED4" w14:textId="77777777" w:rsidTr="00FF7A76">
        <w:tc>
          <w:tcPr>
            <w:tcW w:w="1656" w:type="dxa"/>
          </w:tcPr>
          <w:p w14:paraId="2B98546E" w14:textId="77777777" w:rsidR="00FF7A76" w:rsidRDefault="00FF7A76" w:rsidP="00FF7A76">
            <w:r>
              <w:t>Intervention</w:t>
            </w:r>
          </w:p>
        </w:tc>
        <w:tc>
          <w:tcPr>
            <w:tcW w:w="4320" w:type="dxa"/>
          </w:tcPr>
          <w:p w14:paraId="0DEBD502" w14:textId="77777777" w:rsidR="00FF7A76" w:rsidRDefault="00FF7A76" w:rsidP="00FF7A76">
            <w:r>
              <w:t>Pharmacy, primary care, home monitoring, telemedicine, digital support, education, lifestyle, adherence, peer/family support or referral.</w:t>
            </w:r>
          </w:p>
        </w:tc>
        <w:tc>
          <w:tcPr>
            <w:tcW w:w="4320" w:type="dxa"/>
          </w:tcPr>
          <w:p w14:paraId="2B57676C" w14:textId="77777777" w:rsidR="00FF7A76" w:rsidRDefault="00FF7A76" w:rsidP="00FF7A76">
            <w:r>
              <w:t>Hospital-only or specialist interventions without a community or primary-care connection.</w:t>
            </w:r>
          </w:p>
        </w:tc>
      </w:tr>
      <w:tr w:rsidR="00FF7A76" w14:paraId="6722D361" w14:textId="77777777" w:rsidTr="00FF7A76">
        <w:tc>
          <w:tcPr>
            <w:tcW w:w="1656" w:type="dxa"/>
          </w:tcPr>
          <w:p w14:paraId="2AD397A1" w14:textId="77777777" w:rsidR="00FF7A76" w:rsidRDefault="00FF7A76" w:rsidP="00FF7A76">
            <w:r>
              <w:t>Outcomes</w:t>
            </w:r>
          </w:p>
        </w:tc>
        <w:tc>
          <w:tcPr>
            <w:tcW w:w="4320" w:type="dxa"/>
          </w:tcPr>
          <w:p w14:paraId="126CC273" w14:textId="77777777" w:rsidR="00FF7A76" w:rsidRDefault="00FF7A76" w:rsidP="00FF7A76">
            <w:r>
              <w:t>Screening, identification, referral, adherence, blood pressure, access, engagement, equity or implementation.</w:t>
            </w:r>
          </w:p>
        </w:tc>
        <w:tc>
          <w:tcPr>
            <w:tcW w:w="4320" w:type="dxa"/>
          </w:tcPr>
          <w:p w14:paraId="716C69C6" w14:textId="77777777" w:rsidR="00FF7A76" w:rsidRDefault="00FF7A76" w:rsidP="00FF7A76">
            <w:r>
              <w:t>No outcome linked to the review questions.</w:t>
            </w:r>
          </w:p>
        </w:tc>
      </w:tr>
      <w:tr w:rsidR="00FF7A76" w14:paraId="054B46BB" w14:textId="77777777" w:rsidTr="00FF7A76">
        <w:tc>
          <w:tcPr>
            <w:tcW w:w="1656" w:type="dxa"/>
          </w:tcPr>
          <w:p w14:paraId="3E141338" w14:textId="77777777" w:rsidR="00FF7A76" w:rsidRDefault="00FF7A76" w:rsidP="00FF7A76">
            <w:r>
              <w:t>Evidence type</w:t>
            </w:r>
          </w:p>
        </w:tc>
        <w:tc>
          <w:tcPr>
            <w:tcW w:w="4320" w:type="dxa"/>
          </w:tcPr>
          <w:p w14:paraId="23322329" w14:textId="77777777" w:rsidR="00FF7A76" w:rsidRDefault="00FF7A76" w:rsidP="00FF7A76">
            <w:r>
              <w:t>Peer-reviewed empirical studies, systematic reviews and transparent service evaluations.</w:t>
            </w:r>
          </w:p>
        </w:tc>
        <w:tc>
          <w:tcPr>
            <w:tcW w:w="4320" w:type="dxa"/>
          </w:tcPr>
          <w:p w14:paraId="557BB13D" w14:textId="77777777" w:rsidR="00FF7A76" w:rsidRDefault="00FF7A76" w:rsidP="00FF7A76">
            <w:r>
              <w:t>Editorials, opinion pieces, unsupported commentaries or records without usable methods.</w:t>
            </w:r>
          </w:p>
        </w:tc>
      </w:tr>
      <w:tr w:rsidR="00FF7A76" w14:paraId="242995BE" w14:textId="77777777" w:rsidTr="00FF7A76">
        <w:tc>
          <w:tcPr>
            <w:tcW w:w="1656" w:type="dxa"/>
          </w:tcPr>
          <w:p w14:paraId="33E5380B" w14:textId="77777777" w:rsidR="00FF7A76" w:rsidRDefault="00FF7A76" w:rsidP="00FF7A76">
            <w:r>
              <w:t>Publication</w:t>
            </w:r>
          </w:p>
        </w:tc>
        <w:tc>
          <w:tcPr>
            <w:tcW w:w="4320" w:type="dxa"/>
          </w:tcPr>
          <w:p w14:paraId="7BA3DC1A" w14:textId="77777777" w:rsidR="00FF7A76" w:rsidRDefault="00FF7A76" w:rsidP="00FF7A76">
            <w:r>
              <w:t>English-language publications dated 2024–2026 in the documented record.</w:t>
            </w:r>
          </w:p>
        </w:tc>
        <w:tc>
          <w:tcPr>
            <w:tcW w:w="4320" w:type="dxa"/>
          </w:tcPr>
          <w:p w14:paraId="583FD70B" w14:textId="77777777" w:rsidR="00FF7A76" w:rsidRDefault="00FF7A76" w:rsidP="00FF7A76">
            <w:r>
              <w:t>Publications outside the recorded period or unavailable in English.</w:t>
            </w:r>
          </w:p>
        </w:tc>
      </w:tr>
    </w:tbl>
    <w:p w14:paraId="6A625E35" w14:textId="77777777" w:rsidR="00FF7A76" w:rsidRDefault="00FF7A76" w:rsidP="00FF7A76"/>
    <w:p w14:paraId="5AC4FC55" w14:textId="77777777" w:rsidR="00FF7A76" w:rsidRDefault="00FF7A76" w:rsidP="00FF7A76">
      <w:pPr>
        <w:pStyle w:val="Heading2"/>
      </w:pPr>
      <w:bookmarkStart w:id="66" w:name="_Toc236914537"/>
      <w:bookmarkStart w:id="67" w:name="_Toc237485184"/>
      <w:r>
        <w:t>3.8 Study Selection and PRISMA Calculation</w:t>
      </w:r>
      <w:bookmarkEnd w:id="66"/>
      <w:bookmarkEnd w:id="67"/>
    </w:p>
    <w:p w14:paraId="521123FE" w14:textId="77777777" w:rsidR="00FF7A76" w:rsidRDefault="00FF7A76" w:rsidP="00FF7A76">
      <w:r>
        <w:t>All retrieved references were recorded on the screening record, and duplicates were eliminated prior to title and abstract screening. Screening then went through identification, preliminary removal, title and abstract assessment, report retrieval, full text assessment and final inclusion. Above this, this process was only reported using PRISMA 2020, but was not assessed for quality or analysed for intervention outcomes (Page et al., 2021).</w:t>
      </w:r>
    </w:p>
    <w:p w14:paraId="769E9C50" w14:textId="63FFF70B" w:rsidR="00FF7A76" w:rsidRDefault="00FF7A76" w:rsidP="00FF7A76">
      <w:r>
        <w:t xml:space="preserve">There are 555 recordable items available. Before screening, 255 records (555 - 100 - 50 - 150) were removed: 100 for being recorded as ineligible and 150 for various recorded reasons. </w:t>
      </w:r>
      <w:r>
        <w:lastRenderedPageBreak/>
        <w:t>Following the title and abstract screening, 100 records were removed, and 155 reports were to be retrieved. A total of 55 full-text reports have been evaluated, as 100 reports could not be retrieved. The 30 reports which were not suitable for full-text exclusions included reports involving unrelated or inappropriate populations, and five reports were considered to be of unsuitable design or outcome, or ten were considered to be methodologically inadequate. These categories totalled 45 (30 + 5 + 10), leaving ten formally included studies (55 − 45 = 10).</w:t>
      </w:r>
      <w:r w:rsidR="00680EE5">
        <w:t xml:space="preserve"> </w:t>
      </w:r>
      <w:r w:rsidR="00680EE5" w:rsidRPr="00680EE5">
        <w:t>The remaining 10 studies were the ones that were analyzed systematically and thematically for the evidence set; other sources found in the reference list were included in the background, literature review, theoretical framework and methodology, and were not included in the final analytical sample.</w:t>
      </w:r>
    </w:p>
    <w:p w14:paraId="3DDFAF7C" w14:textId="77777777" w:rsidR="00FF7A76" w:rsidRDefault="00FF7A76" w:rsidP="00FF7A76">
      <w:r>
        <w:t>Audit trail is being followed, but not complete; consistency of arithmetical calculations is good. The 50 removals and the 150 “other reasons” were not recorded by the name of the record and were not itemised by the 150 reasons. Furthermore, 64.5 per cent (100 of 155) of those who sought reports were unable to get them. These restrictions limit the ability for replication and can lead to selection bias. There were no assumptions made for documented numbers, and no attempt was made to replace the missing audit information with assumptions; the same is explicitly reported as a methodological limitation.</w:t>
      </w:r>
    </w:p>
    <w:p w14:paraId="495BFCCA" w14:textId="77777777" w:rsidR="00FF7A76" w:rsidRPr="006F1DFE" w:rsidRDefault="00FF7A76" w:rsidP="00FF7A76">
      <w:pPr>
        <w:jc w:val="left"/>
        <w:rPr>
          <w:i/>
          <w:iCs/>
          <w:sz w:val="24"/>
          <w:szCs w:val="28"/>
        </w:rPr>
      </w:pPr>
      <w:r w:rsidRPr="006F1DFE">
        <w:rPr>
          <w:iCs/>
          <w:sz w:val="24"/>
          <w:szCs w:val="28"/>
        </w:rPr>
        <w:t>Table 3.5: PRISMA calculations and consistency checks</w:t>
      </w:r>
    </w:p>
    <w:tbl>
      <w:tblPr>
        <w:tblStyle w:val="PlainTable1"/>
        <w:tblW w:w="0" w:type="auto"/>
        <w:tblLook w:val="04A0" w:firstRow="1" w:lastRow="0" w:firstColumn="1" w:lastColumn="0" w:noHBand="0" w:noVBand="1"/>
      </w:tblPr>
      <w:tblGrid>
        <w:gridCol w:w="2762"/>
        <w:gridCol w:w="4896"/>
        <w:gridCol w:w="1358"/>
      </w:tblGrid>
      <w:tr w:rsidR="00FF7A76" w:rsidRPr="006F1DFE" w14:paraId="3C5AF8EE" w14:textId="77777777" w:rsidTr="00733A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2" w:type="dxa"/>
          </w:tcPr>
          <w:p w14:paraId="68FDBBEE" w14:textId="77777777" w:rsidR="00FF7A76" w:rsidRPr="006F1DFE" w:rsidRDefault="00FF7A76" w:rsidP="00DB66B5">
            <w:pPr>
              <w:rPr>
                <w:b w:val="0"/>
                <w:bCs w:val="0"/>
              </w:rPr>
            </w:pPr>
            <w:r w:rsidRPr="006F1DFE">
              <w:t>Stage</w:t>
            </w:r>
          </w:p>
        </w:tc>
        <w:tc>
          <w:tcPr>
            <w:tcW w:w="4896" w:type="dxa"/>
          </w:tcPr>
          <w:p w14:paraId="691F7E89" w14:textId="77777777" w:rsidR="00FF7A76" w:rsidRPr="006F1DFE" w:rsidRDefault="00FF7A76" w:rsidP="00DB66B5">
            <w:pPr>
              <w:cnfStyle w:val="100000000000" w:firstRow="1" w:lastRow="0" w:firstColumn="0" w:lastColumn="0" w:oddVBand="0" w:evenVBand="0" w:oddHBand="0" w:evenHBand="0" w:firstRowFirstColumn="0" w:firstRowLastColumn="0" w:lastRowFirstColumn="0" w:lastRowLastColumn="0"/>
              <w:rPr>
                <w:b w:val="0"/>
                <w:bCs w:val="0"/>
              </w:rPr>
            </w:pPr>
            <w:r w:rsidRPr="006F1DFE">
              <w:t>Calculation</w:t>
            </w:r>
          </w:p>
        </w:tc>
        <w:tc>
          <w:tcPr>
            <w:tcW w:w="1358" w:type="dxa"/>
          </w:tcPr>
          <w:p w14:paraId="78464F3E" w14:textId="77777777" w:rsidR="00FF7A76" w:rsidRPr="006F1DFE" w:rsidRDefault="00FF7A76" w:rsidP="00DB66B5">
            <w:pPr>
              <w:cnfStyle w:val="100000000000" w:firstRow="1" w:lastRow="0" w:firstColumn="0" w:lastColumn="0" w:oddVBand="0" w:evenVBand="0" w:oddHBand="0" w:evenHBand="0" w:firstRowFirstColumn="0" w:firstRowLastColumn="0" w:lastRowFirstColumn="0" w:lastRowLastColumn="0"/>
              <w:rPr>
                <w:b w:val="0"/>
                <w:bCs w:val="0"/>
              </w:rPr>
            </w:pPr>
            <w:r w:rsidRPr="006F1DFE">
              <w:t>Result</w:t>
            </w:r>
          </w:p>
        </w:tc>
      </w:tr>
      <w:tr w:rsidR="00FF7A76" w14:paraId="6209C222" w14:textId="77777777" w:rsidTr="00733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2" w:type="dxa"/>
          </w:tcPr>
          <w:p w14:paraId="090CA299" w14:textId="77777777" w:rsidR="00FF7A76" w:rsidRDefault="00FF7A76" w:rsidP="00DB66B5">
            <w:r>
              <w:t>Records remaining before screening</w:t>
            </w:r>
          </w:p>
        </w:tc>
        <w:tc>
          <w:tcPr>
            <w:tcW w:w="4896" w:type="dxa"/>
          </w:tcPr>
          <w:p w14:paraId="44C67CC8"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555 - 100 duplicates - 50 automation removals - 150 other removals</w:t>
            </w:r>
          </w:p>
        </w:tc>
        <w:tc>
          <w:tcPr>
            <w:tcW w:w="1358" w:type="dxa"/>
          </w:tcPr>
          <w:p w14:paraId="0DADDD26"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255</w:t>
            </w:r>
          </w:p>
        </w:tc>
      </w:tr>
      <w:tr w:rsidR="00FF7A76" w14:paraId="18D98044" w14:textId="77777777" w:rsidTr="00733A47">
        <w:tc>
          <w:tcPr>
            <w:cnfStyle w:val="001000000000" w:firstRow="0" w:lastRow="0" w:firstColumn="1" w:lastColumn="0" w:oddVBand="0" w:evenVBand="0" w:oddHBand="0" w:evenHBand="0" w:firstRowFirstColumn="0" w:firstRowLastColumn="0" w:lastRowFirstColumn="0" w:lastRowLastColumn="0"/>
            <w:tcW w:w="2762" w:type="dxa"/>
          </w:tcPr>
          <w:p w14:paraId="2B698F8F" w14:textId="77777777" w:rsidR="00FF7A76" w:rsidRDefault="00FF7A76" w:rsidP="00DB66B5">
            <w:r>
              <w:t>Reports sought for retrieval</w:t>
            </w:r>
          </w:p>
        </w:tc>
        <w:tc>
          <w:tcPr>
            <w:tcW w:w="4896" w:type="dxa"/>
          </w:tcPr>
          <w:p w14:paraId="0BB5286F"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255 screened - 100 title/abstract exclusions</w:t>
            </w:r>
          </w:p>
        </w:tc>
        <w:tc>
          <w:tcPr>
            <w:tcW w:w="1358" w:type="dxa"/>
          </w:tcPr>
          <w:p w14:paraId="3FDCE8BD"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155</w:t>
            </w:r>
          </w:p>
        </w:tc>
      </w:tr>
      <w:tr w:rsidR="00FF7A76" w14:paraId="4865BFF2" w14:textId="77777777" w:rsidTr="00733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2" w:type="dxa"/>
          </w:tcPr>
          <w:p w14:paraId="6B1A6FDE" w14:textId="77777777" w:rsidR="00FF7A76" w:rsidRDefault="00FF7A76" w:rsidP="00DB66B5">
            <w:r>
              <w:t>Full texts assessed</w:t>
            </w:r>
          </w:p>
        </w:tc>
        <w:tc>
          <w:tcPr>
            <w:tcW w:w="4896" w:type="dxa"/>
          </w:tcPr>
          <w:p w14:paraId="70427635"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155 sought - 100 not retrieved</w:t>
            </w:r>
          </w:p>
        </w:tc>
        <w:tc>
          <w:tcPr>
            <w:tcW w:w="1358" w:type="dxa"/>
          </w:tcPr>
          <w:p w14:paraId="40BDB216"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55</w:t>
            </w:r>
          </w:p>
        </w:tc>
      </w:tr>
      <w:tr w:rsidR="00FF7A76" w14:paraId="11FF6B5F" w14:textId="77777777" w:rsidTr="00733A47">
        <w:tc>
          <w:tcPr>
            <w:cnfStyle w:val="001000000000" w:firstRow="0" w:lastRow="0" w:firstColumn="1" w:lastColumn="0" w:oddVBand="0" w:evenVBand="0" w:oddHBand="0" w:evenHBand="0" w:firstRowFirstColumn="0" w:firstRowLastColumn="0" w:lastRowFirstColumn="0" w:lastRowLastColumn="0"/>
            <w:tcW w:w="2762" w:type="dxa"/>
          </w:tcPr>
          <w:p w14:paraId="02818B79" w14:textId="77777777" w:rsidR="00FF7A76" w:rsidRDefault="00FF7A76" w:rsidP="00DB66B5">
            <w:r>
              <w:t>Full-text exclusions</w:t>
            </w:r>
          </w:p>
        </w:tc>
        <w:tc>
          <w:tcPr>
            <w:tcW w:w="4896" w:type="dxa"/>
          </w:tcPr>
          <w:p w14:paraId="3ED04B4B"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30 wrong population/non-UK + 5 unsuitable design/outcomes + 10 insufficient quality</w:t>
            </w:r>
          </w:p>
        </w:tc>
        <w:tc>
          <w:tcPr>
            <w:tcW w:w="1358" w:type="dxa"/>
          </w:tcPr>
          <w:p w14:paraId="57E547C6"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45</w:t>
            </w:r>
          </w:p>
        </w:tc>
      </w:tr>
      <w:tr w:rsidR="00FF7A76" w14:paraId="2F6F2A99" w14:textId="77777777" w:rsidTr="00733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2" w:type="dxa"/>
          </w:tcPr>
          <w:p w14:paraId="0EC6D955" w14:textId="77777777" w:rsidR="00FF7A76" w:rsidRDefault="00FF7A76" w:rsidP="00DB66B5">
            <w:r>
              <w:t>Final included studies</w:t>
            </w:r>
          </w:p>
        </w:tc>
        <w:tc>
          <w:tcPr>
            <w:tcW w:w="4896" w:type="dxa"/>
          </w:tcPr>
          <w:p w14:paraId="7D8C3FBB"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55 assessed - 45 full-text exclusions</w:t>
            </w:r>
          </w:p>
        </w:tc>
        <w:tc>
          <w:tcPr>
            <w:tcW w:w="1358" w:type="dxa"/>
          </w:tcPr>
          <w:p w14:paraId="0875EF6F" w14:textId="77777777" w:rsidR="00FF7A76" w:rsidRDefault="00FF7A76" w:rsidP="00DB66B5">
            <w:pPr>
              <w:cnfStyle w:val="000000100000" w:firstRow="0" w:lastRow="0" w:firstColumn="0" w:lastColumn="0" w:oddVBand="0" w:evenVBand="0" w:oddHBand="1" w:evenHBand="0" w:firstRowFirstColumn="0" w:firstRowLastColumn="0" w:lastRowFirstColumn="0" w:lastRowLastColumn="0"/>
            </w:pPr>
            <w:r>
              <w:t>10</w:t>
            </w:r>
          </w:p>
        </w:tc>
      </w:tr>
      <w:tr w:rsidR="00FF7A76" w14:paraId="6AB349EA" w14:textId="77777777" w:rsidTr="00733A47">
        <w:tc>
          <w:tcPr>
            <w:cnfStyle w:val="001000000000" w:firstRow="0" w:lastRow="0" w:firstColumn="1" w:lastColumn="0" w:oddVBand="0" w:evenVBand="0" w:oddHBand="0" w:evenHBand="0" w:firstRowFirstColumn="0" w:firstRowLastColumn="0" w:lastRowFirstColumn="0" w:lastRowLastColumn="0"/>
            <w:tcW w:w="2762" w:type="dxa"/>
          </w:tcPr>
          <w:p w14:paraId="56C20F0A" w14:textId="77777777" w:rsidR="00FF7A76" w:rsidRDefault="00FF7A76" w:rsidP="00DB66B5">
            <w:r>
              <w:t>Report non-retrieval rate</w:t>
            </w:r>
          </w:p>
        </w:tc>
        <w:tc>
          <w:tcPr>
            <w:tcW w:w="4896" w:type="dxa"/>
          </w:tcPr>
          <w:p w14:paraId="6DC7DC34"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100 ÷ 155 × 100</w:t>
            </w:r>
          </w:p>
        </w:tc>
        <w:tc>
          <w:tcPr>
            <w:tcW w:w="1358" w:type="dxa"/>
          </w:tcPr>
          <w:p w14:paraId="2757B479" w14:textId="77777777" w:rsidR="00FF7A76" w:rsidRDefault="00FF7A76" w:rsidP="00DB66B5">
            <w:pPr>
              <w:cnfStyle w:val="000000000000" w:firstRow="0" w:lastRow="0" w:firstColumn="0" w:lastColumn="0" w:oddVBand="0" w:evenVBand="0" w:oddHBand="0" w:evenHBand="0" w:firstRowFirstColumn="0" w:firstRowLastColumn="0" w:lastRowFirstColumn="0" w:lastRowLastColumn="0"/>
            </w:pPr>
            <w:r>
              <w:t>64.5%</w:t>
            </w:r>
          </w:p>
        </w:tc>
      </w:tr>
    </w:tbl>
    <w:p w14:paraId="3C712E58" w14:textId="77777777" w:rsidR="00733A47" w:rsidRPr="00733A47" w:rsidRDefault="00733A47" w:rsidP="00733A47">
      <w:pPr>
        <w:rPr>
          <w:b/>
          <w:bCs/>
          <w:u w:val="single"/>
        </w:rPr>
      </w:pPr>
      <w:r w:rsidRPr="00733A47">
        <w:rPr>
          <w:b/>
          <w:bCs/>
          <w:u w:val="single"/>
        </w:rPr>
        <w:t>Systematic Search of Database</w:t>
      </w:r>
    </w:p>
    <w:p w14:paraId="5D0BC9D9" w14:textId="77777777" w:rsidR="00733A47" w:rsidRPr="00F176D9" w:rsidRDefault="00733A47" w:rsidP="00733A47">
      <w:pPr>
        <w:rPr>
          <w:rFonts w:cs="Arial"/>
        </w:rPr>
      </w:pPr>
      <w:r w:rsidRPr="00F176D9">
        <w:rPr>
          <w:rFonts w:cs="Arial"/>
        </w:rPr>
        <w:lastRenderedPageBreak/>
        <w:t>A comprehensive literature search was conducted to identify relevant literature that had been studied regarding hypertension management, community-based interventions, blood pressure screening and blood pressure support interventions. Hand searching, as well as the main databases searched: Embase, CINAHL, PubMed/MEDLINE, PubMed Central, Google Scholar. The search terms included: hypertension, UK adults, low-income communities, community-based interventions, blood pressure control, primary care, digital health, telemedicine and community pharmacy screening. Boolean operators (AND and OR) were used to improve the accuracy of the searches (search terms).</w:t>
      </w:r>
    </w:p>
    <w:p w14:paraId="284B688B" w14:textId="77777777" w:rsidR="00733A47" w:rsidRPr="00F176D9" w:rsidRDefault="00733A47" w:rsidP="00733A47">
      <w:r w:rsidRPr="00F176D9">
        <w:t>555 records were found on the first search. The ineligible and duplicate records, as well as those that were not focused on the topic, were screened according to the inclusion/exclusion criteria. Studies were not included if they were unrelated to the management of hypertension, concentrated in healthcare for children or school-based care, published prior to or after the specified time period, had a weak methodology, or did not provide relevant outcome information. Of the 10 studies that met screening and eligibility criteria, 10 were included in the final review.</w:t>
      </w:r>
    </w:p>
    <w:p w14:paraId="4AE22FE4" w14:textId="3CECC94B" w:rsidR="00CD082B" w:rsidRPr="00F176D9" w:rsidRDefault="00CD082B" w:rsidP="00CD082B">
      <w:pPr>
        <w:rPr>
          <w:rFonts w:cs="Arial"/>
        </w:rPr>
      </w:pPr>
      <w:r w:rsidRPr="00F176D9">
        <w:rPr>
          <w:rFonts w:cs="Arial"/>
          <w:b/>
        </w:rPr>
        <w:t>PRISMA Diagram</w:t>
      </w:r>
      <w:r w:rsidR="00733A47">
        <w:rPr>
          <w:rFonts w:cs="Arial"/>
          <w:b/>
        </w:rPr>
        <w:t>:</w:t>
      </w:r>
    </w:p>
    <w:p w14:paraId="62541C03" w14:textId="77777777" w:rsidR="00CD082B" w:rsidRPr="00F176D9" w:rsidRDefault="00CD082B" w:rsidP="00733A47">
      <w:pPr>
        <w:jc w:val="center"/>
      </w:pPr>
      <w:r w:rsidRPr="00F176D9">
        <w:rPr>
          <w:noProof/>
          <w:lang w:val="en-US" w:eastAsia="en-US"/>
        </w:rPr>
        <w:drawing>
          <wp:inline distT="0" distB="0" distL="0" distR="0" wp14:anchorId="1ADD5ECC" wp14:editId="6D60B85E">
            <wp:extent cx="2399106" cy="2717800"/>
            <wp:effectExtent l="0" t="0" r="127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0721" cy="2719630"/>
                    </a:xfrm>
                    <a:prstGeom prst="rect">
                      <a:avLst/>
                    </a:prstGeom>
                    <a:noFill/>
                    <a:ln>
                      <a:noFill/>
                    </a:ln>
                  </pic:spPr>
                </pic:pic>
              </a:graphicData>
            </a:graphic>
          </wp:inline>
        </w:drawing>
      </w:r>
    </w:p>
    <w:p w14:paraId="4FC3854B" w14:textId="7D7FB024" w:rsidR="00CD082B" w:rsidRPr="00F176D9" w:rsidRDefault="00CD082B" w:rsidP="00733A47">
      <w:pPr>
        <w:jc w:val="center"/>
        <w:sectPr w:rsidR="00CD082B" w:rsidRPr="00F176D9" w:rsidSect="00CD082B">
          <w:footerReference w:type="even" r:id="rId11"/>
          <w:footerReference w:type="default" r:id="rId12"/>
          <w:footerReference w:type="first" r:id="rId13"/>
          <w:pgSz w:w="11906" w:h="16838"/>
          <w:pgMar w:top="1440" w:right="1440" w:bottom="1440" w:left="1440" w:header="708" w:footer="708" w:gutter="0"/>
          <w:cols w:space="708"/>
          <w:docGrid w:linePitch="360"/>
        </w:sectPr>
      </w:pPr>
      <w:r w:rsidRPr="00F176D9">
        <w:t xml:space="preserve">Figure </w:t>
      </w:r>
      <w:r>
        <w:t>3.1</w:t>
      </w:r>
      <w:r w:rsidRPr="00F176D9">
        <w:t>: PRISMA Cha</w:t>
      </w:r>
      <w:r w:rsidR="00733A47">
        <w:t>t</w:t>
      </w:r>
    </w:p>
    <w:p w14:paraId="49CA4645" w14:textId="77777777" w:rsidR="00FF7A76" w:rsidRDefault="00FF7A76" w:rsidP="00733A47">
      <w:pPr>
        <w:pStyle w:val="Heading2"/>
      </w:pPr>
      <w:bookmarkStart w:id="68" w:name="_Toc236914538"/>
      <w:bookmarkStart w:id="69" w:name="_Toc237485185"/>
      <w:r>
        <w:lastRenderedPageBreak/>
        <w:t>3.9 Quality Appraisal</w:t>
      </w:r>
      <w:bookmarkEnd w:id="68"/>
      <w:bookmarkEnd w:id="69"/>
    </w:p>
    <w:p w14:paraId="6FF696F6" w14:textId="77777777" w:rsidR="00FF7A76" w:rsidRDefault="00FF7A76" w:rsidP="00FF7A76">
      <w:r>
        <w:t>The credibility and relevance of the included evidence was critically appraised. The use of a single numerical checklist was not considered across all designs because criteria like allocation and confounding do not apply equally to trials, observational studies, qualitative research and systematic reviews. Both the primary qualitative and quantitative studies and mixed-methods studies were appraised using design-specific MMAT criteria, which allow for sampling, measurement, completeness, confounding and integration to be considered appropriate (Hong, Gonzalez-Reyes and Pluye, 2018). The assessment of systematic reviews was determined via AMSTAR 2, the protocol, search process, lack of duplicate work, criteria for inclusion/exclusion, risks of bias, and interpretation (Shea et al., 2017).</w:t>
      </w:r>
    </w:p>
    <w:p w14:paraId="620A49A9" w14:textId="77777777" w:rsidR="00FF7A76" w:rsidRDefault="00FF7A76" w:rsidP="00FF7A76">
      <w:r>
        <w:t>Appraisal gave domain-level judgements based on short reasons and not some arbitrary overall score. Confounding was only discussed in non-randomised studies, and only statistical analysis was evaluated when quantitative procedures were reported. Even when evidence was brought in that didn't satisfy the minimum eligibility requirements, it did not automatically get thrown out; it was interpreted with less weight. Directness to the UK, relevance to adults aged 30–50 years, comparability of intervention, and completeness of reporting of outcome were also taken into account in appraisal. This has helped stop the small, indirect study being used as a basis for an equivalent well-conducted UK trial or national observational analysis.</w:t>
      </w:r>
    </w:p>
    <w:p w14:paraId="3FB8C09F" w14:textId="77777777" w:rsidR="00FF7A76" w:rsidRDefault="00FF7A76" w:rsidP="00FF7A76">
      <w:r>
        <w:t>Table 3.6: Design-appropriate quality-appraisal approach</w:t>
      </w:r>
    </w:p>
    <w:tbl>
      <w:tblPr>
        <w:tblStyle w:val="TableGridLight"/>
        <w:tblW w:w="0" w:type="auto"/>
        <w:tblLook w:val="04A0" w:firstRow="1" w:lastRow="0" w:firstColumn="1" w:lastColumn="0" w:noHBand="0" w:noVBand="1"/>
      </w:tblPr>
      <w:tblGrid>
        <w:gridCol w:w="2389"/>
        <w:gridCol w:w="2237"/>
        <w:gridCol w:w="4390"/>
      </w:tblGrid>
      <w:tr w:rsidR="00FF7A76" w:rsidRPr="006F1DFE" w14:paraId="73F57C87" w14:textId="77777777" w:rsidTr="00FF7A76">
        <w:tc>
          <w:tcPr>
            <w:tcW w:w="2592" w:type="dxa"/>
          </w:tcPr>
          <w:p w14:paraId="2DC260A4" w14:textId="77777777" w:rsidR="00FF7A76" w:rsidRPr="006F1DFE" w:rsidRDefault="00FF7A76" w:rsidP="00DB66B5">
            <w:pPr>
              <w:rPr>
                <w:b/>
                <w:bCs/>
              </w:rPr>
            </w:pPr>
            <w:r w:rsidRPr="006F1DFE">
              <w:rPr>
                <w:b/>
                <w:bCs/>
              </w:rPr>
              <w:t>Study design</w:t>
            </w:r>
          </w:p>
        </w:tc>
        <w:tc>
          <w:tcPr>
            <w:tcW w:w="2448" w:type="dxa"/>
          </w:tcPr>
          <w:p w14:paraId="150234FE" w14:textId="77777777" w:rsidR="00FF7A76" w:rsidRPr="006F1DFE" w:rsidRDefault="00FF7A76" w:rsidP="00DB66B5">
            <w:pPr>
              <w:rPr>
                <w:b/>
                <w:bCs/>
              </w:rPr>
            </w:pPr>
            <w:r w:rsidRPr="006F1DFE">
              <w:rPr>
                <w:b/>
                <w:bCs/>
              </w:rPr>
              <w:t>Appraisal approach</w:t>
            </w:r>
          </w:p>
        </w:tc>
        <w:tc>
          <w:tcPr>
            <w:tcW w:w="5040" w:type="dxa"/>
          </w:tcPr>
          <w:p w14:paraId="10B7BDB5" w14:textId="77777777" w:rsidR="00FF7A76" w:rsidRPr="006F1DFE" w:rsidRDefault="00FF7A76" w:rsidP="00DB66B5">
            <w:pPr>
              <w:rPr>
                <w:b/>
                <w:bCs/>
              </w:rPr>
            </w:pPr>
            <w:r w:rsidRPr="006F1DFE">
              <w:rPr>
                <w:b/>
                <w:bCs/>
              </w:rPr>
              <w:t>Principal domains</w:t>
            </w:r>
          </w:p>
        </w:tc>
      </w:tr>
      <w:tr w:rsidR="00FF7A76" w14:paraId="34AAA920" w14:textId="77777777" w:rsidTr="00FF7A76">
        <w:tc>
          <w:tcPr>
            <w:tcW w:w="2592" w:type="dxa"/>
          </w:tcPr>
          <w:p w14:paraId="2BB73497" w14:textId="77777777" w:rsidR="00FF7A76" w:rsidRDefault="00FF7A76" w:rsidP="00DB66B5">
            <w:r>
              <w:t>Randomised or non-randomised primary study</w:t>
            </w:r>
          </w:p>
        </w:tc>
        <w:tc>
          <w:tcPr>
            <w:tcW w:w="2448" w:type="dxa"/>
          </w:tcPr>
          <w:p w14:paraId="2E694DE9" w14:textId="77777777" w:rsidR="00FF7A76" w:rsidRDefault="00FF7A76" w:rsidP="00DB66B5">
            <w:r>
              <w:t>MMAT design-specific criteria</w:t>
            </w:r>
          </w:p>
        </w:tc>
        <w:tc>
          <w:tcPr>
            <w:tcW w:w="5040" w:type="dxa"/>
          </w:tcPr>
          <w:p w14:paraId="18DEC14F" w14:textId="77777777" w:rsidR="00FF7A76" w:rsidRDefault="00FF7A76" w:rsidP="00DB66B5">
            <w:r>
              <w:t>Sampling or allocation, outcome completeness, measurement, confounding and intervention fidelity.</w:t>
            </w:r>
          </w:p>
        </w:tc>
      </w:tr>
      <w:tr w:rsidR="00FF7A76" w14:paraId="295FC52E" w14:textId="77777777" w:rsidTr="00FF7A76">
        <w:tc>
          <w:tcPr>
            <w:tcW w:w="2592" w:type="dxa"/>
          </w:tcPr>
          <w:p w14:paraId="1226F7A9" w14:textId="77777777" w:rsidR="00FF7A76" w:rsidRDefault="00FF7A76" w:rsidP="00DB66B5">
            <w:r>
              <w:t>Quantitative observational study</w:t>
            </w:r>
          </w:p>
        </w:tc>
        <w:tc>
          <w:tcPr>
            <w:tcW w:w="2448" w:type="dxa"/>
          </w:tcPr>
          <w:p w14:paraId="7BF7C95C" w14:textId="77777777" w:rsidR="00FF7A76" w:rsidRDefault="00FF7A76" w:rsidP="00DB66B5">
            <w:r>
              <w:t>MMAT quantitative criteria</w:t>
            </w:r>
          </w:p>
        </w:tc>
        <w:tc>
          <w:tcPr>
            <w:tcW w:w="5040" w:type="dxa"/>
          </w:tcPr>
          <w:p w14:paraId="6BF4CCC0" w14:textId="77777777" w:rsidR="00FF7A76" w:rsidRDefault="00FF7A76" w:rsidP="00DB66B5">
            <w:r>
              <w:t>Population relevance, measurement validity, completeness, confounding and analysis.</w:t>
            </w:r>
          </w:p>
        </w:tc>
      </w:tr>
      <w:tr w:rsidR="00FF7A76" w14:paraId="260E3569" w14:textId="77777777" w:rsidTr="00FF7A76">
        <w:tc>
          <w:tcPr>
            <w:tcW w:w="2592" w:type="dxa"/>
          </w:tcPr>
          <w:p w14:paraId="5A1C510C" w14:textId="77777777" w:rsidR="00FF7A76" w:rsidRDefault="00FF7A76" w:rsidP="00DB66B5">
            <w:r>
              <w:t>Qualitative study</w:t>
            </w:r>
          </w:p>
        </w:tc>
        <w:tc>
          <w:tcPr>
            <w:tcW w:w="2448" w:type="dxa"/>
          </w:tcPr>
          <w:p w14:paraId="0B5E2350" w14:textId="77777777" w:rsidR="00FF7A76" w:rsidRDefault="00FF7A76" w:rsidP="00DB66B5">
            <w:r>
              <w:t>MMAT qualitative criteria</w:t>
            </w:r>
          </w:p>
        </w:tc>
        <w:tc>
          <w:tcPr>
            <w:tcW w:w="5040" w:type="dxa"/>
          </w:tcPr>
          <w:p w14:paraId="357D6165" w14:textId="77777777" w:rsidR="00FF7A76" w:rsidRDefault="00FF7A76" w:rsidP="00DB66B5">
            <w:r>
              <w:t>Approach, data collection, interpretation, coherence and researcher influence.</w:t>
            </w:r>
          </w:p>
        </w:tc>
      </w:tr>
      <w:tr w:rsidR="00FF7A76" w14:paraId="3388B96F" w14:textId="77777777" w:rsidTr="00FF7A76">
        <w:tc>
          <w:tcPr>
            <w:tcW w:w="2592" w:type="dxa"/>
          </w:tcPr>
          <w:p w14:paraId="0A23CF32" w14:textId="77777777" w:rsidR="00FF7A76" w:rsidRDefault="00FF7A76" w:rsidP="00DB66B5">
            <w:r>
              <w:t>Mixed-methods study</w:t>
            </w:r>
          </w:p>
        </w:tc>
        <w:tc>
          <w:tcPr>
            <w:tcW w:w="2448" w:type="dxa"/>
          </w:tcPr>
          <w:p w14:paraId="1AD060AC" w14:textId="77777777" w:rsidR="00FF7A76" w:rsidRDefault="00FF7A76" w:rsidP="00DB66B5">
            <w:r>
              <w:t>MMAT mixed-methods criteria</w:t>
            </w:r>
          </w:p>
        </w:tc>
        <w:tc>
          <w:tcPr>
            <w:tcW w:w="5040" w:type="dxa"/>
          </w:tcPr>
          <w:p w14:paraId="4719601B" w14:textId="77777777" w:rsidR="00FF7A76" w:rsidRDefault="00FF7A76" w:rsidP="00DB66B5">
            <w:r>
              <w:t>Quality of components, rationale for integration and consistency of interpretation.</w:t>
            </w:r>
          </w:p>
        </w:tc>
      </w:tr>
      <w:tr w:rsidR="00FF7A76" w14:paraId="19DA5414" w14:textId="77777777" w:rsidTr="00FF7A76">
        <w:tc>
          <w:tcPr>
            <w:tcW w:w="2592" w:type="dxa"/>
          </w:tcPr>
          <w:p w14:paraId="1F3EB80F" w14:textId="77777777" w:rsidR="00FF7A76" w:rsidRDefault="00FF7A76" w:rsidP="00DB66B5">
            <w:r>
              <w:lastRenderedPageBreak/>
              <w:t>Systematic review/meta-analysis</w:t>
            </w:r>
          </w:p>
        </w:tc>
        <w:tc>
          <w:tcPr>
            <w:tcW w:w="2448" w:type="dxa"/>
          </w:tcPr>
          <w:p w14:paraId="4427DE08" w14:textId="77777777" w:rsidR="00FF7A76" w:rsidRDefault="00FF7A76" w:rsidP="00DB66B5">
            <w:r>
              <w:t>AMSTAR 2</w:t>
            </w:r>
          </w:p>
        </w:tc>
        <w:tc>
          <w:tcPr>
            <w:tcW w:w="5040" w:type="dxa"/>
          </w:tcPr>
          <w:p w14:paraId="487DB6CB" w14:textId="77777777" w:rsidR="00FF7A76" w:rsidRDefault="00FF7A76" w:rsidP="00DB66B5">
            <w:r>
              <w:t>Protocol, search, selection, appraisal, risk of bias and interpretation.</w:t>
            </w:r>
          </w:p>
        </w:tc>
      </w:tr>
    </w:tbl>
    <w:p w14:paraId="5EF369AC" w14:textId="77777777" w:rsidR="00DC6674" w:rsidRDefault="00DC6674" w:rsidP="00FF7A76">
      <w:pPr>
        <w:pStyle w:val="Heading2"/>
      </w:pPr>
      <w:bookmarkStart w:id="70" w:name="_Toc236914539"/>
    </w:p>
    <w:p w14:paraId="6DCCDC47" w14:textId="3DD99344" w:rsidR="00FF7A76" w:rsidRDefault="00FF7A76" w:rsidP="00DC6674">
      <w:pPr>
        <w:pStyle w:val="Heading2"/>
      </w:pPr>
      <w:bookmarkStart w:id="71" w:name="_Toc237485186"/>
      <w:r>
        <w:t>3.10 Data Extraction</w:t>
      </w:r>
      <w:bookmarkEnd w:id="70"/>
      <w:bookmarkEnd w:id="71"/>
    </w:p>
    <w:p w14:paraId="672B838E" w14:textId="72255748" w:rsidR="00FF7A76" w:rsidRDefault="00FF7A76" w:rsidP="00FF7A76">
      <w:r>
        <w:t>Similar data were gathered on a standardised extraction form. The items covered were author</w:t>
      </w:r>
      <w:r w:rsidR="00824A5F">
        <w:t xml:space="preserve">, </w:t>
      </w:r>
      <w:r>
        <w:t>year, country, purpose, study design, number of participants, participants' ages, socio-economic factors, hypertension status, setting, intervention provider, components and intensity, duration, comparator, definitions of outcomes, numerical results, qualitative results, strengths, limitations, appraisal judgement and directness to the UK target population. The pathway for an intervention from initial contact to measurement, confirmation, referral, treatment and follow-up (where reported) was documented.</w:t>
      </w:r>
    </w:p>
    <w:p w14:paraId="0B62D0DB" w14:textId="56FD3991" w:rsidR="00FF7A76" w:rsidRDefault="00FF7A76" w:rsidP="00FF7A76">
      <w:r>
        <w:t>For quantitative results, the same units and time points as those used by the study authors were included, and qualitative results were summarised without changes in their meaning. To minimise double counting, the information from systematic reviews was cross-checked against primary studies included. Each of the extraction rows was also matched with a different study identifier to allow tracking of the results presented in the results chapter back to the original study. A structured extraction table also brought to light the contradictions, in terms of service availability compared with service uptake, or between short-term and long-term blood-pressure control.</w:t>
      </w:r>
    </w:p>
    <w:p w14:paraId="68F3151B" w14:textId="77777777" w:rsidR="00FF7A76" w:rsidRDefault="00FF7A76" w:rsidP="00FF7A76">
      <w:r>
        <w:t>Table 3.7: Standardised data-extraction framework</w:t>
      </w:r>
    </w:p>
    <w:tbl>
      <w:tblPr>
        <w:tblStyle w:val="TableGridLight"/>
        <w:tblW w:w="0" w:type="auto"/>
        <w:tblLook w:val="04A0" w:firstRow="1" w:lastRow="0" w:firstColumn="1" w:lastColumn="0" w:noHBand="0" w:noVBand="1"/>
      </w:tblPr>
      <w:tblGrid>
        <w:gridCol w:w="2422"/>
        <w:gridCol w:w="6594"/>
      </w:tblGrid>
      <w:tr w:rsidR="00FF7A76" w:rsidRPr="006F1DFE" w14:paraId="1112FCFB" w14:textId="77777777" w:rsidTr="00FF7A76">
        <w:tc>
          <w:tcPr>
            <w:tcW w:w="2592" w:type="dxa"/>
          </w:tcPr>
          <w:p w14:paraId="507DABD0" w14:textId="77777777" w:rsidR="00FF7A76" w:rsidRPr="006F1DFE" w:rsidRDefault="00FF7A76" w:rsidP="00DB66B5">
            <w:pPr>
              <w:rPr>
                <w:b/>
                <w:bCs/>
              </w:rPr>
            </w:pPr>
            <w:r w:rsidRPr="006F1DFE">
              <w:rPr>
                <w:b/>
                <w:bCs/>
              </w:rPr>
              <w:t>Category</w:t>
            </w:r>
          </w:p>
        </w:tc>
        <w:tc>
          <w:tcPr>
            <w:tcW w:w="7488" w:type="dxa"/>
          </w:tcPr>
          <w:p w14:paraId="00351FD6" w14:textId="77777777" w:rsidR="00FF7A76" w:rsidRPr="006F1DFE" w:rsidRDefault="00FF7A76" w:rsidP="00DB66B5">
            <w:pPr>
              <w:rPr>
                <w:b/>
                <w:bCs/>
              </w:rPr>
            </w:pPr>
            <w:r w:rsidRPr="006F1DFE">
              <w:rPr>
                <w:b/>
                <w:bCs/>
              </w:rPr>
              <w:t>Information extracted</w:t>
            </w:r>
          </w:p>
        </w:tc>
      </w:tr>
      <w:tr w:rsidR="00FF7A76" w14:paraId="03905581" w14:textId="77777777" w:rsidTr="00FF7A76">
        <w:tc>
          <w:tcPr>
            <w:tcW w:w="2592" w:type="dxa"/>
          </w:tcPr>
          <w:p w14:paraId="207FF16B" w14:textId="77777777" w:rsidR="00FF7A76" w:rsidRDefault="00FF7A76" w:rsidP="00DB66B5">
            <w:r>
              <w:t>Bibliographic information</w:t>
            </w:r>
          </w:p>
        </w:tc>
        <w:tc>
          <w:tcPr>
            <w:tcW w:w="7488" w:type="dxa"/>
          </w:tcPr>
          <w:p w14:paraId="675D5B9C" w14:textId="77777777" w:rsidR="00FF7A76" w:rsidRDefault="00FF7A76" w:rsidP="00DB66B5">
            <w:r>
              <w:t>Author, year, title, journal and country.</w:t>
            </w:r>
          </w:p>
        </w:tc>
      </w:tr>
      <w:tr w:rsidR="00FF7A76" w14:paraId="6C182399" w14:textId="77777777" w:rsidTr="00FF7A76">
        <w:tc>
          <w:tcPr>
            <w:tcW w:w="2592" w:type="dxa"/>
          </w:tcPr>
          <w:p w14:paraId="532CE392" w14:textId="77777777" w:rsidR="00FF7A76" w:rsidRDefault="00FF7A76" w:rsidP="00DB66B5">
            <w:r>
              <w:t>Purpose and design</w:t>
            </w:r>
          </w:p>
        </w:tc>
        <w:tc>
          <w:tcPr>
            <w:tcW w:w="7488" w:type="dxa"/>
          </w:tcPr>
          <w:p w14:paraId="7C232A3B" w14:textId="77777777" w:rsidR="00FF7A76" w:rsidRDefault="00FF7A76" w:rsidP="00DB66B5">
            <w:r>
              <w:t>Aim, research question, design and analytical approach.</w:t>
            </w:r>
          </w:p>
        </w:tc>
      </w:tr>
      <w:tr w:rsidR="00FF7A76" w14:paraId="42AE9EB3" w14:textId="77777777" w:rsidTr="00FF7A76">
        <w:tc>
          <w:tcPr>
            <w:tcW w:w="2592" w:type="dxa"/>
          </w:tcPr>
          <w:p w14:paraId="751AA2AF" w14:textId="77777777" w:rsidR="00FF7A76" w:rsidRDefault="00FF7A76" w:rsidP="00DB66B5">
            <w:r>
              <w:t>Population</w:t>
            </w:r>
          </w:p>
        </w:tc>
        <w:tc>
          <w:tcPr>
            <w:tcW w:w="7488" w:type="dxa"/>
          </w:tcPr>
          <w:p w14:paraId="19E00864" w14:textId="77777777" w:rsidR="00FF7A76" w:rsidRDefault="00FF7A76" w:rsidP="00DB66B5">
            <w:r>
              <w:t>Sample size, age, hypertension status and socioeconomic characteristics.</w:t>
            </w:r>
          </w:p>
        </w:tc>
      </w:tr>
      <w:tr w:rsidR="00FF7A76" w14:paraId="0065F548" w14:textId="77777777" w:rsidTr="00FF7A76">
        <w:tc>
          <w:tcPr>
            <w:tcW w:w="2592" w:type="dxa"/>
          </w:tcPr>
          <w:p w14:paraId="400AFF9C" w14:textId="77777777" w:rsidR="00FF7A76" w:rsidRDefault="00FF7A76" w:rsidP="00DB66B5">
            <w:r>
              <w:t>Intervention and context</w:t>
            </w:r>
          </w:p>
        </w:tc>
        <w:tc>
          <w:tcPr>
            <w:tcW w:w="7488" w:type="dxa"/>
          </w:tcPr>
          <w:p w14:paraId="00FCE190" w14:textId="77777777" w:rsidR="00FF7A76" w:rsidRDefault="00FF7A76" w:rsidP="00DB66B5">
            <w:r>
              <w:t>Provider, setting, components, duration, intensity and technology.</w:t>
            </w:r>
          </w:p>
        </w:tc>
      </w:tr>
      <w:tr w:rsidR="00FF7A76" w14:paraId="4D6B719A" w14:textId="77777777" w:rsidTr="00FF7A76">
        <w:tc>
          <w:tcPr>
            <w:tcW w:w="2592" w:type="dxa"/>
          </w:tcPr>
          <w:p w14:paraId="627F85D3" w14:textId="77777777" w:rsidR="00FF7A76" w:rsidRDefault="00FF7A76" w:rsidP="00DB66B5">
            <w:r>
              <w:t>Comparator</w:t>
            </w:r>
          </w:p>
        </w:tc>
        <w:tc>
          <w:tcPr>
            <w:tcW w:w="7488" w:type="dxa"/>
          </w:tcPr>
          <w:p w14:paraId="513DDD9B" w14:textId="77777777" w:rsidR="00FF7A76" w:rsidRDefault="00FF7A76" w:rsidP="00DB66B5">
            <w:r>
              <w:t>Usual care, no intervention, alternative strategy or baseline status.</w:t>
            </w:r>
          </w:p>
        </w:tc>
      </w:tr>
      <w:tr w:rsidR="00FF7A76" w14:paraId="4CBF44B2" w14:textId="77777777" w:rsidTr="00FF7A76">
        <w:tc>
          <w:tcPr>
            <w:tcW w:w="2592" w:type="dxa"/>
          </w:tcPr>
          <w:p w14:paraId="2DF2092C" w14:textId="77777777" w:rsidR="00FF7A76" w:rsidRDefault="00FF7A76" w:rsidP="00DB66B5">
            <w:r>
              <w:t>Outcomes</w:t>
            </w:r>
          </w:p>
        </w:tc>
        <w:tc>
          <w:tcPr>
            <w:tcW w:w="7488" w:type="dxa"/>
          </w:tcPr>
          <w:p w14:paraId="3956A9DD" w14:textId="77777777" w:rsidR="00FF7A76" w:rsidRDefault="00FF7A76" w:rsidP="00DB66B5">
            <w:r>
              <w:t>Screening, referral, adherence, blood-pressure outcomes, access, engagement and implementation.</w:t>
            </w:r>
          </w:p>
        </w:tc>
      </w:tr>
      <w:tr w:rsidR="00FF7A76" w14:paraId="64DCEB1F" w14:textId="77777777" w:rsidTr="00FF7A76">
        <w:tc>
          <w:tcPr>
            <w:tcW w:w="2592" w:type="dxa"/>
          </w:tcPr>
          <w:p w14:paraId="60BB5075" w14:textId="77777777" w:rsidR="00FF7A76" w:rsidRDefault="00FF7A76" w:rsidP="00DB66B5">
            <w:r>
              <w:lastRenderedPageBreak/>
              <w:t>Critical interpretation</w:t>
            </w:r>
          </w:p>
        </w:tc>
        <w:tc>
          <w:tcPr>
            <w:tcW w:w="7488" w:type="dxa"/>
          </w:tcPr>
          <w:p w14:paraId="0D0A72A5" w14:textId="77777777" w:rsidR="00FF7A76" w:rsidRDefault="00FF7A76" w:rsidP="00DB66B5">
            <w:r>
              <w:t>Strengths, limitations, quality judgement, UK directness and thematic contribution.</w:t>
            </w:r>
          </w:p>
        </w:tc>
      </w:tr>
    </w:tbl>
    <w:p w14:paraId="0A34F389" w14:textId="77777777" w:rsidR="00FF7A76" w:rsidRDefault="00FF7A76" w:rsidP="00FF7A76"/>
    <w:p w14:paraId="2C6F7822" w14:textId="77777777" w:rsidR="00FF7A76" w:rsidRDefault="00FF7A76" w:rsidP="00FF7A76">
      <w:pPr>
        <w:pStyle w:val="Heading2"/>
      </w:pPr>
      <w:bookmarkStart w:id="72" w:name="_Toc236914540"/>
      <w:bookmarkStart w:id="73" w:name="_Toc237485187"/>
      <w:r>
        <w:t>3.11 Data Synthesis</w:t>
      </w:r>
      <w:bookmarkEnd w:id="72"/>
      <w:bookmarkEnd w:id="73"/>
    </w:p>
    <w:p w14:paraId="4B606E04" w14:textId="1D924870" w:rsidR="00FF7A76" w:rsidRDefault="00FF7A76" w:rsidP="00FF7A76">
      <w:r>
        <w:t xml:space="preserve">Due to the lack of appropriateness of statistical pooling, the evidence was synthesised narratively. Studies were structured into </w:t>
      </w:r>
      <w:r w:rsidR="00F010B5">
        <w:t>6</w:t>
      </w:r>
      <w:r>
        <w:t xml:space="preserve"> groups: community-pharmacy screening, home monitoring and digital support, education and lifestyle approaches, peer/family approaches, and nurse-, pharmacist- or multidisciplinary management, and referral, primary-care connection and continuity. Findings within each group were compared across process, clinical, behavioural, equity and implementation outcomes. Process indicators were invitations, uptake, valid measurement, and diagnostic confirmation and referral completion. The behavioural outcomes were adherence and self-monitoring, and equity and implementation outcomes were reach, digital access, acceptability, staff capacity, interoperability, sustainability and cost.</w:t>
      </w:r>
    </w:p>
    <w:p w14:paraId="4D697C19" w14:textId="77777777" w:rsidR="00FF7A76" w:rsidRDefault="00FF7A76" w:rsidP="00FF7A76">
      <w:r>
        <w:t>No original inferential statistics or pooled effect was claimed, and quantitative results were reported descriptively. Qualitative results were coded as barriers = negative, enabling factors = positive. Mutual similarities, differences and contradictions were explored with regard to design, population, intensity of intervention, follow-up and quality. Direct UK evidence was given more weight than indirect international evidence. Consistency, methodological credibility, directness and sufficiency of evidence were used to evaluate levels of confidence in each thematic conclusion. Conclusions were not expressed as numerical certainty scores, but in stronger, moderate or tentative terms where these were applicable. When no meta-analysis was conducted, SWiM guidance provided information for transparent grouping and reporting (Campbell et al., 2020).</w:t>
      </w:r>
    </w:p>
    <w:p w14:paraId="62CAB375" w14:textId="65FC35DF" w:rsidR="00FF7A76" w:rsidRDefault="00FF7A76" w:rsidP="00FF7A76">
      <w:pPr>
        <w:pStyle w:val="Heading2"/>
      </w:pPr>
      <w:bookmarkStart w:id="74" w:name="_Toc237485188"/>
      <w:bookmarkStart w:id="75" w:name="_Toc236914541"/>
      <w:r>
        <w:t>3.12 Ethical Considerations</w:t>
      </w:r>
      <w:bookmarkEnd w:id="74"/>
      <w:r>
        <w:t xml:space="preserve"> </w:t>
      </w:r>
      <w:bookmarkEnd w:id="75"/>
    </w:p>
    <w:p w14:paraId="15536A52" w14:textId="77777777" w:rsidR="00FF7A76" w:rsidRDefault="00FF7A76" w:rsidP="00FF7A76">
      <w:r>
        <w:t xml:space="preserve">The investigation was neither recruiting nor taking samples of biological materials nor intervening in care nor had access to confidential patient information. Approval of the NHS Research Ethics Committee was thus not sought. However, there were still ethical and academic obligations. This encompassed accurate representation of findings, complete citation, no plagiarism or fabricated evidence, clear distinction between direct evidence and </w:t>
      </w:r>
      <w:r>
        <w:lastRenderedPageBreak/>
        <w:t>indirect evidence, and clear reporting of limitations. Where numerical results or quotations are used, they were checked against their sources before use.</w:t>
      </w:r>
    </w:p>
    <w:p w14:paraId="2D76A89F" w14:textId="73133B24" w:rsidR="00D537D7" w:rsidRDefault="00D537D7" w:rsidP="00D537D7">
      <w:pPr>
        <w:pStyle w:val="Heading2"/>
      </w:pPr>
      <w:bookmarkStart w:id="76" w:name="_Toc237485189"/>
      <w:r>
        <w:t>3.13 Data Management</w:t>
      </w:r>
      <w:bookmarkEnd w:id="76"/>
    </w:p>
    <w:p w14:paraId="3C2284F6" w14:textId="77777777" w:rsidR="00FF7A76" w:rsidRDefault="00FF7A76" w:rsidP="00FF7A76">
      <w:r>
        <w:t>The approach for the search outputs, duplicate decisions, screening records, full-text exclusion reasons, appraisal forms and extraction tables was to file them in electronic folders with passwords, and file them with versioned filenames. The screening record was reconciled with the PRISMA calculation to ensure totals were reconciled. The researcher's reflexivity was also pertinent as it is expected that community interventions would be beneficial, which could impact on interpretation. Contradictory findings were therefore left intact, and availability of services was no longer assumed to equal equitable use, and recommendations were not equated with evidence description.</w:t>
      </w:r>
    </w:p>
    <w:p w14:paraId="13539B8D" w14:textId="3A72E240" w:rsidR="00FF7A76" w:rsidRDefault="00FF7A76" w:rsidP="00FF7A76">
      <w:pPr>
        <w:pStyle w:val="Heading2"/>
      </w:pPr>
      <w:bookmarkStart w:id="77" w:name="_Toc236914542"/>
      <w:bookmarkStart w:id="78" w:name="_Toc237485190"/>
      <w:r>
        <w:t>3.1</w:t>
      </w:r>
      <w:r w:rsidR="00D537D7">
        <w:t>4</w:t>
      </w:r>
      <w:r>
        <w:t xml:space="preserve"> Methodological Limitations</w:t>
      </w:r>
      <w:bookmarkEnd w:id="77"/>
      <w:bookmarkEnd w:id="78"/>
    </w:p>
    <w:p w14:paraId="09831CF5" w14:textId="77777777" w:rsidR="00FF7A76" w:rsidRDefault="00FF7A76" w:rsidP="00FF7A76">
      <w:r>
        <w:t>There are a number of restrictions on certainty. First, one researcher did screening, appraisal and extraction, which could be subjectively biased and open to transcription errors, as it was preferable to have independent duplicate screening. Second, the formal 2024–2026 dataset consists of 10 studies, limiting the conclusions of the systematic review for the specific age range (30- 50). These studies were not the only ones that informed the dissertation: prior empirical and review articles in PubMed were utilised as the clinical context, as well as for transferability, but not as part of the total PubMed count for PRISMA. Thirdly, many formal or contextual investigations involved larger samples of adults or non-UK contexts (less directness). Fourthly, there was a lack of homogeneity, which did not allow for meta-analysis and direct comparison.</w:t>
      </w:r>
    </w:p>
    <w:p w14:paraId="05FAA758" w14:textId="4CFCC238" w:rsidR="00FF7A76" w:rsidRDefault="00FF7A76" w:rsidP="00FF7A76">
      <w:r>
        <w:t>Important weaknesses in the reporting of the PRISMA record were also observed. No documentation of the automation tool and the rule that removed 50 records was found; 150 records were removed for other reasons but were not itemised, and 100 records were not retrieved. These can lead to retrieval and selection bias. They were acknowledged through transparency and interpreted and preserved carefully in the documented data, but they can not be corrected completely without the original search exports and screening audit trail.</w:t>
      </w:r>
    </w:p>
    <w:p w14:paraId="7BF28141" w14:textId="18FF6F0F" w:rsidR="00FF7A76" w:rsidRDefault="00FF7A76" w:rsidP="00FF7A76">
      <w:pPr>
        <w:pStyle w:val="Heading2"/>
      </w:pPr>
      <w:bookmarkStart w:id="79" w:name="_Toc236914543"/>
      <w:bookmarkStart w:id="80" w:name="_Toc237485191"/>
      <w:r>
        <w:lastRenderedPageBreak/>
        <w:t>3.1</w:t>
      </w:r>
      <w:r w:rsidR="00D537D7">
        <w:t>5</w:t>
      </w:r>
      <w:r>
        <w:t xml:space="preserve"> Chapter Summary</w:t>
      </w:r>
      <w:bookmarkEnd w:id="79"/>
      <w:bookmarkEnd w:id="80"/>
    </w:p>
    <w:p w14:paraId="7CD8EDBE" w14:textId="215593D9" w:rsidR="00514F89" w:rsidRPr="00F176D9" w:rsidRDefault="00FF7A76" w:rsidP="00FF7A76">
      <w:pPr>
        <w:rPr>
          <w:rFonts w:eastAsia="Times New Roman" w:cs="Arial"/>
          <w:b/>
          <w:sz w:val="32"/>
        </w:rPr>
      </w:pPr>
      <w:r w:rsidRPr="00756BA7">
        <w:t>This chapter developed a coherent methodology using a pragmatism approach, secondary research and systematic-review design. PICO aligned the review question and eligibility criteria, and PRISMA 2020 reported study selection. Reconciled arithmetic resulted in the exclusion of 45 full-text reports from the final 2024–2026 synthesis of ten studies, and in the inclusion of some older, PubMed-indexed literature as context. Heterogeneous evidence was appraised using design-specific appraisal, standardised extraction and narrative synthesis. The short formal period, as well as the small formal dataset and high non-retrieval rate, and incomplete audit details were reported transparently and not used to overstate certainty or transferability in order to avoid these potential biases and issues.</w:t>
      </w:r>
      <w:r w:rsidR="00514F89" w:rsidRPr="00F176D9">
        <w:rPr>
          <w:rFonts w:cs="Arial"/>
        </w:rPr>
        <w:br w:type="page"/>
      </w:r>
    </w:p>
    <w:p w14:paraId="2925942D" w14:textId="77777777" w:rsidR="00514F89" w:rsidRPr="00F176D9" w:rsidRDefault="00514F89" w:rsidP="00514F89">
      <w:pPr>
        <w:pStyle w:val="Heading1"/>
        <w:spacing w:after="649"/>
        <w:ind w:left="12" w:right="3"/>
        <w:rPr>
          <w:rFonts w:cs="Arial"/>
        </w:rPr>
      </w:pPr>
      <w:bookmarkStart w:id="81" w:name="_Toc217685596"/>
      <w:bookmarkStart w:id="82" w:name="_Toc234357596"/>
      <w:bookmarkStart w:id="83" w:name="_Toc237485192"/>
      <w:r w:rsidRPr="00F176D9">
        <w:rPr>
          <w:rFonts w:cs="Arial"/>
        </w:rPr>
        <w:lastRenderedPageBreak/>
        <w:t>Chapter 4: Results</w:t>
      </w:r>
      <w:bookmarkEnd w:id="81"/>
      <w:bookmarkEnd w:id="82"/>
      <w:bookmarkEnd w:id="83"/>
      <w:r w:rsidRPr="00F176D9">
        <w:rPr>
          <w:rFonts w:cs="Arial"/>
        </w:rPr>
        <w:t xml:space="preserve"> </w:t>
      </w:r>
    </w:p>
    <w:p w14:paraId="1126056D" w14:textId="77777777" w:rsidR="007650E2" w:rsidRPr="00F176D9" w:rsidRDefault="007650E2" w:rsidP="0022583B">
      <w:pPr>
        <w:pStyle w:val="Heading2"/>
      </w:pPr>
      <w:bookmarkStart w:id="84" w:name="_Toc234357597"/>
      <w:bookmarkStart w:id="85" w:name="_Toc237485193"/>
      <w:r w:rsidRPr="00F176D9">
        <w:t>4.1 Introduction</w:t>
      </w:r>
      <w:bookmarkEnd w:id="84"/>
      <w:bookmarkEnd w:id="85"/>
    </w:p>
    <w:p w14:paraId="6850D489" w14:textId="47AB2E2A" w:rsidR="002A7875" w:rsidRPr="00F176D9" w:rsidRDefault="002A7875" w:rsidP="00703C42">
      <w:pPr>
        <w:rPr>
          <w:rFonts w:cs="Arial"/>
        </w:rPr>
      </w:pPr>
      <w:r w:rsidRPr="00F176D9">
        <w:rPr>
          <w:rFonts w:cs="Arial"/>
        </w:rPr>
        <w:t>This chapter will offer a summary of the results of a systematic review of the impact of community-based interventions on adult hypertension (aged 30–50 years) in the UK. Secondary sources (peer-reviewed journal articles and appropriate public health literature) will be emphasised for the chapter. This chapter familiarises the reader with the diverse types of community-based interventions, digital support, telemedicine, and the contribution of pharmacy-based screening and primary-care monitoring in managing hypertension.</w:t>
      </w:r>
    </w:p>
    <w:p w14:paraId="0D16CBD1" w14:textId="301135D3" w:rsidR="002A7875" w:rsidRPr="00F176D9" w:rsidRDefault="002A7875" w:rsidP="00703C42">
      <w:pPr>
        <w:rPr>
          <w:rFonts w:cs="Arial"/>
        </w:rPr>
      </w:pPr>
      <w:r w:rsidRPr="00F176D9">
        <w:rPr>
          <w:rFonts w:cs="Arial"/>
        </w:rPr>
        <w:t>Following the application of the inclusion/exclusion criteria, 10 relevant studies were identified. To identify important evidence that would be related to the research objectives, the following studies were analysed. The results will be analysed in a themed way for clarity and consistency. The identification, screening, eligibility and inclusion process was represented using PRISMA, and the review question, population, intervention, comparison and outcomes were structured with the PICO framework. Thematic analysis was then used to cluster the findings into relevant themes, and the selected studies were discussed as to how they fulfilled the aim of the research.</w:t>
      </w:r>
    </w:p>
    <w:p w14:paraId="374420F6" w14:textId="67349060" w:rsidR="0008768C" w:rsidRDefault="007650E2" w:rsidP="0008768C">
      <w:pPr>
        <w:pStyle w:val="Heading2"/>
      </w:pPr>
      <w:bookmarkStart w:id="86" w:name="_Toc234357598"/>
      <w:bookmarkStart w:id="87" w:name="_Toc237485194"/>
      <w:r w:rsidRPr="00F176D9">
        <w:t xml:space="preserve">4.2 </w:t>
      </w:r>
      <w:bookmarkEnd w:id="86"/>
      <w:r w:rsidR="0008768C" w:rsidRPr="0008768C">
        <w:t>Overview of Included Studies</w:t>
      </w:r>
      <w:bookmarkEnd w:id="87"/>
    </w:p>
    <w:p w14:paraId="682BB6C8" w14:textId="4BB141ED" w:rsidR="00733A47" w:rsidRPr="0008768C" w:rsidRDefault="0008768C" w:rsidP="0008768C">
      <w:pPr>
        <w:rPr>
          <w:rFonts w:cs="Arial"/>
          <w:b/>
          <w:bCs/>
        </w:rPr>
      </w:pPr>
      <w:r>
        <w:t>After the systematic identification, screening and eligibility process outlined in Chapter 3, ten studies were selected for final analysis. The narrative and thematic synthesis in this chapter was based on these studies. The evidence provided with this resource were community-based strategies for hypertension management, such as pharmacies services, home blood-pressure monitoring, digital interventions, professional-led support, and community screening. Study designs, populations, settings, and reported outcomes were varied which enabled the comparison across the types of intervention and implementation. The characteristics of the following 10 studies are summarised before the main themes that emerged from the analysis of the findings are presented.</w:t>
      </w:r>
    </w:p>
    <w:p w14:paraId="4A61B5F2" w14:textId="73B2550C" w:rsidR="00CD082B" w:rsidRPr="00CD082B" w:rsidRDefault="00CD082B" w:rsidP="00CD082B">
      <w:pPr>
        <w:rPr>
          <w:rFonts w:cs="Arial"/>
        </w:rPr>
      </w:pPr>
    </w:p>
    <w:p w14:paraId="4E07544D" w14:textId="5B058023" w:rsidR="00CD082B" w:rsidRPr="00F176D9" w:rsidRDefault="00CD082B" w:rsidP="00CD082B">
      <w:pPr>
        <w:sectPr w:rsidR="00CD082B" w:rsidRPr="00F176D9" w:rsidSect="001A7B43">
          <w:footerReference w:type="even" r:id="rId14"/>
          <w:footerReference w:type="default" r:id="rId15"/>
          <w:footerReference w:type="first" r:id="rId16"/>
          <w:pgSz w:w="11906" w:h="16838"/>
          <w:pgMar w:top="1440" w:right="1440" w:bottom="1440" w:left="1440" w:header="708" w:footer="708" w:gutter="0"/>
          <w:cols w:space="708"/>
          <w:docGrid w:linePitch="360"/>
        </w:sectPr>
      </w:pPr>
    </w:p>
    <w:p w14:paraId="190FD1A8" w14:textId="6BF4976B" w:rsidR="007650E2" w:rsidRPr="00F176D9" w:rsidRDefault="007650E2" w:rsidP="0022583B">
      <w:pPr>
        <w:pStyle w:val="Heading2"/>
      </w:pPr>
      <w:bookmarkStart w:id="88" w:name="_Toc234357599"/>
      <w:bookmarkStart w:id="89" w:name="_Toc237485195"/>
      <w:r w:rsidRPr="00F176D9">
        <w:lastRenderedPageBreak/>
        <w:t>4.3 Characteristics of Studies</w:t>
      </w:r>
      <w:bookmarkEnd w:id="88"/>
      <w:bookmarkEnd w:id="89"/>
      <w:r w:rsidRPr="00F176D9">
        <w:t xml:space="preserve"> </w:t>
      </w:r>
    </w:p>
    <w:p w14:paraId="77893521" w14:textId="52A5C42F" w:rsidR="002A7875" w:rsidRPr="00F176D9" w:rsidRDefault="002A7875" w:rsidP="0022583B">
      <w:pPr>
        <w:rPr>
          <w:rFonts w:cs="Arial"/>
        </w:rPr>
      </w:pPr>
      <w:r w:rsidRPr="00F176D9">
        <w:rPr>
          <w:rFonts w:cs="Arial"/>
        </w:rPr>
        <w:t>The 10 studies were briefly summarised in terms of their characteristics and included in Table 4.1. The purpose, setting, methods, strengths and weaknesses, findings, conclusions, data extraction criteria and relationship of the data to the theme for each study are summarised below. This facilitated organisation of evidence prior to thematic synthesis.</w:t>
      </w:r>
    </w:p>
    <w:p w14:paraId="523E006A" w14:textId="5F165A0B" w:rsidR="007650E2" w:rsidRPr="00F176D9" w:rsidRDefault="001A7B43" w:rsidP="00514F89">
      <w:pPr>
        <w:rPr>
          <w:rFonts w:cs="Arial"/>
        </w:rPr>
      </w:pPr>
      <w:r w:rsidRPr="00F176D9">
        <w:rPr>
          <w:rFonts w:cs="Arial"/>
        </w:rPr>
        <w:t>Table 4.1: Characteristics of Included Studies and Data Extraction Themes</w:t>
      </w:r>
    </w:p>
    <w:tbl>
      <w:tblPr>
        <w:tblStyle w:val="TableGrid"/>
        <w:tblW w:w="13948" w:type="dxa"/>
        <w:tblLook w:val="04A0" w:firstRow="1" w:lastRow="0" w:firstColumn="1" w:lastColumn="0" w:noHBand="0" w:noVBand="1"/>
      </w:tblPr>
      <w:tblGrid>
        <w:gridCol w:w="1221"/>
        <w:gridCol w:w="1383"/>
        <w:gridCol w:w="1251"/>
        <w:gridCol w:w="1248"/>
        <w:gridCol w:w="1174"/>
        <w:gridCol w:w="1239"/>
        <w:gridCol w:w="1391"/>
        <w:gridCol w:w="1295"/>
        <w:gridCol w:w="1202"/>
        <w:gridCol w:w="1305"/>
        <w:gridCol w:w="1239"/>
      </w:tblGrid>
      <w:tr w:rsidR="007650E2" w:rsidRPr="00F176D9" w14:paraId="1E62036A" w14:textId="77777777" w:rsidTr="0022583B">
        <w:trPr>
          <w:trHeight w:val="1152"/>
        </w:trPr>
        <w:tc>
          <w:tcPr>
            <w:tcW w:w="0" w:type="auto"/>
            <w:hideMark/>
          </w:tcPr>
          <w:p w14:paraId="311EC310" w14:textId="77777777" w:rsidR="007650E2" w:rsidRPr="00F176D9" w:rsidRDefault="007650E2" w:rsidP="007650E2">
            <w:pPr>
              <w:rPr>
                <w:rFonts w:cs="Arial"/>
                <w:b/>
                <w:bCs/>
                <w:sz w:val="16"/>
                <w:szCs w:val="16"/>
                <w:lang w:val="en-US"/>
              </w:rPr>
            </w:pPr>
            <w:r w:rsidRPr="00F176D9">
              <w:rPr>
                <w:rFonts w:cs="Arial"/>
                <w:b/>
                <w:bCs/>
                <w:sz w:val="16"/>
                <w:szCs w:val="16"/>
                <w:lang w:val="en-US"/>
              </w:rPr>
              <w:t>Study Author’s name</w:t>
            </w:r>
          </w:p>
        </w:tc>
        <w:tc>
          <w:tcPr>
            <w:tcW w:w="0" w:type="auto"/>
            <w:hideMark/>
          </w:tcPr>
          <w:p w14:paraId="042E0B31" w14:textId="77777777" w:rsidR="007650E2" w:rsidRPr="00F176D9" w:rsidRDefault="007650E2" w:rsidP="007650E2">
            <w:pPr>
              <w:rPr>
                <w:rFonts w:cs="Arial"/>
                <w:b/>
                <w:bCs/>
                <w:sz w:val="16"/>
                <w:szCs w:val="16"/>
                <w:lang w:val="en-US"/>
              </w:rPr>
            </w:pPr>
            <w:r w:rsidRPr="00F176D9">
              <w:rPr>
                <w:rFonts w:cs="Arial"/>
                <w:b/>
                <w:bCs/>
                <w:sz w:val="16"/>
                <w:szCs w:val="16"/>
                <w:lang w:val="en-US"/>
              </w:rPr>
              <w:t>Objective/purpose</w:t>
            </w:r>
          </w:p>
        </w:tc>
        <w:tc>
          <w:tcPr>
            <w:tcW w:w="0" w:type="auto"/>
            <w:hideMark/>
          </w:tcPr>
          <w:p w14:paraId="75701883" w14:textId="77777777" w:rsidR="007650E2" w:rsidRPr="00F176D9" w:rsidRDefault="007650E2" w:rsidP="007650E2">
            <w:pPr>
              <w:rPr>
                <w:rFonts w:cs="Arial"/>
                <w:b/>
                <w:bCs/>
                <w:sz w:val="16"/>
                <w:szCs w:val="16"/>
                <w:lang w:val="en-US"/>
              </w:rPr>
            </w:pPr>
            <w:r w:rsidRPr="00F176D9">
              <w:rPr>
                <w:rFonts w:cs="Arial"/>
                <w:b/>
                <w:bCs/>
                <w:sz w:val="16"/>
                <w:szCs w:val="16"/>
                <w:lang w:val="en-US"/>
              </w:rPr>
              <w:t>Setting/sample</w:t>
            </w:r>
          </w:p>
        </w:tc>
        <w:tc>
          <w:tcPr>
            <w:tcW w:w="0" w:type="auto"/>
            <w:hideMark/>
          </w:tcPr>
          <w:p w14:paraId="68693EE4" w14:textId="77777777" w:rsidR="007650E2" w:rsidRPr="00F176D9" w:rsidRDefault="007650E2" w:rsidP="007650E2">
            <w:pPr>
              <w:rPr>
                <w:rFonts w:cs="Arial"/>
                <w:b/>
                <w:bCs/>
                <w:sz w:val="16"/>
                <w:szCs w:val="16"/>
                <w:lang w:val="en-US"/>
              </w:rPr>
            </w:pPr>
            <w:r w:rsidRPr="00F176D9">
              <w:rPr>
                <w:rFonts w:cs="Arial"/>
                <w:b/>
                <w:bCs/>
                <w:sz w:val="16"/>
                <w:szCs w:val="16"/>
                <w:lang w:val="en-US"/>
              </w:rPr>
              <w:t>Methodology: Study design was appropriate or not</w:t>
            </w:r>
          </w:p>
        </w:tc>
        <w:tc>
          <w:tcPr>
            <w:tcW w:w="0" w:type="auto"/>
            <w:hideMark/>
          </w:tcPr>
          <w:p w14:paraId="289EA0D9" w14:textId="77777777" w:rsidR="007650E2" w:rsidRPr="00F176D9" w:rsidRDefault="007650E2" w:rsidP="007650E2">
            <w:pPr>
              <w:rPr>
                <w:rFonts w:cs="Arial"/>
                <w:b/>
                <w:bCs/>
                <w:sz w:val="16"/>
                <w:szCs w:val="16"/>
                <w:lang w:val="en-US"/>
              </w:rPr>
            </w:pPr>
            <w:r w:rsidRPr="00F176D9">
              <w:rPr>
                <w:rFonts w:cs="Arial"/>
                <w:b/>
                <w:bCs/>
                <w:sz w:val="16"/>
                <w:szCs w:val="16"/>
                <w:lang w:val="en-US"/>
              </w:rPr>
              <w:t>Strengths</w:t>
            </w:r>
          </w:p>
        </w:tc>
        <w:tc>
          <w:tcPr>
            <w:tcW w:w="0" w:type="auto"/>
            <w:hideMark/>
          </w:tcPr>
          <w:p w14:paraId="688D6D83" w14:textId="77777777" w:rsidR="007650E2" w:rsidRPr="00F176D9" w:rsidRDefault="007650E2" w:rsidP="007650E2">
            <w:pPr>
              <w:rPr>
                <w:rFonts w:cs="Arial"/>
                <w:b/>
                <w:bCs/>
                <w:sz w:val="16"/>
                <w:szCs w:val="16"/>
                <w:lang w:val="en-US"/>
              </w:rPr>
            </w:pPr>
            <w:r w:rsidRPr="00F176D9">
              <w:rPr>
                <w:rFonts w:cs="Arial"/>
                <w:b/>
                <w:bCs/>
                <w:sz w:val="16"/>
                <w:szCs w:val="16"/>
                <w:lang w:val="en-US"/>
              </w:rPr>
              <w:t>Weaknesses</w:t>
            </w:r>
          </w:p>
        </w:tc>
        <w:tc>
          <w:tcPr>
            <w:tcW w:w="0" w:type="auto"/>
            <w:hideMark/>
          </w:tcPr>
          <w:p w14:paraId="14AF1BC6" w14:textId="77777777" w:rsidR="007650E2" w:rsidRPr="00F176D9" w:rsidRDefault="007650E2" w:rsidP="007650E2">
            <w:pPr>
              <w:rPr>
                <w:rFonts w:cs="Arial"/>
                <w:b/>
                <w:bCs/>
                <w:sz w:val="16"/>
                <w:szCs w:val="16"/>
                <w:lang w:val="en-US"/>
              </w:rPr>
            </w:pPr>
            <w:r w:rsidRPr="00F176D9">
              <w:rPr>
                <w:rFonts w:cs="Arial"/>
                <w:b/>
                <w:bCs/>
                <w:sz w:val="16"/>
                <w:szCs w:val="16"/>
                <w:lang w:val="en-US"/>
              </w:rPr>
              <w:t>Results/Outcomes</w:t>
            </w:r>
          </w:p>
        </w:tc>
        <w:tc>
          <w:tcPr>
            <w:tcW w:w="0" w:type="auto"/>
            <w:hideMark/>
          </w:tcPr>
          <w:p w14:paraId="1CC944F6" w14:textId="77777777" w:rsidR="007650E2" w:rsidRPr="00F176D9" w:rsidRDefault="007650E2" w:rsidP="007650E2">
            <w:pPr>
              <w:rPr>
                <w:rFonts w:cs="Arial"/>
                <w:b/>
                <w:bCs/>
                <w:sz w:val="16"/>
                <w:szCs w:val="16"/>
                <w:lang w:val="en-US"/>
              </w:rPr>
            </w:pPr>
            <w:r w:rsidRPr="00F176D9">
              <w:rPr>
                <w:rFonts w:cs="Arial"/>
                <w:b/>
                <w:bCs/>
                <w:sz w:val="16"/>
                <w:szCs w:val="16"/>
                <w:lang w:val="en-US"/>
              </w:rPr>
              <w:t>Conclusion</w:t>
            </w:r>
          </w:p>
        </w:tc>
        <w:tc>
          <w:tcPr>
            <w:tcW w:w="0" w:type="auto"/>
            <w:hideMark/>
          </w:tcPr>
          <w:p w14:paraId="70675686" w14:textId="77777777" w:rsidR="007650E2" w:rsidRPr="00F176D9" w:rsidRDefault="007650E2" w:rsidP="007650E2">
            <w:pPr>
              <w:rPr>
                <w:rFonts w:cs="Arial"/>
                <w:b/>
                <w:bCs/>
                <w:sz w:val="16"/>
                <w:szCs w:val="16"/>
                <w:lang w:val="en-US"/>
              </w:rPr>
            </w:pPr>
            <w:r w:rsidRPr="00F176D9">
              <w:rPr>
                <w:rFonts w:cs="Arial"/>
                <w:b/>
                <w:bCs/>
                <w:sz w:val="16"/>
                <w:szCs w:val="16"/>
                <w:lang w:val="en-US"/>
              </w:rPr>
              <w:t>Data extraction criteria derived from research objective 1</w:t>
            </w:r>
          </w:p>
        </w:tc>
        <w:tc>
          <w:tcPr>
            <w:tcW w:w="0" w:type="auto"/>
            <w:hideMark/>
          </w:tcPr>
          <w:p w14:paraId="476F459F" w14:textId="77777777" w:rsidR="007650E2" w:rsidRPr="00F176D9" w:rsidRDefault="007650E2" w:rsidP="007650E2">
            <w:pPr>
              <w:rPr>
                <w:rFonts w:cs="Arial"/>
                <w:b/>
                <w:bCs/>
                <w:sz w:val="16"/>
                <w:szCs w:val="16"/>
                <w:lang w:val="en-US"/>
              </w:rPr>
            </w:pPr>
            <w:r w:rsidRPr="00F176D9">
              <w:rPr>
                <w:rFonts w:cs="Arial"/>
                <w:b/>
                <w:bCs/>
                <w:sz w:val="16"/>
                <w:szCs w:val="16"/>
                <w:lang w:val="en-US"/>
              </w:rPr>
              <w:t>Data extraction criteria derived from research objective 2</w:t>
            </w:r>
          </w:p>
        </w:tc>
        <w:tc>
          <w:tcPr>
            <w:tcW w:w="0" w:type="auto"/>
            <w:hideMark/>
          </w:tcPr>
          <w:p w14:paraId="12CEB0D1" w14:textId="77777777" w:rsidR="007650E2" w:rsidRPr="00F176D9" w:rsidRDefault="007650E2" w:rsidP="007650E2">
            <w:pPr>
              <w:rPr>
                <w:rFonts w:cs="Arial"/>
                <w:b/>
                <w:bCs/>
                <w:sz w:val="16"/>
                <w:szCs w:val="16"/>
                <w:lang w:val="en-US"/>
              </w:rPr>
            </w:pPr>
            <w:r w:rsidRPr="00F176D9">
              <w:rPr>
                <w:rFonts w:cs="Arial"/>
                <w:b/>
                <w:bCs/>
                <w:sz w:val="16"/>
                <w:szCs w:val="16"/>
                <w:lang w:val="en-US"/>
              </w:rPr>
              <w:t>Themes for each article</w:t>
            </w:r>
          </w:p>
        </w:tc>
      </w:tr>
      <w:tr w:rsidR="007650E2" w:rsidRPr="00F176D9" w14:paraId="62F9FDD3" w14:textId="77777777" w:rsidTr="0022583B">
        <w:trPr>
          <w:trHeight w:val="1152"/>
        </w:trPr>
        <w:tc>
          <w:tcPr>
            <w:tcW w:w="0" w:type="auto"/>
            <w:hideMark/>
          </w:tcPr>
          <w:p w14:paraId="3129C9E8" w14:textId="77777777" w:rsidR="007650E2" w:rsidRPr="00F176D9" w:rsidRDefault="007650E2" w:rsidP="007650E2">
            <w:pPr>
              <w:rPr>
                <w:rFonts w:cs="Arial"/>
                <w:sz w:val="20"/>
                <w:szCs w:val="20"/>
                <w:lang w:val="en-US"/>
              </w:rPr>
            </w:pPr>
            <w:r w:rsidRPr="00F176D9">
              <w:rPr>
                <w:rFonts w:cs="Arial"/>
                <w:sz w:val="20"/>
                <w:szCs w:val="20"/>
                <w:lang w:val="en-US"/>
              </w:rPr>
              <w:t>Azami-Aghdash et al. (2025)</w:t>
            </w:r>
          </w:p>
        </w:tc>
        <w:tc>
          <w:tcPr>
            <w:tcW w:w="0" w:type="auto"/>
            <w:hideMark/>
          </w:tcPr>
          <w:p w14:paraId="2B339F4D" w14:textId="77777777" w:rsidR="007650E2" w:rsidRPr="00F176D9" w:rsidRDefault="007650E2" w:rsidP="007650E2">
            <w:pPr>
              <w:rPr>
                <w:rFonts w:cs="Arial"/>
                <w:sz w:val="20"/>
                <w:szCs w:val="20"/>
                <w:lang w:val="en-US"/>
              </w:rPr>
            </w:pPr>
            <w:r w:rsidRPr="00F176D9">
              <w:rPr>
                <w:rFonts w:cs="Arial"/>
                <w:sz w:val="20"/>
                <w:szCs w:val="20"/>
                <w:lang w:val="en-US"/>
              </w:rPr>
              <w:t>Community intervention effectiveness for hypertension prevention and control</w:t>
            </w:r>
          </w:p>
        </w:tc>
        <w:tc>
          <w:tcPr>
            <w:tcW w:w="0" w:type="auto"/>
            <w:hideMark/>
          </w:tcPr>
          <w:p w14:paraId="76731487" w14:textId="77777777" w:rsidR="007650E2" w:rsidRPr="00F176D9" w:rsidRDefault="007650E2" w:rsidP="007650E2">
            <w:pPr>
              <w:rPr>
                <w:rFonts w:cs="Arial"/>
                <w:sz w:val="20"/>
                <w:szCs w:val="20"/>
                <w:lang w:val="en-US"/>
              </w:rPr>
            </w:pPr>
            <w:r w:rsidRPr="00F176D9">
              <w:rPr>
                <w:rFonts w:cs="Arial"/>
                <w:sz w:val="20"/>
                <w:szCs w:val="20"/>
                <w:lang w:val="en-US"/>
              </w:rPr>
              <w:t>Community hypertension studies from varied healthcare settings</w:t>
            </w:r>
          </w:p>
        </w:tc>
        <w:tc>
          <w:tcPr>
            <w:tcW w:w="0" w:type="auto"/>
            <w:hideMark/>
          </w:tcPr>
          <w:p w14:paraId="37E76ACA" w14:textId="77777777" w:rsidR="007650E2" w:rsidRPr="00F176D9" w:rsidRDefault="007650E2" w:rsidP="007650E2">
            <w:pPr>
              <w:rPr>
                <w:rFonts w:cs="Arial"/>
                <w:sz w:val="20"/>
                <w:szCs w:val="20"/>
                <w:lang w:val="en-US"/>
              </w:rPr>
            </w:pPr>
            <w:r w:rsidRPr="00F176D9">
              <w:rPr>
                <w:rFonts w:cs="Arial"/>
                <w:sz w:val="20"/>
                <w:szCs w:val="20"/>
                <w:lang w:val="en-US"/>
              </w:rPr>
              <w:t>Systematic review and meta-analysis; appropriate design</w:t>
            </w:r>
          </w:p>
        </w:tc>
        <w:tc>
          <w:tcPr>
            <w:tcW w:w="0" w:type="auto"/>
            <w:hideMark/>
          </w:tcPr>
          <w:p w14:paraId="43F8A904" w14:textId="77777777" w:rsidR="007650E2" w:rsidRPr="00F176D9" w:rsidRDefault="007650E2" w:rsidP="007650E2">
            <w:pPr>
              <w:rPr>
                <w:rFonts w:cs="Arial"/>
                <w:sz w:val="20"/>
                <w:szCs w:val="20"/>
                <w:lang w:val="en-US"/>
              </w:rPr>
            </w:pPr>
            <w:r w:rsidRPr="00F176D9">
              <w:rPr>
                <w:rFonts w:cs="Arial"/>
                <w:sz w:val="20"/>
                <w:szCs w:val="20"/>
                <w:lang w:val="en-US"/>
              </w:rPr>
              <w:t>Strong community focus with pooled intervention evidence</w:t>
            </w:r>
          </w:p>
        </w:tc>
        <w:tc>
          <w:tcPr>
            <w:tcW w:w="0" w:type="auto"/>
            <w:hideMark/>
          </w:tcPr>
          <w:p w14:paraId="3578CBEE" w14:textId="77777777" w:rsidR="007650E2" w:rsidRPr="00F176D9" w:rsidRDefault="007650E2" w:rsidP="007650E2">
            <w:pPr>
              <w:rPr>
                <w:rFonts w:cs="Arial"/>
                <w:sz w:val="20"/>
                <w:szCs w:val="20"/>
                <w:lang w:val="en-US"/>
              </w:rPr>
            </w:pPr>
            <w:r w:rsidRPr="00F176D9">
              <w:rPr>
                <w:rFonts w:cs="Arial"/>
                <w:sz w:val="20"/>
                <w:szCs w:val="20"/>
                <w:lang w:val="en-US"/>
              </w:rPr>
              <w:t>Not UK-specific; settings and populations were mixed</w:t>
            </w:r>
          </w:p>
        </w:tc>
        <w:tc>
          <w:tcPr>
            <w:tcW w:w="0" w:type="auto"/>
            <w:hideMark/>
          </w:tcPr>
          <w:p w14:paraId="76343C41" w14:textId="77777777" w:rsidR="007650E2" w:rsidRPr="00F176D9" w:rsidRDefault="007650E2" w:rsidP="007650E2">
            <w:pPr>
              <w:rPr>
                <w:rFonts w:cs="Arial"/>
                <w:sz w:val="20"/>
                <w:szCs w:val="20"/>
                <w:lang w:val="en-US"/>
              </w:rPr>
            </w:pPr>
            <w:r w:rsidRPr="00F176D9">
              <w:rPr>
                <w:rFonts w:cs="Arial"/>
                <w:sz w:val="20"/>
                <w:szCs w:val="20"/>
                <w:lang w:val="en-US"/>
              </w:rPr>
              <w:t>Community interventions improved blood pressure control outcomes</w:t>
            </w:r>
          </w:p>
        </w:tc>
        <w:tc>
          <w:tcPr>
            <w:tcW w:w="0" w:type="auto"/>
            <w:hideMark/>
          </w:tcPr>
          <w:p w14:paraId="4CF87ECD" w14:textId="77777777" w:rsidR="007650E2" w:rsidRPr="00F176D9" w:rsidRDefault="007650E2" w:rsidP="007650E2">
            <w:pPr>
              <w:rPr>
                <w:rFonts w:cs="Arial"/>
                <w:sz w:val="20"/>
                <w:szCs w:val="20"/>
                <w:lang w:val="en-US"/>
              </w:rPr>
            </w:pPr>
            <w:r w:rsidRPr="00F176D9">
              <w:rPr>
                <w:rFonts w:cs="Arial"/>
                <w:sz w:val="20"/>
                <w:szCs w:val="20"/>
                <w:lang w:val="en-US"/>
              </w:rPr>
              <w:t>Community approaches support hypertension prevention and control</w:t>
            </w:r>
          </w:p>
        </w:tc>
        <w:tc>
          <w:tcPr>
            <w:tcW w:w="0" w:type="auto"/>
            <w:hideMark/>
          </w:tcPr>
          <w:p w14:paraId="74255B9B" w14:textId="77777777" w:rsidR="007650E2" w:rsidRPr="00F176D9" w:rsidRDefault="007650E2" w:rsidP="007650E2">
            <w:pPr>
              <w:rPr>
                <w:rFonts w:cs="Arial"/>
                <w:sz w:val="20"/>
                <w:szCs w:val="20"/>
                <w:lang w:val="en-US"/>
              </w:rPr>
            </w:pPr>
            <w:r w:rsidRPr="00F176D9">
              <w:rPr>
                <w:rFonts w:cs="Arial"/>
                <w:sz w:val="20"/>
                <w:szCs w:val="20"/>
                <w:lang w:val="en-US"/>
              </w:rPr>
              <w:t>Lifestyle and behavioural risks linked with hypertension</w:t>
            </w:r>
          </w:p>
        </w:tc>
        <w:tc>
          <w:tcPr>
            <w:tcW w:w="0" w:type="auto"/>
            <w:hideMark/>
          </w:tcPr>
          <w:p w14:paraId="5838410B" w14:textId="77777777" w:rsidR="007650E2" w:rsidRPr="00F176D9" w:rsidRDefault="007650E2" w:rsidP="007650E2">
            <w:pPr>
              <w:rPr>
                <w:rFonts w:cs="Arial"/>
                <w:sz w:val="20"/>
                <w:szCs w:val="20"/>
                <w:lang w:val="en-US"/>
              </w:rPr>
            </w:pPr>
            <w:r w:rsidRPr="00F176D9">
              <w:rPr>
                <w:rFonts w:cs="Arial"/>
                <w:sz w:val="20"/>
                <w:szCs w:val="20"/>
                <w:lang w:val="en-US"/>
              </w:rPr>
              <w:t>Health education and lifestyle intervention roles</w:t>
            </w:r>
          </w:p>
        </w:tc>
        <w:tc>
          <w:tcPr>
            <w:tcW w:w="0" w:type="auto"/>
            <w:hideMark/>
          </w:tcPr>
          <w:p w14:paraId="01242708" w14:textId="77777777" w:rsidR="007650E2" w:rsidRPr="00F176D9" w:rsidRDefault="007650E2" w:rsidP="007650E2">
            <w:pPr>
              <w:rPr>
                <w:rFonts w:cs="Arial"/>
                <w:sz w:val="20"/>
                <w:szCs w:val="20"/>
                <w:lang w:val="en-US"/>
              </w:rPr>
            </w:pPr>
            <w:r w:rsidRPr="00F176D9">
              <w:rPr>
                <w:rFonts w:cs="Arial"/>
                <w:sz w:val="20"/>
                <w:szCs w:val="20"/>
                <w:lang w:val="en-US"/>
              </w:rPr>
              <w:t>Community-based hypertension intervention</w:t>
            </w:r>
          </w:p>
        </w:tc>
      </w:tr>
      <w:tr w:rsidR="007650E2" w:rsidRPr="00F176D9" w14:paraId="005EF8F6" w14:textId="77777777" w:rsidTr="0022583B">
        <w:trPr>
          <w:trHeight w:val="1152"/>
        </w:trPr>
        <w:tc>
          <w:tcPr>
            <w:tcW w:w="0" w:type="auto"/>
            <w:hideMark/>
          </w:tcPr>
          <w:p w14:paraId="2B8B7008" w14:textId="77777777" w:rsidR="007650E2" w:rsidRPr="00F176D9" w:rsidRDefault="007650E2" w:rsidP="007650E2">
            <w:pPr>
              <w:rPr>
                <w:rFonts w:cs="Arial"/>
                <w:sz w:val="20"/>
                <w:szCs w:val="20"/>
                <w:lang w:val="en-US"/>
              </w:rPr>
            </w:pPr>
            <w:r w:rsidRPr="00F176D9">
              <w:rPr>
                <w:rFonts w:cs="Arial"/>
                <w:sz w:val="20"/>
                <w:szCs w:val="20"/>
                <w:lang w:val="en-US"/>
              </w:rPr>
              <w:t>Boima et al. (2024)</w:t>
            </w:r>
          </w:p>
        </w:tc>
        <w:tc>
          <w:tcPr>
            <w:tcW w:w="0" w:type="auto"/>
            <w:hideMark/>
          </w:tcPr>
          <w:p w14:paraId="1F55A2D3" w14:textId="77777777" w:rsidR="007650E2" w:rsidRPr="00F176D9" w:rsidRDefault="007650E2" w:rsidP="007650E2">
            <w:pPr>
              <w:rPr>
                <w:rFonts w:cs="Arial"/>
                <w:sz w:val="20"/>
                <w:szCs w:val="20"/>
                <w:lang w:val="en-US"/>
              </w:rPr>
            </w:pPr>
            <w:r w:rsidRPr="00F176D9">
              <w:rPr>
                <w:rFonts w:cs="Arial"/>
                <w:sz w:val="20"/>
                <w:szCs w:val="20"/>
                <w:lang w:val="en-US"/>
              </w:rPr>
              <w:t xml:space="preserve">Digital interventions for blood </w:t>
            </w:r>
            <w:r w:rsidRPr="00F176D9">
              <w:rPr>
                <w:rFonts w:cs="Arial"/>
                <w:sz w:val="20"/>
                <w:szCs w:val="20"/>
                <w:lang w:val="en-US"/>
              </w:rPr>
              <w:lastRenderedPageBreak/>
              <w:t>pressure and adherence</w:t>
            </w:r>
          </w:p>
        </w:tc>
        <w:tc>
          <w:tcPr>
            <w:tcW w:w="0" w:type="auto"/>
            <w:hideMark/>
          </w:tcPr>
          <w:p w14:paraId="335429CE"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Hypertension patients in low-income </w:t>
            </w:r>
            <w:r w:rsidRPr="00F176D9">
              <w:rPr>
                <w:rFonts w:cs="Arial"/>
                <w:sz w:val="20"/>
                <w:szCs w:val="20"/>
                <w:lang w:val="en-US"/>
              </w:rPr>
              <w:lastRenderedPageBreak/>
              <w:t>country settings</w:t>
            </w:r>
          </w:p>
        </w:tc>
        <w:tc>
          <w:tcPr>
            <w:tcW w:w="0" w:type="auto"/>
            <w:hideMark/>
          </w:tcPr>
          <w:p w14:paraId="3ED4A3AB"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Systematic review and meta-analysis; </w:t>
            </w:r>
            <w:r w:rsidRPr="00F176D9">
              <w:rPr>
                <w:rFonts w:cs="Arial"/>
                <w:sz w:val="20"/>
                <w:szCs w:val="20"/>
                <w:lang w:val="en-US"/>
              </w:rPr>
              <w:lastRenderedPageBreak/>
              <w:t>appropriate design</w:t>
            </w:r>
          </w:p>
        </w:tc>
        <w:tc>
          <w:tcPr>
            <w:tcW w:w="0" w:type="auto"/>
            <w:hideMark/>
          </w:tcPr>
          <w:p w14:paraId="7E97BD2C"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Included randomised trials and </w:t>
            </w:r>
            <w:r w:rsidRPr="00F176D9">
              <w:rPr>
                <w:rFonts w:cs="Arial"/>
                <w:sz w:val="20"/>
                <w:szCs w:val="20"/>
                <w:lang w:val="en-US"/>
              </w:rPr>
              <w:lastRenderedPageBreak/>
              <w:t>lifestyle outcomes</w:t>
            </w:r>
          </w:p>
        </w:tc>
        <w:tc>
          <w:tcPr>
            <w:tcW w:w="0" w:type="auto"/>
            <w:hideMark/>
          </w:tcPr>
          <w:p w14:paraId="1E4129F6"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Not UK-based; country settings </w:t>
            </w:r>
            <w:r w:rsidRPr="00F176D9">
              <w:rPr>
                <w:rFonts w:cs="Arial"/>
                <w:sz w:val="20"/>
                <w:szCs w:val="20"/>
                <w:lang w:val="en-US"/>
              </w:rPr>
              <w:lastRenderedPageBreak/>
              <w:t>were highly varied</w:t>
            </w:r>
          </w:p>
        </w:tc>
        <w:tc>
          <w:tcPr>
            <w:tcW w:w="0" w:type="auto"/>
            <w:hideMark/>
          </w:tcPr>
          <w:p w14:paraId="44F38846"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Digital interventions improved blood </w:t>
            </w:r>
            <w:r w:rsidRPr="00F176D9">
              <w:rPr>
                <w:rFonts w:cs="Arial"/>
                <w:sz w:val="20"/>
                <w:szCs w:val="20"/>
                <w:lang w:val="en-US"/>
              </w:rPr>
              <w:lastRenderedPageBreak/>
              <w:t>pressure and adherence</w:t>
            </w:r>
          </w:p>
        </w:tc>
        <w:tc>
          <w:tcPr>
            <w:tcW w:w="0" w:type="auto"/>
            <w:hideMark/>
          </w:tcPr>
          <w:p w14:paraId="4DBFD153" w14:textId="77777777" w:rsidR="007650E2" w:rsidRPr="00F176D9" w:rsidRDefault="007650E2" w:rsidP="007650E2">
            <w:pPr>
              <w:rPr>
                <w:rFonts w:cs="Arial"/>
                <w:sz w:val="20"/>
                <w:szCs w:val="20"/>
                <w:lang w:val="en-US"/>
              </w:rPr>
            </w:pPr>
            <w:r w:rsidRPr="00F176D9">
              <w:rPr>
                <w:rFonts w:cs="Arial"/>
                <w:sz w:val="20"/>
                <w:szCs w:val="20"/>
                <w:lang w:val="en-US"/>
              </w:rPr>
              <w:lastRenderedPageBreak/>
              <w:t>Digital tools strengthen hypertension self-</w:t>
            </w:r>
            <w:r w:rsidRPr="00F176D9">
              <w:rPr>
                <w:rFonts w:cs="Arial"/>
                <w:sz w:val="20"/>
                <w:szCs w:val="20"/>
                <w:lang w:val="en-US"/>
              </w:rPr>
              <w:lastRenderedPageBreak/>
              <w:t>management support</w:t>
            </w:r>
          </w:p>
        </w:tc>
        <w:tc>
          <w:tcPr>
            <w:tcW w:w="0" w:type="auto"/>
            <w:hideMark/>
          </w:tcPr>
          <w:p w14:paraId="52CE4C92"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Lifestyle, adherence and access </w:t>
            </w:r>
            <w:r w:rsidRPr="00F176D9">
              <w:rPr>
                <w:rFonts w:cs="Arial"/>
                <w:sz w:val="20"/>
                <w:szCs w:val="20"/>
                <w:lang w:val="en-US"/>
              </w:rPr>
              <w:lastRenderedPageBreak/>
              <w:t>barriers identified</w:t>
            </w:r>
          </w:p>
        </w:tc>
        <w:tc>
          <w:tcPr>
            <w:tcW w:w="0" w:type="auto"/>
            <w:hideMark/>
          </w:tcPr>
          <w:p w14:paraId="4F5C5AB3"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Digital support for monitoring and </w:t>
            </w:r>
            <w:r w:rsidRPr="00F176D9">
              <w:rPr>
                <w:rFonts w:cs="Arial"/>
                <w:sz w:val="20"/>
                <w:szCs w:val="20"/>
                <w:lang w:val="en-US"/>
              </w:rPr>
              <w:lastRenderedPageBreak/>
              <w:t>behaviour change</w:t>
            </w:r>
          </w:p>
        </w:tc>
        <w:tc>
          <w:tcPr>
            <w:tcW w:w="0" w:type="auto"/>
            <w:hideMark/>
          </w:tcPr>
          <w:p w14:paraId="251060D1"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Digital hypertension </w:t>
            </w:r>
            <w:r w:rsidRPr="00F176D9">
              <w:rPr>
                <w:rFonts w:cs="Arial"/>
                <w:sz w:val="20"/>
                <w:szCs w:val="20"/>
                <w:lang w:val="en-US"/>
              </w:rPr>
              <w:lastRenderedPageBreak/>
              <w:t>management</w:t>
            </w:r>
          </w:p>
        </w:tc>
      </w:tr>
      <w:tr w:rsidR="007650E2" w:rsidRPr="00F176D9" w14:paraId="37956764" w14:textId="77777777" w:rsidTr="0022583B">
        <w:trPr>
          <w:trHeight w:val="1152"/>
        </w:trPr>
        <w:tc>
          <w:tcPr>
            <w:tcW w:w="0" w:type="auto"/>
            <w:hideMark/>
          </w:tcPr>
          <w:p w14:paraId="5681B056" w14:textId="77777777" w:rsidR="007650E2" w:rsidRPr="00F176D9" w:rsidRDefault="007650E2" w:rsidP="007650E2">
            <w:pPr>
              <w:rPr>
                <w:rFonts w:cs="Arial"/>
                <w:sz w:val="20"/>
                <w:szCs w:val="20"/>
                <w:lang w:val="en-US"/>
              </w:rPr>
            </w:pPr>
            <w:r w:rsidRPr="00F176D9">
              <w:rPr>
                <w:rFonts w:cs="Arial"/>
                <w:sz w:val="20"/>
                <w:szCs w:val="20"/>
                <w:lang w:val="en-US"/>
              </w:rPr>
              <w:lastRenderedPageBreak/>
              <w:t>Rison et al. (2024)</w:t>
            </w:r>
          </w:p>
        </w:tc>
        <w:tc>
          <w:tcPr>
            <w:tcW w:w="0" w:type="auto"/>
            <w:hideMark/>
          </w:tcPr>
          <w:p w14:paraId="4856AB36" w14:textId="77777777" w:rsidR="007650E2" w:rsidRPr="00F176D9" w:rsidRDefault="007650E2" w:rsidP="007650E2">
            <w:pPr>
              <w:rPr>
                <w:rFonts w:cs="Arial"/>
                <w:sz w:val="20"/>
                <w:szCs w:val="20"/>
                <w:lang w:val="en-US"/>
              </w:rPr>
            </w:pPr>
            <w:r w:rsidRPr="00F176D9">
              <w:rPr>
                <w:rFonts w:cs="Arial"/>
                <w:sz w:val="20"/>
                <w:szCs w:val="20"/>
                <w:lang w:val="en-US"/>
              </w:rPr>
              <w:t>Hypertension care disruption in North East London</w:t>
            </w:r>
          </w:p>
        </w:tc>
        <w:tc>
          <w:tcPr>
            <w:tcW w:w="0" w:type="auto"/>
            <w:hideMark/>
          </w:tcPr>
          <w:p w14:paraId="3FF301EC" w14:textId="77777777" w:rsidR="007650E2" w:rsidRPr="00F176D9" w:rsidRDefault="007650E2" w:rsidP="007650E2">
            <w:pPr>
              <w:rPr>
                <w:rFonts w:cs="Arial"/>
                <w:sz w:val="20"/>
                <w:szCs w:val="20"/>
                <w:lang w:val="en-US"/>
              </w:rPr>
            </w:pPr>
            <w:r w:rsidRPr="00F176D9">
              <w:rPr>
                <w:rFonts w:cs="Arial"/>
                <w:sz w:val="20"/>
                <w:szCs w:val="20"/>
                <w:lang w:val="en-US"/>
              </w:rPr>
              <w:t>Adult patients in North East London primary care</w:t>
            </w:r>
          </w:p>
        </w:tc>
        <w:tc>
          <w:tcPr>
            <w:tcW w:w="0" w:type="auto"/>
            <w:hideMark/>
          </w:tcPr>
          <w:p w14:paraId="689D8343" w14:textId="77777777" w:rsidR="007650E2" w:rsidRPr="00F176D9" w:rsidRDefault="007650E2" w:rsidP="007650E2">
            <w:pPr>
              <w:rPr>
                <w:rFonts w:cs="Arial"/>
                <w:sz w:val="20"/>
                <w:szCs w:val="20"/>
                <w:lang w:val="en-US"/>
              </w:rPr>
            </w:pPr>
            <w:r w:rsidRPr="00F176D9">
              <w:rPr>
                <w:rFonts w:cs="Arial"/>
                <w:sz w:val="20"/>
                <w:szCs w:val="20"/>
                <w:lang w:val="en-US"/>
              </w:rPr>
              <w:t>Observational cohort study; appropriate UK design</w:t>
            </w:r>
          </w:p>
        </w:tc>
        <w:tc>
          <w:tcPr>
            <w:tcW w:w="0" w:type="auto"/>
            <w:hideMark/>
          </w:tcPr>
          <w:p w14:paraId="7DC19AF2" w14:textId="77777777" w:rsidR="007650E2" w:rsidRPr="00F176D9" w:rsidRDefault="007650E2" w:rsidP="007650E2">
            <w:pPr>
              <w:rPr>
                <w:rFonts w:cs="Arial"/>
                <w:sz w:val="20"/>
                <w:szCs w:val="20"/>
                <w:lang w:val="en-US"/>
              </w:rPr>
            </w:pPr>
            <w:r w:rsidRPr="00F176D9">
              <w:rPr>
                <w:rFonts w:cs="Arial"/>
                <w:sz w:val="20"/>
                <w:szCs w:val="20"/>
                <w:lang w:val="en-US"/>
              </w:rPr>
              <w:t>Strong UK evidence with health equity focus</w:t>
            </w:r>
          </w:p>
        </w:tc>
        <w:tc>
          <w:tcPr>
            <w:tcW w:w="0" w:type="auto"/>
            <w:hideMark/>
          </w:tcPr>
          <w:p w14:paraId="07622E8D" w14:textId="77777777" w:rsidR="007650E2" w:rsidRPr="00F176D9" w:rsidRDefault="007650E2" w:rsidP="007650E2">
            <w:pPr>
              <w:rPr>
                <w:rFonts w:cs="Arial"/>
                <w:sz w:val="20"/>
                <w:szCs w:val="20"/>
                <w:lang w:val="en-US"/>
              </w:rPr>
            </w:pPr>
            <w:r w:rsidRPr="00F176D9">
              <w:rPr>
                <w:rFonts w:cs="Arial"/>
                <w:sz w:val="20"/>
                <w:szCs w:val="20"/>
                <w:lang w:val="en-US"/>
              </w:rPr>
              <w:t>Pandemic-focused, not direct community intervention evidence</w:t>
            </w:r>
          </w:p>
        </w:tc>
        <w:tc>
          <w:tcPr>
            <w:tcW w:w="0" w:type="auto"/>
            <w:hideMark/>
          </w:tcPr>
          <w:p w14:paraId="5CA09BC8" w14:textId="77777777" w:rsidR="007650E2" w:rsidRPr="00F176D9" w:rsidRDefault="007650E2" w:rsidP="007650E2">
            <w:pPr>
              <w:rPr>
                <w:rFonts w:cs="Arial"/>
                <w:sz w:val="20"/>
                <w:szCs w:val="20"/>
                <w:lang w:val="en-US"/>
              </w:rPr>
            </w:pPr>
            <w:r w:rsidRPr="00F176D9">
              <w:rPr>
                <w:rFonts w:cs="Arial"/>
                <w:sz w:val="20"/>
                <w:szCs w:val="20"/>
                <w:lang w:val="en-US"/>
              </w:rPr>
              <w:t>Blood pressure monitoring and care were disrupted</w:t>
            </w:r>
          </w:p>
        </w:tc>
        <w:tc>
          <w:tcPr>
            <w:tcW w:w="0" w:type="auto"/>
            <w:hideMark/>
          </w:tcPr>
          <w:p w14:paraId="18852937" w14:textId="77777777" w:rsidR="007650E2" w:rsidRPr="00F176D9" w:rsidRDefault="007650E2" w:rsidP="007650E2">
            <w:pPr>
              <w:rPr>
                <w:rFonts w:cs="Arial"/>
                <w:sz w:val="20"/>
                <w:szCs w:val="20"/>
                <w:lang w:val="en-US"/>
              </w:rPr>
            </w:pPr>
            <w:r w:rsidRPr="00F176D9">
              <w:rPr>
                <w:rFonts w:cs="Arial"/>
                <w:sz w:val="20"/>
                <w:szCs w:val="20"/>
                <w:lang w:val="en-US"/>
              </w:rPr>
              <w:t>Inequalities affected hypertension management and follow-up</w:t>
            </w:r>
          </w:p>
        </w:tc>
        <w:tc>
          <w:tcPr>
            <w:tcW w:w="0" w:type="auto"/>
            <w:hideMark/>
          </w:tcPr>
          <w:p w14:paraId="478AE97D" w14:textId="77777777" w:rsidR="007650E2" w:rsidRPr="00F176D9" w:rsidRDefault="007650E2" w:rsidP="007650E2">
            <w:pPr>
              <w:rPr>
                <w:rFonts w:cs="Arial"/>
                <w:sz w:val="20"/>
                <w:szCs w:val="20"/>
                <w:lang w:val="en-US"/>
              </w:rPr>
            </w:pPr>
            <w:r w:rsidRPr="00F176D9">
              <w:rPr>
                <w:rFonts w:cs="Arial"/>
                <w:sz w:val="20"/>
                <w:szCs w:val="20"/>
                <w:lang w:val="en-US"/>
              </w:rPr>
              <w:t>Deprivation and access barriers influencing hypertension</w:t>
            </w:r>
          </w:p>
        </w:tc>
        <w:tc>
          <w:tcPr>
            <w:tcW w:w="0" w:type="auto"/>
            <w:hideMark/>
          </w:tcPr>
          <w:p w14:paraId="372C3754" w14:textId="77777777" w:rsidR="007650E2" w:rsidRPr="00F176D9" w:rsidRDefault="007650E2" w:rsidP="007650E2">
            <w:pPr>
              <w:rPr>
                <w:rFonts w:cs="Arial"/>
                <w:sz w:val="20"/>
                <w:szCs w:val="20"/>
                <w:lang w:val="en-US"/>
              </w:rPr>
            </w:pPr>
            <w:r w:rsidRPr="00F176D9">
              <w:rPr>
                <w:rFonts w:cs="Arial"/>
                <w:sz w:val="20"/>
                <w:szCs w:val="20"/>
                <w:lang w:val="en-US"/>
              </w:rPr>
              <w:t>Primary-care monitoring role in hypertension management</w:t>
            </w:r>
          </w:p>
        </w:tc>
        <w:tc>
          <w:tcPr>
            <w:tcW w:w="0" w:type="auto"/>
            <w:hideMark/>
          </w:tcPr>
          <w:p w14:paraId="36535FF7" w14:textId="77777777" w:rsidR="007650E2" w:rsidRPr="00F176D9" w:rsidRDefault="007650E2" w:rsidP="007650E2">
            <w:pPr>
              <w:rPr>
                <w:rFonts w:cs="Arial"/>
                <w:sz w:val="20"/>
                <w:szCs w:val="20"/>
                <w:lang w:val="en-US"/>
              </w:rPr>
            </w:pPr>
            <w:r w:rsidRPr="00F176D9">
              <w:rPr>
                <w:rFonts w:cs="Arial"/>
                <w:sz w:val="20"/>
                <w:szCs w:val="20"/>
                <w:lang w:val="en-US"/>
              </w:rPr>
              <w:t>UK hypertension inequalities</w:t>
            </w:r>
          </w:p>
        </w:tc>
      </w:tr>
      <w:tr w:rsidR="007650E2" w:rsidRPr="00F176D9" w14:paraId="22A1521E" w14:textId="77777777" w:rsidTr="0022583B">
        <w:trPr>
          <w:trHeight w:val="1152"/>
        </w:trPr>
        <w:tc>
          <w:tcPr>
            <w:tcW w:w="0" w:type="auto"/>
            <w:hideMark/>
          </w:tcPr>
          <w:p w14:paraId="79AC26F0" w14:textId="77777777" w:rsidR="007650E2" w:rsidRPr="00F176D9" w:rsidRDefault="007650E2" w:rsidP="007650E2">
            <w:pPr>
              <w:rPr>
                <w:rFonts w:cs="Arial"/>
                <w:sz w:val="20"/>
                <w:szCs w:val="20"/>
                <w:lang w:val="en-US"/>
              </w:rPr>
            </w:pPr>
            <w:r w:rsidRPr="00F176D9">
              <w:rPr>
                <w:rFonts w:cs="Arial"/>
                <w:sz w:val="20"/>
                <w:szCs w:val="20"/>
                <w:lang w:val="en-US"/>
              </w:rPr>
              <w:t>Hayavi-Haghighi et al. (2024)</w:t>
            </w:r>
          </w:p>
        </w:tc>
        <w:tc>
          <w:tcPr>
            <w:tcW w:w="0" w:type="auto"/>
            <w:hideMark/>
          </w:tcPr>
          <w:p w14:paraId="5C5ECD8E" w14:textId="77777777" w:rsidR="007650E2" w:rsidRPr="00F176D9" w:rsidRDefault="007650E2" w:rsidP="007650E2">
            <w:pPr>
              <w:rPr>
                <w:rFonts w:cs="Arial"/>
                <w:sz w:val="20"/>
                <w:szCs w:val="20"/>
                <w:lang w:val="en-US"/>
              </w:rPr>
            </w:pPr>
            <w:r w:rsidRPr="00F176D9">
              <w:rPr>
                <w:rFonts w:cs="Arial"/>
                <w:sz w:val="20"/>
                <w:szCs w:val="20"/>
                <w:lang w:val="en-US"/>
              </w:rPr>
              <w:t>Telemedicine outcomes for hypertension management and follow-up</w:t>
            </w:r>
          </w:p>
        </w:tc>
        <w:tc>
          <w:tcPr>
            <w:tcW w:w="0" w:type="auto"/>
            <w:hideMark/>
          </w:tcPr>
          <w:p w14:paraId="3C00B0E7" w14:textId="77777777" w:rsidR="007650E2" w:rsidRPr="00F176D9" w:rsidRDefault="007650E2" w:rsidP="007650E2">
            <w:pPr>
              <w:rPr>
                <w:rFonts w:cs="Arial"/>
                <w:sz w:val="20"/>
                <w:szCs w:val="20"/>
                <w:lang w:val="en-US"/>
              </w:rPr>
            </w:pPr>
            <w:r w:rsidRPr="00F176D9">
              <w:rPr>
                <w:rFonts w:cs="Arial"/>
                <w:sz w:val="20"/>
                <w:szCs w:val="20"/>
                <w:lang w:val="en-US"/>
              </w:rPr>
              <w:t>Telemedicine studies involving patients with hypertension</w:t>
            </w:r>
          </w:p>
        </w:tc>
        <w:tc>
          <w:tcPr>
            <w:tcW w:w="0" w:type="auto"/>
            <w:hideMark/>
          </w:tcPr>
          <w:p w14:paraId="018F727A" w14:textId="77777777" w:rsidR="007650E2" w:rsidRPr="00F176D9" w:rsidRDefault="007650E2" w:rsidP="007650E2">
            <w:pPr>
              <w:rPr>
                <w:rFonts w:cs="Arial"/>
                <w:sz w:val="20"/>
                <w:szCs w:val="20"/>
                <w:lang w:val="en-US"/>
              </w:rPr>
            </w:pPr>
            <w:r w:rsidRPr="00F176D9">
              <w:rPr>
                <w:rFonts w:cs="Arial"/>
                <w:sz w:val="20"/>
                <w:szCs w:val="20"/>
                <w:lang w:val="en-US"/>
              </w:rPr>
              <w:t>Systematic review; appropriate for evidence mapping</w:t>
            </w:r>
          </w:p>
        </w:tc>
        <w:tc>
          <w:tcPr>
            <w:tcW w:w="0" w:type="auto"/>
            <w:hideMark/>
          </w:tcPr>
          <w:p w14:paraId="77275CA7" w14:textId="77777777" w:rsidR="007650E2" w:rsidRPr="00F176D9" w:rsidRDefault="007650E2" w:rsidP="007650E2">
            <w:pPr>
              <w:rPr>
                <w:rFonts w:cs="Arial"/>
                <w:sz w:val="20"/>
                <w:szCs w:val="20"/>
                <w:lang w:val="en-US"/>
              </w:rPr>
            </w:pPr>
            <w:r w:rsidRPr="00F176D9">
              <w:rPr>
                <w:rFonts w:cs="Arial"/>
                <w:sz w:val="20"/>
                <w:szCs w:val="20"/>
                <w:lang w:val="en-US"/>
              </w:rPr>
              <w:t>Useful evidence on remote hypertension care</w:t>
            </w:r>
          </w:p>
        </w:tc>
        <w:tc>
          <w:tcPr>
            <w:tcW w:w="0" w:type="auto"/>
            <w:hideMark/>
          </w:tcPr>
          <w:p w14:paraId="3C1A6490" w14:textId="77777777" w:rsidR="007650E2" w:rsidRPr="00F176D9" w:rsidRDefault="007650E2" w:rsidP="007650E2">
            <w:pPr>
              <w:rPr>
                <w:rFonts w:cs="Arial"/>
                <w:sz w:val="20"/>
                <w:szCs w:val="20"/>
                <w:lang w:val="en-US"/>
              </w:rPr>
            </w:pPr>
            <w:r w:rsidRPr="00F176D9">
              <w:rPr>
                <w:rFonts w:cs="Arial"/>
                <w:sz w:val="20"/>
                <w:szCs w:val="20"/>
                <w:lang w:val="en-US"/>
              </w:rPr>
              <w:t>Mixed countries and varied telemedicine intervention types</w:t>
            </w:r>
          </w:p>
        </w:tc>
        <w:tc>
          <w:tcPr>
            <w:tcW w:w="0" w:type="auto"/>
            <w:hideMark/>
          </w:tcPr>
          <w:p w14:paraId="5B90AAEC" w14:textId="77777777" w:rsidR="007650E2" w:rsidRPr="00F176D9" w:rsidRDefault="007650E2" w:rsidP="007650E2">
            <w:pPr>
              <w:rPr>
                <w:rFonts w:cs="Arial"/>
                <w:sz w:val="20"/>
                <w:szCs w:val="20"/>
                <w:lang w:val="en-US"/>
              </w:rPr>
            </w:pPr>
            <w:r w:rsidRPr="00F176D9">
              <w:rPr>
                <w:rFonts w:cs="Arial"/>
                <w:sz w:val="20"/>
                <w:szCs w:val="20"/>
                <w:lang w:val="en-US"/>
              </w:rPr>
              <w:t>Telemedicine supported blood pressure follow-up and care</w:t>
            </w:r>
          </w:p>
        </w:tc>
        <w:tc>
          <w:tcPr>
            <w:tcW w:w="0" w:type="auto"/>
            <w:hideMark/>
          </w:tcPr>
          <w:p w14:paraId="57FA0BEE" w14:textId="77777777" w:rsidR="007650E2" w:rsidRPr="00F176D9" w:rsidRDefault="007650E2" w:rsidP="007650E2">
            <w:pPr>
              <w:rPr>
                <w:rFonts w:cs="Arial"/>
                <w:sz w:val="20"/>
                <w:szCs w:val="20"/>
                <w:lang w:val="en-US"/>
              </w:rPr>
            </w:pPr>
            <w:r w:rsidRPr="00F176D9">
              <w:rPr>
                <w:rFonts w:cs="Arial"/>
                <w:sz w:val="20"/>
                <w:szCs w:val="20"/>
                <w:lang w:val="en-US"/>
              </w:rPr>
              <w:t>Remote care improves continuity of hypertension management</w:t>
            </w:r>
          </w:p>
        </w:tc>
        <w:tc>
          <w:tcPr>
            <w:tcW w:w="0" w:type="auto"/>
            <w:hideMark/>
          </w:tcPr>
          <w:p w14:paraId="2EA88E64" w14:textId="77777777" w:rsidR="007650E2" w:rsidRPr="00F176D9" w:rsidRDefault="007650E2" w:rsidP="007650E2">
            <w:pPr>
              <w:rPr>
                <w:rFonts w:cs="Arial"/>
                <w:sz w:val="20"/>
                <w:szCs w:val="20"/>
                <w:lang w:val="en-US"/>
              </w:rPr>
            </w:pPr>
            <w:r w:rsidRPr="00F176D9">
              <w:rPr>
                <w:rFonts w:cs="Arial"/>
                <w:sz w:val="20"/>
                <w:szCs w:val="20"/>
                <w:lang w:val="en-US"/>
              </w:rPr>
              <w:t>Service access barriers affecting hypertension control</w:t>
            </w:r>
          </w:p>
        </w:tc>
        <w:tc>
          <w:tcPr>
            <w:tcW w:w="0" w:type="auto"/>
            <w:hideMark/>
          </w:tcPr>
          <w:p w14:paraId="136B5F82" w14:textId="77777777" w:rsidR="007650E2" w:rsidRPr="00F176D9" w:rsidRDefault="007650E2" w:rsidP="007650E2">
            <w:pPr>
              <w:rPr>
                <w:rFonts w:cs="Arial"/>
                <w:sz w:val="20"/>
                <w:szCs w:val="20"/>
                <w:lang w:val="en-US"/>
              </w:rPr>
            </w:pPr>
            <w:r w:rsidRPr="00F176D9">
              <w:rPr>
                <w:rFonts w:cs="Arial"/>
                <w:sz w:val="20"/>
                <w:szCs w:val="20"/>
                <w:lang w:val="en-US"/>
              </w:rPr>
              <w:t>Remote monitoring role in community management</w:t>
            </w:r>
          </w:p>
        </w:tc>
        <w:tc>
          <w:tcPr>
            <w:tcW w:w="0" w:type="auto"/>
            <w:hideMark/>
          </w:tcPr>
          <w:p w14:paraId="193BB527" w14:textId="77777777" w:rsidR="007650E2" w:rsidRPr="00F176D9" w:rsidRDefault="007650E2" w:rsidP="007650E2">
            <w:pPr>
              <w:rPr>
                <w:rFonts w:cs="Arial"/>
                <w:sz w:val="20"/>
                <w:szCs w:val="20"/>
                <w:lang w:val="en-US"/>
              </w:rPr>
            </w:pPr>
            <w:r w:rsidRPr="00F176D9">
              <w:rPr>
                <w:rFonts w:cs="Arial"/>
                <w:sz w:val="20"/>
                <w:szCs w:val="20"/>
                <w:lang w:val="en-US"/>
              </w:rPr>
              <w:t>Telehealth hypertension support</w:t>
            </w:r>
          </w:p>
        </w:tc>
      </w:tr>
      <w:tr w:rsidR="007650E2" w:rsidRPr="00F176D9" w14:paraId="6D0D1070" w14:textId="77777777" w:rsidTr="0022583B">
        <w:trPr>
          <w:trHeight w:val="1152"/>
        </w:trPr>
        <w:tc>
          <w:tcPr>
            <w:tcW w:w="0" w:type="auto"/>
            <w:hideMark/>
          </w:tcPr>
          <w:p w14:paraId="21D7FE2D" w14:textId="77777777" w:rsidR="007650E2" w:rsidRPr="00F176D9" w:rsidRDefault="007650E2" w:rsidP="007650E2">
            <w:pPr>
              <w:rPr>
                <w:rFonts w:cs="Arial"/>
                <w:sz w:val="20"/>
                <w:szCs w:val="20"/>
                <w:lang w:val="en-US"/>
              </w:rPr>
            </w:pPr>
            <w:r w:rsidRPr="00F176D9">
              <w:rPr>
                <w:rFonts w:cs="Arial"/>
                <w:sz w:val="20"/>
                <w:szCs w:val="20"/>
                <w:lang w:val="en-US"/>
              </w:rPr>
              <w:t>Hermansson-Borrebaeck et al. (2025)</w:t>
            </w:r>
          </w:p>
        </w:tc>
        <w:tc>
          <w:tcPr>
            <w:tcW w:w="0" w:type="auto"/>
            <w:hideMark/>
          </w:tcPr>
          <w:p w14:paraId="763EBD71" w14:textId="77777777" w:rsidR="007650E2" w:rsidRPr="00F176D9" w:rsidRDefault="007650E2" w:rsidP="007650E2">
            <w:pPr>
              <w:rPr>
                <w:rFonts w:cs="Arial"/>
                <w:sz w:val="20"/>
                <w:szCs w:val="20"/>
                <w:lang w:val="en-US"/>
              </w:rPr>
            </w:pPr>
            <w:r w:rsidRPr="00F176D9">
              <w:rPr>
                <w:rFonts w:cs="Arial"/>
                <w:sz w:val="20"/>
                <w:szCs w:val="20"/>
                <w:lang w:val="en-US"/>
              </w:rPr>
              <w:t>E-health self-efficacy in hypertension management</w:t>
            </w:r>
          </w:p>
        </w:tc>
        <w:tc>
          <w:tcPr>
            <w:tcW w:w="0" w:type="auto"/>
            <w:hideMark/>
          </w:tcPr>
          <w:p w14:paraId="5FF681A0" w14:textId="77777777" w:rsidR="007650E2" w:rsidRPr="00F176D9" w:rsidRDefault="007650E2" w:rsidP="007650E2">
            <w:pPr>
              <w:rPr>
                <w:rFonts w:cs="Arial"/>
                <w:sz w:val="20"/>
                <w:szCs w:val="20"/>
                <w:lang w:val="en-US"/>
              </w:rPr>
            </w:pPr>
            <w:r w:rsidRPr="00F176D9">
              <w:rPr>
                <w:rFonts w:cs="Arial"/>
                <w:sz w:val="20"/>
                <w:szCs w:val="20"/>
                <w:lang w:val="en-US"/>
              </w:rPr>
              <w:t xml:space="preserve">Primary care patients diagnosed with </w:t>
            </w:r>
            <w:r w:rsidRPr="00F176D9">
              <w:rPr>
                <w:rFonts w:cs="Arial"/>
                <w:sz w:val="20"/>
                <w:szCs w:val="20"/>
                <w:lang w:val="en-US"/>
              </w:rPr>
              <w:lastRenderedPageBreak/>
              <w:t>hypertension</w:t>
            </w:r>
          </w:p>
        </w:tc>
        <w:tc>
          <w:tcPr>
            <w:tcW w:w="0" w:type="auto"/>
            <w:hideMark/>
          </w:tcPr>
          <w:p w14:paraId="0ED7AE6B"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Randomised controlled trial; appropriate </w:t>
            </w:r>
            <w:r w:rsidRPr="00F176D9">
              <w:rPr>
                <w:rFonts w:cs="Arial"/>
                <w:sz w:val="20"/>
                <w:szCs w:val="20"/>
                <w:lang w:val="en-US"/>
              </w:rPr>
              <w:lastRenderedPageBreak/>
              <w:t>intervention design</w:t>
            </w:r>
          </w:p>
        </w:tc>
        <w:tc>
          <w:tcPr>
            <w:tcW w:w="0" w:type="auto"/>
            <w:hideMark/>
          </w:tcPr>
          <w:p w14:paraId="034B09CE" w14:textId="77777777" w:rsidR="007650E2" w:rsidRPr="00F176D9" w:rsidRDefault="007650E2" w:rsidP="007650E2">
            <w:pPr>
              <w:rPr>
                <w:rFonts w:cs="Arial"/>
                <w:sz w:val="20"/>
                <w:szCs w:val="20"/>
                <w:lang w:val="en-US"/>
              </w:rPr>
            </w:pPr>
            <w:r w:rsidRPr="00F176D9">
              <w:rPr>
                <w:rFonts w:cs="Arial"/>
                <w:sz w:val="20"/>
                <w:szCs w:val="20"/>
                <w:lang w:val="en-US"/>
              </w:rPr>
              <w:lastRenderedPageBreak/>
              <w:t>Strong behaviour-change and interventio</w:t>
            </w:r>
            <w:r w:rsidRPr="00F176D9">
              <w:rPr>
                <w:rFonts w:cs="Arial"/>
                <w:sz w:val="20"/>
                <w:szCs w:val="20"/>
                <w:lang w:val="en-US"/>
              </w:rPr>
              <w:lastRenderedPageBreak/>
              <w:t>n relevance</w:t>
            </w:r>
          </w:p>
        </w:tc>
        <w:tc>
          <w:tcPr>
            <w:tcW w:w="0" w:type="auto"/>
            <w:hideMark/>
          </w:tcPr>
          <w:p w14:paraId="70C3C986" w14:textId="77777777" w:rsidR="007650E2" w:rsidRPr="00F176D9" w:rsidRDefault="007650E2" w:rsidP="007650E2">
            <w:pPr>
              <w:rPr>
                <w:rFonts w:cs="Arial"/>
                <w:sz w:val="20"/>
                <w:szCs w:val="20"/>
                <w:lang w:val="en-US"/>
              </w:rPr>
            </w:pPr>
            <w:r w:rsidRPr="00F176D9">
              <w:rPr>
                <w:rFonts w:cs="Arial"/>
                <w:sz w:val="20"/>
                <w:szCs w:val="20"/>
                <w:lang w:val="en-US"/>
              </w:rPr>
              <w:lastRenderedPageBreak/>
              <w:t>Not UK-based; clinical effect was limited</w:t>
            </w:r>
          </w:p>
        </w:tc>
        <w:tc>
          <w:tcPr>
            <w:tcW w:w="0" w:type="auto"/>
            <w:hideMark/>
          </w:tcPr>
          <w:p w14:paraId="22170189" w14:textId="77777777" w:rsidR="007650E2" w:rsidRPr="00F176D9" w:rsidRDefault="007650E2" w:rsidP="007650E2">
            <w:pPr>
              <w:rPr>
                <w:rFonts w:cs="Arial"/>
                <w:sz w:val="20"/>
                <w:szCs w:val="20"/>
                <w:lang w:val="en-US"/>
              </w:rPr>
            </w:pPr>
            <w:r w:rsidRPr="00F176D9">
              <w:rPr>
                <w:rFonts w:cs="Arial"/>
                <w:sz w:val="20"/>
                <w:szCs w:val="20"/>
                <w:lang w:val="en-US"/>
              </w:rPr>
              <w:t>E-health intervention improved hypertension self-efficacy</w:t>
            </w:r>
          </w:p>
        </w:tc>
        <w:tc>
          <w:tcPr>
            <w:tcW w:w="0" w:type="auto"/>
            <w:hideMark/>
          </w:tcPr>
          <w:p w14:paraId="67A2A5E1" w14:textId="77777777" w:rsidR="007650E2" w:rsidRPr="00F176D9" w:rsidRDefault="007650E2" w:rsidP="007650E2">
            <w:pPr>
              <w:rPr>
                <w:rFonts w:cs="Arial"/>
                <w:sz w:val="20"/>
                <w:szCs w:val="20"/>
                <w:lang w:val="en-US"/>
              </w:rPr>
            </w:pPr>
            <w:r w:rsidRPr="00F176D9">
              <w:rPr>
                <w:rFonts w:cs="Arial"/>
                <w:sz w:val="20"/>
                <w:szCs w:val="20"/>
                <w:lang w:val="en-US"/>
              </w:rPr>
              <w:t xml:space="preserve">E-health supports patient confidence </w:t>
            </w:r>
            <w:r w:rsidRPr="00F176D9">
              <w:rPr>
                <w:rFonts w:cs="Arial"/>
                <w:sz w:val="20"/>
                <w:szCs w:val="20"/>
                <w:lang w:val="en-US"/>
              </w:rPr>
              <w:lastRenderedPageBreak/>
              <w:t>and self-care</w:t>
            </w:r>
          </w:p>
        </w:tc>
        <w:tc>
          <w:tcPr>
            <w:tcW w:w="0" w:type="auto"/>
            <w:hideMark/>
          </w:tcPr>
          <w:p w14:paraId="65C2A305" w14:textId="77777777" w:rsidR="007650E2" w:rsidRPr="00F176D9" w:rsidRDefault="007650E2" w:rsidP="007650E2">
            <w:pPr>
              <w:rPr>
                <w:rFonts w:cs="Arial"/>
                <w:sz w:val="20"/>
                <w:szCs w:val="20"/>
                <w:lang w:val="en-US"/>
              </w:rPr>
            </w:pPr>
            <w:r w:rsidRPr="00F176D9">
              <w:rPr>
                <w:rFonts w:cs="Arial"/>
                <w:sz w:val="20"/>
                <w:szCs w:val="20"/>
                <w:lang w:val="en-US"/>
              </w:rPr>
              <w:lastRenderedPageBreak/>
              <w:t xml:space="preserve">Behaviour and self-management </w:t>
            </w:r>
            <w:r w:rsidRPr="00F176D9">
              <w:rPr>
                <w:rFonts w:cs="Arial"/>
                <w:sz w:val="20"/>
                <w:szCs w:val="20"/>
                <w:lang w:val="en-US"/>
              </w:rPr>
              <w:lastRenderedPageBreak/>
              <w:t>barriers to control</w:t>
            </w:r>
          </w:p>
        </w:tc>
        <w:tc>
          <w:tcPr>
            <w:tcW w:w="0" w:type="auto"/>
            <w:hideMark/>
          </w:tcPr>
          <w:p w14:paraId="76F4E170" w14:textId="77777777" w:rsidR="007650E2" w:rsidRPr="00F176D9" w:rsidRDefault="007650E2" w:rsidP="007650E2">
            <w:pPr>
              <w:rPr>
                <w:rFonts w:cs="Arial"/>
                <w:sz w:val="20"/>
                <w:szCs w:val="20"/>
                <w:lang w:val="en-US"/>
              </w:rPr>
            </w:pPr>
            <w:r w:rsidRPr="00F176D9">
              <w:rPr>
                <w:rFonts w:cs="Arial"/>
                <w:sz w:val="20"/>
                <w:szCs w:val="20"/>
                <w:lang w:val="en-US"/>
              </w:rPr>
              <w:lastRenderedPageBreak/>
              <w:t>E-health support for hypertension behaviour change</w:t>
            </w:r>
          </w:p>
        </w:tc>
        <w:tc>
          <w:tcPr>
            <w:tcW w:w="0" w:type="auto"/>
            <w:hideMark/>
          </w:tcPr>
          <w:p w14:paraId="2B7971BC" w14:textId="77777777" w:rsidR="007650E2" w:rsidRPr="00F176D9" w:rsidRDefault="007650E2" w:rsidP="007650E2">
            <w:pPr>
              <w:rPr>
                <w:rFonts w:cs="Arial"/>
                <w:sz w:val="20"/>
                <w:szCs w:val="20"/>
                <w:lang w:val="en-US"/>
              </w:rPr>
            </w:pPr>
            <w:r w:rsidRPr="00F176D9">
              <w:rPr>
                <w:rFonts w:cs="Arial"/>
                <w:sz w:val="20"/>
                <w:szCs w:val="20"/>
                <w:lang w:val="en-US"/>
              </w:rPr>
              <w:t>Self-efficacy and e-health</w:t>
            </w:r>
          </w:p>
        </w:tc>
      </w:tr>
      <w:tr w:rsidR="007650E2" w:rsidRPr="00F176D9" w14:paraId="76BEBF2A" w14:textId="77777777" w:rsidTr="0022583B">
        <w:trPr>
          <w:trHeight w:val="1152"/>
        </w:trPr>
        <w:tc>
          <w:tcPr>
            <w:tcW w:w="0" w:type="auto"/>
            <w:hideMark/>
          </w:tcPr>
          <w:p w14:paraId="293C7C0B" w14:textId="77777777" w:rsidR="007650E2" w:rsidRPr="00F176D9" w:rsidRDefault="007650E2" w:rsidP="007650E2">
            <w:pPr>
              <w:rPr>
                <w:rFonts w:cs="Arial"/>
                <w:sz w:val="20"/>
                <w:szCs w:val="20"/>
                <w:lang w:val="en-US"/>
              </w:rPr>
            </w:pPr>
            <w:r w:rsidRPr="00F176D9">
              <w:rPr>
                <w:rFonts w:cs="Arial"/>
                <w:sz w:val="20"/>
                <w:szCs w:val="20"/>
                <w:lang w:val="en-US"/>
              </w:rPr>
              <w:t>Johnson et al. (2024)</w:t>
            </w:r>
          </w:p>
        </w:tc>
        <w:tc>
          <w:tcPr>
            <w:tcW w:w="0" w:type="auto"/>
            <w:hideMark/>
          </w:tcPr>
          <w:p w14:paraId="106F8672" w14:textId="77777777" w:rsidR="007650E2" w:rsidRPr="00F176D9" w:rsidRDefault="007650E2" w:rsidP="007650E2">
            <w:pPr>
              <w:rPr>
                <w:rFonts w:cs="Arial"/>
                <w:sz w:val="20"/>
                <w:szCs w:val="20"/>
                <w:lang w:val="en-US"/>
              </w:rPr>
            </w:pPr>
            <w:r w:rsidRPr="00F176D9">
              <w:rPr>
                <w:rFonts w:cs="Arial"/>
                <w:sz w:val="20"/>
                <w:szCs w:val="20"/>
                <w:lang w:val="en-US"/>
              </w:rPr>
              <w:t>UK primary-care hypertension management disruption</w:t>
            </w:r>
          </w:p>
        </w:tc>
        <w:tc>
          <w:tcPr>
            <w:tcW w:w="0" w:type="auto"/>
            <w:hideMark/>
          </w:tcPr>
          <w:p w14:paraId="21856BBA" w14:textId="77777777" w:rsidR="007650E2" w:rsidRPr="00F176D9" w:rsidRDefault="007650E2" w:rsidP="007650E2">
            <w:pPr>
              <w:rPr>
                <w:rFonts w:cs="Arial"/>
                <w:sz w:val="20"/>
                <w:szCs w:val="20"/>
                <w:lang w:val="en-US"/>
              </w:rPr>
            </w:pPr>
            <w:r w:rsidRPr="00F176D9">
              <w:rPr>
                <w:rFonts w:cs="Arial"/>
                <w:sz w:val="20"/>
                <w:szCs w:val="20"/>
                <w:lang w:val="en-US"/>
              </w:rPr>
              <w:t>UK primary care patients with records</w:t>
            </w:r>
          </w:p>
        </w:tc>
        <w:tc>
          <w:tcPr>
            <w:tcW w:w="0" w:type="auto"/>
            <w:hideMark/>
          </w:tcPr>
          <w:p w14:paraId="16828DC6" w14:textId="77777777" w:rsidR="007650E2" w:rsidRPr="00F176D9" w:rsidRDefault="007650E2" w:rsidP="007650E2">
            <w:pPr>
              <w:rPr>
                <w:rFonts w:cs="Arial"/>
                <w:sz w:val="20"/>
                <w:szCs w:val="20"/>
                <w:lang w:val="en-US"/>
              </w:rPr>
            </w:pPr>
            <w:r w:rsidRPr="00F176D9">
              <w:rPr>
                <w:rFonts w:cs="Arial"/>
                <w:sz w:val="20"/>
                <w:szCs w:val="20"/>
                <w:lang w:val="en-US"/>
              </w:rPr>
              <w:t>Population-based cohort study; appropriate UK design</w:t>
            </w:r>
          </w:p>
        </w:tc>
        <w:tc>
          <w:tcPr>
            <w:tcW w:w="0" w:type="auto"/>
            <w:hideMark/>
          </w:tcPr>
          <w:p w14:paraId="2985982F" w14:textId="77777777" w:rsidR="007650E2" w:rsidRPr="00F176D9" w:rsidRDefault="007650E2" w:rsidP="007650E2">
            <w:pPr>
              <w:rPr>
                <w:rFonts w:cs="Arial"/>
                <w:sz w:val="20"/>
                <w:szCs w:val="20"/>
                <w:lang w:val="en-US"/>
              </w:rPr>
            </w:pPr>
            <w:r w:rsidRPr="00F176D9">
              <w:rPr>
                <w:rFonts w:cs="Arial"/>
                <w:sz w:val="20"/>
                <w:szCs w:val="20"/>
                <w:lang w:val="en-US"/>
              </w:rPr>
              <w:t>Large UK dataset with practice relevance</w:t>
            </w:r>
          </w:p>
        </w:tc>
        <w:tc>
          <w:tcPr>
            <w:tcW w:w="0" w:type="auto"/>
            <w:hideMark/>
          </w:tcPr>
          <w:p w14:paraId="052BFFD8" w14:textId="77777777" w:rsidR="007650E2" w:rsidRPr="00F176D9" w:rsidRDefault="007650E2" w:rsidP="007650E2">
            <w:pPr>
              <w:rPr>
                <w:rFonts w:cs="Arial"/>
                <w:sz w:val="20"/>
                <w:szCs w:val="20"/>
                <w:lang w:val="en-US"/>
              </w:rPr>
            </w:pPr>
            <w:r w:rsidRPr="00F176D9">
              <w:rPr>
                <w:rFonts w:cs="Arial"/>
                <w:sz w:val="20"/>
                <w:szCs w:val="20"/>
                <w:lang w:val="en-US"/>
              </w:rPr>
              <w:t>Pandemic-focused, not only low-income adults</w:t>
            </w:r>
          </w:p>
        </w:tc>
        <w:tc>
          <w:tcPr>
            <w:tcW w:w="0" w:type="auto"/>
            <w:hideMark/>
          </w:tcPr>
          <w:p w14:paraId="0402C0DD" w14:textId="77777777" w:rsidR="007650E2" w:rsidRPr="00F176D9" w:rsidRDefault="007650E2" w:rsidP="007650E2">
            <w:pPr>
              <w:rPr>
                <w:rFonts w:cs="Arial"/>
                <w:sz w:val="20"/>
                <w:szCs w:val="20"/>
                <w:lang w:val="en-US"/>
              </w:rPr>
            </w:pPr>
            <w:r w:rsidRPr="00F176D9">
              <w:rPr>
                <w:rFonts w:cs="Arial"/>
                <w:sz w:val="20"/>
                <w:szCs w:val="20"/>
                <w:lang w:val="en-US"/>
              </w:rPr>
              <w:t>Diagnosis, monitoring and treatment were reduced</w:t>
            </w:r>
          </w:p>
        </w:tc>
        <w:tc>
          <w:tcPr>
            <w:tcW w:w="0" w:type="auto"/>
            <w:hideMark/>
          </w:tcPr>
          <w:p w14:paraId="78AD8505" w14:textId="77777777" w:rsidR="007650E2" w:rsidRPr="00F176D9" w:rsidRDefault="007650E2" w:rsidP="007650E2">
            <w:pPr>
              <w:rPr>
                <w:rFonts w:cs="Arial"/>
                <w:sz w:val="20"/>
                <w:szCs w:val="20"/>
                <w:lang w:val="en-US"/>
              </w:rPr>
            </w:pPr>
            <w:r w:rsidRPr="00F176D9">
              <w:rPr>
                <w:rFonts w:cs="Arial"/>
                <w:sz w:val="20"/>
                <w:szCs w:val="20"/>
                <w:lang w:val="en-US"/>
              </w:rPr>
              <w:t>UK hypertension care requires recovery strategies</w:t>
            </w:r>
          </w:p>
        </w:tc>
        <w:tc>
          <w:tcPr>
            <w:tcW w:w="0" w:type="auto"/>
            <w:hideMark/>
          </w:tcPr>
          <w:p w14:paraId="33D50D80" w14:textId="77777777" w:rsidR="007650E2" w:rsidRPr="00F176D9" w:rsidRDefault="007650E2" w:rsidP="007650E2">
            <w:pPr>
              <w:rPr>
                <w:rFonts w:cs="Arial"/>
                <w:sz w:val="20"/>
                <w:szCs w:val="20"/>
                <w:lang w:val="en-US"/>
              </w:rPr>
            </w:pPr>
            <w:r w:rsidRPr="00F176D9">
              <w:rPr>
                <w:rFonts w:cs="Arial"/>
                <w:sz w:val="20"/>
                <w:szCs w:val="20"/>
                <w:lang w:val="en-US"/>
              </w:rPr>
              <w:t>Diagnosis and access barriers affecting adults</w:t>
            </w:r>
          </w:p>
        </w:tc>
        <w:tc>
          <w:tcPr>
            <w:tcW w:w="0" w:type="auto"/>
            <w:hideMark/>
          </w:tcPr>
          <w:p w14:paraId="0F73A492" w14:textId="77777777" w:rsidR="007650E2" w:rsidRPr="00F176D9" w:rsidRDefault="007650E2" w:rsidP="007650E2">
            <w:pPr>
              <w:rPr>
                <w:rFonts w:cs="Arial"/>
                <w:sz w:val="20"/>
                <w:szCs w:val="20"/>
                <w:lang w:val="en-US"/>
              </w:rPr>
            </w:pPr>
            <w:r w:rsidRPr="00F176D9">
              <w:rPr>
                <w:rFonts w:cs="Arial"/>
                <w:sz w:val="20"/>
                <w:szCs w:val="20"/>
                <w:lang w:val="en-US"/>
              </w:rPr>
              <w:t>Primary-care role in hypertension management</w:t>
            </w:r>
          </w:p>
        </w:tc>
        <w:tc>
          <w:tcPr>
            <w:tcW w:w="0" w:type="auto"/>
            <w:hideMark/>
          </w:tcPr>
          <w:p w14:paraId="627D29F0" w14:textId="77777777" w:rsidR="007650E2" w:rsidRPr="00F176D9" w:rsidRDefault="007650E2" w:rsidP="007650E2">
            <w:pPr>
              <w:rPr>
                <w:rFonts w:cs="Arial"/>
                <w:sz w:val="20"/>
                <w:szCs w:val="20"/>
                <w:lang w:val="en-US"/>
              </w:rPr>
            </w:pPr>
            <w:r w:rsidRPr="00F176D9">
              <w:rPr>
                <w:rFonts w:cs="Arial"/>
                <w:sz w:val="20"/>
                <w:szCs w:val="20"/>
                <w:lang w:val="en-US"/>
              </w:rPr>
              <w:t>UK primary-care management</w:t>
            </w:r>
          </w:p>
        </w:tc>
      </w:tr>
      <w:tr w:rsidR="007650E2" w:rsidRPr="00F176D9" w14:paraId="50E518D7" w14:textId="77777777" w:rsidTr="0022583B">
        <w:trPr>
          <w:trHeight w:val="1152"/>
        </w:trPr>
        <w:tc>
          <w:tcPr>
            <w:tcW w:w="0" w:type="auto"/>
            <w:hideMark/>
          </w:tcPr>
          <w:p w14:paraId="0EB8AC71" w14:textId="77777777" w:rsidR="007650E2" w:rsidRPr="00F176D9" w:rsidRDefault="007650E2" w:rsidP="007650E2">
            <w:pPr>
              <w:rPr>
                <w:rFonts w:cs="Arial"/>
                <w:sz w:val="20"/>
                <w:szCs w:val="20"/>
                <w:lang w:val="en-US"/>
              </w:rPr>
            </w:pPr>
            <w:r w:rsidRPr="00F176D9">
              <w:rPr>
                <w:rFonts w:cs="Arial"/>
                <w:sz w:val="20"/>
                <w:szCs w:val="20"/>
                <w:lang w:val="en-US"/>
              </w:rPr>
              <w:t>Katz et al. (2024)</w:t>
            </w:r>
          </w:p>
        </w:tc>
        <w:tc>
          <w:tcPr>
            <w:tcW w:w="0" w:type="auto"/>
            <w:hideMark/>
          </w:tcPr>
          <w:p w14:paraId="5DBC1A08" w14:textId="77777777" w:rsidR="007650E2" w:rsidRPr="00F176D9" w:rsidRDefault="007650E2" w:rsidP="007650E2">
            <w:pPr>
              <w:rPr>
                <w:rFonts w:cs="Arial"/>
                <w:sz w:val="20"/>
                <w:szCs w:val="20"/>
                <w:lang w:val="en-US"/>
              </w:rPr>
            </w:pPr>
            <w:r w:rsidRPr="00F176D9">
              <w:rPr>
                <w:rFonts w:cs="Arial"/>
                <w:sz w:val="20"/>
                <w:szCs w:val="20"/>
                <w:lang w:val="en-US"/>
              </w:rPr>
              <w:t>Digital health for disadvantaged hypertension groups</w:t>
            </w:r>
          </w:p>
        </w:tc>
        <w:tc>
          <w:tcPr>
            <w:tcW w:w="0" w:type="auto"/>
            <w:hideMark/>
          </w:tcPr>
          <w:p w14:paraId="143F7A7A" w14:textId="77777777" w:rsidR="007650E2" w:rsidRPr="00F176D9" w:rsidRDefault="007650E2" w:rsidP="007650E2">
            <w:pPr>
              <w:rPr>
                <w:rFonts w:cs="Arial"/>
                <w:sz w:val="20"/>
                <w:szCs w:val="20"/>
                <w:lang w:val="en-US"/>
              </w:rPr>
            </w:pPr>
            <w:r w:rsidRPr="00F176D9">
              <w:rPr>
                <w:rFonts w:cs="Arial"/>
                <w:sz w:val="20"/>
                <w:szCs w:val="20"/>
                <w:lang w:val="en-US"/>
              </w:rPr>
              <w:t>US populations experiencing health-related disparities</w:t>
            </w:r>
          </w:p>
        </w:tc>
        <w:tc>
          <w:tcPr>
            <w:tcW w:w="0" w:type="auto"/>
            <w:hideMark/>
          </w:tcPr>
          <w:p w14:paraId="624A5E6E" w14:textId="77777777" w:rsidR="007650E2" w:rsidRPr="00F176D9" w:rsidRDefault="007650E2" w:rsidP="007650E2">
            <w:pPr>
              <w:rPr>
                <w:rFonts w:cs="Arial"/>
                <w:sz w:val="20"/>
                <w:szCs w:val="20"/>
                <w:lang w:val="en-US"/>
              </w:rPr>
            </w:pPr>
            <w:r w:rsidRPr="00F176D9">
              <w:rPr>
                <w:rFonts w:cs="Arial"/>
                <w:sz w:val="20"/>
                <w:szCs w:val="20"/>
                <w:lang w:val="en-US"/>
              </w:rPr>
              <w:t>Systematic review and meta-analysis; appropriate design</w:t>
            </w:r>
          </w:p>
        </w:tc>
        <w:tc>
          <w:tcPr>
            <w:tcW w:w="0" w:type="auto"/>
            <w:hideMark/>
          </w:tcPr>
          <w:p w14:paraId="5A158012" w14:textId="77777777" w:rsidR="007650E2" w:rsidRPr="00F176D9" w:rsidRDefault="007650E2" w:rsidP="007650E2">
            <w:pPr>
              <w:rPr>
                <w:rFonts w:cs="Arial"/>
                <w:sz w:val="20"/>
                <w:szCs w:val="20"/>
                <w:lang w:val="en-US"/>
              </w:rPr>
            </w:pPr>
            <w:r w:rsidRPr="00F176D9">
              <w:rPr>
                <w:rFonts w:cs="Arial"/>
                <w:sz w:val="20"/>
                <w:szCs w:val="20"/>
                <w:lang w:val="en-US"/>
              </w:rPr>
              <w:t>Strong health-disparity and digital intervention focus</w:t>
            </w:r>
          </w:p>
        </w:tc>
        <w:tc>
          <w:tcPr>
            <w:tcW w:w="0" w:type="auto"/>
            <w:hideMark/>
          </w:tcPr>
          <w:p w14:paraId="05DF11C7" w14:textId="77777777" w:rsidR="007650E2" w:rsidRPr="00F176D9" w:rsidRDefault="007650E2" w:rsidP="007650E2">
            <w:pPr>
              <w:rPr>
                <w:rFonts w:cs="Arial"/>
                <w:sz w:val="20"/>
                <w:szCs w:val="20"/>
                <w:lang w:val="en-US"/>
              </w:rPr>
            </w:pPr>
            <w:r w:rsidRPr="00F176D9">
              <w:rPr>
                <w:rFonts w:cs="Arial"/>
                <w:sz w:val="20"/>
                <w:szCs w:val="20"/>
                <w:lang w:val="en-US"/>
              </w:rPr>
              <w:t>US-based evidence limits direct UK transferability</w:t>
            </w:r>
          </w:p>
        </w:tc>
        <w:tc>
          <w:tcPr>
            <w:tcW w:w="0" w:type="auto"/>
            <w:hideMark/>
          </w:tcPr>
          <w:p w14:paraId="59B9AD99" w14:textId="77777777" w:rsidR="007650E2" w:rsidRPr="00F176D9" w:rsidRDefault="007650E2" w:rsidP="007650E2">
            <w:pPr>
              <w:rPr>
                <w:rFonts w:cs="Arial"/>
                <w:sz w:val="20"/>
                <w:szCs w:val="20"/>
                <w:lang w:val="en-US"/>
              </w:rPr>
            </w:pPr>
            <w:r w:rsidRPr="00F176D9">
              <w:rPr>
                <w:rFonts w:cs="Arial"/>
                <w:sz w:val="20"/>
                <w:szCs w:val="20"/>
                <w:lang w:val="en-US"/>
              </w:rPr>
              <w:t>Digital interventions improved blood pressure outcomes</w:t>
            </w:r>
          </w:p>
        </w:tc>
        <w:tc>
          <w:tcPr>
            <w:tcW w:w="0" w:type="auto"/>
            <w:hideMark/>
          </w:tcPr>
          <w:p w14:paraId="4345AA29" w14:textId="77777777" w:rsidR="007650E2" w:rsidRPr="00F176D9" w:rsidRDefault="007650E2" w:rsidP="007650E2">
            <w:pPr>
              <w:rPr>
                <w:rFonts w:cs="Arial"/>
                <w:sz w:val="20"/>
                <w:szCs w:val="20"/>
                <w:lang w:val="en-US"/>
              </w:rPr>
            </w:pPr>
            <w:r w:rsidRPr="00F176D9">
              <w:rPr>
                <w:rFonts w:cs="Arial"/>
                <w:sz w:val="20"/>
                <w:szCs w:val="20"/>
                <w:lang w:val="en-US"/>
              </w:rPr>
              <w:t>Digital health may reduce hypertension care gaps</w:t>
            </w:r>
          </w:p>
        </w:tc>
        <w:tc>
          <w:tcPr>
            <w:tcW w:w="0" w:type="auto"/>
            <w:hideMark/>
          </w:tcPr>
          <w:p w14:paraId="629DD018" w14:textId="77777777" w:rsidR="007650E2" w:rsidRPr="00F176D9" w:rsidRDefault="007650E2" w:rsidP="007650E2">
            <w:pPr>
              <w:rPr>
                <w:rFonts w:cs="Arial"/>
                <w:sz w:val="20"/>
                <w:szCs w:val="20"/>
                <w:lang w:val="en-US"/>
              </w:rPr>
            </w:pPr>
            <w:r w:rsidRPr="00F176D9">
              <w:rPr>
                <w:rFonts w:cs="Arial"/>
                <w:sz w:val="20"/>
                <w:szCs w:val="20"/>
                <w:lang w:val="en-US"/>
              </w:rPr>
              <w:t>Health disparity factors linked with hypertension</w:t>
            </w:r>
          </w:p>
        </w:tc>
        <w:tc>
          <w:tcPr>
            <w:tcW w:w="0" w:type="auto"/>
            <w:hideMark/>
          </w:tcPr>
          <w:p w14:paraId="5B450375" w14:textId="77777777" w:rsidR="007650E2" w:rsidRPr="00F176D9" w:rsidRDefault="007650E2" w:rsidP="007650E2">
            <w:pPr>
              <w:rPr>
                <w:rFonts w:cs="Arial"/>
                <w:sz w:val="20"/>
                <w:szCs w:val="20"/>
                <w:lang w:val="en-US"/>
              </w:rPr>
            </w:pPr>
            <w:r w:rsidRPr="00F176D9">
              <w:rPr>
                <w:rFonts w:cs="Arial"/>
                <w:sz w:val="20"/>
                <w:szCs w:val="20"/>
                <w:lang w:val="en-US"/>
              </w:rPr>
              <w:t>Digital intervention role for disadvantaged groups</w:t>
            </w:r>
          </w:p>
        </w:tc>
        <w:tc>
          <w:tcPr>
            <w:tcW w:w="0" w:type="auto"/>
            <w:hideMark/>
          </w:tcPr>
          <w:p w14:paraId="01A27813" w14:textId="77777777" w:rsidR="007650E2" w:rsidRPr="00F176D9" w:rsidRDefault="007650E2" w:rsidP="007650E2">
            <w:pPr>
              <w:rPr>
                <w:rFonts w:cs="Arial"/>
                <w:sz w:val="20"/>
                <w:szCs w:val="20"/>
                <w:lang w:val="en-US"/>
              </w:rPr>
            </w:pPr>
            <w:r w:rsidRPr="00F176D9">
              <w:rPr>
                <w:rFonts w:cs="Arial"/>
                <w:sz w:val="20"/>
                <w:szCs w:val="20"/>
                <w:lang w:val="en-US"/>
              </w:rPr>
              <w:t>Health disparities and digital care</w:t>
            </w:r>
          </w:p>
        </w:tc>
      </w:tr>
      <w:tr w:rsidR="007650E2" w:rsidRPr="00F176D9" w14:paraId="34A4E1DD" w14:textId="77777777" w:rsidTr="0022583B">
        <w:trPr>
          <w:trHeight w:val="1152"/>
        </w:trPr>
        <w:tc>
          <w:tcPr>
            <w:tcW w:w="0" w:type="auto"/>
            <w:hideMark/>
          </w:tcPr>
          <w:p w14:paraId="7FF6C2D3" w14:textId="77777777" w:rsidR="007650E2" w:rsidRPr="00F176D9" w:rsidRDefault="007650E2" w:rsidP="007650E2">
            <w:pPr>
              <w:rPr>
                <w:rFonts w:cs="Arial"/>
                <w:sz w:val="20"/>
                <w:szCs w:val="20"/>
                <w:lang w:val="en-US"/>
              </w:rPr>
            </w:pPr>
            <w:r w:rsidRPr="00F176D9">
              <w:rPr>
                <w:rFonts w:cs="Arial"/>
                <w:sz w:val="20"/>
                <w:szCs w:val="20"/>
                <w:lang w:val="en-US"/>
              </w:rPr>
              <w:t>Nyame et al. (2024)</w:t>
            </w:r>
          </w:p>
        </w:tc>
        <w:tc>
          <w:tcPr>
            <w:tcW w:w="0" w:type="auto"/>
            <w:hideMark/>
          </w:tcPr>
          <w:p w14:paraId="389D1256" w14:textId="77777777" w:rsidR="007650E2" w:rsidRPr="00F176D9" w:rsidRDefault="007650E2" w:rsidP="007650E2">
            <w:pPr>
              <w:rPr>
                <w:rFonts w:cs="Arial"/>
                <w:sz w:val="20"/>
                <w:szCs w:val="20"/>
                <w:lang w:val="en-US"/>
              </w:rPr>
            </w:pPr>
            <w:r w:rsidRPr="00F176D9">
              <w:rPr>
                <w:rFonts w:cs="Arial"/>
                <w:sz w:val="20"/>
                <w:szCs w:val="20"/>
                <w:lang w:val="en-US"/>
              </w:rPr>
              <w:t>Community strategies for hypertension-related outcomes</w:t>
            </w:r>
          </w:p>
        </w:tc>
        <w:tc>
          <w:tcPr>
            <w:tcW w:w="0" w:type="auto"/>
            <w:hideMark/>
          </w:tcPr>
          <w:p w14:paraId="7CD5467A" w14:textId="77777777" w:rsidR="007650E2" w:rsidRPr="00F176D9" w:rsidRDefault="007650E2" w:rsidP="007650E2">
            <w:pPr>
              <w:rPr>
                <w:rFonts w:cs="Arial"/>
                <w:sz w:val="20"/>
                <w:szCs w:val="20"/>
                <w:lang w:val="en-US"/>
              </w:rPr>
            </w:pPr>
            <w:r w:rsidRPr="00F176D9">
              <w:rPr>
                <w:rFonts w:cs="Arial"/>
                <w:sz w:val="20"/>
                <w:szCs w:val="20"/>
                <w:lang w:val="en-US"/>
              </w:rPr>
              <w:t>Hypertension populations in low-resource settings</w:t>
            </w:r>
          </w:p>
        </w:tc>
        <w:tc>
          <w:tcPr>
            <w:tcW w:w="0" w:type="auto"/>
            <w:hideMark/>
          </w:tcPr>
          <w:p w14:paraId="1CFDC356" w14:textId="77777777" w:rsidR="007650E2" w:rsidRPr="00F176D9" w:rsidRDefault="007650E2" w:rsidP="007650E2">
            <w:pPr>
              <w:rPr>
                <w:rFonts w:cs="Arial"/>
                <w:sz w:val="20"/>
                <w:szCs w:val="20"/>
                <w:lang w:val="en-US"/>
              </w:rPr>
            </w:pPr>
            <w:r w:rsidRPr="00F176D9">
              <w:rPr>
                <w:rFonts w:cs="Arial"/>
                <w:sz w:val="20"/>
                <w:szCs w:val="20"/>
                <w:lang w:val="en-US"/>
              </w:rPr>
              <w:t>Systematic review and meta-analysis; appropriate design</w:t>
            </w:r>
          </w:p>
        </w:tc>
        <w:tc>
          <w:tcPr>
            <w:tcW w:w="0" w:type="auto"/>
            <w:hideMark/>
          </w:tcPr>
          <w:p w14:paraId="4E3B8E63" w14:textId="77777777" w:rsidR="007650E2" w:rsidRPr="00F176D9" w:rsidRDefault="007650E2" w:rsidP="007650E2">
            <w:pPr>
              <w:rPr>
                <w:rFonts w:cs="Arial"/>
                <w:sz w:val="20"/>
                <w:szCs w:val="20"/>
                <w:lang w:val="en-US"/>
              </w:rPr>
            </w:pPr>
            <w:r w:rsidRPr="00F176D9">
              <w:rPr>
                <w:rFonts w:cs="Arial"/>
                <w:sz w:val="20"/>
                <w:szCs w:val="20"/>
                <w:lang w:val="en-US"/>
              </w:rPr>
              <w:t>Strong community-based and access-to-care focus</w:t>
            </w:r>
          </w:p>
        </w:tc>
        <w:tc>
          <w:tcPr>
            <w:tcW w:w="0" w:type="auto"/>
            <w:hideMark/>
          </w:tcPr>
          <w:p w14:paraId="5DD24521" w14:textId="77777777" w:rsidR="007650E2" w:rsidRPr="00F176D9" w:rsidRDefault="007650E2" w:rsidP="007650E2">
            <w:pPr>
              <w:rPr>
                <w:rFonts w:cs="Arial"/>
                <w:sz w:val="20"/>
                <w:szCs w:val="20"/>
                <w:lang w:val="en-US"/>
              </w:rPr>
            </w:pPr>
            <w:r w:rsidRPr="00F176D9">
              <w:rPr>
                <w:rFonts w:cs="Arial"/>
                <w:sz w:val="20"/>
                <w:szCs w:val="20"/>
                <w:lang w:val="en-US"/>
              </w:rPr>
              <w:t>Not UK-specific; contexts were different</w:t>
            </w:r>
          </w:p>
        </w:tc>
        <w:tc>
          <w:tcPr>
            <w:tcW w:w="0" w:type="auto"/>
            <w:hideMark/>
          </w:tcPr>
          <w:p w14:paraId="66B2E2AB" w14:textId="77777777" w:rsidR="007650E2" w:rsidRPr="00F176D9" w:rsidRDefault="007650E2" w:rsidP="007650E2">
            <w:pPr>
              <w:rPr>
                <w:rFonts w:cs="Arial"/>
                <w:sz w:val="20"/>
                <w:szCs w:val="20"/>
                <w:lang w:val="en-US"/>
              </w:rPr>
            </w:pPr>
            <w:r w:rsidRPr="00F176D9">
              <w:rPr>
                <w:rFonts w:cs="Arial"/>
                <w:sz w:val="20"/>
                <w:szCs w:val="20"/>
                <w:lang w:val="en-US"/>
              </w:rPr>
              <w:t>Community strategies improved access and outcomes</w:t>
            </w:r>
          </w:p>
        </w:tc>
        <w:tc>
          <w:tcPr>
            <w:tcW w:w="0" w:type="auto"/>
            <w:hideMark/>
          </w:tcPr>
          <w:p w14:paraId="77AEB899" w14:textId="77777777" w:rsidR="007650E2" w:rsidRPr="00F176D9" w:rsidRDefault="007650E2" w:rsidP="007650E2">
            <w:pPr>
              <w:rPr>
                <w:rFonts w:cs="Arial"/>
                <w:sz w:val="20"/>
                <w:szCs w:val="20"/>
                <w:lang w:val="en-US"/>
              </w:rPr>
            </w:pPr>
            <w:r w:rsidRPr="00F176D9">
              <w:rPr>
                <w:rFonts w:cs="Arial"/>
                <w:sz w:val="20"/>
                <w:szCs w:val="20"/>
                <w:lang w:val="en-US"/>
              </w:rPr>
              <w:t>Decentralised care supports hypertension management</w:t>
            </w:r>
          </w:p>
        </w:tc>
        <w:tc>
          <w:tcPr>
            <w:tcW w:w="0" w:type="auto"/>
            <w:hideMark/>
          </w:tcPr>
          <w:p w14:paraId="04ECB6CD" w14:textId="77777777" w:rsidR="007650E2" w:rsidRPr="00F176D9" w:rsidRDefault="007650E2" w:rsidP="007650E2">
            <w:pPr>
              <w:rPr>
                <w:rFonts w:cs="Arial"/>
                <w:sz w:val="20"/>
                <w:szCs w:val="20"/>
                <w:lang w:val="en-US"/>
              </w:rPr>
            </w:pPr>
            <w:r w:rsidRPr="00F176D9">
              <w:rPr>
                <w:rFonts w:cs="Arial"/>
                <w:sz w:val="20"/>
                <w:szCs w:val="20"/>
                <w:lang w:val="en-US"/>
              </w:rPr>
              <w:t>Income and service access barriers identified</w:t>
            </w:r>
          </w:p>
        </w:tc>
        <w:tc>
          <w:tcPr>
            <w:tcW w:w="0" w:type="auto"/>
            <w:hideMark/>
          </w:tcPr>
          <w:p w14:paraId="082D9BA3" w14:textId="77777777" w:rsidR="007650E2" w:rsidRPr="00F176D9" w:rsidRDefault="007650E2" w:rsidP="007650E2">
            <w:pPr>
              <w:rPr>
                <w:rFonts w:cs="Arial"/>
                <w:sz w:val="20"/>
                <w:szCs w:val="20"/>
                <w:lang w:val="en-US"/>
              </w:rPr>
            </w:pPr>
            <w:r w:rsidRPr="00F176D9">
              <w:rPr>
                <w:rFonts w:cs="Arial"/>
                <w:sz w:val="20"/>
                <w:szCs w:val="20"/>
                <w:lang w:val="en-US"/>
              </w:rPr>
              <w:t>Community care delivery role in management</w:t>
            </w:r>
          </w:p>
        </w:tc>
        <w:tc>
          <w:tcPr>
            <w:tcW w:w="0" w:type="auto"/>
            <w:hideMark/>
          </w:tcPr>
          <w:p w14:paraId="58B8626D" w14:textId="77777777" w:rsidR="007650E2" w:rsidRPr="00F176D9" w:rsidRDefault="007650E2" w:rsidP="007650E2">
            <w:pPr>
              <w:rPr>
                <w:rFonts w:cs="Arial"/>
                <w:sz w:val="20"/>
                <w:szCs w:val="20"/>
                <w:lang w:val="en-US"/>
              </w:rPr>
            </w:pPr>
            <w:r w:rsidRPr="00F176D9">
              <w:rPr>
                <w:rFonts w:cs="Arial"/>
                <w:sz w:val="20"/>
                <w:szCs w:val="20"/>
                <w:lang w:val="en-US"/>
              </w:rPr>
              <w:t>Decentralised community care</w:t>
            </w:r>
          </w:p>
        </w:tc>
      </w:tr>
      <w:tr w:rsidR="007650E2" w:rsidRPr="00F176D9" w14:paraId="0F4EF272" w14:textId="77777777" w:rsidTr="0022583B">
        <w:trPr>
          <w:trHeight w:val="1152"/>
        </w:trPr>
        <w:tc>
          <w:tcPr>
            <w:tcW w:w="0" w:type="auto"/>
            <w:hideMark/>
          </w:tcPr>
          <w:p w14:paraId="3479B533" w14:textId="77777777" w:rsidR="007650E2" w:rsidRPr="00F176D9" w:rsidRDefault="007650E2" w:rsidP="007650E2">
            <w:pPr>
              <w:rPr>
                <w:rFonts w:cs="Arial"/>
                <w:sz w:val="20"/>
                <w:szCs w:val="20"/>
                <w:lang w:val="en-US"/>
              </w:rPr>
            </w:pPr>
            <w:r w:rsidRPr="00F176D9">
              <w:rPr>
                <w:rFonts w:cs="Arial"/>
                <w:sz w:val="20"/>
                <w:szCs w:val="20"/>
                <w:lang w:val="en-US"/>
              </w:rPr>
              <w:lastRenderedPageBreak/>
              <w:t>Tang et al. (2026)</w:t>
            </w:r>
          </w:p>
        </w:tc>
        <w:tc>
          <w:tcPr>
            <w:tcW w:w="0" w:type="auto"/>
            <w:hideMark/>
          </w:tcPr>
          <w:p w14:paraId="3C293E2B" w14:textId="77777777" w:rsidR="007650E2" w:rsidRPr="00F176D9" w:rsidRDefault="007650E2" w:rsidP="007650E2">
            <w:pPr>
              <w:rPr>
                <w:rFonts w:cs="Arial"/>
                <w:sz w:val="20"/>
                <w:szCs w:val="20"/>
                <w:lang w:val="en-US"/>
              </w:rPr>
            </w:pPr>
            <w:r w:rsidRPr="00F176D9">
              <w:rPr>
                <w:rFonts w:cs="Arial"/>
                <w:sz w:val="20"/>
                <w:szCs w:val="20"/>
                <w:lang w:val="en-US"/>
              </w:rPr>
              <w:t>Pharmacy cardiovascular screening service opportunities</w:t>
            </w:r>
          </w:p>
        </w:tc>
        <w:tc>
          <w:tcPr>
            <w:tcW w:w="0" w:type="auto"/>
            <w:hideMark/>
          </w:tcPr>
          <w:p w14:paraId="1542CCE4" w14:textId="77777777" w:rsidR="007650E2" w:rsidRPr="00F176D9" w:rsidRDefault="007650E2" w:rsidP="007650E2">
            <w:pPr>
              <w:rPr>
                <w:rFonts w:cs="Arial"/>
                <w:sz w:val="20"/>
                <w:szCs w:val="20"/>
                <w:lang w:val="en-US"/>
              </w:rPr>
            </w:pPr>
            <w:r w:rsidRPr="00F176D9">
              <w:rPr>
                <w:rFonts w:cs="Arial"/>
                <w:sz w:val="20"/>
                <w:szCs w:val="20"/>
                <w:lang w:val="en-US"/>
              </w:rPr>
              <w:t>Community pharmacy vaccination and screening services</w:t>
            </w:r>
          </w:p>
        </w:tc>
        <w:tc>
          <w:tcPr>
            <w:tcW w:w="0" w:type="auto"/>
            <w:hideMark/>
          </w:tcPr>
          <w:p w14:paraId="3EBB156E" w14:textId="77777777" w:rsidR="007650E2" w:rsidRPr="00F176D9" w:rsidRDefault="007650E2" w:rsidP="007650E2">
            <w:pPr>
              <w:rPr>
                <w:rFonts w:cs="Arial"/>
                <w:sz w:val="20"/>
                <w:szCs w:val="20"/>
                <w:lang w:val="en-US"/>
              </w:rPr>
            </w:pPr>
            <w:r w:rsidRPr="00F176D9">
              <w:rPr>
                <w:rFonts w:cs="Arial"/>
                <w:sz w:val="20"/>
                <w:szCs w:val="20"/>
                <w:lang w:val="en-US"/>
              </w:rPr>
              <w:t>Scoping review; appropriate exploratory design</w:t>
            </w:r>
          </w:p>
        </w:tc>
        <w:tc>
          <w:tcPr>
            <w:tcW w:w="0" w:type="auto"/>
            <w:hideMark/>
          </w:tcPr>
          <w:p w14:paraId="2A31E532" w14:textId="77777777" w:rsidR="007650E2" w:rsidRPr="00F176D9" w:rsidRDefault="007650E2" w:rsidP="007650E2">
            <w:pPr>
              <w:rPr>
                <w:rFonts w:cs="Arial"/>
                <w:sz w:val="20"/>
                <w:szCs w:val="20"/>
                <w:lang w:val="en-US"/>
              </w:rPr>
            </w:pPr>
            <w:r w:rsidRPr="00F176D9">
              <w:rPr>
                <w:rFonts w:cs="Arial"/>
                <w:sz w:val="20"/>
                <w:szCs w:val="20"/>
                <w:lang w:val="en-US"/>
              </w:rPr>
              <w:t>Relevant to UK pharmacy screening expansion</w:t>
            </w:r>
          </w:p>
        </w:tc>
        <w:tc>
          <w:tcPr>
            <w:tcW w:w="0" w:type="auto"/>
            <w:hideMark/>
          </w:tcPr>
          <w:p w14:paraId="57326689" w14:textId="77777777" w:rsidR="007650E2" w:rsidRPr="00F176D9" w:rsidRDefault="007650E2" w:rsidP="007650E2">
            <w:pPr>
              <w:rPr>
                <w:rFonts w:cs="Arial"/>
                <w:sz w:val="20"/>
                <w:szCs w:val="20"/>
                <w:lang w:val="en-US"/>
              </w:rPr>
            </w:pPr>
            <w:r w:rsidRPr="00F176D9">
              <w:rPr>
                <w:rFonts w:cs="Arial"/>
                <w:sz w:val="20"/>
                <w:szCs w:val="20"/>
                <w:lang w:val="en-US"/>
              </w:rPr>
              <w:t>No effect-size measurement or intervention testing</w:t>
            </w:r>
          </w:p>
        </w:tc>
        <w:tc>
          <w:tcPr>
            <w:tcW w:w="0" w:type="auto"/>
            <w:hideMark/>
          </w:tcPr>
          <w:p w14:paraId="43947886" w14:textId="77777777" w:rsidR="007650E2" w:rsidRPr="00F176D9" w:rsidRDefault="007650E2" w:rsidP="007650E2">
            <w:pPr>
              <w:rPr>
                <w:rFonts w:cs="Arial"/>
                <w:sz w:val="20"/>
                <w:szCs w:val="20"/>
                <w:lang w:val="en-US"/>
              </w:rPr>
            </w:pPr>
            <w:r w:rsidRPr="00F176D9">
              <w:rPr>
                <w:rFonts w:cs="Arial"/>
                <w:sz w:val="20"/>
                <w:szCs w:val="20"/>
                <w:lang w:val="en-US"/>
              </w:rPr>
              <w:t>Pharmacy screening opportunities were clearly identified</w:t>
            </w:r>
          </w:p>
        </w:tc>
        <w:tc>
          <w:tcPr>
            <w:tcW w:w="0" w:type="auto"/>
            <w:hideMark/>
          </w:tcPr>
          <w:p w14:paraId="31E095F5" w14:textId="77777777" w:rsidR="007650E2" w:rsidRPr="00F176D9" w:rsidRDefault="007650E2" w:rsidP="007650E2">
            <w:pPr>
              <w:rPr>
                <w:rFonts w:cs="Arial"/>
                <w:sz w:val="20"/>
                <w:szCs w:val="20"/>
                <w:lang w:val="en-US"/>
              </w:rPr>
            </w:pPr>
            <w:r w:rsidRPr="00F176D9">
              <w:rPr>
                <w:rFonts w:cs="Arial"/>
                <w:sz w:val="20"/>
                <w:szCs w:val="20"/>
                <w:lang w:val="en-US"/>
              </w:rPr>
              <w:t>Community pharmacies can support cardiovascular screening</w:t>
            </w:r>
          </w:p>
        </w:tc>
        <w:tc>
          <w:tcPr>
            <w:tcW w:w="0" w:type="auto"/>
            <w:hideMark/>
          </w:tcPr>
          <w:p w14:paraId="0FE5935A" w14:textId="77777777" w:rsidR="007650E2" w:rsidRPr="00F176D9" w:rsidRDefault="007650E2" w:rsidP="007650E2">
            <w:pPr>
              <w:rPr>
                <w:rFonts w:cs="Arial"/>
                <w:sz w:val="20"/>
                <w:szCs w:val="20"/>
                <w:lang w:val="en-US"/>
              </w:rPr>
            </w:pPr>
            <w:r w:rsidRPr="00F176D9">
              <w:rPr>
                <w:rFonts w:cs="Arial"/>
                <w:sz w:val="20"/>
                <w:szCs w:val="20"/>
                <w:lang w:val="en-US"/>
              </w:rPr>
              <w:t>Undiagnosed hypertension and screening access gaps</w:t>
            </w:r>
          </w:p>
        </w:tc>
        <w:tc>
          <w:tcPr>
            <w:tcW w:w="0" w:type="auto"/>
            <w:hideMark/>
          </w:tcPr>
          <w:p w14:paraId="755291C6" w14:textId="77777777" w:rsidR="007650E2" w:rsidRPr="00F176D9" w:rsidRDefault="007650E2" w:rsidP="007650E2">
            <w:pPr>
              <w:rPr>
                <w:rFonts w:cs="Arial"/>
                <w:sz w:val="20"/>
                <w:szCs w:val="20"/>
                <w:lang w:val="en-US"/>
              </w:rPr>
            </w:pPr>
            <w:r w:rsidRPr="00F176D9">
              <w:rPr>
                <w:rFonts w:cs="Arial"/>
                <w:sz w:val="20"/>
                <w:szCs w:val="20"/>
                <w:lang w:val="en-US"/>
              </w:rPr>
              <w:t>Pharmacy role in community-based screening</w:t>
            </w:r>
          </w:p>
        </w:tc>
        <w:tc>
          <w:tcPr>
            <w:tcW w:w="0" w:type="auto"/>
            <w:hideMark/>
          </w:tcPr>
          <w:p w14:paraId="7BAF4DF7" w14:textId="77777777" w:rsidR="007650E2" w:rsidRPr="00F176D9" w:rsidRDefault="007650E2" w:rsidP="007650E2">
            <w:pPr>
              <w:rPr>
                <w:rFonts w:cs="Arial"/>
                <w:sz w:val="20"/>
                <w:szCs w:val="20"/>
                <w:lang w:val="en-US"/>
              </w:rPr>
            </w:pPr>
            <w:r w:rsidRPr="00F176D9">
              <w:rPr>
                <w:rFonts w:cs="Arial"/>
                <w:sz w:val="20"/>
                <w:szCs w:val="20"/>
                <w:lang w:val="en-US"/>
              </w:rPr>
              <w:t>Community pharmacy screening</w:t>
            </w:r>
          </w:p>
        </w:tc>
      </w:tr>
      <w:tr w:rsidR="007650E2" w:rsidRPr="00F176D9" w14:paraId="64E8CCAE" w14:textId="77777777" w:rsidTr="0022583B">
        <w:trPr>
          <w:trHeight w:val="1152"/>
        </w:trPr>
        <w:tc>
          <w:tcPr>
            <w:tcW w:w="0" w:type="auto"/>
            <w:hideMark/>
          </w:tcPr>
          <w:p w14:paraId="62B7C0AD" w14:textId="77777777" w:rsidR="007650E2" w:rsidRPr="00F176D9" w:rsidRDefault="007650E2" w:rsidP="007650E2">
            <w:pPr>
              <w:rPr>
                <w:rFonts w:cs="Arial"/>
                <w:sz w:val="20"/>
                <w:szCs w:val="20"/>
                <w:lang w:val="en-US"/>
              </w:rPr>
            </w:pPr>
            <w:r w:rsidRPr="00F176D9">
              <w:rPr>
                <w:rFonts w:cs="Arial"/>
                <w:sz w:val="20"/>
                <w:szCs w:val="20"/>
                <w:lang w:val="en-US"/>
              </w:rPr>
              <w:t>Wiedemann et al. (2024)</w:t>
            </w:r>
          </w:p>
        </w:tc>
        <w:tc>
          <w:tcPr>
            <w:tcW w:w="0" w:type="auto"/>
            <w:hideMark/>
          </w:tcPr>
          <w:p w14:paraId="3E678EB4" w14:textId="77777777" w:rsidR="007650E2" w:rsidRPr="00F176D9" w:rsidRDefault="007650E2" w:rsidP="007650E2">
            <w:pPr>
              <w:rPr>
                <w:rFonts w:cs="Arial"/>
                <w:sz w:val="20"/>
                <w:szCs w:val="20"/>
                <w:lang w:val="en-US"/>
              </w:rPr>
            </w:pPr>
            <w:r w:rsidRPr="00F176D9">
              <w:rPr>
                <w:rFonts w:cs="Arial"/>
                <w:sz w:val="20"/>
                <w:szCs w:val="20"/>
                <w:lang w:val="en-US"/>
              </w:rPr>
              <w:t>Blood pressure screening and QOF monitoring</w:t>
            </w:r>
          </w:p>
        </w:tc>
        <w:tc>
          <w:tcPr>
            <w:tcW w:w="0" w:type="auto"/>
            <w:hideMark/>
          </w:tcPr>
          <w:p w14:paraId="25DA71C6" w14:textId="77777777" w:rsidR="007650E2" w:rsidRPr="00F176D9" w:rsidRDefault="007650E2" w:rsidP="007650E2">
            <w:pPr>
              <w:rPr>
                <w:rFonts w:cs="Arial"/>
                <w:sz w:val="20"/>
                <w:szCs w:val="20"/>
                <w:lang w:val="en-US"/>
              </w:rPr>
            </w:pPr>
            <w:r w:rsidRPr="00F176D9">
              <w:rPr>
                <w:rFonts w:cs="Arial"/>
                <w:sz w:val="20"/>
                <w:szCs w:val="20"/>
                <w:lang w:val="en-US"/>
              </w:rPr>
              <w:t>England GP records from OpenSAFELY data</w:t>
            </w:r>
          </w:p>
        </w:tc>
        <w:tc>
          <w:tcPr>
            <w:tcW w:w="0" w:type="auto"/>
            <w:hideMark/>
          </w:tcPr>
          <w:p w14:paraId="484B7F5D" w14:textId="77777777" w:rsidR="007650E2" w:rsidRPr="00F176D9" w:rsidRDefault="007650E2" w:rsidP="007650E2">
            <w:pPr>
              <w:rPr>
                <w:rFonts w:cs="Arial"/>
                <w:sz w:val="20"/>
                <w:szCs w:val="20"/>
                <w:lang w:val="en-US"/>
              </w:rPr>
            </w:pPr>
            <w:r w:rsidRPr="00F176D9">
              <w:rPr>
                <w:rFonts w:cs="Arial"/>
                <w:sz w:val="20"/>
                <w:szCs w:val="20"/>
                <w:lang w:val="en-US"/>
              </w:rPr>
              <w:t>Population-based cohort study; appropriate UK design</w:t>
            </w:r>
          </w:p>
        </w:tc>
        <w:tc>
          <w:tcPr>
            <w:tcW w:w="0" w:type="auto"/>
            <w:hideMark/>
          </w:tcPr>
          <w:p w14:paraId="1361E2BD" w14:textId="77777777" w:rsidR="007650E2" w:rsidRPr="00F176D9" w:rsidRDefault="007650E2" w:rsidP="007650E2">
            <w:pPr>
              <w:rPr>
                <w:rFonts w:cs="Arial"/>
                <w:sz w:val="20"/>
                <w:szCs w:val="20"/>
                <w:lang w:val="en-US"/>
              </w:rPr>
            </w:pPr>
            <w:r w:rsidRPr="00F176D9">
              <w:rPr>
                <w:rFonts w:cs="Arial"/>
                <w:sz w:val="20"/>
                <w:szCs w:val="20"/>
                <w:lang w:val="en-US"/>
              </w:rPr>
              <w:t>National NHS data with monitoring relevance</w:t>
            </w:r>
          </w:p>
        </w:tc>
        <w:tc>
          <w:tcPr>
            <w:tcW w:w="0" w:type="auto"/>
            <w:hideMark/>
          </w:tcPr>
          <w:p w14:paraId="2D4418DF" w14:textId="77777777" w:rsidR="007650E2" w:rsidRPr="00F176D9" w:rsidRDefault="007650E2" w:rsidP="007650E2">
            <w:pPr>
              <w:rPr>
                <w:rFonts w:cs="Arial"/>
                <w:sz w:val="20"/>
                <w:szCs w:val="20"/>
                <w:lang w:val="en-US"/>
              </w:rPr>
            </w:pPr>
            <w:r w:rsidRPr="00F176D9">
              <w:rPr>
                <w:rFonts w:cs="Arial"/>
                <w:sz w:val="20"/>
                <w:szCs w:val="20"/>
                <w:lang w:val="en-US"/>
              </w:rPr>
              <w:t>Pandemic and QOF focused evidence</w:t>
            </w:r>
          </w:p>
        </w:tc>
        <w:tc>
          <w:tcPr>
            <w:tcW w:w="0" w:type="auto"/>
            <w:hideMark/>
          </w:tcPr>
          <w:p w14:paraId="287ADCEF" w14:textId="77777777" w:rsidR="007650E2" w:rsidRPr="00F176D9" w:rsidRDefault="007650E2" w:rsidP="007650E2">
            <w:pPr>
              <w:rPr>
                <w:rFonts w:cs="Arial"/>
                <w:sz w:val="20"/>
                <w:szCs w:val="20"/>
                <w:lang w:val="en-US"/>
              </w:rPr>
            </w:pPr>
            <w:r w:rsidRPr="00F176D9">
              <w:rPr>
                <w:rFonts w:cs="Arial"/>
                <w:sz w:val="20"/>
                <w:szCs w:val="20"/>
                <w:lang w:val="en-US"/>
              </w:rPr>
              <w:t>Blood pressure screening was substantially disrupted</w:t>
            </w:r>
          </w:p>
        </w:tc>
        <w:tc>
          <w:tcPr>
            <w:tcW w:w="0" w:type="auto"/>
            <w:hideMark/>
          </w:tcPr>
          <w:p w14:paraId="0C7A7FF7" w14:textId="77777777" w:rsidR="007650E2" w:rsidRPr="00F176D9" w:rsidRDefault="007650E2" w:rsidP="007650E2">
            <w:pPr>
              <w:rPr>
                <w:rFonts w:cs="Arial"/>
                <w:sz w:val="20"/>
                <w:szCs w:val="20"/>
                <w:lang w:val="en-US"/>
              </w:rPr>
            </w:pPr>
            <w:r w:rsidRPr="00F176D9">
              <w:rPr>
                <w:rFonts w:cs="Arial"/>
                <w:sz w:val="20"/>
                <w:szCs w:val="20"/>
                <w:lang w:val="en-US"/>
              </w:rPr>
              <w:t>Monitoring recovery is needed for hypertension care</w:t>
            </w:r>
          </w:p>
        </w:tc>
        <w:tc>
          <w:tcPr>
            <w:tcW w:w="0" w:type="auto"/>
            <w:hideMark/>
          </w:tcPr>
          <w:p w14:paraId="528BD09D" w14:textId="77777777" w:rsidR="007650E2" w:rsidRPr="00F176D9" w:rsidRDefault="007650E2" w:rsidP="007650E2">
            <w:pPr>
              <w:rPr>
                <w:rFonts w:cs="Arial"/>
                <w:sz w:val="20"/>
                <w:szCs w:val="20"/>
                <w:lang w:val="en-US"/>
              </w:rPr>
            </w:pPr>
            <w:r w:rsidRPr="00F176D9">
              <w:rPr>
                <w:rFonts w:cs="Arial"/>
                <w:sz w:val="20"/>
                <w:szCs w:val="20"/>
                <w:lang w:val="en-US"/>
              </w:rPr>
              <w:t>Screening and diagnosis gaps affecting hypertension</w:t>
            </w:r>
          </w:p>
        </w:tc>
        <w:tc>
          <w:tcPr>
            <w:tcW w:w="0" w:type="auto"/>
            <w:hideMark/>
          </w:tcPr>
          <w:p w14:paraId="58CF057A" w14:textId="77777777" w:rsidR="007650E2" w:rsidRPr="00F176D9" w:rsidRDefault="007650E2" w:rsidP="007650E2">
            <w:pPr>
              <w:rPr>
                <w:rFonts w:cs="Arial"/>
                <w:sz w:val="20"/>
                <w:szCs w:val="20"/>
                <w:lang w:val="en-US"/>
              </w:rPr>
            </w:pPr>
            <w:r w:rsidRPr="00F176D9">
              <w:rPr>
                <w:rFonts w:cs="Arial"/>
                <w:sz w:val="20"/>
                <w:szCs w:val="20"/>
                <w:lang w:val="en-US"/>
              </w:rPr>
              <w:t>GP monitoring role in hypertension management</w:t>
            </w:r>
          </w:p>
        </w:tc>
        <w:tc>
          <w:tcPr>
            <w:tcW w:w="0" w:type="auto"/>
            <w:hideMark/>
          </w:tcPr>
          <w:p w14:paraId="19120F7C" w14:textId="77777777" w:rsidR="007650E2" w:rsidRPr="00F176D9" w:rsidRDefault="007650E2" w:rsidP="007650E2">
            <w:pPr>
              <w:rPr>
                <w:rFonts w:cs="Arial"/>
                <w:sz w:val="20"/>
                <w:szCs w:val="20"/>
                <w:lang w:val="en-US"/>
              </w:rPr>
            </w:pPr>
            <w:r w:rsidRPr="00F176D9">
              <w:rPr>
                <w:rFonts w:cs="Arial"/>
                <w:sz w:val="20"/>
                <w:szCs w:val="20"/>
                <w:lang w:val="en-US"/>
              </w:rPr>
              <w:t>England blood pressure monitoring</w:t>
            </w:r>
          </w:p>
        </w:tc>
      </w:tr>
    </w:tbl>
    <w:p w14:paraId="53976BA9" w14:textId="77777777" w:rsidR="000901D5" w:rsidRPr="00F176D9" w:rsidRDefault="000901D5" w:rsidP="00344696">
      <w:pPr>
        <w:rPr>
          <w:rFonts w:cs="Arial"/>
        </w:rPr>
      </w:pPr>
      <w:r w:rsidRPr="00F176D9">
        <w:rPr>
          <w:rFonts w:cs="Arial"/>
        </w:rPr>
        <w:t>Table 4.1 shows that evidence regarding hypertension management, intervention in the community, digital support, telemedicine and screening and monitoring in the pharmacy were reported in the studies included. Studies which were conducted in the UK were chosen as they directly assisted the focus of the dissertation. Systematic reviews were used judiciously where there was no evidence from the UK for the effectiveness of interventions, and these were more broadly carried out.</w:t>
      </w:r>
    </w:p>
    <w:p w14:paraId="10FFB8AB" w14:textId="77777777" w:rsidR="00C4639D" w:rsidRPr="00F176D9" w:rsidRDefault="00C4639D" w:rsidP="0022583B">
      <w:pPr>
        <w:pStyle w:val="Heading2"/>
        <w:sectPr w:rsidR="00C4639D" w:rsidRPr="00F176D9" w:rsidSect="00C4639D">
          <w:pgSz w:w="16838" w:h="11906" w:orient="landscape"/>
          <w:pgMar w:top="1440" w:right="1440" w:bottom="1440" w:left="1440" w:header="708" w:footer="708" w:gutter="0"/>
          <w:cols w:space="708"/>
          <w:docGrid w:linePitch="360"/>
        </w:sectPr>
      </w:pPr>
    </w:p>
    <w:p w14:paraId="6F62BA24" w14:textId="13C5CE1D" w:rsidR="00344696" w:rsidRPr="00F176D9" w:rsidRDefault="00344696" w:rsidP="0022583B">
      <w:pPr>
        <w:pStyle w:val="Heading2"/>
      </w:pPr>
      <w:bookmarkStart w:id="90" w:name="_Toc237485196"/>
      <w:r w:rsidRPr="00F176D9">
        <w:lastRenderedPageBreak/>
        <w:t>4.4 Data Extraction/Synthesis</w:t>
      </w:r>
      <w:bookmarkEnd w:id="90"/>
    </w:p>
    <w:p w14:paraId="5A1D7BCA" w14:textId="77777777" w:rsidR="00BE7231" w:rsidRPr="00F176D9" w:rsidRDefault="00BE7231" w:rsidP="00BE7231">
      <w:pPr>
        <w:rPr>
          <w:rFonts w:cs="Arial"/>
          <w:color w:val="000000" w:themeColor="text1"/>
          <w:lang w:val="en-US"/>
        </w:rPr>
      </w:pPr>
      <w:r w:rsidRPr="00F176D9">
        <w:rPr>
          <w:rFonts w:cs="Arial"/>
          <w:color w:val="000000" w:themeColor="text1"/>
          <w:lang w:val="en-US"/>
        </w:rPr>
        <w:t>The data from the 10 selected studies were extracted in a structured manner to gain an understanding of the extent of relevance, methodological quality and contribution to the research aims of the selected studies. The chosen studies were considered and evaluated based on the following areas of interest: hypertension management, community-based screening for hypertension, digital health, telemedicine, pharmacy-based, health disparities and primary-care monitoring. These questions assisted in determining the contribution of each study to the knowledge of hypertension management in adults ages 30-50 years, particularly for those who are low-income or from a disadvantaged group.</w:t>
      </w:r>
    </w:p>
    <w:p w14:paraId="3822D15F" w14:textId="77777777" w:rsidR="00BE7231" w:rsidRPr="00F176D9" w:rsidRDefault="00BE7231" w:rsidP="00BE7231">
      <w:pPr>
        <w:rPr>
          <w:rFonts w:cs="Arial"/>
          <w:color w:val="000000" w:themeColor="text1"/>
          <w:lang w:val="en-US"/>
        </w:rPr>
      </w:pPr>
      <w:r w:rsidRPr="00F176D9">
        <w:rPr>
          <w:rFonts w:cs="Arial"/>
          <w:color w:val="000000" w:themeColor="text1"/>
          <w:lang w:val="en-US"/>
        </w:rPr>
        <w:t>Extraction was done according to the inclusion/exclusion criteria discussed in Chapter 3. Studies were included when there was evidence for hypertension management, blood pressure control, community-based approaches, digital interventions, telemedicine, and/or any other intervention relevant to hypertension prevention and control that involved screening for BP in clinical settings or did not involve screening for BP but was enacted by the pharmacy. Only UK-based evidence was given priority as evidence related to adults in the UK was focused on in the dissertation. Where systematic reviews and meta-analyses from abroad that could yield transferable evidence on community-based, digital or self-management interventions were found, these were also included, but only if they were of high quality. The need to do so was because there was limited direct UK evidence and it was limited to low-income adults aged 30–50.</w:t>
      </w:r>
    </w:p>
    <w:p w14:paraId="08294EEE" w14:textId="5B1A0929" w:rsidR="00344696" w:rsidRPr="00F176D9" w:rsidRDefault="00BE7231" w:rsidP="00BE7231">
      <w:pPr>
        <w:rPr>
          <w:rFonts w:cs="Arial"/>
          <w:color w:val="000000" w:themeColor="text1"/>
          <w:lang w:val="en-US"/>
        </w:rPr>
      </w:pPr>
      <w:r w:rsidRPr="00F176D9">
        <w:rPr>
          <w:rFonts w:cs="Arial"/>
          <w:color w:val="000000" w:themeColor="text1"/>
          <w:lang w:val="en-US"/>
        </w:rPr>
        <w:t>The PRISMA process was used to organise the identification, screening and inclusion of studies, and the PICO framework was used to ensure that the studies selected for the dissertation matched the population, intervention and outcome focus. Each study was extracted by reviewing the study aim, setting, study design, type of study intervention, population of the study, and outcomes and its relevance with the research objectives. The evidence was then synthesised using thematic analysis. This allowed for the findings to be organised into themes instead of using article summaries to discuss the findings separately</w:t>
      </w:r>
      <w:r w:rsidR="00344696" w:rsidRPr="00F176D9">
        <w:rPr>
          <w:rFonts w:cs="Arial"/>
          <w:color w:val="000000" w:themeColor="text1"/>
          <w:lang w:val="en-US"/>
        </w:rPr>
        <w:t>.</w:t>
      </w:r>
    </w:p>
    <w:p w14:paraId="33C5BEBA" w14:textId="77777777" w:rsidR="00344696" w:rsidRPr="00F176D9" w:rsidRDefault="00344696" w:rsidP="00344696">
      <w:pPr>
        <w:rPr>
          <w:rFonts w:cs="Arial"/>
          <w:color w:val="000000" w:themeColor="text1"/>
          <w:lang w:val="en-US"/>
        </w:rPr>
      </w:pPr>
      <w:r w:rsidRPr="00F176D9">
        <w:rPr>
          <w:rFonts w:cs="Arial"/>
          <w:color w:val="000000" w:themeColor="text1"/>
          <w:lang w:val="en-US"/>
        </w:rPr>
        <w:t>Three main themes were developed from the 10 studies:</w:t>
      </w:r>
    </w:p>
    <w:p w14:paraId="4432BD3D" w14:textId="77777777" w:rsidR="00344696" w:rsidRPr="00F176D9" w:rsidRDefault="00344696" w:rsidP="00344696">
      <w:pPr>
        <w:numPr>
          <w:ilvl w:val="0"/>
          <w:numId w:val="18"/>
        </w:numPr>
        <w:rPr>
          <w:rFonts w:cs="Arial"/>
          <w:color w:val="000000" w:themeColor="text1"/>
          <w:lang w:val="en-US"/>
        </w:rPr>
      </w:pPr>
      <w:r w:rsidRPr="00F176D9">
        <w:rPr>
          <w:rFonts w:cs="Arial"/>
          <w:b/>
          <w:bCs/>
          <w:color w:val="000000" w:themeColor="text1"/>
          <w:lang w:val="en-US"/>
        </w:rPr>
        <w:t>Social determinants, inequality and access barriers influence hypertension management.</w:t>
      </w:r>
      <w:r w:rsidRPr="00F176D9">
        <w:rPr>
          <w:rFonts w:cs="Arial"/>
          <w:color w:val="000000" w:themeColor="text1"/>
          <w:lang w:val="en-US"/>
        </w:rPr>
        <w:t xml:space="preserve"> </w:t>
      </w:r>
    </w:p>
    <w:p w14:paraId="69929491" w14:textId="77777777" w:rsidR="00344696" w:rsidRPr="00F176D9" w:rsidRDefault="00344696" w:rsidP="00344696">
      <w:pPr>
        <w:numPr>
          <w:ilvl w:val="0"/>
          <w:numId w:val="18"/>
        </w:numPr>
        <w:rPr>
          <w:rFonts w:cs="Arial"/>
          <w:color w:val="000000" w:themeColor="text1"/>
          <w:lang w:val="en-US"/>
        </w:rPr>
      </w:pPr>
      <w:r w:rsidRPr="00F176D9">
        <w:rPr>
          <w:rFonts w:cs="Arial"/>
          <w:b/>
          <w:bCs/>
          <w:color w:val="000000" w:themeColor="text1"/>
          <w:lang w:val="en-US"/>
        </w:rPr>
        <w:lastRenderedPageBreak/>
        <w:t>Community-based, pharmacy-based and primary-care approaches support hypertension management.</w:t>
      </w:r>
      <w:r w:rsidRPr="00F176D9">
        <w:rPr>
          <w:rFonts w:cs="Arial"/>
          <w:color w:val="000000" w:themeColor="text1"/>
          <w:lang w:val="en-US"/>
        </w:rPr>
        <w:t xml:space="preserve"> </w:t>
      </w:r>
    </w:p>
    <w:p w14:paraId="375A5C7D" w14:textId="77777777" w:rsidR="00344696" w:rsidRPr="00F176D9" w:rsidRDefault="00344696" w:rsidP="00344696">
      <w:pPr>
        <w:numPr>
          <w:ilvl w:val="0"/>
          <w:numId w:val="18"/>
        </w:numPr>
        <w:rPr>
          <w:rFonts w:cs="Arial"/>
          <w:color w:val="000000" w:themeColor="text1"/>
          <w:lang w:val="en-US"/>
        </w:rPr>
      </w:pPr>
      <w:r w:rsidRPr="00F176D9">
        <w:rPr>
          <w:rFonts w:cs="Arial"/>
          <w:b/>
          <w:bCs/>
          <w:color w:val="000000" w:themeColor="text1"/>
          <w:lang w:val="en-US"/>
        </w:rPr>
        <w:t>Digital health, telemedicine and self-management improve follow-up but have limitations.</w:t>
      </w:r>
      <w:r w:rsidRPr="00F176D9">
        <w:rPr>
          <w:rFonts w:cs="Arial"/>
          <w:color w:val="000000" w:themeColor="text1"/>
          <w:lang w:val="en-US"/>
        </w:rPr>
        <w:t xml:space="preserve"> </w:t>
      </w:r>
    </w:p>
    <w:p w14:paraId="579BF5BA" w14:textId="77777777" w:rsidR="00BE7231" w:rsidRPr="00F176D9" w:rsidRDefault="00BE7231" w:rsidP="00344696">
      <w:pPr>
        <w:rPr>
          <w:rFonts w:cs="Arial"/>
          <w:color w:val="000000" w:themeColor="text1"/>
          <w:lang w:val="en-US"/>
        </w:rPr>
      </w:pPr>
      <w:r w:rsidRPr="00F176D9">
        <w:rPr>
          <w:rFonts w:cs="Arial"/>
          <w:color w:val="000000" w:themeColor="text1"/>
          <w:lang w:val="en-US"/>
        </w:rPr>
        <w:t>These themes were linked to the research objectives. The first theme was related to the causes and broader factors associated with hypertension and sub-optimal management. The second theme was about the role and effectiveness of community-based approaches. The third theme explored ways in which current clinical and digital interventions, and telemedicine, may help to facilitate hypertension management and identified some gaps for disadvantaged populations.</w:t>
      </w:r>
    </w:p>
    <w:p w14:paraId="1AA3103F" w14:textId="77777777" w:rsidR="00721682" w:rsidRPr="00721682" w:rsidRDefault="00721682" w:rsidP="0028181A">
      <w:pPr>
        <w:pStyle w:val="Heading3"/>
      </w:pPr>
      <w:bookmarkStart w:id="91" w:name="_Toc237485197"/>
      <w:r w:rsidRPr="00721682">
        <w:t>Theme 1: Community-Based Approaches to Hypertension Identification and Management</w:t>
      </w:r>
      <w:bookmarkEnd w:id="91"/>
    </w:p>
    <w:p w14:paraId="7CB31387" w14:textId="77777777" w:rsidR="00721682" w:rsidRPr="00721682" w:rsidRDefault="00721682" w:rsidP="00721682">
      <w:pPr>
        <w:rPr>
          <w:rFonts w:cs="Arial"/>
          <w:color w:val="000000" w:themeColor="text1"/>
          <w:lang w:val="en-US"/>
        </w:rPr>
      </w:pPr>
      <w:r w:rsidRPr="00721682">
        <w:rPr>
          <w:rFonts w:cs="Arial"/>
          <w:color w:val="000000" w:themeColor="text1"/>
          <w:lang w:val="en-US"/>
        </w:rPr>
        <w:t>The first theme is about the spectrum of community-based options to help identify and manage hypertension. The community management in the studies chosen did not appear as a single intervention. Rather, evidence focused on community-level health interventions, pharmacy screening, digital health, telemedicine, and primary-care monitoring and self-management support. This means that community-based hypertension management is perceived as a process, which consists of various complementary activities and not only an awareness campaign.</w:t>
      </w:r>
    </w:p>
    <w:p w14:paraId="7D012FA7" w14:textId="77777777" w:rsidR="00721682" w:rsidRPr="00721682" w:rsidRDefault="00721682" w:rsidP="00721682">
      <w:pPr>
        <w:rPr>
          <w:rFonts w:cs="Arial"/>
          <w:color w:val="000000" w:themeColor="text1"/>
          <w:lang w:val="en-US"/>
        </w:rPr>
      </w:pPr>
      <w:r w:rsidRPr="00721682">
        <w:rPr>
          <w:rFonts w:cs="Arial"/>
          <w:color w:val="000000" w:themeColor="text1"/>
          <w:lang w:val="en-US"/>
        </w:rPr>
        <w:t>Azami-Aghdash et al (2025) gave valuable insights on community-based intervention for hypertension prevention and control. Their systematic review and meta-analysis showed that community interventions showed a link with improvements in blood-pressure outcomes. This further highlights the potential value of interventions that are provided in close proximity to people's homes. The evidence was, however, obtained from a diverse health care context and population, making it difficult to apply directly to the UK. Likewise, Nyame et al. (2024) noted advantages of the decentralised community strategies in low-resource areas, notably regarding access to hypertension care. Evidence suggests that some of the access barriers of using traditional services could be overcome through decentralisation in healthcare systems, which are different from the NHS.</w:t>
      </w:r>
    </w:p>
    <w:p w14:paraId="318E258F" w14:textId="77777777" w:rsidR="00721682" w:rsidRPr="00721682" w:rsidRDefault="00721682" w:rsidP="00721682">
      <w:pPr>
        <w:rPr>
          <w:rFonts w:cs="Arial"/>
          <w:color w:val="000000" w:themeColor="text1"/>
          <w:lang w:val="en-US"/>
        </w:rPr>
      </w:pPr>
      <w:r w:rsidRPr="00721682">
        <w:rPr>
          <w:rFonts w:cs="Arial"/>
          <w:color w:val="000000" w:themeColor="text1"/>
          <w:lang w:val="en-US"/>
        </w:rPr>
        <w:t xml:space="preserve">In a more focused context, Tang et al. (2026) found opportunities for community pharmacies in providing cardiovascular screening. The use of biological monitoring events in pharmacies could offer another opportunity to screen people who would not typically be subjected to </w:t>
      </w:r>
      <w:r w:rsidRPr="00721682">
        <w:rPr>
          <w:rFonts w:cs="Arial"/>
          <w:color w:val="000000" w:themeColor="text1"/>
          <w:lang w:val="en-US"/>
        </w:rPr>
        <w:lastRenderedPageBreak/>
        <w:t>routine blood-pressure checks. However, the study was an exploratory study and lacked an intervention effect size. This, therefore, represents opportunity and feasibility, and not sustained blood pressure lowering.</w:t>
      </w:r>
    </w:p>
    <w:p w14:paraId="3543BD96" w14:textId="77777777" w:rsidR="00721682" w:rsidRPr="00721682" w:rsidRDefault="00721682" w:rsidP="00721682">
      <w:pPr>
        <w:rPr>
          <w:rFonts w:cs="Arial"/>
          <w:color w:val="000000" w:themeColor="text1"/>
          <w:lang w:val="en-US"/>
        </w:rPr>
      </w:pPr>
      <w:r w:rsidRPr="00721682">
        <w:rPr>
          <w:rFonts w:cs="Arial"/>
          <w:color w:val="000000" w:themeColor="text1"/>
          <w:lang w:val="en-US"/>
        </w:rPr>
        <w:t>Community management also includes digital and remote methods. The benefits of digital interventions for managing and adherence to blood pressure have been reported by Boima et al. (2024), and the use of telemedicine for follow-up and continuity of hypertension care has been reported by Hayavi-Haghighi et al. (2024). Hermansson-Borrebaeck et al. (2025) also discovered that self-efficacy may be boosted through e-health support. These strategies can then help achieve hypertension care beyond the clinic setting.</w:t>
      </w:r>
    </w:p>
    <w:p w14:paraId="02CCE6C8" w14:textId="77777777" w:rsidR="00721682" w:rsidRPr="00721682" w:rsidRDefault="00721682" w:rsidP="00721682">
      <w:pPr>
        <w:rPr>
          <w:rFonts w:cs="Arial"/>
          <w:color w:val="000000" w:themeColor="text1"/>
          <w:lang w:val="en-US"/>
        </w:rPr>
      </w:pPr>
      <w:r w:rsidRPr="00721682">
        <w:rPr>
          <w:rFonts w:cs="Arial"/>
          <w:color w:val="000000" w:themeColor="text1"/>
          <w:lang w:val="en-US"/>
        </w:rPr>
        <w:t>There is overall evidence that community hypertension management should incorporate easy-to-access identification, continuous monitoring, behaviour and self-management support and linkage to clinical care. The studies do not argue for substitution of primary care with community services, but rather community strategies seem to be best when they offer alternative pathways for entry into an integrated hypertension-management pathway.</w:t>
      </w:r>
    </w:p>
    <w:p w14:paraId="09BE3E7B" w14:textId="77777777" w:rsidR="00721682" w:rsidRPr="00721682" w:rsidRDefault="00721682" w:rsidP="0028181A">
      <w:pPr>
        <w:pStyle w:val="Heading3"/>
      </w:pPr>
      <w:bookmarkStart w:id="92" w:name="_Toc237485198"/>
      <w:r w:rsidRPr="00721682">
        <w:t>Theme 2: Effects on Awareness, Screening, Referral, Adherence, Monitoring and Blood-Pressure Control</w:t>
      </w:r>
      <w:bookmarkEnd w:id="92"/>
    </w:p>
    <w:p w14:paraId="626FB486" w14:textId="77777777" w:rsidR="00721682" w:rsidRPr="00721682" w:rsidRDefault="00721682" w:rsidP="00721682">
      <w:pPr>
        <w:rPr>
          <w:rFonts w:cs="Arial"/>
          <w:color w:val="000000" w:themeColor="text1"/>
          <w:lang w:val="en-US"/>
        </w:rPr>
      </w:pPr>
      <w:r w:rsidRPr="00721682">
        <w:rPr>
          <w:rFonts w:cs="Arial"/>
          <w:color w:val="000000" w:themeColor="text1"/>
          <w:lang w:val="en-US"/>
        </w:rPr>
        <w:t>The second theme assesses the outcomes that might be affected by community-based approaches along the hypertension-management pathway. The chosen evidence demonstrates that effectiveness cannot only be measured by reducing blood pressure. Screening, identification, adherence, ongoing monitoring and linkage to subsequent health care are also crucial, as good outcomes at one point in the process do not guarantee long-term blood pressure control.</w:t>
      </w:r>
    </w:p>
    <w:p w14:paraId="726D6038" w14:textId="77777777" w:rsidR="00721682" w:rsidRPr="00721682" w:rsidRDefault="00721682" w:rsidP="00721682">
      <w:pPr>
        <w:rPr>
          <w:rFonts w:cs="Arial"/>
          <w:color w:val="000000" w:themeColor="text1"/>
          <w:lang w:val="en-US"/>
        </w:rPr>
      </w:pPr>
      <w:r w:rsidRPr="00721682">
        <w:rPr>
          <w:rFonts w:cs="Arial"/>
          <w:color w:val="000000" w:themeColor="text1"/>
          <w:lang w:val="en-US"/>
        </w:rPr>
        <w:t>Azami-Aghdash et al. (2025) gave the strongest evidence for outcomes of blood pressure. However, their systematic review and meta-analysis found that community-based interventions for BP control were beneficial. This indicates that lifestyle support and community delivery plus education interventions can play a role in clinical outcomes. Similarly, Nyame et al. (2024) discovered that community strategies might have an impact on access and outcomes related to hypertension. Both studies, however, rely on data from outside the UK context and do not necessarily suggest that this would have a similar impact in NHS services.</w:t>
      </w:r>
    </w:p>
    <w:p w14:paraId="6911364F" w14:textId="77777777" w:rsidR="00721682" w:rsidRPr="00721682" w:rsidRDefault="00721682" w:rsidP="00721682">
      <w:pPr>
        <w:rPr>
          <w:rFonts w:cs="Arial"/>
          <w:color w:val="000000" w:themeColor="text1"/>
          <w:lang w:val="en-US"/>
        </w:rPr>
      </w:pPr>
      <w:r w:rsidRPr="00721682">
        <w:rPr>
          <w:rFonts w:cs="Arial"/>
          <w:color w:val="000000" w:themeColor="text1"/>
          <w:lang w:val="en-US"/>
        </w:rPr>
        <w:t xml:space="preserve">Another important outcome is screening. Tang et al. (2026) found opportunities to include cardiovascular screening in community pharmacy services. This may expand opportunities for </w:t>
      </w:r>
      <w:r w:rsidRPr="00721682">
        <w:rPr>
          <w:rFonts w:cs="Arial"/>
          <w:color w:val="000000" w:themeColor="text1"/>
          <w:lang w:val="en-US"/>
        </w:rPr>
        <w:lastRenderedPageBreak/>
        <w:t>adults to have their blood pressure checked in places in the community where they can easily access it. The study failed to determine if higher rates of screening led to confirmed diagnoses, uptake of treatment, or maintenance of control, however. Screening activity, therefore, should not be taken as an indication of success with regard to hypertension management.</w:t>
      </w:r>
    </w:p>
    <w:p w14:paraId="545D592D" w14:textId="77777777" w:rsidR="00721682" w:rsidRPr="00721682" w:rsidRDefault="00721682" w:rsidP="00721682">
      <w:pPr>
        <w:rPr>
          <w:rFonts w:cs="Arial"/>
          <w:color w:val="000000" w:themeColor="text1"/>
          <w:lang w:val="en-US"/>
        </w:rPr>
      </w:pPr>
      <w:r w:rsidRPr="00721682">
        <w:rPr>
          <w:rFonts w:cs="Arial"/>
          <w:color w:val="000000" w:themeColor="text1"/>
          <w:lang w:val="en-US"/>
        </w:rPr>
        <w:t>There is evidence in the UK to support the need to monitor continuity. Both Rison et al. (2024) found disruptions to hypertension management in North East London and Johnson et al. (2024) found a decrease in diagnosis, monitoring and treatment in primary care in the UK. In the same way, Wiedemann et al. (2024) showed a significant impact on recorded blood-pressure screening and monitoring in England. Taken together, they demonstrate that continuity of healthcare systems is as important as the provision of a single intervention for management.</w:t>
      </w:r>
    </w:p>
    <w:p w14:paraId="1C330371" w14:textId="77777777" w:rsidR="00721682" w:rsidRPr="00721682" w:rsidRDefault="00721682" w:rsidP="00721682">
      <w:pPr>
        <w:rPr>
          <w:rFonts w:cs="Arial"/>
          <w:color w:val="000000" w:themeColor="text1"/>
          <w:lang w:val="en-US"/>
        </w:rPr>
      </w:pPr>
      <w:r w:rsidRPr="00721682">
        <w:rPr>
          <w:rFonts w:cs="Arial"/>
          <w:color w:val="000000" w:themeColor="text1"/>
          <w:lang w:val="en-US"/>
        </w:rPr>
        <w:t>There is some evidence to indicate adherence and ongoing self-management with digital approaches. Digital interventions were found to have positive effects on blood pressure and adherence by Boima et al. (2024). Hayavi-Haghighi et al. (2024) showed the benefits of telemedicine in maintaining hypertension follow-up, and Hermansson-Borrebaeck et al. (2025) showed self-efficacy improved with e-health. But increased confidence doesn't always mean increased control of blood pressure.</w:t>
      </w:r>
    </w:p>
    <w:p w14:paraId="6C17D5B2" w14:textId="77777777" w:rsidR="00721682" w:rsidRPr="00721682" w:rsidRDefault="00721682" w:rsidP="00721682">
      <w:pPr>
        <w:rPr>
          <w:rFonts w:cs="Arial"/>
          <w:color w:val="000000" w:themeColor="text1"/>
          <w:lang w:val="en-US"/>
        </w:rPr>
      </w:pPr>
      <w:r w:rsidRPr="00721682">
        <w:rPr>
          <w:rFonts w:cs="Arial"/>
          <w:color w:val="000000" w:themeColor="text1"/>
          <w:lang w:val="en-US"/>
        </w:rPr>
        <w:t>Overall evidence is better for blood-pressure improvement and better opportunities for screening and ongoing monitoring. There is less consistency on evidence of treatment adherence and referral completion. So, the effectiveness should be evaluated throughout the whole pathway but not only from one outcome.</w:t>
      </w:r>
    </w:p>
    <w:p w14:paraId="696E1116" w14:textId="77777777" w:rsidR="00721682" w:rsidRPr="00721682" w:rsidRDefault="00721682" w:rsidP="0028181A">
      <w:pPr>
        <w:pStyle w:val="Heading3"/>
      </w:pPr>
      <w:bookmarkStart w:id="93" w:name="_Toc237485199"/>
      <w:r w:rsidRPr="00721682">
        <w:t>Theme 3: Barriers and Facilitators to Access and Engagement</w:t>
      </w:r>
      <w:bookmarkEnd w:id="93"/>
    </w:p>
    <w:p w14:paraId="3E9269E9" w14:textId="77777777" w:rsidR="00721682" w:rsidRPr="00721682" w:rsidRDefault="00721682" w:rsidP="00721682">
      <w:pPr>
        <w:rPr>
          <w:rFonts w:cs="Arial"/>
          <w:color w:val="000000" w:themeColor="text1"/>
          <w:lang w:val="en-US"/>
        </w:rPr>
      </w:pPr>
      <w:r w:rsidRPr="00721682">
        <w:rPr>
          <w:rFonts w:cs="Arial"/>
          <w:color w:val="000000" w:themeColor="text1"/>
          <w:lang w:val="en-US"/>
        </w:rPr>
        <w:t>The third theme relates to socioeconomic, demographic, digital and organisational determinants of access to and engagement with hypertension management. The selected studies reveal that the effectiveness of a community intervention can be influenced by the accessibility, understanding and sustainability of the intervention by individuals. So, provision of an intervention does not imply equitable engagement.</w:t>
      </w:r>
    </w:p>
    <w:p w14:paraId="11F5DF39" w14:textId="77777777" w:rsidR="00721682" w:rsidRPr="00721682" w:rsidRDefault="00721682" w:rsidP="00721682">
      <w:pPr>
        <w:rPr>
          <w:rFonts w:cs="Arial"/>
          <w:color w:val="000000" w:themeColor="text1"/>
          <w:lang w:val="en-US"/>
        </w:rPr>
      </w:pPr>
      <w:r w:rsidRPr="00721682">
        <w:rPr>
          <w:rFonts w:cs="Arial"/>
          <w:color w:val="000000" w:themeColor="text1"/>
          <w:lang w:val="en-US"/>
        </w:rPr>
        <w:t xml:space="preserve">Organisational factors are highlighted as a special feature of the direct UK evidence. In north east London, inequalities and disruption were identified in the management of hypertension by Rison et al. (2024). Implications of the findings suggest a role for service organisation and continuity in monitoring and follow-up, highlighting the importance of individual behaviour in </w:t>
      </w:r>
      <w:r w:rsidRPr="00721682">
        <w:rPr>
          <w:rFonts w:cs="Arial"/>
          <w:color w:val="000000" w:themeColor="text1"/>
          <w:lang w:val="en-US"/>
        </w:rPr>
        <w:lastRenderedPageBreak/>
        <w:t>hypertension management. A similar finding was observed by Johnson et al. (2024), who saw decreases in the diagnosis, monitoring, and treatment of hypertension during disruptions to primary care. In England-based data, Wiedemann et al. (2024) also demonstrated significant disruption of BP screening. The studies were combined to illustrate that staffing, the capacity of the services, routine monitoring systems and continuity of primary care are important organisational facilitators or barriers.</w:t>
      </w:r>
    </w:p>
    <w:p w14:paraId="20813D70" w14:textId="77777777" w:rsidR="00721682" w:rsidRPr="00721682" w:rsidRDefault="00721682" w:rsidP="00721682">
      <w:pPr>
        <w:rPr>
          <w:rFonts w:cs="Arial"/>
          <w:color w:val="000000" w:themeColor="text1"/>
          <w:lang w:val="en-US"/>
        </w:rPr>
      </w:pPr>
      <w:r w:rsidRPr="00721682">
        <w:rPr>
          <w:rFonts w:cs="Arial"/>
          <w:color w:val="000000" w:themeColor="text1"/>
          <w:lang w:val="en-US"/>
        </w:rPr>
        <w:t>Some access barriers may be alleviated due to community delivery. Nyame et al. (2024) demonstrated that decentralisation of community-level strategies enhanced access to hypertension care in low-resource settings. While these results cannot be directly translated to the NHS, the results indicate that the service delivery system can be more responsive to the community, overcoming the problem of access to traditional healthcare services. A similar mechanism is described in Tang et al. (2026) via community pharmacy screening. Blood-pressure checks might be more easily available in pharmacies, but successful engagement requires appropriate referral and subsequent clinical management.</w:t>
      </w:r>
    </w:p>
    <w:p w14:paraId="191EC037" w14:textId="77777777" w:rsidR="00721682" w:rsidRPr="00721682" w:rsidRDefault="00721682" w:rsidP="00721682">
      <w:pPr>
        <w:rPr>
          <w:rFonts w:cs="Arial"/>
          <w:color w:val="000000" w:themeColor="text1"/>
          <w:lang w:val="en-US"/>
        </w:rPr>
      </w:pPr>
      <w:r w:rsidRPr="00721682">
        <w:rPr>
          <w:rFonts w:cs="Arial"/>
          <w:color w:val="000000" w:themeColor="text1"/>
          <w:lang w:val="en-US"/>
        </w:rPr>
        <w:t>Digital access has its advantages and disadvantages. Boima et al. (2024) showed beneficial results of digital interventions, and Hayavi-Haghighi et al. (2024) pointed out the possibility of telemedicine for the maintenance of hypertension follow-up. A similar finding of improved self-efficacy through e-health was found by Hermansson-Borrebaeck et al. (2025). The results have shown that remote services can help to increase engagement by minimising the need for traditional appointments. Digital intervention benefits, however, cannot be taken for granted with disadvantaged populations.</w:t>
      </w:r>
    </w:p>
    <w:p w14:paraId="4BC0BF3E" w14:textId="77777777" w:rsidR="00721682" w:rsidRPr="00721682" w:rsidRDefault="00721682" w:rsidP="00721682">
      <w:pPr>
        <w:rPr>
          <w:rFonts w:cs="Arial"/>
          <w:color w:val="000000" w:themeColor="text1"/>
          <w:lang w:val="en-US"/>
        </w:rPr>
      </w:pPr>
      <w:r w:rsidRPr="00721682">
        <w:rPr>
          <w:rFonts w:cs="Arial"/>
          <w:color w:val="000000" w:themeColor="text1"/>
          <w:lang w:val="en-US"/>
        </w:rPr>
        <w:t>Katz et al. (2024) is especially relevant as it included digital interventions in an analysis of populations with health disparities. Blood pressure outcomes were found to be positive, but this is limited to the U.S. context. The evidence, however, suggests that there should be differences in intervention design among population sub-groups.</w:t>
      </w:r>
    </w:p>
    <w:p w14:paraId="3C758F61" w14:textId="77777777" w:rsidR="00721682" w:rsidRPr="00721682" w:rsidRDefault="00721682" w:rsidP="00721682">
      <w:pPr>
        <w:rPr>
          <w:rFonts w:cs="Arial"/>
          <w:color w:val="000000" w:themeColor="text1"/>
          <w:lang w:val="en-US"/>
        </w:rPr>
      </w:pPr>
      <w:r w:rsidRPr="00721682">
        <w:rPr>
          <w:rFonts w:cs="Arial"/>
          <w:color w:val="000000" w:themeColor="text1"/>
          <w:lang w:val="en-US"/>
        </w:rPr>
        <w:t>Overall, the studies suggest that there is an interaction between the availability of services, socioeconomic disadvantage, and the capacity and appropriateness of the health system's delivery mechanisms in shaping access and engagement. Accessible services and ongoing organisational support are thus essential elements of effective community strategies.</w:t>
      </w:r>
    </w:p>
    <w:p w14:paraId="050A5EA0" w14:textId="77777777" w:rsidR="00721682" w:rsidRPr="00721682" w:rsidRDefault="00721682" w:rsidP="0028181A">
      <w:pPr>
        <w:pStyle w:val="Heading3"/>
      </w:pPr>
      <w:bookmarkStart w:id="94" w:name="_Toc237485200"/>
      <w:r w:rsidRPr="00721682">
        <w:lastRenderedPageBreak/>
        <w:t>Theme 4: Quality, Relevance and Transferability of Evidence to UK Adults Aged 30–50</w:t>
      </w:r>
      <w:bookmarkEnd w:id="94"/>
    </w:p>
    <w:p w14:paraId="79DCC031" w14:textId="77777777" w:rsidR="00721682" w:rsidRPr="00721682" w:rsidRDefault="00721682" w:rsidP="00721682">
      <w:pPr>
        <w:rPr>
          <w:rFonts w:cs="Arial"/>
          <w:color w:val="000000" w:themeColor="text1"/>
          <w:lang w:val="en-US"/>
        </w:rPr>
      </w:pPr>
      <w:r w:rsidRPr="00721682">
        <w:rPr>
          <w:rFonts w:cs="Arial"/>
          <w:color w:val="000000" w:themeColor="text1"/>
          <w:lang w:val="en-US"/>
        </w:rPr>
        <w:t>The fourth theme critically reviews the methodological quality, relevance and transferability of the 10 studies selected. This is necessary as evidence of the effectiveness of intervention does not necessarily translate to the same effect in adults aged 30-50 in the UK. The types of studies included are widely varied in design, geographic location, population and intervention, and thus their conclusions have to be interpreted at varying levels of directness.</w:t>
      </w:r>
    </w:p>
    <w:p w14:paraId="24C60E1D" w14:textId="77777777" w:rsidR="00721682" w:rsidRPr="00721682" w:rsidRDefault="00721682" w:rsidP="00721682">
      <w:pPr>
        <w:rPr>
          <w:rFonts w:cs="Arial"/>
          <w:color w:val="000000" w:themeColor="text1"/>
          <w:lang w:val="en-US"/>
        </w:rPr>
      </w:pPr>
      <w:r w:rsidRPr="00721682">
        <w:rPr>
          <w:rFonts w:cs="Arial"/>
          <w:color w:val="000000" w:themeColor="text1"/>
          <w:lang w:val="en-US"/>
        </w:rPr>
        <w:t>The best contextual relationships are provided by studies that have been conducted in the United Kingdom. Rison et al. (2024) present work on inequalities and hypertension management from North East London, and Johnson et al. (2024) look at the large UK primary-care population to investigate disruption to diagnosis, monitoring and treatment. Wiedemann et al. (2024) also present England-specific data from the OpenSAFELY dataset on blood-pressure screening and monitoring. They are the big strength in their favour as it relates directly to the healthcare setting in the UK. However, these studies are mostly observational and pandemic-oriented and not RCTs testing particular interventions at the community level. They are therefore well suited to the analysis of service organisation and inequalities but less well suited to the determination of the effectiveness of community strategies.</w:t>
      </w:r>
    </w:p>
    <w:p w14:paraId="5D18412E" w14:textId="77777777" w:rsidR="00721682" w:rsidRPr="00721682" w:rsidRDefault="00721682" w:rsidP="00721682">
      <w:pPr>
        <w:rPr>
          <w:rFonts w:cs="Arial"/>
          <w:color w:val="000000" w:themeColor="text1"/>
          <w:lang w:val="en-US"/>
        </w:rPr>
      </w:pPr>
      <w:r w:rsidRPr="00721682">
        <w:rPr>
          <w:rFonts w:cs="Arial"/>
          <w:color w:val="000000" w:themeColor="text1"/>
          <w:lang w:val="en-US"/>
        </w:rPr>
        <w:t>The design of Tang et al. (2026) was a scoping review, hence relevant to community-pharmacy screening. The study finds opportunities for cardiovascular screening, but no effect size for interventions. It therefore has a stronger associated service feasibility as opposed to clinical effectiveness.</w:t>
      </w:r>
    </w:p>
    <w:p w14:paraId="068968F7" w14:textId="77777777" w:rsidR="00721682" w:rsidRPr="00721682" w:rsidRDefault="00721682" w:rsidP="00721682">
      <w:pPr>
        <w:rPr>
          <w:rFonts w:cs="Arial"/>
          <w:color w:val="000000" w:themeColor="text1"/>
          <w:lang w:val="en-US"/>
        </w:rPr>
      </w:pPr>
      <w:r w:rsidRPr="00721682">
        <w:rPr>
          <w:rFonts w:cs="Arial"/>
          <w:color w:val="000000" w:themeColor="text1"/>
          <w:lang w:val="en-US"/>
        </w:rPr>
        <w:t>However, the evidence provided by Azami-Aghdash et al. (2025), Boima et al. (2024), Katz et al. (2024) and Nyame et al. (2024) is broader and encompasses systematic reviews or meta-analyses. They are methodologically sound in their ability to integrate evidence from several studies. But there are some differences in population and health systems from the UK. In addition to disadvantaged populations in the United States, the latter two studies, by Nyame et al. (2024) and Boima et al. (2024), include lower-resource settings. Their conclusions are therefore suggestive of mechanisms that could be transferable, but not proof of the effectiveness of the NHS.</w:t>
      </w:r>
    </w:p>
    <w:p w14:paraId="608C8ABE" w14:textId="77777777" w:rsidR="00721682" w:rsidRPr="00721682" w:rsidRDefault="00721682" w:rsidP="00721682">
      <w:pPr>
        <w:rPr>
          <w:rFonts w:cs="Arial"/>
          <w:color w:val="000000" w:themeColor="text1"/>
          <w:lang w:val="en-US"/>
        </w:rPr>
      </w:pPr>
      <w:r w:rsidRPr="00721682">
        <w:rPr>
          <w:rFonts w:cs="Arial"/>
          <w:color w:val="000000" w:themeColor="text1"/>
          <w:lang w:val="en-US"/>
        </w:rPr>
        <w:t>Hayavi-Haghighi et al. (2024) also offer international evidence that is useful, and Hermansson-Borrebaeck et al. (2025) is a randomised design demonstrating clinical improvement, although not in the UK, but greater improvements in self-efficacy.</w:t>
      </w:r>
    </w:p>
    <w:p w14:paraId="13CA91A6" w14:textId="0AB39203" w:rsidR="00344696" w:rsidRPr="00F176D9" w:rsidRDefault="00721682" w:rsidP="00721682">
      <w:pPr>
        <w:rPr>
          <w:rFonts w:cs="Arial"/>
          <w:color w:val="000000" w:themeColor="text1"/>
          <w:lang w:val="en-US"/>
        </w:rPr>
      </w:pPr>
      <w:r w:rsidRPr="00721682">
        <w:rPr>
          <w:rFonts w:cs="Arial"/>
          <w:color w:val="000000" w:themeColor="text1"/>
          <w:lang w:val="en-US"/>
        </w:rPr>
        <w:lastRenderedPageBreak/>
        <w:t>The evidence overall is fairly methodologically heterodox and complementary, but is limited in terms of direct evidence, particularly with regard to UK adults aged 30–50. The most defensible interpretation is thus that community strategies have significant promise, and that their size and consistency of effect in the actual UK target population is unclear.</w:t>
      </w:r>
    </w:p>
    <w:p w14:paraId="62A6A588" w14:textId="725F6364" w:rsidR="007E525D" w:rsidRDefault="00344696" w:rsidP="007E525D">
      <w:pPr>
        <w:pStyle w:val="Heading2"/>
      </w:pPr>
      <w:bookmarkStart w:id="95" w:name="_Toc237485201"/>
      <w:r w:rsidRPr="00F176D9">
        <w:t>4.5 Summary of Main Findings</w:t>
      </w:r>
      <w:bookmarkEnd w:id="95"/>
    </w:p>
    <w:p w14:paraId="7E004E21" w14:textId="7101EFF4" w:rsidR="007E525D" w:rsidRDefault="007E525D" w:rsidP="007E525D">
      <w:r>
        <w:t>The ten selected studies indicate that community-based approaches to hypertension management are best viewed as a continuum of interventions rather than a discrete intervention. Overall, there is supporting evidence across the four themes for the role of community screening, pharmacy services, digital and remote monitoring and the role of patient self-management and continued involvement in primary care. But the results also indicate a good amount of variation in strength and directness of evidence. The effectiveness of community interventions to improve hypertension-related outcomes relies on the linkages between detection and referral, as well as treatment, monitoring and ongoing clinical support.</w:t>
      </w:r>
    </w:p>
    <w:p w14:paraId="76551A94" w14:textId="27E400DD" w:rsidR="007E525D" w:rsidRDefault="007E525D" w:rsidP="007E525D">
      <w:r>
        <w:t>The first major discovery relates to the diversity of ways in which hypertension can be detected, diagnosed and treated outside of the hospital. Results from Azami-Aghdash et al. (2025) revealed that community-based interventions have the potential to enhance hypertension prevention and control, which encourages the use of interventions in the community. The same benefits of decentralised community strategies were found by Nyame et al. (2024) with special reference to access to hypertension services. However, there was significant evidence from healthcare systems outside of the UK in both syntheses, and this can only be transferred with limitations. More contextually relevant evidence is provided by Tang et al. (2026), who identified cardiovascular screening and patient engagement as opportunities that can be provided within a community pharmacy vaccination encounter. The study reinforces the effectiveness of using a pharmacy-based approach to case finding, but does not give a measured long-term clinical impact – only opportunity.</w:t>
      </w:r>
    </w:p>
    <w:p w14:paraId="52884064" w14:textId="44DE86BE" w:rsidR="007E525D" w:rsidRDefault="007E525D" w:rsidP="007E525D">
      <w:r>
        <w:t xml:space="preserve">The second finding is to take a view of the entire hypertension-management pathway. Improved blood pressure was identified as evidence of intervention success for the community interventions and digital interventions. Digital health interventions could be used in addition to lifestyle and medication-adherence strategies to support blood-pressure control, according to Boima et al (2024), in their systematic review of randomised evidence from LMICs. Clinically relevant decreases in blood pressure were also found in the US population with health disparities using digital interventions (Katz et al., 2024). But it is not possible to conclude that </w:t>
      </w:r>
      <w:r>
        <w:lastRenderedPageBreak/>
        <w:t>improvements in one outcome will equate to improvements along the pathway. For instance, following an e-health intervention, self-efficacy has been shown to significantly increase (Hermansson-Borrebaeck et al., 2025), but there is no association between changes in self-efficacy and a reduction in blood pressure to &lt; 140/90 mmHg. Therefore, an increase in engagement and/or confidence is a valuable intermediate outcome and not a sign of clinical control.</w:t>
      </w:r>
    </w:p>
    <w:p w14:paraId="3CD1C2E7" w14:textId="5CD079D3" w:rsidR="007E525D" w:rsidRDefault="007E525D" w:rsidP="007E525D">
      <w:r>
        <w:t>The third key finding is the significance of continuity and organisations' capacity. There is evidence in the UK of a significant deterioration in hypertension management when there are disruptions to routine health services. Rison et al. (2024) found a large amount of disturbance in monitoring and controlling among adults with hypertension in North East London during the COVID-19 era. Johnson et al. (2024) found that there was a large decrease in the diagnosis of hypertension (65%) in April 2020 in over 2,000 general practices in the UK, alongside a significant reduction in initiation of treatment, changes to treatment and blood-pressure measurements. Wiedemann et al. (2024) also found that key indicators of blood-pressure screening and hypertension management were severely affected in England, but that this improved later on. The findings of these studies reinforce the need for resilient screening, monitoring and treatment systems, as well as patient behaviour, to be key to successful management.</w:t>
      </w:r>
    </w:p>
    <w:p w14:paraId="6084E217" w14:textId="5074E7FE" w:rsidR="007E525D" w:rsidRDefault="007E525D" w:rsidP="007E525D">
      <w:r>
        <w:t>The fourth finding is that there are important but conditionally beneficial effects of digital care and remote care. In a study by Hayavi-Haghighi et al. (2024), the researchers concluded that telemedicine is a helpful tool to help keep patients with hypertension cared for during periods of limited in-person care. In line with these benefits of blood-pressure outcomes, adherence, engagement and self-efficacy, Boima et al. (2024), Katz et al. (2024) and Hermansson-Borrebaeck et al. (2025) also show different benefits. However, digital interventions should not be a substitute for clinical management, as they are only effective if they are accessible, patient-capable, and there is a continuous clinical response.</w:t>
      </w:r>
    </w:p>
    <w:p w14:paraId="1223FE95" w14:textId="64E26884" w:rsidR="007E525D" w:rsidRDefault="007E525D" w:rsidP="007E525D">
      <w:r>
        <w:t xml:space="preserve">In general, the 10 studies showed that a model of community-primary care integration based on easy access to case identification, timely referral, facilitated self-management, ongoing monitoring, and clinical follow-up is supported. The evidence is more robust for overall management potential (community and digitally supported) and for the value of service continuity. But there is limited direct evidence on this specific age group of UK adults (30–50 years). The results therefore complement the community-based approach and highlight that </w:t>
      </w:r>
      <w:r>
        <w:lastRenderedPageBreak/>
        <w:t>caution needs to be taken in drawing conclusions about the international evidence and in making any universal claims for the effectiveness of a specific intervention.</w:t>
      </w:r>
    </w:p>
    <w:p w14:paraId="0A763BF5" w14:textId="076A3FF3" w:rsidR="00344696" w:rsidRPr="00F176D9" w:rsidRDefault="00344696" w:rsidP="0022583B">
      <w:pPr>
        <w:pStyle w:val="Heading2"/>
      </w:pPr>
      <w:bookmarkStart w:id="96" w:name="_Toc237485202"/>
      <w:r w:rsidRPr="00F176D9">
        <w:t>4.6 Summary of the Chapter</w:t>
      </w:r>
      <w:bookmarkEnd w:id="96"/>
    </w:p>
    <w:p w14:paraId="59E266AE" w14:textId="7EAB866B" w:rsidR="00514F89" w:rsidRPr="00F176D9" w:rsidRDefault="007E525D" w:rsidP="007E525D">
      <w:r w:rsidRPr="007E525D">
        <w:rPr>
          <w:lang w:val="en-US"/>
        </w:rPr>
        <w:t>This Chapter introduced and summarised the results of the 10 studies in the systematic review. Results were distilled into four themes, which were aligned with the revised research objectives: community-based approaches to hypertension identification and management; impact on screening, referral, adherence, monitoring and blood-pressure control; barriers and facilitators to access and engagement; and quality and transferability of existing evidence. The results suggest that community-based interventions have the potential to aid in hypertension management through pharmacy screening, digital health, telemedicine, and self-management support and increased connections with primary care. But the effectiveness will require continuity of services, a suitable referral system, patient engagement and organisational capacity. There were also key limitations in the evidence, including the limited number of direct pieces of evidence specifically on UK adults aged 30-50. The chapter therefore concludes that community-based strategies are promising, when used in conjunction with NHS primary-care pathways, but that caution needs to be taken when using international and non-age specific evidence.</w:t>
      </w:r>
    </w:p>
    <w:p w14:paraId="0C56B4A3" w14:textId="77777777" w:rsidR="00C81A5C" w:rsidRPr="00F176D9" w:rsidRDefault="00C81A5C">
      <w:pPr>
        <w:spacing w:before="0" w:beforeAutospacing="0" w:after="160" w:afterAutospacing="0" w:line="259" w:lineRule="auto"/>
        <w:jc w:val="left"/>
        <w:rPr>
          <w:rFonts w:eastAsia="Times New Roman" w:cs="Arial"/>
          <w:b/>
          <w:color w:val="000000" w:themeColor="text1"/>
          <w:sz w:val="32"/>
        </w:rPr>
      </w:pPr>
      <w:bookmarkStart w:id="97" w:name="_Toc219884543"/>
      <w:r w:rsidRPr="00F176D9">
        <w:rPr>
          <w:rFonts w:cs="Arial"/>
          <w:color w:val="000000" w:themeColor="text1"/>
        </w:rPr>
        <w:br w:type="page"/>
      </w:r>
    </w:p>
    <w:p w14:paraId="6612F2EE" w14:textId="6DB02B7F" w:rsidR="00514F89" w:rsidRDefault="00344696" w:rsidP="00CA7ACA">
      <w:pPr>
        <w:pStyle w:val="Heading1"/>
        <w:rPr>
          <w:lang w:val="en-US"/>
        </w:rPr>
      </w:pPr>
      <w:bookmarkStart w:id="98" w:name="_Toc237485203"/>
      <w:bookmarkEnd w:id="97"/>
      <w:r w:rsidRPr="00F176D9">
        <w:rPr>
          <w:lang w:val="en-US"/>
        </w:rPr>
        <w:lastRenderedPageBreak/>
        <w:t>Chapter 5: Discussion and Conclusion</w:t>
      </w:r>
      <w:bookmarkEnd w:id="98"/>
    </w:p>
    <w:p w14:paraId="6F08C2D7" w14:textId="77777777" w:rsidR="00CA7ACA" w:rsidRPr="00CA7ACA" w:rsidRDefault="00CA7ACA" w:rsidP="00CA7ACA">
      <w:pPr>
        <w:pStyle w:val="Heading2"/>
      </w:pPr>
      <w:bookmarkStart w:id="99" w:name="_Toc237485204"/>
      <w:r w:rsidRPr="00CA7ACA">
        <w:t>5.1 Introduction</w:t>
      </w:r>
      <w:bookmarkEnd w:id="99"/>
    </w:p>
    <w:p w14:paraId="3E27A26C" w14:textId="77777777" w:rsidR="00CA7ACA" w:rsidRPr="00CA7ACA" w:rsidRDefault="00CA7ACA" w:rsidP="00CA7ACA">
      <w:pPr>
        <w:rPr>
          <w:lang w:val="en-US"/>
        </w:rPr>
      </w:pPr>
      <w:r w:rsidRPr="00CA7ACA">
        <w:rPr>
          <w:lang w:val="en-US"/>
        </w:rPr>
        <w:t>The themes discussed in each of the four chapters (community-based approaches, outcomes throughout the pathway of hypertension management, access and engagement barriers and facilitators, and evidence quality and transferability) are presented in the following chapters. It then reflects on implications for UK practice, limitations of the study and recommendations for the NHS primary care, community pharmacies, local authorities and community organisations.</w:t>
      </w:r>
    </w:p>
    <w:p w14:paraId="118EEDDE" w14:textId="77777777" w:rsidR="00CA7ACA" w:rsidRPr="00CA7ACA" w:rsidRDefault="00CA7ACA" w:rsidP="00CA7ACA">
      <w:pPr>
        <w:pStyle w:val="Heading2"/>
      </w:pPr>
      <w:bookmarkStart w:id="100" w:name="_Toc237485205"/>
      <w:r w:rsidRPr="00CA7ACA">
        <w:t>5.2 Discussion</w:t>
      </w:r>
      <w:bookmarkEnd w:id="100"/>
    </w:p>
    <w:p w14:paraId="33480EF4" w14:textId="77777777" w:rsidR="00CA7ACA" w:rsidRPr="00CA7ACA" w:rsidRDefault="00CA7ACA" w:rsidP="00CA7ACA">
      <w:pPr>
        <w:pStyle w:val="Heading3"/>
      </w:pPr>
      <w:bookmarkStart w:id="101" w:name="_Toc237485206"/>
      <w:r w:rsidRPr="00CA7ACA">
        <w:t>5.2.1 Community-Based Approaches to Hypertension Identification and Management</w:t>
      </w:r>
      <w:bookmarkEnd w:id="101"/>
    </w:p>
    <w:p w14:paraId="6E726E0B" w14:textId="77777777" w:rsidR="00CA7ACA" w:rsidRPr="00CA7ACA" w:rsidRDefault="00CA7ACA" w:rsidP="00CA7ACA">
      <w:pPr>
        <w:rPr>
          <w:lang w:val="en-US"/>
        </w:rPr>
      </w:pPr>
      <w:r w:rsidRPr="00CA7ACA">
        <w:rPr>
          <w:lang w:val="en-US"/>
        </w:rPr>
        <w:t>The results suggest that the community-based hypertension management programme is best viewed as a continuum of educational activities and is most effective in this context. Azami-Aghdash et al. (2025) and Nyame et al. (2024) propose that community-based interventions can enhance the outcomes and access related to hypertension. There are, however, limitations in both studies with respect to the synthesis of non-UK settings, so they describe effective mechanisms but do not necessarily demonstrate the same effects within the NHS.</w:t>
      </w:r>
    </w:p>
    <w:p w14:paraId="36F4A02C" w14:textId="77777777" w:rsidR="00CA7ACA" w:rsidRPr="00CA7ACA" w:rsidRDefault="00CA7ACA" w:rsidP="00CA7ACA">
      <w:pPr>
        <w:rPr>
          <w:lang w:val="en-US"/>
        </w:rPr>
      </w:pPr>
      <w:r w:rsidRPr="00CA7ACA">
        <w:rPr>
          <w:lang w:val="en-US"/>
        </w:rPr>
        <w:t>Tang et al. (2026) suggest that pharmacies could be a good place for cardiovascular screening as there is easy access for adults who may not routinely attend GP practices. However, screening cannot be considered as successful management alone; it is only when it is measured, referred and then monitored that benefit is to be expected. These digital interventions and telemedicine can enhance self-management and continuity, and boost self-efficacy as shown by Boima et al. (2024) and Hayavi-Haghighi et al. (2024), respectively. The evidence is overall positive for community services that extend access and are linked to primary care.</w:t>
      </w:r>
    </w:p>
    <w:p w14:paraId="61B17B58" w14:textId="77777777" w:rsidR="00CA7ACA" w:rsidRPr="00CA7ACA" w:rsidRDefault="00CA7ACA" w:rsidP="00CA7ACA">
      <w:pPr>
        <w:pStyle w:val="Heading3"/>
      </w:pPr>
      <w:bookmarkStart w:id="102" w:name="_Toc237485207"/>
      <w:r w:rsidRPr="00CA7ACA">
        <w:t>5.2.2 Effects Across the Hypertension Management Pathway</w:t>
      </w:r>
      <w:bookmarkEnd w:id="102"/>
    </w:p>
    <w:p w14:paraId="70D5C41F" w14:textId="77777777" w:rsidR="00CA7ACA" w:rsidRPr="00CA7ACA" w:rsidRDefault="00CA7ACA" w:rsidP="00CA7ACA">
      <w:pPr>
        <w:rPr>
          <w:lang w:val="en-US"/>
        </w:rPr>
      </w:pPr>
      <w:r w:rsidRPr="00CA7ACA">
        <w:rPr>
          <w:lang w:val="en-US"/>
        </w:rPr>
        <w:t xml:space="preserve">Reduction of blood pressure should not be the only measure to assess effectiveness. Azami-Aghdash et al. (2025) suggest that community-based interventions are effective at enhancing blood-pressure control, and Boima et al. (2024) found that digital interventions are effective in enhancing adherence to blood-pressure medication, as well as blood-pressure control. Positive outcomes with regard to blood pressure benefits have also been reported among </w:t>
      </w:r>
      <w:r w:rsidRPr="00CA7ACA">
        <w:rPr>
          <w:lang w:val="en-US"/>
        </w:rPr>
        <w:lastRenderedPageBreak/>
        <w:t>disadvantaged populations by Katz et al. (2024). These results suggest possible clinical utility, but do not show that there is improvement in all phases of management.</w:t>
      </w:r>
    </w:p>
    <w:p w14:paraId="53D1BB58" w14:textId="77777777" w:rsidR="00CA7ACA" w:rsidRPr="00CA7ACA" w:rsidRDefault="00CA7ACA" w:rsidP="00CA7ACA">
      <w:pPr>
        <w:rPr>
          <w:lang w:val="en-US"/>
        </w:rPr>
      </w:pPr>
      <w:r w:rsidRPr="00CA7ACA">
        <w:rPr>
          <w:lang w:val="en-US"/>
        </w:rPr>
        <w:t>Continuity is a key theme of UK evidence. Rison et al (2023), Johnson et al (2024) and Wiedemann et al (2024) demonstrate that the disruption of routine primary-care activity can lead to decreased diagnosis, monitoring and treatment. Identification, confirmation, referral, treatment, adherence and follow-up are the key factors for hypertension management. Community services can reinforce early stages, but case finding alone – without completed referral – can detect risk without decreasing it. Self-efficacy, which was reported by Hermansson-Borrebaeck et al. (2025), is useful but does not necessarily lead to clinical control. The results consequently support integrated management over stand-alone solutions.</w:t>
      </w:r>
    </w:p>
    <w:p w14:paraId="300CEFF8" w14:textId="77777777" w:rsidR="00CA7ACA" w:rsidRPr="00CA7ACA" w:rsidRDefault="00CA7ACA" w:rsidP="00CA7ACA">
      <w:pPr>
        <w:pStyle w:val="Heading3"/>
      </w:pPr>
      <w:bookmarkStart w:id="103" w:name="_Toc237485208"/>
      <w:r w:rsidRPr="00CA7ACA">
        <w:t>5.2.3 Barriers and Facilitators to Access and Engagement</w:t>
      </w:r>
      <w:bookmarkEnd w:id="103"/>
    </w:p>
    <w:p w14:paraId="7B5EBE21" w14:textId="77777777" w:rsidR="00CA7ACA" w:rsidRPr="00CA7ACA" w:rsidRDefault="00CA7ACA" w:rsidP="00CA7ACA">
      <w:pPr>
        <w:rPr>
          <w:lang w:val="en-US"/>
        </w:rPr>
      </w:pPr>
      <w:r w:rsidRPr="00CA7ACA">
        <w:rPr>
          <w:lang w:val="en-US"/>
        </w:rPr>
        <w:t>Access and engagement impact the effectiveness of interventions. Rison et al (2023), Johnson et al (2024) and Wiedemann et al (2024) highlight how even if clinical interventions to manage hypertension are available, the impact of disruption and capacity limitations can still be apparent within an organisation. This challenges individual explanations and raises issues about staffing, continuity, monitoring and staff/service communication.</w:t>
      </w:r>
    </w:p>
    <w:p w14:paraId="7CB0EB4D" w14:textId="77777777" w:rsidR="00CA7ACA" w:rsidRPr="00CA7ACA" w:rsidRDefault="00CA7ACA" w:rsidP="00CA7ACA">
      <w:pPr>
        <w:rPr>
          <w:lang w:val="en-US"/>
        </w:rPr>
      </w:pPr>
      <w:r w:rsidRPr="00CA7ACA">
        <w:rPr>
          <w:lang w:val="en-US"/>
        </w:rPr>
        <w:t>Decentralised community care can help to decrease access barriers (Nyame et al., 2024) and digital interventions can be advantageous for disadvantaged groups (Katz et al., 2024). In addition, Boima et al. (2024) and Hayavi-Haghighi et al. (2024) suggest that remote strategies can assist in follow-up and limit the need for in-person consultations. Digital delivery may also be a barrier if people don't have a device, connection, confidence or support, though. Digital pathways should thus exist alongside and not instead of access to in-person pathways.</w:t>
      </w:r>
    </w:p>
    <w:p w14:paraId="2A3FD7CB" w14:textId="77777777" w:rsidR="00CA7ACA" w:rsidRPr="00CA7ACA" w:rsidRDefault="00CA7ACA" w:rsidP="00CA7ACA">
      <w:pPr>
        <w:pStyle w:val="Heading3"/>
      </w:pPr>
      <w:bookmarkStart w:id="104" w:name="_Toc237485209"/>
      <w:r w:rsidRPr="00CA7ACA">
        <w:t>5.2.4 Quality, Relevance and Transferability of the Evidence</w:t>
      </w:r>
      <w:bookmarkEnd w:id="104"/>
    </w:p>
    <w:p w14:paraId="6E465318" w14:textId="77777777" w:rsidR="00CA7ACA" w:rsidRPr="00CA7ACA" w:rsidRDefault="00CA7ACA" w:rsidP="00CA7ACA">
      <w:pPr>
        <w:rPr>
          <w:lang w:val="en-US"/>
        </w:rPr>
      </w:pPr>
      <w:r w:rsidRPr="00CA7ACA">
        <w:rPr>
          <w:lang w:val="en-US"/>
        </w:rPr>
        <w:t>The evidence base is a mix of evidence. While the UK studies have more contextual relevance, these are primarily observational, as well as a few COVID-19 service disruption-specific studies. They can be useful to understand inequalities, to track and evaluate service resilience, and offer less evidence of causality with regard to specific community interventions. On the other hand, the studies by Azami-Aghdash et al. (2025), Boima et al. (2024), Katz et al. (2024), and Nyame et al. (2024) offer more general evidence that cannot be readily applied since they encompass a variety of populations and healthcare systems.</w:t>
      </w:r>
    </w:p>
    <w:p w14:paraId="1AEEC372" w14:textId="77777777" w:rsidR="00CA7ACA" w:rsidRPr="00CA7ACA" w:rsidRDefault="00CA7ACA" w:rsidP="00CA7ACA">
      <w:pPr>
        <w:rPr>
          <w:lang w:val="en-US"/>
        </w:rPr>
      </w:pPr>
      <w:r w:rsidRPr="00CA7ACA">
        <w:rPr>
          <w:lang w:val="en-US"/>
        </w:rPr>
        <w:lastRenderedPageBreak/>
        <w:t>In addition to supporting the feasibility of pharmacy screening, Tang et al. (2026) have yet to provide any evidence of the intervention's long-term clinical effectiveness – Hermansson-Borrebaeck et al. (2025) provide better intervention evidence, but it is not UK-specific. This suggests that community-based strategies are potentially effective, but it is difficult to conclude with certainty that this is any greater than the benefits of other strategies for adults in the UK aged 30-50.</w:t>
      </w:r>
    </w:p>
    <w:p w14:paraId="54CCAC7A" w14:textId="77777777" w:rsidR="00CA7ACA" w:rsidRPr="00CA7ACA" w:rsidRDefault="00CA7ACA" w:rsidP="00CA7ACA">
      <w:pPr>
        <w:pStyle w:val="Heading2"/>
      </w:pPr>
      <w:bookmarkStart w:id="105" w:name="_Toc237485210"/>
      <w:r w:rsidRPr="00CA7ACA">
        <w:t>5.3 Implications and Further Research Needs</w:t>
      </w:r>
      <w:bookmarkEnd w:id="105"/>
    </w:p>
    <w:p w14:paraId="4B01A9C6" w14:textId="77777777" w:rsidR="00CA7ACA" w:rsidRPr="00CA7ACA" w:rsidRDefault="00CA7ACA" w:rsidP="00CA7ACA">
      <w:pPr>
        <w:rPr>
          <w:lang w:val="en-US"/>
        </w:rPr>
      </w:pPr>
      <w:r w:rsidRPr="00CA7ACA">
        <w:rPr>
          <w:lang w:val="en-US"/>
        </w:rPr>
        <w:t>Results indicate there are clear referral, confirmation and follow-up pathways for NHS primary care following community screening. Blood pressure checks may be made available at community pharmacies, but this will require protocols, staff competency and communication with general practice. Local authorities and community organisations can help with accessible education, engagement and non-digital approaches. Further research in the UK should include outcomes specifically for adults aged 30–50 and focus on the completion of referrals, maintenance of BP control, equality and acceptability and cost of service.</w:t>
      </w:r>
    </w:p>
    <w:p w14:paraId="19DAE886" w14:textId="77777777" w:rsidR="00CA7ACA" w:rsidRPr="00CA7ACA" w:rsidRDefault="00CA7ACA" w:rsidP="00CA7ACA">
      <w:pPr>
        <w:pStyle w:val="Heading2"/>
      </w:pPr>
      <w:bookmarkStart w:id="106" w:name="_Toc237485211"/>
      <w:r w:rsidRPr="00CA7ACA">
        <w:t>5.4 Strengths and Limitations</w:t>
      </w:r>
      <w:bookmarkEnd w:id="106"/>
    </w:p>
    <w:p w14:paraId="7E171D1D" w14:textId="77777777" w:rsidR="00CA7ACA" w:rsidRPr="00CA7ACA" w:rsidRDefault="00CA7ACA" w:rsidP="00CA7ACA">
      <w:pPr>
        <w:rPr>
          <w:lang w:val="en-US"/>
        </w:rPr>
      </w:pPr>
      <w:r w:rsidRPr="00CA7ACA">
        <w:rPr>
          <w:lang w:val="en-US"/>
        </w:rPr>
        <w:t>The distinction between the direct UK evidence and indirect international evidence, with a consideration of clinical, behavioural, equity and implementation outcomes, is a strength of the dissertation. It also makes comparisons between the different types of intervention, not assuming that all community strategies are the same. Ten studies were included in the formal data set; however, data from the exact age range of 30-50 were not available in all of them, and a few studies included a wider age range of adults or a different setting than the UK. There was heterogeneity, which did not allow for meta-analysis, and single reviewer screening and appraisal may have led to bias.</w:t>
      </w:r>
    </w:p>
    <w:p w14:paraId="57C4E9D4" w14:textId="77777777" w:rsidR="00CA7ACA" w:rsidRPr="00CA7ACA" w:rsidRDefault="00CA7ACA" w:rsidP="00CA7ACA">
      <w:pPr>
        <w:pStyle w:val="Heading2"/>
      </w:pPr>
      <w:bookmarkStart w:id="107" w:name="_Toc237485212"/>
      <w:r w:rsidRPr="00CA7ACA">
        <w:t>5.5 Conclusion</w:t>
      </w:r>
      <w:bookmarkEnd w:id="107"/>
    </w:p>
    <w:p w14:paraId="384B5371" w14:textId="77777777" w:rsidR="00CA7ACA" w:rsidRPr="00CA7ACA" w:rsidRDefault="00CA7ACA" w:rsidP="00CA7ACA">
      <w:pPr>
        <w:rPr>
          <w:lang w:val="en-US"/>
        </w:rPr>
      </w:pPr>
      <w:r w:rsidRPr="00CA7ACA">
        <w:rPr>
          <w:lang w:val="en-US"/>
        </w:rPr>
        <w:t xml:space="preserve">The authors conclude that community-based interventions can play a role in hypertension control among adults in the UK aged 30–50 years, in conjunction with primary care. The evidence supports a coordinated pathway that includes a simple screening process, referrals, facilitated self-management, monitoring and ongoing clinical follow-up. Digital and telemedicine strategies can enhance flexibility and continuity of care, and pharmacies can offer opportunities to conduct case finding. However, for effectiveness the key factors are </w:t>
      </w:r>
      <w:r w:rsidRPr="00CA7ACA">
        <w:rPr>
          <w:lang w:val="en-US"/>
        </w:rPr>
        <w:lastRenderedPageBreak/>
        <w:t>equity of access, organisation capability and effective links between community and NHS services. Conclusions should be limited and not definitive as there is limited direct age-specific evidence from the UK.</w:t>
      </w:r>
    </w:p>
    <w:p w14:paraId="3CCCDF55" w14:textId="77777777" w:rsidR="00CA7ACA" w:rsidRPr="00CA7ACA" w:rsidRDefault="00CA7ACA" w:rsidP="00CA7ACA">
      <w:pPr>
        <w:pStyle w:val="Heading2"/>
      </w:pPr>
      <w:bookmarkStart w:id="108" w:name="_Toc237485213"/>
      <w:r w:rsidRPr="00CA7ACA">
        <w:t>5.6 Recommendations</w:t>
      </w:r>
      <w:bookmarkEnd w:id="108"/>
    </w:p>
    <w:p w14:paraId="7B148550" w14:textId="1AA08C15" w:rsidR="00FB4BB1" w:rsidRPr="00FB4BB1" w:rsidRDefault="00CA7ACA" w:rsidP="00CA7ACA">
      <w:pPr>
        <w:rPr>
          <w:lang w:val="en-US"/>
        </w:rPr>
      </w:pPr>
      <w:r w:rsidRPr="00CA7ACA">
        <w:rPr>
          <w:lang w:val="en-US"/>
        </w:rPr>
        <w:t>The systems put in place in primary care in the NHS should clearly identify and follow up raised blood pressure readings detected in the community. Routine screening protocols and referral processes should be implemented in the community pharmacy. Local Governments and community groups should deliver culturally competent and accessible education and outreach programs on hypertension. Digital support needs to be provided in addition to other methods of support to minimise exclusion. Sustained blood-pressure control, referral completion, adherence, equity and implementation outcomes should be investigated in adults aged 30–50 years in the UK in the future.</w:t>
      </w:r>
    </w:p>
    <w:p w14:paraId="7FFE8CB8" w14:textId="77777777" w:rsidR="00514F89" w:rsidRPr="00F176D9" w:rsidRDefault="00514F89" w:rsidP="00514F89">
      <w:pPr>
        <w:spacing w:before="0" w:beforeAutospacing="0" w:after="160" w:afterAutospacing="0" w:line="259" w:lineRule="auto"/>
        <w:jc w:val="left"/>
        <w:rPr>
          <w:rFonts w:eastAsia="Times New Roman" w:cs="Arial"/>
          <w:b/>
          <w:sz w:val="32"/>
        </w:rPr>
      </w:pPr>
      <w:r w:rsidRPr="00F176D9">
        <w:rPr>
          <w:rFonts w:cs="Arial"/>
        </w:rPr>
        <w:br w:type="page"/>
      </w:r>
    </w:p>
    <w:p w14:paraId="63695D23" w14:textId="77777777" w:rsidR="00514F89" w:rsidRPr="00F176D9" w:rsidRDefault="00514F89" w:rsidP="00FB047F">
      <w:pPr>
        <w:pStyle w:val="Heading1"/>
      </w:pPr>
      <w:bookmarkStart w:id="109" w:name="_Toc234357600"/>
      <w:bookmarkStart w:id="110" w:name="_Toc237485214"/>
      <w:r w:rsidRPr="00F176D9">
        <w:lastRenderedPageBreak/>
        <w:t>References</w:t>
      </w:r>
      <w:bookmarkEnd w:id="109"/>
      <w:bookmarkEnd w:id="110"/>
      <w:r w:rsidRPr="00F176D9">
        <w:t xml:space="preserve"> </w:t>
      </w:r>
    </w:p>
    <w:p w14:paraId="77A97FD6" w14:textId="433C1D51" w:rsidR="00FB047F" w:rsidRPr="00FB047F" w:rsidRDefault="00FB047F" w:rsidP="00FB047F">
      <w:pPr>
        <w:rPr>
          <w:shd w:val="clear" w:color="auto" w:fill="FFFFFF"/>
          <w:lang w:val="en-US"/>
        </w:rPr>
      </w:pPr>
      <w:r w:rsidRPr="00FB047F">
        <w:rPr>
          <w:shd w:val="clear" w:color="auto" w:fill="FFFFFF"/>
          <w:lang w:val="en-US"/>
        </w:rPr>
        <w:t xml:space="preserve">Adzitey, S.P., Akimanimpaye, F. and Crowley, T. (2026) ‘Effectiveness of nurse-led hypertension self-management interventions: A mixed-methods systematic review and meta-analysis’, </w:t>
      </w:r>
      <w:r w:rsidRPr="00FB047F">
        <w:rPr>
          <w:i/>
          <w:iCs/>
          <w:shd w:val="clear" w:color="auto" w:fill="FFFFFF"/>
          <w:lang w:val="en-US"/>
        </w:rPr>
        <w:t>International Journal of Nursing Sciences</w:t>
      </w:r>
      <w:r w:rsidRPr="00FB047F">
        <w:rPr>
          <w:shd w:val="clear" w:color="auto" w:fill="FFFFFF"/>
          <w:lang w:val="en-US"/>
        </w:rPr>
        <w:t xml:space="preserve">, 13(2), pp. 217–225. doi: 10.1016/j.ijnss.2026.02.016. </w:t>
      </w:r>
    </w:p>
    <w:p w14:paraId="3C9A1DB8" w14:textId="23B5AD66" w:rsidR="00FB047F" w:rsidRPr="00FB047F" w:rsidRDefault="00FB047F" w:rsidP="00FB047F">
      <w:pPr>
        <w:rPr>
          <w:shd w:val="clear" w:color="auto" w:fill="FFFFFF"/>
          <w:lang w:val="en-US"/>
        </w:rPr>
      </w:pPr>
      <w:r w:rsidRPr="00FB047F">
        <w:rPr>
          <w:shd w:val="clear" w:color="auto" w:fill="FFFFFF"/>
          <w:lang w:val="en-US"/>
        </w:rPr>
        <w:t xml:space="preserve">Allemang, B., Sitter, K. and Dimitropoulos, G. (2022) ‘Pragmatism as a paradigm for patient-oriented research’, </w:t>
      </w:r>
      <w:r w:rsidRPr="00FB047F">
        <w:rPr>
          <w:i/>
          <w:iCs/>
          <w:shd w:val="clear" w:color="auto" w:fill="FFFFFF"/>
          <w:lang w:val="en-US"/>
        </w:rPr>
        <w:t>Health Expectations</w:t>
      </w:r>
      <w:r w:rsidRPr="00FB047F">
        <w:rPr>
          <w:shd w:val="clear" w:color="auto" w:fill="FFFFFF"/>
          <w:lang w:val="en-US"/>
        </w:rPr>
        <w:t xml:space="preserve">, 25(1), pp. 38–47. doi: 10.1111/hex.13384. </w:t>
      </w:r>
    </w:p>
    <w:p w14:paraId="7F72E1C0" w14:textId="1B16AEBB" w:rsidR="00FB047F" w:rsidRPr="00FB047F" w:rsidRDefault="00FB047F" w:rsidP="00FB047F">
      <w:pPr>
        <w:rPr>
          <w:shd w:val="clear" w:color="auto" w:fill="FFFFFF"/>
          <w:lang w:val="en-US"/>
        </w:rPr>
      </w:pPr>
      <w:r w:rsidRPr="00FB047F">
        <w:rPr>
          <w:shd w:val="clear" w:color="auto" w:fill="FFFFFF"/>
          <w:lang w:val="en-US"/>
        </w:rPr>
        <w:t xml:space="preserve">Ampofo, A.G., Khan, E. and Ibitoye, M.B. (2020) ‘Understanding the role of educational interventions on medication adherence in hypertension: A systematic review and meta-analysis’, </w:t>
      </w:r>
      <w:r w:rsidRPr="00FB047F">
        <w:rPr>
          <w:i/>
          <w:iCs/>
          <w:shd w:val="clear" w:color="auto" w:fill="FFFFFF"/>
          <w:lang w:val="en-US"/>
        </w:rPr>
        <w:t>Heart &amp; Lung</w:t>
      </w:r>
      <w:r w:rsidRPr="00FB047F">
        <w:rPr>
          <w:shd w:val="clear" w:color="auto" w:fill="FFFFFF"/>
          <w:lang w:val="en-US"/>
        </w:rPr>
        <w:t xml:space="preserve">, 49(5), pp. 537–547. doi: 10.1016/j.hrtlng.2020.02.039. </w:t>
      </w:r>
    </w:p>
    <w:p w14:paraId="754B6EA5" w14:textId="776D8F3D" w:rsidR="00FB047F" w:rsidRPr="00FB047F" w:rsidRDefault="00FB047F" w:rsidP="00FB047F">
      <w:pPr>
        <w:rPr>
          <w:shd w:val="clear" w:color="auto" w:fill="FFFFFF"/>
          <w:lang w:val="en-US"/>
        </w:rPr>
      </w:pPr>
      <w:r w:rsidRPr="00FB047F">
        <w:rPr>
          <w:shd w:val="clear" w:color="auto" w:fill="FFFFFF"/>
          <w:lang w:val="en-US"/>
        </w:rPr>
        <w:t xml:space="preserve">Argyris, A.A., Baker, D., Charnley, P., Howe, L., Lam, S.H.M., Lip, G.Y.H., Shantsila, E. and Shantsila, A. (2025) ‘Effect of digital messaging on blood pressure control in general practice: Observations from the BP@Home programme in Wirral area’, </w:t>
      </w:r>
      <w:r w:rsidRPr="00FB047F">
        <w:rPr>
          <w:i/>
          <w:iCs/>
          <w:shd w:val="clear" w:color="auto" w:fill="FFFFFF"/>
          <w:lang w:val="en-US"/>
        </w:rPr>
        <w:t>Journal of Human Hypertension</w:t>
      </w:r>
      <w:r w:rsidRPr="00FB047F">
        <w:rPr>
          <w:shd w:val="clear" w:color="auto" w:fill="FFFFFF"/>
          <w:lang w:val="en-US"/>
        </w:rPr>
        <w:t xml:space="preserve">, 39(11), pp. 770–776. doi: 10.1038/s41371-025-01072-y. </w:t>
      </w:r>
    </w:p>
    <w:p w14:paraId="69E09F5C" w14:textId="63F87852" w:rsidR="00FB047F" w:rsidRPr="00FB047F" w:rsidRDefault="00FB047F" w:rsidP="00FB047F">
      <w:pPr>
        <w:rPr>
          <w:shd w:val="clear" w:color="auto" w:fill="FFFFFF"/>
          <w:lang w:val="en-US"/>
        </w:rPr>
      </w:pPr>
      <w:r w:rsidRPr="00FB047F">
        <w:rPr>
          <w:shd w:val="clear" w:color="auto" w:fill="FFFFFF"/>
          <w:lang w:val="en-US"/>
        </w:rPr>
        <w:t xml:space="preserve">Azami-Aghdash, S., Joudyian, N., Jafari, S., Karami, S. and Rezapour, R. (2025) ‘Assessing community-based interventions effectiveness on hypertension prevention and control: A systematic review and meta-analysis’, </w:t>
      </w:r>
      <w:r w:rsidRPr="00FB047F">
        <w:rPr>
          <w:i/>
          <w:iCs/>
          <w:shd w:val="clear" w:color="auto" w:fill="FFFFFF"/>
          <w:lang w:val="en-US"/>
        </w:rPr>
        <w:t>BMC Public Health</w:t>
      </w:r>
      <w:r w:rsidRPr="00FB047F">
        <w:rPr>
          <w:shd w:val="clear" w:color="auto" w:fill="FFFFFF"/>
          <w:lang w:val="en-US"/>
        </w:rPr>
        <w:t xml:space="preserve">, 25, 3253. doi: 10.1186/s12889-025-24283-x. </w:t>
      </w:r>
    </w:p>
    <w:p w14:paraId="694E6A28" w14:textId="29ECE55B" w:rsidR="00FB047F" w:rsidRPr="00FB047F" w:rsidRDefault="00FB047F" w:rsidP="00FB047F">
      <w:pPr>
        <w:rPr>
          <w:shd w:val="clear" w:color="auto" w:fill="FFFFFF"/>
          <w:lang w:val="en-US"/>
        </w:rPr>
      </w:pPr>
      <w:r w:rsidRPr="00FB047F">
        <w:rPr>
          <w:shd w:val="clear" w:color="auto" w:fill="FFFFFF"/>
          <w:lang w:val="en-US"/>
        </w:rPr>
        <w:t xml:space="preserve">Barrett, R. and Hodgkinson, J. (2019) ‘Quality evaluation of community pharmacy blood pressure screening services: An English cross-sectional survey with geospatial analysis’, </w:t>
      </w:r>
      <w:r w:rsidRPr="00FB047F">
        <w:rPr>
          <w:i/>
          <w:iCs/>
          <w:shd w:val="clear" w:color="auto" w:fill="FFFFFF"/>
          <w:lang w:val="en-US"/>
        </w:rPr>
        <w:t>BMJ Open</w:t>
      </w:r>
      <w:r w:rsidRPr="00FB047F">
        <w:rPr>
          <w:shd w:val="clear" w:color="auto" w:fill="FFFFFF"/>
          <w:lang w:val="en-US"/>
        </w:rPr>
        <w:t xml:space="preserve">, 9, e032342. doi: 10.1136/bmjopen-2019-032342. </w:t>
      </w:r>
    </w:p>
    <w:p w14:paraId="004B634A" w14:textId="39E29099" w:rsidR="00FB047F" w:rsidRPr="00FB047F" w:rsidRDefault="00FB047F" w:rsidP="00FB047F">
      <w:pPr>
        <w:rPr>
          <w:shd w:val="clear" w:color="auto" w:fill="FFFFFF"/>
          <w:lang w:val="en-US"/>
        </w:rPr>
      </w:pPr>
      <w:r w:rsidRPr="00FB047F">
        <w:rPr>
          <w:shd w:val="clear" w:color="auto" w:fill="FFFFFF"/>
          <w:lang w:val="en-US"/>
        </w:rPr>
        <w:t xml:space="preserve">Boima, V., Doku, A., Agyekum, F., Tuglo, L.S. and Agyemang, C. (2024) ‘Effectiveness of digital health interventions on blood pressure control, lifestyle behaviours and adherence to medication in patients with hypertension in low-income and middle-income countries: A systematic review and meta-analysis of randomised controlled trials’, </w:t>
      </w:r>
      <w:r w:rsidRPr="00FB047F">
        <w:rPr>
          <w:i/>
          <w:iCs/>
          <w:shd w:val="clear" w:color="auto" w:fill="FFFFFF"/>
          <w:lang w:val="en-US"/>
        </w:rPr>
        <w:t>EClinicalMedicine</w:t>
      </w:r>
      <w:r w:rsidRPr="00FB047F">
        <w:rPr>
          <w:shd w:val="clear" w:color="auto" w:fill="FFFFFF"/>
          <w:lang w:val="en-US"/>
        </w:rPr>
        <w:t xml:space="preserve">, 69, 102432. doi: 10.1016/j.eclinm.2024.102432. </w:t>
      </w:r>
    </w:p>
    <w:p w14:paraId="672CD0CB" w14:textId="5FA66461" w:rsidR="00FB047F" w:rsidRPr="00FB047F" w:rsidRDefault="00FB047F" w:rsidP="00FB047F">
      <w:pPr>
        <w:rPr>
          <w:shd w:val="clear" w:color="auto" w:fill="FFFFFF"/>
          <w:lang w:val="en-US"/>
        </w:rPr>
      </w:pPr>
      <w:r w:rsidRPr="00FB047F">
        <w:rPr>
          <w:shd w:val="clear" w:color="auto" w:fill="FFFFFF"/>
          <w:lang w:val="en-US"/>
        </w:rPr>
        <w:t xml:space="preserve">Campbell, M., McKenzie, J.E., Sowden, A. et al. (2020) ‘Synthesis without meta-analysis (SWiM) in systematic reviews: Reporting guideline’, </w:t>
      </w:r>
      <w:r w:rsidRPr="00FB047F">
        <w:rPr>
          <w:i/>
          <w:iCs/>
          <w:shd w:val="clear" w:color="auto" w:fill="FFFFFF"/>
          <w:lang w:val="en-US"/>
        </w:rPr>
        <w:t>BMJ</w:t>
      </w:r>
      <w:r w:rsidRPr="00FB047F">
        <w:rPr>
          <w:shd w:val="clear" w:color="auto" w:fill="FFFFFF"/>
          <w:lang w:val="en-US"/>
        </w:rPr>
        <w:t xml:space="preserve">, 368, l6890. doi: 10.1136/bmj.l6890. </w:t>
      </w:r>
    </w:p>
    <w:p w14:paraId="3D52DD74" w14:textId="357D12B9" w:rsidR="00FB047F" w:rsidRPr="00FB047F" w:rsidRDefault="00FB047F" w:rsidP="00FB047F">
      <w:pPr>
        <w:rPr>
          <w:shd w:val="clear" w:color="auto" w:fill="FFFFFF"/>
          <w:lang w:val="en-US"/>
        </w:rPr>
      </w:pPr>
      <w:r w:rsidRPr="00FB047F">
        <w:rPr>
          <w:shd w:val="clear" w:color="auto" w:fill="FFFFFF"/>
          <w:lang w:val="en-US"/>
        </w:rPr>
        <w:lastRenderedPageBreak/>
        <w:t xml:space="preserve">Duley, R.S., Birdi, G.K., Bush, J., Shoaib, A., Taylor, C.J., Connolly, D. and Maidment, I. (2026) ‘Role of community pharmacy in the prevention of cardiovascular disease in minority ethnic groups in the UK including barriers and facilitators: A mixed-methods systematic review’, </w:t>
      </w:r>
      <w:r w:rsidRPr="00FB047F">
        <w:rPr>
          <w:i/>
          <w:iCs/>
          <w:shd w:val="clear" w:color="auto" w:fill="FFFFFF"/>
          <w:lang w:val="en-US"/>
        </w:rPr>
        <w:t>BMJ Open</w:t>
      </w:r>
      <w:r w:rsidRPr="00FB047F">
        <w:rPr>
          <w:shd w:val="clear" w:color="auto" w:fill="FFFFFF"/>
          <w:lang w:val="en-US"/>
        </w:rPr>
        <w:t xml:space="preserve">, 16, e115526. doi: 10.1136/bmjopen-2025-115526. </w:t>
      </w:r>
    </w:p>
    <w:p w14:paraId="2F068DF9" w14:textId="3F5EBE23" w:rsidR="00FB047F" w:rsidRPr="00FB047F" w:rsidRDefault="00FB047F" w:rsidP="00FB047F">
      <w:pPr>
        <w:rPr>
          <w:shd w:val="clear" w:color="auto" w:fill="FFFFFF"/>
          <w:lang w:val="en-US"/>
        </w:rPr>
      </w:pPr>
      <w:r w:rsidRPr="00FB047F">
        <w:rPr>
          <w:shd w:val="clear" w:color="auto" w:fill="FFFFFF"/>
          <w:lang w:val="en-US"/>
        </w:rPr>
        <w:t xml:space="preserve">Etminani, K., Tao Engström, A., Göransson, C. and Sant’Anna, A. (2020) ‘How behavior change strategies are used to design digital interventions to improve medication adherence and blood pressure among patients with hypertension: Systematic review’, </w:t>
      </w:r>
      <w:r w:rsidRPr="00FB047F">
        <w:rPr>
          <w:i/>
          <w:iCs/>
          <w:shd w:val="clear" w:color="auto" w:fill="FFFFFF"/>
          <w:lang w:val="en-US"/>
        </w:rPr>
        <w:t>Journal of Medical Internet Research</w:t>
      </w:r>
      <w:r w:rsidRPr="00FB047F">
        <w:rPr>
          <w:shd w:val="clear" w:color="auto" w:fill="FFFFFF"/>
          <w:lang w:val="en-US"/>
        </w:rPr>
        <w:t xml:space="preserve">, 22, e17201. doi: 10.2196/17201. </w:t>
      </w:r>
    </w:p>
    <w:p w14:paraId="29815357" w14:textId="70F7536E" w:rsidR="00FB047F" w:rsidRPr="00FB047F" w:rsidRDefault="00FB047F" w:rsidP="00FB047F">
      <w:pPr>
        <w:rPr>
          <w:shd w:val="clear" w:color="auto" w:fill="FFFFFF"/>
          <w:lang w:val="en-US"/>
        </w:rPr>
      </w:pPr>
      <w:r w:rsidRPr="00FB047F">
        <w:rPr>
          <w:shd w:val="clear" w:color="auto" w:fill="FFFFFF"/>
          <w:lang w:val="en-US"/>
        </w:rPr>
        <w:t xml:space="preserve">Hayavi-Haghighi, M.H., Gharibzade, A., Choobin, N. and Ansarifard, H. (2024) ‘Applications and outcomes of implementing telemedicine for hypertension management in COVID-19 pandemic: A systematic review’, </w:t>
      </w:r>
      <w:r w:rsidRPr="00FB047F">
        <w:rPr>
          <w:i/>
          <w:iCs/>
          <w:shd w:val="clear" w:color="auto" w:fill="FFFFFF"/>
          <w:lang w:val="en-US"/>
        </w:rPr>
        <w:t>PLOS ONE</w:t>
      </w:r>
      <w:r w:rsidRPr="00FB047F">
        <w:rPr>
          <w:shd w:val="clear" w:color="auto" w:fill="FFFFFF"/>
          <w:lang w:val="en-US"/>
        </w:rPr>
        <w:t xml:space="preserve">, 19(8), e0306347. doi: 10.1371/journal.pone.0306347. </w:t>
      </w:r>
    </w:p>
    <w:p w14:paraId="6166E7D3" w14:textId="6EB8AA66" w:rsidR="00FB047F" w:rsidRPr="00FB047F" w:rsidRDefault="00FB047F" w:rsidP="00FB047F">
      <w:pPr>
        <w:rPr>
          <w:shd w:val="clear" w:color="auto" w:fill="FFFFFF"/>
          <w:lang w:val="en-US"/>
        </w:rPr>
      </w:pPr>
      <w:r w:rsidRPr="00FB047F">
        <w:rPr>
          <w:shd w:val="clear" w:color="auto" w:fill="FFFFFF"/>
          <w:lang w:val="en-US"/>
        </w:rPr>
        <w:t xml:space="preserve">Hermansson-Borrebaeck, R., Fors, A., Bengtsson, U., Kjellgren, K., Calling, S. and Midlöv, P. (2025) ‘Self-efficacy in hypertension management using e-health technology: A randomized controlled trial in primary care’, </w:t>
      </w:r>
      <w:r w:rsidRPr="00FB047F">
        <w:rPr>
          <w:i/>
          <w:iCs/>
          <w:shd w:val="clear" w:color="auto" w:fill="FFFFFF"/>
          <w:lang w:val="en-US"/>
        </w:rPr>
        <w:t>Journal of Clinical Hypertension</w:t>
      </w:r>
      <w:r w:rsidRPr="00FB047F">
        <w:rPr>
          <w:shd w:val="clear" w:color="auto" w:fill="FFFFFF"/>
          <w:lang w:val="en-US"/>
        </w:rPr>
        <w:t xml:space="preserve">, 27(1). doi: 10.1111/jch.14981. </w:t>
      </w:r>
    </w:p>
    <w:p w14:paraId="43D884D6" w14:textId="6ABCD77E" w:rsidR="00FB047F" w:rsidRPr="00FB047F" w:rsidRDefault="00FB047F" w:rsidP="00FB047F">
      <w:pPr>
        <w:rPr>
          <w:shd w:val="clear" w:color="auto" w:fill="FFFFFF"/>
          <w:lang w:val="en-US"/>
        </w:rPr>
      </w:pPr>
      <w:r w:rsidRPr="00FB047F">
        <w:rPr>
          <w:shd w:val="clear" w:color="auto" w:fill="FFFFFF"/>
          <w:lang w:val="en-US"/>
        </w:rPr>
        <w:t xml:space="preserve">Hong, Q.N., Gonzalez-Reyes, A. and Pluye, P. (2018) ‘Improving the usefulness of a tool for appraising the quality of qualitative, quantitative and mixed methods studies, the Mixed Methods Appraisal Tool’, </w:t>
      </w:r>
      <w:r w:rsidRPr="00FB047F">
        <w:rPr>
          <w:i/>
          <w:iCs/>
          <w:shd w:val="clear" w:color="auto" w:fill="FFFFFF"/>
          <w:lang w:val="en-US"/>
        </w:rPr>
        <w:t>Journal of Evaluation in Clinical Practice</w:t>
      </w:r>
      <w:r w:rsidRPr="00FB047F">
        <w:rPr>
          <w:shd w:val="clear" w:color="auto" w:fill="FFFFFF"/>
          <w:lang w:val="en-US"/>
        </w:rPr>
        <w:t xml:space="preserve">, 24(3), pp. 459–467. doi: 10.1111/jep.12884. </w:t>
      </w:r>
    </w:p>
    <w:p w14:paraId="646CD0E5" w14:textId="07825769" w:rsidR="00FB047F" w:rsidRPr="00FB047F" w:rsidRDefault="00FB047F" w:rsidP="00FB047F">
      <w:pPr>
        <w:rPr>
          <w:shd w:val="clear" w:color="auto" w:fill="FFFFFF"/>
          <w:lang w:val="en-US"/>
        </w:rPr>
      </w:pPr>
      <w:r w:rsidRPr="00FB047F">
        <w:rPr>
          <w:shd w:val="clear" w:color="auto" w:fill="FFFFFF"/>
          <w:lang w:val="en-US"/>
        </w:rPr>
        <w:t xml:space="preserve">Jafar, T.H., Gandhi, M., de Silva, H.A. et al. (2020) ‘A community-based intervention for managing hypertension in rural South Asia’, </w:t>
      </w:r>
      <w:r w:rsidRPr="00FB047F">
        <w:rPr>
          <w:i/>
          <w:iCs/>
          <w:shd w:val="clear" w:color="auto" w:fill="FFFFFF"/>
          <w:lang w:val="en-US"/>
        </w:rPr>
        <w:t>New England Journal of Medicine</w:t>
      </w:r>
      <w:r w:rsidRPr="00FB047F">
        <w:rPr>
          <w:shd w:val="clear" w:color="auto" w:fill="FFFFFF"/>
          <w:lang w:val="en-US"/>
        </w:rPr>
        <w:t xml:space="preserve">, 382(8), pp. 717–726. doi: 10.1056/NEJMoa1911965. </w:t>
      </w:r>
    </w:p>
    <w:p w14:paraId="3D96C226" w14:textId="5CCFA6B0" w:rsidR="00FB047F" w:rsidRPr="00FB047F" w:rsidRDefault="00FB047F" w:rsidP="00FB047F">
      <w:pPr>
        <w:rPr>
          <w:shd w:val="clear" w:color="auto" w:fill="FFFFFF"/>
          <w:lang w:val="en-US"/>
        </w:rPr>
      </w:pPr>
      <w:r w:rsidRPr="00FB047F">
        <w:rPr>
          <w:shd w:val="clear" w:color="auto" w:fill="FFFFFF"/>
          <w:lang w:val="en-US"/>
        </w:rPr>
        <w:t xml:space="preserve">Johnson, K., Beradid, S., Brophy, J.M., Platt, R.W. and Renoux, C. (2024) ‘Impact of the COVID-19 pandemic on primary care for hypertension in the UK: A population-based cohort study’, </w:t>
      </w:r>
      <w:r w:rsidRPr="00FB047F">
        <w:rPr>
          <w:i/>
          <w:iCs/>
          <w:shd w:val="clear" w:color="auto" w:fill="FFFFFF"/>
          <w:lang w:val="en-US"/>
        </w:rPr>
        <w:t>BMJ Open</w:t>
      </w:r>
      <w:r w:rsidRPr="00FB047F">
        <w:rPr>
          <w:shd w:val="clear" w:color="auto" w:fill="FFFFFF"/>
          <w:lang w:val="en-US"/>
        </w:rPr>
        <w:t xml:space="preserve">, 14(12), e089834. doi: 10.1136/bmjopen-2024-089834. </w:t>
      </w:r>
    </w:p>
    <w:p w14:paraId="5BA3074A" w14:textId="30B043EF" w:rsidR="00FB047F" w:rsidRPr="00FB047F" w:rsidRDefault="00FB047F" w:rsidP="00FB047F">
      <w:pPr>
        <w:rPr>
          <w:shd w:val="clear" w:color="auto" w:fill="FFFFFF"/>
          <w:lang w:val="en-US"/>
        </w:rPr>
      </w:pPr>
      <w:r w:rsidRPr="00FB047F">
        <w:rPr>
          <w:shd w:val="clear" w:color="auto" w:fill="FFFFFF"/>
          <w:lang w:val="en-US"/>
        </w:rPr>
        <w:t xml:space="preserve">Kaihara, T., Intan-Goey, V., Scherrenberg, M. et al. (2022) ‘Automatic transmission of home blood pressure data can be effective in managing hypertension: A systematic review and meta-analysis’, </w:t>
      </w:r>
      <w:r w:rsidRPr="00FB047F">
        <w:rPr>
          <w:i/>
          <w:iCs/>
          <w:shd w:val="clear" w:color="auto" w:fill="FFFFFF"/>
          <w:lang w:val="en-US"/>
        </w:rPr>
        <w:t>European Heart Journal – Digital Health</w:t>
      </w:r>
      <w:r w:rsidRPr="00FB047F">
        <w:rPr>
          <w:shd w:val="clear" w:color="auto" w:fill="FFFFFF"/>
          <w:lang w:val="en-US"/>
        </w:rPr>
        <w:t xml:space="preserve">, 3(4), pp. 638–653. doi: 10.1093/ehjdh/ztac049. </w:t>
      </w:r>
    </w:p>
    <w:p w14:paraId="185B99C5" w14:textId="5BC8A8DA" w:rsidR="00FB047F" w:rsidRPr="00FB047F" w:rsidRDefault="00FB047F" w:rsidP="00FB047F">
      <w:pPr>
        <w:rPr>
          <w:shd w:val="clear" w:color="auto" w:fill="FFFFFF"/>
          <w:lang w:val="en-US"/>
        </w:rPr>
      </w:pPr>
      <w:r w:rsidRPr="00FB047F">
        <w:rPr>
          <w:shd w:val="clear" w:color="auto" w:fill="FFFFFF"/>
          <w:lang w:val="en-US"/>
        </w:rPr>
        <w:lastRenderedPageBreak/>
        <w:t xml:space="preserve">Katz, M.E., Mszar, R., Grimshaw, A.A., Gunderson, C.G., Onuma, O.K., Lu, Y. and Spatz, E.S. (2024) ‘Digital health interventions for hypertension management in US populations experiencing health disparities’, </w:t>
      </w:r>
      <w:r w:rsidRPr="00FB047F">
        <w:rPr>
          <w:i/>
          <w:iCs/>
          <w:shd w:val="clear" w:color="auto" w:fill="FFFFFF"/>
          <w:lang w:val="en-US"/>
        </w:rPr>
        <w:t>JAMA Network Open</w:t>
      </w:r>
      <w:r w:rsidRPr="00FB047F">
        <w:rPr>
          <w:shd w:val="clear" w:color="auto" w:fill="FFFFFF"/>
          <w:lang w:val="en-US"/>
        </w:rPr>
        <w:t xml:space="preserve">, 7(2), e2356070. doi: 10.1001/jamanetworkopen.2023.56070. </w:t>
      </w:r>
    </w:p>
    <w:p w14:paraId="0D26E606" w14:textId="64C6177A" w:rsidR="00FB047F" w:rsidRPr="00FB047F" w:rsidRDefault="00FB047F" w:rsidP="00FB047F">
      <w:pPr>
        <w:rPr>
          <w:shd w:val="clear" w:color="auto" w:fill="FFFFFF"/>
          <w:lang w:val="en-US"/>
        </w:rPr>
      </w:pPr>
      <w:r w:rsidRPr="00FB047F">
        <w:rPr>
          <w:shd w:val="clear" w:color="auto" w:fill="FFFFFF"/>
          <w:lang w:val="en-US"/>
        </w:rPr>
        <w:t xml:space="preserve">Kebebew, G.M., Diriba, D.C., Killackey, T., Owadally, T. and Parry, M. (2026) ‘Family-based interventions on self-management behaviours and blood pressure control in individuals with hypertension: A systematic review and meta-analysis’, </w:t>
      </w:r>
      <w:r w:rsidRPr="00FB047F">
        <w:rPr>
          <w:i/>
          <w:iCs/>
          <w:shd w:val="clear" w:color="auto" w:fill="FFFFFF"/>
          <w:lang w:val="en-US"/>
        </w:rPr>
        <w:t>BMC Public Health</w:t>
      </w:r>
      <w:r w:rsidRPr="00FB047F">
        <w:rPr>
          <w:shd w:val="clear" w:color="auto" w:fill="FFFFFF"/>
          <w:lang w:val="en-US"/>
        </w:rPr>
        <w:t xml:space="preserve">, 26, 1709. doi: 10.1186/s12889-026-27203-9. </w:t>
      </w:r>
    </w:p>
    <w:p w14:paraId="28532449" w14:textId="47C6B2C3" w:rsidR="00FB047F" w:rsidRPr="00FB047F" w:rsidRDefault="00FB047F" w:rsidP="00FB047F">
      <w:pPr>
        <w:rPr>
          <w:shd w:val="clear" w:color="auto" w:fill="FFFFFF"/>
          <w:lang w:val="en-US"/>
        </w:rPr>
      </w:pPr>
      <w:r w:rsidRPr="00FB047F">
        <w:rPr>
          <w:shd w:val="clear" w:color="auto" w:fill="FFFFFF"/>
          <w:lang w:val="en-US"/>
        </w:rPr>
        <w:t xml:space="preserve">Kimenai, D.M. et al. (2022) ‘Socioeconomic deprivation: An important, largely unrecognized risk factor in primary prevention of cardiovascular disease’, </w:t>
      </w:r>
      <w:r w:rsidRPr="00FB047F">
        <w:rPr>
          <w:i/>
          <w:iCs/>
          <w:shd w:val="clear" w:color="auto" w:fill="FFFFFF"/>
          <w:lang w:val="en-US"/>
        </w:rPr>
        <w:t>Circulation</w:t>
      </w:r>
      <w:r w:rsidRPr="00FB047F">
        <w:rPr>
          <w:shd w:val="clear" w:color="auto" w:fill="FFFFFF"/>
          <w:lang w:val="en-US"/>
        </w:rPr>
        <w:t xml:space="preserve">, 146(3), pp. 240–248. doi: 10.1161/CIRCULATIONAHA.122.060042. </w:t>
      </w:r>
    </w:p>
    <w:p w14:paraId="18A3CF87" w14:textId="2D7F85C6" w:rsidR="00FB047F" w:rsidRPr="00FB047F" w:rsidRDefault="00FB047F" w:rsidP="00FB047F">
      <w:pPr>
        <w:rPr>
          <w:shd w:val="clear" w:color="auto" w:fill="FFFFFF"/>
          <w:lang w:val="en-US"/>
        </w:rPr>
      </w:pPr>
      <w:r w:rsidRPr="00FB047F">
        <w:rPr>
          <w:shd w:val="clear" w:color="auto" w:fill="FFFFFF"/>
          <w:lang w:val="en-US"/>
        </w:rPr>
        <w:t xml:space="preserve">Li, R., Liang, N., Bu, F. and Hesketh, T. (2020) ‘The effectiveness of self-management of hypertension in adults using mobile health: Systematic review and meta-analysis’, </w:t>
      </w:r>
      <w:r w:rsidRPr="00FB047F">
        <w:rPr>
          <w:i/>
          <w:iCs/>
          <w:shd w:val="clear" w:color="auto" w:fill="FFFFFF"/>
          <w:lang w:val="en-US"/>
        </w:rPr>
        <w:t>JMIR mHealth and uHealth</w:t>
      </w:r>
      <w:r w:rsidRPr="00FB047F">
        <w:rPr>
          <w:shd w:val="clear" w:color="auto" w:fill="FFFFFF"/>
          <w:lang w:val="en-US"/>
        </w:rPr>
        <w:t xml:space="preserve">, 8, e17776. doi: 10.2196/17776. </w:t>
      </w:r>
    </w:p>
    <w:p w14:paraId="5F5D1AB3" w14:textId="739B8D0E" w:rsidR="00FB047F" w:rsidRPr="00FB047F" w:rsidRDefault="00FB047F" w:rsidP="00FB047F">
      <w:pPr>
        <w:rPr>
          <w:shd w:val="clear" w:color="auto" w:fill="FFFFFF"/>
          <w:lang w:val="en-US"/>
        </w:rPr>
      </w:pPr>
      <w:r w:rsidRPr="00FB047F">
        <w:rPr>
          <w:shd w:val="clear" w:color="auto" w:fill="FFFFFF"/>
          <w:lang w:val="en-US"/>
        </w:rPr>
        <w:t xml:space="preserve">McCabe, C., Connolly, L., Hughes, M. et al. (2026) ‘Impact of digital health interventions on medication adherence: A systematic review and meta-analysis’, </w:t>
      </w:r>
      <w:r w:rsidRPr="00FB047F">
        <w:rPr>
          <w:i/>
          <w:iCs/>
          <w:shd w:val="clear" w:color="auto" w:fill="FFFFFF"/>
          <w:lang w:val="en-US"/>
        </w:rPr>
        <w:t>Digital Health</w:t>
      </w:r>
      <w:r w:rsidRPr="00FB047F">
        <w:rPr>
          <w:shd w:val="clear" w:color="auto" w:fill="FFFFFF"/>
          <w:lang w:val="en-US"/>
        </w:rPr>
        <w:t xml:space="preserve">, 12, 20552076251361593. doi: 10.1177/20552076251361593. </w:t>
      </w:r>
    </w:p>
    <w:p w14:paraId="11D628C3" w14:textId="12E80385" w:rsidR="00FB047F" w:rsidRPr="00FB047F" w:rsidRDefault="00FB047F" w:rsidP="00FB047F">
      <w:pPr>
        <w:rPr>
          <w:shd w:val="clear" w:color="auto" w:fill="FFFFFF"/>
          <w:lang w:val="en-US"/>
        </w:rPr>
      </w:pPr>
      <w:r w:rsidRPr="00FB047F">
        <w:rPr>
          <w:shd w:val="clear" w:color="auto" w:fill="FFFFFF"/>
          <w:lang w:val="en-US"/>
        </w:rPr>
        <w:t xml:space="preserve">McDonagh, S.T.J., Reburn, C., Smith, J.R. and Clark, C.E. (2025) ‘Group-delivered interventions for lowering blood pressure in hypertension: A systematic review and meta-analysis’, </w:t>
      </w:r>
      <w:r w:rsidRPr="00FB047F">
        <w:rPr>
          <w:i/>
          <w:iCs/>
          <w:shd w:val="clear" w:color="auto" w:fill="FFFFFF"/>
          <w:lang w:val="en-US"/>
        </w:rPr>
        <w:t>British Journal of General Practice</w:t>
      </w:r>
      <w:r w:rsidRPr="00FB047F">
        <w:rPr>
          <w:shd w:val="clear" w:color="auto" w:fill="FFFFFF"/>
          <w:lang w:val="en-US"/>
        </w:rPr>
        <w:t xml:space="preserve">, 75(753), pp. e266–e276. doi: 10.3399/BJGP.2023.0585. </w:t>
      </w:r>
    </w:p>
    <w:p w14:paraId="5FE66B3F" w14:textId="7EFBDE60" w:rsidR="00FB047F" w:rsidRPr="00FB047F" w:rsidRDefault="00FB047F" w:rsidP="00FB047F">
      <w:pPr>
        <w:rPr>
          <w:shd w:val="clear" w:color="auto" w:fill="FFFFFF"/>
          <w:lang w:val="en-US"/>
        </w:rPr>
      </w:pPr>
      <w:r w:rsidRPr="00FB047F">
        <w:rPr>
          <w:shd w:val="clear" w:color="auto" w:fill="FFFFFF"/>
          <w:lang w:val="en-US"/>
        </w:rPr>
        <w:t xml:space="preserve">McEvoy, J.W. et al. (2024) ‘2024 ESC Guidelines for the management of elevated blood pressure and hypertension’, </w:t>
      </w:r>
      <w:r w:rsidRPr="00FB047F">
        <w:rPr>
          <w:i/>
          <w:iCs/>
          <w:shd w:val="clear" w:color="auto" w:fill="FFFFFF"/>
          <w:lang w:val="en-US"/>
        </w:rPr>
        <w:t>European Heart Journal</w:t>
      </w:r>
      <w:r w:rsidRPr="00FB047F">
        <w:rPr>
          <w:shd w:val="clear" w:color="auto" w:fill="FFFFFF"/>
          <w:lang w:val="en-US"/>
        </w:rPr>
        <w:t xml:space="preserve">, 45(38), pp. 3912–4018. doi: 10.1093/eurheartj/ehae178. </w:t>
      </w:r>
    </w:p>
    <w:p w14:paraId="25AD48BF" w14:textId="2D78040A" w:rsidR="00FB047F" w:rsidRPr="00FB047F" w:rsidRDefault="00FB047F" w:rsidP="00FB047F">
      <w:pPr>
        <w:rPr>
          <w:shd w:val="clear" w:color="auto" w:fill="FFFFFF"/>
          <w:lang w:val="en-US"/>
        </w:rPr>
      </w:pPr>
      <w:r w:rsidRPr="00FB047F">
        <w:rPr>
          <w:shd w:val="clear" w:color="auto" w:fill="FFFFFF"/>
          <w:lang w:val="en-US"/>
        </w:rPr>
        <w:t xml:space="preserve">McManus, R.J. et al. (2021) ‘Home and Online Management and Evaluation of Blood Pressure (HOME BP) using a digital intervention in poorly controlled hypertension: Randomised controlled trial’, </w:t>
      </w:r>
      <w:r w:rsidRPr="00FB047F">
        <w:rPr>
          <w:i/>
          <w:iCs/>
          <w:shd w:val="clear" w:color="auto" w:fill="FFFFFF"/>
          <w:lang w:val="en-US"/>
        </w:rPr>
        <w:t>BMJ</w:t>
      </w:r>
      <w:r w:rsidRPr="00FB047F">
        <w:rPr>
          <w:shd w:val="clear" w:color="auto" w:fill="FFFFFF"/>
          <w:lang w:val="en-US"/>
        </w:rPr>
        <w:t xml:space="preserve">, 372, m4858. doi: 10.1136/bmj.m4858. </w:t>
      </w:r>
    </w:p>
    <w:p w14:paraId="03CCA0B5" w14:textId="4F1902CB" w:rsidR="00FB047F" w:rsidRPr="00FB047F" w:rsidRDefault="00FB047F" w:rsidP="00FB047F">
      <w:pPr>
        <w:rPr>
          <w:shd w:val="clear" w:color="auto" w:fill="FFFFFF"/>
          <w:lang w:val="en-US"/>
        </w:rPr>
      </w:pPr>
      <w:r w:rsidRPr="00FB047F">
        <w:rPr>
          <w:shd w:val="clear" w:color="auto" w:fill="FFFFFF"/>
          <w:lang w:val="en-US"/>
        </w:rPr>
        <w:lastRenderedPageBreak/>
        <w:t xml:space="preserve">Motta-Yanac, E., Riley, V., Ellis, N.J., Mankoo, A. and Gidlow, C.J. (2026) ‘Barriers and facilitators to digital health tool adoption for hypertension management: Systematic review of qualitative studies’, </w:t>
      </w:r>
      <w:r w:rsidRPr="00FB047F">
        <w:rPr>
          <w:i/>
          <w:iCs/>
          <w:shd w:val="clear" w:color="auto" w:fill="FFFFFF"/>
          <w:lang w:val="en-US"/>
        </w:rPr>
        <w:t>BMJ Open</w:t>
      </w:r>
      <w:r w:rsidRPr="00FB047F">
        <w:rPr>
          <w:shd w:val="clear" w:color="auto" w:fill="FFFFFF"/>
          <w:lang w:val="en-US"/>
        </w:rPr>
        <w:t xml:space="preserve">, 16, e116004. doi: 10.1136/bmjopen-2025-116004. </w:t>
      </w:r>
    </w:p>
    <w:p w14:paraId="5C3DE0A5" w14:textId="50DC2E7F" w:rsidR="00FB047F" w:rsidRPr="00FB047F" w:rsidRDefault="00FB047F" w:rsidP="00FB047F">
      <w:pPr>
        <w:rPr>
          <w:shd w:val="clear" w:color="auto" w:fill="FFFFFF"/>
          <w:lang w:val="en-US"/>
        </w:rPr>
      </w:pPr>
      <w:r w:rsidRPr="00FB047F">
        <w:rPr>
          <w:shd w:val="clear" w:color="auto" w:fill="FFFFFF"/>
          <w:lang w:val="en-US"/>
        </w:rPr>
        <w:t xml:space="preserve">NCD Risk Factor Collaboration (NCD-RisC) (2021) ‘Worldwide trends in hypertension prevalence and progress in treatment and control from 1990 to 2019’, </w:t>
      </w:r>
      <w:r w:rsidRPr="00FB047F">
        <w:rPr>
          <w:i/>
          <w:iCs/>
          <w:shd w:val="clear" w:color="auto" w:fill="FFFFFF"/>
          <w:lang w:val="en-US"/>
        </w:rPr>
        <w:t>The Lancet</w:t>
      </w:r>
      <w:r w:rsidRPr="00FB047F">
        <w:rPr>
          <w:shd w:val="clear" w:color="auto" w:fill="FFFFFF"/>
          <w:lang w:val="en-US"/>
        </w:rPr>
        <w:t xml:space="preserve">, 398(10304), pp. 957–980. doi: 10.1016/S0140-6736(21)01330-1. </w:t>
      </w:r>
    </w:p>
    <w:p w14:paraId="4CE0102E" w14:textId="18D8BA42" w:rsidR="00FB047F" w:rsidRPr="00FB047F" w:rsidRDefault="00FB047F" w:rsidP="00FB047F">
      <w:pPr>
        <w:rPr>
          <w:shd w:val="clear" w:color="auto" w:fill="FFFFFF"/>
          <w:lang w:val="en-US"/>
        </w:rPr>
      </w:pPr>
      <w:r w:rsidRPr="00FB047F">
        <w:rPr>
          <w:shd w:val="clear" w:color="auto" w:fill="FFFFFF"/>
          <w:lang w:val="en-US"/>
        </w:rPr>
        <w:t xml:space="preserve">Nyame, S. et al. (2024) ‘Community-based strategies to improve health-related outcomes in people living with hypertension in low- and middle-income countries: A systematic review and meta-analysis’, </w:t>
      </w:r>
      <w:r w:rsidRPr="00FB047F">
        <w:rPr>
          <w:i/>
          <w:iCs/>
          <w:shd w:val="clear" w:color="auto" w:fill="FFFFFF"/>
          <w:lang w:val="en-US"/>
        </w:rPr>
        <w:t>Global Heart</w:t>
      </w:r>
      <w:r w:rsidRPr="00FB047F">
        <w:rPr>
          <w:shd w:val="clear" w:color="auto" w:fill="FFFFFF"/>
          <w:lang w:val="en-US"/>
        </w:rPr>
        <w:t xml:space="preserve">, 19(1), 51. doi: 10.5334/gh.1329. </w:t>
      </w:r>
    </w:p>
    <w:p w14:paraId="4AD98050" w14:textId="7172CEB4" w:rsidR="00FB047F" w:rsidRPr="00FB047F" w:rsidRDefault="00FB047F" w:rsidP="00FB047F">
      <w:pPr>
        <w:rPr>
          <w:shd w:val="clear" w:color="auto" w:fill="FFFFFF"/>
          <w:lang w:val="en-US"/>
        </w:rPr>
      </w:pPr>
      <w:r w:rsidRPr="00FB047F">
        <w:rPr>
          <w:shd w:val="clear" w:color="auto" w:fill="FFFFFF"/>
          <w:lang w:val="en-US"/>
        </w:rPr>
        <w:t xml:space="preserve">Page, M.J. et al. (2021) ‘The PRISMA 2020 statement: An updated guideline for reporting systematic reviews’, </w:t>
      </w:r>
      <w:r w:rsidRPr="00FB047F">
        <w:rPr>
          <w:i/>
          <w:iCs/>
          <w:shd w:val="clear" w:color="auto" w:fill="FFFFFF"/>
          <w:lang w:val="en-US"/>
        </w:rPr>
        <w:t>BMJ</w:t>
      </w:r>
      <w:r w:rsidRPr="00FB047F">
        <w:rPr>
          <w:shd w:val="clear" w:color="auto" w:fill="FFFFFF"/>
          <w:lang w:val="en-US"/>
        </w:rPr>
        <w:t xml:space="preserve">, 372, n71. doi: 10.1136/bmj.n71. </w:t>
      </w:r>
    </w:p>
    <w:p w14:paraId="151C6178" w14:textId="48EFFD2B" w:rsidR="00FB047F" w:rsidRPr="00FB047F" w:rsidRDefault="00FB047F" w:rsidP="00FB047F">
      <w:pPr>
        <w:rPr>
          <w:shd w:val="clear" w:color="auto" w:fill="FFFFFF"/>
          <w:lang w:val="en-US"/>
        </w:rPr>
      </w:pPr>
      <w:r w:rsidRPr="00FB047F">
        <w:rPr>
          <w:shd w:val="clear" w:color="auto" w:fill="FFFFFF"/>
          <w:lang w:val="en-US"/>
        </w:rPr>
        <w:t xml:space="preserve">Pappaccogli, M. et al. (2019) ‘Assessment of a non-physician screening program for hypertension and cardiovascular risk in community pharmacies’, </w:t>
      </w:r>
      <w:r w:rsidRPr="00FB047F">
        <w:rPr>
          <w:i/>
          <w:iCs/>
          <w:shd w:val="clear" w:color="auto" w:fill="FFFFFF"/>
          <w:lang w:val="en-US"/>
        </w:rPr>
        <w:t>Nutrition, Metabolism and Cardiovascular Diseases</w:t>
      </w:r>
      <w:r w:rsidRPr="00FB047F">
        <w:rPr>
          <w:shd w:val="clear" w:color="auto" w:fill="FFFFFF"/>
          <w:lang w:val="en-US"/>
        </w:rPr>
        <w:t xml:space="preserve">, 29(12), pp. 1316–1322. doi: 10.1016/j.numecd.2019.07.009. </w:t>
      </w:r>
    </w:p>
    <w:p w14:paraId="7CD3FB5A" w14:textId="49EE3401" w:rsidR="00FB047F" w:rsidRPr="00FB047F" w:rsidRDefault="00FB047F" w:rsidP="00FB047F">
      <w:pPr>
        <w:rPr>
          <w:shd w:val="clear" w:color="auto" w:fill="FFFFFF"/>
          <w:lang w:val="en-US"/>
        </w:rPr>
      </w:pPr>
      <w:r w:rsidRPr="00FB047F">
        <w:rPr>
          <w:shd w:val="clear" w:color="auto" w:fill="FFFFFF"/>
          <w:lang w:val="en-US"/>
        </w:rPr>
        <w:t xml:space="preserve">Poulter, N.R. et al. (2026) ‘The role of community-based blood pressure screening in improving hypertension care’, </w:t>
      </w:r>
      <w:r w:rsidRPr="00FB047F">
        <w:rPr>
          <w:i/>
          <w:iCs/>
          <w:shd w:val="clear" w:color="auto" w:fill="FFFFFF"/>
          <w:lang w:val="en-US"/>
        </w:rPr>
        <w:t>The Lancet</w:t>
      </w:r>
      <w:r w:rsidRPr="00FB047F">
        <w:rPr>
          <w:shd w:val="clear" w:color="auto" w:fill="FFFFFF"/>
          <w:lang w:val="en-US"/>
        </w:rPr>
        <w:t xml:space="preserve">, 408, pp. 289–292. doi: 10.1016/S0140-6736(26)00379-X. </w:t>
      </w:r>
    </w:p>
    <w:p w14:paraId="6B5EA5D3" w14:textId="7D1ED528" w:rsidR="00FB047F" w:rsidRPr="00FB047F" w:rsidRDefault="00FB047F" w:rsidP="00FB047F">
      <w:pPr>
        <w:rPr>
          <w:shd w:val="clear" w:color="auto" w:fill="FFFFFF"/>
          <w:lang w:val="en-US"/>
        </w:rPr>
      </w:pPr>
      <w:r w:rsidRPr="00FB047F">
        <w:rPr>
          <w:shd w:val="clear" w:color="auto" w:fill="FFFFFF"/>
          <w:lang w:val="en-US"/>
        </w:rPr>
        <w:t xml:space="preserve">Rethlefsen, M.L. et al. (2021) ‘PRISMA-S: An extension to the PRISMA statement for reporting literature searches in systematic reviews’, </w:t>
      </w:r>
      <w:r w:rsidRPr="00FB047F">
        <w:rPr>
          <w:i/>
          <w:iCs/>
          <w:shd w:val="clear" w:color="auto" w:fill="FFFFFF"/>
          <w:lang w:val="en-US"/>
        </w:rPr>
        <w:t>Systematic Reviews</w:t>
      </w:r>
      <w:r w:rsidRPr="00FB047F">
        <w:rPr>
          <w:shd w:val="clear" w:color="auto" w:fill="FFFFFF"/>
          <w:lang w:val="en-US"/>
        </w:rPr>
        <w:t xml:space="preserve">, 10, 39. doi: 10.1186/s13643-020-01542-z. </w:t>
      </w:r>
    </w:p>
    <w:p w14:paraId="290C92DA" w14:textId="639DB7D2" w:rsidR="00FB047F" w:rsidRPr="00FB047F" w:rsidRDefault="00FB047F" w:rsidP="00FB047F">
      <w:pPr>
        <w:rPr>
          <w:shd w:val="clear" w:color="auto" w:fill="FFFFFF"/>
          <w:lang w:val="en-US"/>
        </w:rPr>
      </w:pPr>
      <w:r w:rsidRPr="00FB047F">
        <w:rPr>
          <w:shd w:val="clear" w:color="auto" w:fill="FFFFFF"/>
          <w:lang w:val="en-US"/>
        </w:rPr>
        <w:t xml:space="preserve">Rison, S. et al. (2023) ‘Inequities in hypertension management: Observational cross-sectional study in North East London using electronic health records’, </w:t>
      </w:r>
      <w:r w:rsidRPr="00FB047F">
        <w:rPr>
          <w:i/>
          <w:iCs/>
          <w:shd w:val="clear" w:color="auto" w:fill="FFFFFF"/>
          <w:lang w:val="en-US"/>
        </w:rPr>
        <w:t>British Journal of General Practice</w:t>
      </w:r>
      <w:r w:rsidRPr="00FB047F">
        <w:rPr>
          <w:shd w:val="clear" w:color="auto" w:fill="FFFFFF"/>
          <w:lang w:val="en-US"/>
        </w:rPr>
        <w:t xml:space="preserve">, 73(736), pp. e798–e806. doi: 10.3399/BJGP.2023.0077. </w:t>
      </w:r>
    </w:p>
    <w:p w14:paraId="626A9121" w14:textId="6F30424B" w:rsidR="00FB047F" w:rsidRPr="00FB047F" w:rsidRDefault="00FB047F" w:rsidP="00FB047F">
      <w:pPr>
        <w:rPr>
          <w:shd w:val="clear" w:color="auto" w:fill="FFFFFF"/>
          <w:lang w:val="en-US"/>
        </w:rPr>
      </w:pPr>
      <w:r w:rsidRPr="00FB047F">
        <w:rPr>
          <w:shd w:val="clear" w:color="auto" w:fill="FFFFFF"/>
          <w:lang w:val="en-US"/>
        </w:rPr>
        <w:t xml:space="preserve">Scholes, S., Conolly, A. and Mindell, J.S. (2020) ‘Income-based inequalities in hypertension and in undiagnosed hypertension: Analysis of Health Survey for England data’, </w:t>
      </w:r>
      <w:r w:rsidRPr="00FB047F">
        <w:rPr>
          <w:i/>
          <w:iCs/>
          <w:shd w:val="clear" w:color="auto" w:fill="FFFFFF"/>
          <w:lang w:val="en-US"/>
        </w:rPr>
        <w:t>Journal of Hypertension</w:t>
      </w:r>
      <w:r w:rsidRPr="00FB047F">
        <w:rPr>
          <w:shd w:val="clear" w:color="auto" w:fill="FFFFFF"/>
          <w:lang w:val="en-US"/>
        </w:rPr>
        <w:t xml:space="preserve">, 38(5), pp. 912–924. doi: 10.1097/HJH.0000000000002350. </w:t>
      </w:r>
    </w:p>
    <w:p w14:paraId="2D4E9A52" w14:textId="545AF17C" w:rsidR="00FB047F" w:rsidRPr="00FB047F" w:rsidRDefault="00FB047F" w:rsidP="00FB047F">
      <w:pPr>
        <w:rPr>
          <w:shd w:val="clear" w:color="auto" w:fill="FFFFFF"/>
          <w:lang w:val="en-US"/>
        </w:rPr>
      </w:pPr>
      <w:r w:rsidRPr="00FB047F">
        <w:rPr>
          <w:shd w:val="clear" w:color="auto" w:fill="FFFFFF"/>
          <w:lang w:val="en-US"/>
        </w:rPr>
        <w:t xml:space="preserve">Shea, B.J. et al. (2017) ‘AMSTAR 2: A critical appraisal tool for systematic reviews that include randomised or non-randomised studies of healthcare interventions, or both’, </w:t>
      </w:r>
      <w:r w:rsidRPr="00FB047F">
        <w:rPr>
          <w:i/>
          <w:iCs/>
          <w:shd w:val="clear" w:color="auto" w:fill="FFFFFF"/>
          <w:lang w:val="en-US"/>
        </w:rPr>
        <w:t>BMJ</w:t>
      </w:r>
      <w:r w:rsidRPr="00FB047F">
        <w:rPr>
          <w:shd w:val="clear" w:color="auto" w:fill="FFFFFF"/>
          <w:lang w:val="en-US"/>
        </w:rPr>
        <w:t xml:space="preserve">, 358, j4008. doi: 10.1136/bmj.j4008. </w:t>
      </w:r>
    </w:p>
    <w:p w14:paraId="3B8314E1" w14:textId="131A9B9C" w:rsidR="00FB047F" w:rsidRPr="00FB047F" w:rsidRDefault="00FB047F" w:rsidP="00FB047F">
      <w:pPr>
        <w:rPr>
          <w:shd w:val="clear" w:color="auto" w:fill="FFFFFF"/>
          <w:lang w:val="en-US"/>
        </w:rPr>
      </w:pPr>
      <w:r w:rsidRPr="00FB047F">
        <w:rPr>
          <w:shd w:val="clear" w:color="auto" w:fill="FFFFFF"/>
          <w:lang w:val="en-US"/>
        </w:rPr>
        <w:lastRenderedPageBreak/>
        <w:t xml:space="preserve">Shin, D., Choi, J. and Lee, H.Y. (2023) ‘Suboptimal control status of young hypertensive population’, </w:t>
      </w:r>
      <w:r w:rsidRPr="00FB047F">
        <w:rPr>
          <w:i/>
          <w:iCs/>
          <w:shd w:val="clear" w:color="auto" w:fill="FFFFFF"/>
          <w:lang w:val="en-US"/>
        </w:rPr>
        <w:t>Clinical Hypertension</w:t>
      </w:r>
      <w:r w:rsidRPr="00FB047F">
        <w:rPr>
          <w:shd w:val="clear" w:color="auto" w:fill="FFFFFF"/>
          <w:lang w:val="en-US"/>
        </w:rPr>
        <w:t xml:space="preserve">, 29, 13. doi: 10.1186/s40885-023-00237-6. </w:t>
      </w:r>
    </w:p>
    <w:p w14:paraId="2EC4D474" w14:textId="18B0DB6D" w:rsidR="00FB047F" w:rsidRPr="00FB047F" w:rsidRDefault="00FB047F" w:rsidP="00FB047F">
      <w:pPr>
        <w:rPr>
          <w:shd w:val="clear" w:color="auto" w:fill="FFFFFF"/>
          <w:lang w:val="en-US"/>
        </w:rPr>
      </w:pPr>
      <w:r w:rsidRPr="00FB047F">
        <w:rPr>
          <w:shd w:val="clear" w:color="auto" w:fill="FFFFFF"/>
          <w:lang w:val="en-US"/>
        </w:rPr>
        <w:t xml:space="preserve">Siddaway, A.P., Wood, A.M. and Hedges, L.V. (2019) ‘How to do a systematic review: A best practice guide for conducting and reporting narrative reviews, meta-analyses, and meta-syntheses’, </w:t>
      </w:r>
      <w:r w:rsidRPr="00FB047F">
        <w:rPr>
          <w:i/>
          <w:iCs/>
          <w:shd w:val="clear" w:color="auto" w:fill="FFFFFF"/>
          <w:lang w:val="en-US"/>
        </w:rPr>
        <w:t>Annual Review of Psychology</w:t>
      </w:r>
      <w:r w:rsidRPr="00FB047F">
        <w:rPr>
          <w:shd w:val="clear" w:color="auto" w:fill="FFFFFF"/>
          <w:lang w:val="en-US"/>
        </w:rPr>
        <w:t xml:space="preserve">, 70, pp. 747–770. doi: 10.1146/annurev-psych-010418-102803. </w:t>
      </w:r>
    </w:p>
    <w:p w14:paraId="50174260" w14:textId="1662E599" w:rsidR="00FB047F" w:rsidRPr="00FB047F" w:rsidRDefault="00FB047F" w:rsidP="00FB047F">
      <w:pPr>
        <w:rPr>
          <w:shd w:val="clear" w:color="auto" w:fill="FFFFFF"/>
          <w:lang w:val="en-US"/>
        </w:rPr>
      </w:pPr>
      <w:r w:rsidRPr="00FB047F">
        <w:rPr>
          <w:shd w:val="clear" w:color="auto" w:fill="FFFFFF"/>
          <w:lang w:val="en-US"/>
        </w:rPr>
        <w:t xml:space="preserve">Siopis, G. et al. (2023) ‘Effectiveness, reach, uptake, and feasibility of digital health interventions for adults with hypertension: A systematic review and meta-analysis of randomised controlled trials’, </w:t>
      </w:r>
      <w:r w:rsidRPr="00FB047F">
        <w:rPr>
          <w:i/>
          <w:iCs/>
          <w:shd w:val="clear" w:color="auto" w:fill="FFFFFF"/>
          <w:lang w:val="en-US"/>
        </w:rPr>
        <w:t>The Lancet Digital Health</w:t>
      </w:r>
      <w:r w:rsidRPr="00FB047F">
        <w:rPr>
          <w:shd w:val="clear" w:color="auto" w:fill="FFFFFF"/>
          <w:lang w:val="en-US"/>
        </w:rPr>
        <w:t xml:space="preserve">, 5(3), pp. e144–e159. doi: 10.1016/S2589-7500(23)00002-X. </w:t>
      </w:r>
    </w:p>
    <w:p w14:paraId="275A4DB8" w14:textId="43D55EB6" w:rsidR="00FB047F" w:rsidRPr="00FB047F" w:rsidRDefault="00FB047F" w:rsidP="00FB047F">
      <w:pPr>
        <w:rPr>
          <w:shd w:val="clear" w:color="auto" w:fill="FFFFFF"/>
          <w:lang w:val="en-US"/>
        </w:rPr>
      </w:pPr>
      <w:r w:rsidRPr="00FB047F">
        <w:rPr>
          <w:shd w:val="clear" w:color="auto" w:fill="FFFFFF"/>
          <w:lang w:val="en-US"/>
        </w:rPr>
        <w:t xml:space="preserve">Stephen, C., Halcomb, E., Fernandez, R., McInnes, S., Batterham, M. and Zwar, N. (2022) ‘Nurse-led interventions to manage hypertension in general practice: A systematic review and meta-analysis’, </w:t>
      </w:r>
      <w:r w:rsidRPr="00FB047F">
        <w:rPr>
          <w:i/>
          <w:iCs/>
          <w:shd w:val="clear" w:color="auto" w:fill="FFFFFF"/>
          <w:lang w:val="en-US"/>
        </w:rPr>
        <w:t>Journal of Advanced Nursing</w:t>
      </w:r>
      <w:r w:rsidRPr="00FB047F">
        <w:rPr>
          <w:shd w:val="clear" w:color="auto" w:fill="FFFFFF"/>
          <w:lang w:val="en-US"/>
        </w:rPr>
        <w:t xml:space="preserve">, 78(5), pp. 1281–1293. doi: 10.1111/jan.15159. </w:t>
      </w:r>
    </w:p>
    <w:p w14:paraId="4E645473" w14:textId="732481F5" w:rsidR="00FB047F" w:rsidRPr="00FB047F" w:rsidRDefault="00FB047F" w:rsidP="00FB047F">
      <w:pPr>
        <w:rPr>
          <w:shd w:val="clear" w:color="auto" w:fill="FFFFFF"/>
          <w:lang w:val="en-US"/>
        </w:rPr>
      </w:pPr>
      <w:r w:rsidRPr="00FB047F">
        <w:rPr>
          <w:shd w:val="clear" w:color="auto" w:fill="FFFFFF"/>
          <w:lang w:val="en-US"/>
        </w:rPr>
        <w:t xml:space="preserve">Tang, J. et al. (2026) ‘Integrating cardiovascular healthcare screening into a community pharmacy vaccination service: A scoping review’, </w:t>
      </w:r>
      <w:r w:rsidRPr="00FB047F">
        <w:rPr>
          <w:i/>
          <w:iCs/>
          <w:shd w:val="clear" w:color="auto" w:fill="FFFFFF"/>
          <w:lang w:val="en-US"/>
        </w:rPr>
        <w:t>BMJ Open</w:t>
      </w:r>
      <w:r w:rsidRPr="00FB047F">
        <w:rPr>
          <w:shd w:val="clear" w:color="auto" w:fill="FFFFFF"/>
          <w:lang w:val="en-US"/>
        </w:rPr>
        <w:t xml:space="preserve">, 16, e108381. doi: 10.1136/bmjopen-2025-108381. </w:t>
      </w:r>
    </w:p>
    <w:p w14:paraId="7A0899FD" w14:textId="74F8EF73" w:rsidR="00FB047F" w:rsidRPr="00FB047F" w:rsidRDefault="00FB047F" w:rsidP="00FB047F">
      <w:pPr>
        <w:rPr>
          <w:shd w:val="clear" w:color="auto" w:fill="FFFFFF"/>
          <w:lang w:val="en-US"/>
        </w:rPr>
      </w:pPr>
      <w:r w:rsidRPr="00FB047F">
        <w:rPr>
          <w:shd w:val="clear" w:color="auto" w:fill="FFFFFF"/>
          <w:lang w:val="en-US"/>
        </w:rPr>
        <w:t xml:space="preserve">Vella, M., Wirth, F., Camilleri, L. and Azzopardi, L.M. (2026) ‘Pharmacist-led ambulatory blood pressure monitoring in community pharmacy: An operational feasibility case series’, </w:t>
      </w:r>
      <w:r w:rsidRPr="00FB047F">
        <w:rPr>
          <w:i/>
          <w:iCs/>
          <w:shd w:val="clear" w:color="auto" w:fill="FFFFFF"/>
          <w:lang w:val="en-US"/>
        </w:rPr>
        <w:t>Turkish Journal of Pharmaceutical Sciences</w:t>
      </w:r>
      <w:r w:rsidRPr="00FB047F">
        <w:rPr>
          <w:shd w:val="clear" w:color="auto" w:fill="FFFFFF"/>
          <w:lang w:val="en-US"/>
        </w:rPr>
        <w:t xml:space="preserve">, 23(1), pp. 50–55. doi: 10.4274/tjps.galenos.2026.10506. </w:t>
      </w:r>
    </w:p>
    <w:p w14:paraId="3708736D" w14:textId="42B3B9B2" w:rsidR="00FB047F" w:rsidRPr="00FB047F" w:rsidRDefault="00FB047F" w:rsidP="00FB047F">
      <w:pPr>
        <w:rPr>
          <w:shd w:val="clear" w:color="auto" w:fill="FFFFFF"/>
          <w:lang w:val="en-US"/>
        </w:rPr>
      </w:pPr>
      <w:r w:rsidRPr="00FB047F">
        <w:rPr>
          <w:shd w:val="clear" w:color="auto" w:fill="FFFFFF"/>
          <w:lang w:val="en-US"/>
        </w:rPr>
        <w:t xml:space="preserve">Wiedemann, M. et al. (2024) ‘Impact of COVID-19 on recorded blood pressure screening and hypertension management in England: An analysis of monthly changes in Quality and Outcomes Framework indicators in OpenSAFELY’, </w:t>
      </w:r>
      <w:r w:rsidRPr="00FB047F">
        <w:rPr>
          <w:i/>
          <w:iCs/>
          <w:shd w:val="clear" w:color="auto" w:fill="FFFFFF"/>
          <w:lang w:val="en-US"/>
        </w:rPr>
        <w:t>Open Heart</w:t>
      </w:r>
      <w:r w:rsidRPr="00FB047F">
        <w:rPr>
          <w:shd w:val="clear" w:color="auto" w:fill="FFFFFF"/>
          <w:lang w:val="en-US"/>
        </w:rPr>
        <w:t xml:space="preserve">, 11, e002732. doi: 10.1136/openhrt-2024-002732. </w:t>
      </w:r>
    </w:p>
    <w:p w14:paraId="5A40E175" w14:textId="22E6FB72" w:rsidR="00FB047F" w:rsidRPr="00FB047F" w:rsidRDefault="00FB047F" w:rsidP="00FB047F">
      <w:pPr>
        <w:rPr>
          <w:shd w:val="clear" w:color="auto" w:fill="FFFFFF"/>
          <w:lang w:val="en-US"/>
        </w:rPr>
      </w:pPr>
      <w:r w:rsidRPr="00FB047F">
        <w:rPr>
          <w:shd w:val="clear" w:color="auto" w:fill="FFFFFF"/>
          <w:lang w:val="en-US"/>
        </w:rPr>
        <w:t xml:space="preserve">Wu, F., Moriarty, S., Toole, H. et al. (2026) ‘Enabling scale and spread of technology-enabled remote monitoring of blood pressure at home: Findings from a rapid qualitative evaluation’, </w:t>
      </w:r>
      <w:r w:rsidRPr="00FB047F">
        <w:rPr>
          <w:i/>
          <w:iCs/>
          <w:shd w:val="clear" w:color="auto" w:fill="FFFFFF"/>
          <w:lang w:val="en-US"/>
        </w:rPr>
        <w:t>NIHR Open Research</w:t>
      </w:r>
      <w:r w:rsidRPr="00FB047F">
        <w:rPr>
          <w:shd w:val="clear" w:color="auto" w:fill="FFFFFF"/>
          <w:lang w:val="en-US"/>
        </w:rPr>
        <w:t xml:space="preserve">, 5, 81. doi: 10.3310/nihropenres.14008.2. </w:t>
      </w:r>
    </w:p>
    <w:p w14:paraId="30AEEC84" w14:textId="77777777" w:rsidR="002B522B" w:rsidRDefault="00FB047F" w:rsidP="00FB047F">
      <w:pPr>
        <w:rPr>
          <w:shd w:val="clear" w:color="auto" w:fill="FFFFFF"/>
          <w:lang w:val="en-US"/>
        </w:rPr>
      </w:pPr>
      <w:r w:rsidRPr="00FB047F">
        <w:rPr>
          <w:shd w:val="clear" w:color="auto" w:fill="FFFFFF"/>
          <w:lang w:val="en-US"/>
        </w:rPr>
        <w:t>Yap, H.J., Lim, J.J.J., Tan, S.D. and Ang, C.S. (2024) ‘Effectiveness of digital health interventions on adherence and control of hypertension: A systematic review and meta-</w:t>
      </w:r>
      <w:r w:rsidRPr="00FB047F">
        <w:rPr>
          <w:shd w:val="clear" w:color="auto" w:fill="FFFFFF"/>
          <w:lang w:val="en-US"/>
        </w:rPr>
        <w:lastRenderedPageBreak/>
        <w:t xml:space="preserve">analysis’, </w:t>
      </w:r>
      <w:r w:rsidRPr="00FB047F">
        <w:rPr>
          <w:i/>
          <w:iCs/>
          <w:shd w:val="clear" w:color="auto" w:fill="FFFFFF"/>
          <w:lang w:val="en-US"/>
        </w:rPr>
        <w:t>Journal of Hypertension</w:t>
      </w:r>
      <w:r w:rsidRPr="00FB047F">
        <w:rPr>
          <w:shd w:val="clear" w:color="auto" w:fill="FFFFFF"/>
          <w:lang w:val="en-US"/>
        </w:rPr>
        <w:t xml:space="preserve">, 42(9), pp. 1490–1504. doi: 10.1097/HJH.0000000000003793. </w:t>
      </w:r>
    </w:p>
    <w:p w14:paraId="312D6B19" w14:textId="77777777" w:rsidR="002B522B" w:rsidRPr="002B522B" w:rsidRDefault="002B522B" w:rsidP="002B522B">
      <w:pPr>
        <w:rPr>
          <w:shd w:val="clear" w:color="auto" w:fill="FFFFFF"/>
          <w:lang w:val="en-US"/>
        </w:rPr>
      </w:pPr>
      <w:r w:rsidRPr="002B522B">
        <w:rPr>
          <w:shd w:val="clear" w:color="auto" w:fill="FFFFFF"/>
          <w:lang w:val="en-US"/>
        </w:rPr>
        <w:t>A’Court, C., Jenkins, W., Reidy, C. and Papoutsi, C. (2022). Patient-initiated cardiovascular monitoring with commercially available devices: How useful is it in a cardiology outpatient setting? Mixed methods, observational study. </w:t>
      </w:r>
      <w:r w:rsidRPr="002B522B">
        <w:rPr>
          <w:i/>
          <w:iCs/>
          <w:shd w:val="clear" w:color="auto" w:fill="FFFFFF"/>
          <w:lang w:val="en-US"/>
        </w:rPr>
        <w:t>BMC Cardiovascular Disorders</w:t>
      </w:r>
      <w:r w:rsidRPr="002B522B">
        <w:rPr>
          <w:shd w:val="clear" w:color="auto" w:fill="FFFFFF"/>
          <w:lang w:val="en-US"/>
        </w:rPr>
        <w:t>, 22(1). doi:10.1186/s12872-022-02860-x.</w:t>
      </w:r>
    </w:p>
    <w:p w14:paraId="36725B39" w14:textId="77777777" w:rsidR="002B522B" w:rsidRPr="002B522B" w:rsidRDefault="002B522B" w:rsidP="002B522B">
      <w:pPr>
        <w:rPr>
          <w:shd w:val="clear" w:color="auto" w:fill="FFFFFF"/>
          <w:lang w:val="en-US"/>
        </w:rPr>
      </w:pPr>
      <w:r w:rsidRPr="002B522B">
        <w:rPr>
          <w:shd w:val="clear" w:color="auto" w:fill="FFFFFF"/>
          <w:lang w:val="en-US"/>
        </w:rPr>
        <w:t>Marmot, M. (2020). Health equity in England: The marmot review 10 years on. </w:t>
      </w:r>
      <w:r w:rsidRPr="002B522B">
        <w:rPr>
          <w:i/>
          <w:iCs/>
          <w:shd w:val="clear" w:color="auto" w:fill="FFFFFF"/>
          <w:lang w:val="en-US"/>
        </w:rPr>
        <w:t>British Medical Journal</w:t>
      </w:r>
      <w:r w:rsidRPr="002B522B">
        <w:rPr>
          <w:shd w:val="clear" w:color="auto" w:fill="FFFFFF"/>
          <w:lang w:val="en-US"/>
        </w:rPr>
        <w:t>, 368(1). doi:https://doi.org/10.1136/bmj.m693.</w:t>
      </w:r>
    </w:p>
    <w:p w14:paraId="49476B0F" w14:textId="77777777" w:rsidR="002B522B" w:rsidRPr="002B522B" w:rsidRDefault="002B522B" w:rsidP="002B522B">
      <w:pPr>
        <w:rPr>
          <w:shd w:val="clear" w:color="auto" w:fill="FFFFFF"/>
          <w:lang w:val="en-US"/>
        </w:rPr>
      </w:pPr>
      <w:r w:rsidRPr="002B522B">
        <w:rPr>
          <w:shd w:val="clear" w:color="auto" w:fill="FFFFFF"/>
          <w:lang w:val="en-US"/>
        </w:rPr>
        <w:t xml:space="preserve">Campbell, M. et al. (2020) ‘Synthesis without meta-analysis (SWiM) in systematic reviews: reporting guideline’, </w:t>
      </w:r>
      <w:r w:rsidRPr="002B522B">
        <w:rPr>
          <w:i/>
          <w:iCs/>
          <w:shd w:val="clear" w:color="auto" w:fill="FFFFFF"/>
          <w:lang w:val="en-US"/>
        </w:rPr>
        <w:t>BMJ</w:t>
      </w:r>
      <w:r w:rsidRPr="002B522B">
        <w:rPr>
          <w:shd w:val="clear" w:color="auto" w:fill="FFFFFF"/>
          <w:lang w:val="en-US"/>
        </w:rPr>
        <w:t>, 368, l6890.</w:t>
      </w:r>
    </w:p>
    <w:p w14:paraId="53E302B4" w14:textId="77777777" w:rsidR="002B522B" w:rsidRPr="002B522B" w:rsidRDefault="002B522B" w:rsidP="002B522B">
      <w:pPr>
        <w:rPr>
          <w:shd w:val="clear" w:color="auto" w:fill="FFFFFF"/>
          <w:lang w:val="en-US"/>
        </w:rPr>
      </w:pPr>
      <w:r w:rsidRPr="002B522B">
        <w:rPr>
          <w:shd w:val="clear" w:color="auto" w:fill="FFFFFF"/>
          <w:lang w:val="en-US"/>
        </w:rPr>
        <w:t xml:space="preserve">Page, M.J. et al. (2021) ‘The PRISMA 2020 statement: an updated guideline for reporting systematic reviews’, </w:t>
      </w:r>
      <w:r w:rsidRPr="002B522B">
        <w:rPr>
          <w:i/>
          <w:iCs/>
          <w:shd w:val="clear" w:color="auto" w:fill="FFFFFF"/>
          <w:lang w:val="en-US"/>
        </w:rPr>
        <w:t>BMJ</w:t>
      </w:r>
      <w:r w:rsidRPr="002B522B">
        <w:rPr>
          <w:shd w:val="clear" w:color="auto" w:fill="FFFFFF"/>
          <w:lang w:val="en-US"/>
        </w:rPr>
        <w:t>, 372, n71.</w:t>
      </w:r>
    </w:p>
    <w:p w14:paraId="46EB8E94" w14:textId="77777777" w:rsidR="002B522B" w:rsidRPr="002B522B" w:rsidRDefault="002B522B" w:rsidP="002B522B">
      <w:pPr>
        <w:rPr>
          <w:shd w:val="clear" w:color="auto" w:fill="FFFFFF"/>
          <w:lang w:val="en-US"/>
        </w:rPr>
      </w:pPr>
      <w:r w:rsidRPr="002B522B">
        <w:rPr>
          <w:shd w:val="clear" w:color="auto" w:fill="FFFFFF"/>
          <w:lang w:val="en-US"/>
        </w:rPr>
        <w:t xml:space="preserve">Siddaway, A.P., Wood, A.M. and Hedges, L.V. (2019) ‘How to do a systematic review: A best practice guide for conducting and reporting narrative reviews, meta-analyses, and meta-syntheses’, </w:t>
      </w:r>
      <w:r w:rsidRPr="002B522B">
        <w:rPr>
          <w:i/>
          <w:iCs/>
          <w:shd w:val="clear" w:color="auto" w:fill="FFFFFF"/>
          <w:lang w:val="en-US"/>
        </w:rPr>
        <w:t>Annual Review of Psychology</w:t>
      </w:r>
      <w:r w:rsidRPr="002B522B">
        <w:rPr>
          <w:shd w:val="clear" w:color="auto" w:fill="FFFFFF"/>
          <w:lang w:val="en-US"/>
        </w:rPr>
        <w:t xml:space="preserve">, 70, pp. 747–770. </w:t>
      </w:r>
    </w:p>
    <w:p w14:paraId="15C0B697" w14:textId="4967DDA5" w:rsidR="00376A23" w:rsidRPr="00FB047F" w:rsidRDefault="00376A23" w:rsidP="00FB047F">
      <w:pPr>
        <w:rPr>
          <w:shd w:val="clear" w:color="auto" w:fill="FFFFFF"/>
          <w:lang w:val="en-US"/>
        </w:rPr>
      </w:pPr>
      <w:r w:rsidRPr="00FB047F">
        <w:rPr>
          <w:shd w:val="clear" w:color="auto" w:fill="FFFFFF"/>
          <w:lang w:val="en-US"/>
        </w:rPr>
        <w:br w:type="page"/>
      </w:r>
    </w:p>
    <w:p w14:paraId="3DF1F0FB" w14:textId="77777777" w:rsidR="00FB047F" w:rsidRPr="00FB047F" w:rsidRDefault="00FB047F" w:rsidP="00752ED3">
      <w:pPr>
        <w:pStyle w:val="Heading1"/>
        <w:rPr>
          <w:shd w:val="clear" w:color="auto" w:fill="FFFFFF"/>
        </w:rPr>
      </w:pPr>
      <w:bookmarkStart w:id="111" w:name="_Toc237485215"/>
      <w:r w:rsidRPr="00FB047F">
        <w:rPr>
          <w:shd w:val="clear" w:color="auto" w:fill="FFFFFF"/>
        </w:rPr>
        <w:lastRenderedPageBreak/>
        <w:t>List of Figures</w:t>
      </w:r>
      <w:bookmarkEnd w:id="111"/>
    </w:p>
    <w:tbl>
      <w:tblPr>
        <w:tblStyle w:val="TableGridLight"/>
        <w:tblW w:w="8995" w:type="dxa"/>
        <w:tblLook w:val="04A0" w:firstRow="1" w:lastRow="0" w:firstColumn="1" w:lastColumn="0" w:noHBand="0" w:noVBand="1"/>
      </w:tblPr>
      <w:tblGrid>
        <w:gridCol w:w="1236"/>
        <w:gridCol w:w="7759"/>
      </w:tblGrid>
      <w:tr w:rsidR="00FB047F" w:rsidRPr="00FB047F" w14:paraId="5009F2BC" w14:textId="77777777" w:rsidTr="00FB047F">
        <w:trPr>
          <w:trHeight w:val="367"/>
        </w:trPr>
        <w:tc>
          <w:tcPr>
            <w:tcW w:w="0" w:type="auto"/>
            <w:hideMark/>
          </w:tcPr>
          <w:p w14:paraId="05B69CB0" w14:textId="77777777" w:rsidR="00FB047F" w:rsidRPr="00FB047F" w:rsidRDefault="00FB047F" w:rsidP="00FB047F">
            <w:pPr>
              <w:rPr>
                <w:b/>
                <w:bCs/>
                <w:sz w:val="18"/>
                <w:szCs w:val="18"/>
                <w:shd w:val="clear" w:color="auto" w:fill="FFFFFF"/>
                <w:lang w:val="en-US"/>
              </w:rPr>
            </w:pPr>
            <w:r w:rsidRPr="00FB047F">
              <w:rPr>
                <w:b/>
                <w:bCs/>
                <w:sz w:val="18"/>
                <w:szCs w:val="18"/>
                <w:shd w:val="clear" w:color="auto" w:fill="FFFFFF"/>
                <w:lang w:val="en-US"/>
              </w:rPr>
              <w:t>Figure No.</w:t>
            </w:r>
          </w:p>
        </w:tc>
        <w:tc>
          <w:tcPr>
            <w:tcW w:w="0" w:type="auto"/>
            <w:hideMark/>
          </w:tcPr>
          <w:p w14:paraId="49A5B4B3" w14:textId="77777777" w:rsidR="00FB047F" w:rsidRPr="00FB047F" w:rsidRDefault="00FB047F" w:rsidP="00FB047F">
            <w:pPr>
              <w:rPr>
                <w:b/>
                <w:bCs/>
                <w:sz w:val="18"/>
                <w:szCs w:val="18"/>
                <w:shd w:val="clear" w:color="auto" w:fill="FFFFFF"/>
                <w:lang w:val="en-US"/>
              </w:rPr>
            </w:pPr>
            <w:r w:rsidRPr="00FB047F">
              <w:rPr>
                <w:b/>
                <w:bCs/>
                <w:sz w:val="18"/>
                <w:szCs w:val="18"/>
                <w:shd w:val="clear" w:color="auto" w:fill="FFFFFF"/>
                <w:lang w:val="en-US"/>
              </w:rPr>
              <w:t>Title</w:t>
            </w:r>
          </w:p>
        </w:tc>
      </w:tr>
      <w:tr w:rsidR="00FB047F" w:rsidRPr="00FB047F" w14:paraId="389C23EB" w14:textId="77777777" w:rsidTr="00FB047F">
        <w:trPr>
          <w:trHeight w:val="367"/>
        </w:trPr>
        <w:tc>
          <w:tcPr>
            <w:tcW w:w="0" w:type="auto"/>
            <w:hideMark/>
          </w:tcPr>
          <w:p w14:paraId="28B1FBD4"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Figure 2.1</w:t>
            </w:r>
          </w:p>
        </w:tc>
        <w:tc>
          <w:tcPr>
            <w:tcW w:w="0" w:type="auto"/>
            <w:hideMark/>
          </w:tcPr>
          <w:p w14:paraId="4F16AC36"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Integrated Conceptual Framework for Community-Based Hypertension Management</w:t>
            </w:r>
          </w:p>
        </w:tc>
      </w:tr>
      <w:tr w:rsidR="00FB047F" w:rsidRPr="00FB047F" w14:paraId="03B10D5C" w14:textId="77777777" w:rsidTr="00FB047F">
        <w:trPr>
          <w:trHeight w:val="367"/>
        </w:trPr>
        <w:tc>
          <w:tcPr>
            <w:tcW w:w="0" w:type="auto"/>
            <w:hideMark/>
          </w:tcPr>
          <w:p w14:paraId="591AADD6" w14:textId="1A33E43E" w:rsidR="00FB047F" w:rsidRPr="00FB047F" w:rsidRDefault="00FB047F" w:rsidP="00FB047F">
            <w:pPr>
              <w:rPr>
                <w:sz w:val="18"/>
                <w:szCs w:val="18"/>
                <w:shd w:val="clear" w:color="auto" w:fill="FFFFFF"/>
                <w:lang w:val="en-US"/>
              </w:rPr>
            </w:pPr>
            <w:r w:rsidRPr="00FB047F">
              <w:rPr>
                <w:sz w:val="18"/>
                <w:szCs w:val="18"/>
                <w:shd w:val="clear" w:color="auto" w:fill="FFFFFF"/>
                <w:lang w:val="en-US"/>
              </w:rPr>
              <w:t xml:space="preserve">Figure </w:t>
            </w:r>
            <w:r w:rsidR="00823E8A">
              <w:rPr>
                <w:sz w:val="18"/>
                <w:szCs w:val="18"/>
                <w:shd w:val="clear" w:color="auto" w:fill="FFFFFF"/>
                <w:lang w:val="en-US"/>
              </w:rPr>
              <w:t>3</w:t>
            </w:r>
            <w:r w:rsidRPr="00FB047F">
              <w:rPr>
                <w:sz w:val="18"/>
                <w:szCs w:val="18"/>
                <w:shd w:val="clear" w:color="auto" w:fill="FFFFFF"/>
                <w:lang w:val="en-US"/>
              </w:rPr>
              <w:t>.1</w:t>
            </w:r>
          </w:p>
        </w:tc>
        <w:tc>
          <w:tcPr>
            <w:tcW w:w="0" w:type="auto"/>
            <w:hideMark/>
          </w:tcPr>
          <w:p w14:paraId="6F8BBECF"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PRISMA Chart</w:t>
            </w:r>
          </w:p>
        </w:tc>
      </w:tr>
    </w:tbl>
    <w:p w14:paraId="24FF3D7E" w14:textId="77777777" w:rsidR="00FB047F" w:rsidRPr="00FB047F" w:rsidRDefault="00FB047F" w:rsidP="00752ED3">
      <w:pPr>
        <w:pStyle w:val="Heading1"/>
        <w:rPr>
          <w:shd w:val="clear" w:color="auto" w:fill="FFFFFF"/>
          <w:lang w:val="en-US"/>
        </w:rPr>
      </w:pPr>
      <w:bookmarkStart w:id="112" w:name="_Toc237485216"/>
      <w:r w:rsidRPr="00FB047F">
        <w:rPr>
          <w:shd w:val="clear" w:color="auto" w:fill="FFFFFF"/>
          <w:lang w:val="en-US"/>
        </w:rPr>
        <w:t>List of Tables</w:t>
      </w:r>
      <w:bookmarkEnd w:id="112"/>
    </w:p>
    <w:tbl>
      <w:tblPr>
        <w:tblStyle w:val="TableGridLight"/>
        <w:tblW w:w="8797" w:type="dxa"/>
        <w:tblLook w:val="04A0" w:firstRow="1" w:lastRow="0" w:firstColumn="1" w:lastColumn="0" w:noHBand="0" w:noVBand="1"/>
      </w:tblPr>
      <w:tblGrid>
        <w:gridCol w:w="1408"/>
        <w:gridCol w:w="7389"/>
      </w:tblGrid>
      <w:tr w:rsidR="00FB047F" w:rsidRPr="00FB047F" w14:paraId="774EFF62" w14:textId="77777777" w:rsidTr="00FB047F">
        <w:trPr>
          <w:trHeight w:val="337"/>
        </w:trPr>
        <w:tc>
          <w:tcPr>
            <w:tcW w:w="0" w:type="auto"/>
            <w:hideMark/>
          </w:tcPr>
          <w:p w14:paraId="6EE6E07D" w14:textId="77777777" w:rsidR="00FB047F" w:rsidRPr="00FB047F" w:rsidRDefault="00FB047F" w:rsidP="00FB047F">
            <w:pPr>
              <w:rPr>
                <w:b/>
                <w:bCs/>
                <w:sz w:val="18"/>
                <w:szCs w:val="18"/>
                <w:shd w:val="clear" w:color="auto" w:fill="FFFFFF"/>
                <w:lang w:val="en-US"/>
              </w:rPr>
            </w:pPr>
            <w:r w:rsidRPr="00FB047F">
              <w:rPr>
                <w:b/>
                <w:bCs/>
                <w:sz w:val="18"/>
                <w:szCs w:val="18"/>
                <w:shd w:val="clear" w:color="auto" w:fill="FFFFFF"/>
                <w:lang w:val="en-US"/>
              </w:rPr>
              <w:t>Table No.</w:t>
            </w:r>
          </w:p>
        </w:tc>
        <w:tc>
          <w:tcPr>
            <w:tcW w:w="0" w:type="auto"/>
            <w:hideMark/>
          </w:tcPr>
          <w:p w14:paraId="2A3F13D2" w14:textId="77777777" w:rsidR="00FB047F" w:rsidRPr="00FB047F" w:rsidRDefault="00FB047F" w:rsidP="00FB047F">
            <w:pPr>
              <w:rPr>
                <w:b/>
                <w:bCs/>
                <w:sz w:val="18"/>
                <w:szCs w:val="18"/>
                <w:shd w:val="clear" w:color="auto" w:fill="FFFFFF"/>
                <w:lang w:val="en-US"/>
              </w:rPr>
            </w:pPr>
            <w:r w:rsidRPr="00FB047F">
              <w:rPr>
                <w:b/>
                <w:bCs/>
                <w:sz w:val="18"/>
                <w:szCs w:val="18"/>
                <w:shd w:val="clear" w:color="auto" w:fill="FFFFFF"/>
                <w:lang w:val="en-US"/>
              </w:rPr>
              <w:t>Title</w:t>
            </w:r>
          </w:p>
        </w:tc>
      </w:tr>
      <w:tr w:rsidR="00FB047F" w:rsidRPr="00FB047F" w14:paraId="3D3BE750" w14:textId="77777777" w:rsidTr="00FB047F">
        <w:trPr>
          <w:trHeight w:val="346"/>
        </w:trPr>
        <w:tc>
          <w:tcPr>
            <w:tcW w:w="0" w:type="auto"/>
            <w:hideMark/>
          </w:tcPr>
          <w:p w14:paraId="2CA84279"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3.1</w:t>
            </w:r>
          </w:p>
        </w:tc>
        <w:tc>
          <w:tcPr>
            <w:tcW w:w="0" w:type="auto"/>
            <w:hideMark/>
          </w:tcPr>
          <w:p w14:paraId="4E0AD6C6"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PICO Framework and Review Application</w:t>
            </w:r>
          </w:p>
        </w:tc>
      </w:tr>
      <w:tr w:rsidR="00FB047F" w:rsidRPr="00FB047F" w14:paraId="6A080938" w14:textId="77777777" w:rsidTr="00FB047F">
        <w:trPr>
          <w:trHeight w:val="346"/>
        </w:trPr>
        <w:tc>
          <w:tcPr>
            <w:tcW w:w="0" w:type="auto"/>
            <w:hideMark/>
          </w:tcPr>
          <w:p w14:paraId="3E25B4A4"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3.2</w:t>
            </w:r>
          </w:p>
        </w:tc>
        <w:tc>
          <w:tcPr>
            <w:tcW w:w="0" w:type="auto"/>
            <w:hideMark/>
          </w:tcPr>
          <w:p w14:paraId="478FC37B"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Documented Database-Search Outcomes</w:t>
            </w:r>
          </w:p>
        </w:tc>
      </w:tr>
      <w:tr w:rsidR="00FB047F" w:rsidRPr="00FB047F" w14:paraId="29D51F2C" w14:textId="77777777" w:rsidTr="00FB047F">
        <w:trPr>
          <w:trHeight w:val="346"/>
        </w:trPr>
        <w:tc>
          <w:tcPr>
            <w:tcW w:w="0" w:type="auto"/>
            <w:hideMark/>
          </w:tcPr>
          <w:p w14:paraId="5156A50D"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3.3</w:t>
            </w:r>
          </w:p>
        </w:tc>
        <w:tc>
          <w:tcPr>
            <w:tcW w:w="0" w:type="auto"/>
            <w:hideMark/>
          </w:tcPr>
          <w:p w14:paraId="0406B94B"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Search Concepts and Indicative Terms</w:t>
            </w:r>
          </w:p>
        </w:tc>
      </w:tr>
      <w:tr w:rsidR="00FB047F" w:rsidRPr="00FB047F" w14:paraId="5EB7823E" w14:textId="77777777" w:rsidTr="00FB047F">
        <w:trPr>
          <w:trHeight w:val="346"/>
        </w:trPr>
        <w:tc>
          <w:tcPr>
            <w:tcW w:w="0" w:type="auto"/>
            <w:hideMark/>
          </w:tcPr>
          <w:p w14:paraId="701993DA"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3.4</w:t>
            </w:r>
          </w:p>
        </w:tc>
        <w:tc>
          <w:tcPr>
            <w:tcW w:w="0" w:type="auto"/>
            <w:hideMark/>
          </w:tcPr>
          <w:p w14:paraId="204A0D3B"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Inclusion and Exclusion Criteria</w:t>
            </w:r>
          </w:p>
        </w:tc>
      </w:tr>
      <w:tr w:rsidR="00FB047F" w:rsidRPr="00FB047F" w14:paraId="3D346F5D" w14:textId="77777777" w:rsidTr="00FB047F">
        <w:trPr>
          <w:trHeight w:val="346"/>
        </w:trPr>
        <w:tc>
          <w:tcPr>
            <w:tcW w:w="0" w:type="auto"/>
            <w:hideMark/>
          </w:tcPr>
          <w:p w14:paraId="410C7D62"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3.5</w:t>
            </w:r>
          </w:p>
        </w:tc>
        <w:tc>
          <w:tcPr>
            <w:tcW w:w="0" w:type="auto"/>
            <w:hideMark/>
          </w:tcPr>
          <w:p w14:paraId="1732F1EB"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PRISMA Calculations and Consistency Checks</w:t>
            </w:r>
          </w:p>
        </w:tc>
      </w:tr>
      <w:tr w:rsidR="00FB047F" w:rsidRPr="00FB047F" w14:paraId="77EC4433" w14:textId="77777777" w:rsidTr="00FB047F">
        <w:trPr>
          <w:trHeight w:val="346"/>
        </w:trPr>
        <w:tc>
          <w:tcPr>
            <w:tcW w:w="0" w:type="auto"/>
            <w:hideMark/>
          </w:tcPr>
          <w:p w14:paraId="1FA10E64"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3.6</w:t>
            </w:r>
          </w:p>
        </w:tc>
        <w:tc>
          <w:tcPr>
            <w:tcW w:w="0" w:type="auto"/>
            <w:hideMark/>
          </w:tcPr>
          <w:p w14:paraId="00B1D05F"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Design-Appropriate Quality-Appraisal Approach</w:t>
            </w:r>
          </w:p>
        </w:tc>
      </w:tr>
      <w:tr w:rsidR="00FB047F" w:rsidRPr="00FB047F" w14:paraId="398351F2" w14:textId="77777777" w:rsidTr="00FB047F">
        <w:trPr>
          <w:trHeight w:val="346"/>
        </w:trPr>
        <w:tc>
          <w:tcPr>
            <w:tcW w:w="0" w:type="auto"/>
            <w:hideMark/>
          </w:tcPr>
          <w:p w14:paraId="3E0140AE"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3.7</w:t>
            </w:r>
          </w:p>
        </w:tc>
        <w:tc>
          <w:tcPr>
            <w:tcW w:w="0" w:type="auto"/>
            <w:hideMark/>
          </w:tcPr>
          <w:p w14:paraId="511B1945"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Standardised Data-Extraction Framework</w:t>
            </w:r>
          </w:p>
        </w:tc>
      </w:tr>
      <w:tr w:rsidR="00FB047F" w:rsidRPr="00FB047F" w14:paraId="0272B59D" w14:textId="77777777" w:rsidTr="00FB047F">
        <w:trPr>
          <w:trHeight w:val="346"/>
        </w:trPr>
        <w:tc>
          <w:tcPr>
            <w:tcW w:w="0" w:type="auto"/>
            <w:hideMark/>
          </w:tcPr>
          <w:p w14:paraId="7DEB8F52"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Table 4.1</w:t>
            </w:r>
          </w:p>
        </w:tc>
        <w:tc>
          <w:tcPr>
            <w:tcW w:w="0" w:type="auto"/>
            <w:hideMark/>
          </w:tcPr>
          <w:p w14:paraId="50E637E5" w14:textId="77777777" w:rsidR="00FB047F" w:rsidRPr="00FB047F" w:rsidRDefault="00FB047F" w:rsidP="00FB047F">
            <w:pPr>
              <w:rPr>
                <w:sz w:val="18"/>
                <w:szCs w:val="18"/>
                <w:shd w:val="clear" w:color="auto" w:fill="FFFFFF"/>
                <w:lang w:val="en-US"/>
              </w:rPr>
            </w:pPr>
            <w:r w:rsidRPr="00FB047F">
              <w:rPr>
                <w:sz w:val="18"/>
                <w:szCs w:val="18"/>
                <w:shd w:val="clear" w:color="auto" w:fill="FFFFFF"/>
                <w:lang w:val="en-US"/>
              </w:rPr>
              <w:t>Characteristics of Included Studies and Data Extraction Themes</w:t>
            </w:r>
          </w:p>
        </w:tc>
      </w:tr>
    </w:tbl>
    <w:p w14:paraId="51473DD7" w14:textId="77777777" w:rsidR="00703C42" w:rsidRPr="00703C42" w:rsidRDefault="00703C42" w:rsidP="00FB047F">
      <w:pPr>
        <w:rPr>
          <w:shd w:val="clear" w:color="auto" w:fill="FFFFFF"/>
          <w:lang w:val="en-US"/>
        </w:rPr>
      </w:pPr>
    </w:p>
    <w:p w14:paraId="61723333" w14:textId="77777777" w:rsidR="00703C42" w:rsidRPr="00F176D9" w:rsidRDefault="00703C42" w:rsidP="00F21093">
      <w:pPr>
        <w:ind w:left="11"/>
        <w:rPr>
          <w:rFonts w:cs="Arial"/>
          <w:color w:val="222222"/>
          <w:szCs w:val="24"/>
          <w:shd w:val="clear" w:color="auto" w:fill="FFFFFF"/>
          <w:lang w:val="en-US"/>
        </w:rPr>
      </w:pPr>
    </w:p>
    <w:p w14:paraId="05927E96" w14:textId="77777777" w:rsidR="007D347B" w:rsidRPr="00F176D9" w:rsidRDefault="007D347B" w:rsidP="00F21093">
      <w:pPr>
        <w:ind w:left="11"/>
        <w:rPr>
          <w:rFonts w:cs="Arial"/>
          <w:color w:val="222222"/>
          <w:szCs w:val="24"/>
          <w:shd w:val="clear" w:color="auto" w:fill="FFFFFF"/>
          <w:lang w:val="en-US"/>
        </w:rPr>
      </w:pPr>
    </w:p>
    <w:p w14:paraId="1608B4A7" w14:textId="77777777" w:rsidR="004E2A55" w:rsidRPr="00F176D9" w:rsidRDefault="004E2A55" w:rsidP="00363DE0">
      <w:pPr>
        <w:ind w:left="11"/>
        <w:rPr>
          <w:rFonts w:cs="Arial"/>
          <w:shd w:val="clear" w:color="auto" w:fill="FFFFFF"/>
          <w:lang w:val="en-US"/>
        </w:rPr>
      </w:pPr>
    </w:p>
    <w:p w14:paraId="5B3F014C" w14:textId="77777777" w:rsidR="005B6D8B" w:rsidRPr="00F176D9" w:rsidRDefault="005B6D8B" w:rsidP="00514F89">
      <w:pPr>
        <w:spacing w:before="0" w:beforeAutospacing="0" w:after="240" w:afterAutospacing="0"/>
        <w:ind w:left="720" w:hanging="720"/>
        <w:jc w:val="left"/>
        <w:rPr>
          <w:rFonts w:eastAsia="Times New Roman" w:cs="Arial"/>
          <w:kern w:val="0"/>
          <w:szCs w:val="24"/>
          <w:lang w:eastAsia="en-GB"/>
          <w14:ligatures w14:val="none"/>
        </w:rPr>
      </w:pPr>
    </w:p>
    <w:sectPr w:rsidR="005B6D8B" w:rsidRPr="00F176D9" w:rsidSect="00C463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14269" w14:textId="77777777" w:rsidR="00BF1AF2" w:rsidRDefault="00BF1AF2" w:rsidP="00DE22F3">
      <w:pPr>
        <w:spacing w:before="0" w:after="0" w:line="240" w:lineRule="auto"/>
      </w:pPr>
      <w:r>
        <w:separator/>
      </w:r>
    </w:p>
  </w:endnote>
  <w:endnote w:type="continuationSeparator" w:id="0">
    <w:p w14:paraId="40FF6911" w14:textId="77777777" w:rsidR="00BF1AF2" w:rsidRDefault="00BF1AF2" w:rsidP="00DE22F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ED0E8" w14:textId="77777777" w:rsidR="00CD082B" w:rsidRDefault="00CD082B">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183110FA" w14:textId="77777777" w:rsidR="00CD082B" w:rsidRDefault="00CD082B">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849273"/>
      <w:docPartObj>
        <w:docPartGallery w:val="Page Numbers (Bottom of Page)"/>
        <w:docPartUnique/>
      </w:docPartObj>
    </w:sdtPr>
    <w:sdtEndPr>
      <w:rPr>
        <w:color w:val="7F7F7F" w:themeColor="background1" w:themeShade="7F"/>
        <w:spacing w:val="60"/>
      </w:rPr>
    </w:sdtEndPr>
    <w:sdtContent>
      <w:p w14:paraId="16A0BEC0" w14:textId="77777777" w:rsidR="00CD082B" w:rsidRDefault="00CD082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35</w:t>
        </w:r>
        <w:r>
          <w:rPr>
            <w:noProof/>
          </w:rPr>
          <w:fldChar w:fldCharType="end"/>
        </w:r>
        <w:r>
          <w:t xml:space="preserve"> | </w:t>
        </w:r>
        <w:r>
          <w:rPr>
            <w:color w:val="7F7F7F" w:themeColor="background1" w:themeShade="7F"/>
            <w:spacing w:val="60"/>
          </w:rPr>
          <w:t>Page</w:t>
        </w:r>
      </w:p>
    </w:sdtContent>
  </w:sdt>
  <w:p w14:paraId="2FC27B55" w14:textId="77777777" w:rsidR="00CD082B" w:rsidRDefault="00CD082B">
    <w:pPr>
      <w:tabs>
        <w:tab w:val="center" w:pos="440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0C11A" w14:textId="77777777" w:rsidR="00CD082B" w:rsidRDefault="00CD082B">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21ACBD31" w14:textId="77777777" w:rsidR="00CD082B" w:rsidRDefault="00CD082B">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FCADE" w14:textId="77777777" w:rsidR="00631B6C" w:rsidRDefault="00631B6C">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316697C" w14:textId="77777777" w:rsidR="00631B6C" w:rsidRDefault="00631B6C">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437395"/>
      <w:docPartObj>
        <w:docPartGallery w:val="Page Numbers (Bottom of Page)"/>
        <w:docPartUnique/>
      </w:docPartObj>
    </w:sdtPr>
    <w:sdtEndPr>
      <w:rPr>
        <w:color w:val="7F7F7F" w:themeColor="background1" w:themeShade="7F"/>
        <w:spacing w:val="60"/>
      </w:rPr>
    </w:sdtEndPr>
    <w:sdtContent>
      <w:p w14:paraId="191C0F15" w14:textId="77448229" w:rsidR="00631B6C" w:rsidRDefault="00631B6C">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7652">
          <w:rPr>
            <w:noProof/>
          </w:rPr>
          <w:t>35</w:t>
        </w:r>
        <w:r>
          <w:rPr>
            <w:noProof/>
          </w:rPr>
          <w:fldChar w:fldCharType="end"/>
        </w:r>
        <w:r>
          <w:t xml:space="preserve"> | </w:t>
        </w:r>
        <w:r>
          <w:rPr>
            <w:color w:val="7F7F7F" w:themeColor="background1" w:themeShade="7F"/>
            <w:spacing w:val="60"/>
          </w:rPr>
          <w:t>Page</w:t>
        </w:r>
      </w:p>
    </w:sdtContent>
  </w:sdt>
  <w:p w14:paraId="288237F2" w14:textId="5B1A4027" w:rsidR="00631B6C" w:rsidRDefault="00631B6C">
    <w:pPr>
      <w:tabs>
        <w:tab w:val="center" w:pos="4405"/>
      </w:tabs>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49A01" w14:textId="77777777" w:rsidR="00631B6C" w:rsidRDefault="00631B6C">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374FCFD" w14:textId="77777777" w:rsidR="00631B6C" w:rsidRDefault="00631B6C">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1E5DD" w14:textId="77777777" w:rsidR="00BF1AF2" w:rsidRDefault="00BF1AF2" w:rsidP="00DE22F3">
      <w:pPr>
        <w:spacing w:before="0" w:after="0" w:line="240" w:lineRule="auto"/>
      </w:pPr>
      <w:r>
        <w:separator/>
      </w:r>
    </w:p>
  </w:footnote>
  <w:footnote w:type="continuationSeparator" w:id="0">
    <w:p w14:paraId="37F2D791" w14:textId="77777777" w:rsidR="00BF1AF2" w:rsidRDefault="00BF1AF2" w:rsidP="00DE22F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FF0183"/>
    <w:multiLevelType w:val="multilevel"/>
    <w:tmpl w:val="7FB25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505D70"/>
    <w:multiLevelType w:val="multilevel"/>
    <w:tmpl w:val="B1046148"/>
    <w:lvl w:ilvl="0">
      <w:start w:val="1"/>
      <w:numFmt w:val="decimal"/>
      <w:lvlText w:val="%1"/>
      <w:lvlJc w:val="left"/>
      <w:pPr>
        <w:ind w:left="471" w:hanging="471"/>
      </w:pPr>
      <w:rPr>
        <w:rFonts w:hint="default"/>
      </w:rPr>
    </w:lvl>
    <w:lvl w:ilvl="1">
      <w:start w:val="1"/>
      <w:numFmt w:val="decimal"/>
      <w:lvlText w:val="%1.%2"/>
      <w:lvlJc w:val="left"/>
      <w:pPr>
        <w:ind w:left="471" w:hanging="471"/>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9E7335"/>
    <w:multiLevelType w:val="hybridMultilevel"/>
    <w:tmpl w:val="10144FE6"/>
    <w:lvl w:ilvl="0" w:tplc="0409000F">
      <w:start w:val="1"/>
      <w:numFmt w:val="decimal"/>
      <w:lvlText w:val="%1."/>
      <w:lvlJc w:val="left"/>
      <w:pPr>
        <w:ind w:left="371" w:hanging="360"/>
      </w:pPr>
    </w:lvl>
    <w:lvl w:ilvl="1" w:tplc="04090019" w:tentative="1">
      <w:start w:val="1"/>
      <w:numFmt w:val="lowerLetter"/>
      <w:lvlText w:val="%2."/>
      <w:lvlJc w:val="left"/>
      <w:pPr>
        <w:ind w:left="109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4" w15:restartNumberingAfterBreak="0">
    <w:nsid w:val="37B67948"/>
    <w:multiLevelType w:val="multilevel"/>
    <w:tmpl w:val="3F283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E0A588A"/>
    <w:multiLevelType w:val="hybridMultilevel"/>
    <w:tmpl w:val="3586D8DC"/>
    <w:lvl w:ilvl="0" w:tplc="0409000F">
      <w:start w:val="1"/>
      <w:numFmt w:val="decimal"/>
      <w:lvlText w:val="%1."/>
      <w:lvlJc w:val="left"/>
      <w:pPr>
        <w:ind w:left="720" w:hanging="360"/>
      </w:pPr>
      <w:rPr>
        <w:rFonts w:hint="default"/>
      </w:rPr>
    </w:lvl>
    <w:lvl w:ilvl="1" w:tplc="F1BA2828">
      <w:numFmt w:val="bullet"/>
      <w:lvlText w:val=""/>
      <w:lvlJc w:val="left"/>
      <w:pPr>
        <w:ind w:left="1440" w:hanging="360"/>
      </w:pPr>
      <w:rPr>
        <w:rFonts w:ascii="Arial" w:eastAsiaTheme="minorEastAsia"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6E3C40"/>
    <w:multiLevelType w:val="multilevel"/>
    <w:tmpl w:val="3826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4C187CCA"/>
    <w:multiLevelType w:val="multilevel"/>
    <w:tmpl w:val="3366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865193"/>
    <w:multiLevelType w:val="hybridMultilevel"/>
    <w:tmpl w:val="9272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5C303F"/>
    <w:multiLevelType w:val="hybridMultilevel"/>
    <w:tmpl w:val="3E1E9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C255B4"/>
    <w:multiLevelType w:val="hybridMultilevel"/>
    <w:tmpl w:val="3C32A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C9410F"/>
    <w:multiLevelType w:val="hybridMultilevel"/>
    <w:tmpl w:val="AA6465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A18229A"/>
    <w:multiLevelType w:val="multilevel"/>
    <w:tmpl w:val="4CD02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564012"/>
    <w:multiLevelType w:val="hybridMultilevel"/>
    <w:tmpl w:val="542A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6C344C1C"/>
    <w:multiLevelType w:val="hybridMultilevel"/>
    <w:tmpl w:val="12A49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B530544"/>
    <w:multiLevelType w:val="hybridMultilevel"/>
    <w:tmpl w:val="4AA61546"/>
    <w:lvl w:ilvl="0" w:tplc="0409000F">
      <w:start w:val="1"/>
      <w:numFmt w:val="decimal"/>
      <w:lvlText w:val="%1."/>
      <w:lvlJc w:val="left"/>
      <w:pPr>
        <w:ind w:left="731" w:hanging="360"/>
      </w:pPr>
    </w:lvl>
    <w:lvl w:ilvl="1" w:tplc="04090019" w:tentative="1">
      <w:start w:val="1"/>
      <w:numFmt w:val="lowerLetter"/>
      <w:lvlText w:val="%2."/>
      <w:lvlJc w:val="left"/>
      <w:pPr>
        <w:ind w:left="1451" w:hanging="360"/>
      </w:pPr>
    </w:lvl>
    <w:lvl w:ilvl="2" w:tplc="0409001B" w:tentative="1">
      <w:start w:val="1"/>
      <w:numFmt w:val="lowerRoman"/>
      <w:lvlText w:val="%3."/>
      <w:lvlJc w:val="right"/>
      <w:pPr>
        <w:ind w:left="2171" w:hanging="180"/>
      </w:pPr>
    </w:lvl>
    <w:lvl w:ilvl="3" w:tplc="0409000F" w:tentative="1">
      <w:start w:val="1"/>
      <w:numFmt w:val="decimal"/>
      <w:lvlText w:val="%4."/>
      <w:lvlJc w:val="left"/>
      <w:pPr>
        <w:ind w:left="2891" w:hanging="360"/>
      </w:pPr>
    </w:lvl>
    <w:lvl w:ilvl="4" w:tplc="04090019" w:tentative="1">
      <w:start w:val="1"/>
      <w:numFmt w:val="lowerLetter"/>
      <w:lvlText w:val="%5."/>
      <w:lvlJc w:val="left"/>
      <w:pPr>
        <w:ind w:left="3611" w:hanging="360"/>
      </w:pPr>
    </w:lvl>
    <w:lvl w:ilvl="5" w:tplc="0409001B" w:tentative="1">
      <w:start w:val="1"/>
      <w:numFmt w:val="lowerRoman"/>
      <w:lvlText w:val="%6."/>
      <w:lvlJc w:val="right"/>
      <w:pPr>
        <w:ind w:left="4331" w:hanging="180"/>
      </w:pPr>
    </w:lvl>
    <w:lvl w:ilvl="6" w:tplc="0409000F" w:tentative="1">
      <w:start w:val="1"/>
      <w:numFmt w:val="decimal"/>
      <w:lvlText w:val="%7."/>
      <w:lvlJc w:val="left"/>
      <w:pPr>
        <w:ind w:left="5051" w:hanging="360"/>
      </w:pPr>
    </w:lvl>
    <w:lvl w:ilvl="7" w:tplc="04090019" w:tentative="1">
      <w:start w:val="1"/>
      <w:numFmt w:val="lowerLetter"/>
      <w:lvlText w:val="%8."/>
      <w:lvlJc w:val="left"/>
      <w:pPr>
        <w:ind w:left="5771" w:hanging="360"/>
      </w:pPr>
    </w:lvl>
    <w:lvl w:ilvl="8" w:tplc="0409001B" w:tentative="1">
      <w:start w:val="1"/>
      <w:numFmt w:val="lowerRoman"/>
      <w:lvlText w:val="%9."/>
      <w:lvlJc w:val="right"/>
      <w:pPr>
        <w:ind w:left="6491" w:hanging="180"/>
      </w:pPr>
    </w:lvl>
  </w:abstractNum>
  <w:abstractNum w:abstractNumId="23" w15:restartNumberingAfterBreak="0">
    <w:nsid w:val="7DE5009D"/>
    <w:multiLevelType w:val="multilevel"/>
    <w:tmpl w:val="47A02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4417543">
    <w:abstractNumId w:val="21"/>
  </w:num>
  <w:num w:numId="2" w16cid:durableId="1687824582">
    <w:abstractNumId w:val="0"/>
  </w:num>
  <w:num w:numId="3" w16cid:durableId="248199981">
    <w:abstractNumId w:val="15"/>
  </w:num>
  <w:num w:numId="4" w16cid:durableId="1348361160">
    <w:abstractNumId w:val="5"/>
  </w:num>
  <w:num w:numId="5" w16cid:durableId="911693236">
    <w:abstractNumId w:val="8"/>
  </w:num>
  <w:num w:numId="6" w16cid:durableId="2052798169">
    <w:abstractNumId w:val="18"/>
  </w:num>
  <w:num w:numId="7" w16cid:durableId="645085407">
    <w:abstractNumId w:val="19"/>
  </w:num>
  <w:num w:numId="8" w16cid:durableId="114369036">
    <w:abstractNumId w:val="9"/>
  </w:num>
  <w:num w:numId="9" w16cid:durableId="1119031454">
    <w:abstractNumId w:val="1"/>
  </w:num>
  <w:num w:numId="10" w16cid:durableId="1560020492">
    <w:abstractNumId w:val="11"/>
  </w:num>
  <w:num w:numId="11" w16cid:durableId="1663659802">
    <w:abstractNumId w:val="13"/>
  </w:num>
  <w:num w:numId="12" w16cid:durableId="618611707">
    <w:abstractNumId w:val="10"/>
  </w:num>
  <w:num w:numId="13" w16cid:durableId="829633929">
    <w:abstractNumId w:val="7"/>
  </w:num>
  <w:num w:numId="14" w16cid:durableId="1254124235">
    <w:abstractNumId w:val="16"/>
  </w:num>
  <w:num w:numId="15" w16cid:durableId="913585613">
    <w:abstractNumId w:val="17"/>
  </w:num>
  <w:num w:numId="16" w16cid:durableId="1583636185">
    <w:abstractNumId w:val="3"/>
  </w:num>
  <w:num w:numId="17" w16cid:durableId="1377899804">
    <w:abstractNumId w:val="22"/>
  </w:num>
  <w:num w:numId="18" w16cid:durableId="1156799080">
    <w:abstractNumId w:val="4"/>
  </w:num>
  <w:num w:numId="19" w16cid:durableId="187913686">
    <w:abstractNumId w:val="23"/>
  </w:num>
  <w:num w:numId="20" w16cid:durableId="2038850226">
    <w:abstractNumId w:val="12"/>
  </w:num>
  <w:num w:numId="21" w16cid:durableId="1754932021">
    <w:abstractNumId w:val="2"/>
  </w:num>
  <w:num w:numId="22" w16cid:durableId="738744476">
    <w:abstractNumId w:val="6"/>
  </w:num>
  <w:num w:numId="23" w16cid:durableId="1643118897">
    <w:abstractNumId w:val="14"/>
  </w:num>
  <w:num w:numId="24" w16cid:durableId="3819013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E2MjY0sTC1tDQzMzFR0lEKTi0uzszPAykwqQUA0jd2NSwAAAA="/>
  </w:docVars>
  <w:rsids>
    <w:rsidRoot w:val="00514F89"/>
    <w:rsid w:val="000047A2"/>
    <w:rsid w:val="00010DB2"/>
    <w:rsid w:val="000207B1"/>
    <w:rsid w:val="000438D7"/>
    <w:rsid w:val="00045426"/>
    <w:rsid w:val="00055122"/>
    <w:rsid w:val="0007330B"/>
    <w:rsid w:val="0008768C"/>
    <w:rsid w:val="000901D5"/>
    <w:rsid w:val="000A0347"/>
    <w:rsid w:val="000B5AB6"/>
    <w:rsid w:val="000C3117"/>
    <w:rsid w:val="000C4E39"/>
    <w:rsid w:val="000C6660"/>
    <w:rsid w:val="000D297E"/>
    <w:rsid w:val="000E1B17"/>
    <w:rsid w:val="000E35E6"/>
    <w:rsid w:val="000F2A7F"/>
    <w:rsid w:val="00114466"/>
    <w:rsid w:val="001221A1"/>
    <w:rsid w:val="00122CEC"/>
    <w:rsid w:val="001705A7"/>
    <w:rsid w:val="001762EE"/>
    <w:rsid w:val="001801CA"/>
    <w:rsid w:val="00192CD4"/>
    <w:rsid w:val="00196748"/>
    <w:rsid w:val="001A158A"/>
    <w:rsid w:val="001A3494"/>
    <w:rsid w:val="001A6BC9"/>
    <w:rsid w:val="001A7B43"/>
    <w:rsid w:val="001B78D9"/>
    <w:rsid w:val="001C0374"/>
    <w:rsid w:val="001C1C59"/>
    <w:rsid w:val="001C6AE2"/>
    <w:rsid w:val="001E5BC2"/>
    <w:rsid w:val="001E7571"/>
    <w:rsid w:val="00202F0D"/>
    <w:rsid w:val="002104C1"/>
    <w:rsid w:val="00214D27"/>
    <w:rsid w:val="0021552B"/>
    <w:rsid w:val="00217DE3"/>
    <w:rsid w:val="0022583B"/>
    <w:rsid w:val="0022709F"/>
    <w:rsid w:val="00263A25"/>
    <w:rsid w:val="00265F49"/>
    <w:rsid w:val="0028181A"/>
    <w:rsid w:val="002A46C4"/>
    <w:rsid w:val="002A7875"/>
    <w:rsid w:val="002B522B"/>
    <w:rsid w:val="002C5A01"/>
    <w:rsid w:val="002C67B9"/>
    <w:rsid w:val="002C79DE"/>
    <w:rsid w:val="002C7B3E"/>
    <w:rsid w:val="002D05E3"/>
    <w:rsid w:val="002D2B13"/>
    <w:rsid w:val="002D58E6"/>
    <w:rsid w:val="002F3945"/>
    <w:rsid w:val="0033634A"/>
    <w:rsid w:val="003429A0"/>
    <w:rsid w:val="00344696"/>
    <w:rsid w:val="00353C13"/>
    <w:rsid w:val="003569E8"/>
    <w:rsid w:val="00361E7D"/>
    <w:rsid w:val="00363DE0"/>
    <w:rsid w:val="003725AB"/>
    <w:rsid w:val="00376A23"/>
    <w:rsid w:val="003812A5"/>
    <w:rsid w:val="00381C14"/>
    <w:rsid w:val="00382D6E"/>
    <w:rsid w:val="00397D39"/>
    <w:rsid w:val="00397D71"/>
    <w:rsid w:val="003A5CDA"/>
    <w:rsid w:val="003B0FA2"/>
    <w:rsid w:val="003B59B2"/>
    <w:rsid w:val="003C752C"/>
    <w:rsid w:val="003C7644"/>
    <w:rsid w:val="003D4E1A"/>
    <w:rsid w:val="003E5ADD"/>
    <w:rsid w:val="003F0B1B"/>
    <w:rsid w:val="003F50AF"/>
    <w:rsid w:val="003F60C8"/>
    <w:rsid w:val="003F74B8"/>
    <w:rsid w:val="0041379E"/>
    <w:rsid w:val="00414953"/>
    <w:rsid w:val="00422143"/>
    <w:rsid w:val="004236C0"/>
    <w:rsid w:val="00427970"/>
    <w:rsid w:val="0044153F"/>
    <w:rsid w:val="00453ABD"/>
    <w:rsid w:val="004556EA"/>
    <w:rsid w:val="00460093"/>
    <w:rsid w:val="0047588A"/>
    <w:rsid w:val="00480869"/>
    <w:rsid w:val="004C58CE"/>
    <w:rsid w:val="004E2A55"/>
    <w:rsid w:val="004F6342"/>
    <w:rsid w:val="004F6C37"/>
    <w:rsid w:val="005128D6"/>
    <w:rsid w:val="00512C44"/>
    <w:rsid w:val="00514F89"/>
    <w:rsid w:val="0051597A"/>
    <w:rsid w:val="00554A9A"/>
    <w:rsid w:val="00566745"/>
    <w:rsid w:val="00582B36"/>
    <w:rsid w:val="005B50A1"/>
    <w:rsid w:val="005B57D2"/>
    <w:rsid w:val="005B6D8B"/>
    <w:rsid w:val="005C6834"/>
    <w:rsid w:val="005E4844"/>
    <w:rsid w:val="005F697A"/>
    <w:rsid w:val="006075C9"/>
    <w:rsid w:val="00610D1A"/>
    <w:rsid w:val="006126D3"/>
    <w:rsid w:val="00621C4D"/>
    <w:rsid w:val="0062761A"/>
    <w:rsid w:val="00627C0E"/>
    <w:rsid w:val="00631B6C"/>
    <w:rsid w:val="00632BC8"/>
    <w:rsid w:val="00652DDD"/>
    <w:rsid w:val="00652EF1"/>
    <w:rsid w:val="00665882"/>
    <w:rsid w:val="006753C1"/>
    <w:rsid w:val="00680EE5"/>
    <w:rsid w:val="00695620"/>
    <w:rsid w:val="006A5452"/>
    <w:rsid w:val="006C5E3A"/>
    <w:rsid w:val="006C6F82"/>
    <w:rsid w:val="006C738C"/>
    <w:rsid w:val="006C7686"/>
    <w:rsid w:val="006D454D"/>
    <w:rsid w:val="006D6415"/>
    <w:rsid w:val="006E508F"/>
    <w:rsid w:val="006E7CD4"/>
    <w:rsid w:val="00703C42"/>
    <w:rsid w:val="007057B1"/>
    <w:rsid w:val="00705EE1"/>
    <w:rsid w:val="00715819"/>
    <w:rsid w:val="00721682"/>
    <w:rsid w:val="00722EC1"/>
    <w:rsid w:val="0072448F"/>
    <w:rsid w:val="00733A47"/>
    <w:rsid w:val="007514CB"/>
    <w:rsid w:val="00752ED3"/>
    <w:rsid w:val="00764787"/>
    <w:rsid w:val="007650E2"/>
    <w:rsid w:val="0078439D"/>
    <w:rsid w:val="007A66A8"/>
    <w:rsid w:val="007C6179"/>
    <w:rsid w:val="007D347B"/>
    <w:rsid w:val="007D3F3A"/>
    <w:rsid w:val="007D57D6"/>
    <w:rsid w:val="007D7766"/>
    <w:rsid w:val="007E131D"/>
    <w:rsid w:val="007E525D"/>
    <w:rsid w:val="007F01DC"/>
    <w:rsid w:val="008033F2"/>
    <w:rsid w:val="00807652"/>
    <w:rsid w:val="00810749"/>
    <w:rsid w:val="0082005B"/>
    <w:rsid w:val="0082387B"/>
    <w:rsid w:val="00823E8A"/>
    <w:rsid w:val="00824A5F"/>
    <w:rsid w:val="00835B8D"/>
    <w:rsid w:val="00837520"/>
    <w:rsid w:val="00851ED4"/>
    <w:rsid w:val="00857D0C"/>
    <w:rsid w:val="0086450D"/>
    <w:rsid w:val="00864596"/>
    <w:rsid w:val="008966CF"/>
    <w:rsid w:val="008C2168"/>
    <w:rsid w:val="008D2B93"/>
    <w:rsid w:val="008F0EE3"/>
    <w:rsid w:val="00915A40"/>
    <w:rsid w:val="0092082A"/>
    <w:rsid w:val="009254F7"/>
    <w:rsid w:val="009269AA"/>
    <w:rsid w:val="0094200D"/>
    <w:rsid w:val="009516FD"/>
    <w:rsid w:val="00962AE7"/>
    <w:rsid w:val="00965D99"/>
    <w:rsid w:val="009845F5"/>
    <w:rsid w:val="009A426F"/>
    <w:rsid w:val="009A460D"/>
    <w:rsid w:val="009B1691"/>
    <w:rsid w:val="009B4031"/>
    <w:rsid w:val="009C2D31"/>
    <w:rsid w:val="009F7208"/>
    <w:rsid w:val="00A025F3"/>
    <w:rsid w:val="00A4523A"/>
    <w:rsid w:val="00A5349D"/>
    <w:rsid w:val="00A54540"/>
    <w:rsid w:val="00A5688C"/>
    <w:rsid w:val="00A827D9"/>
    <w:rsid w:val="00A92C2E"/>
    <w:rsid w:val="00AA0527"/>
    <w:rsid w:val="00AA2363"/>
    <w:rsid w:val="00AA5BBB"/>
    <w:rsid w:val="00AB1922"/>
    <w:rsid w:val="00AC11B6"/>
    <w:rsid w:val="00AD2940"/>
    <w:rsid w:val="00AD4004"/>
    <w:rsid w:val="00AE3D52"/>
    <w:rsid w:val="00B03321"/>
    <w:rsid w:val="00B062E6"/>
    <w:rsid w:val="00B134FB"/>
    <w:rsid w:val="00B22745"/>
    <w:rsid w:val="00B267EC"/>
    <w:rsid w:val="00B44474"/>
    <w:rsid w:val="00B64C6D"/>
    <w:rsid w:val="00B64D2F"/>
    <w:rsid w:val="00B6717E"/>
    <w:rsid w:val="00B6743C"/>
    <w:rsid w:val="00B868B3"/>
    <w:rsid w:val="00B9080B"/>
    <w:rsid w:val="00B97FB9"/>
    <w:rsid w:val="00BA76EA"/>
    <w:rsid w:val="00BB1781"/>
    <w:rsid w:val="00BB3555"/>
    <w:rsid w:val="00BC3D78"/>
    <w:rsid w:val="00BE033E"/>
    <w:rsid w:val="00BE6F37"/>
    <w:rsid w:val="00BE7231"/>
    <w:rsid w:val="00BF1409"/>
    <w:rsid w:val="00BF1AF2"/>
    <w:rsid w:val="00BF3220"/>
    <w:rsid w:val="00C21619"/>
    <w:rsid w:val="00C2199D"/>
    <w:rsid w:val="00C24DDD"/>
    <w:rsid w:val="00C4639D"/>
    <w:rsid w:val="00C53418"/>
    <w:rsid w:val="00C53462"/>
    <w:rsid w:val="00C60753"/>
    <w:rsid w:val="00C81A5C"/>
    <w:rsid w:val="00CA748F"/>
    <w:rsid w:val="00CA7ACA"/>
    <w:rsid w:val="00CB4CA3"/>
    <w:rsid w:val="00CC1E72"/>
    <w:rsid w:val="00CD082B"/>
    <w:rsid w:val="00CD547F"/>
    <w:rsid w:val="00CF44DE"/>
    <w:rsid w:val="00D01575"/>
    <w:rsid w:val="00D033A4"/>
    <w:rsid w:val="00D0359C"/>
    <w:rsid w:val="00D06CFA"/>
    <w:rsid w:val="00D152AA"/>
    <w:rsid w:val="00D1552C"/>
    <w:rsid w:val="00D20969"/>
    <w:rsid w:val="00D20F8F"/>
    <w:rsid w:val="00D2351F"/>
    <w:rsid w:val="00D371A8"/>
    <w:rsid w:val="00D51CA2"/>
    <w:rsid w:val="00D537D7"/>
    <w:rsid w:val="00D70DBA"/>
    <w:rsid w:val="00D72F38"/>
    <w:rsid w:val="00D871D6"/>
    <w:rsid w:val="00D93863"/>
    <w:rsid w:val="00D96F5B"/>
    <w:rsid w:val="00DB72ED"/>
    <w:rsid w:val="00DC24DD"/>
    <w:rsid w:val="00DC6674"/>
    <w:rsid w:val="00DE22F3"/>
    <w:rsid w:val="00DE371F"/>
    <w:rsid w:val="00DE6B12"/>
    <w:rsid w:val="00DF0737"/>
    <w:rsid w:val="00E140BB"/>
    <w:rsid w:val="00E16D32"/>
    <w:rsid w:val="00E27E8C"/>
    <w:rsid w:val="00E51C15"/>
    <w:rsid w:val="00E53D96"/>
    <w:rsid w:val="00EA7620"/>
    <w:rsid w:val="00EC478E"/>
    <w:rsid w:val="00ED3550"/>
    <w:rsid w:val="00ED725C"/>
    <w:rsid w:val="00EE65D8"/>
    <w:rsid w:val="00EF285D"/>
    <w:rsid w:val="00EF4723"/>
    <w:rsid w:val="00F010B5"/>
    <w:rsid w:val="00F119A8"/>
    <w:rsid w:val="00F176D9"/>
    <w:rsid w:val="00F21093"/>
    <w:rsid w:val="00F35A44"/>
    <w:rsid w:val="00F41893"/>
    <w:rsid w:val="00F633B8"/>
    <w:rsid w:val="00F75C17"/>
    <w:rsid w:val="00F800E4"/>
    <w:rsid w:val="00F85B9A"/>
    <w:rsid w:val="00F94330"/>
    <w:rsid w:val="00FA0E3B"/>
    <w:rsid w:val="00FB047F"/>
    <w:rsid w:val="00FB4BB1"/>
    <w:rsid w:val="00FC7177"/>
    <w:rsid w:val="00FD05B9"/>
    <w:rsid w:val="00FE3B82"/>
    <w:rsid w:val="00FE45CF"/>
    <w:rsid w:val="00FE4A24"/>
    <w:rsid w:val="00FF2444"/>
    <w:rsid w:val="00FF6647"/>
    <w:rsid w:val="00FF7A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3A1C4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97A"/>
    <w:pPr>
      <w:spacing w:before="100" w:beforeAutospacing="1" w:after="100" w:afterAutospacing="1" w:line="360" w:lineRule="auto"/>
      <w:jc w:val="both"/>
    </w:pPr>
    <w:rPr>
      <w:rFonts w:ascii="Arial" w:eastAsiaTheme="minorEastAsia" w:hAnsi="Arial"/>
      <w:kern w:val="2"/>
      <w:lang w:eastAsia="zh-CN"/>
      <w14:ligatures w14:val="standardContextual"/>
    </w:rPr>
  </w:style>
  <w:style w:type="paragraph" w:styleId="Heading1">
    <w:name w:val="heading 1"/>
    <w:next w:val="Normal"/>
    <w:link w:val="Heading1Char"/>
    <w:autoRedefine/>
    <w:uiPriority w:val="9"/>
    <w:qFormat/>
    <w:rsid w:val="002F3945"/>
    <w:pPr>
      <w:keepNext/>
      <w:keepLines/>
      <w:spacing w:after="100" w:afterAutospacing="1" w:line="360" w:lineRule="auto"/>
      <w:ind w:left="11" w:hanging="11"/>
      <w:jc w:val="both"/>
      <w:outlineLvl w:val="0"/>
    </w:pPr>
    <w:rPr>
      <w:rFonts w:ascii="Arial" w:eastAsia="Times New Roman" w:hAnsi="Arial" w:cs="Times New Roman"/>
      <w:b/>
      <w:kern w:val="2"/>
      <w:sz w:val="32"/>
      <w:lang w:eastAsia="zh-CN"/>
      <w14:ligatures w14:val="standardContextual"/>
    </w:rPr>
  </w:style>
  <w:style w:type="paragraph" w:styleId="Heading2">
    <w:name w:val="heading 2"/>
    <w:next w:val="Normal"/>
    <w:link w:val="Heading2Char"/>
    <w:autoRedefine/>
    <w:uiPriority w:val="9"/>
    <w:unhideWhenUsed/>
    <w:qFormat/>
    <w:rsid w:val="00DC6674"/>
    <w:pPr>
      <w:keepNext/>
      <w:keepLines/>
      <w:spacing w:after="0" w:line="360" w:lineRule="auto"/>
      <w:jc w:val="both"/>
      <w:outlineLvl w:val="1"/>
    </w:pPr>
    <w:rPr>
      <w:rFonts w:ascii="Arial" w:eastAsia="Times New Roman" w:hAnsi="Arial" w:cs="Arial"/>
      <w:b/>
      <w:kern w:val="2"/>
      <w:sz w:val="28"/>
      <w:lang w:val="en-US" w:eastAsia="zh-CN"/>
      <w14:ligatures w14:val="standardContextual"/>
    </w:rPr>
  </w:style>
  <w:style w:type="paragraph" w:styleId="Heading3">
    <w:name w:val="heading 3"/>
    <w:next w:val="Normal"/>
    <w:link w:val="Heading3Char"/>
    <w:autoRedefine/>
    <w:uiPriority w:val="9"/>
    <w:unhideWhenUsed/>
    <w:qFormat/>
    <w:rsid w:val="00CA7ACA"/>
    <w:pPr>
      <w:keepNext/>
      <w:keepLines/>
      <w:spacing w:after="181" w:line="360" w:lineRule="auto"/>
      <w:jc w:val="both"/>
      <w:outlineLvl w:val="2"/>
    </w:pPr>
    <w:rPr>
      <w:rFonts w:ascii="Arial" w:eastAsia="Times New Roman" w:hAnsi="Arial" w:cs="Arial"/>
      <w:b/>
      <w:color w:val="000000" w:themeColor="text1"/>
      <w:kern w:val="2"/>
      <w:u w:color="000000"/>
      <w:lang w:val="en-US" w:eastAsia="zh-CN"/>
      <w14:ligatures w14:val="standardContextual"/>
    </w:rPr>
  </w:style>
  <w:style w:type="paragraph" w:styleId="Heading4">
    <w:name w:val="heading 4"/>
    <w:basedOn w:val="Normal"/>
    <w:next w:val="Normal"/>
    <w:link w:val="Heading4Char"/>
    <w:uiPriority w:val="9"/>
    <w:semiHidden/>
    <w:unhideWhenUsed/>
    <w:qFormat/>
    <w:rsid w:val="0034469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945"/>
    <w:rPr>
      <w:rFonts w:ascii="Arial" w:eastAsia="Times New Roman" w:hAnsi="Arial" w:cs="Times New Roman"/>
      <w:b/>
      <w:kern w:val="2"/>
      <w:sz w:val="32"/>
      <w:lang w:eastAsia="zh-CN"/>
      <w14:ligatures w14:val="standardContextual"/>
    </w:rPr>
  </w:style>
  <w:style w:type="character" w:customStyle="1" w:styleId="Heading2Char">
    <w:name w:val="Heading 2 Char"/>
    <w:basedOn w:val="DefaultParagraphFont"/>
    <w:link w:val="Heading2"/>
    <w:uiPriority w:val="9"/>
    <w:rsid w:val="00DC6674"/>
    <w:rPr>
      <w:rFonts w:ascii="Arial" w:eastAsia="Times New Roman" w:hAnsi="Arial" w:cs="Arial"/>
      <w:b/>
      <w:kern w:val="2"/>
      <w:sz w:val="28"/>
      <w:lang w:val="en-US" w:eastAsia="zh-CN"/>
      <w14:ligatures w14:val="standardContextual"/>
    </w:rPr>
  </w:style>
  <w:style w:type="character" w:customStyle="1" w:styleId="Heading3Char">
    <w:name w:val="Heading 3 Char"/>
    <w:basedOn w:val="DefaultParagraphFont"/>
    <w:link w:val="Heading3"/>
    <w:uiPriority w:val="9"/>
    <w:rsid w:val="00CA7ACA"/>
    <w:rPr>
      <w:rFonts w:ascii="Arial" w:eastAsia="Times New Roman" w:hAnsi="Arial" w:cs="Arial"/>
      <w:b/>
      <w:color w:val="000000" w:themeColor="text1"/>
      <w:kern w:val="2"/>
      <w:u w:color="000000"/>
      <w:lang w:val="en-US" w:eastAsia="zh-CN"/>
      <w14:ligatures w14:val="standardContextual"/>
    </w:rPr>
  </w:style>
  <w:style w:type="paragraph" w:styleId="TOC1">
    <w:name w:val="toc 1"/>
    <w:basedOn w:val="Normal"/>
    <w:next w:val="Normal"/>
    <w:autoRedefine/>
    <w:uiPriority w:val="39"/>
    <w:unhideWhenUsed/>
    <w:rsid w:val="00752ED3"/>
  </w:style>
  <w:style w:type="paragraph" w:styleId="ListParagraph">
    <w:name w:val="List Paragraph"/>
    <w:basedOn w:val="Normal"/>
    <w:uiPriority w:val="34"/>
    <w:qFormat/>
    <w:rsid w:val="00514F89"/>
    <w:pPr>
      <w:ind w:left="720"/>
      <w:contextualSpacing/>
    </w:pPr>
  </w:style>
  <w:style w:type="character" w:styleId="Hyperlink">
    <w:name w:val="Hyperlink"/>
    <w:basedOn w:val="DefaultParagraphFont"/>
    <w:uiPriority w:val="99"/>
    <w:unhideWhenUsed/>
    <w:rsid w:val="00514F89"/>
    <w:rPr>
      <w:color w:val="0563C1" w:themeColor="hyperlink"/>
      <w:u w:val="single"/>
    </w:rPr>
  </w:style>
  <w:style w:type="paragraph" w:styleId="TOCHeading">
    <w:name w:val="TOC Heading"/>
    <w:basedOn w:val="Heading1"/>
    <w:next w:val="Normal"/>
    <w:uiPriority w:val="39"/>
    <w:unhideWhenUsed/>
    <w:qFormat/>
    <w:rsid w:val="00514F89"/>
    <w:pPr>
      <w:spacing w:before="240" w:after="0" w:afterAutospacing="0" w:line="259" w:lineRule="auto"/>
      <w:ind w:left="0" w:firstLine="0"/>
      <w:jc w:val="left"/>
      <w:outlineLvl w:val="9"/>
    </w:pPr>
    <w:rPr>
      <w:rFonts w:asciiTheme="majorHAnsi" w:eastAsiaTheme="majorEastAsia" w:hAnsiTheme="majorHAnsi" w:cstheme="majorBidi"/>
      <w:b w:val="0"/>
      <w:color w:val="2E74B5" w:themeColor="accent1" w:themeShade="BF"/>
      <w:kern w:val="0"/>
      <w:szCs w:val="32"/>
      <w:lang w:val="en-US" w:eastAsia="en-US"/>
      <w14:ligatures w14:val="none"/>
    </w:rPr>
  </w:style>
  <w:style w:type="paragraph" w:styleId="TOC2">
    <w:name w:val="toc 2"/>
    <w:basedOn w:val="Normal"/>
    <w:next w:val="Normal"/>
    <w:autoRedefine/>
    <w:uiPriority w:val="39"/>
    <w:unhideWhenUsed/>
    <w:rsid w:val="00752ED3"/>
    <w:pPr>
      <w:tabs>
        <w:tab w:val="right" w:leader="dot" w:pos="9016"/>
      </w:tabs>
      <w:spacing w:line="240" w:lineRule="auto"/>
      <w:ind w:left="240"/>
    </w:pPr>
  </w:style>
  <w:style w:type="character" w:styleId="CommentReference">
    <w:name w:val="annotation reference"/>
    <w:uiPriority w:val="99"/>
    <w:semiHidden/>
    <w:unhideWhenUsed/>
    <w:rsid w:val="00514F89"/>
    <w:rPr>
      <w:sz w:val="16"/>
      <w:szCs w:val="16"/>
    </w:rPr>
  </w:style>
  <w:style w:type="paragraph" w:styleId="CommentText">
    <w:name w:val="annotation text"/>
    <w:basedOn w:val="Normal"/>
    <w:link w:val="CommentTextChar"/>
    <w:uiPriority w:val="99"/>
    <w:unhideWhenUsed/>
    <w:rsid w:val="00514F89"/>
    <w:pPr>
      <w:spacing w:line="240" w:lineRule="auto"/>
      <w:jc w:val="left"/>
    </w:pPr>
    <w:rPr>
      <w:rFonts w:eastAsia="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514F89"/>
    <w:rPr>
      <w:rFonts w:ascii="Arial" w:eastAsia="Times New Roman" w:hAnsi="Arial" w:cs="Times New Roman"/>
      <w:sz w:val="20"/>
      <w:szCs w:val="20"/>
    </w:rPr>
  </w:style>
  <w:style w:type="paragraph" w:styleId="BalloonText">
    <w:name w:val="Balloon Text"/>
    <w:basedOn w:val="Normal"/>
    <w:link w:val="BalloonTextChar"/>
    <w:uiPriority w:val="99"/>
    <w:semiHidden/>
    <w:unhideWhenUsed/>
    <w:rsid w:val="00514F8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4F89"/>
    <w:rPr>
      <w:rFonts w:ascii="Segoe UI" w:eastAsiaTheme="minorEastAsia" w:hAnsi="Segoe UI" w:cs="Segoe UI"/>
      <w:kern w:val="2"/>
      <w:sz w:val="18"/>
      <w:szCs w:val="18"/>
      <w:lang w:eastAsia="zh-CN"/>
      <w14:ligatures w14:val="standardContextual"/>
    </w:rPr>
  </w:style>
  <w:style w:type="paragraph" w:styleId="Caption">
    <w:name w:val="caption"/>
    <w:basedOn w:val="Normal"/>
    <w:next w:val="Normal"/>
    <w:uiPriority w:val="35"/>
    <w:unhideWhenUsed/>
    <w:qFormat/>
    <w:rsid w:val="00514F8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14F8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4F89"/>
    <w:rPr>
      <w:rFonts w:ascii="Arial" w:eastAsiaTheme="minorEastAsia" w:hAnsi="Arial"/>
      <w:kern w:val="2"/>
      <w:sz w:val="24"/>
      <w:lang w:eastAsia="zh-CN"/>
      <w14:ligatures w14:val="standardContextual"/>
    </w:rPr>
  </w:style>
  <w:style w:type="paragraph" w:styleId="TableofFigures">
    <w:name w:val="table of figures"/>
    <w:basedOn w:val="Normal"/>
    <w:next w:val="Normal"/>
    <w:uiPriority w:val="99"/>
    <w:unhideWhenUsed/>
    <w:rsid w:val="00514F89"/>
    <w:pPr>
      <w:spacing w:after="0"/>
    </w:pPr>
  </w:style>
  <w:style w:type="character" w:customStyle="1" w:styleId="CommentSubjectChar">
    <w:name w:val="Comment Subject Char"/>
    <w:basedOn w:val="CommentTextChar"/>
    <w:link w:val="CommentSubject"/>
    <w:uiPriority w:val="99"/>
    <w:semiHidden/>
    <w:rsid w:val="00514F89"/>
    <w:rPr>
      <w:rFonts w:ascii="Arial" w:eastAsiaTheme="minorEastAsia" w:hAnsi="Arial" w:cs="Times New Roman"/>
      <w:b/>
      <w:bCs/>
      <w:kern w:val="2"/>
      <w:sz w:val="20"/>
      <w:szCs w:val="20"/>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514F89"/>
    <w:pPr>
      <w:jc w:val="both"/>
    </w:pPr>
    <w:rPr>
      <w:rFonts w:eastAsiaTheme="minorEastAsia" w:cstheme="minorBidi"/>
      <w:b/>
      <w:bCs/>
      <w:kern w:val="2"/>
      <w:lang w:eastAsia="zh-CN"/>
      <w14:ligatures w14:val="standardContextual"/>
    </w:rPr>
  </w:style>
  <w:style w:type="table" w:customStyle="1" w:styleId="GridTable1Light-Accent11">
    <w:name w:val="Grid Table 1 Light - Accent 11"/>
    <w:basedOn w:val="TableNormal"/>
    <w:uiPriority w:val="46"/>
    <w:rsid w:val="00514F89"/>
    <w:pPr>
      <w:spacing w:after="0" w:line="240" w:lineRule="auto"/>
    </w:pPr>
    <w:rPr>
      <w:lang w:val="en-US"/>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514F89"/>
    <w:rPr>
      <w:b/>
      <w:bCs/>
    </w:rPr>
  </w:style>
  <w:style w:type="paragraph" w:styleId="NormalWeb">
    <w:name w:val="Normal (Web)"/>
    <w:basedOn w:val="Normal"/>
    <w:uiPriority w:val="99"/>
    <w:unhideWhenUsed/>
    <w:rsid w:val="00514F89"/>
    <w:pPr>
      <w:spacing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514F89"/>
    <w:rPr>
      <w:i/>
      <w:iCs/>
    </w:rPr>
  </w:style>
  <w:style w:type="paragraph" w:customStyle="1" w:styleId="TableParagraph">
    <w:name w:val="Table Paragraph"/>
    <w:basedOn w:val="Normal"/>
    <w:uiPriority w:val="1"/>
    <w:rsid w:val="00514F89"/>
    <w:pPr>
      <w:widowControl w:val="0"/>
      <w:autoSpaceDE w:val="0"/>
      <w:autoSpaceDN w:val="0"/>
      <w:spacing w:before="0" w:beforeAutospacing="0" w:after="0" w:afterAutospacing="0"/>
    </w:pPr>
    <w:rPr>
      <w:rFonts w:ascii="Times New Roman" w:eastAsia="Arial" w:hAnsi="Times New Roman" w:cs="Arial"/>
      <w:kern w:val="0"/>
      <w:lang w:val="en-US" w:eastAsia="en-US"/>
      <w14:ligatures w14:val="none"/>
    </w:rPr>
  </w:style>
  <w:style w:type="table" w:styleId="PlainTable1">
    <w:name w:val="Plain Table 1"/>
    <w:basedOn w:val="TableNormal"/>
    <w:uiPriority w:val="41"/>
    <w:rsid w:val="00514F89"/>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752ED3"/>
    <w:pPr>
      <w:spacing w:line="240" w:lineRule="auto"/>
      <w:ind w:left="480"/>
      <w:jc w:val="left"/>
    </w:pPr>
  </w:style>
  <w:style w:type="paragraph" w:styleId="Footer">
    <w:name w:val="footer"/>
    <w:basedOn w:val="Normal"/>
    <w:link w:val="FooterChar"/>
    <w:uiPriority w:val="99"/>
    <w:unhideWhenUsed/>
    <w:rsid w:val="00835B8D"/>
    <w:pPr>
      <w:tabs>
        <w:tab w:val="center" w:pos="4680"/>
        <w:tab w:val="right" w:pos="9360"/>
      </w:tabs>
      <w:spacing w:before="0" w:beforeAutospacing="0" w:after="0" w:afterAutospacing="0" w:line="240" w:lineRule="auto"/>
      <w:jc w:val="left"/>
    </w:pPr>
    <w:rPr>
      <w:rFonts w:asciiTheme="minorHAnsi" w:hAnsiTheme="minorHAnsi" w:cs="Times New Roman"/>
      <w:kern w:val="0"/>
      <w:lang w:val="en-US" w:eastAsia="en-US"/>
      <w14:ligatures w14:val="none"/>
    </w:rPr>
  </w:style>
  <w:style w:type="character" w:customStyle="1" w:styleId="FooterChar">
    <w:name w:val="Footer Char"/>
    <w:basedOn w:val="DefaultParagraphFont"/>
    <w:link w:val="Footer"/>
    <w:uiPriority w:val="99"/>
    <w:rsid w:val="00835B8D"/>
    <w:rPr>
      <w:rFonts w:eastAsiaTheme="minorEastAsia" w:cs="Times New Roman"/>
      <w:lang w:val="en-US"/>
    </w:rPr>
  </w:style>
  <w:style w:type="character" w:customStyle="1" w:styleId="UnresolvedMention1">
    <w:name w:val="Unresolved Mention1"/>
    <w:basedOn w:val="DefaultParagraphFont"/>
    <w:uiPriority w:val="99"/>
    <w:semiHidden/>
    <w:unhideWhenUsed/>
    <w:rsid w:val="00EC478E"/>
    <w:rPr>
      <w:color w:val="605E5C"/>
      <w:shd w:val="clear" w:color="auto" w:fill="E1DFDD"/>
    </w:rPr>
  </w:style>
  <w:style w:type="table" w:styleId="TableGrid">
    <w:name w:val="Table Grid"/>
    <w:basedOn w:val="TableNormal"/>
    <w:uiPriority w:val="59"/>
    <w:rsid w:val="006A5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344696"/>
    <w:rPr>
      <w:rFonts w:asciiTheme="majorHAnsi" w:eastAsiaTheme="majorEastAsia" w:hAnsiTheme="majorHAnsi" w:cstheme="majorBidi"/>
      <w:i/>
      <w:iCs/>
      <w:color w:val="2E74B5" w:themeColor="accent1" w:themeShade="BF"/>
      <w:kern w:val="2"/>
      <w:lang w:eastAsia="zh-CN"/>
      <w14:ligatures w14:val="standardContextual"/>
    </w:rPr>
  </w:style>
  <w:style w:type="table" w:styleId="PlainTable4">
    <w:name w:val="Plain Table 4"/>
    <w:basedOn w:val="TableNormal"/>
    <w:uiPriority w:val="44"/>
    <w:rsid w:val="00376A2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Caption">
    <w:name w:val="Table Caption"/>
    <w:rsid w:val="00FF7A76"/>
    <w:pPr>
      <w:spacing w:after="200" w:line="276" w:lineRule="auto"/>
      <w:jc w:val="center"/>
    </w:pPr>
    <w:rPr>
      <w:rFonts w:ascii="Times New Roman" w:eastAsiaTheme="minorEastAsia" w:hAnsi="Times New Roman"/>
      <w:i/>
      <w:sz w:val="20"/>
      <w:lang w:val="en-US"/>
    </w:rPr>
  </w:style>
  <w:style w:type="table" w:styleId="TableGridLight">
    <w:name w:val="Grid Table Light"/>
    <w:basedOn w:val="TableNormal"/>
    <w:uiPriority w:val="40"/>
    <w:rsid w:val="00FF7A7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1785">
      <w:bodyDiv w:val="1"/>
      <w:marLeft w:val="0"/>
      <w:marRight w:val="0"/>
      <w:marTop w:val="0"/>
      <w:marBottom w:val="0"/>
      <w:divBdr>
        <w:top w:val="none" w:sz="0" w:space="0" w:color="auto"/>
        <w:left w:val="none" w:sz="0" w:space="0" w:color="auto"/>
        <w:bottom w:val="none" w:sz="0" w:space="0" w:color="auto"/>
        <w:right w:val="none" w:sz="0" w:space="0" w:color="auto"/>
      </w:divBdr>
    </w:div>
    <w:div w:id="52429265">
      <w:bodyDiv w:val="1"/>
      <w:marLeft w:val="0"/>
      <w:marRight w:val="0"/>
      <w:marTop w:val="0"/>
      <w:marBottom w:val="0"/>
      <w:divBdr>
        <w:top w:val="none" w:sz="0" w:space="0" w:color="auto"/>
        <w:left w:val="none" w:sz="0" w:space="0" w:color="auto"/>
        <w:bottom w:val="none" w:sz="0" w:space="0" w:color="auto"/>
        <w:right w:val="none" w:sz="0" w:space="0" w:color="auto"/>
      </w:divBdr>
    </w:div>
    <w:div w:id="74783258">
      <w:bodyDiv w:val="1"/>
      <w:marLeft w:val="0"/>
      <w:marRight w:val="0"/>
      <w:marTop w:val="0"/>
      <w:marBottom w:val="0"/>
      <w:divBdr>
        <w:top w:val="none" w:sz="0" w:space="0" w:color="auto"/>
        <w:left w:val="none" w:sz="0" w:space="0" w:color="auto"/>
        <w:bottom w:val="none" w:sz="0" w:space="0" w:color="auto"/>
        <w:right w:val="none" w:sz="0" w:space="0" w:color="auto"/>
      </w:divBdr>
      <w:divsChild>
        <w:div w:id="1610351780">
          <w:marLeft w:val="0"/>
          <w:marRight w:val="0"/>
          <w:marTop w:val="0"/>
          <w:marBottom w:val="0"/>
          <w:divBdr>
            <w:top w:val="none" w:sz="0" w:space="0" w:color="auto"/>
            <w:left w:val="none" w:sz="0" w:space="0" w:color="auto"/>
            <w:bottom w:val="none" w:sz="0" w:space="0" w:color="auto"/>
            <w:right w:val="none" w:sz="0" w:space="0" w:color="auto"/>
          </w:divBdr>
        </w:div>
      </w:divsChild>
    </w:div>
    <w:div w:id="113251128">
      <w:bodyDiv w:val="1"/>
      <w:marLeft w:val="0"/>
      <w:marRight w:val="0"/>
      <w:marTop w:val="0"/>
      <w:marBottom w:val="0"/>
      <w:divBdr>
        <w:top w:val="none" w:sz="0" w:space="0" w:color="auto"/>
        <w:left w:val="none" w:sz="0" w:space="0" w:color="auto"/>
        <w:bottom w:val="none" w:sz="0" w:space="0" w:color="auto"/>
        <w:right w:val="none" w:sz="0" w:space="0" w:color="auto"/>
      </w:divBdr>
    </w:div>
    <w:div w:id="241381515">
      <w:bodyDiv w:val="1"/>
      <w:marLeft w:val="0"/>
      <w:marRight w:val="0"/>
      <w:marTop w:val="0"/>
      <w:marBottom w:val="0"/>
      <w:divBdr>
        <w:top w:val="none" w:sz="0" w:space="0" w:color="auto"/>
        <w:left w:val="none" w:sz="0" w:space="0" w:color="auto"/>
        <w:bottom w:val="none" w:sz="0" w:space="0" w:color="auto"/>
        <w:right w:val="none" w:sz="0" w:space="0" w:color="auto"/>
      </w:divBdr>
    </w:div>
    <w:div w:id="255021169">
      <w:bodyDiv w:val="1"/>
      <w:marLeft w:val="0"/>
      <w:marRight w:val="0"/>
      <w:marTop w:val="0"/>
      <w:marBottom w:val="0"/>
      <w:divBdr>
        <w:top w:val="none" w:sz="0" w:space="0" w:color="auto"/>
        <w:left w:val="none" w:sz="0" w:space="0" w:color="auto"/>
        <w:bottom w:val="none" w:sz="0" w:space="0" w:color="auto"/>
        <w:right w:val="none" w:sz="0" w:space="0" w:color="auto"/>
      </w:divBdr>
    </w:div>
    <w:div w:id="265188993">
      <w:bodyDiv w:val="1"/>
      <w:marLeft w:val="0"/>
      <w:marRight w:val="0"/>
      <w:marTop w:val="0"/>
      <w:marBottom w:val="0"/>
      <w:divBdr>
        <w:top w:val="none" w:sz="0" w:space="0" w:color="auto"/>
        <w:left w:val="none" w:sz="0" w:space="0" w:color="auto"/>
        <w:bottom w:val="none" w:sz="0" w:space="0" w:color="auto"/>
        <w:right w:val="none" w:sz="0" w:space="0" w:color="auto"/>
      </w:divBdr>
      <w:divsChild>
        <w:div w:id="1386217786">
          <w:marLeft w:val="0"/>
          <w:marRight w:val="0"/>
          <w:marTop w:val="0"/>
          <w:marBottom w:val="0"/>
          <w:divBdr>
            <w:top w:val="none" w:sz="0" w:space="0" w:color="auto"/>
            <w:left w:val="none" w:sz="0" w:space="0" w:color="auto"/>
            <w:bottom w:val="none" w:sz="0" w:space="0" w:color="auto"/>
            <w:right w:val="none" w:sz="0" w:space="0" w:color="auto"/>
          </w:divBdr>
        </w:div>
      </w:divsChild>
    </w:div>
    <w:div w:id="275062853">
      <w:bodyDiv w:val="1"/>
      <w:marLeft w:val="0"/>
      <w:marRight w:val="0"/>
      <w:marTop w:val="0"/>
      <w:marBottom w:val="0"/>
      <w:divBdr>
        <w:top w:val="none" w:sz="0" w:space="0" w:color="auto"/>
        <w:left w:val="none" w:sz="0" w:space="0" w:color="auto"/>
        <w:bottom w:val="none" w:sz="0" w:space="0" w:color="auto"/>
        <w:right w:val="none" w:sz="0" w:space="0" w:color="auto"/>
      </w:divBdr>
    </w:div>
    <w:div w:id="335311222">
      <w:bodyDiv w:val="1"/>
      <w:marLeft w:val="0"/>
      <w:marRight w:val="0"/>
      <w:marTop w:val="0"/>
      <w:marBottom w:val="0"/>
      <w:divBdr>
        <w:top w:val="none" w:sz="0" w:space="0" w:color="auto"/>
        <w:left w:val="none" w:sz="0" w:space="0" w:color="auto"/>
        <w:bottom w:val="none" w:sz="0" w:space="0" w:color="auto"/>
        <w:right w:val="none" w:sz="0" w:space="0" w:color="auto"/>
      </w:divBdr>
    </w:div>
    <w:div w:id="395277927">
      <w:bodyDiv w:val="1"/>
      <w:marLeft w:val="0"/>
      <w:marRight w:val="0"/>
      <w:marTop w:val="0"/>
      <w:marBottom w:val="0"/>
      <w:divBdr>
        <w:top w:val="none" w:sz="0" w:space="0" w:color="auto"/>
        <w:left w:val="none" w:sz="0" w:space="0" w:color="auto"/>
        <w:bottom w:val="none" w:sz="0" w:space="0" w:color="auto"/>
        <w:right w:val="none" w:sz="0" w:space="0" w:color="auto"/>
      </w:divBdr>
    </w:div>
    <w:div w:id="419528030">
      <w:bodyDiv w:val="1"/>
      <w:marLeft w:val="0"/>
      <w:marRight w:val="0"/>
      <w:marTop w:val="0"/>
      <w:marBottom w:val="0"/>
      <w:divBdr>
        <w:top w:val="none" w:sz="0" w:space="0" w:color="auto"/>
        <w:left w:val="none" w:sz="0" w:space="0" w:color="auto"/>
        <w:bottom w:val="none" w:sz="0" w:space="0" w:color="auto"/>
        <w:right w:val="none" w:sz="0" w:space="0" w:color="auto"/>
      </w:divBdr>
      <w:divsChild>
        <w:div w:id="1629504574">
          <w:marLeft w:val="0"/>
          <w:marRight w:val="0"/>
          <w:marTop w:val="0"/>
          <w:marBottom w:val="0"/>
          <w:divBdr>
            <w:top w:val="none" w:sz="0" w:space="0" w:color="auto"/>
            <w:left w:val="none" w:sz="0" w:space="0" w:color="auto"/>
            <w:bottom w:val="none" w:sz="0" w:space="0" w:color="auto"/>
            <w:right w:val="none" w:sz="0" w:space="0" w:color="auto"/>
          </w:divBdr>
          <w:divsChild>
            <w:div w:id="1712148868">
              <w:marLeft w:val="0"/>
              <w:marRight w:val="0"/>
              <w:marTop w:val="0"/>
              <w:marBottom w:val="0"/>
              <w:divBdr>
                <w:top w:val="none" w:sz="0" w:space="0" w:color="auto"/>
                <w:left w:val="none" w:sz="0" w:space="0" w:color="auto"/>
                <w:bottom w:val="none" w:sz="0" w:space="0" w:color="auto"/>
                <w:right w:val="none" w:sz="0" w:space="0" w:color="auto"/>
              </w:divBdr>
              <w:divsChild>
                <w:div w:id="517278997">
                  <w:marLeft w:val="0"/>
                  <w:marRight w:val="0"/>
                  <w:marTop w:val="0"/>
                  <w:marBottom w:val="0"/>
                  <w:divBdr>
                    <w:top w:val="none" w:sz="0" w:space="0" w:color="auto"/>
                    <w:left w:val="none" w:sz="0" w:space="0" w:color="auto"/>
                    <w:bottom w:val="none" w:sz="0" w:space="0" w:color="auto"/>
                    <w:right w:val="none" w:sz="0" w:space="0" w:color="auto"/>
                  </w:divBdr>
                  <w:divsChild>
                    <w:div w:id="1796634119">
                      <w:marLeft w:val="0"/>
                      <w:marRight w:val="0"/>
                      <w:marTop w:val="0"/>
                      <w:marBottom w:val="0"/>
                      <w:divBdr>
                        <w:top w:val="none" w:sz="0" w:space="0" w:color="auto"/>
                        <w:left w:val="none" w:sz="0" w:space="0" w:color="auto"/>
                        <w:bottom w:val="none" w:sz="0" w:space="0" w:color="auto"/>
                        <w:right w:val="none" w:sz="0" w:space="0" w:color="auto"/>
                      </w:divBdr>
                      <w:divsChild>
                        <w:div w:id="677737433">
                          <w:marLeft w:val="0"/>
                          <w:marRight w:val="0"/>
                          <w:marTop w:val="0"/>
                          <w:marBottom w:val="0"/>
                          <w:divBdr>
                            <w:top w:val="none" w:sz="0" w:space="0" w:color="auto"/>
                            <w:left w:val="none" w:sz="0" w:space="0" w:color="auto"/>
                            <w:bottom w:val="none" w:sz="0" w:space="0" w:color="auto"/>
                            <w:right w:val="none" w:sz="0" w:space="0" w:color="auto"/>
                          </w:divBdr>
                          <w:divsChild>
                            <w:div w:id="1262832269">
                              <w:marLeft w:val="0"/>
                              <w:marRight w:val="0"/>
                              <w:marTop w:val="0"/>
                              <w:marBottom w:val="0"/>
                              <w:divBdr>
                                <w:top w:val="none" w:sz="0" w:space="0" w:color="auto"/>
                                <w:left w:val="none" w:sz="0" w:space="0" w:color="auto"/>
                                <w:bottom w:val="none" w:sz="0" w:space="0" w:color="auto"/>
                                <w:right w:val="none" w:sz="0" w:space="0" w:color="auto"/>
                              </w:divBdr>
                              <w:divsChild>
                                <w:div w:id="435714125">
                                  <w:marLeft w:val="0"/>
                                  <w:marRight w:val="0"/>
                                  <w:marTop w:val="0"/>
                                  <w:marBottom w:val="0"/>
                                  <w:divBdr>
                                    <w:top w:val="none" w:sz="0" w:space="0" w:color="auto"/>
                                    <w:left w:val="none" w:sz="0" w:space="0" w:color="auto"/>
                                    <w:bottom w:val="none" w:sz="0" w:space="0" w:color="auto"/>
                                    <w:right w:val="none" w:sz="0" w:space="0" w:color="auto"/>
                                  </w:divBdr>
                                  <w:divsChild>
                                    <w:div w:id="166804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1753112">
      <w:bodyDiv w:val="1"/>
      <w:marLeft w:val="0"/>
      <w:marRight w:val="0"/>
      <w:marTop w:val="0"/>
      <w:marBottom w:val="0"/>
      <w:divBdr>
        <w:top w:val="none" w:sz="0" w:space="0" w:color="auto"/>
        <w:left w:val="none" w:sz="0" w:space="0" w:color="auto"/>
        <w:bottom w:val="none" w:sz="0" w:space="0" w:color="auto"/>
        <w:right w:val="none" w:sz="0" w:space="0" w:color="auto"/>
      </w:divBdr>
      <w:divsChild>
        <w:div w:id="605160586">
          <w:marLeft w:val="0"/>
          <w:marRight w:val="0"/>
          <w:marTop w:val="0"/>
          <w:marBottom w:val="0"/>
          <w:divBdr>
            <w:top w:val="none" w:sz="0" w:space="0" w:color="auto"/>
            <w:left w:val="none" w:sz="0" w:space="0" w:color="auto"/>
            <w:bottom w:val="none" w:sz="0" w:space="0" w:color="auto"/>
            <w:right w:val="none" w:sz="0" w:space="0" w:color="auto"/>
          </w:divBdr>
        </w:div>
      </w:divsChild>
    </w:div>
    <w:div w:id="523137327">
      <w:bodyDiv w:val="1"/>
      <w:marLeft w:val="0"/>
      <w:marRight w:val="0"/>
      <w:marTop w:val="0"/>
      <w:marBottom w:val="0"/>
      <w:divBdr>
        <w:top w:val="none" w:sz="0" w:space="0" w:color="auto"/>
        <w:left w:val="none" w:sz="0" w:space="0" w:color="auto"/>
        <w:bottom w:val="none" w:sz="0" w:space="0" w:color="auto"/>
        <w:right w:val="none" w:sz="0" w:space="0" w:color="auto"/>
      </w:divBdr>
      <w:divsChild>
        <w:div w:id="1877279965">
          <w:marLeft w:val="0"/>
          <w:marRight w:val="0"/>
          <w:marTop w:val="0"/>
          <w:marBottom w:val="0"/>
          <w:divBdr>
            <w:top w:val="none" w:sz="0" w:space="0" w:color="auto"/>
            <w:left w:val="none" w:sz="0" w:space="0" w:color="auto"/>
            <w:bottom w:val="none" w:sz="0" w:space="0" w:color="auto"/>
            <w:right w:val="none" w:sz="0" w:space="0" w:color="auto"/>
          </w:divBdr>
        </w:div>
      </w:divsChild>
    </w:div>
    <w:div w:id="548953723">
      <w:bodyDiv w:val="1"/>
      <w:marLeft w:val="0"/>
      <w:marRight w:val="0"/>
      <w:marTop w:val="0"/>
      <w:marBottom w:val="0"/>
      <w:divBdr>
        <w:top w:val="none" w:sz="0" w:space="0" w:color="auto"/>
        <w:left w:val="none" w:sz="0" w:space="0" w:color="auto"/>
        <w:bottom w:val="none" w:sz="0" w:space="0" w:color="auto"/>
        <w:right w:val="none" w:sz="0" w:space="0" w:color="auto"/>
      </w:divBdr>
    </w:div>
    <w:div w:id="643701846">
      <w:bodyDiv w:val="1"/>
      <w:marLeft w:val="0"/>
      <w:marRight w:val="0"/>
      <w:marTop w:val="0"/>
      <w:marBottom w:val="0"/>
      <w:divBdr>
        <w:top w:val="none" w:sz="0" w:space="0" w:color="auto"/>
        <w:left w:val="none" w:sz="0" w:space="0" w:color="auto"/>
        <w:bottom w:val="none" w:sz="0" w:space="0" w:color="auto"/>
        <w:right w:val="none" w:sz="0" w:space="0" w:color="auto"/>
      </w:divBdr>
      <w:divsChild>
        <w:div w:id="110975210">
          <w:marLeft w:val="0"/>
          <w:marRight w:val="0"/>
          <w:marTop w:val="0"/>
          <w:marBottom w:val="0"/>
          <w:divBdr>
            <w:top w:val="none" w:sz="0" w:space="0" w:color="auto"/>
            <w:left w:val="none" w:sz="0" w:space="0" w:color="auto"/>
            <w:bottom w:val="none" w:sz="0" w:space="0" w:color="auto"/>
            <w:right w:val="none" w:sz="0" w:space="0" w:color="auto"/>
          </w:divBdr>
        </w:div>
      </w:divsChild>
    </w:div>
    <w:div w:id="656571061">
      <w:bodyDiv w:val="1"/>
      <w:marLeft w:val="0"/>
      <w:marRight w:val="0"/>
      <w:marTop w:val="0"/>
      <w:marBottom w:val="0"/>
      <w:divBdr>
        <w:top w:val="none" w:sz="0" w:space="0" w:color="auto"/>
        <w:left w:val="none" w:sz="0" w:space="0" w:color="auto"/>
        <w:bottom w:val="none" w:sz="0" w:space="0" w:color="auto"/>
        <w:right w:val="none" w:sz="0" w:space="0" w:color="auto"/>
      </w:divBdr>
      <w:divsChild>
        <w:div w:id="1306735884">
          <w:marLeft w:val="0"/>
          <w:marRight w:val="0"/>
          <w:marTop w:val="0"/>
          <w:marBottom w:val="240"/>
          <w:divBdr>
            <w:top w:val="single" w:sz="2" w:space="0" w:color="CECECE"/>
            <w:left w:val="single" w:sz="2" w:space="0" w:color="CECECE"/>
            <w:bottom w:val="single" w:sz="2" w:space="0" w:color="CECECE"/>
            <w:right w:val="single" w:sz="2" w:space="0" w:color="CECECE"/>
          </w:divBdr>
          <w:divsChild>
            <w:div w:id="102848116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20259764">
          <w:marLeft w:val="0"/>
          <w:marRight w:val="0"/>
          <w:marTop w:val="0"/>
          <w:marBottom w:val="240"/>
          <w:divBdr>
            <w:top w:val="single" w:sz="2" w:space="0" w:color="CECECE"/>
            <w:left w:val="single" w:sz="2" w:space="0" w:color="CECECE"/>
            <w:bottom w:val="single" w:sz="2" w:space="0" w:color="CECECE"/>
            <w:right w:val="single" w:sz="2" w:space="0" w:color="CECECE"/>
          </w:divBdr>
          <w:divsChild>
            <w:div w:id="357659815">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657542449">
      <w:bodyDiv w:val="1"/>
      <w:marLeft w:val="0"/>
      <w:marRight w:val="0"/>
      <w:marTop w:val="0"/>
      <w:marBottom w:val="0"/>
      <w:divBdr>
        <w:top w:val="none" w:sz="0" w:space="0" w:color="auto"/>
        <w:left w:val="none" w:sz="0" w:space="0" w:color="auto"/>
        <w:bottom w:val="none" w:sz="0" w:space="0" w:color="auto"/>
        <w:right w:val="none" w:sz="0" w:space="0" w:color="auto"/>
      </w:divBdr>
    </w:div>
    <w:div w:id="664742241">
      <w:bodyDiv w:val="1"/>
      <w:marLeft w:val="0"/>
      <w:marRight w:val="0"/>
      <w:marTop w:val="0"/>
      <w:marBottom w:val="0"/>
      <w:divBdr>
        <w:top w:val="none" w:sz="0" w:space="0" w:color="auto"/>
        <w:left w:val="none" w:sz="0" w:space="0" w:color="auto"/>
        <w:bottom w:val="none" w:sz="0" w:space="0" w:color="auto"/>
        <w:right w:val="none" w:sz="0" w:space="0" w:color="auto"/>
      </w:divBdr>
      <w:divsChild>
        <w:div w:id="736171407">
          <w:marLeft w:val="0"/>
          <w:marRight w:val="0"/>
          <w:marTop w:val="0"/>
          <w:marBottom w:val="0"/>
          <w:divBdr>
            <w:top w:val="none" w:sz="0" w:space="0" w:color="auto"/>
            <w:left w:val="none" w:sz="0" w:space="0" w:color="auto"/>
            <w:bottom w:val="none" w:sz="0" w:space="0" w:color="auto"/>
            <w:right w:val="none" w:sz="0" w:space="0" w:color="auto"/>
          </w:divBdr>
        </w:div>
      </w:divsChild>
    </w:div>
    <w:div w:id="686365212">
      <w:bodyDiv w:val="1"/>
      <w:marLeft w:val="0"/>
      <w:marRight w:val="0"/>
      <w:marTop w:val="0"/>
      <w:marBottom w:val="0"/>
      <w:divBdr>
        <w:top w:val="none" w:sz="0" w:space="0" w:color="auto"/>
        <w:left w:val="none" w:sz="0" w:space="0" w:color="auto"/>
        <w:bottom w:val="none" w:sz="0" w:space="0" w:color="auto"/>
        <w:right w:val="none" w:sz="0" w:space="0" w:color="auto"/>
      </w:divBdr>
    </w:div>
    <w:div w:id="736782185">
      <w:bodyDiv w:val="1"/>
      <w:marLeft w:val="0"/>
      <w:marRight w:val="0"/>
      <w:marTop w:val="0"/>
      <w:marBottom w:val="0"/>
      <w:divBdr>
        <w:top w:val="none" w:sz="0" w:space="0" w:color="auto"/>
        <w:left w:val="none" w:sz="0" w:space="0" w:color="auto"/>
        <w:bottom w:val="none" w:sz="0" w:space="0" w:color="auto"/>
        <w:right w:val="none" w:sz="0" w:space="0" w:color="auto"/>
      </w:divBdr>
      <w:divsChild>
        <w:div w:id="779951402">
          <w:marLeft w:val="0"/>
          <w:marRight w:val="0"/>
          <w:marTop w:val="0"/>
          <w:marBottom w:val="0"/>
          <w:divBdr>
            <w:top w:val="none" w:sz="0" w:space="0" w:color="auto"/>
            <w:left w:val="none" w:sz="0" w:space="0" w:color="auto"/>
            <w:bottom w:val="none" w:sz="0" w:space="0" w:color="auto"/>
            <w:right w:val="none" w:sz="0" w:space="0" w:color="auto"/>
          </w:divBdr>
          <w:divsChild>
            <w:div w:id="592930964">
              <w:marLeft w:val="0"/>
              <w:marRight w:val="0"/>
              <w:marTop w:val="0"/>
              <w:marBottom w:val="0"/>
              <w:divBdr>
                <w:top w:val="none" w:sz="0" w:space="0" w:color="auto"/>
                <w:left w:val="none" w:sz="0" w:space="0" w:color="auto"/>
                <w:bottom w:val="none" w:sz="0" w:space="0" w:color="auto"/>
                <w:right w:val="none" w:sz="0" w:space="0" w:color="auto"/>
              </w:divBdr>
            </w:div>
          </w:divsChild>
        </w:div>
        <w:div w:id="1199006621">
          <w:marLeft w:val="0"/>
          <w:marRight w:val="0"/>
          <w:marTop w:val="0"/>
          <w:marBottom w:val="0"/>
          <w:divBdr>
            <w:top w:val="none" w:sz="0" w:space="0" w:color="auto"/>
            <w:left w:val="none" w:sz="0" w:space="0" w:color="auto"/>
            <w:bottom w:val="none" w:sz="0" w:space="0" w:color="auto"/>
            <w:right w:val="none" w:sz="0" w:space="0" w:color="auto"/>
          </w:divBdr>
          <w:divsChild>
            <w:div w:id="63506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203245">
      <w:bodyDiv w:val="1"/>
      <w:marLeft w:val="0"/>
      <w:marRight w:val="0"/>
      <w:marTop w:val="0"/>
      <w:marBottom w:val="0"/>
      <w:divBdr>
        <w:top w:val="none" w:sz="0" w:space="0" w:color="auto"/>
        <w:left w:val="none" w:sz="0" w:space="0" w:color="auto"/>
        <w:bottom w:val="none" w:sz="0" w:space="0" w:color="auto"/>
        <w:right w:val="none" w:sz="0" w:space="0" w:color="auto"/>
      </w:divBdr>
      <w:divsChild>
        <w:div w:id="1273394535">
          <w:marLeft w:val="0"/>
          <w:marRight w:val="0"/>
          <w:marTop w:val="0"/>
          <w:marBottom w:val="0"/>
          <w:divBdr>
            <w:top w:val="none" w:sz="0" w:space="0" w:color="auto"/>
            <w:left w:val="none" w:sz="0" w:space="0" w:color="auto"/>
            <w:bottom w:val="none" w:sz="0" w:space="0" w:color="auto"/>
            <w:right w:val="none" w:sz="0" w:space="0" w:color="auto"/>
          </w:divBdr>
        </w:div>
      </w:divsChild>
    </w:div>
    <w:div w:id="812328240">
      <w:bodyDiv w:val="1"/>
      <w:marLeft w:val="0"/>
      <w:marRight w:val="0"/>
      <w:marTop w:val="0"/>
      <w:marBottom w:val="0"/>
      <w:divBdr>
        <w:top w:val="none" w:sz="0" w:space="0" w:color="auto"/>
        <w:left w:val="none" w:sz="0" w:space="0" w:color="auto"/>
        <w:bottom w:val="none" w:sz="0" w:space="0" w:color="auto"/>
        <w:right w:val="none" w:sz="0" w:space="0" w:color="auto"/>
      </w:divBdr>
      <w:divsChild>
        <w:div w:id="2142110328">
          <w:marLeft w:val="0"/>
          <w:marRight w:val="0"/>
          <w:marTop w:val="0"/>
          <w:marBottom w:val="0"/>
          <w:divBdr>
            <w:top w:val="none" w:sz="0" w:space="0" w:color="auto"/>
            <w:left w:val="none" w:sz="0" w:space="0" w:color="auto"/>
            <w:bottom w:val="none" w:sz="0" w:space="0" w:color="auto"/>
            <w:right w:val="none" w:sz="0" w:space="0" w:color="auto"/>
          </w:divBdr>
          <w:divsChild>
            <w:div w:id="1170751169">
              <w:marLeft w:val="0"/>
              <w:marRight w:val="0"/>
              <w:marTop w:val="0"/>
              <w:marBottom w:val="0"/>
              <w:divBdr>
                <w:top w:val="none" w:sz="0" w:space="0" w:color="auto"/>
                <w:left w:val="none" w:sz="0" w:space="0" w:color="auto"/>
                <w:bottom w:val="none" w:sz="0" w:space="0" w:color="auto"/>
                <w:right w:val="none" w:sz="0" w:space="0" w:color="auto"/>
              </w:divBdr>
              <w:divsChild>
                <w:div w:id="1345354732">
                  <w:marLeft w:val="0"/>
                  <w:marRight w:val="0"/>
                  <w:marTop w:val="0"/>
                  <w:marBottom w:val="0"/>
                  <w:divBdr>
                    <w:top w:val="none" w:sz="0" w:space="0" w:color="auto"/>
                    <w:left w:val="none" w:sz="0" w:space="0" w:color="auto"/>
                    <w:bottom w:val="none" w:sz="0" w:space="0" w:color="auto"/>
                    <w:right w:val="none" w:sz="0" w:space="0" w:color="auto"/>
                  </w:divBdr>
                  <w:divsChild>
                    <w:div w:id="236281381">
                      <w:marLeft w:val="0"/>
                      <w:marRight w:val="0"/>
                      <w:marTop w:val="0"/>
                      <w:marBottom w:val="0"/>
                      <w:divBdr>
                        <w:top w:val="none" w:sz="0" w:space="0" w:color="auto"/>
                        <w:left w:val="none" w:sz="0" w:space="0" w:color="auto"/>
                        <w:bottom w:val="none" w:sz="0" w:space="0" w:color="auto"/>
                        <w:right w:val="none" w:sz="0" w:space="0" w:color="auto"/>
                      </w:divBdr>
                      <w:divsChild>
                        <w:div w:id="537208912">
                          <w:marLeft w:val="0"/>
                          <w:marRight w:val="0"/>
                          <w:marTop w:val="0"/>
                          <w:marBottom w:val="0"/>
                          <w:divBdr>
                            <w:top w:val="none" w:sz="0" w:space="0" w:color="auto"/>
                            <w:left w:val="none" w:sz="0" w:space="0" w:color="auto"/>
                            <w:bottom w:val="none" w:sz="0" w:space="0" w:color="auto"/>
                            <w:right w:val="none" w:sz="0" w:space="0" w:color="auto"/>
                          </w:divBdr>
                          <w:divsChild>
                            <w:div w:id="1205218908">
                              <w:marLeft w:val="0"/>
                              <w:marRight w:val="0"/>
                              <w:marTop w:val="0"/>
                              <w:marBottom w:val="0"/>
                              <w:divBdr>
                                <w:top w:val="none" w:sz="0" w:space="0" w:color="auto"/>
                                <w:left w:val="none" w:sz="0" w:space="0" w:color="auto"/>
                                <w:bottom w:val="none" w:sz="0" w:space="0" w:color="auto"/>
                                <w:right w:val="none" w:sz="0" w:space="0" w:color="auto"/>
                              </w:divBdr>
                              <w:divsChild>
                                <w:div w:id="682973682">
                                  <w:marLeft w:val="0"/>
                                  <w:marRight w:val="0"/>
                                  <w:marTop w:val="0"/>
                                  <w:marBottom w:val="0"/>
                                  <w:divBdr>
                                    <w:top w:val="none" w:sz="0" w:space="0" w:color="auto"/>
                                    <w:left w:val="none" w:sz="0" w:space="0" w:color="auto"/>
                                    <w:bottom w:val="none" w:sz="0" w:space="0" w:color="auto"/>
                                    <w:right w:val="none" w:sz="0" w:space="0" w:color="auto"/>
                                  </w:divBdr>
                                  <w:divsChild>
                                    <w:div w:id="12304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9151310">
      <w:bodyDiv w:val="1"/>
      <w:marLeft w:val="0"/>
      <w:marRight w:val="0"/>
      <w:marTop w:val="0"/>
      <w:marBottom w:val="0"/>
      <w:divBdr>
        <w:top w:val="none" w:sz="0" w:space="0" w:color="auto"/>
        <w:left w:val="none" w:sz="0" w:space="0" w:color="auto"/>
        <w:bottom w:val="none" w:sz="0" w:space="0" w:color="auto"/>
        <w:right w:val="none" w:sz="0" w:space="0" w:color="auto"/>
      </w:divBdr>
      <w:divsChild>
        <w:div w:id="927890492">
          <w:marLeft w:val="0"/>
          <w:marRight w:val="0"/>
          <w:marTop w:val="0"/>
          <w:marBottom w:val="0"/>
          <w:divBdr>
            <w:top w:val="none" w:sz="0" w:space="0" w:color="auto"/>
            <w:left w:val="none" w:sz="0" w:space="0" w:color="auto"/>
            <w:bottom w:val="none" w:sz="0" w:space="0" w:color="auto"/>
            <w:right w:val="none" w:sz="0" w:space="0" w:color="auto"/>
          </w:divBdr>
        </w:div>
      </w:divsChild>
    </w:div>
    <w:div w:id="879781567">
      <w:bodyDiv w:val="1"/>
      <w:marLeft w:val="0"/>
      <w:marRight w:val="0"/>
      <w:marTop w:val="0"/>
      <w:marBottom w:val="0"/>
      <w:divBdr>
        <w:top w:val="none" w:sz="0" w:space="0" w:color="auto"/>
        <w:left w:val="none" w:sz="0" w:space="0" w:color="auto"/>
        <w:bottom w:val="none" w:sz="0" w:space="0" w:color="auto"/>
        <w:right w:val="none" w:sz="0" w:space="0" w:color="auto"/>
      </w:divBdr>
      <w:divsChild>
        <w:div w:id="15155766">
          <w:marLeft w:val="0"/>
          <w:marRight w:val="0"/>
          <w:marTop w:val="0"/>
          <w:marBottom w:val="0"/>
          <w:divBdr>
            <w:top w:val="none" w:sz="0" w:space="0" w:color="auto"/>
            <w:left w:val="none" w:sz="0" w:space="0" w:color="auto"/>
            <w:bottom w:val="none" w:sz="0" w:space="0" w:color="auto"/>
            <w:right w:val="none" w:sz="0" w:space="0" w:color="auto"/>
          </w:divBdr>
        </w:div>
      </w:divsChild>
    </w:div>
    <w:div w:id="887304806">
      <w:bodyDiv w:val="1"/>
      <w:marLeft w:val="0"/>
      <w:marRight w:val="0"/>
      <w:marTop w:val="0"/>
      <w:marBottom w:val="0"/>
      <w:divBdr>
        <w:top w:val="none" w:sz="0" w:space="0" w:color="auto"/>
        <w:left w:val="none" w:sz="0" w:space="0" w:color="auto"/>
        <w:bottom w:val="none" w:sz="0" w:space="0" w:color="auto"/>
        <w:right w:val="none" w:sz="0" w:space="0" w:color="auto"/>
      </w:divBdr>
      <w:divsChild>
        <w:div w:id="1734695306">
          <w:marLeft w:val="0"/>
          <w:marRight w:val="0"/>
          <w:marTop w:val="0"/>
          <w:marBottom w:val="240"/>
          <w:divBdr>
            <w:top w:val="single" w:sz="2" w:space="0" w:color="CECECE"/>
            <w:left w:val="single" w:sz="2" w:space="0" w:color="CECECE"/>
            <w:bottom w:val="single" w:sz="2" w:space="0" w:color="CECECE"/>
            <w:right w:val="single" w:sz="2" w:space="0" w:color="CECECE"/>
          </w:divBdr>
          <w:divsChild>
            <w:div w:id="156240368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22761910">
          <w:marLeft w:val="0"/>
          <w:marRight w:val="0"/>
          <w:marTop w:val="0"/>
          <w:marBottom w:val="240"/>
          <w:divBdr>
            <w:top w:val="single" w:sz="2" w:space="0" w:color="CECECE"/>
            <w:left w:val="single" w:sz="2" w:space="0" w:color="CECECE"/>
            <w:bottom w:val="single" w:sz="2" w:space="0" w:color="CECECE"/>
            <w:right w:val="single" w:sz="2" w:space="0" w:color="CECECE"/>
          </w:divBdr>
          <w:divsChild>
            <w:div w:id="52032155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98809935">
          <w:marLeft w:val="0"/>
          <w:marRight w:val="0"/>
          <w:marTop w:val="0"/>
          <w:marBottom w:val="240"/>
          <w:divBdr>
            <w:top w:val="single" w:sz="2" w:space="0" w:color="CECECE"/>
            <w:left w:val="single" w:sz="2" w:space="0" w:color="CECECE"/>
            <w:bottom w:val="single" w:sz="2" w:space="0" w:color="CECECE"/>
            <w:right w:val="single" w:sz="2" w:space="0" w:color="CECECE"/>
          </w:divBdr>
          <w:divsChild>
            <w:div w:id="165794999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130518502">
          <w:marLeft w:val="0"/>
          <w:marRight w:val="0"/>
          <w:marTop w:val="0"/>
          <w:marBottom w:val="240"/>
          <w:divBdr>
            <w:top w:val="single" w:sz="2" w:space="0" w:color="CECECE"/>
            <w:left w:val="single" w:sz="2" w:space="0" w:color="CECECE"/>
            <w:bottom w:val="single" w:sz="2" w:space="0" w:color="CECECE"/>
            <w:right w:val="single" w:sz="2" w:space="0" w:color="CECECE"/>
          </w:divBdr>
          <w:divsChild>
            <w:div w:id="20375693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4737574">
          <w:marLeft w:val="0"/>
          <w:marRight w:val="0"/>
          <w:marTop w:val="0"/>
          <w:marBottom w:val="240"/>
          <w:divBdr>
            <w:top w:val="single" w:sz="2" w:space="0" w:color="CECECE"/>
            <w:left w:val="single" w:sz="2" w:space="0" w:color="CECECE"/>
            <w:bottom w:val="single" w:sz="2" w:space="0" w:color="CECECE"/>
            <w:right w:val="single" w:sz="2" w:space="0" w:color="CECECE"/>
          </w:divBdr>
          <w:divsChild>
            <w:div w:id="61919175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372585572">
          <w:marLeft w:val="0"/>
          <w:marRight w:val="0"/>
          <w:marTop w:val="0"/>
          <w:marBottom w:val="240"/>
          <w:divBdr>
            <w:top w:val="single" w:sz="2" w:space="0" w:color="CECECE"/>
            <w:left w:val="single" w:sz="2" w:space="0" w:color="CECECE"/>
            <w:bottom w:val="single" w:sz="2" w:space="0" w:color="CECECE"/>
            <w:right w:val="single" w:sz="2" w:space="0" w:color="CECECE"/>
          </w:divBdr>
          <w:divsChild>
            <w:div w:id="129652442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67341209">
          <w:marLeft w:val="0"/>
          <w:marRight w:val="0"/>
          <w:marTop w:val="0"/>
          <w:marBottom w:val="240"/>
          <w:divBdr>
            <w:top w:val="single" w:sz="2" w:space="0" w:color="CECECE"/>
            <w:left w:val="single" w:sz="2" w:space="0" w:color="CECECE"/>
            <w:bottom w:val="single" w:sz="2" w:space="0" w:color="CECECE"/>
            <w:right w:val="single" w:sz="2" w:space="0" w:color="CECECE"/>
          </w:divBdr>
          <w:divsChild>
            <w:div w:id="183599380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93873997">
          <w:marLeft w:val="0"/>
          <w:marRight w:val="0"/>
          <w:marTop w:val="0"/>
          <w:marBottom w:val="240"/>
          <w:divBdr>
            <w:top w:val="single" w:sz="2" w:space="0" w:color="CECECE"/>
            <w:left w:val="single" w:sz="2" w:space="0" w:color="CECECE"/>
            <w:bottom w:val="single" w:sz="2" w:space="0" w:color="CECECE"/>
            <w:right w:val="single" w:sz="2" w:space="0" w:color="CECECE"/>
          </w:divBdr>
          <w:divsChild>
            <w:div w:id="95768615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79664583">
          <w:marLeft w:val="0"/>
          <w:marRight w:val="0"/>
          <w:marTop w:val="0"/>
          <w:marBottom w:val="240"/>
          <w:divBdr>
            <w:top w:val="single" w:sz="2" w:space="0" w:color="CECECE"/>
            <w:left w:val="single" w:sz="2" w:space="0" w:color="CECECE"/>
            <w:bottom w:val="single" w:sz="2" w:space="0" w:color="CECECE"/>
            <w:right w:val="single" w:sz="2" w:space="0" w:color="CECECE"/>
          </w:divBdr>
          <w:divsChild>
            <w:div w:id="79784584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716200">
          <w:marLeft w:val="0"/>
          <w:marRight w:val="0"/>
          <w:marTop w:val="0"/>
          <w:marBottom w:val="240"/>
          <w:divBdr>
            <w:top w:val="single" w:sz="2" w:space="0" w:color="CECECE"/>
            <w:left w:val="single" w:sz="2" w:space="0" w:color="CECECE"/>
            <w:bottom w:val="single" w:sz="2" w:space="0" w:color="CECECE"/>
            <w:right w:val="single" w:sz="2" w:space="0" w:color="CECECE"/>
          </w:divBdr>
          <w:divsChild>
            <w:div w:id="16000406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36138757">
          <w:marLeft w:val="0"/>
          <w:marRight w:val="0"/>
          <w:marTop w:val="0"/>
          <w:marBottom w:val="240"/>
          <w:divBdr>
            <w:top w:val="single" w:sz="2" w:space="0" w:color="CECECE"/>
            <w:left w:val="single" w:sz="2" w:space="0" w:color="CECECE"/>
            <w:bottom w:val="single" w:sz="2" w:space="0" w:color="CECECE"/>
            <w:right w:val="single" w:sz="2" w:space="0" w:color="CECECE"/>
          </w:divBdr>
          <w:divsChild>
            <w:div w:id="104591091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6616187">
          <w:marLeft w:val="0"/>
          <w:marRight w:val="0"/>
          <w:marTop w:val="0"/>
          <w:marBottom w:val="240"/>
          <w:divBdr>
            <w:top w:val="single" w:sz="2" w:space="0" w:color="CECECE"/>
            <w:left w:val="single" w:sz="2" w:space="0" w:color="CECECE"/>
            <w:bottom w:val="single" w:sz="2" w:space="0" w:color="CECECE"/>
            <w:right w:val="single" w:sz="2" w:space="0" w:color="CECECE"/>
          </w:divBdr>
          <w:divsChild>
            <w:div w:id="825804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18636307">
          <w:marLeft w:val="0"/>
          <w:marRight w:val="0"/>
          <w:marTop w:val="0"/>
          <w:marBottom w:val="240"/>
          <w:divBdr>
            <w:top w:val="single" w:sz="2" w:space="0" w:color="CECECE"/>
            <w:left w:val="single" w:sz="2" w:space="0" w:color="CECECE"/>
            <w:bottom w:val="single" w:sz="2" w:space="0" w:color="CECECE"/>
            <w:right w:val="single" w:sz="2" w:space="0" w:color="CECECE"/>
          </w:divBdr>
          <w:divsChild>
            <w:div w:id="150374416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62493968">
          <w:marLeft w:val="0"/>
          <w:marRight w:val="0"/>
          <w:marTop w:val="0"/>
          <w:marBottom w:val="240"/>
          <w:divBdr>
            <w:top w:val="single" w:sz="2" w:space="0" w:color="CECECE"/>
            <w:left w:val="single" w:sz="2" w:space="0" w:color="CECECE"/>
            <w:bottom w:val="single" w:sz="2" w:space="0" w:color="CECECE"/>
            <w:right w:val="single" w:sz="2" w:space="0" w:color="CECECE"/>
          </w:divBdr>
          <w:divsChild>
            <w:div w:id="93952873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30992861">
          <w:marLeft w:val="0"/>
          <w:marRight w:val="0"/>
          <w:marTop w:val="0"/>
          <w:marBottom w:val="240"/>
          <w:divBdr>
            <w:top w:val="single" w:sz="2" w:space="0" w:color="CECECE"/>
            <w:left w:val="single" w:sz="2" w:space="0" w:color="CECECE"/>
            <w:bottom w:val="single" w:sz="2" w:space="0" w:color="CECECE"/>
            <w:right w:val="single" w:sz="2" w:space="0" w:color="CECECE"/>
          </w:divBdr>
          <w:divsChild>
            <w:div w:id="174838367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31418530">
          <w:marLeft w:val="0"/>
          <w:marRight w:val="0"/>
          <w:marTop w:val="0"/>
          <w:marBottom w:val="240"/>
          <w:divBdr>
            <w:top w:val="single" w:sz="2" w:space="0" w:color="CECECE"/>
            <w:left w:val="single" w:sz="2" w:space="0" w:color="CECECE"/>
            <w:bottom w:val="single" w:sz="2" w:space="0" w:color="CECECE"/>
            <w:right w:val="single" w:sz="2" w:space="0" w:color="CECECE"/>
          </w:divBdr>
          <w:divsChild>
            <w:div w:id="64146755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64468369">
          <w:marLeft w:val="0"/>
          <w:marRight w:val="0"/>
          <w:marTop w:val="0"/>
          <w:marBottom w:val="240"/>
          <w:divBdr>
            <w:top w:val="single" w:sz="2" w:space="0" w:color="CECECE"/>
            <w:left w:val="single" w:sz="2" w:space="0" w:color="CECECE"/>
            <w:bottom w:val="single" w:sz="2" w:space="0" w:color="CECECE"/>
            <w:right w:val="single" w:sz="2" w:space="0" w:color="CECECE"/>
          </w:divBdr>
          <w:divsChild>
            <w:div w:id="30594033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121295099">
          <w:marLeft w:val="0"/>
          <w:marRight w:val="0"/>
          <w:marTop w:val="0"/>
          <w:marBottom w:val="240"/>
          <w:divBdr>
            <w:top w:val="single" w:sz="2" w:space="0" w:color="CECECE"/>
            <w:left w:val="single" w:sz="2" w:space="0" w:color="CECECE"/>
            <w:bottom w:val="single" w:sz="2" w:space="0" w:color="CECECE"/>
            <w:right w:val="single" w:sz="2" w:space="0" w:color="CECECE"/>
          </w:divBdr>
          <w:divsChild>
            <w:div w:id="28026430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79654506">
          <w:marLeft w:val="0"/>
          <w:marRight w:val="0"/>
          <w:marTop w:val="0"/>
          <w:marBottom w:val="240"/>
          <w:divBdr>
            <w:top w:val="single" w:sz="2" w:space="0" w:color="CECECE"/>
            <w:left w:val="single" w:sz="2" w:space="0" w:color="CECECE"/>
            <w:bottom w:val="single" w:sz="2" w:space="0" w:color="CECECE"/>
            <w:right w:val="single" w:sz="2" w:space="0" w:color="CECECE"/>
          </w:divBdr>
          <w:divsChild>
            <w:div w:id="46401035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135870450">
          <w:marLeft w:val="0"/>
          <w:marRight w:val="0"/>
          <w:marTop w:val="0"/>
          <w:marBottom w:val="240"/>
          <w:divBdr>
            <w:top w:val="single" w:sz="2" w:space="0" w:color="CECECE"/>
            <w:left w:val="single" w:sz="2" w:space="0" w:color="CECECE"/>
            <w:bottom w:val="single" w:sz="2" w:space="0" w:color="CECECE"/>
            <w:right w:val="single" w:sz="2" w:space="0" w:color="CECECE"/>
          </w:divBdr>
          <w:divsChild>
            <w:div w:id="1349871321">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975187944">
      <w:bodyDiv w:val="1"/>
      <w:marLeft w:val="0"/>
      <w:marRight w:val="0"/>
      <w:marTop w:val="0"/>
      <w:marBottom w:val="0"/>
      <w:divBdr>
        <w:top w:val="none" w:sz="0" w:space="0" w:color="auto"/>
        <w:left w:val="none" w:sz="0" w:space="0" w:color="auto"/>
        <w:bottom w:val="none" w:sz="0" w:space="0" w:color="auto"/>
        <w:right w:val="none" w:sz="0" w:space="0" w:color="auto"/>
      </w:divBdr>
    </w:div>
    <w:div w:id="1053655011">
      <w:bodyDiv w:val="1"/>
      <w:marLeft w:val="0"/>
      <w:marRight w:val="0"/>
      <w:marTop w:val="0"/>
      <w:marBottom w:val="0"/>
      <w:divBdr>
        <w:top w:val="none" w:sz="0" w:space="0" w:color="auto"/>
        <w:left w:val="none" w:sz="0" w:space="0" w:color="auto"/>
        <w:bottom w:val="none" w:sz="0" w:space="0" w:color="auto"/>
        <w:right w:val="none" w:sz="0" w:space="0" w:color="auto"/>
      </w:divBdr>
    </w:div>
    <w:div w:id="1135608495">
      <w:bodyDiv w:val="1"/>
      <w:marLeft w:val="0"/>
      <w:marRight w:val="0"/>
      <w:marTop w:val="0"/>
      <w:marBottom w:val="0"/>
      <w:divBdr>
        <w:top w:val="none" w:sz="0" w:space="0" w:color="auto"/>
        <w:left w:val="none" w:sz="0" w:space="0" w:color="auto"/>
        <w:bottom w:val="none" w:sz="0" w:space="0" w:color="auto"/>
        <w:right w:val="none" w:sz="0" w:space="0" w:color="auto"/>
      </w:divBdr>
      <w:divsChild>
        <w:div w:id="1035732487">
          <w:marLeft w:val="0"/>
          <w:marRight w:val="0"/>
          <w:marTop w:val="0"/>
          <w:marBottom w:val="0"/>
          <w:divBdr>
            <w:top w:val="none" w:sz="0" w:space="0" w:color="auto"/>
            <w:left w:val="none" w:sz="0" w:space="0" w:color="auto"/>
            <w:bottom w:val="none" w:sz="0" w:space="0" w:color="auto"/>
            <w:right w:val="none" w:sz="0" w:space="0" w:color="auto"/>
          </w:divBdr>
        </w:div>
      </w:divsChild>
    </w:div>
    <w:div w:id="1160274581">
      <w:bodyDiv w:val="1"/>
      <w:marLeft w:val="0"/>
      <w:marRight w:val="0"/>
      <w:marTop w:val="0"/>
      <w:marBottom w:val="0"/>
      <w:divBdr>
        <w:top w:val="none" w:sz="0" w:space="0" w:color="auto"/>
        <w:left w:val="none" w:sz="0" w:space="0" w:color="auto"/>
        <w:bottom w:val="none" w:sz="0" w:space="0" w:color="auto"/>
        <w:right w:val="none" w:sz="0" w:space="0" w:color="auto"/>
      </w:divBdr>
      <w:divsChild>
        <w:div w:id="21058791">
          <w:marLeft w:val="0"/>
          <w:marRight w:val="0"/>
          <w:marTop w:val="0"/>
          <w:marBottom w:val="0"/>
          <w:divBdr>
            <w:top w:val="none" w:sz="0" w:space="0" w:color="auto"/>
            <w:left w:val="none" w:sz="0" w:space="0" w:color="auto"/>
            <w:bottom w:val="none" w:sz="0" w:space="0" w:color="auto"/>
            <w:right w:val="none" w:sz="0" w:space="0" w:color="auto"/>
          </w:divBdr>
        </w:div>
      </w:divsChild>
    </w:div>
    <w:div w:id="1210726912">
      <w:bodyDiv w:val="1"/>
      <w:marLeft w:val="0"/>
      <w:marRight w:val="0"/>
      <w:marTop w:val="0"/>
      <w:marBottom w:val="0"/>
      <w:divBdr>
        <w:top w:val="none" w:sz="0" w:space="0" w:color="auto"/>
        <w:left w:val="none" w:sz="0" w:space="0" w:color="auto"/>
        <w:bottom w:val="none" w:sz="0" w:space="0" w:color="auto"/>
        <w:right w:val="none" w:sz="0" w:space="0" w:color="auto"/>
      </w:divBdr>
      <w:divsChild>
        <w:div w:id="923418904">
          <w:marLeft w:val="0"/>
          <w:marRight w:val="0"/>
          <w:marTop w:val="0"/>
          <w:marBottom w:val="0"/>
          <w:divBdr>
            <w:top w:val="none" w:sz="0" w:space="0" w:color="auto"/>
            <w:left w:val="none" w:sz="0" w:space="0" w:color="auto"/>
            <w:bottom w:val="none" w:sz="0" w:space="0" w:color="auto"/>
            <w:right w:val="none" w:sz="0" w:space="0" w:color="auto"/>
          </w:divBdr>
        </w:div>
      </w:divsChild>
    </w:div>
    <w:div w:id="1324049282">
      <w:bodyDiv w:val="1"/>
      <w:marLeft w:val="0"/>
      <w:marRight w:val="0"/>
      <w:marTop w:val="0"/>
      <w:marBottom w:val="0"/>
      <w:divBdr>
        <w:top w:val="none" w:sz="0" w:space="0" w:color="auto"/>
        <w:left w:val="none" w:sz="0" w:space="0" w:color="auto"/>
        <w:bottom w:val="none" w:sz="0" w:space="0" w:color="auto"/>
        <w:right w:val="none" w:sz="0" w:space="0" w:color="auto"/>
      </w:divBdr>
      <w:divsChild>
        <w:div w:id="2147235182">
          <w:marLeft w:val="0"/>
          <w:marRight w:val="0"/>
          <w:marTop w:val="0"/>
          <w:marBottom w:val="0"/>
          <w:divBdr>
            <w:top w:val="none" w:sz="0" w:space="0" w:color="auto"/>
            <w:left w:val="none" w:sz="0" w:space="0" w:color="auto"/>
            <w:bottom w:val="none" w:sz="0" w:space="0" w:color="auto"/>
            <w:right w:val="none" w:sz="0" w:space="0" w:color="auto"/>
          </w:divBdr>
          <w:divsChild>
            <w:div w:id="55157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114874">
      <w:bodyDiv w:val="1"/>
      <w:marLeft w:val="0"/>
      <w:marRight w:val="0"/>
      <w:marTop w:val="0"/>
      <w:marBottom w:val="0"/>
      <w:divBdr>
        <w:top w:val="none" w:sz="0" w:space="0" w:color="auto"/>
        <w:left w:val="none" w:sz="0" w:space="0" w:color="auto"/>
        <w:bottom w:val="none" w:sz="0" w:space="0" w:color="auto"/>
        <w:right w:val="none" w:sz="0" w:space="0" w:color="auto"/>
      </w:divBdr>
    </w:div>
    <w:div w:id="1338190063">
      <w:bodyDiv w:val="1"/>
      <w:marLeft w:val="0"/>
      <w:marRight w:val="0"/>
      <w:marTop w:val="0"/>
      <w:marBottom w:val="0"/>
      <w:divBdr>
        <w:top w:val="none" w:sz="0" w:space="0" w:color="auto"/>
        <w:left w:val="none" w:sz="0" w:space="0" w:color="auto"/>
        <w:bottom w:val="none" w:sz="0" w:space="0" w:color="auto"/>
        <w:right w:val="none" w:sz="0" w:space="0" w:color="auto"/>
      </w:divBdr>
    </w:div>
    <w:div w:id="1368023057">
      <w:bodyDiv w:val="1"/>
      <w:marLeft w:val="0"/>
      <w:marRight w:val="0"/>
      <w:marTop w:val="0"/>
      <w:marBottom w:val="0"/>
      <w:divBdr>
        <w:top w:val="none" w:sz="0" w:space="0" w:color="auto"/>
        <w:left w:val="none" w:sz="0" w:space="0" w:color="auto"/>
        <w:bottom w:val="none" w:sz="0" w:space="0" w:color="auto"/>
        <w:right w:val="none" w:sz="0" w:space="0" w:color="auto"/>
      </w:divBdr>
    </w:div>
    <w:div w:id="1382828011">
      <w:bodyDiv w:val="1"/>
      <w:marLeft w:val="0"/>
      <w:marRight w:val="0"/>
      <w:marTop w:val="0"/>
      <w:marBottom w:val="0"/>
      <w:divBdr>
        <w:top w:val="none" w:sz="0" w:space="0" w:color="auto"/>
        <w:left w:val="none" w:sz="0" w:space="0" w:color="auto"/>
        <w:bottom w:val="none" w:sz="0" w:space="0" w:color="auto"/>
        <w:right w:val="none" w:sz="0" w:space="0" w:color="auto"/>
      </w:divBdr>
      <w:divsChild>
        <w:div w:id="1864513614">
          <w:marLeft w:val="0"/>
          <w:marRight w:val="0"/>
          <w:marTop w:val="0"/>
          <w:marBottom w:val="0"/>
          <w:divBdr>
            <w:top w:val="none" w:sz="0" w:space="0" w:color="auto"/>
            <w:left w:val="none" w:sz="0" w:space="0" w:color="auto"/>
            <w:bottom w:val="none" w:sz="0" w:space="0" w:color="auto"/>
            <w:right w:val="none" w:sz="0" w:space="0" w:color="auto"/>
          </w:divBdr>
          <w:divsChild>
            <w:div w:id="105933371">
              <w:marLeft w:val="0"/>
              <w:marRight w:val="0"/>
              <w:marTop w:val="0"/>
              <w:marBottom w:val="0"/>
              <w:divBdr>
                <w:top w:val="none" w:sz="0" w:space="0" w:color="auto"/>
                <w:left w:val="none" w:sz="0" w:space="0" w:color="auto"/>
                <w:bottom w:val="none" w:sz="0" w:space="0" w:color="auto"/>
                <w:right w:val="none" w:sz="0" w:space="0" w:color="auto"/>
              </w:divBdr>
            </w:div>
          </w:divsChild>
        </w:div>
        <w:div w:id="1244414682">
          <w:marLeft w:val="0"/>
          <w:marRight w:val="0"/>
          <w:marTop w:val="0"/>
          <w:marBottom w:val="0"/>
          <w:divBdr>
            <w:top w:val="none" w:sz="0" w:space="0" w:color="auto"/>
            <w:left w:val="none" w:sz="0" w:space="0" w:color="auto"/>
            <w:bottom w:val="none" w:sz="0" w:space="0" w:color="auto"/>
            <w:right w:val="none" w:sz="0" w:space="0" w:color="auto"/>
          </w:divBdr>
          <w:divsChild>
            <w:div w:id="1849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864397">
      <w:bodyDiv w:val="1"/>
      <w:marLeft w:val="0"/>
      <w:marRight w:val="0"/>
      <w:marTop w:val="0"/>
      <w:marBottom w:val="0"/>
      <w:divBdr>
        <w:top w:val="none" w:sz="0" w:space="0" w:color="auto"/>
        <w:left w:val="none" w:sz="0" w:space="0" w:color="auto"/>
        <w:bottom w:val="none" w:sz="0" w:space="0" w:color="auto"/>
        <w:right w:val="none" w:sz="0" w:space="0" w:color="auto"/>
      </w:divBdr>
      <w:divsChild>
        <w:div w:id="989409025">
          <w:marLeft w:val="0"/>
          <w:marRight w:val="0"/>
          <w:marTop w:val="0"/>
          <w:marBottom w:val="0"/>
          <w:divBdr>
            <w:top w:val="none" w:sz="0" w:space="0" w:color="auto"/>
            <w:left w:val="none" w:sz="0" w:space="0" w:color="auto"/>
            <w:bottom w:val="none" w:sz="0" w:space="0" w:color="auto"/>
            <w:right w:val="none" w:sz="0" w:space="0" w:color="auto"/>
          </w:divBdr>
          <w:divsChild>
            <w:div w:id="98685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258542">
      <w:bodyDiv w:val="1"/>
      <w:marLeft w:val="0"/>
      <w:marRight w:val="0"/>
      <w:marTop w:val="0"/>
      <w:marBottom w:val="0"/>
      <w:divBdr>
        <w:top w:val="none" w:sz="0" w:space="0" w:color="auto"/>
        <w:left w:val="none" w:sz="0" w:space="0" w:color="auto"/>
        <w:bottom w:val="none" w:sz="0" w:space="0" w:color="auto"/>
        <w:right w:val="none" w:sz="0" w:space="0" w:color="auto"/>
      </w:divBdr>
    </w:div>
    <w:div w:id="1392970858">
      <w:bodyDiv w:val="1"/>
      <w:marLeft w:val="0"/>
      <w:marRight w:val="0"/>
      <w:marTop w:val="0"/>
      <w:marBottom w:val="0"/>
      <w:divBdr>
        <w:top w:val="none" w:sz="0" w:space="0" w:color="auto"/>
        <w:left w:val="none" w:sz="0" w:space="0" w:color="auto"/>
        <w:bottom w:val="none" w:sz="0" w:space="0" w:color="auto"/>
        <w:right w:val="none" w:sz="0" w:space="0" w:color="auto"/>
      </w:divBdr>
    </w:div>
    <w:div w:id="1431969598">
      <w:bodyDiv w:val="1"/>
      <w:marLeft w:val="0"/>
      <w:marRight w:val="0"/>
      <w:marTop w:val="0"/>
      <w:marBottom w:val="0"/>
      <w:divBdr>
        <w:top w:val="none" w:sz="0" w:space="0" w:color="auto"/>
        <w:left w:val="none" w:sz="0" w:space="0" w:color="auto"/>
        <w:bottom w:val="none" w:sz="0" w:space="0" w:color="auto"/>
        <w:right w:val="none" w:sz="0" w:space="0" w:color="auto"/>
      </w:divBdr>
    </w:div>
    <w:div w:id="1472864692">
      <w:bodyDiv w:val="1"/>
      <w:marLeft w:val="0"/>
      <w:marRight w:val="0"/>
      <w:marTop w:val="0"/>
      <w:marBottom w:val="0"/>
      <w:divBdr>
        <w:top w:val="none" w:sz="0" w:space="0" w:color="auto"/>
        <w:left w:val="none" w:sz="0" w:space="0" w:color="auto"/>
        <w:bottom w:val="none" w:sz="0" w:space="0" w:color="auto"/>
        <w:right w:val="none" w:sz="0" w:space="0" w:color="auto"/>
      </w:divBdr>
    </w:div>
    <w:div w:id="1629429473">
      <w:bodyDiv w:val="1"/>
      <w:marLeft w:val="0"/>
      <w:marRight w:val="0"/>
      <w:marTop w:val="0"/>
      <w:marBottom w:val="0"/>
      <w:divBdr>
        <w:top w:val="none" w:sz="0" w:space="0" w:color="auto"/>
        <w:left w:val="none" w:sz="0" w:space="0" w:color="auto"/>
        <w:bottom w:val="none" w:sz="0" w:space="0" w:color="auto"/>
        <w:right w:val="none" w:sz="0" w:space="0" w:color="auto"/>
      </w:divBdr>
    </w:div>
    <w:div w:id="1799950395">
      <w:bodyDiv w:val="1"/>
      <w:marLeft w:val="0"/>
      <w:marRight w:val="0"/>
      <w:marTop w:val="0"/>
      <w:marBottom w:val="0"/>
      <w:divBdr>
        <w:top w:val="none" w:sz="0" w:space="0" w:color="auto"/>
        <w:left w:val="none" w:sz="0" w:space="0" w:color="auto"/>
        <w:bottom w:val="none" w:sz="0" w:space="0" w:color="auto"/>
        <w:right w:val="none" w:sz="0" w:space="0" w:color="auto"/>
      </w:divBdr>
      <w:divsChild>
        <w:div w:id="1702516882">
          <w:marLeft w:val="0"/>
          <w:marRight w:val="0"/>
          <w:marTop w:val="0"/>
          <w:marBottom w:val="0"/>
          <w:divBdr>
            <w:top w:val="none" w:sz="0" w:space="0" w:color="auto"/>
            <w:left w:val="none" w:sz="0" w:space="0" w:color="auto"/>
            <w:bottom w:val="none" w:sz="0" w:space="0" w:color="auto"/>
            <w:right w:val="none" w:sz="0" w:space="0" w:color="auto"/>
          </w:divBdr>
        </w:div>
      </w:divsChild>
    </w:div>
    <w:div w:id="1817645700">
      <w:bodyDiv w:val="1"/>
      <w:marLeft w:val="0"/>
      <w:marRight w:val="0"/>
      <w:marTop w:val="0"/>
      <w:marBottom w:val="0"/>
      <w:divBdr>
        <w:top w:val="none" w:sz="0" w:space="0" w:color="auto"/>
        <w:left w:val="none" w:sz="0" w:space="0" w:color="auto"/>
        <w:bottom w:val="none" w:sz="0" w:space="0" w:color="auto"/>
        <w:right w:val="none" w:sz="0" w:space="0" w:color="auto"/>
      </w:divBdr>
    </w:div>
    <w:div w:id="1860898633">
      <w:bodyDiv w:val="1"/>
      <w:marLeft w:val="0"/>
      <w:marRight w:val="0"/>
      <w:marTop w:val="0"/>
      <w:marBottom w:val="0"/>
      <w:divBdr>
        <w:top w:val="none" w:sz="0" w:space="0" w:color="auto"/>
        <w:left w:val="none" w:sz="0" w:space="0" w:color="auto"/>
        <w:bottom w:val="none" w:sz="0" w:space="0" w:color="auto"/>
        <w:right w:val="none" w:sz="0" w:space="0" w:color="auto"/>
      </w:divBdr>
    </w:div>
    <w:div w:id="1902520596">
      <w:bodyDiv w:val="1"/>
      <w:marLeft w:val="0"/>
      <w:marRight w:val="0"/>
      <w:marTop w:val="0"/>
      <w:marBottom w:val="0"/>
      <w:divBdr>
        <w:top w:val="none" w:sz="0" w:space="0" w:color="auto"/>
        <w:left w:val="none" w:sz="0" w:space="0" w:color="auto"/>
        <w:bottom w:val="none" w:sz="0" w:space="0" w:color="auto"/>
        <w:right w:val="none" w:sz="0" w:space="0" w:color="auto"/>
      </w:divBdr>
    </w:div>
    <w:div w:id="1914967009">
      <w:bodyDiv w:val="1"/>
      <w:marLeft w:val="0"/>
      <w:marRight w:val="0"/>
      <w:marTop w:val="0"/>
      <w:marBottom w:val="0"/>
      <w:divBdr>
        <w:top w:val="none" w:sz="0" w:space="0" w:color="auto"/>
        <w:left w:val="none" w:sz="0" w:space="0" w:color="auto"/>
        <w:bottom w:val="none" w:sz="0" w:space="0" w:color="auto"/>
        <w:right w:val="none" w:sz="0" w:space="0" w:color="auto"/>
      </w:divBdr>
    </w:div>
    <w:div w:id="1919317528">
      <w:bodyDiv w:val="1"/>
      <w:marLeft w:val="0"/>
      <w:marRight w:val="0"/>
      <w:marTop w:val="0"/>
      <w:marBottom w:val="0"/>
      <w:divBdr>
        <w:top w:val="none" w:sz="0" w:space="0" w:color="auto"/>
        <w:left w:val="none" w:sz="0" w:space="0" w:color="auto"/>
        <w:bottom w:val="none" w:sz="0" w:space="0" w:color="auto"/>
        <w:right w:val="none" w:sz="0" w:space="0" w:color="auto"/>
      </w:divBdr>
      <w:divsChild>
        <w:div w:id="388722964">
          <w:marLeft w:val="0"/>
          <w:marRight w:val="0"/>
          <w:marTop w:val="0"/>
          <w:marBottom w:val="240"/>
          <w:divBdr>
            <w:top w:val="single" w:sz="2" w:space="0" w:color="CECECE"/>
            <w:left w:val="single" w:sz="2" w:space="0" w:color="CECECE"/>
            <w:bottom w:val="single" w:sz="2" w:space="0" w:color="CECECE"/>
            <w:right w:val="single" w:sz="2" w:space="0" w:color="CECECE"/>
          </w:divBdr>
          <w:divsChild>
            <w:div w:id="165140277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47871335">
          <w:marLeft w:val="0"/>
          <w:marRight w:val="0"/>
          <w:marTop w:val="0"/>
          <w:marBottom w:val="240"/>
          <w:divBdr>
            <w:top w:val="single" w:sz="2" w:space="0" w:color="CECECE"/>
            <w:left w:val="single" w:sz="2" w:space="0" w:color="CECECE"/>
            <w:bottom w:val="single" w:sz="2" w:space="0" w:color="CECECE"/>
            <w:right w:val="single" w:sz="2" w:space="0" w:color="CECECE"/>
          </w:divBdr>
          <w:divsChild>
            <w:div w:id="85815730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79456377">
          <w:marLeft w:val="0"/>
          <w:marRight w:val="0"/>
          <w:marTop w:val="0"/>
          <w:marBottom w:val="240"/>
          <w:divBdr>
            <w:top w:val="single" w:sz="2" w:space="0" w:color="CECECE"/>
            <w:left w:val="single" w:sz="2" w:space="0" w:color="CECECE"/>
            <w:bottom w:val="single" w:sz="2" w:space="0" w:color="CECECE"/>
            <w:right w:val="single" w:sz="2" w:space="0" w:color="CECECE"/>
          </w:divBdr>
          <w:divsChild>
            <w:div w:id="208189864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983849605">
          <w:marLeft w:val="0"/>
          <w:marRight w:val="0"/>
          <w:marTop w:val="0"/>
          <w:marBottom w:val="240"/>
          <w:divBdr>
            <w:top w:val="single" w:sz="2" w:space="0" w:color="CECECE"/>
            <w:left w:val="single" w:sz="2" w:space="0" w:color="CECECE"/>
            <w:bottom w:val="single" w:sz="2" w:space="0" w:color="CECECE"/>
            <w:right w:val="single" w:sz="2" w:space="0" w:color="CECECE"/>
          </w:divBdr>
          <w:divsChild>
            <w:div w:id="194596428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78051520">
          <w:marLeft w:val="0"/>
          <w:marRight w:val="0"/>
          <w:marTop w:val="0"/>
          <w:marBottom w:val="240"/>
          <w:divBdr>
            <w:top w:val="single" w:sz="2" w:space="0" w:color="CECECE"/>
            <w:left w:val="single" w:sz="2" w:space="0" w:color="CECECE"/>
            <w:bottom w:val="single" w:sz="2" w:space="0" w:color="CECECE"/>
            <w:right w:val="single" w:sz="2" w:space="0" w:color="CECECE"/>
          </w:divBdr>
          <w:divsChild>
            <w:div w:id="29491447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19126688">
          <w:marLeft w:val="0"/>
          <w:marRight w:val="0"/>
          <w:marTop w:val="0"/>
          <w:marBottom w:val="240"/>
          <w:divBdr>
            <w:top w:val="single" w:sz="2" w:space="0" w:color="CECECE"/>
            <w:left w:val="single" w:sz="2" w:space="0" w:color="CECECE"/>
            <w:bottom w:val="single" w:sz="2" w:space="0" w:color="CECECE"/>
            <w:right w:val="single" w:sz="2" w:space="0" w:color="CECECE"/>
          </w:divBdr>
          <w:divsChild>
            <w:div w:id="28069632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126195479">
          <w:marLeft w:val="0"/>
          <w:marRight w:val="0"/>
          <w:marTop w:val="0"/>
          <w:marBottom w:val="240"/>
          <w:divBdr>
            <w:top w:val="single" w:sz="2" w:space="0" w:color="CECECE"/>
            <w:left w:val="single" w:sz="2" w:space="0" w:color="CECECE"/>
            <w:bottom w:val="single" w:sz="2" w:space="0" w:color="CECECE"/>
            <w:right w:val="single" w:sz="2" w:space="0" w:color="CECECE"/>
          </w:divBdr>
          <w:divsChild>
            <w:div w:id="109343085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67062477">
          <w:marLeft w:val="0"/>
          <w:marRight w:val="0"/>
          <w:marTop w:val="0"/>
          <w:marBottom w:val="240"/>
          <w:divBdr>
            <w:top w:val="single" w:sz="2" w:space="0" w:color="CECECE"/>
            <w:left w:val="single" w:sz="2" w:space="0" w:color="CECECE"/>
            <w:bottom w:val="single" w:sz="2" w:space="0" w:color="CECECE"/>
            <w:right w:val="single" w:sz="2" w:space="0" w:color="CECECE"/>
          </w:divBdr>
          <w:divsChild>
            <w:div w:id="69778260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128573099">
          <w:marLeft w:val="0"/>
          <w:marRight w:val="0"/>
          <w:marTop w:val="0"/>
          <w:marBottom w:val="240"/>
          <w:divBdr>
            <w:top w:val="single" w:sz="2" w:space="0" w:color="CECECE"/>
            <w:left w:val="single" w:sz="2" w:space="0" w:color="CECECE"/>
            <w:bottom w:val="single" w:sz="2" w:space="0" w:color="CECECE"/>
            <w:right w:val="single" w:sz="2" w:space="0" w:color="CECECE"/>
          </w:divBdr>
          <w:divsChild>
            <w:div w:id="139122589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78919825">
          <w:marLeft w:val="0"/>
          <w:marRight w:val="0"/>
          <w:marTop w:val="0"/>
          <w:marBottom w:val="240"/>
          <w:divBdr>
            <w:top w:val="single" w:sz="2" w:space="0" w:color="CECECE"/>
            <w:left w:val="single" w:sz="2" w:space="0" w:color="CECECE"/>
            <w:bottom w:val="single" w:sz="2" w:space="0" w:color="CECECE"/>
            <w:right w:val="single" w:sz="2" w:space="0" w:color="CECECE"/>
          </w:divBdr>
          <w:divsChild>
            <w:div w:id="82281364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89904803">
          <w:marLeft w:val="0"/>
          <w:marRight w:val="0"/>
          <w:marTop w:val="0"/>
          <w:marBottom w:val="240"/>
          <w:divBdr>
            <w:top w:val="single" w:sz="2" w:space="0" w:color="CECECE"/>
            <w:left w:val="single" w:sz="2" w:space="0" w:color="CECECE"/>
            <w:bottom w:val="single" w:sz="2" w:space="0" w:color="CECECE"/>
            <w:right w:val="single" w:sz="2" w:space="0" w:color="CECECE"/>
          </w:divBdr>
          <w:divsChild>
            <w:div w:id="13410468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48436089">
          <w:marLeft w:val="0"/>
          <w:marRight w:val="0"/>
          <w:marTop w:val="0"/>
          <w:marBottom w:val="240"/>
          <w:divBdr>
            <w:top w:val="single" w:sz="2" w:space="0" w:color="CECECE"/>
            <w:left w:val="single" w:sz="2" w:space="0" w:color="CECECE"/>
            <w:bottom w:val="single" w:sz="2" w:space="0" w:color="CECECE"/>
            <w:right w:val="single" w:sz="2" w:space="0" w:color="CECECE"/>
          </w:divBdr>
          <w:divsChild>
            <w:div w:id="50221087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75092617">
          <w:marLeft w:val="0"/>
          <w:marRight w:val="0"/>
          <w:marTop w:val="0"/>
          <w:marBottom w:val="240"/>
          <w:divBdr>
            <w:top w:val="single" w:sz="2" w:space="0" w:color="CECECE"/>
            <w:left w:val="single" w:sz="2" w:space="0" w:color="CECECE"/>
            <w:bottom w:val="single" w:sz="2" w:space="0" w:color="CECECE"/>
            <w:right w:val="single" w:sz="2" w:space="0" w:color="CECECE"/>
          </w:divBdr>
          <w:divsChild>
            <w:div w:id="199355964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2620414">
          <w:marLeft w:val="0"/>
          <w:marRight w:val="0"/>
          <w:marTop w:val="0"/>
          <w:marBottom w:val="240"/>
          <w:divBdr>
            <w:top w:val="single" w:sz="2" w:space="0" w:color="CECECE"/>
            <w:left w:val="single" w:sz="2" w:space="0" w:color="CECECE"/>
            <w:bottom w:val="single" w:sz="2" w:space="0" w:color="CECECE"/>
            <w:right w:val="single" w:sz="2" w:space="0" w:color="CECECE"/>
          </w:divBdr>
          <w:divsChild>
            <w:div w:id="184077579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33489996">
          <w:marLeft w:val="0"/>
          <w:marRight w:val="0"/>
          <w:marTop w:val="0"/>
          <w:marBottom w:val="240"/>
          <w:divBdr>
            <w:top w:val="single" w:sz="2" w:space="0" w:color="CECECE"/>
            <w:left w:val="single" w:sz="2" w:space="0" w:color="CECECE"/>
            <w:bottom w:val="single" w:sz="2" w:space="0" w:color="CECECE"/>
            <w:right w:val="single" w:sz="2" w:space="0" w:color="CECECE"/>
          </w:divBdr>
          <w:divsChild>
            <w:div w:id="145833243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15420747">
          <w:marLeft w:val="0"/>
          <w:marRight w:val="0"/>
          <w:marTop w:val="0"/>
          <w:marBottom w:val="240"/>
          <w:divBdr>
            <w:top w:val="single" w:sz="2" w:space="0" w:color="CECECE"/>
            <w:left w:val="single" w:sz="2" w:space="0" w:color="CECECE"/>
            <w:bottom w:val="single" w:sz="2" w:space="0" w:color="CECECE"/>
            <w:right w:val="single" w:sz="2" w:space="0" w:color="CECECE"/>
          </w:divBdr>
          <w:divsChild>
            <w:div w:id="181444981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71512493">
          <w:marLeft w:val="0"/>
          <w:marRight w:val="0"/>
          <w:marTop w:val="0"/>
          <w:marBottom w:val="240"/>
          <w:divBdr>
            <w:top w:val="single" w:sz="2" w:space="0" w:color="CECECE"/>
            <w:left w:val="single" w:sz="2" w:space="0" w:color="CECECE"/>
            <w:bottom w:val="single" w:sz="2" w:space="0" w:color="CECECE"/>
            <w:right w:val="single" w:sz="2" w:space="0" w:color="CECECE"/>
          </w:divBdr>
          <w:divsChild>
            <w:div w:id="92453674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35208713">
          <w:marLeft w:val="0"/>
          <w:marRight w:val="0"/>
          <w:marTop w:val="0"/>
          <w:marBottom w:val="240"/>
          <w:divBdr>
            <w:top w:val="single" w:sz="2" w:space="0" w:color="CECECE"/>
            <w:left w:val="single" w:sz="2" w:space="0" w:color="CECECE"/>
            <w:bottom w:val="single" w:sz="2" w:space="0" w:color="CECECE"/>
            <w:right w:val="single" w:sz="2" w:space="0" w:color="CECECE"/>
          </w:divBdr>
          <w:divsChild>
            <w:div w:id="120829846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6215817">
          <w:marLeft w:val="0"/>
          <w:marRight w:val="0"/>
          <w:marTop w:val="0"/>
          <w:marBottom w:val="240"/>
          <w:divBdr>
            <w:top w:val="single" w:sz="2" w:space="0" w:color="CECECE"/>
            <w:left w:val="single" w:sz="2" w:space="0" w:color="CECECE"/>
            <w:bottom w:val="single" w:sz="2" w:space="0" w:color="CECECE"/>
            <w:right w:val="single" w:sz="2" w:space="0" w:color="CECECE"/>
          </w:divBdr>
          <w:divsChild>
            <w:div w:id="25212837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3790932">
          <w:marLeft w:val="0"/>
          <w:marRight w:val="0"/>
          <w:marTop w:val="0"/>
          <w:marBottom w:val="240"/>
          <w:divBdr>
            <w:top w:val="single" w:sz="2" w:space="0" w:color="CECECE"/>
            <w:left w:val="single" w:sz="2" w:space="0" w:color="CECECE"/>
            <w:bottom w:val="single" w:sz="2" w:space="0" w:color="CECECE"/>
            <w:right w:val="single" w:sz="2" w:space="0" w:color="CECECE"/>
          </w:divBdr>
          <w:divsChild>
            <w:div w:id="1696467992">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1919972548">
      <w:bodyDiv w:val="1"/>
      <w:marLeft w:val="0"/>
      <w:marRight w:val="0"/>
      <w:marTop w:val="0"/>
      <w:marBottom w:val="0"/>
      <w:divBdr>
        <w:top w:val="none" w:sz="0" w:space="0" w:color="auto"/>
        <w:left w:val="none" w:sz="0" w:space="0" w:color="auto"/>
        <w:bottom w:val="none" w:sz="0" w:space="0" w:color="auto"/>
        <w:right w:val="none" w:sz="0" w:space="0" w:color="auto"/>
      </w:divBdr>
    </w:div>
    <w:div w:id="1922331901">
      <w:bodyDiv w:val="1"/>
      <w:marLeft w:val="0"/>
      <w:marRight w:val="0"/>
      <w:marTop w:val="0"/>
      <w:marBottom w:val="0"/>
      <w:divBdr>
        <w:top w:val="none" w:sz="0" w:space="0" w:color="auto"/>
        <w:left w:val="none" w:sz="0" w:space="0" w:color="auto"/>
        <w:bottom w:val="none" w:sz="0" w:space="0" w:color="auto"/>
        <w:right w:val="none" w:sz="0" w:space="0" w:color="auto"/>
      </w:divBdr>
      <w:divsChild>
        <w:div w:id="1198927791">
          <w:marLeft w:val="0"/>
          <w:marRight w:val="0"/>
          <w:marTop w:val="0"/>
          <w:marBottom w:val="0"/>
          <w:divBdr>
            <w:top w:val="none" w:sz="0" w:space="0" w:color="auto"/>
            <w:left w:val="none" w:sz="0" w:space="0" w:color="auto"/>
            <w:bottom w:val="none" w:sz="0" w:space="0" w:color="auto"/>
            <w:right w:val="none" w:sz="0" w:space="0" w:color="auto"/>
          </w:divBdr>
        </w:div>
      </w:divsChild>
    </w:div>
    <w:div w:id="1963149919">
      <w:bodyDiv w:val="1"/>
      <w:marLeft w:val="0"/>
      <w:marRight w:val="0"/>
      <w:marTop w:val="0"/>
      <w:marBottom w:val="0"/>
      <w:divBdr>
        <w:top w:val="none" w:sz="0" w:space="0" w:color="auto"/>
        <w:left w:val="none" w:sz="0" w:space="0" w:color="auto"/>
        <w:bottom w:val="none" w:sz="0" w:space="0" w:color="auto"/>
        <w:right w:val="none" w:sz="0" w:space="0" w:color="auto"/>
      </w:divBdr>
      <w:divsChild>
        <w:div w:id="1243366844">
          <w:marLeft w:val="0"/>
          <w:marRight w:val="0"/>
          <w:marTop w:val="0"/>
          <w:marBottom w:val="240"/>
          <w:divBdr>
            <w:top w:val="single" w:sz="2" w:space="0" w:color="CECECE"/>
            <w:left w:val="single" w:sz="2" w:space="0" w:color="CECECE"/>
            <w:bottom w:val="single" w:sz="2" w:space="0" w:color="CECECE"/>
            <w:right w:val="single" w:sz="2" w:space="0" w:color="CECECE"/>
          </w:divBdr>
          <w:divsChild>
            <w:div w:id="167464991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957832223">
          <w:marLeft w:val="0"/>
          <w:marRight w:val="0"/>
          <w:marTop w:val="0"/>
          <w:marBottom w:val="240"/>
          <w:divBdr>
            <w:top w:val="single" w:sz="2" w:space="0" w:color="CECECE"/>
            <w:left w:val="single" w:sz="2" w:space="0" w:color="CECECE"/>
            <w:bottom w:val="single" w:sz="2" w:space="0" w:color="CECECE"/>
            <w:right w:val="single" w:sz="2" w:space="0" w:color="CECECE"/>
          </w:divBdr>
          <w:divsChild>
            <w:div w:id="1271930418">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1998265316">
      <w:bodyDiv w:val="1"/>
      <w:marLeft w:val="0"/>
      <w:marRight w:val="0"/>
      <w:marTop w:val="0"/>
      <w:marBottom w:val="0"/>
      <w:divBdr>
        <w:top w:val="none" w:sz="0" w:space="0" w:color="auto"/>
        <w:left w:val="none" w:sz="0" w:space="0" w:color="auto"/>
        <w:bottom w:val="none" w:sz="0" w:space="0" w:color="auto"/>
        <w:right w:val="none" w:sz="0" w:space="0" w:color="auto"/>
      </w:divBdr>
    </w:div>
    <w:div w:id="2004578082">
      <w:bodyDiv w:val="1"/>
      <w:marLeft w:val="0"/>
      <w:marRight w:val="0"/>
      <w:marTop w:val="0"/>
      <w:marBottom w:val="0"/>
      <w:divBdr>
        <w:top w:val="none" w:sz="0" w:space="0" w:color="auto"/>
        <w:left w:val="none" w:sz="0" w:space="0" w:color="auto"/>
        <w:bottom w:val="none" w:sz="0" w:space="0" w:color="auto"/>
        <w:right w:val="none" w:sz="0" w:space="0" w:color="auto"/>
      </w:divBdr>
    </w:div>
    <w:div w:id="2081440248">
      <w:bodyDiv w:val="1"/>
      <w:marLeft w:val="0"/>
      <w:marRight w:val="0"/>
      <w:marTop w:val="0"/>
      <w:marBottom w:val="0"/>
      <w:divBdr>
        <w:top w:val="none" w:sz="0" w:space="0" w:color="auto"/>
        <w:left w:val="none" w:sz="0" w:space="0" w:color="auto"/>
        <w:bottom w:val="none" w:sz="0" w:space="0" w:color="auto"/>
        <w:right w:val="none" w:sz="0" w:space="0" w:color="auto"/>
      </w:divBdr>
      <w:divsChild>
        <w:div w:id="242299911">
          <w:marLeft w:val="0"/>
          <w:marRight w:val="0"/>
          <w:marTop w:val="0"/>
          <w:marBottom w:val="0"/>
          <w:divBdr>
            <w:top w:val="none" w:sz="0" w:space="0" w:color="auto"/>
            <w:left w:val="none" w:sz="0" w:space="0" w:color="auto"/>
            <w:bottom w:val="none" w:sz="0" w:space="0" w:color="auto"/>
            <w:right w:val="none" w:sz="0" w:space="0" w:color="auto"/>
          </w:divBdr>
          <w:divsChild>
            <w:div w:id="49992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86117">
      <w:bodyDiv w:val="1"/>
      <w:marLeft w:val="0"/>
      <w:marRight w:val="0"/>
      <w:marTop w:val="0"/>
      <w:marBottom w:val="0"/>
      <w:divBdr>
        <w:top w:val="none" w:sz="0" w:space="0" w:color="auto"/>
        <w:left w:val="none" w:sz="0" w:space="0" w:color="auto"/>
        <w:bottom w:val="none" w:sz="0" w:space="0" w:color="auto"/>
        <w:right w:val="none" w:sz="0" w:space="0" w:color="auto"/>
      </w:divBdr>
      <w:divsChild>
        <w:div w:id="544175125">
          <w:marLeft w:val="0"/>
          <w:marRight w:val="0"/>
          <w:marTop w:val="0"/>
          <w:marBottom w:val="0"/>
          <w:divBdr>
            <w:top w:val="none" w:sz="0" w:space="0" w:color="auto"/>
            <w:left w:val="none" w:sz="0" w:space="0" w:color="auto"/>
            <w:bottom w:val="none" w:sz="0" w:space="0" w:color="auto"/>
            <w:right w:val="none" w:sz="0" w:space="0" w:color="auto"/>
          </w:divBdr>
          <w:divsChild>
            <w:div w:id="103792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45966-264C-49E7-8A92-986857346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66</Pages>
  <Words>19481</Words>
  <Characters>111046</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2026-01-31T09:52:00Z</dcterms:created>
  <dcterms:modified xsi:type="dcterms:W3CDTF">2026-08-13T03:48:00Z</dcterms:modified>
</cp:coreProperties>
</file>