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0C1F" w:rsidRDefault="00790C1F" w:rsidP="00181FDE">
      <w:pPr>
        <w:rPr>
          <w:b/>
          <w:u w:val="single"/>
        </w:rPr>
      </w:pPr>
      <w:r>
        <w:rPr>
          <w:b/>
          <w:u w:val="single"/>
        </w:rPr>
        <w:t>Section 1</w:t>
      </w:r>
    </w:p>
    <w:p w:rsidR="00133BDC" w:rsidRDefault="002135B2" w:rsidP="00181FDE">
      <w:pPr>
        <w:rPr>
          <w:b/>
          <w:u w:val="single"/>
        </w:rPr>
      </w:pPr>
      <w:r>
        <w:rPr>
          <w:b/>
          <w:u w:val="single"/>
        </w:rPr>
        <w:t>Word count: 3012</w:t>
      </w:r>
    </w:p>
    <w:p w:rsidR="004336B9" w:rsidRDefault="00D03280" w:rsidP="00181FDE">
      <w:pPr>
        <w:rPr>
          <w:b/>
          <w:u w:val="single"/>
        </w:rPr>
      </w:pPr>
      <w:r>
        <w:rPr>
          <w:b/>
          <w:u w:val="single"/>
        </w:rPr>
        <w:t>Executive Summary</w:t>
      </w:r>
    </w:p>
    <w:p w:rsidR="00D03280" w:rsidRDefault="00D03280" w:rsidP="00181FDE">
      <w:r>
        <w:t>This report will provide an outline to the use of evidence based practice in an organisation and how it can be effectively used to make more informed decisions in the workplace.</w:t>
      </w:r>
    </w:p>
    <w:p w:rsidR="00D03280" w:rsidRDefault="00D03280" w:rsidP="00181FDE">
      <w:pPr>
        <w:rPr>
          <w:b/>
          <w:u w:val="single"/>
        </w:rPr>
      </w:pPr>
      <w:r w:rsidRPr="00D03280">
        <w:rPr>
          <w:b/>
          <w:u w:val="single"/>
        </w:rPr>
        <w:t xml:space="preserve">Methodology </w:t>
      </w:r>
    </w:p>
    <w:p w:rsidR="00D03280" w:rsidRDefault="006C1D2C" w:rsidP="00181FDE">
      <w:r>
        <w:t>This report is based on credible findings from books, podcasts, websites, reports and factsheets.</w:t>
      </w:r>
    </w:p>
    <w:p w:rsidR="006C1D2C" w:rsidRDefault="006C1D2C" w:rsidP="00181FDE"/>
    <w:p w:rsidR="006C1D2C" w:rsidRPr="006C1D2C" w:rsidRDefault="006C1D2C" w:rsidP="006C1D2C">
      <w:pPr>
        <w:ind w:firstLine="360"/>
        <w:rPr>
          <w:b/>
          <w:u w:val="single"/>
        </w:rPr>
      </w:pPr>
      <w:r w:rsidRPr="006C1D2C">
        <w:rPr>
          <w:b/>
          <w:u w:val="single"/>
        </w:rPr>
        <w:t>Approaches to evidence based practice</w:t>
      </w:r>
      <w:r>
        <w:rPr>
          <w:b/>
          <w:u w:val="single"/>
        </w:rPr>
        <w:t xml:space="preserve"> (AC 1.1)</w:t>
      </w:r>
    </w:p>
    <w:p w:rsidR="001A622F" w:rsidRDefault="002F0E57" w:rsidP="001A622F">
      <w:pPr>
        <w:pStyle w:val="BodyText"/>
        <w:spacing w:before="162" w:line="264" w:lineRule="auto"/>
        <w:ind w:left="360" w:right="283"/>
        <w:jc w:val="both"/>
        <w:rPr>
          <w:rFonts w:asciiTheme="minorHAnsi" w:hAnsiTheme="minorHAnsi" w:cstheme="minorHAnsi"/>
        </w:rPr>
      </w:pPr>
      <w:r>
        <w:rPr>
          <w:rFonts w:asciiTheme="minorHAnsi" w:hAnsiTheme="minorHAnsi" w:cstheme="minorHAnsi"/>
        </w:rPr>
        <w:t xml:space="preserve">Evidence-based practice (EBP) is the view that good decision making comes from critically evaluating the best appropriate evidence </w:t>
      </w:r>
      <w:r w:rsidR="00F005F3">
        <w:rPr>
          <w:rFonts w:asciiTheme="minorHAnsi" w:hAnsiTheme="minorHAnsi" w:cstheme="minorHAnsi"/>
        </w:rPr>
        <w:t xml:space="preserve">from varying sources (Young, </w:t>
      </w:r>
      <w:r>
        <w:rPr>
          <w:rFonts w:asciiTheme="minorHAnsi" w:hAnsiTheme="minorHAnsi" w:cstheme="minorHAnsi"/>
        </w:rPr>
        <w:t>2023</w:t>
      </w:r>
      <w:r w:rsidR="00D722C7">
        <w:rPr>
          <w:rFonts w:asciiTheme="minorHAnsi" w:hAnsiTheme="minorHAnsi" w:cstheme="minorHAnsi"/>
        </w:rPr>
        <w:t>a</w:t>
      </w:r>
      <w:r>
        <w:rPr>
          <w:rFonts w:asciiTheme="minorHAnsi" w:hAnsiTheme="minorHAnsi" w:cstheme="minorHAnsi"/>
        </w:rPr>
        <w:t>).</w:t>
      </w:r>
      <w:r w:rsidR="008B5A01">
        <w:rPr>
          <w:rFonts w:asciiTheme="minorHAnsi" w:hAnsiTheme="minorHAnsi" w:cstheme="minorHAnsi"/>
        </w:rPr>
        <w:t xml:space="preserve">  The purpose of using EBP is to avoid</w:t>
      </w:r>
      <w:r w:rsidR="00E3591F">
        <w:rPr>
          <w:rFonts w:asciiTheme="minorHAnsi" w:hAnsiTheme="minorHAnsi" w:cstheme="minorHAnsi"/>
        </w:rPr>
        <w:t xml:space="preserve"> common bias and psychological traps such as confirmation bias, false analogy, availability bias, tunnel vision, vividness, sunk cost fallacy and loss aversion, which could impair our decision making.  An example model of EBP is </w:t>
      </w:r>
      <w:r w:rsidR="005D1910">
        <w:rPr>
          <w:rFonts w:asciiTheme="minorHAnsi" w:hAnsiTheme="minorHAnsi" w:cstheme="minorHAnsi"/>
        </w:rPr>
        <w:t xml:space="preserve">set out by </w:t>
      </w:r>
      <w:proofErr w:type="spellStart"/>
      <w:r w:rsidR="005D1910">
        <w:rPr>
          <w:rFonts w:asciiTheme="minorHAnsi" w:hAnsiTheme="minorHAnsi" w:cstheme="minorHAnsi"/>
        </w:rPr>
        <w:t>Barends</w:t>
      </w:r>
      <w:proofErr w:type="spellEnd"/>
      <w:r w:rsidR="005D1910">
        <w:rPr>
          <w:rFonts w:asciiTheme="minorHAnsi" w:hAnsiTheme="minorHAnsi" w:cstheme="minorHAnsi"/>
        </w:rPr>
        <w:t>, Rousseau and Briner (</w:t>
      </w:r>
      <w:r w:rsidR="005D1910" w:rsidRPr="005D1910">
        <w:rPr>
          <w:rFonts w:asciiTheme="minorHAnsi" w:hAnsiTheme="minorHAnsi" w:cstheme="minorHAnsi"/>
        </w:rPr>
        <w:t>2014)</w:t>
      </w:r>
      <w:r w:rsidR="005D1910">
        <w:rPr>
          <w:rFonts w:asciiTheme="minorHAnsi" w:hAnsiTheme="minorHAnsi" w:cstheme="minorHAnsi"/>
        </w:rPr>
        <w:t>:</w:t>
      </w:r>
    </w:p>
    <w:p w:rsidR="00D65BFE" w:rsidRDefault="00176FC4" w:rsidP="00465EE0">
      <w:pPr>
        <w:pStyle w:val="BodyText"/>
        <w:spacing w:before="162" w:line="264" w:lineRule="auto"/>
        <w:ind w:right="283"/>
        <w:jc w:val="center"/>
        <w:rPr>
          <w:rFonts w:cstheme="minorHAnsi"/>
          <w:sz w:val="24"/>
        </w:rPr>
      </w:pPr>
      <w:r>
        <w:rPr>
          <w:rFonts w:asciiTheme="minorHAnsi" w:hAnsiTheme="minorHAnsi" w:cstheme="minorHAnsi"/>
          <w:b/>
          <w:noProof/>
          <w:lang w:eastAsia="en-GB"/>
        </w:rPr>
        <w:drawing>
          <wp:inline distT="0" distB="0" distL="0" distR="0">
            <wp:extent cx="4244966" cy="26746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10-15 17534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2680" cy="2685781"/>
                    </a:xfrm>
                    <a:prstGeom prst="rect">
                      <a:avLst/>
                    </a:prstGeom>
                  </pic:spPr>
                </pic:pic>
              </a:graphicData>
            </a:graphic>
          </wp:inline>
        </w:drawing>
      </w:r>
    </w:p>
    <w:p w:rsidR="005C600A" w:rsidRDefault="00D65BFE" w:rsidP="00D65BFE">
      <w:pPr>
        <w:pStyle w:val="BodyText"/>
        <w:spacing w:before="162" w:line="264" w:lineRule="auto"/>
        <w:ind w:right="283" w:firstLine="360"/>
        <w:jc w:val="both"/>
        <w:rPr>
          <w:rFonts w:asciiTheme="minorHAnsi" w:hAnsiTheme="minorHAnsi" w:cstheme="minorHAnsi"/>
        </w:rPr>
      </w:pPr>
      <w:r>
        <w:rPr>
          <w:rFonts w:asciiTheme="minorHAnsi" w:hAnsiTheme="minorHAnsi" w:cstheme="minorHAnsi"/>
        </w:rPr>
        <w:t>There are four sources of evidence that should be considered when making decisions:</w:t>
      </w:r>
    </w:p>
    <w:p w:rsidR="00176FC4" w:rsidRPr="00176FC4" w:rsidRDefault="00D65BFE" w:rsidP="00176FC4">
      <w:pPr>
        <w:pStyle w:val="BodyText"/>
        <w:numPr>
          <w:ilvl w:val="0"/>
          <w:numId w:val="32"/>
        </w:numPr>
        <w:spacing w:before="162" w:line="264" w:lineRule="auto"/>
        <w:ind w:right="283"/>
        <w:jc w:val="both"/>
        <w:rPr>
          <w:rFonts w:asciiTheme="minorHAnsi" w:hAnsiTheme="minorHAnsi" w:cstheme="minorHAnsi"/>
        </w:rPr>
      </w:pPr>
      <w:r>
        <w:rPr>
          <w:rFonts w:asciiTheme="minorHAnsi" w:hAnsiTheme="minorHAnsi" w:cstheme="minorHAnsi"/>
        </w:rPr>
        <w:t xml:space="preserve">Scientific </w:t>
      </w:r>
      <w:r w:rsidR="00465EE0">
        <w:rPr>
          <w:rFonts w:asciiTheme="minorHAnsi" w:hAnsiTheme="minorHAnsi" w:cstheme="minorHAnsi"/>
        </w:rPr>
        <w:t>research</w:t>
      </w:r>
      <w:r>
        <w:rPr>
          <w:rFonts w:asciiTheme="minorHAnsi" w:hAnsiTheme="minorHAnsi" w:cstheme="minorHAnsi"/>
        </w:rPr>
        <w:t xml:space="preserve"> </w:t>
      </w:r>
      <w:r w:rsidR="00176FC4">
        <w:rPr>
          <w:rFonts w:asciiTheme="minorHAnsi" w:hAnsiTheme="minorHAnsi" w:cstheme="minorHAnsi"/>
        </w:rPr>
        <w:t xml:space="preserve">– Published scientific findings from </w:t>
      </w:r>
      <w:r w:rsidR="00465EE0">
        <w:rPr>
          <w:rFonts w:asciiTheme="minorHAnsi" w:hAnsiTheme="minorHAnsi" w:cstheme="minorHAnsi"/>
        </w:rPr>
        <w:t xml:space="preserve">scientific </w:t>
      </w:r>
      <w:r w:rsidR="00176FC4">
        <w:rPr>
          <w:rFonts w:asciiTheme="minorHAnsi" w:hAnsiTheme="minorHAnsi" w:cstheme="minorHAnsi"/>
        </w:rPr>
        <w:t>rese</w:t>
      </w:r>
      <w:r w:rsidR="00465EE0">
        <w:rPr>
          <w:rFonts w:asciiTheme="minorHAnsi" w:hAnsiTheme="minorHAnsi" w:cstheme="minorHAnsi"/>
        </w:rPr>
        <w:t>arch e.g. academic journals.</w:t>
      </w:r>
    </w:p>
    <w:p w:rsidR="00D65BFE" w:rsidRDefault="00176FC4" w:rsidP="00D65BFE">
      <w:pPr>
        <w:pStyle w:val="BodyText"/>
        <w:numPr>
          <w:ilvl w:val="0"/>
          <w:numId w:val="32"/>
        </w:numPr>
        <w:spacing w:before="162" w:line="264" w:lineRule="auto"/>
        <w:ind w:right="283"/>
        <w:jc w:val="both"/>
        <w:rPr>
          <w:rFonts w:asciiTheme="minorHAnsi" w:hAnsiTheme="minorHAnsi" w:cstheme="minorHAnsi"/>
        </w:rPr>
      </w:pPr>
      <w:r>
        <w:rPr>
          <w:rFonts w:asciiTheme="minorHAnsi" w:hAnsiTheme="minorHAnsi" w:cstheme="minorHAnsi"/>
        </w:rPr>
        <w:t>P</w:t>
      </w:r>
      <w:r w:rsidR="00D65BFE">
        <w:rPr>
          <w:rFonts w:asciiTheme="minorHAnsi" w:hAnsiTheme="minorHAnsi" w:cstheme="minorHAnsi"/>
        </w:rPr>
        <w:t>r</w:t>
      </w:r>
      <w:r w:rsidR="00465EE0">
        <w:rPr>
          <w:rFonts w:asciiTheme="minorHAnsi" w:hAnsiTheme="minorHAnsi" w:cstheme="minorHAnsi"/>
        </w:rPr>
        <w:t>ofessional experience and Judgment</w:t>
      </w:r>
      <w:r>
        <w:rPr>
          <w:rFonts w:asciiTheme="minorHAnsi" w:hAnsiTheme="minorHAnsi" w:cstheme="minorHAnsi"/>
        </w:rPr>
        <w:t xml:space="preserve"> – Expertise and Judgment of business leaders, managers and consultants.</w:t>
      </w:r>
      <w:r w:rsidR="00465EE0">
        <w:rPr>
          <w:rFonts w:asciiTheme="minorHAnsi" w:hAnsiTheme="minorHAnsi" w:cstheme="minorHAnsi"/>
        </w:rPr>
        <w:t xml:space="preserve">  Not based on opinion but based on reflection from previous outcomes in similar situations and from certain actions.</w:t>
      </w:r>
      <w:r>
        <w:rPr>
          <w:rFonts w:asciiTheme="minorHAnsi" w:hAnsiTheme="minorHAnsi" w:cstheme="minorHAnsi"/>
        </w:rPr>
        <w:t xml:space="preserve">   </w:t>
      </w:r>
    </w:p>
    <w:p w:rsidR="00D65BFE" w:rsidRDefault="00D65BFE" w:rsidP="00D65BFE">
      <w:pPr>
        <w:pStyle w:val="BodyText"/>
        <w:numPr>
          <w:ilvl w:val="0"/>
          <w:numId w:val="32"/>
        </w:numPr>
        <w:spacing w:before="162" w:line="264" w:lineRule="auto"/>
        <w:ind w:right="283"/>
        <w:jc w:val="both"/>
        <w:rPr>
          <w:rFonts w:asciiTheme="minorHAnsi" w:hAnsiTheme="minorHAnsi" w:cstheme="minorHAnsi"/>
        </w:rPr>
      </w:pPr>
      <w:r>
        <w:rPr>
          <w:rFonts w:asciiTheme="minorHAnsi" w:hAnsiTheme="minorHAnsi" w:cstheme="minorHAnsi"/>
        </w:rPr>
        <w:t>Stakeholders</w:t>
      </w:r>
      <w:r w:rsidR="00465EE0">
        <w:rPr>
          <w:rFonts w:asciiTheme="minorHAnsi" w:hAnsiTheme="minorHAnsi" w:cstheme="minorHAnsi"/>
        </w:rPr>
        <w:t xml:space="preserve"> – Stakeholders include anyone who is effected by decisions made by the organisation and the consequences of such.  Internal stakeholders are employees, board members and managers.  External stakeholders are members of the public, customers, suppliers etc. This is important for ethical reasons and also to provide an understanding of their values and concerns.  </w:t>
      </w:r>
    </w:p>
    <w:p w:rsidR="00D65BFE" w:rsidRDefault="00465EE0" w:rsidP="00D65BFE">
      <w:pPr>
        <w:pStyle w:val="BodyText"/>
        <w:numPr>
          <w:ilvl w:val="0"/>
          <w:numId w:val="32"/>
        </w:numPr>
        <w:spacing w:before="162" w:line="264" w:lineRule="auto"/>
        <w:ind w:right="283"/>
        <w:jc w:val="both"/>
        <w:rPr>
          <w:rFonts w:asciiTheme="minorHAnsi" w:hAnsiTheme="minorHAnsi" w:cstheme="minorHAnsi"/>
        </w:rPr>
      </w:pPr>
      <w:r>
        <w:rPr>
          <w:rFonts w:asciiTheme="minorHAnsi" w:hAnsiTheme="minorHAnsi" w:cstheme="minorHAnsi"/>
        </w:rPr>
        <w:lastRenderedPageBreak/>
        <w:t>Organis</w:t>
      </w:r>
      <w:r w:rsidR="00D65BFE">
        <w:rPr>
          <w:rFonts w:asciiTheme="minorHAnsi" w:hAnsiTheme="minorHAnsi" w:cstheme="minorHAnsi"/>
        </w:rPr>
        <w:t>ation</w:t>
      </w:r>
      <w:r>
        <w:rPr>
          <w:rFonts w:asciiTheme="minorHAnsi" w:hAnsiTheme="minorHAnsi" w:cstheme="minorHAnsi"/>
        </w:rPr>
        <w:t xml:space="preserve">al data – Essential for identifying problems that need addressing in an organisation.  The data can come from customers/clients or employees and can be in the form of hard data such as figures/numbers or soft data such as perceptions or attitudes.  </w:t>
      </w:r>
    </w:p>
    <w:p w:rsidR="00772358" w:rsidRDefault="00772358" w:rsidP="00772358">
      <w:pPr>
        <w:pStyle w:val="BodyText"/>
        <w:spacing w:before="162" w:line="264" w:lineRule="auto"/>
        <w:ind w:left="720" w:right="283"/>
        <w:jc w:val="center"/>
        <w:rPr>
          <w:rFonts w:asciiTheme="minorHAnsi" w:hAnsiTheme="minorHAnsi" w:cstheme="minorHAnsi"/>
        </w:rPr>
      </w:pPr>
      <w:r>
        <w:rPr>
          <w:rFonts w:asciiTheme="minorHAnsi" w:hAnsiTheme="minorHAnsi" w:cstheme="minorHAnsi"/>
          <w:noProof/>
          <w:lang w:eastAsia="en-GB"/>
        </w:rPr>
        <w:drawing>
          <wp:inline distT="0" distB="0" distL="0" distR="0">
            <wp:extent cx="3657600" cy="39094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10-15 181351.png"/>
                    <pic:cNvPicPr/>
                  </pic:nvPicPr>
                  <pic:blipFill>
                    <a:blip r:embed="rId9">
                      <a:extLst>
                        <a:ext uri="{28A0092B-C50C-407E-A947-70E740481C1C}">
                          <a14:useLocalDpi xmlns:a14="http://schemas.microsoft.com/office/drawing/2010/main" val="0"/>
                        </a:ext>
                      </a:extLst>
                    </a:blip>
                    <a:stretch>
                      <a:fillRect/>
                    </a:stretch>
                  </pic:blipFill>
                  <pic:spPr>
                    <a:xfrm>
                      <a:off x="0" y="0"/>
                      <a:ext cx="3688207" cy="3942150"/>
                    </a:xfrm>
                    <a:prstGeom prst="rect">
                      <a:avLst/>
                    </a:prstGeom>
                  </pic:spPr>
                </pic:pic>
              </a:graphicData>
            </a:graphic>
          </wp:inline>
        </w:drawing>
      </w:r>
    </w:p>
    <w:p w:rsidR="00772358" w:rsidRDefault="00772358" w:rsidP="00772358">
      <w:pPr>
        <w:pStyle w:val="BodyText"/>
        <w:spacing w:before="162" w:line="264" w:lineRule="auto"/>
        <w:ind w:left="720" w:right="283"/>
        <w:jc w:val="both"/>
        <w:rPr>
          <w:rFonts w:asciiTheme="minorHAnsi" w:hAnsiTheme="minorHAnsi" w:cstheme="minorHAnsi"/>
        </w:rPr>
      </w:pPr>
      <w:r>
        <w:rPr>
          <w:rFonts w:asciiTheme="minorHAnsi" w:hAnsiTheme="minorHAnsi" w:cstheme="minorHAnsi"/>
        </w:rPr>
        <w:t>As above, the CIPD outline the six ways in which evid</w:t>
      </w:r>
      <w:r w:rsidR="00F005F3">
        <w:rPr>
          <w:rFonts w:asciiTheme="minorHAnsi" w:hAnsiTheme="minorHAnsi" w:cstheme="minorHAnsi"/>
        </w:rPr>
        <w:t xml:space="preserve">ence can be collated (Young </w:t>
      </w:r>
      <w:r>
        <w:rPr>
          <w:rFonts w:asciiTheme="minorHAnsi" w:hAnsiTheme="minorHAnsi" w:cstheme="minorHAnsi"/>
        </w:rPr>
        <w:t>2023</w:t>
      </w:r>
      <w:r w:rsidR="00F005F3">
        <w:rPr>
          <w:rFonts w:asciiTheme="minorHAnsi" w:hAnsiTheme="minorHAnsi" w:cstheme="minorHAnsi"/>
        </w:rPr>
        <w:t>b</w:t>
      </w:r>
      <w:r>
        <w:rPr>
          <w:rFonts w:asciiTheme="minorHAnsi" w:hAnsiTheme="minorHAnsi" w:cstheme="minorHAnsi"/>
        </w:rPr>
        <w:t>):</w:t>
      </w:r>
    </w:p>
    <w:p w:rsidR="00772358" w:rsidRDefault="00EF5E07" w:rsidP="00772358">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 xml:space="preserve">Asking </w:t>
      </w:r>
    </w:p>
    <w:p w:rsidR="00EF5E07" w:rsidRDefault="00EF5E07" w:rsidP="00772358">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Acquiring</w:t>
      </w:r>
    </w:p>
    <w:p w:rsidR="00EF5E07" w:rsidRDefault="00EF5E07" w:rsidP="00772358">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Appraising</w:t>
      </w:r>
    </w:p>
    <w:p w:rsidR="00EF5E07" w:rsidRDefault="00EF5E07" w:rsidP="00772358">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Aggregating</w:t>
      </w:r>
    </w:p>
    <w:p w:rsidR="00EF5E07" w:rsidRDefault="00EF5E07" w:rsidP="00772358">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Applying</w:t>
      </w:r>
    </w:p>
    <w:p w:rsidR="00EF5E07" w:rsidRDefault="00EF5E07" w:rsidP="00EF5E07">
      <w:pPr>
        <w:pStyle w:val="BodyText"/>
        <w:numPr>
          <w:ilvl w:val="0"/>
          <w:numId w:val="33"/>
        </w:numPr>
        <w:spacing w:before="162" w:line="264" w:lineRule="auto"/>
        <w:ind w:right="283"/>
        <w:jc w:val="both"/>
        <w:rPr>
          <w:rFonts w:asciiTheme="minorHAnsi" w:hAnsiTheme="minorHAnsi" w:cstheme="minorHAnsi"/>
        </w:rPr>
      </w:pPr>
      <w:r>
        <w:rPr>
          <w:rFonts w:asciiTheme="minorHAnsi" w:hAnsiTheme="minorHAnsi" w:cstheme="minorHAnsi"/>
        </w:rPr>
        <w:t>Assessing</w:t>
      </w:r>
    </w:p>
    <w:p w:rsidR="001A622F" w:rsidRDefault="00EF5E07" w:rsidP="008A1450">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All evidence used needs to be critically appraised and questioned to ensure that the quality of the evidence is considered.  Questions should be asked as to whether the evidence is the best available, where it came from and how it was gathered, whether it is biased and whether it </w:t>
      </w:r>
      <w:r w:rsidR="008A1450">
        <w:rPr>
          <w:rFonts w:asciiTheme="minorHAnsi" w:hAnsiTheme="minorHAnsi" w:cstheme="minorHAnsi"/>
        </w:rPr>
        <w:t xml:space="preserve">is </w:t>
      </w:r>
      <w:r>
        <w:rPr>
          <w:rFonts w:asciiTheme="minorHAnsi" w:hAnsiTheme="minorHAnsi" w:cstheme="minorHAnsi"/>
        </w:rPr>
        <w:t xml:space="preserve">enough to reach a conclusion. </w:t>
      </w:r>
    </w:p>
    <w:p w:rsidR="008A1450" w:rsidRDefault="008A1450" w:rsidP="008A1450">
      <w:pPr>
        <w:pStyle w:val="BodyText"/>
        <w:spacing w:before="162" w:line="264" w:lineRule="auto"/>
        <w:ind w:left="720" w:right="283"/>
        <w:jc w:val="both"/>
        <w:rPr>
          <w:rFonts w:asciiTheme="minorHAnsi" w:hAnsiTheme="minorHAnsi" w:cstheme="minorHAnsi"/>
        </w:rPr>
      </w:pPr>
      <w:r>
        <w:rPr>
          <w:rFonts w:asciiTheme="minorHAnsi" w:hAnsiTheme="minorHAnsi" w:cstheme="minorHAnsi"/>
        </w:rPr>
        <w:t>Advantages of using EBP</w:t>
      </w:r>
      <w:r w:rsidR="00D97C02">
        <w:rPr>
          <w:rFonts w:asciiTheme="minorHAnsi" w:hAnsiTheme="minorHAnsi" w:cstheme="minorHAnsi"/>
        </w:rPr>
        <w:t xml:space="preserve"> are outlined by </w:t>
      </w:r>
      <w:proofErr w:type="spellStart"/>
      <w:r w:rsidR="00D97C02">
        <w:rPr>
          <w:rFonts w:asciiTheme="minorHAnsi" w:hAnsiTheme="minorHAnsi" w:cstheme="minorHAnsi"/>
        </w:rPr>
        <w:t>Barends</w:t>
      </w:r>
      <w:proofErr w:type="spellEnd"/>
      <w:r w:rsidR="00D97C02">
        <w:rPr>
          <w:rFonts w:asciiTheme="minorHAnsi" w:hAnsiTheme="minorHAnsi" w:cstheme="minorHAnsi"/>
        </w:rPr>
        <w:t xml:space="preserve"> and Rousseau (</w:t>
      </w:r>
      <w:r w:rsidR="00D97C02" w:rsidRPr="00D97C02">
        <w:rPr>
          <w:rFonts w:asciiTheme="minorHAnsi" w:hAnsiTheme="minorHAnsi" w:cstheme="minorHAnsi"/>
        </w:rPr>
        <w:t>2018)</w:t>
      </w:r>
      <w:r w:rsidR="005F4F05">
        <w:rPr>
          <w:rFonts w:asciiTheme="minorHAnsi" w:hAnsiTheme="minorHAnsi" w:cstheme="minorHAnsi"/>
        </w:rPr>
        <w:t xml:space="preserve"> who state that research shows that looking at the professional experiences of a number of people are more accurate than that of one person.  Furthermore, knowledge from scientific research and judgments formed based on data and statistical models are more accurate than opinions or individual experiences.  Decisions made from using critically appraised </w:t>
      </w:r>
      <w:r w:rsidR="005F4F05">
        <w:rPr>
          <w:rFonts w:asciiTheme="minorHAnsi" w:hAnsiTheme="minorHAnsi" w:cstheme="minorHAnsi"/>
        </w:rPr>
        <w:lastRenderedPageBreak/>
        <w:t>evidence leads to better outcomes and evaluating an outcome of a decision is found to improve learning and p</w:t>
      </w:r>
      <w:r w:rsidR="00F005F3">
        <w:rPr>
          <w:rFonts w:asciiTheme="minorHAnsi" w:hAnsiTheme="minorHAnsi" w:cstheme="minorHAnsi"/>
        </w:rPr>
        <w:t xml:space="preserve">erformance in an organisation Young </w:t>
      </w:r>
      <w:r w:rsidR="00D722C7">
        <w:rPr>
          <w:rFonts w:asciiTheme="minorHAnsi" w:hAnsiTheme="minorHAnsi" w:cstheme="minorHAnsi"/>
        </w:rPr>
        <w:t>(2023)</w:t>
      </w:r>
      <w:r w:rsidR="00F005F3">
        <w:rPr>
          <w:rFonts w:asciiTheme="minorHAnsi" w:hAnsiTheme="minorHAnsi" w:cstheme="minorHAnsi"/>
        </w:rPr>
        <w:t>.</w:t>
      </w:r>
      <w:r w:rsidR="00D722C7">
        <w:rPr>
          <w:rFonts w:asciiTheme="minorHAnsi" w:hAnsiTheme="minorHAnsi" w:cstheme="minorHAnsi"/>
        </w:rPr>
        <w:t xml:space="preserve"> </w:t>
      </w:r>
    </w:p>
    <w:p w:rsidR="008A1450" w:rsidRPr="008A1450" w:rsidRDefault="005F4F05" w:rsidP="009D6B17">
      <w:pPr>
        <w:pStyle w:val="BodyText"/>
        <w:spacing w:before="162" w:line="264" w:lineRule="auto"/>
        <w:ind w:left="720" w:right="283"/>
        <w:jc w:val="both"/>
        <w:rPr>
          <w:rFonts w:asciiTheme="minorHAnsi" w:hAnsiTheme="minorHAnsi" w:cstheme="minorHAnsi"/>
        </w:rPr>
      </w:pPr>
      <w:r>
        <w:rPr>
          <w:rFonts w:asciiTheme="minorHAnsi" w:hAnsiTheme="minorHAnsi" w:cstheme="minorHAnsi"/>
        </w:rPr>
        <w:t>Limitations of evidence based practice</w:t>
      </w:r>
      <w:r w:rsidR="006D15C4">
        <w:rPr>
          <w:rFonts w:asciiTheme="minorHAnsi" w:hAnsiTheme="minorHAnsi" w:cstheme="minorHAnsi"/>
        </w:rPr>
        <w:t xml:space="preserve"> </w:t>
      </w:r>
      <w:r w:rsidR="00F60A8A">
        <w:rPr>
          <w:rFonts w:asciiTheme="minorHAnsi" w:hAnsiTheme="minorHAnsi" w:cstheme="minorHAnsi"/>
        </w:rPr>
        <w:t xml:space="preserve">are that sometimes the best evidence is not available </w:t>
      </w:r>
      <w:r w:rsidR="00F60A8A" w:rsidRPr="00F60A8A">
        <w:rPr>
          <w:rFonts w:asciiTheme="minorHAnsi" w:hAnsiTheme="minorHAnsi" w:cstheme="minorHAnsi"/>
        </w:rPr>
        <w:t>(</w:t>
      </w:r>
      <w:proofErr w:type="spellStart"/>
      <w:r w:rsidR="00F60A8A" w:rsidRPr="00F60A8A">
        <w:rPr>
          <w:rFonts w:asciiTheme="minorHAnsi" w:hAnsiTheme="minorHAnsi" w:cstheme="minorHAnsi"/>
        </w:rPr>
        <w:t>CEBMa</w:t>
      </w:r>
      <w:proofErr w:type="spellEnd"/>
      <w:r w:rsidR="00F60A8A" w:rsidRPr="00F60A8A">
        <w:rPr>
          <w:rFonts w:asciiTheme="minorHAnsi" w:hAnsiTheme="minorHAnsi" w:cstheme="minorHAnsi"/>
        </w:rPr>
        <w:t>, 2019)</w:t>
      </w:r>
      <w:r w:rsidR="00AE4905">
        <w:rPr>
          <w:rFonts w:asciiTheme="minorHAnsi" w:hAnsiTheme="minorHAnsi" w:cstheme="minorHAnsi"/>
        </w:rPr>
        <w:t>.  Furthermore, all evidence c</w:t>
      </w:r>
      <w:r w:rsidR="009D6B17">
        <w:rPr>
          <w:rFonts w:asciiTheme="minorHAnsi" w:hAnsiTheme="minorHAnsi" w:cstheme="minorHAnsi"/>
        </w:rPr>
        <w:t>annot reasonably be considered due to time restraints and limited resources</w:t>
      </w:r>
      <w:r w:rsidR="00AE4905">
        <w:rPr>
          <w:rFonts w:asciiTheme="minorHAnsi" w:hAnsiTheme="minorHAnsi" w:cstheme="minorHAnsi"/>
        </w:rPr>
        <w:t>.</w:t>
      </w:r>
    </w:p>
    <w:p w:rsidR="00175358" w:rsidRDefault="00175358" w:rsidP="00175358">
      <w:pPr>
        <w:pStyle w:val="ListParagraph"/>
        <w:spacing w:before="120" w:after="0" w:line="240" w:lineRule="auto"/>
        <w:rPr>
          <w:rFonts w:cstheme="minorHAnsi"/>
        </w:rPr>
      </w:pPr>
    </w:p>
    <w:p w:rsidR="006C1D2C" w:rsidRPr="006C1D2C" w:rsidRDefault="006C1D2C" w:rsidP="00175358">
      <w:pPr>
        <w:pStyle w:val="ListParagraph"/>
        <w:spacing w:before="120" w:after="0" w:line="240" w:lineRule="auto"/>
        <w:rPr>
          <w:rFonts w:cstheme="minorHAnsi"/>
          <w:b/>
          <w:u w:val="single"/>
        </w:rPr>
      </w:pPr>
      <w:r>
        <w:rPr>
          <w:rFonts w:cstheme="minorHAnsi"/>
          <w:b/>
          <w:u w:val="single"/>
        </w:rPr>
        <w:t>Analysis tools and methods (AC 1.2)</w:t>
      </w:r>
    </w:p>
    <w:p w:rsidR="006C1D2C" w:rsidRDefault="006C1D2C" w:rsidP="00175358">
      <w:pPr>
        <w:pStyle w:val="ListParagraph"/>
        <w:spacing w:before="120" w:after="0" w:line="240" w:lineRule="auto"/>
        <w:rPr>
          <w:rFonts w:cstheme="minorHAnsi"/>
        </w:rPr>
      </w:pPr>
    </w:p>
    <w:p w:rsidR="00175358" w:rsidRDefault="00C1333D" w:rsidP="00175358">
      <w:pPr>
        <w:pStyle w:val="ListParagraph"/>
        <w:spacing w:before="120" w:after="0" w:line="240" w:lineRule="auto"/>
        <w:rPr>
          <w:rFonts w:cstheme="minorHAnsi"/>
        </w:rPr>
      </w:pPr>
      <w:r>
        <w:rPr>
          <w:rFonts w:cstheme="minorHAnsi"/>
        </w:rPr>
        <w:t>An analysis tool is used to create an understanding of external factors</w:t>
      </w:r>
      <w:r w:rsidR="00A42368">
        <w:rPr>
          <w:rFonts w:cstheme="minorHAnsi"/>
        </w:rPr>
        <w:t xml:space="preserve"> and long term plans</w:t>
      </w:r>
      <w:r>
        <w:rPr>
          <w:rFonts w:cstheme="minorHAnsi"/>
        </w:rPr>
        <w:t xml:space="preserve"> that my effect your business and future decisions you make.</w:t>
      </w:r>
      <w:r w:rsidR="00A42368">
        <w:rPr>
          <w:rFonts w:cstheme="minorHAnsi"/>
        </w:rPr>
        <w:t xml:space="preserve">  There are several analysis tools that can be used such as</w:t>
      </w:r>
      <w:r w:rsidR="0077151D">
        <w:rPr>
          <w:rFonts w:cstheme="minorHAnsi"/>
        </w:rPr>
        <w:t xml:space="preserve"> Porters Five Forces, McKinsey 7’s, </w:t>
      </w:r>
      <w:proofErr w:type="spellStart"/>
      <w:r w:rsidR="0077151D">
        <w:rPr>
          <w:rFonts w:cstheme="minorHAnsi"/>
        </w:rPr>
        <w:t>Ansoff</w:t>
      </w:r>
      <w:proofErr w:type="spellEnd"/>
      <w:r w:rsidR="0077151D">
        <w:rPr>
          <w:rFonts w:cstheme="minorHAnsi"/>
        </w:rPr>
        <w:t xml:space="preserve"> Matrix, Fishbone Analysis and</w:t>
      </w:r>
      <w:r w:rsidR="00A42368">
        <w:rPr>
          <w:rFonts w:cstheme="minorHAnsi"/>
        </w:rPr>
        <w:t xml:space="preserve"> </w:t>
      </w:r>
      <w:r w:rsidR="0077151D">
        <w:rPr>
          <w:rFonts w:cstheme="minorHAnsi"/>
        </w:rPr>
        <w:t>PESTLE</w:t>
      </w:r>
      <w:r w:rsidR="00D37A18">
        <w:rPr>
          <w:rFonts w:cstheme="minorHAnsi"/>
        </w:rPr>
        <w:t xml:space="preserve"> (Taylor and </w:t>
      </w:r>
      <w:proofErr w:type="spellStart"/>
      <w:r w:rsidR="00D37A18">
        <w:rPr>
          <w:rFonts w:cstheme="minorHAnsi"/>
        </w:rPr>
        <w:t>Woodhams</w:t>
      </w:r>
      <w:proofErr w:type="spellEnd"/>
      <w:r w:rsidR="00D37A18" w:rsidRPr="00D37A18">
        <w:rPr>
          <w:rFonts w:cstheme="minorHAnsi"/>
        </w:rPr>
        <w:t>, 2022)</w:t>
      </w:r>
      <w:r w:rsidR="00A42368">
        <w:rPr>
          <w:rFonts w:cstheme="minorHAnsi"/>
        </w:rPr>
        <w:t xml:space="preserve">.  </w:t>
      </w:r>
      <w:r w:rsidR="0077151D">
        <w:rPr>
          <w:rFonts w:cstheme="minorHAnsi"/>
        </w:rPr>
        <w:t xml:space="preserve">PESTLE can be used in workforce planning, marketing planning, organisational change, </w:t>
      </w:r>
      <w:proofErr w:type="gramStart"/>
      <w:r w:rsidR="0077151D">
        <w:rPr>
          <w:rFonts w:cstheme="minorHAnsi"/>
        </w:rPr>
        <w:t>product</w:t>
      </w:r>
      <w:proofErr w:type="gramEnd"/>
      <w:r w:rsidR="0077151D">
        <w:rPr>
          <w:rFonts w:cstheme="minorHAnsi"/>
        </w:rPr>
        <w:t xml:space="preserve"> development and people strategies.  </w:t>
      </w:r>
    </w:p>
    <w:p w:rsidR="00A42368" w:rsidRDefault="00A42368" w:rsidP="00175358">
      <w:pPr>
        <w:pStyle w:val="ListParagraph"/>
        <w:spacing w:before="120" w:after="0" w:line="240" w:lineRule="auto"/>
        <w:rPr>
          <w:rFonts w:cstheme="minorHAnsi"/>
        </w:rPr>
      </w:pPr>
    </w:p>
    <w:p w:rsidR="00A42368" w:rsidRDefault="00A42368" w:rsidP="00175358">
      <w:pPr>
        <w:pStyle w:val="ListParagraph"/>
        <w:spacing w:before="120" w:after="0" w:line="240" w:lineRule="auto"/>
        <w:rPr>
          <w:rFonts w:cstheme="minorHAnsi"/>
        </w:rPr>
      </w:pPr>
      <w:r>
        <w:rPr>
          <w:rFonts w:cstheme="minorHAnsi"/>
        </w:rPr>
        <w:t>PESTLE:</w:t>
      </w:r>
    </w:p>
    <w:p w:rsidR="00A42368" w:rsidRDefault="00A42368" w:rsidP="00175358">
      <w:pPr>
        <w:pStyle w:val="ListParagraph"/>
        <w:spacing w:before="120" w:after="0" w:line="240" w:lineRule="auto"/>
        <w:rPr>
          <w:rFonts w:cstheme="minorHAnsi"/>
        </w:rPr>
      </w:pPr>
      <w:r>
        <w:rPr>
          <w:rFonts w:cstheme="minorHAnsi"/>
        </w:rPr>
        <w:t>Political</w:t>
      </w:r>
      <w:r w:rsidR="0077151D">
        <w:rPr>
          <w:rFonts w:cstheme="minorHAnsi"/>
        </w:rPr>
        <w:t xml:space="preserve"> –</w:t>
      </w:r>
      <w:r w:rsidR="0063676D">
        <w:rPr>
          <w:rFonts w:cstheme="minorHAnsi"/>
        </w:rPr>
        <w:t xml:space="preserve"> P</w:t>
      </w:r>
      <w:r w:rsidR="0077151D">
        <w:rPr>
          <w:rFonts w:cstheme="minorHAnsi"/>
        </w:rPr>
        <w:t>olitical stance and stability, trade agreements and restrictions, tax implications</w:t>
      </w:r>
      <w:r w:rsidR="0063676D">
        <w:rPr>
          <w:rFonts w:cstheme="minorHAnsi"/>
        </w:rPr>
        <w:t>.</w:t>
      </w:r>
      <w:r w:rsidR="0077151D">
        <w:rPr>
          <w:rFonts w:cstheme="minorHAnsi"/>
        </w:rPr>
        <w:t xml:space="preserve"> </w:t>
      </w:r>
    </w:p>
    <w:p w:rsidR="00A42368" w:rsidRDefault="00A42368" w:rsidP="00175358">
      <w:pPr>
        <w:pStyle w:val="ListParagraph"/>
        <w:spacing w:before="120" w:after="0" w:line="240" w:lineRule="auto"/>
        <w:rPr>
          <w:rFonts w:cstheme="minorHAnsi"/>
        </w:rPr>
      </w:pPr>
      <w:r>
        <w:rPr>
          <w:rFonts w:cstheme="minorHAnsi"/>
        </w:rPr>
        <w:t>Economic</w:t>
      </w:r>
      <w:r w:rsidR="0077151D">
        <w:rPr>
          <w:rFonts w:cstheme="minorHAnsi"/>
        </w:rPr>
        <w:t xml:space="preserve"> – Inflation, exchange rates, interest rates, cost of living, labour costs and consumer spending</w:t>
      </w:r>
      <w:r w:rsidR="0063676D">
        <w:rPr>
          <w:rFonts w:cstheme="minorHAnsi"/>
        </w:rPr>
        <w:t>.</w:t>
      </w:r>
    </w:p>
    <w:p w:rsidR="00A42368" w:rsidRDefault="00A42368" w:rsidP="00175358">
      <w:pPr>
        <w:pStyle w:val="ListParagraph"/>
        <w:spacing w:before="120" w:after="0" w:line="240" w:lineRule="auto"/>
        <w:rPr>
          <w:rFonts w:cstheme="minorHAnsi"/>
        </w:rPr>
      </w:pPr>
      <w:r>
        <w:rPr>
          <w:rFonts w:cstheme="minorHAnsi"/>
        </w:rPr>
        <w:t>Social</w:t>
      </w:r>
      <w:r w:rsidR="0077151D">
        <w:rPr>
          <w:rFonts w:cstheme="minorHAnsi"/>
        </w:rPr>
        <w:t xml:space="preserve"> </w:t>
      </w:r>
      <w:r w:rsidR="0063676D">
        <w:rPr>
          <w:rFonts w:cstheme="minorHAnsi"/>
        </w:rPr>
        <w:t>–</w:t>
      </w:r>
      <w:r w:rsidR="0077151D">
        <w:rPr>
          <w:rFonts w:cstheme="minorHAnsi"/>
        </w:rPr>
        <w:t xml:space="preserve"> </w:t>
      </w:r>
      <w:r w:rsidR="0063676D">
        <w:rPr>
          <w:rFonts w:cstheme="minorHAnsi"/>
        </w:rPr>
        <w:t>Work-life balance, cultural norms, lifestyle factors, career expectations and attitudes.</w:t>
      </w:r>
    </w:p>
    <w:p w:rsidR="00A42368" w:rsidRDefault="00A42368" w:rsidP="00175358">
      <w:pPr>
        <w:pStyle w:val="ListParagraph"/>
        <w:spacing w:before="120" w:after="0" w:line="240" w:lineRule="auto"/>
        <w:rPr>
          <w:rFonts w:cstheme="minorHAnsi"/>
        </w:rPr>
      </w:pPr>
      <w:r>
        <w:rPr>
          <w:rFonts w:cstheme="minorHAnsi"/>
        </w:rPr>
        <w:t>Technology</w:t>
      </w:r>
      <w:r w:rsidR="0077151D">
        <w:rPr>
          <w:rFonts w:cstheme="minorHAnsi"/>
        </w:rPr>
        <w:t xml:space="preserve"> </w:t>
      </w:r>
      <w:r w:rsidR="0063676D">
        <w:rPr>
          <w:rFonts w:cstheme="minorHAnsi"/>
        </w:rPr>
        <w:t>– social media, data collection and storage, technological advances such as artificial intelligence.</w:t>
      </w:r>
    </w:p>
    <w:p w:rsidR="00A42368" w:rsidRDefault="00A42368" w:rsidP="00175358">
      <w:pPr>
        <w:pStyle w:val="ListParagraph"/>
        <w:spacing w:before="120" w:after="0" w:line="240" w:lineRule="auto"/>
        <w:rPr>
          <w:rFonts w:cstheme="minorHAnsi"/>
        </w:rPr>
      </w:pPr>
      <w:r>
        <w:rPr>
          <w:rFonts w:cstheme="minorHAnsi"/>
        </w:rPr>
        <w:t>Legal</w:t>
      </w:r>
      <w:r w:rsidR="0077151D">
        <w:rPr>
          <w:rFonts w:cstheme="minorHAnsi"/>
        </w:rPr>
        <w:t xml:space="preserve"> </w:t>
      </w:r>
      <w:r w:rsidR="0063676D">
        <w:rPr>
          <w:rFonts w:cstheme="minorHAnsi"/>
        </w:rPr>
        <w:t>– UK employment laws, legal statutes, health and safety regulations.</w:t>
      </w:r>
    </w:p>
    <w:p w:rsidR="00A42368" w:rsidRDefault="00A42368" w:rsidP="00175358">
      <w:pPr>
        <w:pStyle w:val="ListParagraph"/>
        <w:spacing w:before="120" w:after="0" w:line="240" w:lineRule="auto"/>
        <w:rPr>
          <w:rFonts w:cstheme="minorHAnsi"/>
        </w:rPr>
      </w:pPr>
      <w:r>
        <w:rPr>
          <w:rFonts w:cstheme="minorHAnsi"/>
        </w:rPr>
        <w:t xml:space="preserve">Environmental </w:t>
      </w:r>
      <w:r w:rsidR="0063676D">
        <w:rPr>
          <w:rFonts w:cstheme="minorHAnsi"/>
        </w:rPr>
        <w:t>– Environmental impact, social responsibility, ethical sourcing.</w:t>
      </w:r>
    </w:p>
    <w:p w:rsidR="0063676D" w:rsidRDefault="0063676D" w:rsidP="00175358">
      <w:pPr>
        <w:pStyle w:val="ListParagraph"/>
        <w:spacing w:before="120" w:after="0" w:line="240" w:lineRule="auto"/>
        <w:rPr>
          <w:rFonts w:cstheme="minorHAnsi"/>
        </w:rPr>
      </w:pPr>
    </w:p>
    <w:p w:rsidR="00D67195" w:rsidRDefault="0063676D" w:rsidP="00175358">
      <w:pPr>
        <w:pStyle w:val="ListParagraph"/>
        <w:spacing w:before="120" w:after="0" w:line="240" w:lineRule="auto"/>
        <w:rPr>
          <w:rFonts w:cstheme="minorHAnsi"/>
        </w:rPr>
      </w:pPr>
      <w:r>
        <w:rPr>
          <w:rFonts w:cstheme="minorHAnsi"/>
        </w:rPr>
        <w:t xml:space="preserve">In order to carry out a PESTLE analysis you will need to </w:t>
      </w:r>
      <w:r w:rsidR="00C02189">
        <w:rPr>
          <w:rFonts w:cstheme="minorHAnsi"/>
        </w:rPr>
        <w:t>identify whether the research covers current and future scenarios and that it is relevant to the industry it’s needed for.  You also need to decide how to collect the research and ideally use more than one person to collect to ensure it is diverse and from different perspectives. Research needs to be collected from relevant sources and from as many different sources as possible to ensure that it gives a wider view.  Once the information is gathe</w:t>
      </w:r>
      <w:r w:rsidR="00D67195">
        <w:rPr>
          <w:rFonts w:cstheme="minorHAnsi"/>
        </w:rPr>
        <w:t>red and analysed it needs to be assessed as to its risk to the business and what options are available to mitigate that risk.  A discussion document should be drawn for all relevant parties and then open discussions should take place with the decision makers.  Finally, an action plan can be created and a plan to keep monitoring future changes so that trends can be identified quickly.  When doing a PESTLE analysis you should ensure that multiple perspectives are used and that you make use of the expertise and resources available to you.  PESTLE can also be used alongside other analysis tools such as SWOT and Porters Five Forces</w:t>
      </w:r>
      <w:r w:rsidR="00E60DAC">
        <w:rPr>
          <w:rFonts w:cstheme="minorHAnsi"/>
        </w:rPr>
        <w:t xml:space="preserve"> </w:t>
      </w:r>
      <w:r w:rsidR="00F005F3">
        <w:rPr>
          <w:rFonts w:cstheme="minorHAnsi"/>
        </w:rPr>
        <w:t>(</w:t>
      </w:r>
      <w:proofErr w:type="spellStart"/>
      <w:r w:rsidR="00F005F3">
        <w:rPr>
          <w:rFonts w:cstheme="minorHAnsi"/>
        </w:rPr>
        <w:t>Haan</w:t>
      </w:r>
      <w:proofErr w:type="spellEnd"/>
      <w:r w:rsidR="00F005F3">
        <w:rPr>
          <w:rFonts w:cstheme="minorHAnsi"/>
        </w:rPr>
        <w:t xml:space="preserve">, </w:t>
      </w:r>
      <w:r w:rsidR="00E60DAC" w:rsidRPr="00E60DAC">
        <w:rPr>
          <w:rFonts w:cstheme="minorHAnsi"/>
        </w:rPr>
        <w:t>2023)</w:t>
      </w:r>
      <w:r w:rsidR="00D67195">
        <w:rPr>
          <w:rFonts w:cstheme="minorHAnsi"/>
        </w:rPr>
        <w:t xml:space="preserve">.  </w:t>
      </w:r>
    </w:p>
    <w:p w:rsidR="00D67195" w:rsidRDefault="00D67195" w:rsidP="00175358">
      <w:pPr>
        <w:pStyle w:val="ListParagraph"/>
        <w:spacing w:before="120" w:after="0" w:line="240" w:lineRule="auto"/>
        <w:rPr>
          <w:rFonts w:cstheme="minorHAnsi"/>
        </w:rPr>
      </w:pPr>
    </w:p>
    <w:p w:rsidR="00D67195" w:rsidRDefault="00D67195" w:rsidP="00175358">
      <w:pPr>
        <w:pStyle w:val="ListParagraph"/>
        <w:spacing w:before="120" w:after="0" w:line="240" w:lineRule="auto"/>
        <w:rPr>
          <w:rFonts w:cstheme="minorHAnsi"/>
        </w:rPr>
      </w:pPr>
      <w:r>
        <w:rPr>
          <w:rFonts w:cstheme="minorHAnsi"/>
        </w:rPr>
        <w:t xml:space="preserve">Advantages of PESTLE are that it is a simple framework to use, it can help identify future threats and also </w:t>
      </w:r>
      <w:r w:rsidR="00F16F15">
        <w:rPr>
          <w:rFonts w:cstheme="minorHAnsi"/>
        </w:rPr>
        <w:t>opportunities.  It is based on strategic thinking and planning taking into account external factors and gives a wider understanding of the business environment.</w:t>
      </w:r>
    </w:p>
    <w:p w:rsidR="00F16F15" w:rsidRDefault="00F16F15" w:rsidP="00175358">
      <w:pPr>
        <w:pStyle w:val="ListParagraph"/>
        <w:spacing w:before="120" w:after="0" w:line="240" w:lineRule="auto"/>
        <w:rPr>
          <w:rFonts w:cstheme="minorHAnsi"/>
        </w:rPr>
      </w:pPr>
    </w:p>
    <w:p w:rsidR="00F16F15" w:rsidRDefault="00F16F15" w:rsidP="00175358">
      <w:pPr>
        <w:pStyle w:val="ListParagraph"/>
        <w:spacing w:before="120" w:after="0" w:line="240" w:lineRule="auto"/>
        <w:rPr>
          <w:rFonts w:cstheme="minorHAnsi"/>
        </w:rPr>
      </w:pPr>
      <w:r>
        <w:rPr>
          <w:rFonts w:cstheme="minorHAnsi"/>
        </w:rPr>
        <w:t>Disadvantages of PESTLE are that you can have insufficient data and data can be oversimplified or you can end up with too much data to analyse effectively.  Data collected can also be unreliable and based on opinions or assumptions.  Furthermore, the speed of change can also make it difficult to anticipate future changes and to keep up the analysis needs to be repeated regularly</w:t>
      </w:r>
      <w:r w:rsidR="00E60DAC">
        <w:rPr>
          <w:rFonts w:cstheme="minorHAnsi"/>
        </w:rPr>
        <w:t xml:space="preserve"> </w:t>
      </w:r>
      <w:r w:rsidR="00F005F3">
        <w:rPr>
          <w:rFonts w:cstheme="minorHAnsi"/>
        </w:rPr>
        <w:t xml:space="preserve">(Battista, </w:t>
      </w:r>
      <w:r w:rsidR="00E60DAC" w:rsidRPr="00E60DAC">
        <w:rPr>
          <w:rFonts w:cstheme="minorHAnsi"/>
        </w:rPr>
        <w:t>2023)</w:t>
      </w:r>
      <w:r>
        <w:rPr>
          <w:rFonts w:cstheme="minorHAnsi"/>
        </w:rPr>
        <w:t>.</w:t>
      </w:r>
    </w:p>
    <w:p w:rsidR="00E60DAC" w:rsidRDefault="00E60DAC" w:rsidP="00175358">
      <w:pPr>
        <w:pStyle w:val="ListParagraph"/>
        <w:spacing w:before="120" w:after="0" w:line="240" w:lineRule="auto"/>
        <w:rPr>
          <w:rFonts w:cstheme="minorHAnsi"/>
        </w:rPr>
      </w:pPr>
    </w:p>
    <w:p w:rsidR="00A42368" w:rsidRPr="009D6B17" w:rsidRDefault="008A7EA9" w:rsidP="00175358">
      <w:pPr>
        <w:pStyle w:val="ListParagraph"/>
        <w:spacing w:before="120" w:after="0" w:line="240" w:lineRule="auto"/>
        <w:rPr>
          <w:rFonts w:cstheme="minorHAnsi"/>
          <w:sz w:val="24"/>
        </w:rPr>
      </w:pPr>
      <w:r>
        <w:rPr>
          <w:rFonts w:cstheme="minorHAnsi"/>
        </w:rPr>
        <w:lastRenderedPageBreak/>
        <w:t xml:space="preserve">There are many different types of methods of analysis HR professionals can choose from.  Examples include </w:t>
      </w:r>
      <w:r w:rsidR="00B901B3">
        <w:rPr>
          <w:rFonts w:cstheme="minorHAnsi"/>
        </w:rPr>
        <w:t xml:space="preserve">interviews, job analysis questionnaires, benchmarking and people analytics </w:t>
      </w:r>
      <w:r w:rsidR="00E60DAC" w:rsidRPr="00E60DAC">
        <w:rPr>
          <w:rFonts w:cstheme="minorHAnsi"/>
        </w:rPr>
        <w:t>(CIPD, 2022</w:t>
      </w:r>
      <w:r w:rsidR="007A08A4">
        <w:rPr>
          <w:rFonts w:cstheme="minorHAnsi"/>
        </w:rPr>
        <w:t>a</w:t>
      </w:r>
      <w:r w:rsidR="00E60DAC" w:rsidRPr="00E60DAC">
        <w:rPr>
          <w:rFonts w:cstheme="minorHAnsi"/>
        </w:rPr>
        <w:t>)</w:t>
      </w:r>
      <w:r w:rsidR="00B901B3">
        <w:rPr>
          <w:rFonts w:cstheme="minorHAnsi"/>
        </w:rPr>
        <w:t xml:space="preserve">.  People analytics is usually used by medium to larger companies due to the size and types of data needed (CIPD, </w:t>
      </w:r>
      <w:proofErr w:type="spellStart"/>
      <w:r w:rsidR="00B901B3">
        <w:rPr>
          <w:rFonts w:cstheme="minorHAnsi"/>
        </w:rPr>
        <w:t>n.d.</w:t>
      </w:r>
      <w:proofErr w:type="spellEnd"/>
      <w:r w:rsidR="00B901B3">
        <w:rPr>
          <w:rFonts w:cstheme="minorHAnsi"/>
        </w:rPr>
        <w:t xml:space="preserve">).  People analytics is a process of analysing people data to help </w:t>
      </w:r>
      <w:r w:rsidR="00371786">
        <w:rPr>
          <w:rFonts w:cstheme="minorHAnsi"/>
        </w:rPr>
        <w:t>manage business problems and can help increase employee morale and employee retention.</w:t>
      </w:r>
      <w:r w:rsidR="0040195A">
        <w:rPr>
          <w:rFonts w:cstheme="minorHAnsi"/>
        </w:rPr>
        <w:t xml:space="preserve">  Data can be in the form of qualitative (what, where and why) or quantitative (figures and numeric)</w:t>
      </w:r>
      <w:r w:rsidR="00CE15E1">
        <w:rPr>
          <w:rFonts w:cstheme="minorHAnsi"/>
        </w:rPr>
        <w:t xml:space="preserve">.  People analytics gives a good insight into an issue and can help organisations to see how effective HR changes are in delivering an objective.  Organisations do need to be aware of managing the storage of such data responsibly as highlighted by a recent Deloitte survey finding that 64% of respondents are currently involved in legal cases relating to people data (Schwartz and </w:t>
      </w:r>
      <w:proofErr w:type="spellStart"/>
      <w:r w:rsidR="00CE15E1">
        <w:rPr>
          <w:rFonts w:cstheme="minorHAnsi"/>
        </w:rPr>
        <w:t>Lahiri</w:t>
      </w:r>
      <w:proofErr w:type="spellEnd"/>
      <w:r w:rsidR="00CE15E1">
        <w:rPr>
          <w:rFonts w:cstheme="minorHAnsi"/>
        </w:rPr>
        <w:t xml:space="preserve">, </w:t>
      </w:r>
      <w:r w:rsidR="00CE15E1" w:rsidRPr="00CE15E1">
        <w:rPr>
          <w:rFonts w:cstheme="minorHAnsi"/>
        </w:rPr>
        <w:t>2018)</w:t>
      </w:r>
      <w:r w:rsidR="00CE15E1">
        <w:rPr>
          <w:rFonts w:cstheme="minorHAnsi"/>
        </w:rPr>
        <w:t>.</w:t>
      </w:r>
    </w:p>
    <w:p w:rsidR="009D6B17" w:rsidRPr="001A622F" w:rsidRDefault="009D6B17" w:rsidP="009D6B17">
      <w:pPr>
        <w:pStyle w:val="ListParagraph"/>
        <w:spacing w:before="120" w:after="0" w:line="240" w:lineRule="auto"/>
        <w:rPr>
          <w:rFonts w:cstheme="minorHAnsi"/>
          <w:sz w:val="24"/>
        </w:rPr>
      </w:pPr>
    </w:p>
    <w:p w:rsidR="00181FDE" w:rsidRPr="006C1D2C" w:rsidRDefault="006C1D2C" w:rsidP="006C1D2C">
      <w:pPr>
        <w:pStyle w:val="BodyText"/>
        <w:spacing w:before="162" w:line="264" w:lineRule="auto"/>
        <w:ind w:right="283" w:firstLine="720"/>
        <w:jc w:val="both"/>
        <w:rPr>
          <w:rFonts w:asciiTheme="minorHAnsi" w:hAnsiTheme="minorHAnsi" w:cstheme="minorHAnsi"/>
          <w:b/>
          <w:u w:val="single"/>
        </w:rPr>
      </w:pPr>
      <w:r w:rsidRPr="006C1D2C">
        <w:rPr>
          <w:rFonts w:asciiTheme="minorHAnsi" w:hAnsiTheme="minorHAnsi" w:cstheme="minorHAnsi"/>
          <w:b/>
          <w:u w:val="single"/>
        </w:rPr>
        <w:t>Critical Thinking</w:t>
      </w:r>
      <w:r w:rsidR="00181FDE" w:rsidRPr="006C1D2C">
        <w:rPr>
          <w:rFonts w:asciiTheme="minorHAnsi" w:hAnsiTheme="minorHAnsi" w:cstheme="minorHAnsi"/>
          <w:b/>
          <w:u w:val="single"/>
        </w:rPr>
        <w:t xml:space="preserve"> (AC 1.3)</w:t>
      </w:r>
    </w:p>
    <w:p w:rsidR="000B24F9" w:rsidRDefault="000B24F9" w:rsidP="000B24F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Critical thinking </w:t>
      </w:r>
      <w:r w:rsidR="00AF5AF9">
        <w:rPr>
          <w:rFonts w:asciiTheme="minorHAnsi" w:hAnsiTheme="minorHAnsi" w:cstheme="minorHAnsi"/>
        </w:rPr>
        <w:t xml:space="preserve">expands on evidence based practice in that a critical thinker will explore ideas and views before making their own informed decision.  </w:t>
      </w:r>
      <w:proofErr w:type="spellStart"/>
      <w:r w:rsidR="00AF5AF9">
        <w:rPr>
          <w:rFonts w:asciiTheme="minorHAnsi" w:hAnsiTheme="minorHAnsi" w:cstheme="minorHAnsi"/>
        </w:rPr>
        <w:t>Howlett</w:t>
      </w:r>
      <w:proofErr w:type="spellEnd"/>
      <w:r w:rsidR="00AF5AF9">
        <w:rPr>
          <w:rFonts w:asciiTheme="minorHAnsi" w:hAnsiTheme="minorHAnsi" w:cstheme="minorHAnsi"/>
        </w:rPr>
        <w:t xml:space="preserve"> (2019) suggests that successful critical thinking in a meeting setting can be broken down into 3 factors; </w:t>
      </w:r>
      <w:r w:rsidR="00CB2170">
        <w:rPr>
          <w:rFonts w:asciiTheme="minorHAnsi" w:hAnsiTheme="minorHAnsi" w:cstheme="minorHAnsi"/>
        </w:rPr>
        <w:t>critiquing the ideas of others, constructing arguments</w:t>
      </w:r>
      <w:r w:rsidR="00AF5AF9">
        <w:rPr>
          <w:rFonts w:asciiTheme="minorHAnsi" w:hAnsiTheme="minorHAnsi" w:cstheme="minorHAnsi"/>
        </w:rPr>
        <w:t xml:space="preserve"> and </w:t>
      </w:r>
      <w:r w:rsidR="00CB2170">
        <w:rPr>
          <w:rFonts w:asciiTheme="minorHAnsi" w:hAnsiTheme="minorHAnsi" w:cstheme="minorHAnsi"/>
        </w:rPr>
        <w:t xml:space="preserve"> identifying when others are usi</w:t>
      </w:r>
      <w:r w:rsidR="00AF5AF9">
        <w:rPr>
          <w:rFonts w:asciiTheme="minorHAnsi" w:hAnsiTheme="minorHAnsi" w:cstheme="minorHAnsi"/>
        </w:rPr>
        <w:t>ng critical thinking techniques.  He further explains that asking questions is also a s</w:t>
      </w:r>
      <w:r w:rsidR="00415CF4">
        <w:rPr>
          <w:rFonts w:asciiTheme="minorHAnsi" w:hAnsiTheme="minorHAnsi" w:cstheme="minorHAnsi"/>
        </w:rPr>
        <w:t xml:space="preserve">trong part of critical thinking and being able to identify when others use errors in </w:t>
      </w:r>
      <w:r w:rsidR="00921005">
        <w:rPr>
          <w:rFonts w:asciiTheme="minorHAnsi" w:hAnsiTheme="minorHAnsi" w:cstheme="minorHAnsi"/>
        </w:rPr>
        <w:t xml:space="preserve">critical thinking such as </w:t>
      </w:r>
      <w:r w:rsidR="00415CF4">
        <w:rPr>
          <w:rFonts w:asciiTheme="minorHAnsi" w:hAnsiTheme="minorHAnsi" w:cstheme="minorHAnsi"/>
        </w:rPr>
        <w:t xml:space="preserve">red herrings or withholding information.  </w:t>
      </w:r>
      <w:r w:rsidR="00F005F3">
        <w:rPr>
          <w:rFonts w:asciiTheme="minorHAnsi" w:hAnsiTheme="minorHAnsi" w:cstheme="minorHAnsi"/>
        </w:rPr>
        <w:t xml:space="preserve">Coburn </w:t>
      </w:r>
      <w:r w:rsidR="00D85770">
        <w:rPr>
          <w:rFonts w:asciiTheme="minorHAnsi" w:hAnsiTheme="minorHAnsi" w:cstheme="minorHAnsi"/>
        </w:rPr>
        <w:t xml:space="preserve">(2019) states that familiar problems can invoke an instinctive response however less familiar/complex problems require some critical thinking.  He notes that collective/collaborative thinking is more effective than individual thoughts, which can be effected by bias and heuristics.  </w:t>
      </w:r>
      <w:r w:rsidR="00EA4E88">
        <w:rPr>
          <w:rFonts w:asciiTheme="minorHAnsi" w:hAnsiTheme="minorHAnsi" w:cstheme="minorHAnsi"/>
        </w:rPr>
        <w:t xml:space="preserve">This is further supported by Elder and </w:t>
      </w:r>
      <w:proofErr w:type="spellStart"/>
      <w:r w:rsidR="00EA4E88">
        <w:rPr>
          <w:rFonts w:asciiTheme="minorHAnsi" w:hAnsiTheme="minorHAnsi" w:cstheme="minorHAnsi"/>
        </w:rPr>
        <w:t>Nikodem</w:t>
      </w:r>
      <w:proofErr w:type="spellEnd"/>
      <w:r w:rsidR="00EA4E88">
        <w:rPr>
          <w:rFonts w:asciiTheme="minorHAnsi" w:hAnsiTheme="minorHAnsi" w:cstheme="minorHAnsi"/>
        </w:rPr>
        <w:t xml:space="preserve"> (2023) who state that better quality decisions are made when a wider evidence base is used.</w:t>
      </w:r>
      <w:r w:rsidR="00D85770">
        <w:rPr>
          <w:rFonts w:asciiTheme="minorHAnsi" w:hAnsiTheme="minorHAnsi" w:cstheme="minorHAnsi"/>
        </w:rPr>
        <w:t xml:space="preserve"> </w:t>
      </w:r>
      <w:r w:rsidR="00921005">
        <w:rPr>
          <w:rFonts w:asciiTheme="minorHAnsi" w:hAnsiTheme="minorHAnsi" w:cstheme="minorHAnsi"/>
        </w:rPr>
        <w:t>It is also important when applying critical thinki</w:t>
      </w:r>
      <w:r w:rsidR="00CC4914">
        <w:rPr>
          <w:rFonts w:asciiTheme="minorHAnsi" w:hAnsiTheme="minorHAnsi" w:cstheme="minorHAnsi"/>
        </w:rPr>
        <w:t>ng to gathering evidence and evaluating</w:t>
      </w:r>
      <w:r w:rsidR="00921005">
        <w:rPr>
          <w:rFonts w:asciiTheme="minorHAnsi" w:hAnsiTheme="minorHAnsi" w:cstheme="minorHAnsi"/>
        </w:rPr>
        <w:t xml:space="preserve"> the evidence.  </w:t>
      </w:r>
      <w:r w:rsidR="00CC4914">
        <w:rPr>
          <w:rFonts w:asciiTheme="minorHAnsi" w:hAnsiTheme="minorHAnsi" w:cstheme="minorHAnsi"/>
        </w:rPr>
        <w:t xml:space="preserve">“Critical thinkers evaluate the importance, accuracy, and relevancy of the evidence” </w:t>
      </w:r>
      <w:r w:rsidR="00CC4914" w:rsidRPr="00CC4914">
        <w:rPr>
          <w:rFonts w:asciiTheme="minorHAnsi" w:hAnsiTheme="minorHAnsi" w:cstheme="minorHAnsi"/>
        </w:rPr>
        <w:t>(</w:t>
      </w:r>
      <w:proofErr w:type="spellStart"/>
      <w:r w:rsidR="00CC4914" w:rsidRPr="00CC4914">
        <w:rPr>
          <w:rFonts w:asciiTheme="minorHAnsi" w:hAnsiTheme="minorHAnsi" w:cstheme="minorHAnsi"/>
        </w:rPr>
        <w:t>Debbink</w:t>
      </w:r>
      <w:proofErr w:type="spellEnd"/>
      <w:r w:rsidR="00CC4914" w:rsidRPr="00CC4914">
        <w:rPr>
          <w:rFonts w:asciiTheme="minorHAnsi" w:hAnsiTheme="minorHAnsi" w:cstheme="minorHAnsi"/>
        </w:rPr>
        <w:t xml:space="preserve"> and </w:t>
      </w:r>
      <w:proofErr w:type="spellStart"/>
      <w:r w:rsidR="00CC4914" w:rsidRPr="00CC4914">
        <w:rPr>
          <w:rFonts w:asciiTheme="minorHAnsi" w:hAnsiTheme="minorHAnsi" w:cstheme="minorHAnsi"/>
        </w:rPr>
        <w:t>Meshon</w:t>
      </w:r>
      <w:proofErr w:type="spellEnd"/>
      <w:r w:rsidR="00CC4914" w:rsidRPr="00CC4914">
        <w:rPr>
          <w:rFonts w:asciiTheme="minorHAnsi" w:hAnsiTheme="minorHAnsi" w:cstheme="minorHAnsi"/>
        </w:rPr>
        <w:t>, 2020)</w:t>
      </w:r>
      <w:r w:rsidR="00CC4914">
        <w:rPr>
          <w:rFonts w:asciiTheme="minorHAnsi" w:hAnsiTheme="minorHAnsi" w:cstheme="minorHAnsi"/>
        </w:rPr>
        <w:t>.</w:t>
      </w:r>
    </w:p>
    <w:p w:rsidR="002B52E5" w:rsidRDefault="00C910B8" w:rsidP="000B24F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For example, nurses in the workplace have use critical thinking throughout their day to assess the ever changing environment.  Furthermore, the cause of a patient’s condition may not be ascertained and therefore it is important that a nurse gathers all the relevant information available to them via tests and assessments, obtaining information from doctors and others around them and using their own knowledge to decide on the best treatment </w:t>
      </w:r>
      <w:r w:rsidRPr="00C910B8">
        <w:rPr>
          <w:rFonts w:asciiTheme="minorHAnsi" w:hAnsiTheme="minorHAnsi" w:cstheme="minorHAnsi"/>
        </w:rPr>
        <w:t>plan (Morris, 2023).</w:t>
      </w:r>
    </w:p>
    <w:p w:rsidR="00E3255E" w:rsidRDefault="00C910B8" w:rsidP="00E3255E">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A barrier to critical thinking comes in the way of bias and heuristics.  </w:t>
      </w:r>
      <w:r w:rsidR="00540497">
        <w:rPr>
          <w:rFonts w:asciiTheme="minorHAnsi" w:hAnsiTheme="minorHAnsi" w:cstheme="minorHAnsi"/>
        </w:rPr>
        <w:t>Paul and Elder (2019) imply that critical thinking is a good tool to use to reflect on oneself as a</w:t>
      </w:r>
      <w:r w:rsidR="008D7F04">
        <w:rPr>
          <w:rFonts w:asciiTheme="minorHAnsi" w:hAnsiTheme="minorHAnsi" w:cstheme="minorHAnsi"/>
        </w:rPr>
        <w:t xml:space="preserve">ll individuals have </w:t>
      </w:r>
      <w:r w:rsidR="00540497">
        <w:rPr>
          <w:rFonts w:asciiTheme="minorHAnsi" w:hAnsiTheme="minorHAnsi" w:cstheme="minorHAnsi"/>
        </w:rPr>
        <w:t>bias.</w:t>
      </w:r>
      <w:r w:rsidR="008D7F04">
        <w:rPr>
          <w:rFonts w:asciiTheme="minorHAnsi" w:hAnsiTheme="minorHAnsi" w:cstheme="minorHAnsi"/>
        </w:rPr>
        <w:t xml:space="preserve">  Furthermore, critical thinking is learning not to listen to your own ‘poor quality reasoning’.  To avoid unconscious bias it is important to use critical thinking on</w:t>
      </w:r>
      <w:r w:rsidR="00AD60EC">
        <w:rPr>
          <w:rFonts w:asciiTheme="minorHAnsi" w:hAnsiTheme="minorHAnsi" w:cstheme="minorHAnsi"/>
        </w:rPr>
        <w:t xml:space="preserve"> your own ideas and opinions to ensure that you make an informed decision.  </w:t>
      </w:r>
      <w:r w:rsidR="006E12AE">
        <w:rPr>
          <w:rFonts w:asciiTheme="minorHAnsi" w:hAnsiTheme="minorHAnsi" w:cstheme="minorHAnsi"/>
        </w:rPr>
        <w:t>A heuristic is a short cut our brains use to come to a solution to a problem as quickly as possible without having to think it through.  Unfortunately, this is can be problematic as things that may have worked previously won’t always work in the future.</w:t>
      </w:r>
      <w:r w:rsidR="00E3255E">
        <w:rPr>
          <w:rFonts w:asciiTheme="minorHAnsi" w:hAnsiTheme="minorHAnsi" w:cstheme="minorHAnsi"/>
        </w:rPr>
        <w:t xml:space="preserve">  Dwyer (</w:t>
      </w:r>
      <w:r w:rsidR="00E3255E" w:rsidRPr="00E3255E">
        <w:rPr>
          <w:rFonts w:asciiTheme="minorHAnsi" w:hAnsiTheme="minorHAnsi" w:cstheme="minorHAnsi"/>
        </w:rPr>
        <w:t>2018)</w:t>
      </w:r>
      <w:r w:rsidR="002135B2">
        <w:rPr>
          <w:rFonts w:asciiTheme="minorHAnsi" w:hAnsiTheme="minorHAnsi" w:cstheme="minorHAnsi"/>
        </w:rPr>
        <w:t xml:space="preserve"> gives examples of some </w:t>
      </w:r>
      <w:r w:rsidR="00E3255E">
        <w:rPr>
          <w:rFonts w:asciiTheme="minorHAnsi" w:hAnsiTheme="minorHAnsi" w:cstheme="minorHAnsi"/>
        </w:rPr>
        <w:t>common bias:</w:t>
      </w:r>
    </w:p>
    <w:p w:rsidR="00E3255E" w:rsidRDefault="00E3255E" w:rsidP="00E3255E">
      <w:pPr>
        <w:pStyle w:val="BodyText"/>
        <w:numPr>
          <w:ilvl w:val="0"/>
          <w:numId w:val="45"/>
        </w:numPr>
        <w:spacing w:before="162" w:line="264" w:lineRule="auto"/>
        <w:ind w:right="283"/>
        <w:jc w:val="both"/>
        <w:rPr>
          <w:rFonts w:asciiTheme="minorHAnsi" w:hAnsiTheme="minorHAnsi" w:cstheme="minorHAnsi"/>
        </w:rPr>
      </w:pPr>
      <w:r>
        <w:rPr>
          <w:rFonts w:asciiTheme="minorHAnsi" w:hAnsiTheme="minorHAnsi" w:cstheme="minorHAnsi"/>
        </w:rPr>
        <w:t>Confirmation bias – favouring ideas and opinions that align with our own beliefs</w:t>
      </w:r>
    </w:p>
    <w:p w:rsidR="00E3255E" w:rsidRDefault="00E3255E" w:rsidP="00E3255E">
      <w:pPr>
        <w:pStyle w:val="BodyText"/>
        <w:numPr>
          <w:ilvl w:val="0"/>
          <w:numId w:val="45"/>
        </w:numPr>
        <w:spacing w:before="162" w:line="264" w:lineRule="auto"/>
        <w:ind w:right="283"/>
        <w:jc w:val="both"/>
        <w:rPr>
          <w:rFonts w:asciiTheme="minorHAnsi" w:hAnsiTheme="minorHAnsi" w:cstheme="minorHAnsi"/>
        </w:rPr>
      </w:pPr>
      <w:r>
        <w:rPr>
          <w:rFonts w:asciiTheme="minorHAnsi" w:hAnsiTheme="minorHAnsi" w:cstheme="minorHAnsi"/>
        </w:rPr>
        <w:t xml:space="preserve">Optimism and pessimism bias – Favouring positive outcomes when in an optimistic frame of mind and favouring negative outcomes when in a pessimistic frame of </w:t>
      </w:r>
      <w:r>
        <w:rPr>
          <w:rFonts w:asciiTheme="minorHAnsi" w:hAnsiTheme="minorHAnsi" w:cstheme="minorHAnsi"/>
        </w:rPr>
        <w:lastRenderedPageBreak/>
        <w:t>mind.</w:t>
      </w:r>
    </w:p>
    <w:p w:rsidR="002135B2" w:rsidRPr="002135B2" w:rsidRDefault="00E3255E" w:rsidP="002135B2">
      <w:pPr>
        <w:pStyle w:val="BodyText"/>
        <w:numPr>
          <w:ilvl w:val="0"/>
          <w:numId w:val="45"/>
        </w:numPr>
        <w:spacing w:before="162" w:line="264" w:lineRule="auto"/>
        <w:ind w:right="283"/>
        <w:jc w:val="both"/>
        <w:rPr>
          <w:rFonts w:asciiTheme="minorHAnsi" w:hAnsiTheme="minorHAnsi" w:cstheme="minorHAnsi"/>
        </w:rPr>
      </w:pPr>
      <w:r>
        <w:rPr>
          <w:rFonts w:asciiTheme="minorHAnsi" w:hAnsiTheme="minorHAnsi" w:cstheme="minorHAnsi"/>
        </w:rPr>
        <w:t xml:space="preserve">The sunk cost facility – aversion to loosing and the belief that </w:t>
      </w:r>
      <w:r w:rsidR="002135B2">
        <w:rPr>
          <w:rFonts w:asciiTheme="minorHAnsi" w:hAnsiTheme="minorHAnsi" w:cstheme="minorHAnsi"/>
        </w:rPr>
        <w:t>if we put something in we should get rewarded.  It results in continuing with an idea even when it is now working out.</w:t>
      </w:r>
    </w:p>
    <w:p w:rsidR="00C910B8" w:rsidRDefault="00AD60EC" w:rsidP="006E12AE">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Critical thinking also needs to be applied to others, be aware of personal agendas, identifying fact from opinion and also comparing against others views.  </w:t>
      </w:r>
      <w:r w:rsidR="00540497">
        <w:rPr>
          <w:rFonts w:asciiTheme="minorHAnsi" w:hAnsiTheme="minorHAnsi" w:cstheme="minorHAnsi"/>
        </w:rPr>
        <w:t xml:space="preserve"> </w:t>
      </w:r>
      <w:r w:rsidR="00543CC0">
        <w:rPr>
          <w:rFonts w:asciiTheme="minorHAnsi" w:hAnsiTheme="minorHAnsi" w:cstheme="minorHAnsi"/>
        </w:rPr>
        <w:t xml:space="preserve">Critical thinking is about engaging with research rather than just reading it and taking it at face </w:t>
      </w:r>
      <w:r w:rsidR="00543CC0" w:rsidRPr="00543CC0">
        <w:rPr>
          <w:rFonts w:asciiTheme="minorHAnsi" w:hAnsiTheme="minorHAnsi" w:cstheme="minorHAnsi"/>
        </w:rPr>
        <w:t>value (Scholl, 2016)</w:t>
      </w:r>
      <w:r w:rsidR="00543CC0">
        <w:rPr>
          <w:rFonts w:asciiTheme="minorHAnsi" w:hAnsiTheme="minorHAnsi" w:cstheme="minorHAnsi"/>
        </w:rPr>
        <w:t xml:space="preserve"> and</w:t>
      </w:r>
      <w:r w:rsidR="00543CC0" w:rsidRPr="00543CC0">
        <w:rPr>
          <w:rFonts w:asciiTheme="minorHAnsi" w:hAnsiTheme="minorHAnsi" w:cstheme="minorHAnsi"/>
        </w:rPr>
        <w:t xml:space="preserve"> as</w:t>
      </w:r>
      <w:r w:rsidR="00543CC0">
        <w:t xml:space="preserve"> </w:t>
      </w:r>
      <w:r>
        <w:rPr>
          <w:rFonts w:asciiTheme="minorHAnsi" w:hAnsiTheme="minorHAnsi" w:cstheme="minorHAnsi"/>
        </w:rPr>
        <w:t>Aristotle famously said ‘it is the mark of an educated mind to be able to entertain a thought without accepting it’</w:t>
      </w:r>
      <w:r w:rsidR="00543CC0">
        <w:rPr>
          <w:rFonts w:asciiTheme="minorHAnsi" w:hAnsiTheme="minorHAnsi" w:cstheme="minorHAnsi"/>
        </w:rPr>
        <w:t>.</w:t>
      </w:r>
    </w:p>
    <w:p w:rsidR="00181FDE" w:rsidRPr="006C1D2C" w:rsidRDefault="006C1D2C" w:rsidP="006C1D2C">
      <w:pPr>
        <w:pStyle w:val="BodyText"/>
        <w:spacing w:before="162" w:line="264" w:lineRule="auto"/>
        <w:ind w:left="720" w:right="283"/>
        <w:jc w:val="both"/>
        <w:rPr>
          <w:rFonts w:asciiTheme="minorHAnsi" w:eastAsiaTheme="minorEastAsia" w:hAnsiTheme="minorHAnsi" w:cstheme="minorHAnsi"/>
          <w:b/>
          <w:u w:val="single"/>
        </w:rPr>
      </w:pPr>
      <w:r w:rsidRPr="006C1D2C">
        <w:rPr>
          <w:rFonts w:asciiTheme="minorHAnsi" w:hAnsiTheme="minorHAnsi" w:cstheme="minorHAnsi"/>
          <w:b/>
          <w:u w:val="single"/>
        </w:rPr>
        <w:t>D</w:t>
      </w:r>
      <w:r w:rsidR="00181FDE" w:rsidRPr="006C1D2C">
        <w:rPr>
          <w:rFonts w:asciiTheme="minorHAnsi" w:hAnsiTheme="minorHAnsi" w:cstheme="minorHAnsi"/>
          <w:b/>
          <w:u w:val="single"/>
        </w:rPr>
        <w:t xml:space="preserve">ecision-making processes (AC 1.4) </w:t>
      </w:r>
    </w:p>
    <w:p w:rsidR="00657B82" w:rsidRDefault="00107423" w:rsidP="00657B82">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Decision making allows a manager the opportunity to consider alternative routes and then make an informed judgment as to the best option.  </w:t>
      </w:r>
      <w:r w:rsidR="005368DD">
        <w:rPr>
          <w:rFonts w:asciiTheme="minorHAnsi" w:hAnsiTheme="minorHAnsi" w:cstheme="minorHAnsi"/>
        </w:rPr>
        <w:t xml:space="preserve">Some of the most effective decision making processes are </w:t>
      </w:r>
      <w:proofErr w:type="spellStart"/>
      <w:r w:rsidR="005368DD">
        <w:rPr>
          <w:rFonts w:asciiTheme="minorHAnsi" w:hAnsiTheme="minorHAnsi" w:cstheme="minorHAnsi"/>
        </w:rPr>
        <w:t>Kepner</w:t>
      </w:r>
      <w:proofErr w:type="spellEnd"/>
      <w:r w:rsidR="005368DD">
        <w:rPr>
          <w:rFonts w:asciiTheme="minorHAnsi" w:hAnsiTheme="minorHAnsi" w:cstheme="minorHAnsi"/>
        </w:rPr>
        <w:t xml:space="preserve"> and </w:t>
      </w:r>
      <w:proofErr w:type="spellStart"/>
      <w:r w:rsidR="005368DD">
        <w:rPr>
          <w:rFonts w:asciiTheme="minorHAnsi" w:hAnsiTheme="minorHAnsi" w:cstheme="minorHAnsi"/>
        </w:rPr>
        <w:t>Tregoes</w:t>
      </w:r>
      <w:proofErr w:type="spellEnd"/>
      <w:r w:rsidR="005368DD">
        <w:rPr>
          <w:rFonts w:asciiTheme="minorHAnsi" w:hAnsiTheme="minorHAnsi" w:cstheme="minorHAnsi"/>
        </w:rPr>
        <w:t xml:space="preserve"> model, De </w:t>
      </w:r>
      <w:proofErr w:type="spellStart"/>
      <w:r w:rsidR="005368DD">
        <w:rPr>
          <w:rFonts w:asciiTheme="minorHAnsi" w:hAnsiTheme="minorHAnsi" w:cstheme="minorHAnsi"/>
        </w:rPr>
        <w:t>Bonos</w:t>
      </w:r>
      <w:proofErr w:type="spellEnd"/>
      <w:r w:rsidR="005368DD">
        <w:rPr>
          <w:rFonts w:asciiTheme="minorHAnsi" w:hAnsiTheme="minorHAnsi" w:cstheme="minorHAnsi"/>
        </w:rPr>
        <w:t xml:space="preserve"> six thinking hats, stakeholder analysis, force field analysis, </w:t>
      </w:r>
      <w:proofErr w:type="spellStart"/>
      <w:r w:rsidR="005368DD">
        <w:rPr>
          <w:rFonts w:asciiTheme="minorHAnsi" w:hAnsiTheme="minorHAnsi" w:cstheme="minorHAnsi"/>
        </w:rPr>
        <w:t>Tannenbaum</w:t>
      </w:r>
      <w:proofErr w:type="spellEnd"/>
      <w:r w:rsidR="005368DD">
        <w:rPr>
          <w:rFonts w:asciiTheme="minorHAnsi" w:hAnsiTheme="minorHAnsi" w:cstheme="minorHAnsi"/>
        </w:rPr>
        <w:t xml:space="preserve"> and Schmidt leadership continuum and Deming’</w:t>
      </w:r>
      <w:r w:rsidR="003231DE">
        <w:rPr>
          <w:rFonts w:asciiTheme="minorHAnsi" w:hAnsiTheme="minorHAnsi" w:cstheme="minorHAnsi"/>
        </w:rPr>
        <w:t xml:space="preserve">s PDCA cycle (CMI. 2020).  </w:t>
      </w:r>
    </w:p>
    <w:p w:rsidR="006116B1" w:rsidRDefault="006116B1" w:rsidP="00657B82">
      <w:pPr>
        <w:pStyle w:val="BodyText"/>
        <w:spacing w:before="162" w:line="264" w:lineRule="auto"/>
        <w:ind w:left="720" w:right="283"/>
        <w:jc w:val="both"/>
        <w:rPr>
          <w:rFonts w:asciiTheme="minorHAnsi" w:hAnsiTheme="minorHAnsi" w:cstheme="minorHAnsi"/>
        </w:rPr>
      </w:pPr>
      <w:proofErr w:type="spellStart"/>
      <w:r>
        <w:rPr>
          <w:rFonts w:asciiTheme="minorHAnsi" w:hAnsiTheme="minorHAnsi" w:cstheme="minorHAnsi"/>
        </w:rPr>
        <w:t>Kepner</w:t>
      </w:r>
      <w:proofErr w:type="spellEnd"/>
      <w:r>
        <w:rPr>
          <w:rFonts w:asciiTheme="minorHAnsi" w:hAnsiTheme="minorHAnsi" w:cstheme="minorHAnsi"/>
        </w:rPr>
        <w:t xml:space="preserve"> and </w:t>
      </w:r>
      <w:proofErr w:type="spellStart"/>
      <w:r>
        <w:rPr>
          <w:rFonts w:asciiTheme="minorHAnsi" w:hAnsiTheme="minorHAnsi" w:cstheme="minorHAnsi"/>
        </w:rPr>
        <w:t>Tregoes’s</w:t>
      </w:r>
      <w:proofErr w:type="spellEnd"/>
      <w:r>
        <w:rPr>
          <w:rFonts w:asciiTheme="minorHAnsi" w:hAnsiTheme="minorHAnsi" w:cstheme="minorHAnsi"/>
        </w:rPr>
        <w:t xml:space="preserve"> model has an emphasis on making the “best possible” choice not believing that there is a perfect choice (</w:t>
      </w:r>
      <w:r w:rsidRPr="006116B1">
        <w:rPr>
          <w:rFonts w:asciiTheme="minorHAnsi" w:hAnsiTheme="minorHAnsi" w:cstheme="minorHAnsi"/>
        </w:rPr>
        <w:t xml:space="preserve">www.mindtools.com, </w:t>
      </w:r>
      <w:proofErr w:type="spellStart"/>
      <w:r w:rsidRPr="006116B1">
        <w:rPr>
          <w:rFonts w:asciiTheme="minorHAnsi" w:hAnsiTheme="minorHAnsi" w:cstheme="minorHAnsi"/>
        </w:rPr>
        <w:t>n.d.</w:t>
      </w:r>
      <w:proofErr w:type="spellEnd"/>
      <w:r w:rsidRPr="006116B1">
        <w:rPr>
          <w:rFonts w:asciiTheme="minorHAnsi" w:hAnsiTheme="minorHAnsi" w:cstheme="minorHAnsi"/>
        </w:rPr>
        <w:t>)</w:t>
      </w:r>
      <w:r>
        <w:rPr>
          <w:rFonts w:asciiTheme="minorHAnsi" w:hAnsiTheme="minorHAnsi" w:cstheme="minorHAnsi"/>
        </w:rPr>
        <w:t>.  The model is based on 4 main processes to enable the user to come to a rational decision.  These are:</w:t>
      </w:r>
    </w:p>
    <w:p w:rsidR="006116B1" w:rsidRDefault="006116B1" w:rsidP="006116B1">
      <w:pPr>
        <w:pStyle w:val="BodyText"/>
        <w:numPr>
          <w:ilvl w:val="0"/>
          <w:numId w:val="34"/>
        </w:numPr>
        <w:spacing w:before="162" w:line="264" w:lineRule="auto"/>
        <w:ind w:right="283"/>
        <w:jc w:val="both"/>
        <w:rPr>
          <w:rFonts w:asciiTheme="minorHAnsi" w:hAnsiTheme="minorHAnsi" w:cstheme="minorHAnsi"/>
        </w:rPr>
      </w:pPr>
      <w:r>
        <w:rPr>
          <w:rFonts w:asciiTheme="minorHAnsi" w:hAnsiTheme="minorHAnsi" w:cstheme="minorHAnsi"/>
        </w:rPr>
        <w:t>Situation appraisal – to clarify the situation and problem and decide on a direction</w:t>
      </w:r>
    </w:p>
    <w:p w:rsidR="006116B1" w:rsidRDefault="006116B1" w:rsidP="006116B1">
      <w:pPr>
        <w:pStyle w:val="BodyText"/>
        <w:numPr>
          <w:ilvl w:val="0"/>
          <w:numId w:val="34"/>
        </w:numPr>
        <w:spacing w:before="162" w:line="264" w:lineRule="auto"/>
        <w:ind w:right="283"/>
        <w:jc w:val="both"/>
        <w:rPr>
          <w:rFonts w:asciiTheme="minorHAnsi" w:hAnsiTheme="minorHAnsi" w:cstheme="minorHAnsi"/>
        </w:rPr>
      </w:pPr>
      <w:r>
        <w:rPr>
          <w:rFonts w:asciiTheme="minorHAnsi" w:hAnsiTheme="minorHAnsi" w:cstheme="minorHAnsi"/>
        </w:rPr>
        <w:t>Problem analysis – defining the problem and the cause</w:t>
      </w:r>
    </w:p>
    <w:p w:rsidR="006116B1" w:rsidRDefault="006116B1" w:rsidP="006116B1">
      <w:pPr>
        <w:pStyle w:val="BodyText"/>
        <w:numPr>
          <w:ilvl w:val="0"/>
          <w:numId w:val="34"/>
        </w:numPr>
        <w:spacing w:before="162" w:line="264" w:lineRule="auto"/>
        <w:ind w:right="283"/>
        <w:jc w:val="both"/>
        <w:rPr>
          <w:rFonts w:asciiTheme="minorHAnsi" w:hAnsiTheme="minorHAnsi" w:cstheme="minorHAnsi"/>
        </w:rPr>
      </w:pPr>
      <w:r>
        <w:rPr>
          <w:rFonts w:asciiTheme="minorHAnsi" w:hAnsiTheme="minorHAnsi" w:cstheme="minorHAnsi"/>
        </w:rPr>
        <w:t>Decision analysis – suggested ideas looking at advantages and disadvantages of each</w:t>
      </w:r>
    </w:p>
    <w:p w:rsidR="00703BFB" w:rsidRDefault="006116B1" w:rsidP="006116B1">
      <w:pPr>
        <w:pStyle w:val="BodyText"/>
        <w:numPr>
          <w:ilvl w:val="0"/>
          <w:numId w:val="34"/>
        </w:numPr>
        <w:spacing w:before="162" w:line="264" w:lineRule="auto"/>
        <w:ind w:right="283"/>
        <w:jc w:val="both"/>
        <w:rPr>
          <w:rFonts w:asciiTheme="minorHAnsi" w:hAnsiTheme="minorHAnsi" w:cstheme="minorHAnsi"/>
        </w:rPr>
      </w:pPr>
      <w:r>
        <w:rPr>
          <w:rFonts w:asciiTheme="minorHAnsi" w:hAnsiTheme="minorHAnsi" w:cstheme="minorHAnsi"/>
        </w:rPr>
        <w:t>Potential problem analysis – the best solution is further analysed to consider the risk factors and plan for possible issues if things do not go to plan</w:t>
      </w:r>
    </w:p>
    <w:p w:rsidR="00EC5E4C" w:rsidRDefault="00703BFB" w:rsidP="00EC5E4C">
      <w:pPr>
        <w:pStyle w:val="BodyText"/>
        <w:spacing w:before="162" w:line="264" w:lineRule="auto"/>
        <w:ind w:left="720"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By f</w:t>
      </w:r>
      <w:r w:rsidRPr="00703BFB">
        <w:rPr>
          <w:rFonts w:asciiTheme="minorHAnsi" w:hAnsiTheme="minorHAnsi" w:cs="Lucida Sans Unicode"/>
          <w:color w:val="000000"/>
          <w:shd w:val="clear" w:color="auto" w:fill="FFFFFF"/>
        </w:rPr>
        <w:t xml:space="preserve">ollowing the step-by-step approach of </w:t>
      </w:r>
      <w:proofErr w:type="spellStart"/>
      <w:r w:rsidRPr="00703BFB">
        <w:rPr>
          <w:rFonts w:asciiTheme="minorHAnsi" w:hAnsiTheme="minorHAnsi" w:cs="Lucida Sans Unicode"/>
          <w:color w:val="000000"/>
          <w:shd w:val="clear" w:color="auto" w:fill="FFFFFF"/>
        </w:rPr>
        <w:t>Kepner</w:t>
      </w:r>
      <w:proofErr w:type="spellEnd"/>
      <w:r>
        <w:rPr>
          <w:rFonts w:asciiTheme="minorHAnsi" w:hAnsiTheme="minorHAnsi" w:cs="Lucida Sans Unicode"/>
          <w:color w:val="000000"/>
          <w:shd w:val="clear" w:color="auto" w:fill="FFFFFF"/>
        </w:rPr>
        <w:t xml:space="preserve"> and</w:t>
      </w:r>
      <w:r w:rsidRPr="00703BFB">
        <w:rPr>
          <w:rFonts w:asciiTheme="minorHAnsi" w:hAnsiTheme="minorHAnsi" w:cs="Lucida Sans Unicode"/>
          <w:color w:val="000000"/>
          <w:shd w:val="clear" w:color="auto" w:fill="FFFFFF"/>
        </w:rPr>
        <w:t xml:space="preserve"> </w:t>
      </w:r>
      <w:proofErr w:type="spellStart"/>
      <w:r w:rsidRPr="00703BFB">
        <w:rPr>
          <w:rFonts w:asciiTheme="minorHAnsi" w:hAnsiTheme="minorHAnsi" w:cs="Lucida Sans Unicode"/>
          <w:color w:val="000000"/>
          <w:shd w:val="clear" w:color="auto" w:fill="FFFFFF"/>
        </w:rPr>
        <w:t>Tregoe</w:t>
      </w:r>
      <w:r>
        <w:rPr>
          <w:rFonts w:asciiTheme="minorHAnsi" w:hAnsiTheme="minorHAnsi" w:cs="Lucida Sans Unicode"/>
          <w:color w:val="000000"/>
          <w:shd w:val="clear" w:color="auto" w:fill="FFFFFF"/>
        </w:rPr>
        <w:t>s</w:t>
      </w:r>
      <w:proofErr w:type="spellEnd"/>
      <w:r w:rsidRPr="00703BFB">
        <w:rPr>
          <w:rFonts w:asciiTheme="minorHAnsi" w:hAnsiTheme="minorHAnsi" w:cs="Lucida Sans Unicode"/>
          <w:color w:val="000000"/>
          <w:shd w:val="clear" w:color="auto" w:fill="FFFFFF"/>
        </w:rPr>
        <w:t xml:space="preserve"> decision making</w:t>
      </w:r>
      <w:r>
        <w:rPr>
          <w:rFonts w:asciiTheme="minorHAnsi" w:hAnsiTheme="minorHAnsi" w:cs="Lucida Sans Unicode"/>
          <w:color w:val="000000"/>
          <w:shd w:val="clear" w:color="auto" w:fill="FFFFFF"/>
        </w:rPr>
        <w:t xml:space="preserve"> process</w:t>
      </w:r>
      <w:r w:rsidRPr="00703BFB">
        <w:rPr>
          <w:rFonts w:asciiTheme="minorHAnsi" w:hAnsiTheme="minorHAnsi" w:cs="Lucida Sans Unicode"/>
          <w:color w:val="000000"/>
          <w:shd w:val="clear" w:color="auto" w:fill="FFFFFF"/>
        </w:rPr>
        <w:t xml:space="preserve"> allows for the use of critical thinking skills in consideri</w:t>
      </w:r>
      <w:r>
        <w:rPr>
          <w:rFonts w:asciiTheme="minorHAnsi" w:hAnsiTheme="minorHAnsi" w:cs="Lucida Sans Unicode"/>
          <w:color w:val="000000"/>
          <w:shd w:val="clear" w:color="auto" w:fill="FFFFFF"/>
        </w:rPr>
        <w:t xml:space="preserve">ng many possible factors </w:t>
      </w:r>
      <w:r w:rsidRPr="00703BFB">
        <w:rPr>
          <w:rFonts w:asciiTheme="minorHAnsi" w:hAnsiTheme="minorHAnsi" w:cs="Lucida Sans Unicode"/>
          <w:color w:val="000000"/>
          <w:shd w:val="clear" w:color="auto" w:fill="FFFFFF"/>
        </w:rPr>
        <w:t>(kepner-tregoe.com, 2023)</w:t>
      </w:r>
      <w:r>
        <w:rPr>
          <w:rFonts w:asciiTheme="minorHAnsi" w:hAnsiTheme="minorHAnsi" w:cs="Lucida Sans Unicode"/>
          <w:color w:val="000000"/>
          <w:shd w:val="clear" w:color="auto" w:fill="FFFFFF"/>
        </w:rPr>
        <w:t>.</w:t>
      </w:r>
    </w:p>
    <w:p w:rsidR="00EC5E4C" w:rsidRDefault="00EC5E4C" w:rsidP="00EC5E4C">
      <w:pPr>
        <w:pStyle w:val="BodyText"/>
        <w:spacing w:before="162" w:line="264" w:lineRule="auto"/>
        <w:ind w:left="720"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Is used to help you move closed to a goal and is usually an ongoing/continuous tool used to improve quality.  The 4 steps are:</w:t>
      </w:r>
    </w:p>
    <w:p w:rsidR="00EC5E4C" w:rsidRDefault="00EC5E4C" w:rsidP="00EC5E4C">
      <w:pPr>
        <w:pStyle w:val="BodyText"/>
        <w:numPr>
          <w:ilvl w:val="0"/>
          <w:numId w:val="37"/>
        </w:numPr>
        <w:spacing w:before="162" w:line="264" w:lineRule="auto"/>
        <w:ind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 xml:space="preserve">Plan – Identify and accurately appraise the situation looking at the </w:t>
      </w:r>
      <w:proofErr w:type="spellStart"/>
      <w:r>
        <w:rPr>
          <w:rFonts w:asciiTheme="minorHAnsi" w:hAnsiTheme="minorHAnsi" w:cs="Lucida Sans Unicode"/>
          <w:color w:val="000000"/>
          <w:shd w:val="clear" w:color="auto" w:fill="FFFFFF"/>
        </w:rPr>
        <w:t>route</w:t>
      </w:r>
      <w:proofErr w:type="spellEnd"/>
      <w:r>
        <w:rPr>
          <w:rFonts w:asciiTheme="minorHAnsi" w:hAnsiTheme="minorHAnsi" w:cs="Lucida Sans Unicode"/>
          <w:color w:val="000000"/>
          <w:shd w:val="clear" w:color="auto" w:fill="FFFFFF"/>
        </w:rPr>
        <w:t xml:space="preserve"> cause.  Come up with solutions, deciding on the best solution and set measurable targets.</w:t>
      </w:r>
    </w:p>
    <w:p w:rsidR="00EC5E4C" w:rsidRDefault="00EC5E4C" w:rsidP="00EC5E4C">
      <w:pPr>
        <w:pStyle w:val="BodyText"/>
        <w:numPr>
          <w:ilvl w:val="0"/>
          <w:numId w:val="37"/>
        </w:numPr>
        <w:spacing w:before="162" w:line="264" w:lineRule="auto"/>
        <w:ind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Do – Implement the idea starting on a small scale and collect data.</w:t>
      </w:r>
    </w:p>
    <w:p w:rsidR="00EC5E4C" w:rsidRDefault="00EC5E4C" w:rsidP="00EC5E4C">
      <w:pPr>
        <w:pStyle w:val="BodyText"/>
        <w:numPr>
          <w:ilvl w:val="0"/>
          <w:numId w:val="37"/>
        </w:numPr>
        <w:spacing w:before="162" w:line="264" w:lineRule="auto"/>
        <w:ind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Check – Analyse the data collected and consider whether the actual result match the required results.  If they do, carry on to next step and if they don’t go back to step 1.  This is also an opportunity to make small changes to improve the plan and investigate any unexpected problems.</w:t>
      </w:r>
    </w:p>
    <w:p w:rsidR="00FC097E" w:rsidRDefault="00EC5E4C" w:rsidP="00EC5E4C">
      <w:pPr>
        <w:pStyle w:val="BodyText"/>
        <w:numPr>
          <w:ilvl w:val="0"/>
          <w:numId w:val="37"/>
        </w:numPr>
        <w:spacing w:before="162" w:line="264" w:lineRule="auto"/>
        <w:ind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Act – Implement the plan, integrate and sustain.</w:t>
      </w:r>
    </w:p>
    <w:p w:rsidR="00EC5E4C" w:rsidRPr="00EC5E4C" w:rsidRDefault="00FC097E" w:rsidP="00FC097E">
      <w:pPr>
        <w:pStyle w:val="BodyText"/>
        <w:spacing w:before="162" w:line="264" w:lineRule="auto"/>
        <w:ind w:left="720" w:right="283"/>
        <w:jc w:val="both"/>
        <w:rPr>
          <w:rFonts w:asciiTheme="minorHAnsi" w:hAnsiTheme="minorHAnsi" w:cs="Lucida Sans Unicode"/>
          <w:color w:val="000000"/>
          <w:shd w:val="clear" w:color="auto" w:fill="FFFFFF"/>
        </w:rPr>
      </w:pPr>
      <w:r>
        <w:rPr>
          <w:rFonts w:asciiTheme="minorHAnsi" w:hAnsiTheme="minorHAnsi" w:cs="Lucida Sans Unicode"/>
          <w:color w:val="000000"/>
          <w:shd w:val="clear" w:color="auto" w:fill="FFFFFF"/>
        </w:rPr>
        <w:t xml:space="preserve">This cycle is used continuously and using the new baseline each time so with each cycle the </w:t>
      </w:r>
      <w:r>
        <w:rPr>
          <w:rFonts w:asciiTheme="minorHAnsi" w:hAnsiTheme="minorHAnsi" w:cs="Lucida Sans Unicode"/>
          <w:color w:val="000000"/>
          <w:shd w:val="clear" w:color="auto" w:fill="FFFFFF"/>
        </w:rPr>
        <w:lastRenderedPageBreak/>
        <w:t xml:space="preserve">user gets closer to their desired outcome </w:t>
      </w:r>
      <w:r w:rsidRPr="00FC097E">
        <w:rPr>
          <w:rFonts w:asciiTheme="minorHAnsi" w:hAnsiTheme="minorHAnsi" w:cs="Lucida Sans Unicode"/>
          <w:color w:val="000000"/>
          <w:shd w:val="clear" w:color="auto" w:fill="FFFFFF"/>
        </w:rPr>
        <w:t>(Deming Institute, 2021)</w:t>
      </w:r>
      <w:r>
        <w:rPr>
          <w:rFonts w:asciiTheme="minorHAnsi" w:hAnsiTheme="minorHAnsi" w:cs="Lucida Sans Unicode"/>
          <w:color w:val="000000"/>
          <w:shd w:val="clear" w:color="auto" w:fill="FFFFFF"/>
        </w:rPr>
        <w:t>.</w:t>
      </w:r>
      <w:r w:rsidR="00EC5E4C">
        <w:rPr>
          <w:rFonts w:asciiTheme="minorHAnsi" w:hAnsiTheme="minorHAnsi" w:cs="Lucida Sans Unicode"/>
          <w:color w:val="000000"/>
          <w:shd w:val="clear" w:color="auto" w:fill="FFFFFF"/>
        </w:rPr>
        <w:t xml:space="preserve">  </w:t>
      </w:r>
    </w:p>
    <w:p w:rsidR="00257524" w:rsidRDefault="003231DE" w:rsidP="00257524">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De </w:t>
      </w:r>
      <w:proofErr w:type="spellStart"/>
      <w:r>
        <w:rPr>
          <w:rFonts w:asciiTheme="minorHAnsi" w:hAnsiTheme="minorHAnsi" w:cstheme="minorHAnsi"/>
        </w:rPr>
        <w:t>Bonos</w:t>
      </w:r>
      <w:proofErr w:type="spellEnd"/>
      <w:r>
        <w:rPr>
          <w:rFonts w:asciiTheme="minorHAnsi" w:hAnsiTheme="minorHAnsi" w:cstheme="minorHAnsi"/>
        </w:rPr>
        <w:t xml:space="preserve"> six thinking hats </w:t>
      </w:r>
      <w:r w:rsidR="00703BFB">
        <w:rPr>
          <w:rFonts w:asciiTheme="minorHAnsi" w:hAnsiTheme="minorHAnsi" w:cstheme="minorHAnsi"/>
        </w:rPr>
        <w:t>focusses on using 6 different viewpoints (hats) to approach a problem enabling the use to come to a rounded decision.  The 6 ‘hats’ are:</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Green – Creative thinking to come up with ideas and suggestions</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Yellow – Positive thinking to think optimistically about the situation including the benefits and values</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Black – Risk assessment to think of the problems, disadvantages and hurdles that will need to be overcome</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 xml:space="preserve">Red – Focuses on the feelings, instincts and emotions </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 xml:space="preserve">White – Fact’s and information </w:t>
      </w:r>
    </w:p>
    <w:p w:rsidR="00257524" w:rsidRDefault="00257524" w:rsidP="00257524">
      <w:pPr>
        <w:pStyle w:val="BodyText"/>
        <w:numPr>
          <w:ilvl w:val="0"/>
          <w:numId w:val="36"/>
        </w:numPr>
        <w:spacing w:before="162" w:line="264" w:lineRule="auto"/>
        <w:ind w:right="283"/>
        <w:jc w:val="both"/>
        <w:rPr>
          <w:rFonts w:asciiTheme="minorHAnsi" w:hAnsiTheme="minorHAnsi" w:cstheme="minorHAnsi"/>
        </w:rPr>
      </w:pPr>
      <w:r>
        <w:rPr>
          <w:rFonts w:asciiTheme="minorHAnsi" w:hAnsiTheme="minorHAnsi" w:cstheme="minorHAnsi"/>
        </w:rPr>
        <w:t>Blue – Summarising and planning, putting everything together to come to a solution</w:t>
      </w:r>
    </w:p>
    <w:p w:rsidR="00E82556" w:rsidRDefault="00257524" w:rsidP="00257524">
      <w:pPr>
        <w:pStyle w:val="BodyText"/>
        <w:spacing w:before="162" w:line="264" w:lineRule="auto"/>
        <w:ind w:left="720" w:right="283"/>
        <w:jc w:val="both"/>
        <w:rPr>
          <w:rFonts w:asciiTheme="minorHAnsi" w:hAnsiTheme="minorHAnsi" w:cstheme="minorHAnsi"/>
        </w:rPr>
      </w:pPr>
      <w:r>
        <w:rPr>
          <w:rFonts w:asciiTheme="minorHAnsi" w:hAnsiTheme="minorHAnsi" w:cstheme="minorHAnsi"/>
        </w:rPr>
        <w:t>This approach can be used by a single user of can be used by a group of people ensuring that everyone is involved in the process</w:t>
      </w:r>
      <w:r w:rsidR="00E82556">
        <w:rPr>
          <w:rFonts w:asciiTheme="minorHAnsi" w:hAnsiTheme="minorHAnsi" w:cstheme="minorHAnsi"/>
        </w:rPr>
        <w:t xml:space="preserve"> encouraging collaboration and avoiding conflict</w:t>
      </w:r>
      <w:r>
        <w:rPr>
          <w:rFonts w:asciiTheme="minorHAnsi" w:hAnsiTheme="minorHAnsi" w:cstheme="minorHAnsi"/>
        </w:rPr>
        <w:t>.</w:t>
      </w:r>
      <w:r w:rsidR="00E82556">
        <w:rPr>
          <w:rFonts w:asciiTheme="minorHAnsi" w:hAnsiTheme="minorHAnsi" w:cstheme="minorHAnsi"/>
        </w:rPr>
        <w:t xml:space="preserve">  It also pushes the user to think outside of their usual viewpoint and think more creatively </w:t>
      </w:r>
      <w:r w:rsidR="00E82556" w:rsidRPr="00E82556">
        <w:rPr>
          <w:rFonts w:asciiTheme="minorHAnsi" w:hAnsiTheme="minorHAnsi" w:cstheme="minorHAnsi"/>
        </w:rPr>
        <w:t>(De Bono, 1985)</w:t>
      </w:r>
      <w:r w:rsidR="00E82556">
        <w:rPr>
          <w:rFonts w:asciiTheme="minorHAnsi" w:hAnsiTheme="minorHAnsi" w:cstheme="minorHAnsi"/>
        </w:rPr>
        <w:t>.</w:t>
      </w:r>
      <w:r>
        <w:rPr>
          <w:rFonts w:asciiTheme="minorHAnsi" w:hAnsiTheme="minorHAnsi" w:cstheme="minorHAnsi"/>
        </w:rPr>
        <w:t xml:space="preserve">  </w:t>
      </w:r>
    </w:p>
    <w:p w:rsidR="006C1D2C" w:rsidRPr="00257524" w:rsidRDefault="006C1D2C" w:rsidP="00257524">
      <w:pPr>
        <w:pStyle w:val="BodyText"/>
        <w:spacing w:before="162" w:line="264" w:lineRule="auto"/>
        <w:ind w:left="720" w:right="283"/>
        <w:jc w:val="both"/>
        <w:rPr>
          <w:rFonts w:asciiTheme="minorHAnsi" w:hAnsiTheme="minorHAnsi" w:cstheme="minorHAnsi"/>
        </w:rPr>
      </w:pPr>
    </w:p>
    <w:p w:rsidR="00181FDE" w:rsidRPr="006C1D2C" w:rsidRDefault="006C1D2C" w:rsidP="006C1D2C">
      <w:pPr>
        <w:pStyle w:val="BodyText"/>
        <w:spacing w:before="162" w:line="264" w:lineRule="auto"/>
        <w:ind w:left="720" w:right="283"/>
        <w:jc w:val="both"/>
        <w:rPr>
          <w:rFonts w:asciiTheme="minorHAnsi" w:eastAsiaTheme="minorEastAsia" w:hAnsiTheme="minorHAnsi" w:cstheme="minorHAnsi"/>
          <w:b/>
          <w:u w:val="single"/>
        </w:rPr>
      </w:pPr>
      <w:r w:rsidRPr="006C1D2C">
        <w:rPr>
          <w:rFonts w:asciiTheme="minorHAnsi" w:hAnsiTheme="minorHAnsi" w:cstheme="minorHAnsi"/>
          <w:b/>
          <w:u w:val="single"/>
        </w:rPr>
        <w:t>E</w:t>
      </w:r>
      <w:r w:rsidR="00181FDE" w:rsidRPr="006C1D2C">
        <w:rPr>
          <w:rFonts w:asciiTheme="minorHAnsi" w:hAnsiTheme="minorHAnsi" w:cstheme="minorHAnsi"/>
          <w:b/>
          <w:u w:val="single"/>
        </w:rPr>
        <w:t xml:space="preserve">thical perspectives </w:t>
      </w:r>
      <w:r w:rsidRPr="006C1D2C">
        <w:rPr>
          <w:rFonts w:asciiTheme="minorHAnsi" w:hAnsiTheme="minorHAnsi" w:cstheme="minorHAnsi"/>
          <w:b/>
          <w:u w:val="single"/>
        </w:rPr>
        <w:t>in decision-making</w:t>
      </w:r>
      <w:r w:rsidR="00181FDE" w:rsidRPr="006C1D2C">
        <w:rPr>
          <w:rFonts w:asciiTheme="minorHAnsi" w:hAnsiTheme="minorHAnsi" w:cstheme="minorHAnsi"/>
          <w:b/>
          <w:u w:val="single"/>
        </w:rPr>
        <w:t xml:space="preserve"> (AC 1.5)</w:t>
      </w:r>
    </w:p>
    <w:p w:rsidR="001E30E9" w:rsidRDefault="0068250D" w:rsidP="001E30E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The CIPD</w:t>
      </w:r>
      <w:r w:rsidR="007A08A4">
        <w:rPr>
          <w:rFonts w:asciiTheme="minorHAnsi" w:hAnsiTheme="minorHAnsi" w:cstheme="minorHAnsi"/>
        </w:rPr>
        <w:t xml:space="preserve"> (2022b)</w:t>
      </w:r>
      <w:r>
        <w:rPr>
          <w:rFonts w:asciiTheme="minorHAnsi" w:hAnsiTheme="minorHAnsi" w:cstheme="minorHAnsi"/>
        </w:rPr>
        <w:t xml:space="preserve"> believe that “organisations should ‘do the right thing’ because it’s the right thing to do”.</w:t>
      </w:r>
      <w:r w:rsidR="007A08A4">
        <w:rPr>
          <w:rFonts w:asciiTheme="minorHAnsi" w:hAnsiTheme="minorHAnsi" w:cstheme="minorHAnsi"/>
        </w:rPr>
        <w:t xml:space="preserve">  Research also shows that </w:t>
      </w:r>
      <w:r w:rsidR="001A1746">
        <w:rPr>
          <w:rFonts w:asciiTheme="minorHAnsi" w:hAnsiTheme="minorHAnsi" w:cstheme="minorHAnsi"/>
        </w:rPr>
        <w:t>companies</w:t>
      </w:r>
      <w:r w:rsidR="007A08A4">
        <w:rPr>
          <w:rFonts w:asciiTheme="minorHAnsi" w:hAnsiTheme="minorHAnsi" w:cstheme="minorHAnsi"/>
        </w:rPr>
        <w:t xml:space="preserve"> </w:t>
      </w:r>
      <w:r w:rsidR="00BD7AF5">
        <w:rPr>
          <w:rFonts w:asciiTheme="minorHAnsi" w:hAnsiTheme="minorHAnsi" w:cstheme="minorHAnsi"/>
        </w:rPr>
        <w:t>with good ethical values have improved moral, are financially better off in the long run to their competitor and have a better reputation.</w:t>
      </w:r>
      <w:r w:rsidR="001A1746">
        <w:rPr>
          <w:rFonts w:asciiTheme="minorHAnsi" w:hAnsiTheme="minorHAnsi" w:cstheme="minorHAnsi"/>
        </w:rPr>
        <w:t xml:space="preserve">  The CIPD use their 8</w:t>
      </w:r>
      <w:r w:rsidR="00782F60">
        <w:rPr>
          <w:rFonts w:asciiTheme="minorHAnsi" w:hAnsiTheme="minorHAnsi" w:cstheme="minorHAnsi"/>
        </w:rPr>
        <w:t xml:space="preserve"> ethical </w:t>
      </w:r>
      <w:r w:rsidR="001A1746">
        <w:rPr>
          <w:rFonts w:asciiTheme="minorHAnsi" w:hAnsiTheme="minorHAnsi" w:cstheme="minorHAnsi"/>
        </w:rPr>
        <w:t xml:space="preserve">lenses </w:t>
      </w:r>
      <w:r w:rsidR="00782F60">
        <w:rPr>
          <w:rFonts w:asciiTheme="minorHAnsi" w:hAnsiTheme="minorHAnsi" w:cstheme="minorHAnsi"/>
        </w:rPr>
        <w:t>to view decisions through multiple perspectives</w:t>
      </w:r>
      <w:r w:rsidR="00B739B1">
        <w:rPr>
          <w:rFonts w:asciiTheme="minorHAnsi" w:hAnsiTheme="minorHAnsi" w:cstheme="minorHAnsi"/>
        </w:rPr>
        <w:t xml:space="preserve"> (CIPD, 2015)</w:t>
      </w:r>
      <w:r w:rsidR="00782F60">
        <w:rPr>
          <w:rFonts w:asciiTheme="minorHAnsi" w:hAnsiTheme="minorHAnsi" w:cstheme="minorHAnsi"/>
        </w:rPr>
        <w:t>.  The lenses are:</w:t>
      </w:r>
    </w:p>
    <w:p w:rsidR="00782F60" w:rsidRDefault="00782F60"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Fairness – Everyone in the organisation should agree with the decision and it should be fair to all</w:t>
      </w:r>
    </w:p>
    <w:p w:rsidR="00782F60" w:rsidRDefault="00782F60"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Merit – The organisation should promote equal o</w:t>
      </w:r>
      <w:r w:rsidR="00B739B1">
        <w:rPr>
          <w:rFonts w:asciiTheme="minorHAnsi" w:hAnsiTheme="minorHAnsi" w:cstheme="minorHAnsi"/>
        </w:rPr>
        <w:t>pportunities and merit where deserved</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Markets – Jobs and their merits should follow the general market of such jobs</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Democracy – Those who are affected by the result of the decision should be involved in making the decision</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Wellbeing – Workplaces should promote wellbeing and should be good places to work</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Rights and Duties – Humans rights to do or not do certain actions and should also be protected from certain actions of others</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Character – Have high individual ethical values and act like those you admire</w:t>
      </w:r>
    </w:p>
    <w:p w:rsidR="00B739B1" w:rsidRDefault="00B739B1" w:rsidP="00782F60">
      <w:pPr>
        <w:pStyle w:val="BodyText"/>
        <w:numPr>
          <w:ilvl w:val="0"/>
          <w:numId w:val="38"/>
        </w:numPr>
        <w:spacing w:before="162" w:line="264" w:lineRule="auto"/>
        <w:ind w:right="283"/>
        <w:jc w:val="both"/>
        <w:rPr>
          <w:rFonts w:asciiTheme="minorHAnsi" w:hAnsiTheme="minorHAnsi" w:cstheme="minorHAnsi"/>
        </w:rPr>
      </w:pPr>
      <w:r>
        <w:rPr>
          <w:rFonts w:asciiTheme="minorHAnsi" w:hAnsiTheme="minorHAnsi" w:cstheme="minorHAnsi"/>
        </w:rPr>
        <w:t xml:space="preserve">Handing down – Being a good steward over what you have impact on to ensure </w:t>
      </w:r>
      <w:r>
        <w:rPr>
          <w:rFonts w:asciiTheme="minorHAnsi" w:hAnsiTheme="minorHAnsi" w:cstheme="minorHAnsi"/>
        </w:rPr>
        <w:lastRenderedPageBreak/>
        <w:t>that it is handled with the best interests of its future stewards.</w:t>
      </w:r>
    </w:p>
    <w:p w:rsidR="0015477B" w:rsidRDefault="00B878DF" w:rsidP="001E30E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De</w:t>
      </w:r>
      <w:r w:rsidR="003E34B9">
        <w:rPr>
          <w:rFonts w:asciiTheme="minorHAnsi" w:hAnsiTheme="minorHAnsi" w:cstheme="minorHAnsi"/>
        </w:rPr>
        <w:t>on</w:t>
      </w:r>
      <w:r>
        <w:rPr>
          <w:rFonts w:asciiTheme="minorHAnsi" w:hAnsiTheme="minorHAnsi" w:cstheme="minorHAnsi"/>
        </w:rPr>
        <w:t>t</w:t>
      </w:r>
      <w:r w:rsidR="003E34B9">
        <w:rPr>
          <w:rFonts w:asciiTheme="minorHAnsi" w:hAnsiTheme="minorHAnsi" w:cstheme="minorHAnsi"/>
        </w:rPr>
        <w:t>ological ethics is based on the principle of black and white, right and wrong with no consideration as to the consequences.  It</w:t>
      </w:r>
      <w:r w:rsidR="00FB50E7">
        <w:rPr>
          <w:rFonts w:asciiTheme="minorHAnsi" w:hAnsiTheme="minorHAnsi" w:cstheme="minorHAnsi"/>
        </w:rPr>
        <w:t xml:space="preserve"> believes</w:t>
      </w:r>
      <w:r w:rsidR="003E34B9">
        <w:rPr>
          <w:rFonts w:asciiTheme="minorHAnsi" w:hAnsiTheme="minorHAnsi" w:cstheme="minorHAnsi"/>
        </w:rPr>
        <w:t xml:space="preserve"> that you should do the right thing and not do the wrong things.  Kant a philosopher explained that under this ethical belief it would be wrong to tell a lie to save a friend from being murdered </w:t>
      </w:r>
      <w:r w:rsidR="003E34B9" w:rsidRPr="003E34B9">
        <w:rPr>
          <w:rFonts w:asciiTheme="minorHAnsi" w:hAnsiTheme="minorHAnsi" w:cstheme="minorHAnsi"/>
        </w:rPr>
        <w:t>(BBC, 2014)</w:t>
      </w:r>
      <w:r w:rsidR="003E34B9">
        <w:rPr>
          <w:rFonts w:asciiTheme="minorHAnsi" w:hAnsiTheme="minorHAnsi" w:cstheme="minorHAnsi"/>
        </w:rPr>
        <w:t xml:space="preserve">.  </w:t>
      </w:r>
      <w:r w:rsidR="00FB50E7">
        <w:rPr>
          <w:rFonts w:asciiTheme="minorHAnsi" w:hAnsiTheme="minorHAnsi" w:cstheme="minorHAnsi"/>
        </w:rPr>
        <w:t>This perspective is good in that it gives equal respect and value to individuals.  It is also a very simple approach believing that some acts are always wrong regardless of the outcome and provide certainty as it only deals with the act regardless of the result of such.  It also takes into account intention and motives.  On the other hand it can be very rigid and sets absolute rules and it also allows actions which in the long run create a negative impact.  It also doesn’t deal well where duties are conflicting.</w:t>
      </w:r>
    </w:p>
    <w:p w:rsidR="00FB50E7" w:rsidRDefault="0015477B" w:rsidP="001E30E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Teleology on the other-hand focuses on the end goal/consequences.  </w:t>
      </w:r>
      <w:r w:rsidR="00610694">
        <w:rPr>
          <w:rFonts w:asciiTheme="minorHAnsi" w:hAnsiTheme="minorHAnsi" w:cstheme="minorHAnsi"/>
        </w:rPr>
        <w:t xml:space="preserve">Unfavourable behaviours of acts are acceptable where the end goal is positive and it achieves the required end result.  </w:t>
      </w:r>
      <w:r w:rsidR="00FB50E7">
        <w:rPr>
          <w:rFonts w:asciiTheme="minorHAnsi" w:hAnsiTheme="minorHAnsi" w:cstheme="minorHAnsi"/>
        </w:rPr>
        <w:t xml:space="preserve"> </w:t>
      </w:r>
      <w:r w:rsidR="00DC3F9A">
        <w:rPr>
          <w:rFonts w:asciiTheme="minorHAnsi" w:hAnsiTheme="minorHAnsi" w:cstheme="minorHAnsi"/>
        </w:rPr>
        <w:t>It relies on ‘moral common sense’ which is open to its own prejudices</w:t>
      </w:r>
      <w:r w:rsidR="002B52E5">
        <w:rPr>
          <w:rFonts w:asciiTheme="minorHAnsi" w:hAnsiTheme="minorHAnsi" w:cstheme="minorHAnsi"/>
        </w:rPr>
        <w:t xml:space="preserve"> and there are also questions over use of un-ethical means to reach an end goal</w:t>
      </w:r>
      <w:r w:rsidR="00DC3F9A">
        <w:rPr>
          <w:rFonts w:asciiTheme="minorHAnsi" w:hAnsiTheme="minorHAnsi" w:cstheme="minorHAnsi"/>
        </w:rPr>
        <w:t xml:space="preserve"> </w:t>
      </w:r>
      <w:r w:rsidR="00DC3F9A" w:rsidRPr="00DC3F9A">
        <w:rPr>
          <w:rFonts w:asciiTheme="minorHAnsi" w:hAnsiTheme="minorHAnsi" w:cstheme="minorHAnsi"/>
        </w:rPr>
        <w:t>(</w:t>
      </w:r>
      <w:proofErr w:type="spellStart"/>
      <w:r w:rsidR="00DC3F9A" w:rsidRPr="00DC3F9A">
        <w:rPr>
          <w:rFonts w:asciiTheme="minorHAnsi" w:hAnsiTheme="minorHAnsi" w:cstheme="minorHAnsi"/>
        </w:rPr>
        <w:t>Rachels</w:t>
      </w:r>
      <w:proofErr w:type="spellEnd"/>
      <w:r w:rsidR="00DC3F9A" w:rsidRPr="00DC3F9A">
        <w:rPr>
          <w:rFonts w:asciiTheme="minorHAnsi" w:hAnsiTheme="minorHAnsi" w:cstheme="minorHAnsi"/>
        </w:rPr>
        <w:t xml:space="preserve"> and </w:t>
      </w:r>
      <w:proofErr w:type="spellStart"/>
      <w:r w:rsidR="00DC3F9A" w:rsidRPr="00DC3F9A">
        <w:rPr>
          <w:rFonts w:asciiTheme="minorHAnsi" w:hAnsiTheme="minorHAnsi" w:cstheme="minorHAnsi"/>
        </w:rPr>
        <w:t>Rachels</w:t>
      </w:r>
      <w:proofErr w:type="spellEnd"/>
      <w:r w:rsidR="00DC3F9A" w:rsidRPr="00DC3F9A">
        <w:rPr>
          <w:rFonts w:asciiTheme="minorHAnsi" w:hAnsiTheme="minorHAnsi" w:cstheme="minorHAnsi"/>
        </w:rPr>
        <w:t>, 2023)</w:t>
      </w:r>
      <w:r w:rsidR="00DC3F9A">
        <w:rPr>
          <w:rFonts w:asciiTheme="minorHAnsi" w:hAnsiTheme="minorHAnsi" w:cstheme="minorHAnsi"/>
        </w:rPr>
        <w:t>.</w:t>
      </w:r>
    </w:p>
    <w:p w:rsidR="003E34B9" w:rsidRDefault="00B878DF" w:rsidP="001E30E9">
      <w:pPr>
        <w:pStyle w:val="BodyText"/>
        <w:spacing w:before="162" w:line="264" w:lineRule="auto"/>
        <w:ind w:left="720" w:right="283"/>
        <w:jc w:val="both"/>
        <w:rPr>
          <w:rFonts w:asciiTheme="minorHAnsi" w:hAnsiTheme="minorHAnsi" w:cstheme="minorHAnsi"/>
        </w:rPr>
      </w:pPr>
      <w:r>
        <w:rPr>
          <w:rFonts w:asciiTheme="minorHAnsi" w:hAnsiTheme="minorHAnsi" w:cstheme="minorHAnsi"/>
        </w:rPr>
        <w:t>Utilitarianism is based on the</w:t>
      </w:r>
      <w:r w:rsidR="004954F2">
        <w:rPr>
          <w:rFonts w:asciiTheme="minorHAnsi" w:hAnsiTheme="minorHAnsi" w:cstheme="minorHAnsi"/>
        </w:rPr>
        <w:t xml:space="preserve"> principle of everybody being equal and putting aside one’s own interests, traditions and values.</w:t>
      </w:r>
      <w:r>
        <w:rPr>
          <w:rFonts w:asciiTheme="minorHAnsi" w:hAnsiTheme="minorHAnsi" w:cstheme="minorHAnsi"/>
        </w:rPr>
        <w:t xml:space="preserve"> </w:t>
      </w:r>
      <w:r w:rsidR="004954F2">
        <w:rPr>
          <w:rFonts w:asciiTheme="minorHAnsi" w:hAnsiTheme="minorHAnsi" w:cstheme="minorHAnsi"/>
        </w:rPr>
        <w:t xml:space="preserve"> It puts a large emphasis on impartiality and human well-being being equal </w:t>
      </w:r>
      <w:r w:rsidR="004954F2" w:rsidRPr="004954F2">
        <w:rPr>
          <w:rFonts w:asciiTheme="minorHAnsi" w:hAnsiTheme="minorHAnsi" w:cstheme="minorHAnsi"/>
        </w:rPr>
        <w:t>(</w:t>
      </w:r>
      <w:proofErr w:type="spellStart"/>
      <w:r w:rsidR="004954F2" w:rsidRPr="004954F2">
        <w:rPr>
          <w:rFonts w:asciiTheme="minorHAnsi" w:hAnsiTheme="minorHAnsi" w:cstheme="minorHAnsi"/>
        </w:rPr>
        <w:t>Mulgan</w:t>
      </w:r>
      <w:proofErr w:type="spellEnd"/>
      <w:r w:rsidR="004954F2" w:rsidRPr="004954F2">
        <w:rPr>
          <w:rFonts w:asciiTheme="minorHAnsi" w:hAnsiTheme="minorHAnsi" w:cstheme="minorHAnsi"/>
        </w:rPr>
        <w:t>, 2019)</w:t>
      </w:r>
      <w:r w:rsidR="004954F2">
        <w:rPr>
          <w:rFonts w:asciiTheme="minorHAnsi" w:hAnsiTheme="minorHAnsi" w:cstheme="minorHAnsi"/>
        </w:rPr>
        <w:t xml:space="preserve">.  </w:t>
      </w:r>
      <w:r w:rsidR="008912CD">
        <w:rPr>
          <w:rFonts w:asciiTheme="minorHAnsi" w:hAnsiTheme="minorHAnsi" w:cstheme="minorHAnsi"/>
        </w:rPr>
        <w:t>Utilitarianism is seen as idealistic as in it does not take into account the need to deviate to protect rights and promote equality.  Utilitarianism doesn’t take into account differences by means of disability or age and just considers everybody equal, which can be problematic when resources are limited for example during the Covid-19 Pandemic as outlined by</w:t>
      </w:r>
      <w:r w:rsidR="008912CD" w:rsidRPr="008912CD">
        <w:rPr>
          <w:rFonts w:asciiTheme="minorHAnsi" w:hAnsiTheme="minorHAnsi" w:cstheme="minorHAnsi"/>
        </w:rPr>
        <w:t xml:space="preserve"> </w:t>
      </w:r>
      <w:proofErr w:type="spellStart"/>
      <w:r w:rsidR="008912CD" w:rsidRPr="008912CD">
        <w:rPr>
          <w:rFonts w:asciiTheme="minorHAnsi" w:hAnsiTheme="minorHAnsi" w:cstheme="minorHAnsi"/>
        </w:rPr>
        <w:t>Savulescu</w:t>
      </w:r>
      <w:proofErr w:type="spellEnd"/>
      <w:r w:rsidR="008912CD" w:rsidRPr="008912CD">
        <w:rPr>
          <w:rFonts w:asciiTheme="minorHAnsi" w:hAnsiTheme="minorHAnsi" w:cstheme="minorHAnsi"/>
        </w:rPr>
        <w:t xml:space="preserve">, </w:t>
      </w:r>
      <w:proofErr w:type="spellStart"/>
      <w:r w:rsidR="008912CD" w:rsidRPr="008912CD">
        <w:rPr>
          <w:rFonts w:asciiTheme="minorHAnsi" w:hAnsiTheme="minorHAnsi" w:cstheme="minorHAnsi"/>
        </w:rPr>
        <w:t>Persson</w:t>
      </w:r>
      <w:proofErr w:type="spellEnd"/>
      <w:r w:rsidR="008912CD" w:rsidRPr="008912CD">
        <w:rPr>
          <w:rFonts w:asciiTheme="minorHAnsi" w:hAnsiTheme="minorHAnsi" w:cstheme="minorHAnsi"/>
        </w:rPr>
        <w:t xml:space="preserve"> and Wilkinson</w:t>
      </w:r>
      <w:r w:rsidR="008912CD">
        <w:rPr>
          <w:rFonts w:asciiTheme="minorHAnsi" w:hAnsiTheme="minorHAnsi" w:cstheme="minorHAnsi"/>
        </w:rPr>
        <w:t xml:space="preserve"> (</w:t>
      </w:r>
      <w:r w:rsidR="008912CD" w:rsidRPr="008912CD">
        <w:rPr>
          <w:rFonts w:asciiTheme="minorHAnsi" w:hAnsiTheme="minorHAnsi" w:cstheme="minorHAnsi"/>
        </w:rPr>
        <w:t>2020)</w:t>
      </w:r>
      <w:r w:rsidR="008912CD">
        <w:rPr>
          <w:rFonts w:asciiTheme="minorHAnsi" w:hAnsiTheme="minorHAnsi" w:cstheme="minorHAnsi"/>
        </w:rPr>
        <w:t>.</w:t>
      </w:r>
      <w:r w:rsidR="003E34B9">
        <w:rPr>
          <w:rFonts w:asciiTheme="minorHAnsi" w:hAnsiTheme="minorHAnsi" w:cstheme="minorHAnsi"/>
        </w:rPr>
        <w:t xml:space="preserve">  </w:t>
      </w:r>
    </w:p>
    <w:p w:rsidR="006C1D2C" w:rsidRPr="00181FDE" w:rsidRDefault="006C1D2C" w:rsidP="001E30E9">
      <w:pPr>
        <w:pStyle w:val="BodyText"/>
        <w:spacing w:before="162" w:line="264" w:lineRule="auto"/>
        <w:ind w:left="720" w:right="283"/>
        <w:jc w:val="both"/>
        <w:rPr>
          <w:rFonts w:asciiTheme="minorHAnsi" w:eastAsiaTheme="minorEastAsia" w:hAnsiTheme="minorHAnsi" w:cstheme="minorHAnsi"/>
        </w:rPr>
      </w:pPr>
    </w:p>
    <w:p w:rsidR="00E93466" w:rsidRPr="006C1D2C" w:rsidRDefault="006C1D2C" w:rsidP="006C1D2C">
      <w:pPr>
        <w:pStyle w:val="BodyText"/>
        <w:spacing w:before="162" w:line="264" w:lineRule="auto"/>
        <w:ind w:left="720" w:right="283"/>
        <w:jc w:val="both"/>
        <w:rPr>
          <w:rFonts w:asciiTheme="minorHAnsi" w:hAnsiTheme="minorHAnsi" w:cstheme="minorHAnsi"/>
          <w:b/>
          <w:u w:val="single"/>
        </w:rPr>
      </w:pPr>
      <w:r w:rsidRPr="006C1D2C">
        <w:rPr>
          <w:rFonts w:asciiTheme="minorHAnsi" w:eastAsia="Times New Roman" w:hAnsiTheme="minorHAnsi" w:cstheme="minorHAnsi"/>
          <w:b/>
          <w:u w:val="single"/>
        </w:rPr>
        <w:t>F</w:t>
      </w:r>
      <w:r w:rsidR="00181FDE" w:rsidRPr="006C1D2C">
        <w:rPr>
          <w:rFonts w:asciiTheme="minorHAnsi" w:eastAsia="Times New Roman" w:hAnsiTheme="minorHAnsi" w:cstheme="minorHAnsi"/>
          <w:b/>
          <w:u w:val="single"/>
        </w:rPr>
        <w:t xml:space="preserve">inancial and non-financial </w:t>
      </w:r>
      <w:r w:rsidRPr="006C1D2C">
        <w:rPr>
          <w:rFonts w:asciiTheme="minorHAnsi" w:eastAsia="Times New Roman" w:hAnsiTheme="minorHAnsi" w:cstheme="minorHAnsi"/>
          <w:b/>
          <w:u w:val="single"/>
        </w:rPr>
        <w:t>performance measures</w:t>
      </w:r>
      <w:r w:rsidR="00181FDE" w:rsidRPr="006C1D2C">
        <w:rPr>
          <w:rFonts w:asciiTheme="minorHAnsi" w:hAnsiTheme="minorHAnsi" w:cstheme="minorHAnsi"/>
          <w:b/>
          <w:u w:val="single"/>
        </w:rPr>
        <w:t xml:space="preserve"> (AC 3.1)</w:t>
      </w:r>
    </w:p>
    <w:p w:rsidR="00386056" w:rsidRPr="00C33478" w:rsidRDefault="00386056" w:rsidP="00386056">
      <w:pPr>
        <w:pStyle w:val="BodyText"/>
        <w:spacing w:before="162" w:line="264" w:lineRule="auto"/>
        <w:ind w:left="720" w:right="283"/>
        <w:jc w:val="both"/>
        <w:rPr>
          <w:rFonts w:asciiTheme="minorHAnsi" w:hAnsiTheme="minorHAnsi" w:cstheme="minorHAnsi"/>
          <w:iCs/>
        </w:rPr>
      </w:pPr>
      <w:r>
        <w:rPr>
          <w:rFonts w:asciiTheme="minorHAnsi" w:hAnsiTheme="minorHAnsi" w:cstheme="minorHAnsi"/>
          <w:iCs/>
        </w:rPr>
        <w:t xml:space="preserve">Performance can be measured in qualitative or quantitative way and a mixture of the both ideally.  </w:t>
      </w:r>
      <w:r w:rsidR="00C33478">
        <w:rPr>
          <w:rFonts w:asciiTheme="minorHAnsi" w:hAnsiTheme="minorHAnsi" w:cstheme="minorHAnsi"/>
          <w:iCs/>
        </w:rPr>
        <w:t>A ‘balanced scorecard’ is a mixture of hard financial indicators (quantitative) s</w:t>
      </w:r>
      <w:r w:rsidR="001A1636">
        <w:rPr>
          <w:rFonts w:asciiTheme="minorHAnsi" w:hAnsiTheme="minorHAnsi" w:cstheme="minorHAnsi"/>
          <w:iCs/>
        </w:rPr>
        <w:t>u</w:t>
      </w:r>
      <w:r w:rsidR="00C33478">
        <w:rPr>
          <w:rFonts w:asciiTheme="minorHAnsi" w:hAnsiTheme="minorHAnsi" w:cstheme="minorHAnsi"/>
          <w:iCs/>
        </w:rPr>
        <w:t xml:space="preserve">ch as Key Performance Indicators (KPI’s) and soft measures (qualitative) such as customer satisfaction </w:t>
      </w:r>
      <w:r w:rsidR="00C33478" w:rsidRPr="00C33478">
        <w:rPr>
          <w:rFonts w:asciiTheme="minorHAnsi" w:hAnsiTheme="minorHAnsi" w:cstheme="minorHAnsi"/>
        </w:rPr>
        <w:t>(Mullins and McLean, 2019).</w:t>
      </w:r>
      <w:r w:rsidR="00C33478">
        <w:rPr>
          <w:rFonts w:asciiTheme="minorHAnsi" w:hAnsiTheme="minorHAnsi" w:cstheme="minorHAnsi"/>
        </w:rPr>
        <w:t xml:space="preserve">  </w:t>
      </w:r>
    </w:p>
    <w:p w:rsidR="00F833AD" w:rsidRDefault="00F833AD" w:rsidP="00F833AD">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For the public sector </w:t>
      </w:r>
      <w:r w:rsidR="001A1636">
        <w:rPr>
          <w:rFonts w:asciiTheme="minorHAnsi" w:hAnsiTheme="minorHAnsi" w:cstheme="minorHAnsi"/>
        </w:rPr>
        <w:t xml:space="preserve">financial measures would include efficiently savings and non-financial measures greater efficiency.  In the private sector financial measures would include profitability and non-financial measures would include productivity.  </w:t>
      </w:r>
    </w:p>
    <w:p w:rsidR="0061260A" w:rsidRDefault="001A1636" w:rsidP="00F833AD">
      <w:pPr>
        <w:pStyle w:val="BodyText"/>
        <w:spacing w:before="162" w:line="264" w:lineRule="auto"/>
        <w:ind w:left="720" w:right="283"/>
        <w:jc w:val="both"/>
        <w:rPr>
          <w:rFonts w:asciiTheme="minorHAnsi" w:hAnsiTheme="minorHAnsi" w:cstheme="minorHAnsi"/>
        </w:rPr>
      </w:pPr>
      <w:r>
        <w:rPr>
          <w:rFonts w:asciiTheme="minorHAnsi" w:hAnsiTheme="minorHAnsi" w:cstheme="minorHAnsi"/>
        </w:rPr>
        <w:t>A useful financial measurement tool is a financial statement analysis where a number of financial doc</w:t>
      </w:r>
      <w:r w:rsidR="00DE4E28">
        <w:rPr>
          <w:rFonts w:asciiTheme="minorHAnsi" w:hAnsiTheme="minorHAnsi" w:cstheme="minorHAnsi"/>
        </w:rPr>
        <w:t xml:space="preserve">uments are drawn up and analyses to get a better understanding of how well an organisation is performing </w:t>
      </w:r>
      <w:r w:rsidR="00DE4E28" w:rsidRPr="00DE4E28">
        <w:rPr>
          <w:rFonts w:asciiTheme="minorHAnsi" w:hAnsiTheme="minorHAnsi" w:cstheme="minorHAnsi"/>
        </w:rPr>
        <w:t>(</w:t>
      </w:r>
      <w:proofErr w:type="spellStart"/>
      <w:r w:rsidR="00DE4E28" w:rsidRPr="00DE4E28">
        <w:rPr>
          <w:rFonts w:asciiTheme="minorHAnsi" w:hAnsiTheme="minorHAnsi" w:cstheme="minorHAnsi"/>
        </w:rPr>
        <w:t>Stobierski</w:t>
      </w:r>
      <w:proofErr w:type="spellEnd"/>
      <w:r w:rsidR="00DE4E28" w:rsidRPr="00DE4E28">
        <w:rPr>
          <w:rFonts w:asciiTheme="minorHAnsi" w:hAnsiTheme="minorHAnsi" w:cstheme="minorHAnsi"/>
        </w:rPr>
        <w:t>, 2020).</w:t>
      </w:r>
      <w:r w:rsidR="00DE4E28">
        <w:rPr>
          <w:rFonts w:asciiTheme="minorHAnsi" w:hAnsiTheme="minorHAnsi" w:cstheme="minorHAnsi"/>
        </w:rPr>
        <w:t xml:space="preserve">  Example documents would be cash flow statement, annual report, income statement and a balance sheet.  An advantage of this is that it is based on clear data and is easily translated.  A disadvantage is that some organisations can alter</w:t>
      </w:r>
      <w:r w:rsidR="0061260A">
        <w:rPr>
          <w:rFonts w:asciiTheme="minorHAnsi" w:hAnsiTheme="minorHAnsi" w:cstheme="minorHAnsi"/>
        </w:rPr>
        <w:t xml:space="preserve"> their figures to give the impression of success</w:t>
      </w:r>
      <w:r w:rsidR="00DE4E28">
        <w:rPr>
          <w:rFonts w:asciiTheme="minorHAnsi" w:hAnsiTheme="minorHAnsi" w:cstheme="minorHAnsi"/>
        </w:rPr>
        <w:t xml:space="preserve">. </w:t>
      </w:r>
    </w:p>
    <w:p w:rsidR="00E93466" w:rsidRDefault="00DE4E28" w:rsidP="00E93466">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 </w:t>
      </w:r>
      <w:r w:rsidR="0061260A">
        <w:rPr>
          <w:rFonts w:asciiTheme="minorHAnsi" w:hAnsiTheme="minorHAnsi" w:cstheme="minorHAnsi"/>
        </w:rPr>
        <w:t xml:space="preserve">Another useful non-financial measurement tool is customer surveys.  This gives the customer the opportunity to give honest feedback on services or products.  </w:t>
      </w:r>
      <w:r w:rsidR="003D2517">
        <w:rPr>
          <w:rFonts w:asciiTheme="minorHAnsi" w:hAnsiTheme="minorHAnsi" w:cstheme="minorHAnsi"/>
        </w:rPr>
        <w:t xml:space="preserve">Customer surveys can help determine priorities, give an insight from the customer’s perspective, </w:t>
      </w:r>
      <w:r w:rsidR="003D2517">
        <w:rPr>
          <w:rFonts w:asciiTheme="minorHAnsi" w:hAnsiTheme="minorHAnsi" w:cstheme="minorHAnsi"/>
        </w:rPr>
        <w:lastRenderedPageBreak/>
        <w:t xml:space="preserve">identify patterns and see how changes are received </w:t>
      </w:r>
      <w:r w:rsidR="003D2517" w:rsidRPr="003D2517">
        <w:rPr>
          <w:rFonts w:asciiTheme="minorHAnsi" w:hAnsiTheme="minorHAnsi" w:cstheme="minorHAnsi"/>
        </w:rPr>
        <w:t>(Peek, 2023)</w:t>
      </w:r>
      <w:r w:rsidR="003D2517">
        <w:rPr>
          <w:rFonts w:asciiTheme="minorHAnsi" w:hAnsiTheme="minorHAnsi" w:cstheme="minorHAnsi"/>
        </w:rPr>
        <w:t>.  Customers survey’s however are hard to measure and do not give easy to analyse data.</w:t>
      </w:r>
    </w:p>
    <w:p w:rsidR="006C1D2C" w:rsidRPr="00E93466" w:rsidRDefault="006C1D2C" w:rsidP="00E93466">
      <w:pPr>
        <w:pStyle w:val="BodyText"/>
        <w:spacing w:before="162" w:line="264" w:lineRule="auto"/>
        <w:ind w:left="720" w:right="283"/>
        <w:jc w:val="both"/>
        <w:rPr>
          <w:rFonts w:asciiTheme="minorHAnsi" w:hAnsiTheme="minorHAnsi" w:cstheme="minorHAnsi"/>
        </w:rPr>
      </w:pPr>
    </w:p>
    <w:p w:rsidR="00181FDE" w:rsidRPr="006C1D2C" w:rsidRDefault="006C1D2C" w:rsidP="006C1D2C">
      <w:pPr>
        <w:pStyle w:val="BodyText"/>
        <w:spacing w:before="162" w:line="264" w:lineRule="auto"/>
        <w:ind w:left="720" w:right="283"/>
        <w:jc w:val="both"/>
        <w:rPr>
          <w:rFonts w:asciiTheme="minorHAnsi" w:hAnsiTheme="minorHAnsi" w:cstheme="minorHAnsi"/>
          <w:b/>
          <w:u w:val="single"/>
        </w:rPr>
      </w:pPr>
      <w:r w:rsidRPr="006C1D2C">
        <w:rPr>
          <w:rFonts w:asciiTheme="minorHAnsi" w:hAnsiTheme="minorHAnsi" w:cstheme="minorHAnsi"/>
          <w:b/>
          <w:u w:val="single"/>
        </w:rPr>
        <w:t>Measurements of</w:t>
      </w:r>
      <w:r w:rsidR="00181FDE" w:rsidRPr="006C1D2C">
        <w:rPr>
          <w:rFonts w:asciiTheme="minorHAnsi" w:hAnsiTheme="minorHAnsi" w:cstheme="minorHAnsi"/>
          <w:b/>
          <w:u w:val="single"/>
        </w:rPr>
        <w:t xml:space="preserve"> impact of people practices. (AC 3.2)</w:t>
      </w:r>
    </w:p>
    <w:p w:rsidR="005175F7" w:rsidRDefault="002A59BC" w:rsidP="002A59BC">
      <w:pPr>
        <w:pStyle w:val="BodyText"/>
        <w:spacing w:before="162" w:line="264" w:lineRule="auto"/>
        <w:ind w:left="720" w:right="283"/>
        <w:jc w:val="both"/>
        <w:rPr>
          <w:rFonts w:asciiTheme="minorHAnsi" w:hAnsiTheme="minorHAnsi" w:cstheme="minorHAnsi"/>
        </w:rPr>
      </w:pPr>
      <w:r>
        <w:rPr>
          <w:rFonts w:asciiTheme="minorHAnsi" w:hAnsiTheme="minorHAnsi" w:cstheme="minorHAnsi"/>
        </w:rPr>
        <w:t>It is hard to measure the effectiveness of Human Research Management</w:t>
      </w:r>
      <w:r w:rsidR="00AC6077">
        <w:rPr>
          <w:rFonts w:asciiTheme="minorHAnsi" w:hAnsiTheme="minorHAnsi" w:cstheme="minorHAnsi"/>
        </w:rPr>
        <w:t xml:space="preserve"> (HRM)</w:t>
      </w:r>
      <w:r>
        <w:rPr>
          <w:rFonts w:asciiTheme="minorHAnsi" w:hAnsiTheme="minorHAnsi" w:cstheme="minorHAnsi"/>
        </w:rPr>
        <w:t xml:space="preserve"> and therefore it is referred to as ‘adding value’</w:t>
      </w:r>
      <w:r w:rsidR="008120F1">
        <w:rPr>
          <w:rFonts w:asciiTheme="minorHAnsi" w:hAnsiTheme="minorHAnsi" w:cstheme="minorHAnsi"/>
        </w:rPr>
        <w:t xml:space="preserve">.  </w:t>
      </w:r>
      <w:r w:rsidR="00AC6077">
        <w:rPr>
          <w:rFonts w:asciiTheme="minorHAnsi" w:hAnsiTheme="minorHAnsi" w:cstheme="minorHAnsi"/>
        </w:rPr>
        <w:t xml:space="preserve">HRM is involved in many parts of an organisation, from maintaining activities, avoiding crisis, continuous improvement and changes to management practices.  </w:t>
      </w:r>
      <w:r w:rsidR="008120F1">
        <w:rPr>
          <w:rFonts w:asciiTheme="minorHAnsi" w:hAnsiTheme="minorHAnsi" w:cstheme="minorHAnsi"/>
        </w:rPr>
        <w:t>Return of investment (ROI) is a way of measuring the performance of an organisation.  ROI is a measurement of the benefits resulting from HRM projects.  It looks at the short, medium and long-term effects</w:t>
      </w:r>
      <w:r w:rsidR="008120F1" w:rsidRPr="008120F1">
        <w:rPr>
          <w:rFonts w:asciiTheme="minorHAnsi" w:hAnsiTheme="minorHAnsi" w:cstheme="minorHAnsi"/>
        </w:rPr>
        <w:t xml:space="preserve"> (Hill and Houghton, 2021)</w:t>
      </w:r>
      <w:r w:rsidR="008120F1">
        <w:rPr>
          <w:rFonts w:asciiTheme="minorHAnsi" w:hAnsiTheme="minorHAnsi" w:cstheme="minorHAnsi"/>
        </w:rPr>
        <w:t>.</w:t>
      </w:r>
    </w:p>
    <w:p w:rsidR="005175F7" w:rsidRDefault="005175F7" w:rsidP="005175F7">
      <w:pPr>
        <w:pStyle w:val="BodyText"/>
        <w:spacing w:before="162" w:line="264" w:lineRule="auto"/>
        <w:ind w:left="720" w:right="283"/>
        <w:jc w:val="both"/>
        <w:rPr>
          <w:rFonts w:asciiTheme="minorHAnsi" w:hAnsiTheme="minorHAnsi" w:cstheme="minorHAnsi"/>
        </w:rPr>
      </w:pPr>
      <w:r>
        <w:rPr>
          <w:rFonts w:asciiTheme="minorHAnsi" w:hAnsiTheme="minorHAnsi" w:cstheme="minorHAnsi"/>
        </w:rPr>
        <w:t>People practices are integral for HRM to add value to an organisation.  Examples include:</w:t>
      </w:r>
    </w:p>
    <w:p w:rsidR="002A59BC" w:rsidRDefault="005175F7" w:rsidP="005175F7">
      <w:pPr>
        <w:pStyle w:val="BodyText"/>
        <w:numPr>
          <w:ilvl w:val="0"/>
          <w:numId w:val="39"/>
        </w:numPr>
        <w:spacing w:before="162" w:line="264" w:lineRule="auto"/>
        <w:ind w:right="283"/>
        <w:jc w:val="both"/>
        <w:rPr>
          <w:rFonts w:asciiTheme="minorHAnsi" w:hAnsiTheme="minorHAnsi" w:cstheme="minorHAnsi"/>
        </w:rPr>
      </w:pPr>
      <w:r>
        <w:rPr>
          <w:rFonts w:asciiTheme="minorHAnsi" w:hAnsiTheme="minorHAnsi" w:cstheme="minorHAnsi"/>
        </w:rPr>
        <w:t>Employee engagement, training and development</w:t>
      </w:r>
    </w:p>
    <w:p w:rsidR="005175F7" w:rsidRDefault="005175F7" w:rsidP="005175F7">
      <w:pPr>
        <w:pStyle w:val="BodyText"/>
        <w:numPr>
          <w:ilvl w:val="0"/>
          <w:numId w:val="39"/>
        </w:numPr>
        <w:spacing w:before="162" w:line="264" w:lineRule="auto"/>
        <w:ind w:right="283"/>
        <w:jc w:val="both"/>
        <w:rPr>
          <w:rFonts w:asciiTheme="minorHAnsi" w:hAnsiTheme="minorHAnsi" w:cstheme="minorHAnsi"/>
        </w:rPr>
      </w:pPr>
      <w:r>
        <w:rPr>
          <w:rFonts w:asciiTheme="minorHAnsi" w:hAnsiTheme="minorHAnsi" w:cstheme="minorHAnsi"/>
        </w:rPr>
        <w:t>Talent requisition and retention</w:t>
      </w:r>
    </w:p>
    <w:p w:rsidR="005175F7" w:rsidRDefault="005175F7" w:rsidP="005175F7">
      <w:pPr>
        <w:pStyle w:val="BodyText"/>
        <w:numPr>
          <w:ilvl w:val="0"/>
          <w:numId w:val="39"/>
        </w:numPr>
        <w:spacing w:before="162" w:line="264" w:lineRule="auto"/>
        <w:ind w:right="283"/>
        <w:jc w:val="both"/>
        <w:rPr>
          <w:rFonts w:asciiTheme="minorHAnsi" w:hAnsiTheme="minorHAnsi" w:cstheme="minorHAnsi"/>
        </w:rPr>
      </w:pPr>
      <w:r>
        <w:rPr>
          <w:rFonts w:asciiTheme="minorHAnsi" w:hAnsiTheme="minorHAnsi" w:cstheme="minorHAnsi"/>
        </w:rPr>
        <w:t>Performance management i.e</w:t>
      </w:r>
      <w:r w:rsidR="006C1D2C">
        <w:rPr>
          <w:rFonts w:asciiTheme="minorHAnsi" w:hAnsiTheme="minorHAnsi" w:cstheme="minorHAnsi"/>
        </w:rPr>
        <w:t>.</w:t>
      </w:r>
      <w:r>
        <w:rPr>
          <w:rFonts w:asciiTheme="minorHAnsi" w:hAnsiTheme="minorHAnsi" w:cstheme="minorHAnsi"/>
        </w:rPr>
        <w:t xml:space="preserve"> setting targets and rewards</w:t>
      </w:r>
    </w:p>
    <w:p w:rsidR="005175F7" w:rsidRDefault="005175F7" w:rsidP="005175F7">
      <w:pPr>
        <w:pStyle w:val="BodyText"/>
        <w:numPr>
          <w:ilvl w:val="0"/>
          <w:numId w:val="39"/>
        </w:numPr>
        <w:spacing w:before="162" w:line="264" w:lineRule="auto"/>
        <w:ind w:right="283"/>
        <w:jc w:val="both"/>
        <w:rPr>
          <w:rFonts w:asciiTheme="minorHAnsi" w:hAnsiTheme="minorHAnsi" w:cstheme="minorHAnsi"/>
        </w:rPr>
      </w:pPr>
      <w:r>
        <w:rPr>
          <w:rFonts w:asciiTheme="minorHAnsi" w:hAnsiTheme="minorHAnsi" w:cstheme="minorHAnsi"/>
        </w:rPr>
        <w:t>Inclusion and diversity</w:t>
      </w:r>
    </w:p>
    <w:p w:rsidR="005175F7" w:rsidRDefault="005175F7" w:rsidP="005175F7">
      <w:pPr>
        <w:pStyle w:val="BodyText"/>
        <w:spacing w:before="162" w:line="264" w:lineRule="auto"/>
        <w:ind w:left="720" w:right="283"/>
        <w:jc w:val="both"/>
        <w:rPr>
          <w:rFonts w:asciiTheme="minorHAnsi" w:hAnsiTheme="minorHAnsi" w:cstheme="minorHAnsi"/>
        </w:rPr>
      </w:pPr>
      <w:r>
        <w:rPr>
          <w:rFonts w:asciiTheme="minorHAnsi" w:hAnsiTheme="minorHAnsi" w:cstheme="minorHAnsi"/>
        </w:rPr>
        <w:t xml:space="preserve">By measuring the impact of these people practices, organisations can measure the value added by HRM.  KPI’s could be used to measure staff turnover and staff retention.  These are quantitative measurements.  Staff surveys could also be used to measure employee engagement.  This would be qualitative measurement.   </w:t>
      </w:r>
    </w:p>
    <w:p w:rsidR="00D651EC" w:rsidRPr="0047267F" w:rsidRDefault="00D651EC" w:rsidP="0047267F">
      <w:pPr>
        <w:jc w:val="both"/>
      </w:pPr>
    </w:p>
    <w:p w:rsidR="005B60E5" w:rsidRPr="005B60E5" w:rsidRDefault="005B60E5" w:rsidP="005B60E5">
      <w:pPr>
        <w:spacing w:after="240" w:line="360" w:lineRule="auto"/>
        <w:rPr>
          <w:rFonts w:eastAsia="Times New Roman" w:cstheme="minorHAnsi"/>
          <w:b/>
          <w:u w:val="single"/>
          <w:lang w:eastAsia="en-GB"/>
        </w:rPr>
      </w:pPr>
      <w:r w:rsidRPr="005B60E5">
        <w:rPr>
          <w:rFonts w:eastAsia="Times New Roman" w:cstheme="minorHAnsi"/>
          <w:b/>
          <w:u w:val="single"/>
          <w:lang w:eastAsia="en-GB"/>
        </w:rPr>
        <w:t>Reference list</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proofErr w:type="spellStart"/>
      <w:r w:rsidRPr="006C1D2C">
        <w:rPr>
          <w:rFonts w:asciiTheme="minorHAnsi" w:hAnsiTheme="minorHAnsi"/>
          <w:sz w:val="22"/>
          <w:szCs w:val="22"/>
        </w:rPr>
        <w:t>Barends</w:t>
      </w:r>
      <w:proofErr w:type="spellEnd"/>
      <w:r w:rsidRPr="006C1D2C">
        <w:rPr>
          <w:rFonts w:asciiTheme="minorHAnsi" w:hAnsiTheme="minorHAnsi"/>
          <w:sz w:val="22"/>
          <w:szCs w:val="22"/>
        </w:rPr>
        <w:t>, E., Rou</w:t>
      </w:r>
      <w:r w:rsidR="003279BB">
        <w:rPr>
          <w:rFonts w:asciiTheme="minorHAnsi" w:hAnsiTheme="minorHAnsi"/>
          <w:sz w:val="22"/>
          <w:szCs w:val="22"/>
        </w:rPr>
        <w:t>sseau, D. and Briner, R. (2014)</w:t>
      </w:r>
      <w:r w:rsidRPr="006C1D2C">
        <w:rPr>
          <w:rFonts w:asciiTheme="minorHAnsi" w:hAnsiTheme="minorHAnsi"/>
          <w:sz w:val="22"/>
          <w:szCs w:val="22"/>
        </w:rPr>
        <w:t xml:space="preserve"> </w:t>
      </w:r>
      <w:r w:rsidRPr="006C1D2C">
        <w:rPr>
          <w:rFonts w:asciiTheme="minorHAnsi" w:hAnsiTheme="minorHAnsi"/>
          <w:i/>
          <w:iCs/>
          <w:sz w:val="22"/>
          <w:szCs w:val="22"/>
        </w:rPr>
        <w:t>Evidence Based Practice The Basic Principles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Pr="006C1D2C">
        <w:rPr>
          <w:rFonts w:asciiTheme="minorHAnsi" w:hAnsiTheme="minorHAnsi"/>
          <w:sz w:val="22"/>
          <w:szCs w:val="22"/>
        </w:rPr>
        <w:t xml:space="preserve"> Available at: https://www.cebma.org/wp-content/uploads/Evidence-Based-Pra</w:t>
      </w:r>
      <w:r w:rsidR="00F005F3">
        <w:rPr>
          <w:rFonts w:asciiTheme="minorHAnsi" w:hAnsiTheme="minorHAnsi"/>
          <w:sz w:val="22"/>
          <w:szCs w:val="22"/>
        </w:rPr>
        <w:t>ctice-The-Basic-Principles.pdf (Accessed 15 Oct. 2023)</w:t>
      </w:r>
      <w:r w:rsidRPr="006C1D2C">
        <w:rPr>
          <w:rFonts w:asciiTheme="minorHAnsi" w:hAnsiTheme="minorHAnsi"/>
          <w:sz w:val="22"/>
          <w:szCs w:val="22"/>
        </w:rPr>
        <w:t>.</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proofErr w:type="spellStart"/>
      <w:r w:rsidRPr="006C1D2C">
        <w:rPr>
          <w:rFonts w:asciiTheme="minorHAnsi" w:hAnsiTheme="minorHAnsi"/>
          <w:sz w:val="22"/>
          <w:szCs w:val="22"/>
        </w:rPr>
        <w:t>Barend</w:t>
      </w:r>
      <w:r w:rsidR="003279BB">
        <w:rPr>
          <w:rFonts w:asciiTheme="minorHAnsi" w:hAnsiTheme="minorHAnsi"/>
          <w:sz w:val="22"/>
          <w:szCs w:val="22"/>
        </w:rPr>
        <w:t>s</w:t>
      </w:r>
      <w:proofErr w:type="spellEnd"/>
      <w:r w:rsidR="003279BB">
        <w:rPr>
          <w:rFonts w:asciiTheme="minorHAnsi" w:hAnsiTheme="minorHAnsi"/>
          <w:sz w:val="22"/>
          <w:szCs w:val="22"/>
        </w:rPr>
        <w:t>, E. and Rousseau, D.M. (2018)</w:t>
      </w:r>
      <w:r w:rsidRPr="006C1D2C">
        <w:rPr>
          <w:rFonts w:asciiTheme="minorHAnsi" w:hAnsiTheme="minorHAnsi"/>
          <w:sz w:val="22"/>
          <w:szCs w:val="22"/>
        </w:rPr>
        <w:t xml:space="preserve"> </w:t>
      </w:r>
      <w:r w:rsidRPr="006C1D2C">
        <w:rPr>
          <w:rFonts w:asciiTheme="minorHAnsi" w:hAnsiTheme="minorHAnsi"/>
          <w:i/>
          <w:iCs/>
          <w:sz w:val="22"/>
          <w:szCs w:val="22"/>
        </w:rPr>
        <w:t xml:space="preserve">Evidence-based </w:t>
      </w:r>
      <w:proofErr w:type="gramStart"/>
      <w:r w:rsidRPr="006C1D2C">
        <w:rPr>
          <w:rFonts w:asciiTheme="minorHAnsi" w:hAnsiTheme="minorHAnsi"/>
          <w:i/>
          <w:iCs/>
          <w:sz w:val="22"/>
          <w:szCs w:val="22"/>
        </w:rPr>
        <w:t>management :</w:t>
      </w:r>
      <w:proofErr w:type="gramEnd"/>
      <w:r w:rsidRPr="006C1D2C">
        <w:rPr>
          <w:rFonts w:asciiTheme="minorHAnsi" w:hAnsiTheme="minorHAnsi"/>
          <w:i/>
          <w:iCs/>
          <w:sz w:val="22"/>
          <w:szCs w:val="22"/>
        </w:rPr>
        <w:t xml:space="preserve"> how to use evidence to make better organizational decisions</w:t>
      </w:r>
      <w:r w:rsidRPr="006C1D2C">
        <w:rPr>
          <w:rFonts w:asciiTheme="minorHAnsi" w:hAnsiTheme="minorHAnsi"/>
          <w:sz w:val="22"/>
          <w:szCs w:val="22"/>
        </w:rPr>
        <w:t xml:space="preserve">. New York: </w:t>
      </w:r>
      <w:proofErr w:type="spellStart"/>
      <w:r w:rsidRPr="006C1D2C">
        <w:rPr>
          <w:rFonts w:asciiTheme="minorHAnsi" w:hAnsiTheme="minorHAnsi"/>
          <w:sz w:val="22"/>
          <w:szCs w:val="22"/>
        </w:rPr>
        <w:t>Kogan</w:t>
      </w:r>
      <w:proofErr w:type="spellEnd"/>
      <w:r w:rsidRPr="006C1D2C">
        <w:rPr>
          <w:rFonts w:asciiTheme="minorHAnsi" w:hAnsiTheme="minorHAnsi"/>
          <w:sz w:val="22"/>
          <w:szCs w:val="22"/>
        </w:rPr>
        <w:t xml:space="preserve"> Page Ltd.</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Battista, M. (2023)</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PESTLE Analysis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https://www.cipd.org/uk/knowledge/factsheets/pestle-analysis-factsh</w:t>
      </w:r>
      <w:r w:rsidR="00F71742">
        <w:rPr>
          <w:rFonts w:asciiTheme="minorHAnsi" w:hAnsiTheme="minorHAnsi"/>
          <w:sz w:val="22"/>
          <w:szCs w:val="22"/>
        </w:rPr>
        <w:t>eet/#what-is-a-pestle-analysis (Accessed 21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BBC (2014)</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BBC - Ethics - Introduction to ethics: Duty-based ethics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www.bbc.co.uk. Available at: https://www.bbc.co.uk/eth</w:t>
      </w:r>
      <w:r w:rsidR="00F71742">
        <w:rPr>
          <w:rFonts w:asciiTheme="minorHAnsi" w:hAnsiTheme="minorHAnsi"/>
          <w:sz w:val="22"/>
          <w:szCs w:val="22"/>
        </w:rPr>
        <w:t>ics/introduction/duty_1.shtml (Accessed 22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proofErr w:type="spellStart"/>
      <w:r>
        <w:rPr>
          <w:rFonts w:asciiTheme="minorHAnsi" w:hAnsiTheme="minorHAnsi"/>
          <w:sz w:val="22"/>
          <w:szCs w:val="22"/>
        </w:rPr>
        <w:lastRenderedPageBreak/>
        <w:t>CEBMa</w:t>
      </w:r>
      <w:proofErr w:type="spellEnd"/>
      <w:r>
        <w:rPr>
          <w:rFonts w:asciiTheme="minorHAnsi" w:hAnsiTheme="minorHAnsi"/>
          <w:sz w:val="22"/>
          <w:szCs w:val="22"/>
        </w:rPr>
        <w:t xml:space="preserve"> (2019)</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 xml:space="preserve">Limitations of Evidence-Based Practice – </w:t>
      </w:r>
      <w:proofErr w:type="spellStart"/>
      <w:r w:rsidR="006C1D2C" w:rsidRPr="006C1D2C">
        <w:rPr>
          <w:rFonts w:asciiTheme="minorHAnsi" w:hAnsiTheme="minorHAnsi"/>
          <w:i/>
          <w:iCs/>
          <w:sz w:val="22"/>
          <w:szCs w:val="22"/>
        </w:rPr>
        <w:t>Center</w:t>
      </w:r>
      <w:proofErr w:type="spellEnd"/>
      <w:r w:rsidR="006C1D2C" w:rsidRPr="006C1D2C">
        <w:rPr>
          <w:rFonts w:asciiTheme="minorHAnsi" w:hAnsiTheme="minorHAnsi"/>
          <w:i/>
          <w:iCs/>
          <w:sz w:val="22"/>
          <w:szCs w:val="22"/>
        </w:rPr>
        <w:t xml:space="preserve"> for Evidence Based Management</w:t>
      </w:r>
      <w:r w:rsidR="00F71742">
        <w:rPr>
          <w:rFonts w:asciiTheme="minorHAnsi" w:hAnsiTheme="minorHAnsi"/>
          <w:sz w:val="22"/>
          <w:szCs w:val="22"/>
        </w:rPr>
        <w:t>. (</w:t>
      </w:r>
      <w:proofErr w:type="gramStart"/>
      <w:r w:rsidR="00F71742">
        <w:rPr>
          <w:rFonts w:asciiTheme="minorHAnsi" w:hAnsiTheme="minorHAnsi"/>
          <w:sz w:val="22"/>
          <w:szCs w:val="22"/>
        </w:rPr>
        <w:t>online</w:t>
      </w:r>
      <w:proofErr w:type="gramEnd"/>
      <w:r w:rsidR="00F71742">
        <w:rPr>
          <w:rFonts w:asciiTheme="minorHAnsi" w:hAnsiTheme="minorHAnsi"/>
          <w:sz w:val="22"/>
          <w:szCs w:val="22"/>
        </w:rPr>
        <w:t>)</w:t>
      </w:r>
      <w:r w:rsidR="006C1D2C" w:rsidRPr="006C1D2C">
        <w:rPr>
          <w:rFonts w:asciiTheme="minorHAnsi" w:hAnsiTheme="minorHAnsi"/>
          <w:sz w:val="22"/>
          <w:szCs w:val="22"/>
        </w:rPr>
        <w:t xml:space="preserve"> </w:t>
      </w:r>
      <w:proofErr w:type="spellStart"/>
      <w:r w:rsidR="006C1D2C" w:rsidRPr="006C1D2C">
        <w:rPr>
          <w:rFonts w:asciiTheme="minorHAnsi" w:hAnsiTheme="minorHAnsi"/>
          <w:sz w:val="22"/>
          <w:szCs w:val="22"/>
        </w:rPr>
        <w:t>CEBMa</w:t>
      </w:r>
      <w:proofErr w:type="spellEnd"/>
      <w:r w:rsidR="006C1D2C" w:rsidRPr="006C1D2C">
        <w:rPr>
          <w:rFonts w:asciiTheme="minorHAnsi" w:hAnsiTheme="minorHAnsi"/>
          <w:sz w:val="22"/>
          <w:szCs w:val="22"/>
        </w:rPr>
        <w:t>. Available at: https://cebma.org/faq/limita</w:t>
      </w:r>
      <w:r w:rsidR="00F71742">
        <w:rPr>
          <w:rFonts w:asciiTheme="minorHAnsi" w:hAnsiTheme="minorHAnsi"/>
          <w:sz w:val="22"/>
          <w:szCs w:val="22"/>
        </w:rPr>
        <w:t>tions-evidence-based-practice/ (</w:t>
      </w:r>
      <w:r w:rsidR="006C1D2C" w:rsidRPr="006C1D2C">
        <w:rPr>
          <w:rFonts w:asciiTheme="minorHAnsi" w:hAnsiTheme="minorHAnsi"/>
          <w:sz w:val="22"/>
          <w:szCs w:val="22"/>
        </w:rPr>
        <w:t>Accessed 15 Oct. 2</w:t>
      </w:r>
      <w:r w:rsidR="00F71742">
        <w:rPr>
          <w:rFonts w:asciiTheme="minorHAnsi" w:hAnsiTheme="minorHAnsi"/>
          <w:sz w:val="22"/>
          <w:szCs w:val="22"/>
        </w:rPr>
        <w:t>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CIPD (2015)</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Ethical decision-making: Eight perspectives on workplace dilemmas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Available at: https://www.cipd.org/globalassets/media/knowledge/knowledge-hub/reports/ethical-decision-making-2015-eight-perspectives-on-workplace-dilemmas_tcm18</w:t>
      </w:r>
      <w:r w:rsidR="00F71742">
        <w:rPr>
          <w:rFonts w:asciiTheme="minorHAnsi" w:hAnsiTheme="minorHAnsi"/>
          <w:sz w:val="22"/>
          <w:szCs w:val="22"/>
        </w:rPr>
        <w:t>-9564.pdf (Accessed 30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CIPD (2022a)</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People Analytics | Factsheets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https://www.cipd.org/uk/knowledge/facts</w:t>
      </w:r>
      <w:r w:rsidR="00F71742">
        <w:rPr>
          <w:rFonts w:asciiTheme="minorHAnsi" w:hAnsiTheme="minorHAnsi"/>
          <w:sz w:val="22"/>
          <w:szCs w:val="22"/>
        </w:rPr>
        <w:t>heets/analytics-factsheet/#one (Accessed 21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CIPD (2022b)</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Ethical Practice and the Role of People Professionals</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https://www.cipd.org/uk/knowledge/factsh</w:t>
      </w:r>
      <w:r w:rsidR="00F71742">
        <w:rPr>
          <w:rFonts w:asciiTheme="minorHAnsi" w:hAnsiTheme="minorHAnsi"/>
          <w:sz w:val="22"/>
          <w:szCs w:val="22"/>
        </w:rPr>
        <w:t>eets/ethics-role-hr-factsheet/ (Accessed 30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CIPD. (</w:t>
      </w:r>
      <w:proofErr w:type="spellStart"/>
      <w:r>
        <w:rPr>
          <w:rFonts w:asciiTheme="minorHAnsi" w:hAnsiTheme="minorHAnsi"/>
          <w:sz w:val="22"/>
          <w:szCs w:val="22"/>
        </w:rPr>
        <w:t>n.d.</w:t>
      </w:r>
      <w:proofErr w:type="spellEnd"/>
      <w:r>
        <w:rPr>
          <w:rFonts w:asciiTheme="minorHAnsi" w:hAnsiTheme="minorHAnsi"/>
          <w:sz w:val="22"/>
          <w:szCs w:val="22"/>
        </w:rPr>
        <w:t>)</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People analytics | CIPD Viewpoint</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Available at: https://www.cipd.org/uk/views-and-insights/cipd-vie</w:t>
      </w:r>
      <w:r w:rsidR="00F71742">
        <w:rPr>
          <w:rFonts w:asciiTheme="minorHAnsi" w:hAnsiTheme="minorHAnsi"/>
          <w:sz w:val="22"/>
          <w:szCs w:val="22"/>
        </w:rPr>
        <w:t>wpoint/people-analytics/?_gl=1 (Accessed 21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CMI. (2020)</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Decision Making</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Available at: https://www.managers.org.uk/knowledge-and-insights/resource/decision-making/#Decision%2</w:t>
      </w:r>
      <w:r w:rsidR="00F71742">
        <w:rPr>
          <w:rFonts w:asciiTheme="minorHAnsi" w:hAnsiTheme="minorHAnsi"/>
          <w:sz w:val="22"/>
          <w:szCs w:val="22"/>
        </w:rPr>
        <w:t>0Making%20Models%20and%20Tools (</w:t>
      </w:r>
      <w:r w:rsidR="006C1D2C" w:rsidRPr="006C1D2C">
        <w:rPr>
          <w:rFonts w:asciiTheme="minorHAnsi" w:hAnsiTheme="minorHAnsi"/>
          <w:sz w:val="22"/>
          <w:szCs w:val="22"/>
        </w:rPr>
        <w:t>Acces</w:t>
      </w:r>
      <w:r w:rsidR="00F71742">
        <w:rPr>
          <w:rFonts w:asciiTheme="minorHAnsi" w:hAnsiTheme="minorHAnsi"/>
          <w:sz w:val="22"/>
          <w:szCs w:val="22"/>
        </w:rPr>
        <w:t>sed 22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i/>
          <w:iCs/>
          <w:sz w:val="22"/>
          <w:szCs w:val="22"/>
        </w:rPr>
        <w:t>Coburn, T. (2019)</w:t>
      </w:r>
      <w:r w:rsidR="006C1D2C" w:rsidRPr="006C1D2C">
        <w:rPr>
          <w:rFonts w:asciiTheme="minorHAnsi" w:hAnsiTheme="minorHAnsi"/>
          <w:i/>
          <w:iCs/>
          <w:sz w:val="22"/>
          <w:szCs w:val="22"/>
        </w:rPr>
        <w:t xml:space="preserve"> CIPD | Critical thinking | Podcast</w:t>
      </w:r>
      <w:r w:rsidR="006C1D2C" w:rsidRPr="006C1D2C">
        <w:rPr>
          <w:rFonts w:asciiTheme="minorHAnsi" w:hAnsiTheme="minorHAnsi"/>
          <w:sz w:val="22"/>
          <w:szCs w:val="22"/>
        </w:rPr>
        <w:t> (2019). https://www.cipd.org/uk/knowled</w:t>
      </w:r>
      <w:r w:rsidR="00F71742">
        <w:rPr>
          <w:rFonts w:asciiTheme="minorHAnsi" w:hAnsiTheme="minorHAnsi"/>
          <w:sz w:val="22"/>
          <w:szCs w:val="22"/>
        </w:rPr>
        <w:t>ge/podcasts/critical-thinking/ (Accessed: 14 Nov. 2023)</w:t>
      </w:r>
      <w:r w:rsidR="006C1D2C" w:rsidRPr="006C1D2C">
        <w:rPr>
          <w:rFonts w:asciiTheme="minorHAnsi" w:hAnsiTheme="minorHAnsi"/>
          <w:sz w:val="22"/>
          <w:szCs w:val="22"/>
        </w:rPr>
        <w:t xml:space="preserve">. </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De Bono, E. (1985)</w:t>
      </w:r>
      <w:r w:rsidR="006C1D2C" w:rsidRPr="006C1D2C">
        <w:rPr>
          <w:rFonts w:asciiTheme="minorHAnsi" w:hAnsiTheme="minorHAnsi"/>
          <w:sz w:val="22"/>
          <w:szCs w:val="22"/>
        </w:rPr>
        <w:t xml:space="preserve"> </w:t>
      </w:r>
      <w:proofErr w:type="gramStart"/>
      <w:r w:rsidR="006C1D2C" w:rsidRPr="006C1D2C">
        <w:rPr>
          <w:rFonts w:asciiTheme="minorHAnsi" w:hAnsiTheme="minorHAnsi"/>
          <w:i/>
          <w:iCs/>
          <w:sz w:val="22"/>
          <w:szCs w:val="22"/>
        </w:rPr>
        <w:t>Six</w:t>
      </w:r>
      <w:proofErr w:type="gramEnd"/>
      <w:r w:rsidR="006C1D2C" w:rsidRPr="006C1D2C">
        <w:rPr>
          <w:rFonts w:asciiTheme="minorHAnsi" w:hAnsiTheme="minorHAnsi"/>
          <w:i/>
          <w:iCs/>
          <w:sz w:val="22"/>
          <w:szCs w:val="22"/>
        </w:rPr>
        <w:t xml:space="preserve"> thinking hats</w:t>
      </w:r>
      <w:r w:rsidR="006C1D2C" w:rsidRPr="006C1D2C">
        <w:rPr>
          <w:rFonts w:asciiTheme="minorHAnsi" w:hAnsiTheme="minorHAnsi"/>
          <w:sz w:val="22"/>
          <w:szCs w:val="22"/>
        </w:rPr>
        <w:t xml:space="preserve">. London: Penguin Life, </w:t>
      </w:r>
      <w:proofErr w:type="gramStart"/>
      <w:r w:rsidR="006C1D2C" w:rsidRPr="006C1D2C">
        <w:rPr>
          <w:rFonts w:asciiTheme="minorHAnsi" w:hAnsiTheme="minorHAnsi"/>
          <w:sz w:val="22"/>
          <w:szCs w:val="22"/>
        </w:rPr>
        <w:t>An</w:t>
      </w:r>
      <w:proofErr w:type="gramEnd"/>
      <w:r w:rsidR="006C1D2C" w:rsidRPr="006C1D2C">
        <w:rPr>
          <w:rFonts w:asciiTheme="minorHAnsi" w:hAnsiTheme="minorHAnsi"/>
          <w:sz w:val="22"/>
          <w:szCs w:val="22"/>
        </w:rPr>
        <w:t xml:space="preserve"> Imprint Of Penguin Books.</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proofErr w:type="spellStart"/>
      <w:r w:rsidRPr="006C1D2C">
        <w:rPr>
          <w:rFonts w:asciiTheme="minorHAnsi" w:hAnsiTheme="minorHAnsi"/>
          <w:sz w:val="22"/>
          <w:szCs w:val="22"/>
        </w:rPr>
        <w:t>De</w:t>
      </w:r>
      <w:r w:rsidR="003279BB">
        <w:rPr>
          <w:rFonts w:asciiTheme="minorHAnsi" w:hAnsiTheme="minorHAnsi"/>
          <w:sz w:val="22"/>
          <w:szCs w:val="22"/>
        </w:rPr>
        <w:t>bbink</w:t>
      </w:r>
      <w:proofErr w:type="spellEnd"/>
      <w:r w:rsidR="003279BB">
        <w:rPr>
          <w:rFonts w:asciiTheme="minorHAnsi" w:hAnsiTheme="minorHAnsi"/>
          <w:sz w:val="22"/>
          <w:szCs w:val="22"/>
        </w:rPr>
        <w:t xml:space="preserve">, A. and </w:t>
      </w:r>
      <w:proofErr w:type="spellStart"/>
      <w:r w:rsidR="003279BB">
        <w:rPr>
          <w:rFonts w:asciiTheme="minorHAnsi" w:hAnsiTheme="minorHAnsi"/>
          <w:sz w:val="22"/>
          <w:szCs w:val="22"/>
        </w:rPr>
        <w:t>Meshon</w:t>
      </w:r>
      <w:proofErr w:type="spellEnd"/>
      <w:r w:rsidR="003279BB">
        <w:rPr>
          <w:rFonts w:asciiTheme="minorHAnsi" w:hAnsiTheme="minorHAnsi"/>
          <w:sz w:val="22"/>
          <w:szCs w:val="22"/>
        </w:rPr>
        <w:t>, A. (2020)</w:t>
      </w:r>
      <w:r w:rsidRPr="006C1D2C">
        <w:rPr>
          <w:rFonts w:asciiTheme="minorHAnsi" w:hAnsiTheme="minorHAnsi"/>
          <w:sz w:val="22"/>
          <w:szCs w:val="22"/>
        </w:rPr>
        <w:t xml:space="preserve"> </w:t>
      </w:r>
      <w:r w:rsidRPr="006C1D2C">
        <w:rPr>
          <w:rFonts w:asciiTheme="minorHAnsi" w:hAnsiTheme="minorHAnsi"/>
          <w:i/>
          <w:iCs/>
          <w:sz w:val="22"/>
          <w:szCs w:val="22"/>
        </w:rPr>
        <w:t xml:space="preserve">Think for </w:t>
      </w:r>
      <w:proofErr w:type="gramStart"/>
      <w:r w:rsidRPr="006C1D2C">
        <w:rPr>
          <w:rFonts w:asciiTheme="minorHAnsi" w:hAnsiTheme="minorHAnsi"/>
          <w:i/>
          <w:iCs/>
          <w:sz w:val="22"/>
          <w:szCs w:val="22"/>
        </w:rPr>
        <w:t>yourself :</w:t>
      </w:r>
      <w:proofErr w:type="gramEnd"/>
      <w:r w:rsidRPr="006C1D2C">
        <w:rPr>
          <w:rFonts w:asciiTheme="minorHAnsi" w:hAnsiTheme="minorHAnsi"/>
          <w:i/>
          <w:iCs/>
          <w:sz w:val="22"/>
          <w:szCs w:val="22"/>
        </w:rPr>
        <w:t xml:space="preserve"> the ultimate guide to critical thinking in an age of information overload</w:t>
      </w:r>
      <w:r w:rsidRPr="006C1D2C">
        <w:rPr>
          <w:rFonts w:asciiTheme="minorHAnsi" w:hAnsiTheme="minorHAnsi"/>
          <w:sz w:val="22"/>
          <w:szCs w:val="22"/>
        </w:rPr>
        <w:t>. [New York]: Duo Press.</w:t>
      </w:r>
    </w:p>
    <w:p w:rsid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Deming Institute (2021)</w:t>
      </w:r>
      <w:r w:rsidR="006C1D2C" w:rsidRPr="006C1D2C">
        <w:rPr>
          <w:rFonts w:asciiTheme="minorHAnsi" w:hAnsiTheme="minorHAnsi"/>
          <w:sz w:val="22"/>
          <w:szCs w:val="22"/>
        </w:rPr>
        <w:t xml:space="preserve"> </w:t>
      </w:r>
      <w:r w:rsidR="00F71742">
        <w:rPr>
          <w:rFonts w:asciiTheme="minorHAnsi" w:hAnsiTheme="minorHAnsi"/>
          <w:i/>
          <w:iCs/>
          <w:sz w:val="22"/>
          <w:szCs w:val="22"/>
        </w:rPr>
        <w:t>PDSA Cycle</w:t>
      </w:r>
      <w:r w:rsidR="000C63A8">
        <w:rPr>
          <w:rFonts w:asciiTheme="minorHAnsi" w:hAnsiTheme="minorHAnsi"/>
          <w:sz w:val="22"/>
          <w:szCs w:val="22"/>
        </w:rPr>
        <w:t>. [</w:t>
      </w:r>
      <w:proofErr w:type="gramStart"/>
      <w:r w:rsidR="000C63A8">
        <w:rPr>
          <w:rFonts w:asciiTheme="minorHAnsi" w:hAnsiTheme="minorHAnsi"/>
          <w:sz w:val="22"/>
          <w:szCs w:val="22"/>
        </w:rPr>
        <w:t>online</w:t>
      </w:r>
      <w:proofErr w:type="gramEnd"/>
      <w:r w:rsidR="000C63A8">
        <w:rPr>
          <w:rFonts w:asciiTheme="minorHAnsi" w:hAnsiTheme="minorHAnsi"/>
          <w:sz w:val="22"/>
          <w:szCs w:val="22"/>
        </w:rPr>
        <w:t>]</w:t>
      </w:r>
      <w:r w:rsidR="006C1D2C" w:rsidRPr="006C1D2C">
        <w:rPr>
          <w:rFonts w:asciiTheme="minorHAnsi" w:hAnsiTheme="minorHAnsi"/>
          <w:sz w:val="22"/>
          <w:szCs w:val="22"/>
        </w:rPr>
        <w:t xml:space="preserve"> https://deming.org/. Available at: https://deming.org/explo</w:t>
      </w:r>
      <w:r w:rsidR="00F71742">
        <w:rPr>
          <w:rFonts w:asciiTheme="minorHAnsi" w:hAnsiTheme="minorHAnsi"/>
          <w:sz w:val="22"/>
          <w:szCs w:val="22"/>
        </w:rPr>
        <w:t>re/pdsa/ (Accessed 22 Oct. 2023)</w:t>
      </w:r>
      <w:r w:rsidR="006C1D2C" w:rsidRPr="006C1D2C">
        <w:rPr>
          <w:rFonts w:asciiTheme="minorHAnsi" w:hAnsiTheme="minorHAnsi"/>
          <w:sz w:val="22"/>
          <w:szCs w:val="22"/>
        </w:rPr>
        <w:t>.</w:t>
      </w:r>
    </w:p>
    <w:p w:rsidR="00E3255E" w:rsidRPr="00E3255E" w:rsidRDefault="00E3255E" w:rsidP="00E3255E">
      <w:pPr>
        <w:spacing w:after="240" w:line="360" w:lineRule="auto"/>
        <w:rPr>
          <w:rFonts w:eastAsia="Times New Roman" w:cs="Times New Roman"/>
          <w:lang w:eastAsia="en-GB"/>
        </w:rPr>
      </w:pPr>
      <w:r>
        <w:rPr>
          <w:rFonts w:eastAsia="Times New Roman" w:cs="Times New Roman"/>
          <w:lang w:eastAsia="en-GB"/>
        </w:rPr>
        <w:t>Dwyer, C. (2018)</w:t>
      </w:r>
      <w:r w:rsidRPr="00E3255E">
        <w:rPr>
          <w:rFonts w:eastAsia="Times New Roman" w:cs="Times New Roman"/>
          <w:lang w:eastAsia="en-GB"/>
        </w:rPr>
        <w:t xml:space="preserve"> </w:t>
      </w:r>
      <w:r w:rsidRPr="00E3255E">
        <w:rPr>
          <w:rFonts w:eastAsia="Times New Roman" w:cs="Times New Roman"/>
          <w:i/>
          <w:iCs/>
          <w:lang w:eastAsia="en-GB"/>
        </w:rPr>
        <w:t>12 Common Biases That Affect How We Make Everyday Decisions | Psychology Today United Kingdom</w:t>
      </w:r>
      <w:r w:rsidR="000C63A8">
        <w:rPr>
          <w:rFonts w:eastAsia="Times New Roman" w:cs="Times New Roman"/>
          <w:lang w:eastAsia="en-GB"/>
        </w:rPr>
        <w:t>. [</w:t>
      </w:r>
      <w:proofErr w:type="gramStart"/>
      <w:r w:rsidR="000C63A8">
        <w:rPr>
          <w:rFonts w:eastAsia="Times New Roman" w:cs="Times New Roman"/>
          <w:lang w:eastAsia="en-GB"/>
        </w:rPr>
        <w:t>online</w:t>
      </w:r>
      <w:proofErr w:type="gramEnd"/>
      <w:r w:rsidR="000C63A8">
        <w:rPr>
          <w:rFonts w:eastAsia="Times New Roman" w:cs="Times New Roman"/>
          <w:lang w:eastAsia="en-GB"/>
        </w:rPr>
        <w:t>]</w:t>
      </w:r>
      <w:r w:rsidRPr="00E3255E">
        <w:rPr>
          <w:rFonts w:eastAsia="Times New Roman" w:cs="Times New Roman"/>
          <w:lang w:eastAsia="en-GB"/>
        </w:rPr>
        <w:t xml:space="preserve"> www.psychologytoday.com. Available at: https://www.psychologytoday.com/gb/blog/thoughts-on-thinking/201809/12-common-biases-that-affect-</w:t>
      </w:r>
      <w:r>
        <w:rPr>
          <w:rFonts w:eastAsia="Times New Roman" w:cs="Times New Roman"/>
          <w:lang w:eastAsia="en-GB"/>
        </w:rPr>
        <w:t>how-we-make-everyday-decisions (Accessed 22 Nov. 2023)</w:t>
      </w:r>
      <w:r w:rsidRPr="00E3255E">
        <w:rPr>
          <w:rFonts w:eastAsia="Times New Roman" w:cs="Times New Roman"/>
          <w:lang w:eastAsia="en-GB"/>
        </w:rPr>
        <w:t>.</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r w:rsidRPr="006C1D2C">
        <w:rPr>
          <w:rFonts w:asciiTheme="minorHAnsi" w:hAnsiTheme="minorHAnsi"/>
          <w:sz w:val="22"/>
          <w:szCs w:val="22"/>
        </w:rPr>
        <w:lastRenderedPageBreak/>
        <w:t>Eld</w:t>
      </w:r>
      <w:r w:rsidR="003279BB">
        <w:rPr>
          <w:rFonts w:asciiTheme="minorHAnsi" w:hAnsiTheme="minorHAnsi"/>
          <w:sz w:val="22"/>
          <w:szCs w:val="22"/>
        </w:rPr>
        <w:t xml:space="preserve">er, S.R. and </w:t>
      </w:r>
      <w:proofErr w:type="spellStart"/>
      <w:r w:rsidR="003279BB">
        <w:rPr>
          <w:rFonts w:asciiTheme="minorHAnsi" w:hAnsiTheme="minorHAnsi"/>
          <w:sz w:val="22"/>
          <w:szCs w:val="22"/>
        </w:rPr>
        <w:t>Nikodem</w:t>
      </w:r>
      <w:proofErr w:type="spellEnd"/>
      <w:r w:rsidR="003279BB">
        <w:rPr>
          <w:rFonts w:asciiTheme="minorHAnsi" w:hAnsiTheme="minorHAnsi"/>
          <w:sz w:val="22"/>
          <w:szCs w:val="22"/>
        </w:rPr>
        <w:t>, M. (2023)</w:t>
      </w:r>
      <w:r w:rsidRPr="006C1D2C">
        <w:rPr>
          <w:rFonts w:asciiTheme="minorHAnsi" w:hAnsiTheme="minorHAnsi"/>
          <w:sz w:val="22"/>
          <w:szCs w:val="22"/>
        </w:rPr>
        <w:t xml:space="preserve"> </w:t>
      </w:r>
      <w:proofErr w:type="gramStart"/>
      <w:r w:rsidRPr="006C1D2C">
        <w:rPr>
          <w:rFonts w:asciiTheme="minorHAnsi" w:hAnsiTheme="minorHAnsi"/>
          <w:i/>
          <w:iCs/>
          <w:sz w:val="22"/>
          <w:szCs w:val="22"/>
        </w:rPr>
        <w:t>Considering</w:t>
      </w:r>
      <w:proofErr w:type="gramEnd"/>
      <w:r w:rsidRPr="006C1D2C">
        <w:rPr>
          <w:rFonts w:asciiTheme="minorHAnsi" w:hAnsiTheme="minorHAnsi"/>
          <w:i/>
          <w:iCs/>
          <w:sz w:val="22"/>
          <w:szCs w:val="22"/>
        </w:rPr>
        <w:t xml:space="preserve"> the application and relevance of evidence-based HR</w:t>
      </w:r>
      <w:r w:rsidR="0046620D">
        <w:rPr>
          <w:rFonts w:asciiTheme="minorHAnsi" w:hAnsiTheme="minorHAnsi"/>
          <w:sz w:val="22"/>
          <w:szCs w:val="22"/>
        </w:rPr>
        <w:t>. [online]</w:t>
      </w:r>
      <w:r w:rsidRPr="006C1D2C">
        <w:rPr>
          <w:rFonts w:asciiTheme="minorHAnsi" w:hAnsiTheme="minorHAnsi"/>
          <w:sz w:val="22"/>
          <w:szCs w:val="22"/>
        </w:rPr>
        <w:t xml:space="preserve"> www.peoplemanagement.co.uk. Available at: https://www.peoplemanagement.co.uk/article/1845833/considering-applicati</w:t>
      </w:r>
      <w:r w:rsidR="00F71742">
        <w:rPr>
          <w:rFonts w:asciiTheme="minorHAnsi" w:hAnsiTheme="minorHAnsi"/>
          <w:sz w:val="22"/>
          <w:szCs w:val="22"/>
        </w:rPr>
        <w:t>on-relevance-evidence-based-hr (Accessed 14 Nov. 2023)</w:t>
      </w:r>
      <w:r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proofErr w:type="spellStart"/>
      <w:r>
        <w:rPr>
          <w:rFonts w:asciiTheme="minorHAnsi" w:hAnsiTheme="minorHAnsi"/>
          <w:sz w:val="22"/>
          <w:szCs w:val="22"/>
        </w:rPr>
        <w:t>Haan</w:t>
      </w:r>
      <w:proofErr w:type="spellEnd"/>
      <w:r>
        <w:rPr>
          <w:rFonts w:asciiTheme="minorHAnsi" w:hAnsiTheme="minorHAnsi"/>
          <w:sz w:val="22"/>
          <w:szCs w:val="22"/>
        </w:rPr>
        <w:t>, S. (2023)</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SWOT Analysis | Factsheets</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https://www.cipd.org/uk/knowledge/factsheets/</w:t>
      </w:r>
      <w:r w:rsidR="00F71742">
        <w:rPr>
          <w:rFonts w:asciiTheme="minorHAnsi" w:hAnsiTheme="minorHAnsi"/>
          <w:sz w:val="22"/>
          <w:szCs w:val="22"/>
        </w:rPr>
        <w:t>swot-analysis-factsheet/?_gl=1 (Accessed 21 Oct. 2023)</w:t>
      </w:r>
      <w:r w:rsidR="006C1D2C" w:rsidRPr="006C1D2C">
        <w:rPr>
          <w:rFonts w:asciiTheme="minorHAnsi" w:hAnsiTheme="minorHAnsi"/>
          <w:sz w:val="22"/>
          <w:szCs w:val="22"/>
        </w:rPr>
        <w:t>.</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r w:rsidRPr="006C1D2C">
        <w:rPr>
          <w:rFonts w:asciiTheme="minorHAnsi" w:hAnsiTheme="minorHAnsi"/>
          <w:sz w:val="22"/>
          <w:szCs w:val="22"/>
        </w:rPr>
        <w:t xml:space="preserve">Hill, S. </w:t>
      </w:r>
      <w:r w:rsidR="003279BB">
        <w:rPr>
          <w:rFonts w:asciiTheme="minorHAnsi" w:hAnsiTheme="minorHAnsi"/>
          <w:sz w:val="22"/>
          <w:szCs w:val="22"/>
        </w:rPr>
        <w:t>and Houghton, E. (2021)</w:t>
      </w:r>
      <w:r w:rsidRPr="006C1D2C">
        <w:rPr>
          <w:rFonts w:asciiTheme="minorHAnsi" w:hAnsiTheme="minorHAnsi"/>
          <w:sz w:val="22"/>
          <w:szCs w:val="22"/>
        </w:rPr>
        <w:t xml:space="preserve"> </w:t>
      </w:r>
      <w:r w:rsidRPr="006C1D2C">
        <w:rPr>
          <w:rFonts w:asciiTheme="minorHAnsi" w:hAnsiTheme="minorHAnsi"/>
          <w:i/>
          <w:iCs/>
          <w:sz w:val="22"/>
          <w:szCs w:val="22"/>
        </w:rPr>
        <w:t>CIPD | People analytics: Guide for people professionals</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Pr="006C1D2C">
        <w:rPr>
          <w:rFonts w:asciiTheme="minorHAnsi" w:hAnsiTheme="minorHAnsi"/>
          <w:sz w:val="22"/>
          <w:szCs w:val="22"/>
        </w:rPr>
        <w:t xml:space="preserve"> CIPD. Available at: https://www.cipd.org/uk/knowledge/guides/analytics-practitioner-guide/#what-is-people-a</w:t>
      </w:r>
      <w:r w:rsidR="00F71742">
        <w:rPr>
          <w:rFonts w:asciiTheme="minorHAnsi" w:hAnsiTheme="minorHAnsi"/>
          <w:sz w:val="22"/>
          <w:szCs w:val="22"/>
        </w:rPr>
        <w:t>nalytics (Accessed 15 Nov. 2023)</w:t>
      </w:r>
      <w:r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proofErr w:type="spellStart"/>
      <w:r>
        <w:rPr>
          <w:rFonts w:asciiTheme="minorHAnsi" w:hAnsiTheme="minorHAnsi"/>
          <w:i/>
          <w:iCs/>
          <w:sz w:val="22"/>
          <w:szCs w:val="22"/>
        </w:rPr>
        <w:t>Howlett</w:t>
      </w:r>
      <w:proofErr w:type="spellEnd"/>
      <w:r>
        <w:rPr>
          <w:rFonts w:asciiTheme="minorHAnsi" w:hAnsiTheme="minorHAnsi"/>
          <w:i/>
          <w:iCs/>
          <w:sz w:val="22"/>
          <w:szCs w:val="22"/>
        </w:rPr>
        <w:t>, W. (2019)</w:t>
      </w:r>
      <w:r w:rsidR="006C1D2C" w:rsidRPr="006C1D2C">
        <w:rPr>
          <w:rFonts w:asciiTheme="minorHAnsi" w:hAnsiTheme="minorHAnsi"/>
          <w:i/>
          <w:iCs/>
          <w:sz w:val="22"/>
          <w:szCs w:val="22"/>
        </w:rPr>
        <w:t xml:space="preserve"> CIPD | Critical thinking | Podcast</w:t>
      </w:r>
      <w:r w:rsidR="006C1D2C" w:rsidRPr="006C1D2C">
        <w:rPr>
          <w:rFonts w:asciiTheme="minorHAnsi" w:hAnsiTheme="minorHAnsi"/>
          <w:sz w:val="22"/>
          <w:szCs w:val="22"/>
        </w:rPr>
        <w:t xml:space="preserve"> (2019). https://www.cipd.org/uk/knowled</w:t>
      </w:r>
      <w:r w:rsidR="00F71742">
        <w:rPr>
          <w:rFonts w:asciiTheme="minorHAnsi" w:hAnsiTheme="minorHAnsi"/>
          <w:sz w:val="22"/>
          <w:szCs w:val="22"/>
        </w:rPr>
        <w:t>ge/podcasts/critical-thinking/ (Accessed: 14 Nov. 2023)</w:t>
      </w:r>
      <w:r w:rsidR="006C1D2C" w:rsidRPr="006C1D2C">
        <w:rPr>
          <w:rFonts w:asciiTheme="minorHAnsi" w:hAnsiTheme="minorHAnsi"/>
          <w:sz w:val="22"/>
          <w:szCs w:val="22"/>
        </w:rPr>
        <w:t xml:space="preserve">. </w:t>
      </w:r>
    </w:p>
    <w:p w:rsidR="006C1D2C" w:rsidRPr="00C910B8" w:rsidRDefault="003279BB" w:rsidP="006C1D2C">
      <w:pPr>
        <w:pStyle w:val="NormalWeb"/>
        <w:spacing w:before="0" w:beforeAutospacing="0" w:after="240" w:afterAutospacing="0" w:line="360" w:lineRule="auto"/>
        <w:rPr>
          <w:rFonts w:asciiTheme="minorHAnsi" w:hAnsiTheme="minorHAnsi" w:cstheme="minorHAnsi"/>
          <w:sz w:val="22"/>
          <w:szCs w:val="22"/>
        </w:rPr>
      </w:pPr>
      <w:proofErr w:type="gramStart"/>
      <w:r>
        <w:rPr>
          <w:rFonts w:asciiTheme="minorHAnsi" w:hAnsiTheme="minorHAnsi"/>
          <w:sz w:val="22"/>
          <w:szCs w:val="22"/>
        </w:rPr>
        <w:t>kepner-tregoe.com</w:t>
      </w:r>
      <w:proofErr w:type="gramEnd"/>
      <w:r>
        <w:rPr>
          <w:rFonts w:asciiTheme="minorHAnsi" w:hAnsiTheme="minorHAnsi"/>
          <w:sz w:val="22"/>
          <w:szCs w:val="22"/>
        </w:rPr>
        <w:t>. (2023)</w:t>
      </w:r>
      <w:r w:rsidR="006C1D2C" w:rsidRPr="006C1D2C">
        <w:rPr>
          <w:rFonts w:asciiTheme="minorHAnsi" w:hAnsiTheme="minorHAnsi"/>
          <w:sz w:val="22"/>
          <w:szCs w:val="22"/>
        </w:rPr>
        <w:t xml:space="preserve"> </w:t>
      </w:r>
      <w:proofErr w:type="spellStart"/>
      <w:r w:rsidR="006C1D2C" w:rsidRPr="006C1D2C">
        <w:rPr>
          <w:rFonts w:asciiTheme="minorHAnsi" w:hAnsiTheme="minorHAnsi"/>
          <w:i/>
          <w:iCs/>
          <w:sz w:val="22"/>
          <w:szCs w:val="22"/>
        </w:rPr>
        <w:t>Kepner-Tregoe</w:t>
      </w:r>
      <w:proofErr w:type="spellEnd"/>
      <w:r w:rsidR="006C1D2C" w:rsidRPr="006C1D2C">
        <w:rPr>
          <w:rFonts w:asciiTheme="minorHAnsi" w:hAnsiTheme="minorHAnsi"/>
          <w:i/>
          <w:iCs/>
          <w:sz w:val="22"/>
          <w:szCs w:val="22"/>
        </w:rPr>
        <w:t xml:space="preserve"> FAQs | What is the </w:t>
      </w:r>
      <w:proofErr w:type="spellStart"/>
      <w:r w:rsidR="006C1D2C" w:rsidRPr="006C1D2C">
        <w:rPr>
          <w:rFonts w:asciiTheme="minorHAnsi" w:hAnsiTheme="minorHAnsi"/>
          <w:i/>
          <w:iCs/>
          <w:sz w:val="22"/>
          <w:szCs w:val="22"/>
        </w:rPr>
        <w:t>Kepner-Tregoe</w:t>
      </w:r>
      <w:proofErr w:type="spellEnd"/>
      <w:r w:rsidR="006C1D2C" w:rsidRPr="006C1D2C">
        <w:rPr>
          <w:rFonts w:asciiTheme="minorHAnsi" w:hAnsiTheme="minorHAnsi"/>
          <w:i/>
          <w:iCs/>
          <w:sz w:val="22"/>
          <w:szCs w:val="22"/>
        </w:rPr>
        <w:t xml:space="preserve"> method?</w:t>
      </w:r>
      <w:r w:rsidR="0046620D">
        <w:rPr>
          <w:rFonts w:asciiTheme="minorHAnsi" w:hAnsiTheme="minorHAnsi"/>
          <w:sz w:val="22"/>
          <w:szCs w:val="22"/>
        </w:rPr>
        <w:t xml:space="preserve">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w:t>
      </w:r>
      <w:r w:rsidR="006C1D2C" w:rsidRPr="00C910B8">
        <w:rPr>
          <w:rFonts w:asciiTheme="minorHAnsi" w:hAnsiTheme="minorHAnsi" w:cstheme="minorHAnsi"/>
          <w:sz w:val="22"/>
          <w:szCs w:val="22"/>
        </w:rPr>
        <w:t>Available at: https://kepner-tregoe.c</w:t>
      </w:r>
      <w:r w:rsidR="00F71742" w:rsidRPr="00C910B8">
        <w:rPr>
          <w:rFonts w:asciiTheme="minorHAnsi" w:hAnsiTheme="minorHAnsi" w:cstheme="minorHAnsi"/>
          <w:sz w:val="22"/>
          <w:szCs w:val="22"/>
        </w:rPr>
        <w:t>om/faqs/ (Accessed 22 Oct. 2023)</w:t>
      </w:r>
      <w:r w:rsidR="006C1D2C" w:rsidRPr="00C910B8">
        <w:rPr>
          <w:rFonts w:asciiTheme="minorHAnsi" w:hAnsiTheme="minorHAnsi" w:cstheme="minorHAnsi"/>
          <w:sz w:val="22"/>
          <w:szCs w:val="22"/>
        </w:rPr>
        <w:t>.</w:t>
      </w:r>
    </w:p>
    <w:p w:rsidR="00C910B8" w:rsidRPr="00C910B8" w:rsidRDefault="00C910B8" w:rsidP="00C910B8">
      <w:pPr>
        <w:spacing w:after="240" w:line="360" w:lineRule="auto"/>
        <w:rPr>
          <w:rFonts w:eastAsia="Times New Roman" w:cstheme="minorHAnsi"/>
          <w:lang w:eastAsia="en-GB"/>
        </w:rPr>
      </w:pPr>
      <w:r>
        <w:rPr>
          <w:rFonts w:eastAsia="Times New Roman" w:cstheme="minorHAnsi"/>
          <w:lang w:eastAsia="en-GB"/>
        </w:rPr>
        <w:t>Morris, G. (2023)</w:t>
      </w:r>
      <w:r w:rsidRPr="00C910B8">
        <w:rPr>
          <w:rFonts w:eastAsia="Times New Roman" w:cstheme="minorHAnsi"/>
          <w:lang w:eastAsia="en-GB"/>
        </w:rPr>
        <w:t xml:space="preserve"> </w:t>
      </w:r>
      <w:proofErr w:type="gramStart"/>
      <w:r w:rsidRPr="00C910B8">
        <w:rPr>
          <w:rFonts w:eastAsia="Times New Roman" w:cstheme="minorHAnsi"/>
          <w:i/>
          <w:iCs/>
          <w:lang w:eastAsia="en-GB"/>
        </w:rPr>
        <w:t>The</w:t>
      </w:r>
      <w:proofErr w:type="gramEnd"/>
      <w:r w:rsidRPr="00C910B8">
        <w:rPr>
          <w:rFonts w:eastAsia="Times New Roman" w:cstheme="minorHAnsi"/>
          <w:i/>
          <w:iCs/>
          <w:lang w:eastAsia="en-GB"/>
        </w:rPr>
        <w:t xml:space="preserve"> value of critical thinking in nursing</w:t>
      </w:r>
      <w:r w:rsidR="0046620D">
        <w:rPr>
          <w:rFonts w:eastAsia="Times New Roman" w:cstheme="minorHAnsi"/>
          <w:lang w:eastAsia="en-GB"/>
        </w:rPr>
        <w:t>. [</w:t>
      </w:r>
      <w:proofErr w:type="gramStart"/>
      <w:r w:rsidR="0046620D">
        <w:rPr>
          <w:rFonts w:eastAsia="Times New Roman" w:cstheme="minorHAnsi"/>
          <w:lang w:eastAsia="en-GB"/>
        </w:rPr>
        <w:t>online</w:t>
      </w:r>
      <w:proofErr w:type="gramEnd"/>
      <w:r w:rsidR="0046620D">
        <w:rPr>
          <w:rFonts w:eastAsia="Times New Roman" w:cstheme="minorHAnsi"/>
          <w:lang w:eastAsia="en-GB"/>
        </w:rPr>
        <w:t>]</w:t>
      </w:r>
      <w:r w:rsidRPr="00C910B8">
        <w:rPr>
          <w:rFonts w:eastAsia="Times New Roman" w:cstheme="minorHAnsi"/>
          <w:lang w:eastAsia="en-GB"/>
        </w:rPr>
        <w:t xml:space="preserve"> </w:t>
      </w:r>
      <w:proofErr w:type="spellStart"/>
      <w:r w:rsidRPr="00C910B8">
        <w:rPr>
          <w:rFonts w:eastAsia="Times New Roman" w:cstheme="minorHAnsi"/>
          <w:lang w:eastAsia="en-GB"/>
        </w:rPr>
        <w:t>NurseJournal</w:t>
      </w:r>
      <w:proofErr w:type="spellEnd"/>
      <w:r w:rsidRPr="00C910B8">
        <w:rPr>
          <w:rFonts w:eastAsia="Times New Roman" w:cstheme="minorHAnsi"/>
          <w:lang w:eastAsia="en-GB"/>
        </w:rPr>
        <w:t>. Available at: https://nursejournal.org/articles/the-value-of</w:t>
      </w:r>
      <w:r>
        <w:rPr>
          <w:rFonts w:eastAsia="Times New Roman" w:cstheme="minorHAnsi"/>
          <w:lang w:eastAsia="en-GB"/>
        </w:rPr>
        <w:t>-critical-thinking-in-nursing/ (Accessed 22 Nov. 2023)</w:t>
      </w:r>
      <w:r w:rsidRPr="00C910B8">
        <w:rPr>
          <w:rFonts w:eastAsia="Times New Roman" w:cstheme="minorHAnsi"/>
          <w:lang w:eastAsia="en-GB"/>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proofErr w:type="spellStart"/>
      <w:r>
        <w:rPr>
          <w:rFonts w:asciiTheme="minorHAnsi" w:hAnsiTheme="minorHAnsi"/>
          <w:sz w:val="22"/>
          <w:szCs w:val="22"/>
        </w:rPr>
        <w:t>Mulgan</w:t>
      </w:r>
      <w:proofErr w:type="spellEnd"/>
      <w:r>
        <w:rPr>
          <w:rFonts w:asciiTheme="minorHAnsi" w:hAnsiTheme="minorHAnsi"/>
          <w:sz w:val="22"/>
          <w:szCs w:val="22"/>
        </w:rPr>
        <w:t>, T. (2019)</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Utilitarianism</w:t>
      </w:r>
      <w:r w:rsidR="006C1D2C" w:rsidRPr="006C1D2C">
        <w:rPr>
          <w:rFonts w:asciiTheme="minorHAnsi" w:hAnsiTheme="minorHAnsi"/>
          <w:sz w:val="22"/>
          <w:szCs w:val="22"/>
        </w:rPr>
        <w:t>. Cambridge University Press.</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r w:rsidRPr="006C1D2C">
        <w:rPr>
          <w:rFonts w:asciiTheme="minorHAnsi" w:hAnsiTheme="minorHAnsi"/>
          <w:sz w:val="22"/>
          <w:szCs w:val="22"/>
        </w:rPr>
        <w:t xml:space="preserve">Mullins, L.J. and McLean, J. (2019) </w:t>
      </w:r>
      <w:r w:rsidRPr="006C1D2C">
        <w:rPr>
          <w:rFonts w:asciiTheme="minorHAnsi" w:hAnsiTheme="minorHAnsi"/>
          <w:i/>
          <w:iCs/>
          <w:sz w:val="22"/>
          <w:szCs w:val="22"/>
        </w:rPr>
        <w:t>Organisational Behaviour in the Workplace</w:t>
      </w:r>
      <w:r w:rsidRPr="006C1D2C">
        <w:rPr>
          <w:rFonts w:asciiTheme="minorHAnsi" w:hAnsiTheme="minorHAnsi"/>
          <w:sz w:val="22"/>
          <w:szCs w:val="22"/>
        </w:rPr>
        <w:t>. 12th ed. Harlow: Pearson.</w:t>
      </w:r>
    </w:p>
    <w:p w:rsidR="006C1D2C" w:rsidRPr="002B52E5" w:rsidRDefault="003279BB" w:rsidP="006C1D2C">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sz w:val="22"/>
          <w:szCs w:val="22"/>
        </w:rPr>
        <w:t>Peek, S. (2023)</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Conducting Customer Surveys for Your SMB - businessnewsdaily.com</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Business News Daily. Available at: https://www.businessnewsdaily.com/16030-impor</w:t>
      </w:r>
      <w:r w:rsidR="00F71742">
        <w:rPr>
          <w:rFonts w:asciiTheme="minorHAnsi" w:hAnsiTheme="minorHAnsi"/>
          <w:sz w:val="22"/>
          <w:szCs w:val="22"/>
        </w:rPr>
        <w:t>tance-of-</w:t>
      </w:r>
      <w:r w:rsidR="00F71742" w:rsidRPr="002B52E5">
        <w:rPr>
          <w:rFonts w:asciiTheme="minorHAnsi" w:hAnsiTheme="minorHAnsi" w:cstheme="minorHAnsi"/>
          <w:sz w:val="22"/>
          <w:szCs w:val="22"/>
        </w:rPr>
        <w:t>customer-surveys.html (Accessed 14 Nov. 2023)</w:t>
      </w:r>
      <w:r w:rsidR="006C1D2C" w:rsidRPr="002B52E5">
        <w:rPr>
          <w:rFonts w:asciiTheme="minorHAnsi" w:hAnsiTheme="minorHAnsi" w:cstheme="minorHAnsi"/>
          <w:sz w:val="22"/>
          <w:szCs w:val="22"/>
        </w:rPr>
        <w:t>.</w:t>
      </w:r>
    </w:p>
    <w:p w:rsidR="002B52E5" w:rsidRPr="002C3577" w:rsidRDefault="002B52E5" w:rsidP="002C3577">
      <w:pPr>
        <w:spacing w:after="240" w:line="360" w:lineRule="auto"/>
        <w:rPr>
          <w:rFonts w:ascii="Times New Roman" w:eastAsia="Times New Roman" w:hAnsi="Times New Roman" w:cs="Times New Roman"/>
          <w:sz w:val="24"/>
          <w:szCs w:val="24"/>
          <w:lang w:eastAsia="en-GB"/>
        </w:rPr>
      </w:pPr>
      <w:proofErr w:type="spellStart"/>
      <w:r w:rsidRPr="002B52E5">
        <w:rPr>
          <w:rFonts w:eastAsia="Times New Roman" w:cstheme="minorHAnsi"/>
          <w:lang w:eastAsia="en-GB"/>
        </w:rPr>
        <w:t>Rac</w:t>
      </w:r>
      <w:r>
        <w:rPr>
          <w:rFonts w:eastAsia="Times New Roman" w:cstheme="minorHAnsi"/>
          <w:lang w:eastAsia="en-GB"/>
        </w:rPr>
        <w:t>hels</w:t>
      </w:r>
      <w:proofErr w:type="spellEnd"/>
      <w:r>
        <w:rPr>
          <w:rFonts w:eastAsia="Times New Roman" w:cstheme="minorHAnsi"/>
          <w:lang w:eastAsia="en-GB"/>
        </w:rPr>
        <w:t xml:space="preserve">, J. and </w:t>
      </w:r>
      <w:proofErr w:type="spellStart"/>
      <w:r>
        <w:rPr>
          <w:rFonts w:eastAsia="Times New Roman" w:cstheme="minorHAnsi"/>
          <w:lang w:eastAsia="en-GB"/>
        </w:rPr>
        <w:t>Rachels</w:t>
      </w:r>
      <w:proofErr w:type="spellEnd"/>
      <w:r>
        <w:rPr>
          <w:rFonts w:eastAsia="Times New Roman" w:cstheme="minorHAnsi"/>
          <w:lang w:eastAsia="en-GB"/>
        </w:rPr>
        <w:t>, S. (2023)</w:t>
      </w:r>
      <w:r w:rsidRPr="002B52E5">
        <w:rPr>
          <w:rFonts w:eastAsia="Times New Roman" w:cstheme="minorHAnsi"/>
          <w:lang w:eastAsia="en-GB"/>
        </w:rPr>
        <w:t xml:space="preserve"> </w:t>
      </w:r>
      <w:proofErr w:type="gramStart"/>
      <w:r w:rsidRPr="002B52E5">
        <w:rPr>
          <w:rFonts w:eastAsia="Times New Roman" w:cstheme="minorHAnsi"/>
          <w:i/>
          <w:iCs/>
          <w:lang w:eastAsia="en-GB"/>
        </w:rPr>
        <w:t>The</w:t>
      </w:r>
      <w:proofErr w:type="gramEnd"/>
      <w:r w:rsidRPr="002B52E5">
        <w:rPr>
          <w:rFonts w:eastAsia="Times New Roman" w:cstheme="minorHAnsi"/>
          <w:i/>
          <w:iCs/>
          <w:lang w:eastAsia="en-GB"/>
        </w:rPr>
        <w:t xml:space="preserve"> elements of moral philosophy</w:t>
      </w:r>
      <w:r w:rsidRPr="002B52E5">
        <w:rPr>
          <w:rFonts w:eastAsia="Times New Roman" w:cstheme="minorHAnsi"/>
          <w:lang w:eastAsia="en-GB"/>
        </w:rPr>
        <w:t xml:space="preserve">. 10th </w:t>
      </w:r>
      <w:proofErr w:type="gramStart"/>
      <w:r w:rsidRPr="002B52E5">
        <w:rPr>
          <w:rFonts w:eastAsia="Times New Roman" w:cstheme="minorHAnsi"/>
          <w:lang w:eastAsia="en-GB"/>
        </w:rPr>
        <w:t>ed</w:t>
      </w:r>
      <w:proofErr w:type="gramEnd"/>
      <w:r w:rsidRPr="002B52E5">
        <w:rPr>
          <w:rFonts w:eastAsia="Times New Roman" w:cstheme="minorHAnsi"/>
          <w:lang w:eastAsia="en-GB"/>
        </w:rPr>
        <w:t xml:space="preserve">. New York, </w:t>
      </w:r>
      <w:proofErr w:type="spellStart"/>
      <w:proofErr w:type="gramStart"/>
      <w:r w:rsidRPr="002B52E5">
        <w:rPr>
          <w:rFonts w:eastAsia="Times New Roman" w:cstheme="minorHAnsi"/>
          <w:lang w:eastAsia="en-GB"/>
        </w:rPr>
        <w:t>Ny</w:t>
      </w:r>
      <w:proofErr w:type="spellEnd"/>
      <w:proofErr w:type="gramEnd"/>
      <w:r w:rsidRPr="002B52E5">
        <w:rPr>
          <w:rFonts w:eastAsia="Times New Roman" w:cstheme="minorHAnsi"/>
          <w:lang w:eastAsia="en-GB"/>
        </w:rPr>
        <w:t xml:space="preserve">: </w:t>
      </w:r>
      <w:proofErr w:type="spellStart"/>
      <w:r w:rsidRPr="002B52E5">
        <w:rPr>
          <w:rFonts w:eastAsia="Times New Roman" w:cstheme="minorHAnsi"/>
          <w:lang w:eastAsia="en-GB"/>
        </w:rPr>
        <w:t>Mcgraw-Hill</w:t>
      </w:r>
      <w:proofErr w:type="spellEnd"/>
      <w:r w:rsidRPr="002B52E5">
        <w:rPr>
          <w:rFonts w:eastAsia="Times New Roman" w:cstheme="minorHAnsi"/>
          <w:lang w:eastAsia="en-GB"/>
        </w:rPr>
        <w:t xml:space="preserve"> Education</w:t>
      </w:r>
      <w:r w:rsidRPr="002B52E5">
        <w:rPr>
          <w:rFonts w:ascii="Times New Roman" w:eastAsia="Times New Roman" w:hAnsi="Times New Roman" w:cs="Times New Roman"/>
          <w:sz w:val="24"/>
          <w:szCs w:val="24"/>
          <w:lang w:eastAsia="en-GB"/>
        </w:rPr>
        <w:t>.</w:t>
      </w:r>
    </w:p>
    <w:p w:rsidR="006C1D2C" w:rsidRPr="002C3577" w:rsidRDefault="006C1D2C" w:rsidP="006C1D2C">
      <w:pPr>
        <w:pStyle w:val="NormalWeb"/>
        <w:spacing w:before="0" w:beforeAutospacing="0" w:after="240" w:afterAutospacing="0" w:line="360" w:lineRule="auto"/>
        <w:rPr>
          <w:rFonts w:asciiTheme="minorHAnsi" w:hAnsiTheme="minorHAnsi" w:cstheme="minorHAnsi"/>
          <w:sz w:val="22"/>
          <w:szCs w:val="22"/>
        </w:rPr>
      </w:pPr>
      <w:proofErr w:type="spellStart"/>
      <w:r w:rsidRPr="002C3577">
        <w:rPr>
          <w:rFonts w:asciiTheme="minorHAnsi" w:hAnsiTheme="minorHAnsi" w:cstheme="minorHAnsi"/>
          <w:sz w:val="22"/>
          <w:szCs w:val="22"/>
        </w:rPr>
        <w:t>Savulescu</w:t>
      </w:r>
      <w:proofErr w:type="spellEnd"/>
      <w:r w:rsidRPr="002C3577">
        <w:rPr>
          <w:rFonts w:asciiTheme="minorHAnsi" w:hAnsiTheme="minorHAnsi" w:cstheme="minorHAnsi"/>
          <w:sz w:val="22"/>
          <w:szCs w:val="22"/>
        </w:rPr>
        <w:t xml:space="preserve">, J., </w:t>
      </w:r>
      <w:proofErr w:type="spellStart"/>
      <w:r w:rsidRPr="002C3577">
        <w:rPr>
          <w:rFonts w:asciiTheme="minorHAnsi" w:hAnsiTheme="minorHAnsi" w:cstheme="minorHAnsi"/>
          <w:sz w:val="22"/>
          <w:szCs w:val="22"/>
        </w:rPr>
        <w:t>Persson</w:t>
      </w:r>
      <w:proofErr w:type="spellEnd"/>
      <w:r w:rsidRPr="002C3577">
        <w:rPr>
          <w:rFonts w:asciiTheme="minorHAnsi" w:hAnsiTheme="minorHAnsi" w:cstheme="minorHAnsi"/>
          <w:sz w:val="22"/>
          <w:szCs w:val="22"/>
        </w:rPr>
        <w:t xml:space="preserve">, I. and Wilkinson, D. (2020) Utilitarianism and the pandemic. </w:t>
      </w:r>
      <w:r w:rsidRPr="002C3577">
        <w:rPr>
          <w:rFonts w:asciiTheme="minorHAnsi" w:hAnsiTheme="minorHAnsi" w:cstheme="minorHAnsi"/>
          <w:i/>
          <w:iCs/>
          <w:sz w:val="22"/>
          <w:szCs w:val="22"/>
        </w:rPr>
        <w:t>Bioethics</w:t>
      </w:r>
      <w:r w:rsidRPr="002C3577">
        <w:rPr>
          <w:rFonts w:asciiTheme="minorHAnsi" w:hAnsiTheme="minorHAnsi" w:cstheme="minorHAnsi"/>
          <w:sz w:val="22"/>
          <w:szCs w:val="22"/>
        </w:rPr>
        <w:t xml:space="preserve">, 34(6), pp.620–632. </w:t>
      </w:r>
      <w:proofErr w:type="spellStart"/>
      <w:r w:rsidRPr="002C3577">
        <w:rPr>
          <w:rFonts w:asciiTheme="minorHAnsi" w:hAnsiTheme="minorHAnsi" w:cstheme="minorHAnsi"/>
          <w:sz w:val="22"/>
          <w:szCs w:val="22"/>
        </w:rPr>
        <w:t>doi:https</w:t>
      </w:r>
      <w:proofErr w:type="spellEnd"/>
      <w:r w:rsidRPr="002C3577">
        <w:rPr>
          <w:rFonts w:asciiTheme="minorHAnsi" w:hAnsiTheme="minorHAnsi" w:cstheme="minorHAnsi"/>
          <w:sz w:val="22"/>
          <w:szCs w:val="22"/>
        </w:rPr>
        <w:t>://doi.org/10.1111/bioe.12771.</w:t>
      </w:r>
    </w:p>
    <w:p w:rsidR="002C3577" w:rsidRPr="002C3577" w:rsidRDefault="002C3577" w:rsidP="002C3577">
      <w:pPr>
        <w:spacing w:after="240" w:line="360" w:lineRule="auto"/>
        <w:rPr>
          <w:rFonts w:ascii="Times New Roman" w:eastAsia="Times New Roman" w:hAnsi="Times New Roman" w:cs="Times New Roman"/>
          <w:sz w:val="24"/>
          <w:szCs w:val="24"/>
          <w:lang w:eastAsia="en-GB"/>
        </w:rPr>
      </w:pPr>
      <w:r w:rsidRPr="002C3577">
        <w:rPr>
          <w:rFonts w:eastAsia="Times New Roman" w:cstheme="minorHAnsi"/>
          <w:lang w:eastAsia="en-GB"/>
        </w:rPr>
        <w:t xml:space="preserve">Scholl, A. (2016). </w:t>
      </w:r>
      <w:r w:rsidRPr="002C3577">
        <w:rPr>
          <w:rFonts w:eastAsia="Times New Roman" w:cstheme="minorHAnsi"/>
          <w:i/>
          <w:iCs/>
          <w:lang w:eastAsia="en-GB"/>
        </w:rPr>
        <w:t>Basic Skills Critical Thinking and Research</w:t>
      </w:r>
      <w:r w:rsidRPr="002C3577">
        <w:rPr>
          <w:rFonts w:eastAsia="Times New Roman" w:cstheme="minorHAnsi"/>
          <w:lang w:eastAsia="en-GB"/>
        </w:rPr>
        <w:t>. Ann Scholl</w:t>
      </w:r>
      <w:r w:rsidRPr="002C3577">
        <w:rPr>
          <w:rFonts w:ascii="Times New Roman" w:eastAsia="Times New Roman" w:hAnsi="Times New Roman" w:cs="Times New Roman"/>
          <w:sz w:val="24"/>
          <w:szCs w:val="24"/>
          <w:lang w:eastAsia="en-GB"/>
        </w:rPr>
        <w:t>.</w:t>
      </w:r>
    </w:p>
    <w:p w:rsidR="006C1D2C" w:rsidRPr="006C1D2C" w:rsidRDefault="006C1D2C" w:rsidP="006C1D2C">
      <w:pPr>
        <w:pStyle w:val="NormalWeb"/>
        <w:spacing w:before="0" w:beforeAutospacing="0" w:after="240" w:afterAutospacing="0" w:line="360" w:lineRule="auto"/>
        <w:rPr>
          <w:rFonts w:asciiTheme="minorHAnsi" w:hAnsiTheme="minorHAnsi"/>
          <w:sz w:val="22"/>
          <w:szCs w:val="22"/>
        </w:rPr>
      </w:pPr>
      <w:r w:rsidRPr="006C1D2C">
        <w:rPr>
          <w:rFonts w:asciiTheme="minorHAnsi" w:hAnsiTheme="minorHAnsi"/>
          <w:sz w:val="22"/>
          <w:szCs w:val="22"/>
        </w:rPr>
        <w:lastRenderedPageBreak/>
        <w:t>Sch</w:t>
      </w:r>
      <w:r w:rsidR="003279BB">
        <w:rPr>
          <w:rFonts w:asciiTheme="minorHAnsi" w:hAnsiTheme="minorHAnsi"/>
          <w:sz w:val="22"/>
          <w:szCs w:val="22"/>
        </w:rPr>
        <w:t xml:space="preserve">wartz, J. and </w:t>
      </w:r>
      <w:proofErr w:type="spellStart"/>
      <w:r w:rsidR="003279BB">
        <w:rPr>
          <w:rFonts w:asciiTheme="minorHAnsi" w:hAnsiTheme="minorHAnsi"/>
          <w:sz w:val="22"/>
          <w:szCs w:val="22"/>
        </w:rPr>
        <w:t>Lahiri</w:t>
      </w:r>
      <w:proofErr w:type="spellEnd"/>
      <w:r w:rsidR="003279BB">
        <w:rPr>
          <w:rFonts w:asciiTheme="minorHAnsi" w:hAnsiTheme="minorHAnsi"/>
          <w:sz w:val="22"/>
          <w:szCs w:val="22"/>
        </w:rPr>
        <w:t>, G. (2018)</w:t>
      </w:r>
      <w:r w:rsidRPr="006C1D2C">
        <w:rPr>
          <w:rFonts w:asciiTheme="minorHAnsi" w:hAnsiTheme="minorHAnsi"/>
          <w:sz w:val="22"/>
          <w:szCs w:val="22"/>
        </w:rPr>
        <w:t xml:space="preserve"> </w:t>
      </w:r>
      <w:r w:rsidRPr="006C1D2C">
        <w:rPr>
          <w:rFonts w:asciiTheme="minorHAnsi" w:hAnsiTheme="minorHAnsi"/>
          <w:i/>
          <w:iCs/>
          <w:sz w:val="22"/>
          <w:szCs w:val="22"/>
        </w:rPr>
        <w:t>People data: How far is too far?</w:t>
      </w:r>
      <w:r w:rsidR="0046620D">
        <w:rPr>
          <w:rFonts w:asciiTheme="minorHAnsi" w:hAnsiTheme="minorHAnsi"/>
          <w:sz w:val="22"/>
          <w:szCs w:val="22"/>
        </w:rPr>
        <w:t xml:space="preserve">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Pr="006C1D2C">
        <w:rPr>
          <w:rFonts w:asciiTheme="minorHAnsi" w:hAnsiTheme="minorHAnsi"/>
          <w:sz w:val="22"/>
          <w:szCs w:val="22"/>
        </w:rPr>
        <w:t xml:space="preserve"> Deloitte Insights. Available at: https://www2.deloitte.com/us/en/insights/focus/human-capital-trends/2018/people-data-analytics-risks-opportunit</w:t>
      </w:r>
      <w:r w:rsidR="00F71742">
        <w:rPr>
          <w:rFonts w:asciiTheme="minorHAnsi" w:hAnsiTheme="minorHAnsi"/>
          <w:sz w:val="22"/>
          <w:szCs w:val="22"/>
        </w:rPr>
        <w:t>ies.html (Accessed 21 Oct. 2023)</w:t>
      </w:r>
      <w:r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proofErr w:type="spellStart"/>
      <w:r>
        <w:rPr>
          <w:rFonts w:asciiTheme="minorHAnsi" w:hAnsiTheme="minorHAnsi"/>
          <w:sz w:val="22"/>
          <w:szCs w:val="22"/>
        </w:rPr>
        <w:t>Stobierski</w:t>
      </w:r>
      <w:proofErr w:type="spellEnd"/>
      <w:r>
        <w:rPr>
          <w:rFonts w:asciiTheme="minorHAnsi" w:hAnsiTheme="minorHAnsi"/>
          <w:sz w:val="22"/>
          <w:szCs w:val="22"/>
        </w:rPr>
        <w:t>, T. (2020)</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13 Financial Performance Measures Managers Should Monitor | HBS Online</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Harvard Business School Online. Available at: https://online.hbs.edu/blog/post/</w:t>
      </w:r>
      <w:r w:rsidR="00F71742">
        <w:rPr>
          <w:rFonts w:asciiTheme="minorHAnsi" w:hAnsiTheme="minorHAnsi"/>
          <w:sz w:val="22"/>
          <w:szCs w:val="22"/>
        </w:rPr>
        <w:t>financial-performance-measures (Accessed 14 Nov.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TAYLOR, S.W., CAROL (2022)</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STUDYING HUMAN RESOURCE MANAGEMENT a guide to the study, context and practice of hr</w:t>
      </w:r>
      <w:r w:rsidR="00F71742">
        <w:rPr>
          <w:rFonts w:asciiTheme="minorHAnsi" w:hAnsiTheme="minorHAnsi"/>
          <w:sz w:val="22"/>
          <w:szCs w:val="22"/>
        </w:rPr>
        <w:t>. 3rd ed. (</w:t>
      </w:r>
      <w:proofErr w:type="spellStart"/>
      <w:r w:rsidR="00F71742">
        <w:rPr>
          <w:rFonts w:asciiTheme="minorHAnsi" w:hAnsiTheme="minorHAnsi"/>
          <w:sz w:val="22"/>
          <w:szCs w:val="22"/>
        </w:rPr>
        <w:t>S.l.</w:t>
      </w:r>
      <w:proofErr w:type="spellEnd"/>
      <w:r w:rsidR="00F71742">
        <w:rPr>
          <w:rFonts w:asciiTheme="minorHAnsi" w:hAnsiTheme="minorHAnsi"/>
          <w:sz w:val="22"/>
          <w:szCs w:val="22"/>
        </w:rPr>
        <w:t>)</w:t>
      </w:r>
      <w:r w:rsidR="006C1D2C" w:rsidRPr="006C1D2C">
        <w:rPr>
          <w:rFonts w:asciiTheme="minorHAnsi" w:hAnsiTheme="minorHAnsi"/>
          <w:sz w:val="22"/>
          <w:szCs w:val="22"/>
        </w:rPr>
        <w:t>: KOGAN PAGE.</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www.mindtools.com. (</w:t>
      </w:r>
      <w:proofErr w:type="spellStart"/>
      <w:r>
        <w:rPr>
          <w:rFonts w:asciiTheme="minorHAnsi" w:hAnsiTheme="minorHAnsi"/>
          <w:sz w:val="22"/>
          <w:szCs w:val="22"/>
        </w:rPr>
        <w:t>n.d.</w:t>
      </w:r>
      <w:proofErr w:type="spellEnd"/>
      <w:r>
        <w:rPr>
          <w:rFonts w:asciiTheme="minorHAnsi" w:hAnsiTheme="minorHAnsi"/>
          <w:sz w:val="22"/>
          <w:szCs w:val="22"/>
        </w:rPr>
        <w:t>)</w:t>
      </w:r>
      <w:r w:rsidR="006C1D2C" w:rsidRPr="006C1D2C">
        <w:rPr>
          <w:rFonts w:asciiTheme="minorHAnsi" w:hAnsiTheme="minorHAnsi"/>
          <w:sz w:val="22"/>
          <w:szCs w:val="22"/>
        </w:rPr>
        <w:t xml:space="preserve"> </w:t>
      </w:r>
      <w:proofErr w:type="spellStart"/>
      <w:r w:rsidR="006C1D2C" w:rsidRPr="006C1D2C">
        <w:rPr>
          <w:rFonts w:asciiTheme="minorHAnsi" w:hAnsiTheme="minorHAnsi"/>
          <w:i/>
          <w:iCs/>
          <w:sz w:val="22"/>
          <w:szCs w:val="22"/>
        </w:rPr>
        <w:t>MindTools</w:t>
      </w:r>
      <w:proofErr w:type="spellEnd"/>
      <w:r w:rsidR="006C1D2C" w:rsidRPr="006C1D2C">
        <w:rPr>
          <w:rFonts w:asciiTheme="minorHAnsi" w:hAnsiTheme="minorHAnsi"/>
          <w:i/>
          <w:iCs/>
          <w:sz w:val="22"/>
          <w:szCs w:val="22"/>
        </w:rPr>
        <w:t xml:space="preserve"> | Home</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Available at: https://www.mindtools.com/at</w:t>
      </w:r>
      <w:r w:rsidR="00F71742">
        <w:rPr>
          <w:rFonts w:asciiTheme="minorHAnsi" w:hAnsiTheme="minorHAnsi"/>
          <w:sz w:val="22"/>
          <w:szCs w:val="22"/>
        </w:rPr>
        <w:t>znth6/the-kepner-tregoe-matrix (Accessed 22 Oct. 2023)</w:t>
      </w:r>
      <w:r w:rsidR="006C1D2C" w:rsidRPr="006C1D2C">
        <w:rPr>
          <w:rFonts w:asciiTheme="minorHAnsi" w:hAnsiTheme="minorHAnsi"/>
          <w:sz w:val="22"/>
          <w:szCs w:val="22"/>
        </w:rPr>
        <w:t>.</w:t>
      </w:r>
    </w:p>
    <w:p w:rsidR="006C1D2C" w:rsidRP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Young, J. (2023a)</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Evidence-based HR: Make better decisions and step up your influence</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https://www.cipd.org/uk/knowledge/gui</w:t>
      </w:r>
      <w:r w:rsidR="00F71742">
        <w:rPr>
          <w:rFonts w:asciiTheme="minorHAnsi" w:hAnsiTheme="minorHAnsi"/>
          <w:sz w:val="22"/>
          <w:szCs w:val="22"/>
        </w:rPr>
        <w:t>des/evidence-based-profession/ (Accessed 15 Oct. 2023)</w:t>
      </w:r>
      <w:r w:rsidR="006C1D2C" w:rsidRPr="006C1D2C">
        <w:rPr>
          <w:rFonts w:asciiTheme="minorHAnsi" w:hAnsiTheme="minorHAnsi"/>
          <w:sz w:val="22"/>
          <w:szCs w:val="22"/>
        </w:rPr>
        <w:t>.</w:t>
      </w:r>
    </w:p>
    <w:p w:rsidR="006C1D2C" w:rsidRDefault="003279BB" w:rsidP="006C1D2C">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Young, J. (2023b)</w:t>
      </w:r>
      <w:r w:rsidR="006C1D2C" w:rsidRPr="006C1D2C">
        <w:rPr>
          <w:rFonts w:asciiTheme="minorHAnsi" w:hAnsiTheme="minorHAnsi"/>
          <w:sz w:val="22"/>
          <w:szCs w:val="22"/>
        </w:rPr>
        <w:t xml:space="preserve"> </w:t>
      </w:r>
      <w:r w:rsidR="006C1D2C" w:rsidRPr="006C1D2C">
        <w:rPr>
          <w:rFonts w:asciiTheme="minorHAnsi" w:hAnsiTheme="minorHAnsi"/>
          <w:i/>
          <w:iCs/>
          <w:sz w:val="22"/>
          <w:szCs w:val="22"/>
        </w:rPr>
        <w:t>CIPD | Evidence-based practice for effective decision-making | Factsheets</w:t>
      </w:r>
      <w:r w:rsidR="0046620D">
        <w:rPr>
          <w:rFonts w:asciiTheme="minorHAnsi" w:hAnsiTheme="minorHAnsi"/>
          <w:sz w:val="22"/>
          <w:szCs w:val="22"/>
        </w:rPr>
        <w:t>. [</w:t>
      </w:r>
      <w:proofErr w:type="gramStart"/>
      <w:r w:rsidR="0046620D">
        <w:rPr>
          <w:rFonts w:asciiTheme="minorHAnsi" w:hAnsiTheme="minorHAnsi"/>
          <w:sz w:val="22"/>
          <w:szCs w:val="22"/>
        </w:rPr>
        <w:t>online</w:t>
      </w:r>
      <w:proofErr w:type="gramEnd"/>
      <w:r w:rsidR="0046620D">
        <w:rPr>
          <w:rFonts w:asciiTheme="minorHAnsi" w:hAnsiTheme="minorHAnsi"/>
          <w:sz w:val="22"/>
          <w:szCs w:val="22"/>
        </w:rPr>
        <w:t>]</w:t>
      </w:r>
      <w:r w:rsidR="006C1D2C" w:rsidRPr="006C1D2C">
        <w:rPr>
          <w:rFonts w:asciiTheme="minorHAnsi" w:hAnsiTheme="minorHAnsi"/>
          <w:sz w:val="22"/>
          <w:szCs w:val="22"/>
        </w:rPr>
        <w:t xml:space="preserve"> CIPD. Available at: https://www.cipd.org/uk/knowledge/factsheets/evidence-based-practice-factsheet/#</w:t>
      </w:r>
      <w:r w:rsidR="00F71742">
        <w:rPr>
          <w:rFonts w:asciiTheme="minorHAnsi" w:hAnsiTheme="minorHAnsi"/>
          <w:sz w:val="22"/>
          <w:szCs w:val="22"/>
        </w:rPr>
        <w:t>what-is-evidencebased-practice (Accessed 15 Oct. 2023)</w:t>
      </w:r>
      <w:r w:rsidR="006C1D2C" w:rsidRPr="006C1D2C">
        <w:rPr>
          <w:rFonts w:asciiTheme="minorHAnsi" w:hAnsiTheme="minorHAnsi"/>
          <w:sz w:val="22"/>
          <w:szCs w:val="22"/>
        </w:rPr>
        <w:t>.</w:t>
      </w: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6C1D2C">
      <w:pPr>
        <w:pStyle w:val="NormalWeb"/>
        <w:spacing w:before="0" w:beforeAutospacing="0" w:after="240" w:afterAutospacing="0" w:line="360" w:lineRule="auto"/>
        <w:rPr>
          <w:rFonts w:asciiTheme="minorHAnsi" w:hAnsiTheme="minorHAnsi"/>
          <w:sz w:val="22"/>
          <w:szCs w:val="22"/>
        </w:rPr>
      </w:pPr>
    </w:p>
    <w:p w:rsidR="00790C1F" w:rsidRDefault="00790C1F" w:rsidP="00790C1F">
      <w:pPr>
        <w:rPr>
          <w:b/>
          <w:u w:val="single"/>
        </w:rPr>
      </w:pPr>
      <w:r>
        <w:rPr>
          <w:b/>
          <w:u w:val="single"/>
        </w:rPr>
        <w:lastRenderedPageBreak/>
        <w:t>Section 2</w:t>
      </w:r>
    </w:p>
    <w:p w:rsidR="00790C1F" w:rsidRDefault="00790C1F" w:rsidP="00790C1F">
      <w:pPr>
        <w:rPr>
          <w:b/>
          <w:u w:val="single"/>
        </w:rPr>
      </w:pPr>
      <w:r>
        <w:rPr>
          <w:b/>
          <w:u w:val="single"/>
        </w:rPr>
        <w:t xml:space="preserve">Word count: </w:t>
      </w:r>
      <w:r w:rsidR="00F13852">
        <w:rPr>
          <w:b/>
          <w:u w:val="single"/>
        </w:rPr>
        <w:t>1099</w:t>
      </w:r>
    </w:p>
    <w:p w:rsidR="00133BDC" w:rsidRDefault="00133BDC" w:rsidP="00790C1F">
      <w:pPr>
        <w:rPr>
          <w:b/>
          <w:u w:val="single"/>
        </w:rPr>
      </w:pPr>
    </w:p>
    <w:p w:rsidR="00790C1F" w:rsidRDefault="00790C1F" w:rsidP="00790C1F">
      <w:pPr>
        <w:rPr>
          <w:b/>
          <w:u w:val="single"/>
        </w:rPr>
      </w:pPr>
      <w:r>
        <w:rPr>
          <w:b/>
          <w:u w:val="single"/>
        </w:rPr>
        <w:t>Executive Summary</w:t>
      </w:r>
    </w:p>
    <w:p w:rsidR="00864664" w:rsidRPr="00726CF5" w:rsidRDefault="00864664" w:rsidP="00864664">
      <w:r>
        <w:t xml:space="preserve">In line with the CIPD’s professions map, one of the 3 values is </w:t>
      </w:r>
      <w:r w:rsidR="00B063ED">
        <w:t>EBP (Evidence based practice)</w:t>
      </w:r>
      <w:r>
        <w:t xml:space="preserve"> (CIPD, 2023).  </w:t>
      </w:r>
      <w:r w:rsidR="00B063ED">
        <w:t>EBP</w:t>
      </w:r>
      <w:r>
        <w:t xml:space="preserve"> relies on the gathering and analysis of data, </w:t>
      </w:r>
      <w:r w:rsidR="003947B0">
        <w:t xml:space="preserve">which can be split into either quantitative (numerical) or qualitative (words/meanings). Both </w:t>
      </w:r>
      <w:r>
        <w:t xml:space="preserve">can be analysed using spreadsheets, graphs and other </w:t>
      </w:r>
      <w:r w:rsidR="00936072">
        <w:t>visual aids</w:t>
      </w:r>
      <w:r w:rsidR="00B063ED">
        <w:t xml:space="preserve"> (Anderson et al, 2019) with</w:t>
      </w:r>
      <w:r w:rsidR="00936072">
        <w:t xml:space="preserve"> </w:t>
      </w:r>
      <w:proofErr w:type="spellStart"/>
      <w:r w:rsidR="00936072">
        <w:t>Bryman</w:t>
      </w:r>
      <w:proofErr w:type="spellEnd"/>
      <w:r w:rsidR="00936072">
        <w:t xml:space="preserve"> et al (2018) stat</w:t>
      </w:r>
      <w:r w:rsidR="00B063ED">
        <w:t>ing</w:t>
      </w:r>
      <w:r w:rsidR="00936072">
        <w:t xml:space="preserve"> that </w:t>
      </w:r>
      <w:r w:rsidR="00DC2585">
        <w:t>bullet lists are also useful (</w:t>
      </w:r>
      <w:proofErr w:type="spellStart"/>
      <w:r w:rsidR="00DC2585">
        <w:t>Woodhams</w:t>
      </w:r>
      <w:proofErr w:type="spellEnd"/>
      <w:r w:rsidR="00DC2585">
        <w:t xml:space="preserve"> and Taylor, 2022). </w:t>
      </w:r>
    </w:p>
    <w:p w:rsidR="00DC2585" w:rsidRDefault="00864664" w:rsidP="00790C1F">
      <w:r>
        <w:t>Analysing collected data to provide recommendation</w:t>
      </w:r>
      <w:r w:rsidR="00B063ED">
        <w:t xml:space="preserve">s resulting </w:t>
      </w:r>
      <w:r>
        <w:t>in better, more informed business decisions.</w:t>
      </w:r>
    </w:p>
    <w:p w:rsidR="00133BDC" w:rsidRPr="00133BDC" w:rsidRDefault="00133BDC" w:rsidP="00790C1F">
      <w:pPr>
        <w:rPr>
          <w:b/>
          <w:u w:val="single"/>
        </w:rPr>
      </w:pPr>
      <w:r w:rsidRPr="00133BDC">
        <w:rPr>
          <w:b/>
          <w:u w:val="single"/>
        </w:rPr>
        <w:t xml:space="preserve">Introduction </w:t>
      </w:r>
    </w:p>
    <w:p w:rsidR="00936072" w:rsidRPr="00936072" w:rsidRDefault="00936072" w:rsidP="00936072">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T</w:t>
      </w:r>
      <w:r w:rsidR="00B063ED">
        <w:rPr>
          <w:rFonts w:asciiTheme="minorHAnsi" w:hAnsiTheme="minorHAnsi"/>
          <w:sz w:val="22"/>
          <w:szCs w:val="22"/>
        </w:rPr>
        <w:t xml:space="preserve">he purpose of this report is to </w:t>
      </w:r>
      <w:r>
        <w:rPr>
          <w:rFonts w:asciiTheme="minorHAnsi" w:hAnsiTheme="minorHAnsi"/>
          <w:sz w:val="22"/>
          <w:szCs w:val="22"/>
        </w:rPr>
        <w:t>present the quantitative</w:t>
      </w:r>
      <w:r w:rsidR="001B4947">
        <w:rPr>
          <w:rFonts w:asciiTheme="minorHAnsi" w:hAnsiTheme="minorHAnsi"/>
          <w:sz w:val="22"/>
          <w:szCs w:val="22"/>
        </w:rPr>
        <w:t xml:space="preserve"> and qualitative</w:t>
      </w:r>
      <w:r>
        <w:rPr>
          <w:rFonts w:asciiTheme="minorHAnsi" w:hAnsiTheme="minorHAnsi"/>
          <w:sz w:val="22"/>
          <w:szCs w:val="22"/>
        </w:rPr>
        <w:t xml:space="preserve"> data</w:t>
      </w:r>
      <w:r w:rsidR="00F13852">
        <w:rPr>
          <w:rFonts w:asciiTheme="minorHAnsi" w:hAnsiTheme="minorHAnsi"/>
          <w:sz w:val="22"/>
          <w:szCs w:val="22"/>
        </w:rPr>
        <w:t>, which</w:t>
      </w:r>
      <w:r w:rsidR="00B063ED">
        <w:rPr>
          <w:rFonts w:asciiTheme="minorHAnsi" w:hAnsiTheme="minorHAnsi"/>
          <w:sz w:val="22"/>
          <w:szCs w:val="22"/>
        </w:rPr>
        <w:t xml:space="preserve"> will </w:t>
      </w:r>
      <w:r>
        <w:rPr>
          <w:rFonts w:asciiTheme="minorHAnsi" w:hAnsiTheme="minorHAnsi"/>
          <w:sz w:val="22"/>
          <w:szCs w:val="22"/>
        </w:rPr>
        <w:t xml:space="preserve">be analysed to </w:t>
      </w:r>
      <w:r w:rsidR="00B063ED">
        <w:rPr>
          <w:rFonts w:asciiTheme="minorHAnsi" w:hAnsiTheme="minorHAnsi" w:cstheme="minorHAnsi"/>
          <w:sz w:val="22"/>
          <w:szCs w:val="22"/>
        </w:rPr>
        <w:t xml:space="preserve">identify </w:t>
      </w:r>
      <w:r w:rsidRPr="0060733E">
        <w:rPr>
          <w:rFonts w:asciiTheme="minorHAnsi" w:hAnsiTheme="minorHAnsi" w:cstheme="minorHAnsi"/>
          <w:sz w:val="22"/>
          <w:szCs w:val="22"/>
        </w:rPr>
        <w:t>patterns, themes, trends, correlation, causes and effects and underlying meanings</w:t>
      </w:r>
      <w:r w:rsidR="0060733E" w:rsidRPr="0060733E">
        <w:rPr>
          <w:rFonts w:asciiTheme="minorHAnsi" w:hAnsiTheme="minorHAnsi" w:cstheme="minorHAnsi"/>
          <w:sz w:val="22"/>
          <w:szCs w:val="22"/>
        </w:rPr>
        <w:t xml:space="preserve"> forming the primary research</w:t>
      </w:r>
      <w:r w:rsidRPr="0060733E">
        <w:rPr>
          <w:rFonts w:asciiTheme="minorHAnsi" w:hAnsiTheme="minorHAnsi" w:cstheme="minorHAnsi"/>
          <w:sz w:val="22"/>
          <w:szCs w:val="22"/>
        </w:rPr>
        <w:t xml:space="preserve">.  </w:t>
      </w:r>
      <w:r w:rsidR="0060733E" w:rsidRPr="0060733E">
        <w:rPr>
          <w:rFonts w:asciiTheme="minorHAnsi" w:hAnsiTheme="minorHAnsi" w:cstheme="minorHAnsi"/>
          <w:sz w:val="22"/>
          <w:szCs w:val="22"/>
        </w:rPr>
        <w:t>Secondary research and external data will be investigated to present suitable r</w:t>
      </w:r>
      <w:r w:rsidR="00DC2585" w:rsidRPr="0060733E">
        <w:rPr>
          <w:rFonts w:asciiTheme="minorHAnsi" w:hAnsiTheme="minorHAnsi" w:cstheme="minorHAnsi"/>
          <w:sz w:val="22"/>
          <w:szCs w:val="22"/>
        </w:rPr>
        <w:t>ecommendations taking into account the benefits, risks and financial implication</w:t>
      </w:r>
      <w:r w:rsidR="0060733E" w:rsidRPr="0060733E">
        <w:rPr>
          <w:rFonts w:asciiTheme="minorHAnsi" w:hAnsiTheme="minorHAnsi" w:cstheme="minorHAnsi"/>
          <w:sz w:val="22"/>
          <w:szCs w:val="22"/>
        </w:rPr>
        <w:t xml:space="preserve"> of the proposed solution (CIPD, 2022)</w:t>
      </w:r>
      <w:r w:rsidR="0060733E">
        <w:rPr>
          <w:rFonts w:asciiTheme="minorHAnsi" w:hAnsiTheme="minorHAnsi" w:cstheme="minorHAnsi"/>
          <w:sz w:val="22"/>
          <w:szCs w:val="22"/>
        </w:rPr>
        <w:t>.</w:t>
      </w:r>
    </w:p>
    <w:p w:rsidR="001B4947" w:rsidRPr="001B4947" w:rsidRDefault="001B4947" w:rsidP="0060733E">
      <w:pPr>
        <w:pStyle w:val="NormalWeb"/>
        <w:spacing w:before="0" w:beforeAutospacing="0" w:after="240" w:afterAutospacing="0" w:line="360" w:lineRule="auto"/>
        <w:rPr>
          <w:rFonts w:asciiTheme="minorHAnsi" w:hAnsiTheme="minorHAnsi"/>
          <w:sz w:val="22"/>
          <w:szCs w:val="22"/>
          <w:u w:val="single"/>
        </w:rPr>
      </w:pPr>
      <w:r w:rsidRPr="001B4947">
        <w:rPr>
          <w:rFonts w:asciiTheme="minorHAnsi" w:hAnsiTheme="minorHAnsi"/>
          <w:sz w:val="22"/>
          <w:szCs w:val="22"/>
          <w:u w:val="single"/>
        </w:rPr>
        <w:t>Part One</w:t>
      </w:r>
    </w:p>
    <w:p w:rsidR="0060733E" w:rsidRPr="0060733E" w:rsidRDefault="0060733E" w:rsidP="0060733E">
      <w:pPr>
        <w:pStyle w:val="NormalWeb"/>
        <w:numPr>
          <w:ilvl w:val="0"/>
          <w:numId w:val="43"/>
        </w:numPr>
        <w:spacing w:before="0" w:beforeAutospacing="0" w:after="240" w:afterAutospacing="0" w:line="360" w:lineRule="auto"/>
        <w:rPr>
          <w:rFonts w:asciiTheme="minorHAnsi" w:hAnsiTheme="minorHAnsi"/>
          <w:sz w:val="22"/>
          <w:szCs w:val="22"/>
        </w:rPr>
      </w:pPr>
      <w:r w:rsidRPr="0060733E">
        <w:rPr>
          <w:rFonts w:asciiTheme="minorHAnsi" w:hAnsiTheme="minorHAnsi"/>
          <w:sz w:val="22"/>
          <w:szCs w:val="22"/>
        </w:rPr>
        <w:t>Percentage of each gender by type.</w:t>
      </w:r>
    </w:p>
    <w:p w:rsidR="0060733E" w:rsidRPr="0060733E" w:rsidRDefault="0060733E" w:rsidP="0060733E">
      <w:pPr>
        <w:pStyle w:val="NormalWeb"/>
        <w:numPr>
          <w:ilvl w:val="0"/>
          <w:numId w:val="43"/>
        </w:numPr>
        <w:spacing w:before="0" w:beforeAutospacing="0" w:after="240" w:afterAutospacing="0" w:line="360" w:lineRule="auto"/>
        <w:rPr>
          <w:rFonts w:asciiTheme="minorHAnsi" w:hAnsiTheme="minorHAnsi"/>
          <w:sz w:val="22"/>
          <w:szCs w:val="22"/>
        </w:rPr>
      </w:pPr>
      <w:r w:rsidRPr="0060733E">
        <w:rPr>
          <w:rFonts w:asciiTheme="minorHAnsi" w:hAnsiTheme="minorHAnsi"/>
          <w:sz w:val="22"/>
          <w:szCs w:val="22"/>
        </w:rPr>
        <w:t xml:space="preserve">Ethnicity as a percentage per team. </w:t>
      </w:r>
    </w:p>
    <w:p w:rsidR="0060733E" w:rsidRPr="0060733E" w:rsidRDefault="0060733E" w:rsidP="0060733E">
      <w:pPr>
        <w:pStyle w:val="NormalWeb"/>
        <w:numPr>
          <w:ilvl w:val="0"/>
          <w:numId w:val="43"/>
        </w:numPr>
        <w:spacing w:before="0" w:beforeAutospacing="0" w:after="240" w:afterAutospacing="0" w:line="360" w:lineRule="auto"/>
        <w:rPr>
          <w:rFonts w:asciiTheme="minorHAnsi" w:hAnsiTheme="minorHAnsi"/>
          <w:sz w:val="22"/>
          <w:szCs w:val="22"/>
        </w:rPr>
      </w:pPr>
      <w:r w:rsidRPr="0060733E">
        <w:rPr>
          <w:rFonts w:asciiTheme="minorHAnsi" w:hAnsiTheme="minorHAnsi"/>
          <w:sz w:val="22"/>
          <w:szCs w:val="22"/>
        </w:rPr>
        <w:t xml:space="preserve">Disability percentage as an organisational whole and by teams. </w:t>
      </w:r>
    </w:p>
    <w:p w:rsidR="0060733E" w:rsidRPr="0060733E" w:rsidRDefault="0060733E" w:rsidP="0060733E">
      <w:pPr>
        <w:pStyle w:val="NormalWeb"/>
        <w:numPr>
          <w:ilvl w:val="0"/>
          <w:numId w:val="43"/>
        </w:numPr>
        <w:spacing w:before="0" w:beforeAutospacing="0" w:after="240" w:afterAutospacing="0" w:line="360" w:lineRule="auto"/>
        <w:rPr>
          <w:rFonts w:asciiTheme="minorHAnsi" w:hAnsiTheme="minorHAnsi"/>
          <w:sz w:val="22"/>
          <w:szCs w:val="22"/>
        </w:rPr>
      </w:pPr>
      <w:r w:rsidRPr="0060733E">
        <w:rPr>
          <w:rFonts w:asciiTheme="minorHAnsi" w:hAnsiTheme="minorHAnsi"/>
          <w:sz w:val="22"/>
          <w:szCs w:val="22"/>
        </w:rPr>
        <w:t xml:space="preserve">Salary difference across genders. </w:t>
      </w:r>
    </w:p>
    <w:p w:rsidR="0060733E" w:rsidRDefault="0060733E" w:rsidP="0060733E">
      <w:pPr>
        <w:pStyle w:val="NormalWeb"/>
        <w:numPr>
          <w:ilvl w:val="0"/>
          <w:numId w:val="43"/>
        </w:numPr>
        <w:spacing w:before="0" w:beforeAutospacing="0" w:after="240" w:afterAutospacing="0" w:line="360" w:lineRule="auto"/>
        <w:rPr>
          <w:rFonts w:asciiTheme="minorHAnsi" w:hAnsiTheme="minorHAnsi"/>
          <w:sz w:val="22"/>
          <w:szCs w:val="22"/>
        </w:rPr>
      </w:pPr>
      <w:r w:rsidRPr="0060733E">
        <w:rPr>
          <w:rFonts w:asciiTheme="minorHAnsi" w:hAnsiTheme="minorHAnsi"/>
          <w:sz w:val="22"/>
          <w:szCs w:val="22"/>
        </w:rPr>
        <w:t>Overall average salary paid by the organisation</w:t>
      </w:r>
    </w:p>
    <w:p w:rsidR="001B4947" w:rsidRDefault="001B4947" w:rsidP="003947B0">
      <w:pPr>
        <w:pStyle w:val="NormalWeb"/>
        <w:spacing w:before="0" w:beforeAutospacing="0" w:after="240" w:afterAutospacing="0" w:line="360" w:lineRule="auto"/>
        <w:rPr>
          <w:rFonts w:asciiTheme="minorHAnsi" w:hAnsiTheme="minorHAnsi"/>
          <w:sz w:val="22"/>
          <w:szCs w:val="22"/>
          <w:u w:val="single"/>
        </w:rPr>
      </w:pPr>
      <w:r w:rsidRPr="001B4947">
        <w:rPr>
          <w:rFonts w:asciiTheme="minorHAnsi" w:hAnsiTheme="minorHAnsi"/>
          <w:sz w:val="22"/>
          <w:szCs w:val="22"/>
          <w:u w:val="single"/>
        </w:rPr>
        <w:t>Part Two</w:t>
      </w:r>
    </w:p>
    <w:p w:rsidR="001B4947" w:rsidRPr="001B4947" w:rsidRDefault="001B4947" w:rsidP="003947B0">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t>Feedback from 300 employees in relation to questions asked on hybrid working practices.</w:t>
      </w:r>
    </w:p>
    <w:p w:rsidR="00C96129" w:rsidRPr="00C96129" w:rsidRDefault="00C96129" w:rsidP="00C96129">
      <w:pPr>
        <w:rPr>
          <w:b/>
          <w:u w:val="single"/>
        </w:rPr>
      </w:pPr>
      <w:r w:rsidRPr="00C96129">
        <w:rPr>
          <w:b/>
          <w:u w:val="single"/>
        </w:rPr>
        <w:t xml:space="preserve">Methodology </w:t>
      </w:r>
    </w:p>
    <w:p w:rsidR="00C96129" w:rsidRDefault="00C96129" w:rsidP="00C96129">
      <w:r>
        <w:t>This report is based on credible findings from books, podcasts, websites, reports and factsheets.</w:t>
      </w:r>
    </w:p>
    <w:p w:rsidR="00792E72" w:rsidRDefault="00792E72" w:rsidP="00C96129">
      <w:pPr>
        <w:rPr>
          <w:b/>
          <w:u w:val="single"/>
        </w:rPr>
      </w:pPr>
    </w:p>
    <w:p w:rsidR="0017784B" w:rsidRDefault="0017784B" w:rsidP="00C96129">
      <w:pPr>
        <w:rPr>
          <w:b/>
          <w:u w:val="single"/>
        </w:rPr>
      </w:pPr>
    </w:p>
    <w:p w:rsidR="001B4947" w:rsidRPr="001B4947" w:rsidRDefault="001B4947" w:rsidP="00C96129">
      <w:pPr>
        <w:rPr>
          <w:b/>
          <w:u w:val="single"/>
        </w:rPr>
      </w:pPr>
      <w:r w:rsidRPr="001B4947">
        <w:rPr>
          <w:b/>
          <w:u w:val="single"/>
        </w:rPr>
        <w:lastRenderedPageBreak/>
        <w:t>Part one</w:t>
      </w:r>
    </w:p>
    <w:p w:rsidR="0060733E" w:rsidRDefault="00C96129" w:rsidP="0060733E">
      <w:pPr>
        <w:pStyle w:val="NormalWeb"/>
        <w:spacing w:before="0" w:beforeAutospacing="0" w:after="240" w:afterAutospacing="0" w:line="360" w:lineRule="auto"/>
        <w:rPr>
          <w:rFonts w:asciiTheme="minorHAnsi" w:hAnsiTheme="minorHAnsi"/>
          <w:b/>
          <w:sz w:val="22"/>
          <w:szCs w:val="22"/>
          <w:u w:val="single"/>
        </w:rPr>
      </w:pPr>
      <w:r w:rsidRPr="00C96129">
        <w:rPr>
          <w:rFonts w:asciiTheme="minorHAnsi" w:hAnsiTheme="minorHAnsi"/>
          <w:b/>
          <w:sz w:val="22"/>
          <w:szCs w:val="22"/>
          <w:u w:val="single"/>
        </w:rPr>
        <w:t>a)</w:t>
      </w:r>
    </w:p>
    <w:p w:rsidR="00C96129" w:rsidRDefault="00DC5E8E" w:rsidP="0060733E">
      <w:pPr>
        <w:pStyle w:val="NormalWeb"/>
        <w:spacing w:before="0" w:beforeAutospacing="0" w:after="240" w:afterAutospacing="0" w:line="360" w:lineRule="auto"/>
        <w:rPr>
          <w:rFonts w:asciiTheme="minorHAnsi" w:hAnsiTheme="minorHAnsi"/>
          <w:b/>
          <w:sz w:val="22"/>
          <w:szCs w:val="22"/>
          <w:u w:val="single"/>
        </w:rPr>
      </w:pPr>
      <w:r>
        <w:rPr>
          <w:noProof/>
        </w:rPr>
        <w:drawing>
          <wp:inline distT="0" distB="0" distL="0" distR="0" wp14:anchorId="6452919A" wp14:editId="37DC04F2">
            <wp:extent cx="6108700" cy="3665220"/>
            <wp:effectExtent l="0" t="0" r="635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7784B" w:rsidRDefault="00393848" w:rsidP="0017784B">
      <w:pPr>
        <w:widowControl w:val="0"/>
      </w:pPr>
      <w:r w:rsidRPr="00393848">
        <w:t xml:space="preserve">The gender profile </w:t>
      </w:r>
      <w:r>
        <w:t>is 54% Male</w:t>
      </w:r>
      <w:r w:rsidR="007424FD">
        <w:t xml:space="preserve"> (140)</w:t>
      </w:r>
      <w:r>
        <w:t>, 45</w:t>
      </w:r>
      <w:r w:rsidRPr="00393848">
        <w:t>% Female</w:t>
      </w:r>
      <w:r w:rsidR="007424FD">
        <w:t xml:space="preserve"> (118)</w:t>
      </w:r>
      <w:r>
        <w:t xml:space="preserve"> and 2% Non-binary</w:t>
      </w:r>
      <w:r w:rsidR="007424FD">
        <w:t xml:space="preserve"> (2)</w:t>
      </w:r>
      <w:r w:rsidRPr="00393848">
        <w:t xml:space="preserve">.  </w:t>
      </w:r>
    </w:p>
    <w:p w:rsidR="0017784B" w:rsidRDefault="0017784B" w:rsidP="0017784B">
      <w:pPr>
        <w:widowControl w:val="0"/>
      </w:pPr>
    </w:p>
    <w:p w:rsidR="0017784B" w:rsidRDefault="0017784B" w:rsidP="0017784B">
      <w:pPr>
        <w:widowControl w:val="0"/>
        <w:rPr>
          <w:b/>
          <w:u w:val="single"/>
        </w:rPr>
      </w:pPr>
      <w:r w:rsidRPr="0017784B">
        <w:rPr>
          <w:b/>
        </w:rPr>
        <w:t>b</w:t>
      </w:r>
      <w:r w:rsidR="00DC5E8E" w:rsidRPr="0017784B">
        <w:rPr>
          <w:b/>
          <w:u w:val="single"/>
        </w:rPr>
        <w:t>)</w:t>
      </w:r>
    </w:p>
    <w:p w:rsidR="000159D5" w:rsidRPr="0017784B" w:rsidRDefault="00DC5E8E" w:rsidP="0017784B">
      <w:pPr>
        <w:widowControl w:val="0"/>
        <w:rPr>
          <w:b/>
          <w:u w:val="single"/>
        </w:rPr>
      </w:pPr>
      <w:r w:rsidRPr="0017784B">
        <w:rPr>
          <w:b/>
          <w:noProof/>
        </w:rPr>
        <w:drawing>
          <wp:inline distT="0" distB="0" distL="0" distR="0" wp14:anchorId="314C0B16" wp14:editId="6D25ED87">
            <wp:extent cx="6118647" cy="3291840"/>
            <wp:effectExtent l="0" t="0" r="15875" b="38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159D5" w:rsidRPr="000159D5" w:rsidRDefault="000159D5" w:rsidP="000159D5">
      <w:pPr>
        <w:widowControl w:val="0"/>
        <w:spacing w:line="360" w:lineRule="auto"/>
        <w:jc w:val="both"/>
      </w:pPr>
      <w:r>
        <w:lastRenderedPageBreak/>
        <w:t xml:space="preserve">91% of employees identify as White British, 1% White Irish, 2% White Other, 1% White and Black Caribbean and 5% </w:t>
      </w:r>
      <w:r w:rsidRPr="000159D5">
        <w:t>Black, Asi</w:t>
      </w:r>
      <w:r>
        <w:t>an and Minority Ethnic (BAME).</w:t>
      </w:r>
      <w:r w:rsidRPr="000159D5">
        <w:t> </w:t>
      </w:r>
    </w:p>
    <w:p w:rsidR="000159D5" w:rsidRDefault="002937B2" w:rsidP="00B02A2B">
      <w:pPr>
        <w:widowControl w:val="0"/>
        <w:jc w:val="both"/>
      </w:pPr>
      <w:r>
        <w:t>8</w:t>
      </w:r>
      <w:r w:rsidR="00F23548">
        <w:t xml:space="preserve"> out of the 18 departments have no ethnic diversity and are entirely White Other,</w:t>
      </w:r>
      <w:r>
        <w:t xml:space="preserve"> White British or White Irish. </w:t>
      </w:r>
    </w:p>
    <w:p w:rsidR="0017784B" w:rsidRDefault="0017784B" w:rsidP="00B02A2B">
      <w:pPr>
        <w:widowControl w:val="0"/>
        <w:jc w:val="both"/>
      </w:pPr>
    </w:p>
    <w:p w:rsidR="00DC5E8E" w:rsidRDefault="00DC5E8E" w:rsidP="0060733E">
      <w:pPr>
        <w:pStyle w:val="NormalWeb"/>
        <w:spacing w:before="0" w:beforeAutospacing="0" w:after="240" w:afterAutospacing="0" w:line="360" w:lineRule="auto"/>
        <w:rPr>
          <w:rFonts w:asciiTheme="minorHAnsi" w:hAnsiTheme="minorHAnsi"/>
          <w:b/>
          <w:sz w:val="22"/>
          <w:szCs w:val="22"/>
          <w:u w:val="single"/>
        </w:rPr>
      </w:pPr>
      <w:r>
        <w:rPr>
          <w:rFonts w:asciiTheme="minorHAnsi" w:hAnsiTheme="minorHAnsi"/>
          <w:b/>
          <w:sz w:val="22"/>
          <w:szCs w:val="22"/>
          <w:u w:val="single"/>
        </w:rPr>
        <w:t>c)</w:t>
      </w:r>
      <w:r w:rsidR="00C53FBA">
        <w:rPr>
          <w:noProof/>
        </w:rPr>
        <w:drawing>
          <wp:inline distT="0" distB="0" distL="0" distR="0" wp14:anchorId="62A1F91A" wp14:editId="3B96AE86">
            <wp:extent cx="6096000" cy="36576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C5E8E" w:rsidRDefault="00A4207A" w:rsidP="0017784B">
      <w:pPr>
        <w:widowControl w:val="0"/>
        <w:rPr>
          <w:b/>
          <w:u w:val="single"/>
        </w:rPr>
      </w:pPr>
      <w:r w:rsidRPr="00393848">
        <w:t xml:space="preserve">The </w:t>
      </w:r>
      <w:r>
        <w:t>disability profile</w:t>
      </w:r>
      <w:r w:rsidRPr="00393848">
        <w:t xml:space="preserve"> </w:t>
      </w:r>
      <w:r>
        <w:t>for the organisation is 8% disclosed disability (21)</w:t>
      </w:r>
      <w:r w:rsidR="00FF5FD1">
        <w:t xml:space="preserve"> with 92% n</w:t>
      </w:r>
      <w:r>
        <w:t xml:space="preserve">ot disabled (239). </w:t>
      </w:r>
      <w:r w:rsidRPr="00393848">
        <w:t xml:space="preserve">  </w:t>
      </w:r>
      <w:r w:rsidR="00C53FBA">
        <w:rPr>
          <w:noProof/>
        </w:rPr>
        <w:lastRenderedPageBreak/>
        <w:drawing>
          <wp:inline distT="0" distB="0" distL="0" distR="0" wp14:anchorId="13442983" wp14:editId="4DE49C73">
            <wp:extent cx="6065520" cy="3639312"/>
            <wp:effectExtent l="0" t="0" r="11430" b="1841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53FBA" w:rsidRDefault="00A4207A" w:rsidP="002210C8">
      <w:pPr>
        <w:widowControl w:val="0"/>
        <w:jc w:val="both"/>
      </w:pPr>
      <w:r>
        <w:t>7 out of the 18 departmen</w:t>
      </w:r>
      <w:r w:rsidR="004D3FCD">
        <w:t>ts have no disabled employees</w:t>
      </w:r>
      <w:r>
        <w:t xml:space="preserve">.  </w:t>
      </w:r>
      <w:r w:rsidR="002210C8">
        <w:t xml:space="preserve">IT has the highest percentage of disabled employees based on the number of employees in the department with 2 out of 9 employees being disabled. </w:t>
      </w:r>
    </w:p>
    <w:p w:rsidR="0017784B" w:rsidRDefault="0017784B" w:rsidP="002210C8">
      <w:pPr>
        <w:widowControl w:val="0"/>
        <w:jc w:val="both"/>
      </w:pPr>
    </w:p>
    <w:p w:rsidR="00E47B48" w:rsidRPr="00E47B48" w:rsidRDefault="00E47B48" w:rsidP="002210C8">
      <w:pPr>
        <w:widowControl w:val="0"/>
        <w:jc w:val="both"/>
        <w:rPr>
          <w:b/>
          <w:u w:val="single"/>
        </w:rPr>
      </w:pPr>
      <w:r w:rsidRPr="00E47B48">
        <w:rPr>
          <w:b/>
          <w:u w:val="single"/>
        </w:rPr>
        <w:t>d)</w:t>
      </w:r>
    </w:p>
    <w:p w:rsidR="00E47B48" w:rsidRDefault="00E47B48" w:rsidP="002210C8">
      <w:pPr>
        <w:widowControl w:val="0"/>
        <w:jc w:val="both"/>
      </w:pPr>
      <w:r>
        <w:rPr>
          <w:noProof/>
          <w:lang w:eastAsia="en-GB"/>
        </w:rPr>
        <w:drawing>
          <wp:inline distT="0" distB="0" distL="0" distR="0" wp14:anchorId="7C0C2580" wp14:editId="340AF3A0">
            <wp:extent cx="6065520" cy="3390900"/>
            <wp:effectExtent l="0" t="0" r="1143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B7C9C" w:rsidRDefault="00E47B48" w:rsidP="0060733E">
      <w:pPr>
        <w:pStyle w:val="NormalWeb"/>
        <w:spacing w:before="0" w:beforeAutospacing="0" w:after="240" w:afterAutospacing="0" w:line="360" w:lineRule="auto"/>
        <w:rPr>
          <w:rFonts w:asciiTheme="minorHAnsi" w:hAnsiTheme="minorHAnsi"/>
          <w:sz w:val="22"/>
          <w:szCs w:val="22"/>
        </w:rPr>
      </w:pPr>
      <w:r>
        <w:rPr>
          <w:rFonts w:asciiTheme="minorHAnsi" w:hAnsiTheme="minorHAnsi"/>
          <w:sz w:val="22"/>
          <w:szCs w:val="22"/>
        </w:rPr>
        <w:lastRenderedPageBreak/>
        <w:t>The chart shows that the mean salary had a difference</w:t>
      </w:r>
      <w:r w:rsidR="003947B0">
        <w:rPr>
          <w:rFonts w:asciiTheme="minorHAnsi" w:hAnsiTheme="minorHAnsi"/>
          <w:sz w:val="22"/>
          <w:szCs w:val="22"/>
        </w:rPr>
        <w:t xml:space="preserve"> of</w:t>
      </w:r>
      <w:r>
        <w:rPr>
          <w:rFonts w:asciiTheme="minorHAnsi" w:hAnsiTheme="minorHAnsi"/>
          <w:sz w:val="22"/>
          <w:szCs w:val="22"/>
        </w:rPr>
        <w:t xml:space="preserve"> £88.12 per annum with men earning a mean of £31,812.18 and </w:t>
      </w:r>
      <w:proofErr w:type="gramStart"/>
      <w:r>
        <w:rPr>
          <w:rFonts w:asciiTheme="minorHAnsi" w:hAnsiTheme="minorHAnsi"/>
          <w:sz w:val="22"/>
          <w:szCs w:val="22"/>
        </w:rPr>
        <w:t>females</w:t>
      </w:r>
      <w:proofErr w:type="gramEnd"/>
      <w:r w:rsidR="00FB7C9C">
        <w:rPr>
          <w:rFonts w:asciiTheme="minorHAnsi" w:hAnsiTheme="minorHAnsi"/>
          <w:sz w:val="22"/>
          <w:szCs w:val="22"/>
        </w:rPr>
        <w:t xml:space="preserve"> 0.28%</w:t>
      </w:r>
      <w:r>
        <w:rPr>
          <w:rFonts w:asciiTheme="minorHAnsi" w:hAnsiTheme="minorHAnsi"/>
          <w:sz w:val="22"/>
          <w:szCs w:val="22"/>
        </w:rPr>
        <w:t xml:space="preserve"> </w:t>
      </w:r>
      <w:r w:rsidR="00FB7C9C">
        <w:rPr>
          <w:rFonts w:asciiTheme="minorHAnsi" w:hAnsiTheme="minorHAnsi"/>
          <w:sz w:val="22"/>
          <w:szCs w:val="22"/>
        </w:rPr>
        <w:t>more at</w:t>
      </w:r>
      <w:r>
        <w:rPr>
          <w:rFonts w:asciiTheme="minorHAnsi" w:hAnsiTheme="minorHAnsi"/>
          <w:sz w:val="22"/>
          <w:szCs w:val="22"/>
        </w:rPr>
        <w:t xml:space="preserve"> £31,900.30.  The median salary difference is £</w:t>
      </w:r>
      <w:r w:rsidR="00FB7C9C">
        <w:rPr>
          <w:rFonts w:asciiTheme="minorHAnsi" w:hAnsiTheme="minorHAnsi"/>
          <w:sz w:val="22"/>
          <w:szCs w:val="22"/>
        </w:rPr>
        <w:t xml:space="preserve">2,855.00 per annum with men earning 9.7% more at £29,500.00 and females earning £26,645.00. </w:t>
      </w:r>
      <w:r w:rsidR="00FB7C9C">
        <w:rPr>
          <w:rFonts w:asciiTheme="minorHAnsi" w:hAnsiTheme="minorHAnsi"/>
          <w:sz w:val="22"/>
          <w:szCs w:val="22"/>
        </w:rPr>
        <w:t xml:space="preserve">The mean </w:t>
      </w:r>
      <w:r w:rsidR="00FB7C9C">
        <w:rPr>
          <w:rFonts w:asciiTheme="minorHAnsi" w:hAnsiTheme="minorHAnsi"/>
          <w:sz w:val="22"/>
          <w:szCs w:val="22"/>
        </w:rPr>
        <w:t xml:space="preserve">and median </w:t>
      </w:r>
      <w:r w:rsidR="00FB7C9C">
        <w:rPr>
          <w:rFonts w:asciiTheme="minorHAnsi" w:hAnsiTheme="minorHAnsi"/>
          <w:sz w:val="22"/>
          <w:szCs w:val="22"/>
        </w:rPr>
        <w:t>of non-binary is muc</w:t>
      </w:r>
      <w:r w:rsidR="004D3FCD">
        <w:rPr>
          <w:rFonts w:asciiTheme="minorHAnsi" w:hAnsiTheme="minorHAnsi"/>
          <w:sz w:val="22"/>
          <w:szCs w:val="22"/>
        </w:rPr>
        <w:t>h lower at £19,500.00 (</w:t>
      </w:r>
      <w:r w:rsidR="00FB7C9C">
        <w:rPr>
          <w:rFonts w:asciiTheme="minorHAnsi" w:hAnsiTheme="minorHAnsi"/>
          <w:sz w:val="22"/>
          <w:szCs w:val="22"/>
        </w:rPr>
        <w:t xml:space="preserve">it must be noted that there are only 2 non-binary employees, which will give a </w:t>
      </w:r>
      <w:r w:rsidR="004D3FCD">
        <w:rPr>
          <w:rFonts w:asciiTheme="minorHAnsi" w:hAnsiTheme="minorHAnsi"/>
          <w:sz w:val="22"/>
          <w:szCs w:val="22"/>
        </w:rPr>
        <w:t>skewed result</w:t>
      </w:r>
      <w:r w:rsidR="00FB7C9C">
        <w:rPr>
          <w:rFonts w:asciiTheme="minorHAnsi" w:hAnsiTheme="minorHAnsi"/>
          <w:sz w:val="22"/>
          <w:szCs w:val="22"/>
        </w:rPr>
        <w:t xml:space="preserve">).  </w:t>
      </w:r>
    </w:p>
    <w:p w:rsidR="00792E72" w:rsidRDefault="00C53FBA" w:rsidP="0060733E">
      <w:pPr>
        <w:pStyle w:val="NormalWeb"/>
        <w:spacing w:before="0" w:beforeAutospacing="0" w:after="240" w:afterAutospacing="0" w:line="360" w:lineRule="auto"/>
        <w:rPr>
          <w:rFonts w:asciiTheme="minorHAnsi" w:hAnsiTheme="minorHAnsi"/>
          <w:b/>
          <w:sz w:val="22"/>
          <w:szCs w:val="22"/>
          <w:u w:val="single"/>
        </w:rPr>
      </w:pPr>
      <w:r>
        <w:rPr>
          <w:rFonts w:asciiTheme="minorHAnsi" w:hAnsiTheme="minorHAnsi"/>
          <w:b/>
          <w:sz w:val="22"/>
          <w:szCs w:val="22"/>
          <w:u w:val="single"/>
        </w:rPr>
        <w:t>e)</w:t>
      </w:r>
    </w:p>
    <w:p w:rsidR="00C53FBA" w:rsidRDefault="00C53FBA" w:rsidP="0060733E">
      <w:pPr>
        <w:pStyle w:val="NormalWeb"/>
        <w:spacing w:before="0" w:beforeAutospacing="0" w:after="240" w:afterAutospacing="0" w:line="360" w:lineRule="auto"/>
        <w:rPr>
          <w:rFonts w:asciiTheme="minorHAnsi" w:hAnsiTheme="minorHAnsi"/>
          <w:b/>
          <w:sz w:val="22"/>
          <w:szCs w:val="22"/>
          <w:u w:val="single"/>
        </w:rPr>
      </w:pPr>
      <w:r>
        <w:rPr>
          <w:noProof/>
        </w:rPr>
        <w:drawing>
          <wp:inline distT="0" distB="0" distL="0" distR="0" wp14:anchorId="2BFC8244" wp14:editId="36D39066">
            <wp:extent cx="6050573" cy="4624070"/>
            <wp:effectExtent l="0" t="0" r="7620" b="508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230AE" w:rsidRDefault="004D3FCD" w:rsidP="0060733E">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sz w:val="22"/>
          <w:szCs w:val="22"/>
        </w:rPr>
        <w:t xml:space="preserve">Overall average is £31,757.46.  </w:t>
      </w:r>
      <w:r w:rsidR="002210C8">
        <w:rPr>
          <w:rFonts w:asciiTheme="minorHAnsi" w:hAnsiTheme="minorHAnsi"/>
          <w:sz w:val="22"/>
          <w:szCs w:val="22"/>
        </w:rPr>
        <w:t xml:space="preserve">Non-binary employees have the lowest average salary at £19,500.00 with males at £31,812.18 and females at </w:t>
      </w:r>
      <w:r>
        <w:rPr>
          <w:rFonts w:asciiTheme="minorHAnsi" w:hAnsiTheme="minorHAnsi"/>
          <w:sz w:val="22"/>
          <w:szCs w:val="22"/>
        </w:rPr>
        <w:t>£</w:t>
      </w:r>
      <w:r>
        <w:rPr>
          <w:rFonts w:asciiTheme="minorHAnsi" w:hAnsiTheme="minorHAnsi" w:cstheme="minorHAnsi"/>
          <w:sz w:val="22"/>
          <w:szCs w:val="22"/>
        </w:rPr>
        <w:t>31,900.30.</w:t>
      </w:r>
    </w:p>
    <w:p w:rsidR="001B4947" w:rsidRDefault="009230AE" w:rsidP="0060733E">
      <w:pPr>
        <w:pStyle w:val="NormalWeb"/>
        <w:spacing w:before="0" w:beforeAutospacing="0" w:after="240" w:afterAutospacing="0" w:line="360" w:lineRule="auto"/>
        <w:rPr>
          <w:rFonts w:asciiTheme="minorHAnsi" w:hAnsiTheme="minorHAnsi" w:cstheme="minorHAnsi"/>
          <w:sz w:val="22"/>
          <w:szCs w:val="22"/>
        </w:rPr>
      </w:pPr>
      <w:r w:rsidRPr="009230AE">
        <w:rPr>
          <w:rFonts w:asciiTheme="minorHAnsi" w:hAnsiTheme="minorHAnsi" w:cstheme="minorHAnsi"/>
          <w:b/>
          <w:sz w:val="22"/>
          <w:szCs w:val="22"/>
          <w:u w:val="single"/>
        </w:rPr>
        <w:lastRenderedPageBreak/>
        <w:t>Part two</w:t>
      </w:r>
      <w:r w:rsidR="002210C8" w:rsidRPr="009230AE">
        <w:rPr>
          <w:rFonts w:asciiTheme="minorHAnsi" w:hAnsiTheme="minorHAnsi" w:cstheme="minorHAnsi"/>
          <w:b/>
          <w:sz w:val="22"/>
          <w:szCs w:val="22"/>
          <w:u w:val="single"/>
        </w:rPr>
        <w:t xml:space="preserve">  </w:t>
      </w:r>
      <w:r w:rsidR="00305515">
        <w:rPr>
          <w:noProof/>
        </w:rPr>
        <w:drawing>
          <wp:inline distT="0" distB="0" distL="0" distR="0" wp14:anchorId="4C6AA0F0" wp14:editId="777EB9D0">
            <wp:extent cx="6027420" cy="6242050"/>
            <wp:effectExtent l="0" t="0" r="11430" b="63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32100" w:rsidRDefault="004D3FCD" w:rsidP="0060733E">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82% of employees felt </w:t>
      </w:r>
      <w:r w:rsidR="00305515">
        <w:rPr>
          <w:rFonts w:asciiTheme="minorHAnsi" w:hAnsiTheme="minorHAnsi" w:cstheme="minorHAnsi"/>
          <w:sz w:val="22"/>
          <w:szCs w:val="22"/>
        </w:rPr>
        <w:t xml:space="preserve">hybrid working helped support their </w:t>
      </w:r>
      <w:r w:rsidR="00897C5F">
        <w:rPr>
          <w:rFonts w:asciiTheme="minorHAnsi" w:hAnsiTheme="minorHAnsi" w:cstheme="minorHAnsi"/>
          <w:sz w:val="22"/>
          <w:szCs w:val="22"/>
        </w:rPr>
        <w:t>wor</w:t>
      </w:r>
      <w:r w:rsidR="00AD25A2">
        <w:rPr>
          <w:rFonts w:asciiTheme="minorHAnsi" w:hAnsiTheme="minorHAnsi" w:cstheme="minorHAnsi"/>
          <w:sz w:val="22"/>
          <w:szCs w:val="22"/>
        </w:rPr>
        <w:t>k-life balance and well-being with 62% saying that since hybrid working they feel more connected to company culture.  56% say they enjoy working from home on some days of the week.  83% say they do not miss engaging with colleagues in the workplace.</w:t>
      </w:r>
    </w:p>
    <w:p w:rsidR="00AD25A2" w:rsidRDefault="00AD25A2" w:rsidP="0060733E">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83% </w:t>
      </w:r>
      <w:r w:rsidR="00B063ED">
        <w:rPr>
          <w:rFonts w:asciiTheme="minorHAnsi" w:hAnsiTheme="minorHAnsi" w:cstheme="minorHAnsi"/>
          <w:sz w:val="22"/>
          <w:szCs w:val="22"/>
        </w:rPr>
        <w:t>did not</w:t>
      </w:r>
      <w:r>
        <w:rPr>
          <w:rFonts w:asciiTheme="minorHAnsi" w:hAnsiTheme="minorHAnsi" w:cstheme="minorHAnsi"/>
          <w:sz w:val="22"/>
          <w:szCs w:val="22"/>
        </w:rPr>
        <w:t xml:space="preserve"> feel supported when working at home and 85% say they disagree that they feel less stressed when working away from the workplace.  66% of employees also disagreed that working from home allowed them to meet their targets.</w:t>
      </w:r>
    </w:p>
    <w:p w:rsidR="00AD25A2" w:rsidRPr="002937B2" w:rsidRDefault="00AD25A2" w:rsidP="0060733E">
      <w:pPr>
        <w:pStyle w:val="NormalWeb"/>
        <w:spacing w:before="0" w:beforeAutospacing="0" w:after="240" w:afterAutospacing="0" w:line="360" w:lineRule="auto"/>
        <w:rPr>
          <w:rFonts w:asciiTheme="minorHAnsi" w:hAnsiTheme="minorHAnsi" w:cstheme="minorHAnsi"/>
          <w:sz w:val="22"/>
          <w:szCs w:val="22"/>
        </w:rPr>
      </w:pPr>
    </w:p>
    <w:p w:rsidR="002210C8" w:rsidRDefault="002937B2" w:rsidP="0060733E">
      <w:pPr>
        <w:pStyle w:val="NormalWeb"/>
        <w:spacing w:before="0" w:beforeAutospacing="0" w:after="240" w:afterAutospacing="0" w:line="360" w:lineRule="auto"/>
        <w:rPr>
          <w:rFonts w:asciiTheme="minorHAnsi" w:hAnsiTheme="minorHAnsi" w:cstheme="minorHAnsi"/>
          <w:b/>
          <w:sz w:val="22"/>
          <w:szCs w:val="22"/>
          <w:u w:val="single"/>
        </w:rPr>
      </w:pPr>
      <w:r w:rsidRPr="002937B2">
        <w:rPr>
          <w:rFonts w:asciiTheme="minorHAnsi" w:hAnsiTheme="minorHAnsi" w:cstheme="minorHAnsi"/>
          <w:b/>
          <w:sz w:val="22"/>
          <w:szCs w:val="22"/>
          <w:u w:val="single"/>
        </w:rPr>
        <w:t>Interpretati</w:t>
      </w:r>
      <w:r w:rsidR="00B063ED">
        <w:rPr>
          <w:rFonts w:asciiTheme="minorHAnsi" w:hAnsiTheme="minorHAnsi" w:cstheme="minorHAnsi"/>
          <w:b/>
          <w:sz w:val="22"/>
          <w:szCs w:val="22"/>
          <w:u w:val="single"/>
        </w:rPr>
        <w:t>on Analysis and Recommendations</w:t>
      </w:r>
    </w:p>
    <w:p w:rsidR="00792E72" w:rsidRDefault="002937B2" w:rsidP="002937B2">
      <w:pPr>
        <w:widowControl w:val="0"/>
        <w:jc w:val="both"/>
      </w:pPr>
      <w:r>
        <w:t xml:space="preserve">There are 5% BAME employees in the organisation.  </w:t>
      </w:r>
      <w:r w:rsidRPr="000159D5">
        <w:t>To set this in the context of the local p</w:t>
      </w:r>
      <w:r>
        <w:t>opulation, according to the 2021</w:t>
      </w:r>
      <w:r w:rsidRPr="000159D5">
        <w:t xml:space="preserve"> Census, the pr</w:t>
      </w:r>
      <w:r>
        <w:t>oportion of mixed race and BAME residents within England and Wales is 18% (Diversity UK, 2023).  Therefore, the organisation would benefit from trying to attract ethnically diverse recruits to the organisation especially in the department</w:t>
      </w:r>
      <w:r w:rsidR="00DC3DB7">
        <w:t>s</w:t>
      </w:r>
      <w:r>
        <w:t xml:space="preserve"> that have no ethnic diversity at present.  The organisation should consider reviewing its recruitment process to ensure it is inclusive to all ethnicities.  Proactively engage with ethnic minority communities in the local area building a good relationship</w:t>
      </w:r>
      <w:r w:rsidR="004D3FCD">
        <w:t>.  A</w:t>
      </w:r>
      <w:r w:rsidR="00FF5FD1">
        <w:t xml:space="preserve">nnual targets </w:t>
      </w:r>
      <w:r w:rsidR="004D3FCD">
        <w:t xml:space="preserve">should be set </w:t>
      </w:r>
      <w:r w:rsidR="00FF5FD1">
        <w:t>for retaining and recruiting ethnic minority employees (Harvey, 2020).</w:t>
      </w:r>
      <w:r w:rsidR="00E43F39">
        <w:t xml:space="preserve">  </w:t>
      </w:r>
      <w:r w:rsidR="00E76CB4">
        <w:t xml:space="preserve">The benefits of these strategies would be an increase in ethnic minority employees, which would improve the organisations reputation and customer engagement.  A risk would be a negative effect on the employee team dynamics by introducing employees from different cultures, which could affect engagements and productivity.  </w:t>
      </w:r>
    </w:p>
    <w:p w:rsidR="005F102F" w:rsidRDefault="0011608A" w:rsidP="002937B2">
      <w:pPr>
        <w:widowControl w:val="0"/>
        <w:jc w:val="both"/>
        <w:rPr>
          <w:rFonts w:cstheme="minorHAnsi"/>
          <w:color w:val="202020"/>
          <w:shd w:val="clear" w:color="auto" w:fill="FFFFFF"/>
        </w:rPr>
      </w:pPr>
      <w:r>
        <w:t xml:space="preserve">The data shows that there is a 9.7% median difference in pay with men earning more than women.  This would suggest that, although there are slightly less women in the organisation (118 women compared to 140 men), women are occupying the lower paid job roles within the organisation.  Therefore there is not an even distribution of gender throughout the tiers of the organisation. </w:t>
      </w:r>
      <w:r w:rsidR="00F13852">
        <w:t xml:space="preserve">The organisation should </w:t>
      </w:r>
      <w:r w:rsidRPr="005F102F">
        <w:rPr>
          <w:rFonts w:cstheme="minorHAnsi"/>
        </w:rPr>
        <w:t>look into the distribution further and encourage</w:t>
      </w:r>
      <w:r w:rsidR="00F13852">
        <w:rPr>
          <w:rFonts w:cstheme="minorHAnsi"/>
        </w:rPr>
        <w:t xml:space="preserve"> more recruitment of</w:t>
      </w:r>
      <w:r w:rsidRPr="005F102F">
        <w:rPr>
          <w:rFonts w:cstheme="minorHAnsi"/>
        </w:rPr>
        <w:t xml:space="preserve"> </w:t>
      </w:r>
      <w:r w:rsidR="00F13852">
        <w:rPr>
          <w:rFonts w:cstheme="minorHAnsi"/>
        </w:rPr>
        <w:t>women</w:t>
      </w:r>
      <w:r w:rsidRPr="005F102F">
        <w:rPr>
          <w:rFonts w:cstheme="minorHAnsi"/>
        </w:rPr>
        <w:t>.  A strong talent management strategy would help and</w:t>
      </w:r>
      <w:r w:rsidR="00F13852">
        <w:rPr>
          <w:rFonts w:cstheme="minorHAnsi"/>
        </w:rPr>
        <w:t xml:space="preserve"> development options and routes</w:t>
      </w:r>
      <w:r w:rsidRPr="005F102F">
        <w:rPr>
          <w:rFonts w:cstheme="minorHAnsi"/>
        </w:rPr>
        <w:t xml:space="preserve"> for </w:t>
      </w:r>
      <w:r w:rsidR="00F13852">
        <w:rPr>
          <w:rFonts w:cstheme="minorHAnsi"/>
        </w:rPr>
        <w:t xml:space="preserve">female </w:t>
      </w:r>
      <w:r w:rsidRPr="005F102F">
        <w:rPr>
          <w:rFonts w:cstheme="minorHAnsi"/>
        </w:rPr>
        <w:t xml:space="preserve">employees to </w:t>
      </w:r>
      <w:r w:rsidR="00311CD7" w:rsidRPr="005F102F">
        <w:rPr>
          <w:rFonts w:cstheme="minorHAnsi"/>
        </w:rPr>
        <w:t>progress.  As the organisat</w:t>
      </w:r>
      <w:r w:rsidR="005F102F" w:rsidRPr="005F102F">
        <w:rPr>
          <w:rFonts w:cstheme="minorHAnsi"/>
        </w:rPr>
        <w:t>ion has over 250 employees</w:t>
      </w:r>
      <w:r w:rsidR="005F102F">
        <w:rPr>
          <w:rFonts w:cstheme="minorHAnsi"/>
        </w:rPr>
        <w:t xml:space="preserve"> they will need to do an annual report in relation to the gender pay gap in line with the regulations introduced in 2017.  The CIPD have a guide for organisations in relation to the gender pay gap (CIPD, 2023).  </w:t>
      </w:r>
      <w:r w:rsidR="00E76CB4">
        <w:rPr>
          <w:rFonts w:cstheme="minorHAnsi"/>
        </w:rPr>
        <w:t xml:space="preserve"> The benefits of these strategies would be a decrease in the median pay gap at the next annual review, showing a perception of fair policy and processes.  A risk would be </w:t>
      </w:r>
      <w:r w:rsidR="00DC3DB7">
        <w:rPr>
          <w:rFonts w:cstheme="minorHAnsi"/>
        </w:rPr>
        <w:t xml:space="preserve">investment in changes without there being any change to the pay gap.  </w:t>
      </w:r>
    </w:p>
    <w:p w:rsidR="002937B2" w:rsidRDefault="00B32100" w:rsidP="00B063ED">
      <w:pPr>
        <w:widowControl w:val="0"/>
        <w:jc w:val="both"/>
      </w:pPr>
      <w:r>
        <w:t xml:space="preserve">In relation to </w:t>
      </w:r>
      <w:r w:rsidR="00AD25A2">
        <w:t xml:space="preserve">the feedback on hybrid working practices, it is advisable that these questions are followed up with </w:t>
      </w:r>
      <w:r w:rsidR="00E0596F">
        <w:t>intervie</w:t>
      </w:r>
      <w:r w:rsidR="003947B0">
        <w:t xml:space="preserve">ws </w:t>
      </w:r>
      <w:r w:rsidR="00B063ED">
        <w:t>and/</w:t>
      </w:r>
      <w:r w:rsidR="003947B0">
        <w:t>or focus groups</w:t>
      </w:r>
      <w:r w:rsidR="00E0596F">
        <w:t>.</w:t>
      </w:r>
      <w:r w:rsidR="00AD25A2">
        <w:t xml:space="preserve">  It appears that hybrid working has had a positive impact on employee’s work-life bal</w:t>
      </w:r>
      <w:r w:rsidR="00F13852">
        <w:t xml:space="preserve">ance and wellbeing.  </w:t>
      </w:r>
      <w:r w:rsidR="00AD25A2">
        <w:t>66% of employees said they did not feel supported when working from home, 85% didn’t agree that they are less stressed when working from home and 66% disagreed that working fro</w:t>
      </w:r>
      <w:r w:rsidR="00F13852">
        <w:t>m home allows them to meet</w:t>
      </w:r>
      <w:r w:rsidR="00AD25A2">
        <w:t xml:space="preserve"> targets.  </w:t>
      </w:r>
      <w:r w:rsidR="00B063ED">
        <w:t>I</w:t>
      </w:r>
      <w:r w:rsidR="00AD25A2">
        <w:t>t would be recommended that support mechanisms are put into place</w:t>
      </w:r>
      <w:r w:rsidR="003947B0">
        <w:t xml:space="preserve"> for employees, including support with being </w:t>
      </w:r>
      <w:r w:rsidR="00AD25A2">
        <w:t xml:space="preserve">able to meet their targets, hopefully improving stress levels.  </w:t>
      </w:r>
      <w:r w:rsidR="00E0596F">
        <w:t>Managers could receive trai</w:t>
      </w:r>
      <w:r w:rsidR="003F17C6">
        <w:t>ning in relation hybrid working including performance managemen</w:t>
      </w:r>
      <w:r w:rsidR="003947B0">
        <w:t xml:space="preserve">t, communication, </w:t>
      </w:r>
      <w:r w:rsidR="003F17C6">
        <w:t>and wellbeing. The managers need to m</w:t>
      </w:r>
      <w:r w:rsidR="00E0596F">
        <w:t>anage individ</w:t>
      </w:r>
      <w:r w:rsidR="003947B0">
        <w:t>ual workload effectively,</w:t>
      </w:r>
      <w:r w:rsidR="00E0596F">
        <w:t xml:space="preserve"> agreeing realistic objectives, providing constructive feedback </w:t>
      </w:r>
      <w:r w:rsidR="003F17C6">
        <w:t xml:space="preserve">and joint problem solving so as to </w:t>
      </w:r>
      <w:r w:rsidR="00B063ED">
        <w:t>resolve issues causing</w:t>
      </w:r>
      <w:r w:rsidR="00E0596F">
        <w:t xml:space="preserve"> people s</w:t>
      </w:r>
      <w:r w:rsidR="003F17C6">
        <w:t>tress (CIPD, 2021).</w:t>
      </w:r>
      <w:r w:rsidR="00DC3DB7">
        <w:t xml:space="preserve">  The b</w:t>
      </w:r>
      <w:r w:rsidR="00B063ED">
        <w:t xml:space="preserve">enefits </w:t>
      </w:r>
      <w:r w:rsidR="00DC3DB7">
        <w:t>would be a positive change in the responses in the next s</w:t>
      </w:r>
      <w:r w:rsidR="003947B0">
        <w:t>urvey</w:t>
      </w:r>
      <w:r w:rsidR="00DC3DB7">
        <w:t>, showing a change in employees feelings on the issues outli</w:t>
      </w:r>
      <w:r w:rsidR="00B063ED">
        <w:t>ned in the data.  P</w:t>
      </w:r>
      <w:r w:rsidR="00DC3DB7">
        <w:t xml:space="preserve">ositive changes resulting from the employee feedback should </w:t>
      </w:r>
      <w:r w:rsidR="00B063ED">
        <w:t>increase employee engagement, employees feeling</w:t>
      </w:r>
      <w:r w:rsidR="00DC3DB7">
        <w:t xml:space="preserve"> value</w:t>
      </w:r>
      <w:r w:rsidR="00B063ED">
        <w:t>d</w:t>
      </w:r>
      <w:r w:rsidR="00DC3DB7">
        <w:t xml:space="preserve"> resulting in increased productivity and a happier w</w:t>
      </w:r>
      <w:r w:rsidR="00B063ED">
        <w:t xml:space="preserve">orkforce knowing they are </w:t>
      </w:r>
      <w:r w:rsidR="00DC3DB7">
        <w:t xml:space="preserve">listened to.  </w:t>
      </w:r>
    </w:p>
    <w:p w:rsidR="00DC5E8E" w:rsidRDefault="00B063ED" w:rsidP="00B063ED">
      <w:pPr>
        <w:widowControl w:val="0"/>
        <w:jc w:val="both"/>
      </w:pPr>
      <w:r>
        <w:t xml:space="preserve">For all the recommendations there </w:t>
      </w:r>
      <w:r>
        <w:t>will be a financial cost involved in the above suggestions and also a cost of employee’s</w:t>
      </w:r>
      <w:r>
        <w:t>/managers</w:t>
      </w:r>
      <w:r>
        <w:t xml:space="preserve"> time for training, therefore it would be important to carry out a costs benefit analysis.</w:t>
      </w:r>
    </w:p>
    <w:p w:rsidR="00B90A9A" w:rsidRDefault="00B90A9A" w:rsidP="00B063ED">
      <w:pPr>
        <w:widowControl w:val="0"/>
        <w:jc w:val="both"/>
      </w:pPr>
    </w:p>
    <w:p w:rsidR="00B90A9A" w:rsidRDefault="00B90A9A" w:rsidP="00B90A9A">
      <w:pPr>
        <w:spacing w:after="240" w:line="360" w:lineRule="auto"/>
        <w:rPr>
          <w:rFonts w:eastAsia="Times New Roman" w:cstheme="minorHAnsi"/>
          <w:b/>
          <w:u w:val="single"/>
          <w:lang w:eastAsia="en-GB"/>
        </w:rPr>
      </w:pPr>
      <w:r w:rsidRPr="00B90A9A">
        <w:rPr>
          <w:rFonts w:eastAsia="Times New Roman" w:cstheme="minorHAnsi"/>
          <w:b/>
          <w:u w:val="single"/>
          <w:lang w:eastAsia="en-GB"/>
        </w:rPr>
        <w:lastRenderedPageBreak/>
        <w:t>Reference list</w:t>
      </w:r>
    </w:p>
    <w:p w:rsidR="00B90A9A" w:rsidRPr="00B90A9A" w:rsidRDefault="0046620D" w:rsidP="00B90A9A">
      <w:pPr>
        <w:spacing w:after="240" w:line="360" w:lineRule="auto"/>
        <w:rPr>
          <w:rFonts w:eastAsia="Times New Roman" w:cstheme="minorHAnsi"/>
          <w:b/>
          <w:u w:val="single"/>
          <w:lang w:eastAsia="en-GB"/>
        </w:rPr>
      </w:pPr>
      <w:r>
        <w:rPr>
          <w:rFonts w:cstheme="minorHAnsi"/>
        </w:rPr>
        <w:t>CIPD (2021)</w:t>
      </w:r>
      <w:r w:rsidR="00B90A9A" w:rsidRPr="00B90A9A">
        <w:rPr>
          <w:rFonts w:cstheme="minorHAnsi"/>
        </w:rPr>
        <w:t xml:space="preserve"> </w:t>
      </w:r>
      <w:r w:rsidR="00B90A9A" w:rsidRPr="00B90A9A">
        <w:rPr>
          <w:rFonts w:cstheme="minorHAnsi"/>
          <w:i/>
          <w:iCs/>
        </w:rPr>
        <w:t>CIPD | Effective hybrid working: practical guidance</w:t>
      </w:r>
      <w:r w:rsidR="00B90A9A" w:rsidRPr="00B90A9A">
        <w:rPr>
          <w:rFonts w:cstheme="minorHAnsi"/>
        </w:rPr>
        <w:t>. [</w:t>
      </w:r>
      <w:proofErr w:type="gramStart"/>
      <w:r w:rsidR="00B90A9A" w:rsidRPr="00B90A9A">
        <w:rPr>
          <w:rFonts w:cstheme="minorHAnsi"/>
        </w:rPr>
        <w:t>online</w:t>
      </w:r>
      <w:proofErr w:type="gramEnd"/>
      <w:r w:rsidR="00B90A9A" w:rsidRPr="00B90A9A">
        <w:rPr>
          <w:rFonts w:cstheme="minorHAnsi"/>
        </w:rPr>
        <w:t>] CIPD. Available at: https://www.cipd.org/uk/knowledge/guides/effective-hybrid-working</w:t>
      </w:r>
      <w:r w:rsidR="00AC686C">
        <w:rPr>
          <w:rFonts w:cstheme="minorHAnsi"/>
        </w:rPr>
        <w:t>/ (Accessed 22 Nov. 2023)</w:t>
      </w:r>
      <w:r w:rsidR="00B90A9A" w:rsidRPr="00B90A9A">
        <w:rPr>
          <w:rFonts w:cstheme="minorHAnsi"/>
        </w:rPr>
        <w:t>.</w:t>
      </w:r>
    </w:p>
    <w:p w:rsidR="00B90A9A" w:rsidRPr="00B90A9A" w:rsidRDefault="0046620D" w:rsidP="00B90A9A">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CIPD (2022)</w:t>
      </w:r>
      <w:r w:rsidR="00B90A9A" w:rsidRPr="00B90A9A">
        <w:rPr>
          <w:rFonts w:asciiTheme="minorHAnsi" w:hAnsiTheme="minorHAnsi" w:cstheme="minorHAnsi"/>
          <w:sz w:val="22"/>
          <w:szCs w:val="22"/>
        </w:rPr>
        <w:t xml:space="preserve"> </w:t>
      </w:r>
      <w:r w:rsidR="00B90A9A" w:rsidRPr="00B90A9A">
        <w:rPr>
          <w:rFonts w:asciiTheme="minorHAnsi" w:hAnsiTheme="minorHAnsi" w:cstheme="minorHAnsi"/>
          <w:i/>
          <w:iCs/>
          <w:sz w:val="22"/>
          <w:szCs w:val="22"/>
        </w:rPr>
        <w:t>CIPD - People Analytics</w:t>
      </w:r>
      <w:r w:rsidR="00B90A9A" w:rsidRPr="00B90A9A">
        <w:rPr>
          <w:rFonts w:asciiTheme="minorHAnsi" w:hAnsiTheme="minorHAnsi" w:cstheme="minorHAnsi"/>
          <w:sz w:val="22"/>
          <w:szCs w:val="22"/>
        </w:rPr>
        <w:t>. [</w:t>
      </w:r>
      <w:proofErr w:type="gramStart"/>
      <w:r w:rsidR="00B90A9A" w:rsidRPr="00B90A9A">
        <w:rPr>
          <w:rFonts w:asciiTheme="minorHAnsi" w:hAnsiTheme="minorHAnsi" w:cstheme="minorHAnsi"/>
          <w:sz w:val="22"/>
          <w:szCs w:val="22"/>
        </w:rPr>
        <w:t>online</w:t>
      </w:r>
      <w:proofErr w:type="gramEnd"/>
      <w:r w:rsidR="00B90A9A" w:rsidRPr="00B90A9A">
        <w:rPr>
          <w:rFonts w:asciiTheme="minorHAnsi" w:hAnsiTheme="minorHAnsi" w:cstheme="minorHAnsi"/>
          <w:sz w:val="22"/>
          <w:szCs w:val="22"/>
        </w:rPr>
        <w:t>] www.cipd.org. Available at: https://www.cipd.org/uk/knowledge/factsheets/analytics-fa</w:t>
      </w:r>
      <w:r w:rsidR="00AC686C">
        <w:rPr>
          <w:rFonts w:asciiTheme="minorHAnsi" w:hAnsiTheme="minorHAnsi" w:cstheme="minorHAnsi"/>
          <w:sz w:val="22"/>
          <w:szCs w:val="22"/>
        </w:rPr>
        <w:t>ctsheet/ (Accessed 20 Nov. 2023)</w:t>
      </w:r>
      <w:r w:rsidR="00B90A9A" w:rsidRPr="00B90A9A">
        <w:rPr>
          <w:rFonts w:asciiTheme="minorHAnsi" w:hAnsiTheme="minorHAnsi" w:cstheme="minorHAnsi"/>
          <w:sz w:val="22"/>
          <w:szCs w:val="22"/>
        </w:rPr>
        <w:t>.</w:t>
      </w:r>
    </w:p>
    <w:p w:rsidR="00B90A9A" w:rsidRPr="00B90A9A" w:rsidRDefault="0046620D" w:rsidP="00B90A9A">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CIPD (2023a)</w:t>
      </w:r>
      <w:r w:rsidR="00B90A9A" w:rsidRPr="00B90A9A">
        <w:rPr>
          <w:rFonts w:asciiTheme="minorHAnsi" w:hAnsiTheme="minorHAnsi" w:cstheme="minorHAnsi"/>
          <w:sz w:val="22"/>
          <w:szCs w:val="22"/>
        </w:rPr>
        <w:t xml:space="preserve"> </w:t>
      </w:r>
      <w:r w:rsidR="00B90A9A" w:rsidRPr="00B90A9A">
        <w:rPr>
          <w:rFonts w:asciiTheme="minorHAnsi" w:hAnsiTheme="minorHAnsi" w:cstheme="minorHAnsi"/>
          <w:i/>
          <w:iCs/>
          <w:sz w:val="22"/>
          <w:szCs w:val="22"/>
        </w:rPr>
        <w:t>CIPD | Explore the Profession Map</w:t>
      </w:r>
      <w:r w:rsidR="00B90A9A" w:rsidRPr="00B90A9A">
        <w:rPr>
          <w:rFonts w:asciiTheme="minorHAnsi" w:hAnsiTheme="minorHAnsi" w:cstheme="minorHAnsi"/>
          <w:sz w:val="22"/>
          <w:szCs w:val="22"/>
        </w:rPr>
        <w:t>. [</w:t>
      </w:r>
      <w:proofErr w:type="gramStart"/>
      <w:r w:rsidR="00B90A9A" w:rsidRPr="00B90A9A">
        <w:rPr>
          <w:rFonts w:asciiTheme="minorHAnsi" w:hAnsiTheme="minorHAnsi" w:cstheme="minorHAnsi"/>
          <w:sz w:val="22"/>
          <w:szCs w:val="22"/>
        </w:rPr>
        <w:t>online</w:t>
      </w:r>
      <w:proofErr w:type="gramEnd"/>
      <w:r w:rsidR="00B90A9A" w:rsidRPr="00B90A9A">
        <w:rPr>
          <w:rFonts w:asciiTheme="minorHAnsi" w:hAnsiTheme="minorHAnsi" w:cstheme="minorHAnsi"/>
          <w:sz w:val="22"/>
          <w:szCs w:val="22"/>
        </w:rPr>
        <w:t>] CIPD. Available at: https://www.cipd.org/uk/the-people-profession/the-profession-map/explore-the-profess</w:t>
      </w:r>
      <w:r w:rsidR="00AC686C">
        <w:rPr>
          <w:rFonts w:asciiTheme="minorHAnsi" w:hAnsiTheme="minorHAnsi" w:cstheme="minorHAnsi"/>
          <w:sz w:val="22"/>
          <w:szCs w:val="22"/>
        </w:rPr>
        <w:t>ion-map/ (Accessed 20 Nov. 2023)</w:t>
      </w:r>
      <w:r w:rsidR="00B90A9A" w:rsidRPr="00B90A9A">
        <w:rPr>
          <w:rFonts w:asciiTheme="minorHAnsi" w:hAnsiTheme="minorHAnsi" w:cstheme="minorHAnsi"/>
          <w:sz w:val="22"/>
          <w:szCs w:val="22"/>
        </w:rPr>
        <w:t>.</w:t>
      </w:r>
    </w:p>
    <w:p w:rsidR="00B90A9A" w:rsidRPr="00B90A9A" w:rsidRDefault="0046620D" w:rsidP="00B90A9A">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CIPD (2023b)</w:t>
      </w:r>
      <w:r w:rsidR="00B90A9A" w:rsidRPr="00B90A9A">
        <w:rPr>
          <w:rFonts w:asciiTheme="minorHAnsi" w:hAnsiTheme="minorHAnsi" w:cstheme="minorHAnsi"/>
          <w:sz w:val="22"/>
          <w:szCs w:val="22"/>
        </w:rPr>
        <w:t xml:space="preserve"> </w:t>
      </w:r>
      <w:r w:rsidR="00B90A9A" w:rsidRPr="00B90A9A">
        <w:rPr>
          <w:rFonts w:asciiTheme="minorHAnsi" w:hAnsiTheme="minorHAnsi" w:cstheme="minorHAnsi"/>
          <w:i/>
          <w:iCs/>
          <w:sz w:val="22"/>
          <w:szCs w:val="22"/>
        </w:rPr>
        <w:t>CIPD | Gender pay gap reporting guide</w:t>
      </w:r>
      <w:r w:rsidR="00B90A9A" w:rsidRPr="00B90A9A">
        <w:rPr>
          <w:rFonts w:asciiTheme="minorHAnsi" w:hAnsiTheme="minorHAnsi" w:cstheme="minorHAnsi"/>
          <w:sz w:val="22"/>
          <w:szCs w:val="22"/>
        </w:rPr>
        <w:t>. [</w:t>
      </w:r>
      <w:proofErr w:type="gramStart"/>
      <w:r w:rsidR="00B90A9A" w:rsidRPr="00B90A9A">
        <w:rPr>
          <w:rFonts w:asciiTheme="minorHAnsi" w:hAnsiTheme="minorHAnsi" w:cstheme="minorHAnsi"/>
          <w:sz w:val="22"/>
          <w:szCs w:val="22"/>
        </w:rPr>
        <w:t>online</w:t>
      </w:r>
      <w:proofErr w:type="gramEnd"/>
      <w:r w:rsidR="00B90A9A" w:rsidRPr="00B90A9A">
        <w:rPr>
          <w:rFonts w:asciiTheme="minorHAnsi" w:hAnsiTheme="minorHAnsi" w:cstheme="minorHAnsi"/>
          <w:sz w:val="22"/>
          <w:szCs w:val="22"/>
        </w:rPr>
        <w:t>] CIPD. Available at: https://www.cipd.org/uk/knowledge/guides/gender</w:t>
      </w:r>
      <w:r w:rsidR="00AC686C">
        <w:rPr>
          <w:rFonts w:asciiTheme="minorHAnsi" w:hAnsiTheme="minorHAnsi" w:cstheme="minorHAnsi"/>
          <w:sz w:val="22"/>
          <w:szCs w:val="22"/>
        </w:rPr>
        <w:t>-pay-gap-reporting-guide?_gl=1 (Accessed 24 Nov. 2023)</w:t>
      </w:r>
      <w:r w:rsidR="00B90A9A" w:rsidRPr="00B90A9A">
        <w:rPr>
          <w:rFonts w:asciiTheme="minorHAnsi" w:hAnsiTheme="minorHAnsi" w:cstheme="minorHAnsi"/>
          <w:sz w:val="22"/>
          <w:szCs w:val="22"/>
        </w:rPr>
        <w:t>.</w:t>
      </w:r>
    </w:p>
    <w:p w:rsidR="00B90A9A" w:rsidRPr="00B90A9A" w:rsidRDefault="0046620D" w:rsidP="00B90A9A">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Diversity UK (2023)</w:t>
      </w:r>
      <w:r w:rsidR="00B90A9A" w:rsidRPr="00B90A9A">
        <w:rPr>
          <w:rFonts w:asciiTheme="minorHAnsi" w:hAnsiTheme="minorHAnsi" w:cstheme="minorHAnsi"/>
          <w:sz w:val="22"/>
          <w:szCs w:val="22"/>
        </w:rPr>
        <w:t xml:space="preserve"> </w:t>
      </w:r>
      <w:r w:rsidR="00B90A9A" w:rsidRPr="00B90A9A">
        <w:rPr>
          <w:rFonts w:asciiTheme="minorHAnsi" w:hAnsiTheme="minorHAnsi" w:cstheme="minorHAnsi"/>
          <w:i/>
          <w:iCs/>
          <w:sz w:val="22"/>
          <w:szCs w:val="22"/>
        </w:rPr>
        <w:t xml:space="preserve">Census 2021 data reveals ethnic </w:t>
      </w:r>
      <w:proofErr w:type="spellStart"/>
      <w:r w:rsidR="00B90A9A" w:rsidRPr="00B90A9A">
        <w:rPr>
          <w:rFonts w:asciiTheme="minorHAnsi" w:hAnsiTheme="minorHAnsi" w:cstheme="minorHAnsi"/>
          <w:i/>
          <w:iCs/>
          <w:sz w:val="22"/>
          <w:szCs w:val="22"/>
        </w:rPr>
        <w:t>make up</w:t>
      </w:r>
      <w:proofErr w:type="spellEnd"/>
      <w:r w:rsidR="00B90A9A" w:rsidRPr="00B90A9A">
        <w:rPr>
          <w:rFonts w:asciiTheme="minorHAnsi" w:hAnsiTheme="minorHAnsi" w:cstheme="minorHAnsi"/>
          <w:i/>
          <w:iCs/>
          <w:sz w:val="22"/>
          <w:szCs w:val="22"/>
        </w:rPr>
        <w:t xml:space="preserve"> of UK population</w:t>
      </w:r>
      <w:r w:rsidR="00B90A9A" w:rsidRPr="00B90A9A">
        <w:rPr>
          <w:rFonts w:asciiTheme="minorHAnsi" w:hAnsiTheme="minorHAnsi" w:cstheme="minorHAnsi"/>
          <w:sz w:val="22"/>
          <w:szCs w:val="22"/>
        </w:rPr>
        <w:t>. [</w:t>
      </w:r>
      <w:proofErr w:type="gramStart"/>
      <w:r w:rsidR="00B90A9A" w:rsidRPr="00B90A9A">
        <w:rPr>
          <w:rFonts w:asciiTheme="minorHAnsi" w:hAnsiTheme="minorHAnsi" w:cstheme="minorHAnsi"/>
          <w:sz w:val="22"/>
          <w:szCs w:val="22"/>
        </w:rPr>
        <w:t>online</w:t>
      </w:r>
      <w:proofErr w:type="gramEnd"/>
      <w:r w:rsidR="00B90A9A" w:rsidRPr="00B90A9A">
        <w:rPr>
          <w:rFonts w:asciiTheme="minorHAnsi" w:hAnsiTheme="minorHAnsi" w:cstheme="minorHAnsi"/>
          <w:sz w:val="22"/>
          <w:szCs w:val="22"/>
        </w:rPr>
        <w:t>] Diversity UK. Available at: https://diversityuk.org/census-2021-data-reveals-ethnic-make-up-of-uk-population/#:~:text=Accord</w:t>
      </w:r>
      <w:r w:rsidR="00AC686C">
        <w:rPr>
          <w:rFonts w:asciiTheme="minorHAnsi" w:hAnsiTheme="minorHAnsi" w:cstheme="minorHAnsi"/>
          <w:sz w:val="22"/>
          <w:szCs w:val="22"/>
        </w:rPr>
        <w:t>ing%20to%20the%202021%20Census (Accessed 21 Nov. 2023)</w:t>
      </w:r>
      <w:r w:rsidR="00B90A9A" w:rsidRPr="00B90A9A">
        <w:rPr>
          <w:rFonts w:asciiTheme="minorHAnsi" w:hAnsiTheme="minorHAnsi" w:cstheme="minorHAnsi"/>
          <w:sz w:val="22"/>
          <w:szCs w:val="22"/>
        </w:rPr>
        <w:t>.</w:t>
      </w:r>
    </w:p>
    <w:p w:rsidR="00B90A9A" w:rsidRPr="00B90A9A" w:rsidRDefault="00B90A9A" w:rsidP="00B90A9A">
      <w:pPr>
        <w:pStyle w:val="NormalWeb"/>
        <w:spacing w:before="0" w:beforeAutospacing="0" w:after="240" w:afterAutospacing="0" w:line="360" w:lineRule="auto"/>
        <w:rPr>
          <w:rFonts w:asciiTheme="minorHAnsi" w:hAnsiTheme="minorHAnsi" w:cstheme="minorHAnsi"/>
          <w:sz w:val="22"/>
          <w:szCs w:val="22"/>
        </w:rPr>
      </w:pPr>
      <w:r w:rsidRPr="00B90A9A">
        <w:rPr>
          <w:rFonts w:asciiTheme="minorHAnsi" w:hAnsiTheme="minorHAnsi" w:cstheme="minorHAnsi"/>
          <w:sz w:val="22"/>
          <w:szCs w:val="22"/>
        </w:rPr>
        <w:t xml:space="preserve">Harvey, V. (2020) </w:t>
      </w:r>
      <w:r w:rsidRPr="00B90A9A">
        <w:rPr>
          <w:rFonts w:asciiTheme="minorHAnsi" w:hAnsiTheme="minorHAnsi" w:cstheme="minorHAnsi"/>
          <w:i/>
          <w:iCs/>
          <w:sz w:val="22"/>
          <w:szCs w:val="22"/>
        </w:rPr>
        <w:t>How to recruit inclusively</w:t>
      </w:r>
      <w:r w:rsidRPr="00B90A9A">
        <w:rPr>
          <w:rFonts w:asciiTheme="minorHAnsi" w:hAnsiTheme="minorHAnsi" w:cstheme="minorHAnsi"/>
          <w:sz w:val="22"/>
          <w:szCs w:val="22"/>
        </w:rPr>
        <w:t>. [</w:t>
      </w:r>
      <w:proofErr w:type="gramStart"/>
      <w:r w:rsidRPr="00B90A9A">
        <w:rPr>
          <w:rFonts w:asciiTheme="minorHAnsi" w:hAnsiTheme="minorHAnsi" w:cstheme="minorHAnsi"/>
          <w:sz w:val="22"/>
          <w:szCs w:val="22"/>
        </w:rPr>
        <w:t>online</w:t>
      </w:r>
      <w:proofErr w:type="gramEnd"/>
      <w:r w:rsidRPr="00B90A9A">
        <w:rPr>
          <w:rFonts w:asciiTheme="minorHAnsi" w:hAnsiTheme="minorHAnsi" w:cstheme="minorHAnsi"/>
          <w:sz w:val="22"/>
          <w:szCs w:val="22"/>
        </w:rPr>
        <w:t>] www.peoplemanagement.co.uk. Available at: https://www.peoplemanagement.co.uk/article/1744009/how-to-recruit-inclusively.</w:t>
      </w:r>
      <w:r w:rsidR="00AC686C">
        <w:rPr>
          <w:rFonts w:asciiTheme="minorHAnsi" w:hAnsiTheme="minorHAnsi" w:cstheme="minorHAnsi"/>
          <w:sz w:val="22"/>
          <w:szCs w:val="22"/>
        </w:rPr>
        <w:t xml:space="preserve"> (Accessed 21 Nov. 2023)</w:t>
      </w:r>
    </w:p>
    <w:p w:rsidR="00B90A9A" w:rsidRPr="00B90A9A" w:rsidRDefault="00B90A9A" w:rsidP="00B90A9A">
      <w:pPr>
        <w:pStyle w:val="NormalWeb"/>
        <w:spacing w:before="0" w:beforeAutospacing="0" w:after="240" w:afterAutospacing="0" w:line="360" w:lineRule="auto"/>
        <w:rPr>
          <w:rFonts w:asciiTheme="minorHAnsi" w:hAnsiTheme="minorHAnsi" w:cstheme="minorHAnsi"/>
          <w:sz w:val="22"/>
          <w:szCs w:val="22"/>
        </w:rPr>
      </w:pPr>
      <w:proofErr w:type="spellStart"/>
      <w:r w:rsidRPr="00B90A9A">
        <w:rPr>
          <w:rFonts w:asciiTheme="minorHAnsi" w:hAnsiTheme="minorHAnsi" w:cstheme="minorHAnsi"/>
          <w:sz w:val="22"/>
          <w:szCs w:val="22"/>
        </w:rPr>
        <w:t>Woodh</w:t>
      </w:r>
      <w:r w:rsidR="0046620D">
        <w:rPr>
          <w:rFonts w:asciiTheme="minorHAnsi" w:hAnsiTheme="minorHAnsi" w:cstheme="minorHAnsi"/>
          <w:sz w:val="22"/>
          <w:szCs w:val="22"/>
        </w:rPr>
        <w:t>ams</w:t>
      </w:r>
      <w:proofErr w:type="spellEnd"/>
      <w:r w:rsidR="0046620D">
        <w:rPr>
          <w:rFonts w:asciiTheme="minorHAnsi" w:hAnsiTheme="minorHAnsi" w:cstheme="minorHAnsi"/>
          <w:sz w:val="22"/>
          <w:szCs w:val="22"/>
        </w:rPr>
        <w:t>, S. and Taylor, C. (2022)</w:t>
      </w:r>
      <w:r w:rsidRPr="00B90A9A">
        <w:rPr>
          <w:rFonts w:asciiTheme="minorHAnsi" w:hAnsiTheme="minorHAnsi" w:cstheme="minorHAnsi"/>
          <w:sz w:val="22"/>
          <w:szCs w:val="22"/>
        </w:rPr>
        <w:t xml:space="preserve"> </w:t>
      </w:r>
      <w:r w:rsidRPr="00B90A9A">
        <w:rPr>
          <w:rFonts w:asciiTheme="minorHAnsi" w:hAnsiTheme="minorHAnsi" w:cstheme="minorHAnsi"/>
          <w:i/>
          <w:iCs/>
          <w:sz w:val="22"/>
          <w:szCs w:val="22"/>
        </w:rPr>
        <w:t>STUDYING HUMAN RESOURCE MANAGEMENT a guide to the study, context and practice of hr</w:t>
      </w:r>
      <w:r w:rsidRPr="00B90A9A">
        <w:rPr>
          <w:rFonts w:asciiTheme="minorHAnsi" w:hAnsiTheme="minorHAnsi" w:cstheme="minorHAnsi"/>
          <w:sz w:val="22"/>
          <w:szCs w:val="22"/>
        </w:rPr>
        <w:t>. 3rd ed. [</w:t>
      </w:r>
      <w:proofErr w:type="spellStart"/>
      <w:r w:rsidRPr="00B90A9A">
        <w:rPr>
          <w:rFonts w:asciiTheme="minorHAnsi" w:hAnsiTheme="minorHAnsi" w:cstheme="minorHAnsi"/>
          <w:sz w:val="22"/>
          <w:szCs w:val="22"/>
        </w:rPr>
        <w:t>S.l.</w:t>
      </w:r>
      <w:proofErr w:type="spellEnd"/>
      <w:r w:rsidRPr="00B90A9A">
        <w:rPr>
          <w:rFonts w:asciiTheme="minorHAnsi" w:hAnsiTheme="minorHAnsi" w:cstheme="minorHAnsi"/>
          <w:sz w:val="22"/>
          <w:szCs w:val="22"/>
        </w:rPr>
        <w:t>]: KOGAN PAGE.</w:t>
      </w:r>
    </w:p>
    <w:p w:rsidR="00B90A9A" w:rsidRPr="0060733E" w:rsidRDefault="00B90A9A" w:rsidP="00B063ED">
      <w:pPr>
        <w:widowControl w:val="0"/>
        <w:jc w:val="both"/>
      </w:pPr>
      <w:bookmarkStart w:id="0" w:name="_GoBack"/>
      <w:bookmarkEnd w:id="0"/>
    </w:p>
    <w:sectPr w:rsidR="00B90A9A" w:rsidRPr="0060733E">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189E" w:rsidRDefault="00B3189E" w:rsidP="00083725">
      <w:pPr>
        <w:spacing w:after="0" w:line="240" w:lineRule="auto"/>
      </w:pPr>
      <w:r>
        <w:separator/>
      </w:r>
    </w:p>
  </w:endnote>
  <w:endnote w:type="continuationSeparator" w:id="0">
    <w:p w:rsidR="00B3189E" w:rsidRDefault="00B3189E"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189E" w:rsidRDefault="00B3189E" w:rsidP="00083725">
      <w:pPr>
        <w:spacing w:after="0" w:line="240" w:lineRule="auto"/>
      </w:pPr>
      <w:r>
        <w:separator/>
      </w:r>
    </w:p>
  </w:footnote>
  <w:footnote w:type="continuationSeparator" w:id="0">
    <w:p w:rsidR="00B3189E" w:rsidRDefault="00B3189E"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3725" w:rsidRDefault="00083725">
    <w:pPr>
      <w:pStyle w:val="Header"/>
    </w:pPr>
    <w:r>
      <w:t>Laura Parry</w:t>
    </w:r>
    <w:r>
      <w:ptab w:relativeTo="margin" w:alignment="center" w:leader="none"/>
    </w:r>
    <w:r>
      <w:t xml:space="preserve">CIPD </w:t>
    </w:r>
    <w:r w:rsidR="009D0B81">
      <w:t>Evidence Based Practice</w:t>
    </w:r>
    <w:r>
      <w:t xml:space="preserv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2615E"/>
    <w:multiLevelType w:val="hybridMultilevel"/>
    <w:tmpl w:val="273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1A22F3"/>
    <w:multiLevelType w:val="hybridMultilevel"/>
    <w:tmpl w:val="056A0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844D1"/>
    <w:multiLevelType w:val="hybridMultilevel"/>
    <w:tmpl w:val="931E9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9F4614"/>
    <w:multiLevelType w:val="hybridMultilevel"/>
    <w:tmpl w:val="5D88C1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950656E"/>
    <w:multiLevelType w:val="hybridMultilevel"/>
    <w:tmpl w:val="104806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2416CD5"/>
    <w:multiLevelType w:val="hybridMultilevel"/>
    <w:tmpl w:val="55A6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25317E"/>
    <w:multiLevelType w:val="hybridMultilevel"/>
    <w:tmpl w:val="D24C41E6"/>
    <w:lvl w:ilvl="0" w:tplc="58FC34B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411EEA"/>
    <w:multiLevelType w:val="hybridMultilevel"/>
    <w:tmpl w:val="6EEE2A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D9460BC"/>
    <w:multiLevelType w:val="hybridMultilevel"/>
    <w:tmpl w:val="32847028"/>
    <w:lvl w:ilvl="0" w:tplc="490E18B2">
      <w:start w:val="1"/>
      <w:numFmt w:val="decimal"/>
      <w:lvlText w:val="%1)"/>
      <w:lvlJc w:val="left"/>
      <w:pPr>
        <w:ind w:left="786" w:hanging="360"/>
      </w:pPr>
      <w:rPr>
        <w:rFonts w:asciiTheme="minorHAnsi" w:hAnsiTheme="minorHAnsi" w:cs="Arial" w:hint="default"/>
        <w:color w:val="auto"/>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D9F24E7"/>
    <w:multiLevelType w:val="hybridMultilevel"/>
    <w:tmpl w:val="E098D8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23E58C7"/>
    <w:multiLevelType w:val="hybridMultilevel"/>
    <w:tmpl w:val="2FCABBE0"/>
    <w:lvl w:ilvl="0" w:tplc="0224A21E">
      <w:start w:val="1"/>
      <w:numFmt w:val="bullet"/>
      <w:lvlText w:val="•"/>
      <w:lvlJc w:val="left"/>
      <w:pPr>
        <w:tabs>
          <w:tab w:val="num" w:pos="720"/>
        </w:tabs>
        <w:ind w:left="720" w:hanging="360"/>
      </w:pPr>
      <w:rPr>
        <w:rFonts w:ascii="Arial" w:hAnsi="Arial" w:hint="default"/>
      </w:rPr>
    </w:lvl>
    <w:lvl w:ilvl="1" w:tplc="D18A3BCC" w:tentative="1">
      <w:start w:val="1"/>
      <w:numFmt w:val="bullet"/>
      <w:lvlText w:val="•"/>
      <w:lvlJc w:val="left"/>
      <w:pPr>
        <w:tabs>
          <w:tab w:val="num" w:pos="1440"/>
        </w:tabs>
        <w:ind w:left="1440" w:hanging="360"/>
      </w:pPr>
      <w:rPr>
        <w:rFonts w:ascii="Arial" w:hAnsi="Arial" w:hint="default"/>
      </w:rPr>
    </w:lvl>
    <w:lvl w:ilvl="2" w:tplc="80BAD966" w:tentative="1">
      <w:start w:val="1"/>
      <w:numFmt w:val="bullet"/>
      <w:lvlText w:val="•"/>
      <w:lvlJc w:val="left"/>
      <w:pPr>
        <w:tabs>
          <w:tab w:val="num" w:pos="2160"/>
        </w:tabs>
        <w:ind w:left="2160" w:hanging="360"/>
      </w:pPr>
      <w:rPr>
        <w:rFonts w:ascii="Arial" w:hAnsi="Arial" w:hint="default"/>
      </w:rPr>
    </w:lvl>
    <w:lvl w:ilvl="3" w:tplc="CEC4DAA2" w:tentative="1">
      <w:start w:val="1"/>
      <w:numFmt w:val="bullet"/>
      <w:lvlText w:val="•"/>
      <w:lvlJc w:val="left"/>
      <w:pPr>
        <w:tabs>
          <w:tab w:val="num" w:pos="2880"/>
        </w:tabs>
        <w:ind w:left="2880" w:hanging="360"/>
      </w:pPr>
      <w:rPr>
        <w:rFonts w:ascii="Arial" w:hAnsi="Arial" w:hint="default"/>
      </w:rPr>
    </w:lvl>
    <w:lvl w:ilvl="4" w:tplc="0C02E570" w:tentative="1">
      <w:start w:val="1"/>
      <w:numFmt w:val="bullet"/>
      <w:lvlText w:val="•"/>
      <w:lvlJc w:val="left"/>
      <w:pPr>
        <w:tabs>
          <w:tab w:val="num" w:pos="3600"/>
        </w:tabs>
        <w:ind w:left="3600" w:hanging="360"/>
      </w:pPr>
      <w:rPr>
        <w:rFonts w:ascii="Arial" w:hAnsi="Arial" w:hint="default"/>
      </w:rPr>
    </w:lvl>
    <w:lvl w:ilvl="5" w:tplc="B6C4F726" w:tentative="1">
      <w:start w:val="1"/>
      <w:numFmt w:val="bullet"/>
      <w:lvlText w:val="•"/>
      <w:lvlJc w:val="left"/>
      <w:pPr>
        <w:tabs>
          <w:tab w:val="num" w:pos="4320"/>
        </w:tabs>
        <w:ind w:left="4320" w:hanging="360"/>
      </w:pPr>
      <w:rPr>
        <w:rFonts w:ascii="Arial" w:hAnsi="Arial" w:hint="default"/>
      </w:rPr>
    </w:lvl>
    <w:lvl w:ilvl="6" w:tplc="FE48940A" w:tentative="1">
      <w:start w:val="1"/>
      <w:numFmt w:val="bullet"/>
      <w:lvlText w:val="•"/>
      <w:lvlJc w:val="left"/>
      <w:pPr>
        <w:tabs>
          <w:tab w:val="num" w:pos="5040"/>
        </w:tabs>
        <w:ind w:left="5040" w:hanging="360"/>
      </w:pPr>
      <w:rPr>
        <w:rFonts w:ascii="Arial" w:hAnsi="Arial" w:hint="default"/>
      </w:rPr>
    </w:lvl>
    <w:lvl w:ilvl="7" w:tplc="D96ED004" w:tentative="1">
      <w:start w:val="1"/>
      <w:numFmt w:val="bullet"/>
      <w:lvlText w:val="•"/>
      <w:lvlJc w:val="left"/>
      <w:pPr>
        <w:tabs>
          <w:tab w:val="num" w:pos="5760"/>
        </w:tabs>
        <w:ind w:left="5760" w:hanging="360"/>
      </w:pPr>
      <w:rPr>
        <w:rFonts w:ascii="Arial" w:hAnsi="Arial" w:hint="default"/>
      </w:rPr>
    </w:lvl>
    <w:lvl w:ilvl="8" w:tplc="BFD4E2B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3CF6491"/>
    <w:multiLevelType w:val="hybridMultilevel"/>
    <w:tmpl w:val="C96A6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E6930"/>
    <w:multiLevelType w:val="hybridMultilevel"/>
    <w:tmpl w:val="4F32901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3" w15:restartNumberingAfterBreak="0">
    <w:nsid w:val="283B0F58"/>
    <w:multiLevelType w:val="hybridMultilevel"/>
    <w:tmpl w:val="9B3E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2F17BF"/>
    <w:multiLevelType w:val="hybridMultilevel"/>
    <w:tmpl w:val="6B007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CBE2D3C"/>
    <w:multiLevelType w:val="hybridMultilevel"/>
    <w:tmpl w:val="431628A4"/>
    <w:lvl w:ilvl="0" w:tplc="08090001">
      <w:start w:val="1"/>
      <w:numFmt w:val="bullet"/>
      <w:lvlText w:val=""/>
      <w:lvlJc w:val="left"/>
      <w:pPr>
        <w:ind w:left="1072" w:hanging="360"/>
      </w:pPr>
      <w:rPr>
        <w:rFonts w:ascii="Symbol" w:hAnsi="Symbol"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7" w15:restartNumberingAfterBreak="0">
    <w:nsid w:val="2EF40E1E"/>
    <w:multiLevelType w:val="hybridMultilevel"/>
    <w:tmpl w:val="AD623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06F58A1"/>
    <w:multiLevelType w:val="hybridMultilevel"/>
    <w:tmpl w:val="A050A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510C46"/>
    <w:multiLevelType w:val="hybridMultilevel"/>
    <w:tmpl w:val="C82E46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E865E8"/>
    <w:multiLevelType w:val="hybridMultilevel"/>
    <w:tmpl w:val="D96A5A50"/>
    <w:lvl w:ilvl="0" w:tplc="FDA8A3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92B62F7"/>
    <w:multiLevelType w:val="hybridMultilevel"/>
    <w:tmpl w:val="C4C0B2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2910113"/>
    <w:multiLevelType w:val="hybridMultilevel"/>
    <w:tmpl w:val="B9A0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267257"/>
    <w:multiLevelType w:val="hybridMultilevel"/>
    <w:tmpl w:val="89C60A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E52529F"/>
    <w:multiLevelType w:val="hybridMultilevel"/>
    <w:tmpl w:val="E662F0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4EFA15CF"/>
    <w:multiLevelType w:val="hybridMultilevel"/>
    <w:tmpl w:val="922E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156D76"/>
    <w:multiLevelType w:val="multilevel"/>
    <w:tmpl w:val="0DFC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52D5657"/>
    <w:multiLevelType w:val="hybridMultilevel"/>
    <w:tmpl w:val="2BD4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A8478C"/>
    <w:multiLevelType w:val="hybridMultilevel"/>
    <w:tmpl w:val="37EE05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89D51F6"/>
    <w:multiLevelType w:val="hybridMultilevel"/>
    <w:tmpl w:val="B99E60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A55E13"/>
    <w:multiLevelType w:val="hybridMultilevel"/>
    <w:tmpl w:val="A8D6A8F8"/>
    <w:lvl w:ilvl="0" w:tplc="0809000F">
      <w:start w:val="1"/>
      <w:numFmt w:val="decimal"/>
      <w:lvlText w:val="%1."/>
      <w:lvlJc w:val="left"/>
      <w:pPr>
        <w:ind w:left="1536" w:hanging="360"/>
      </w:pPr>
    </w:lvl>
    <w:lvl w:ilvl="1" w:tplc="08090019" w:tentative="1">
      <w:start w:val="1"/>
      <w:numFmt w:val="lowerLetter"/>
      <w:lvlText w:val="%2."/>
      <w:lvlJc w:val="left"/>
      <w:pPr>
        <w:ind w:left="2256" w:hanging="360"/>
      </w:pPr>
    </w:lvl>
    <w:lvl w:ilvl="2" w:tplc="0809001B" w:tentative="1">
      <w:start w:val="1"/>
      <w:numFmt w:val="lowerRoman"/>
      <w:lvlText w:val="%3."/>
      <w:lvlJc w:val="right"/>
      <w:pPr>
        <w:ind w:left="2976" w:hanging="180"/>
      </w:pPr>
    </w:lvl>
    <w:lvl w:ilvl="3" w:tplc="0809000F" w:tentative="1">
      <w:start w:val="1"/>
      <w:numFmt w:val="decimal"/>
      <w:lvlText w:val="%4."/>
      <w:lvlJc w:val="left"/>
      <w:pPr>
        <w:ind w:left="3696" w:hanging="360"/>
      </w:pPr>
    </w:lvl>
    <w:lvl w:ilvl="4" w:tplc="08090019" w:tentative="1">
      <w:start w:val="1"/>
      <w:numFmt w:val="lowerLetter"/>
      <w:lvlText w:val="%5."/>
      <w:lvlJc w:val="left"/>
      <w:pPr>
        <w:ind w:left="4416" w:hanging="360"/>
      </w:pPr>
    </w:lvl>
    <w:lvl w:ilvl="5" w:tplc="0809001B" w:tentative="1">
      <w:start w:val="1"/>
      <w:numFmt w:val="lowerRoman"/>
      <w:lvlText w:val="%6."/>
      <w:lvlJc w:val="right"/>
      <w:pPr>
        <w:ind w:left="5136" w:hanging="180"/>
      </w:pPr>
    </w:lvl>
    <w:lvl w:ilvl="6" w:tplc="0809000F" w:tentative="1">
      <w:start w:val="1"/>
      <w:numFmt w:val="decimal"/>
      <w:lvlText w:val="%7."/>
      <w:lvlJc w:val="left"/>
      <w:pPr>
        <w:ind w:left="5856" w:hanging="360"/>
      </w:pPr>
    </w:lvl>
    <w:lvl w:ilvl="7" w:tplc="08090019" w:tentative="1">
      <w:start w:val="1"/>
      <w:numFmt w:val="lowerLetter"/>
      <w:lvlText w:val="%8."/>
      <w:lvlJc w:val="left"/>
      <w:pPr>
        <w:ind w:left="6576" w:hanging="360"/>
      </w:pPr>
    </w:lvl>
    <w:lvl w:ilvl="8" w:tplc="0809001B" w:tentative="1">
      <w:start w:val="1"/>
      <w:numFmt w:val="lowerRoman"/>
      <w:lvlText w:val="%9."/>
      <w:lvlJc w:val="right"/>
      <w:pPr>
        <w:ind w:left="7296" w:hanging="180"/>
      </w:pPr>
    </w:lvl>
  </w:abstractNum>
  <w:abstractNum w:abstractNumId="32" w15:restartNumberingAfterBreak="0">
    <w:nsid w:val="59DA3DB0"/>
    <w:multiLevelType w:val="hybridMultilevel"/>
    <w:tmpl w:val="62DE389E"/>
    <w:lvl w:ilvl="0" w:tplc="CBAC04B8">
      <w:start w:val="1"/>
      <w:numFmt w:val="lowerLetter"/>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343B3D"/>
    <w:multiLevelType w:val="hybridMultilevel"/>
    <w:tmpl w:val="A3789C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5A8017CE"/>
    <w:multiLevelType w:val="hybridMultilevel"/>
    <w:tmpl w:val="CA50EB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2757DC0"/>
    <w:multiLevelType w:val="hybridMultilevel"/>
    <w:tmpl w:val="FB48870A"/>
    <w:lvl w:ilvl="0" w:tplc="A07E7E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7405931"/>
    <w:multiLevelType w:val="hybridMultilevel"/>
    <w:tmpl w:val="A652420C"/>
    <w:lvl w:ilvl="0" w:tplc="62CCA3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044974"/>
    <w:multiLevelType w:val="hybridMultilevel"/>
    <w:tmpl w:val="5F6656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CCD3E22"/>
    <w:multiLevelType w:val="hybridMultilevel"/>
    <w:tmpl w:val="E2C6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085E46"/>
    <w:multiLevelType w:val="hybridMultilevel"/>
    <w:tmpl w:val="C7B86C6C"/>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E5113C"/>
    <w:multiLevelType w:val="hybridMultilevel"/>
    <w:tmpl w:val="D7046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7C1020"/>
    <w:multiLevelType w:val="hybridMultilevel"/>
    <w:tmpl w:val="7980C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40"/>
  </w:num>
  <w:num w:numId="3">
    <w:abstractNumId w:val="37"/>
  </w:num>
  <w:num w:numId="4">
    <w:abstractNumId w:val="42"/>
  </w:num>
  <w:num w:numId="5">
    <w:abstractNumId w:val="30"/>
  </w:num>
  <w:num w:numId="6">
    <w:abstractNumId w:val="10"/>
  </w:num>
  <w:num w:numId="7">
    <w:abstractNumId w:val="1"/>
  </w:num>
  <w:num w:numId="8">
    <w:abstractNumId w:val="35"/>
  </w:num>
  <w:num w:numId="9">
    <w:abstractNumId w:val="6"/>
  </w:num>
  <w:num w:numId="10">
    <w:abstractNumId w:val="8"/>
  </w:num>
  <w:num w:numId="11">
    <w:abstractNumId w:val="43"/>
  </w:num>
  <w:num w:numId="12">
    <w:abstractNumId w:val="0"/>
  </w:num>
  <w:num w:numId="13">
    <w:abstractNumId w:val="12"/>
  </w:num>
  <w:num w:numId="14">
    <w:abstractNumId w:val="5"/>
  </w:num>
  <w:num w:numId="15">
    <w:abstractNumId w:val="27"/>
  </w:num>
  <w:num w:numId="16">
    <w:abstractNumId w:val="14"/>
  </w:num>
  <w:num w:numId="17">
    <w:abstractNumId w:val="20"/>
  </w:num>
  <w:num w:numId="18">
    <w:abstractNumId w:val="4"/>
  </w:num>
  <w:num w:numId="19">
    <w:abstractNumId w:val="25"/>
  </w:num>
  <w:num w:numId="20">
    <w:abstractNumId w:val="26"/>
  </w:num>
  <w:num w:numId="21">
    <w:abstractNumId w:val="28"/>
  </w:num>
  <w:num w:numId="22">
    <w:abstractNumId w:val="24"/>
  </w:num>
  <w:num w:numId="23">
    <w:abstractNumId w:val="13"/>
  </w:num>
  <w:num w:numId="24">
    <w:abstractNumId w:val="36"/>
  </w:num>
  <w:num w:numId="25">
    <w:abstractNumId w:val="22"/>
  </w:num>
  <w:num w:numId="26">
    <w:abstractNumId w:val="39"/>
  </w:num>
  <w:num w:numId="27">
    <w:abstractNumId w:val="11"/>
  </w:num>
  <w:num w:numId="28">
    <w:abstractNumId w:val="15"/>
  </w:num>
  <w:num w:numId="29">
    <w:abstractNumId w:val="41"/>
  </w:num>
  <w:num w:numId="30">
    <w:abstractNumId w:val="16"/>
  </w:num>
  <w:num w:numId="31">
    <w:abstractNumId w:val="2"/>
  </w:num>
  <w:num w:numId="32">
    <w:abstractNumId w:val="7"/>
  </w:num>
  <w:num w:numId="33">
    <w:abstractNumId w:val="17"/>
  </w:num>
  <w:num w:numId="34">
    <w:abstractNumId w:val="29"/>
  </w:num>
  <w:num w:numId="35">
    <w:abstractNumId w:val="38"/>
  </w:num>
  <w:num w:numId="36">
    <w:abstractNumId w:val="33"/>
  </w:num>
  <w:num w:numId="37">
    <w:abstractNumId w:val="21"/>
  </w:num>
  <w:num w:numId="38">
    <w:abstractNumId w:val="9"/>
  </w:num>
  <w:num w:numId="39">
    <w:abstractNumId w:val="31"/>
  </w:num>
  <w:num w:numId="40">
    <w:abstractNumId w:val="18"/>
  </w:num>
  <w:num w:numId="41">
    <w:abstractNumId w:val="44"/>
  </w:num>
  <w:num w:numId="42">
    <w:abstractNumId w:val="19"/>
  </w:num>
  <w:num w:numId="43">
    <w:abstractNumId w:val="32"/>
  </w:num>
  <w:num w:numId="44">
    <w:abstractNumId w:val="34"/>
  </w:num>
  <w:num w:numId="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267"/>
    <w:rsid w:val="00007CA2"/>
    <w:rsid w:val="000159D5"/>
    <w:rsid w:val="000177C6"/>
    <w:rsid w:val="00046F74"/>
    <w:rsid w:val="00061A40"/>
    <w:rsid w:val="0008091C"/>
    <w:rsid w:val="0008349F"/>
    <w:rsid w:val="00083725"/>
    <w:rsid w:val="000850B3"/>
    <w:rsid w:val="000A7402"/>
    <w:rsid w:val="000B24F9"/>
    <w:rsid w:val="000C2EFE"/>
    <w:rsid w:val="000C63A8"/>
    <w:rsid w:val="000D05CB"/>
    <w:rsid w:val="000D6F05"/>
    <w:rsid w:val="000F1A16"/>
    <w:rsid w:val="000F2A7B"/>
    <w:rsid w:val="000F3653"/>
    <w:rsid w:val="00107423"/>
    <w:rsid w:val="0011608A"/>
    <w:rsid w:val="00131676"/>
    <w:rsid w:val="00133BDC"/>
    <w:rsid w:val="00153BDD"/>
    <w:rsid w:val="0015477B"/>
    <w:rsid w:val="0015606B"/>
    <w:rsid w:val="00160AFF"/>
    <w:rsid w:val="00161123"/>
    <w:rsid w:val="00175358"/>
    <w:rsid w:val="001753FB"/>
    <w:rsid w:val="00176FC4"/>
    <w:rsid w:val="0017784B"/>
    <w:rsid w:val="00181FDE"/>
    <w:rsid w:val="001829CD"/>
    <w:rsid w:val="001A1636"/>
    <w:rsid w:val="001A1746"/>
    <w:rsid w:val="001A622F"/>
    <w:rsid w:val="001B4947"/>
    <w:rsid w:val="001C1F91"/>
    <w:rsid w:val="001D6CE8"/>
    <w:rsid w:val="001E30E9"/>
    <w:rsid w:val="001E63D1"/>
    <w:rsid w:val="001F1F0F"/>
    <w:rsid w:val="001F788F"/>
    <w:rsid w:val="002053B1"/>
    <w:rsid w:val="00211A37"/>
    <w:rsid w:val="002135B2"/>
    <w:rsid w:val="002210C8"/>
    <w:rsid w:val="00232EAB"/>
    <w:rsid w:val="0023362F"/>
    <w:rsid w:val="00233751"/>
    <w:rsid w:val="0024007C"/>
    <w:rsid w:val="00257524"/>
    <w:rsid w:val="0026656D"/>
    <w:rsid w:val="002676CC"/>
    <w:rsid w:val="00271DEE"/>
    <w:rsid w:val="00284987"/>
    <w:rsid w:val="00290B2F"/>
    <w:rsid w:val="0029135E"/>
    <w:rsid w:val="002937B2"/>
    <w:rsid w:val="00293DE1"/>
    <w:rsid w:val="002A59BC"/>
    <w:rsid w:val="002B16A1"/>
    <w:rsid w:val="002B52E5"/>
    <w:rsid w:val="002B6364"/>
    <w:rsid w:val="002C3577"/>
    <w:rsid w:val="002C6DEC"/>
    <w:rsid w:val="002D222F"/>
    <w:rsid w:val="002D3CEF"/>
    <w:rsid w:val="002E415B"/>
    <w:rsid w:val="002E7529"/>
    <w:rsid w:val="002F0E57"/>
    <w:rsid w:val="002F35F5"/>
    <w:rsid w:val="00305484"/>
    <w:rsid w:val="00305515"/>
    <w:rsid w:val="0031073F"/>
    <w:rsid w:val="00311CD7"/>
    <w:rsid w:val="003231DE"/>
    <w:rsid w:val="003279BB"/>
    <w:rsid w:val="00337A12"/>
    <w:rsid w:val="00341BF0"/>
    <w:rsid w:val="003527D0"/>
    <w:rsid w:val="003530B3"/>
    <w:rsid w:val="003648A2"/>
    <w:rsid w:val="00371786"/>
    <w:rsid w:val="00374A8C"/>
    <w:rsid w:val="0037745E"/>
    <w:rsid w:val="00386056"/>
    <w:rsid w:val="00387834"/>
    <w:rsid w:val="00393848"/>
    <w:rsid w:val="003947B0"/>
    <w:rsid w:val="003956F5"/>
    <w:rsid w:val="00397A92"/>
    <w:rsid w:val="003A76F3"/>
    <w:rsid w:val="003B1E3F"/>
    <w:rsid w:val="003B249C"/>
    <w:rsid w:val="003B4B3D"/>
    <w:rsid w:val="003D2517"/>
    <w:rsid w:val="003D6CEB"/>
    <w:rsid w:val="003E09F7"/>
    <w:rsid w:val="003E1E44"/>
    <w:rsid w:val="003E34B9"/>
    <w:rsid w:val="003E389B"/>
    <w:rsid w:val="003F17C6"/>
    <w:rsid w:val="0040195A"/>
    <w:rsid w:val="00403DEB"/>
    <w:rsid w:val="00413E12"/>
    <w:rsid w:val="00415CF4"/>
    <w:rsid w:val="004235E8"/>
    <w:rsid w:val="004336B9"/>
    <w:rsid w:val="00450AF8"/>
    <w:rsid w:val="00452D6C"/>
    <w:rsid w:val="004556A2"/>
    <w:rsid w:val="00465EE0"/>
    <w:rsid w:val="0046620D"/>
    <w:rsid w:val="004723FB"/>
    <w:rsid w:val="0047267F"/>
    <w:rsid w:val="00472813"/>
    <w:rsid w:val="00485FA6"/>
    <w:rsid w:val="004928EB"/>
    <w:rsid w:val="004954F2"/>
    <w:rsid w:val="004A1D36"/>
    <w:rsid w:val="004A1EBC"/>
    <w:rsid w:val="004D3FCD"/>
    <w:rsid w:val="004D7100"/>
    <w:rsid w:val="004E6C2A"/>
    <w:rsid w:val="004F02C7"/>
    <w:rsid w:val="004F17BF"/>
    <w:rsid w:val="00500A4A"/>
    <w:rsid w:val="0051153A"/>
    <w:rsid w:val="005175F7"/>
    <w:rsid w:val="005233BA"/>
    <w:rsid w:val="0053464B"/>
    <w:rsid w:val="005368DD"/>
    <w:rsid w:val="00540497"/>
    <w:rsid w:val="00543CC0"/>
    <w:rsid w:val="005556D8"/>
    <w:rsid w:val="005711F8"/>
    <w:rsid w:val="00596425"/>
    <w:rsid w:val="00596C5E"/>
    <w:rsid w:val="005A0F0D"/>
    <w:rsid w:val="005B207C"/>
    <w:rsid w:val="005B3227"/>
    <w:rsid w:val="005B60E5"/>
    <w:rsid w:val="005C600A"/>
    <w:rsid w:val="005D1910"/>
    <w:rsid w:val="005D2817"/>
    <w:rsid w:val="005E3053"/>
    <w:rsid w:val="005F102F"/>
    <w:rsid w:val="005F4F05"/>
    <w:rsid w:val="005F76A8"/>
    <w:rsid w:val="00603EBC"/>
    <w:rsid w:val="0060733E"/>
    <w:rsid w:val="00610694"/>
    <w:rsid w:val="006116B1"/>
    <w:rsid w:val="0061260A"/>
    <w:rsid w:val="00634513"/>
    <w:rsid w:val="0063676D"/>
    <w:rsid w:val="00651147"/>
    <w:rsid w:val="00657B82"/>
    <w:rsid w:val="00661E79"/>
    <w:rsid w:val="00663303"/>
    <w:rsid w:val="006656B8"/>
    <w:rsid w:val="00667861"/>
    <w:rsid w:val="00671E4C"/>
    <w:rsid w:val="0067453D"/>
    <w:rsid w:val="00680D36"/>
    <w:rsid w:val="0068250D"/>
    <w:rsid w:val="00683EE7"/>
    <w:rsid w:val="006908BC"/>
    <w:rsid w:val="006B33BB"/>
    <w:rsid w:val="006C0EC9"/>
    <w:rsid w:val="006C1D2C"/>
    <w:rsid w:val="006D15C4"/>
    <w:rsid w:val="006D16AF"/>
    <w:rsid w:val="006E12AE"/>
    <w:rsid w:val="006E2D75"/>
    <w:rsid w:val="006E6F02"/>
    <w:rsid w:val="006F21C6"/>
    <w:rsid w:val="006F5CF2"/>
    <w:rsid w:val="00703BFB"/>
    <w:rsid w:val="00705338"/>
    <w:rsid w:val="00712619"/>
    <w:rsid w:val="00714375"/>
    <w:rsid w:val="00715D83"/>
    <w:rsid w:val="00726CF5"/>
    <w:rsid w:val="0073637F"/>
    <w:rsid w:val="007424FD"/>
    <w:rsid w:val="00745D8E"/>
    <w:rsid w:val="00746F4D"/>
    <w:rsid w:val="0077151D"/>
    <w:rsid w:val="007716E7"/>
    <w:rsid w:val="0077198C"/>
    <w:rsid w:val="00772358"/>
    <w:rsid w:val="00782F60"/>
    <w:rsid w:val="00790C1F"/>
    <w:rsid w:val="007918CE"/>
    <w:rsid w:val="00792E72"/>
    <w:rsid w:val="007A08A4"/>
    <w:rsid w:val="007D23DA"/>
    <w:rsid w:val="007D3DC3"/>
    <w:rsid w:val="007E52A7"/>
    <w:rsid w:val="007F19CD"/>
    <w:rsid w:val="0080214C"/>
    <w:rsid w:val="00810896"/>
    <w:rsid w:val="008114AE"/>
    <w:rsid w:val="008120F1"/>
    <w:rsid w:val="008134CF"/>
    <w:rsid w:val="008150F0"/>
    <w:rsid w:val="008210BF"/>
    <w:rsid w:val="00824082"/>
    <w:rsid w:val="00827ABA"/>
    <w:rsid w:val="00850E4C"/>
    <w:rsid w:val="00851639"/>
    <w:rsid w:val="00856960"/>
    <w:rsid w:val="008578C0"/>
    <w:rsid w:val="00861CC6"/>
    <w:rsid w:val="00864664"/>
    <w:rsid w:val="008655D8"/>
    <w:rsid w:val="00884673"/>
    <w:rsid w:val="008912CD"/>
    <w:rsid w:val="00897C5F"/>
    <w:rsid w:val="008A1450"/>
    <w:rsid w:val="008A7EA9"/>
    <w:rsid w:val="008B5315"/>
    <w:rsid w:val="008B5A01"/>
    <w:rsid w:val="008B6EB3"/>
    <w:rsid w:val="008D6065"/>
    <w:rsid w:val="008D7F04"/>
    <w:rsid w:val="008E00B8"/>
    <w:rsid w:val="008E7C04"/>
    <w:rsid w:val="00905588"/>
    <w:rsid w:val="009143CB"/>
    <w:rsid w:val="00915397"/>
    <w:rsid w:val="00916027"/>
    <w:rsid w:val="00921005"/>
    <w:rsid w:val="009230AE"/>
    <w:rsid w:val="00932866"/>
    <w:rsid w:val="00936072"/>
    <w:rsid w:val="0094110D"/>
    <w:rsid w:val="00947288"/>
    <w:rsid w:val="009503A8"/>
    <w:rsid w:val="00954984"/>
    <w:rsid w:val="00960EE5"/>
    <w:rsid w:val="009658FD"/>
    <w:rsid w:val="00970BB4"/>
    <w:rsid w:val="0097655D"/>
    <w:rsid w:val="009A7ECB"/>
    <w:rsid w:val="009B32A6"/>
    <w:rsid w:val="009B3B50"/>
    <w:rsid w:val="009C17C5"/>
    <w:rsid w:val="009D0B81"/>
    <w:rsid w:val="009D4083"/>
    <w:rsid w:val="009D4321"/>
    <w:rsid w:val="009D6B17"/>
    <w:rsid w:val="009E0597"/>
    <w:rsid w:val="00A02F28"/>
    <w:rsid w:val="00A37CF9"/>
    <w:rsid w:val="00A4207A"/>
    <w:rsid w:val="00A42368"/>
    <w:rsid w:val="00A4625B"/>
    <w:rsid w:val="00A52BF5"/>
    <w:rsid w:val="00A60BBD"/>
    <w:rsid w:val="00A61168"/>
    <w:rsid w:val="00A70464"/>
    <w:rsid w:val="00A86A48"/>
    <w:rsid w:val="00AB38E8"/>
    <w:rsid w:val="00AB546E"/>
    <w:rsid w:val="00AC3D61"/>
    <w:rsid w:val="00AC6077"/>
    <w:rsid w:val="00AC6796"/>
    <w:rsid w:val="00AC686C"/>
    <w:rsid w:val="00AD25A2"/>
    <w:rsid w:val="00AD280E"/>
    <w:rsid w:val="00AD60EC"/>
    <w:rsid w:val="00AE4905"/>
    <w:rsid w:val="00AE68F7"/>
    <w:rsid w:val="00AF32C8"/>
    <w:rsid w:val="00AF5AF9"/>
    <w:rsid w:val="00B02A2B"/>
    <w:rsid w:val="00B063ED"/>
    <w:rsid w:val="00B11775"/>
    <w:rsid w:val="00B146B7"/>
    <w:rsid w:val="00B21FB7"/>
    <w:rsid w:val="00B271F9"/>
    <w:rsid w:val="00B3189E"/>
    <w:rsid w:val="00B32100"/>
    <w:rsid w:val="00B36475"/>
    <w:rsid w:val="00B44404"/>
    <w:rsid w:val="00B55712"/>
    <w:rsid w:val="00B57ECD"/>
    <w:rsid w:val="00B63020"/>
    <w:rsid w:val="00B67366"/>
    <w:rsid w:val="00B712D0"/>
    <w:rsid w:val="00B7253F"/>
    <w:rsid w:val="00B739B1"/>
    <w:rsid w:val="00B878DF"/>
    <w:rsid w:val="00B901B3"/>
    <w:rsid w:val="00B90A9A"/>
    <w:rsid w:val="00BA2236"/>
    <w:rsid w:val="00BA4FBC"/>
    <w:rsid w:val="00BC0149"/>
    <w:rsid w:val="00BD2A64"/>
    <w:rsid w:val="00BD3253"/>
    <w:rsid w:val="00BD453D"/>
    <w:rsid w:val="00BD7AF5"/>
    <w:rsid w:val="00BE3D66"/>
    <w:rsid w:val="00BF5DCF"/>
    <w:rsid w:val="00C02189"/>
    <w:rsid w:val="00C11140"/>
    <w:rsid w:val="00C1333D"/>
    <w:rsid w:val="00C33478"/>
    <w:rsid w:val="00C422B3"/>
    <w:rsid w:val="00C53FBA"/>
    <w:rsid w:val="00C542C8"/>
    <w:rsid w:val="00C650A9"/>
    <w:rsid w:val="00C73757"/>
    <w:rsid w:val="00C83E8A"/>
    <w:rsid w:val="00C844FF"/>
    <w:rsid w:val="00C84933"/>
    <w:rsid w:val="00C90819"/>
    <w:rsid w:val="00C910B8"/>
    <w:rsid w:val="00C96129"/>
    <w:rsid w:val="00C96410"/>
    <w:rsid w:val="00C978A1"/>
    <w:rsid w:val="00CB2170"/>
    <w:rsid w:val="00CC31CE"/>
    <w:rsid w:val="00CC4914"/>
    <w:rsid w:val="00CE15E1"/>
    <w:rsid w:val="00CE595F"/>
    <w:rsid w:val="00D03280"/>
    <w:rsid w:val="00D04F80"/>
    <w:rsid w:val="00D175B2"/>
    <w:rsid w:val="00D25805"/>
    <w:rsid w:val="00D3749D"/>
    <w:rsid w:val="00D37A18"/>
    <w:rsid w:val="00D47529"/>
    <w:rsid w:val="00D647D4"/>
    <w:rsid w:val="00D651EC"/>
    <w:rsid w:val="00D65BFE"/>
    <w:rsid w:val="00D67195"/>
    <w:rsid w:val="00D713ED"/>
    <w:rsid w:val="00D722C7"/>
    <w:rsid w:val="00D744F6"/>
    <w:rsid w:val="00D85770"/>
    <w:rsid w:val="00D86D7D"/>
    <w:rsid w:val="00D959D5"/>
    <w:rsid w:val="00D97384"/>
    <w:rsid w:val="00D97C02"/>
    <w:rsid w:val="00DA30FC"/>
    <w:rsid w:val="00DA3836"/>
    <w:rsid w:val="00DB32AE"/>
    <w:rsid w:val="00DB5C07"/>
    <w:rsid w:val="00DC2585"/>
    <w:rsid w:val="00DC3DB7"/>
    <w:rsid w:val="00DC3F9A"/>
    <w:rsid w:val="00DC5E8E"/>
    <w:rsid w:val="00DC7296"/>
    <w:rsid w:val="00DE4E28"/>
    <w:rsid w:val="00DE57C8"/>
    <w:rsid w:val="00DE7D28"/>
    <w:rsid w:val="00DF4505"/>
    <w:rsid w:val="00DF6A27"/>
    <w:rsid w:val="00E00083"/>
    <w:rsid w:val="00E00A64"/>
    <w:rsid w:val="00E011F4"/>
    <w:rsid w:val="00E0596F"/>
    <w:rsid w:val="00E24B7A"/>
    <w:rsid w:val="00E30998"/>
    <w:rsid w:val="00E3255E"/>
    <w:rsid w:val="00E3591F"/>
    <w:rsid w:val="00E35938"/>
    <w:rsid w:val="00E37392"/>
    <w:rsid w:val="00E43F39"/>
    <w:rsid w:val="00E47B48"/>
    <w:rsid w:val="00E533AD"/>
    <w:rsid w:val="00E60DAC"/>
    <w:rsid w:val="00E648AF"/>
    <w:rsid w:val="00E76CB4"/>
    <w:rsid w:val="00E82005"/>
    <w:rsid w:val="00E82556"/>
    <w:rsid w:val="00E92B00"/>
    <w:rsid w:val="00E93466"/>
    <w:rsid w:val="00EA4E88"/>
    <w:rsid w:val="00EC3F76"/>
    <w:rsid w:val="00EC5E4C"/>
    <w:rsid w:val="00EE25A0"/>
    <w:rsid w:val="00EE72EF"/>
    <w:rsid w:val="00EF1157"/>
    <w:rsid w:val="00EF47BF"/>
    <w:rsid w:val="00EF5E07"/>
    <w:rsid w:val="00F005F3"/>
    <w:rsid w:val="00F13852"/>
    <w:rsid w:val="00F16F15"/>
    <w:rsid w:val="00F23548"/>
    <w:rsid w:val="00F469F2"/>
    <w:rsid w:val="00F472B5"/>
    <w:rsid w:val="00F517A6"/>
    <w:rsid w:val="00F5448C"/>
    <w:rsid w:val="00F54DFF"/>
    <w:rsid w:val="00F60A8A"/>
    <w:rsid w:val="00F6515D"/>
    <w:rsid w:val="00F71742"/>
    <w:rsid w:val="00F725C3"/>
    <w:rsid w:val="00F833AD"/>
    <w:rsid w:val="00FA6562"/>
    <w:rsid w:val="00FB50E7"/>
    <w:rsid w:val="00FB7C9C"/>
    <w:rsid w:val="00FC097E"/>
    <w:rsid w:val="00FC3375"/>
    <w:rsid w:val="00FE2B8A"/>
    <w:rsid w:val="00FF5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B6388D6"/>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paragraph" w:styleId="BodyText">
    <w:name w:val="Body Text"/>
    <w:basedOn w:val="Normal"/>
    <w:link w:val="BodyTextChar"/>
    <w:uiPriority w:val="1"/>
    <w:qFormat/>
    <w:rsid w:val="00181FDE"/>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81FDE"/>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270362594">
      <w:bodyDiv w:val="1"/>
      <w:marLeft w:val="0"/>
      <w:marRight w:val="0"/>
      <w:marTop w:val="0"/>
      <w:marBottom w:val="0"/>
      <w:divBdr>
        <w:top w:val="none" w:sz="0" w:space="0" w:color="auto"/>
        <w:left w:val="none" w:sz="0" w:space="0" w:color="auto"/>
        <w:bottom w:val="none" w:sz="0" w:space="0" w:color="auto"/>
        <w:right w:val="none" w:sz="0" w:space="0" w:color="auto"/>
      </w:divBdr>
      <w:divsChild>
        <w:div w:id="1899389365">
          <w:marLeft w:val="0"/>
          <w:marRight w:val="0"/>
          <w:marTop w:val="0"/>
          <w:marBottom w:val="0"/>
          <w:divBdr>
            <w:top w:val="none" w:sz="0" w:space="0" w:color="auto"/>
            <w:left w:val="none" w:sz="0" w:space="0" w:color="auto"/>
            <w:bottom w:val="none" w:sz="0" w:space="0" w:color="auto"/>
            <w:right w:val="none" w:sz="0" w:space="0" w:color="auto"/>
          </w:divBdr>
        </w:div>
      </w:divsChild>
    </w:div>
    <w:div w:id="387606597">
      <w:bodyDiv w:val="1"/>
      <w:marLeft w:val="0"/>
      <w:marRight w:val="0"/>
      <w:marTop w:val="0"/>
      <w:marBottom w:val="0"/>
      <w:divBdr>
        <w:top w:val="none" w:sz="0" w:space="0" w:color="auto"/>
        <w:left w:val="none" w:sz="0" w:space="0" w:color="auto"/>
        <w:bottom w:val="none" w:sz="0" w:space="0" w:color="auto"/>
        <w:right w:val="none" w:sz="0" w:space="0" w:color="auto"/>
      </w:divBdr>
      <w:divsChild>
        <w:div w:id="2044163735">
          <w:marLeft w:val="0"/>
          <w:marRight w:val="0"/>
          <w:marTop w:val="0"/>
          <w:marBottom w:val="0"/>
          <w:divBdr>
            <w:top w:val="none" w:sz="0" w:space="0" w:color="auto"/>
            <w:left w:val="none" w:sz="0" w:space="0" w:color="auto"/>
            <w:bottom w:val="none" w:sz="0" w:space="0" w:color="auto"/>
            <w:right w:val="none" w:sz="0" w:space="0" w:color="auto"/>
          </w:divBdr>
        </w:div>
      </w:divsChild>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17409143">
      <w:bodyDiv w:val="1"/>
      <w:marLeft w:val="0"/>
      <w:marRight w:val="0"/>
      <w:marTop w:val="0"/>
      <w:marBottom w:val="0"/>
      <w:divBdr>
        <w:top w:val="none" w:sz="0" w:space="0" w:color="auto"/>
        <w:left w:val="none" w:sz="0" w:space="0" w:color="auto"/>
        <w:bottom w:val="none" w:sz="0" w:space="0" w:color="auto"/>
        <w:right w:val="none" w:sz="0" w:space="0" w:color="auto"/>
      </w:divBdr>
      <w:divsChild>
        <w:div w:id="1668508830">
          <w:marLeft w:val="0"/>
          <w:marRight w:val="0"/>
          <w:marTop w:val="0"/>
          <w:marBottom w:val="0"/>
          <w:divBdr>
            <w:top w:val="none" w:sz="0" w:space="0" w:color="auto"/>
            <w:left w:val="none" w:sz="0" w:space="0" w:color="auto"/>
            <w:bottom w:val="none" w:sz="0" w:space="0" w:color="auto"/>
            <w:right w:val="none" w:sz="0" w:space="0" w:color="auto"/>
          </w:divBdr>
        </w:div>
      </w:divsChild>
    </w:div>
    <w:div w:id="468324387">
      <w:bodyDiv w:val="1"/>
      <w:marLeft w:val="0"/>
      <w:marRight w:val="0"/>
      <w:marTop w:val="0"/>
      <w:marBottom w:val="0"/>
      <w:divBdr>
        <w:top w:val="none" w:sz="0" w:space="0" w:color="auto"/>
        <w:left w:val="none" w:sz="0" w:space="0" w:color="auto"/>
        <w:bottom w:val="none" w:sz="0" w:space="0" w:color="auto"/>
        <w:right w:val="none" w:sz="0" w:space="0" w:color="auto"/>
      </w:divBdr>
      <w:divsChild>
        <w:div w:id="1316953204">
          <w:marLeft w:val="0"/>
          <w:marRight w:val="0"/>
          <w:marTop w:val="0"/>
          <w:marBottom w:val="0"/>
          <w:divBdr>
            <w:top w:val="none" w:sz="0" w:space="0" w:color="auto"/>
            <w:left w:val="none" w:sz="0" w:space="0" w:color="auto"/>
            <w:bottom w:val="none" w:sz="0" w:space="0" w:color="auto"/>
            <w:right w:val="none" w:sz="0" w:space="0" w:color="auto"/>
          </w:divBdr>
        </w:div>
      </w:divsChild>
    </w:div>
    <w:div w:id="789590569">
      <w:bodyDiv w:val="1"/>
      <w:marLeft w:val="0"/>
      <w:marRight w:val="0"/>
      <w:marTop w:val="0"/>
      <w:marBottom w:val="0"/>
      <w:divBdr>
        <w:top w:val="none" w:sz="0" w:space="0" w:color="auto"/>
        <w:left w:val="none" w:sz="0" w:space="0" w:color="auto"/>
        <w:bottom w:val="none" w:sz="0" w:space="0" w:color="auto"/>
        <w:right w:val="none" w:sz="0" w:space="0" w:color="auto"/>
      </w:divBdr>
      <w:divsChild>
        <w:div w:id="116149531">
          <w:marLeft w:val="0"/>
          <w:marRight w:val="0"/>
          <w:marTop w:val="0"/>
          <w:marBottom w:val="0"/>
          <w:divBdr>
            <w:top w:val="none" w:sz="0" w:space="0" w:color="auto"/>
            <w:left w:val="none" w:sz="0" w:space="0" w:color="auto"/>
            <w:bottom w:val="none" w:sz="0" w:space="0" w:color="auto"/>
            <w:right w:val="none" w:sz="0" w:space="0" w:color="auto"/>
          </w:divBdr>
        </w:div>
      </w:divsChild>
    </w:div>
    <w:div w:id="864633171">
      <w:bodyDiv w:val="1"/>
      <w:marLeft w:val="0"/>
      <w:marRight w:val="0"/>
      <w:marTop w:val="0"/>
      <w:marBottom w:val="0"/>
      <w:divBdr>
        <w:top w:val="none" w:sz="0" w:space="0" w:color="auto"/>
        <w:left w:val="none" w:sz="0" w:space="0" w:color="auto"/>
        <w:bottom w:val="none" w:sz="0" w:space="0" w:color="auto"/>
        <w:right w:val="none" w:sz="0" w:space="0" w:color="auto"/>
      </w:divBdr>
      <w:divsChild>
        <w:div w:id="1937202467">
          <w:marLeft w:val="0"/>
          <w:marRight w:val="0"/>
          <w:marTop w:val="0"/>
          <w:marBottom w:val="0"/>
          <w:divBdr>
            <w:top w:val="none" w:sz="0" w:space="0" w:color="auto"/>
            <w:left w:val="none" w:sz="0" w:space="0" w:color="auto"/>
            <w:bottom w:val="none" w:sz="0" w:space="0" w:color="auto"/>
            <w:right w:val="none" w:sz="0" w:space="0" w:color="auto"/>
          </w:divBdr>
        </w:div>
      </w:divsChild>
    </w:div>
    <w:div w:id="1208571418">
      <w:bodyDiv w:val="1"/>
      <w:marLeft w:val="0"/>
      <w:marRight w:val="0"/>
      <w:marTop w:val="0"/>
      <w:marBottom w:val="0"/>
      <w:divBdr>
        <w:top w:val="none" w:sz="0" w:space="0" w:color="auto"/>
        <w:left w:val="none" w:sz="0" w:space="0" w:color="auto"/>
        <w:bottom w:val="none" w:sz="0" w:space="0" w:color="auto"/>
        <w:right w:val="none" w:sz="0" w:space="0" w:color="auto"/>
      </w:divBdr>
      <w:divsChild>
        <w:div w:id="417023760">
          <w:marLeft w:val="0"/>
          <w:marRight w:val="0"/>
          <w:marTop w:val="0"/>
          <w:marBottom w:val="0"/>
          <w:divBdr>
            <w:top w:val="none" w:sz="0" w:space="0" w:color="auto"/>
            <w:left w:val="none" w:sz="0" w:space="0" w:color="auto"/>
            <w:bottom w:val="none" w:sz="0" w:space="0" w:color="auto"/>
            <w:right w:val="none" w:sz="0" w:space="0" w:color="auto"/>
          </w:divBdr>
        </w:div>
      </w:divsChild>
    </w:div>
    <w:div w:id="1220361965">
      <w:bodyDiv w:val="1"/>
      <w:marLeft w:val="0"/>
      <w:marRight w:val="0"/>
      <w:marTop w:val="0"/>
      <w:marBottom w:val="0"/>
      <w:divBdr>
        <w:top w:val="none" w:sz="0" w:space="0" w:color="auto"/>
        <w:left w:val="none" w:sz="0" w:space="0" w:color="auto"/>
        <w:bottom w:val="none" w:sz="0" w:space="0" w:color="auto"/>
        <w:right w:val="none" w:sz="0" w:space="0" w:color="auto"/>
      </w:divBdr>
      <w:divsChild>
        <w:div w:id="400714791">
          <w:marLeft w:val="0"/>
          <w:marRight w:val="0"/>
          <w:marTop w:val="0"/>
          <w:marBottom w:val="0"/>
          <w:divBdr>
            <w:top w:val="none" w:sz="0" w:space="0" w:color="auto"/>
            <w:left w:val="none" w:sz="0" w:space="0" w:color="auto"/>
            <w:bottom w:val="none" w:sz="0" w:space="0" w:color="auto"/>
            <w:right w:val="none" w:sz="0" w:space="0" w:color="auto"/>
          </w:divBdr>
        </w:div>
      </w:divsChild>
    </w:div>
    <w:div w:id="1238133330">
      <w:bodyDiv w:val="1"/>
      <w:marLeft w:val="0"/>
      <w:marRight w:val="0"/>
      <w:marTop w:val="0"/>
      <w:marBottom w:val="0"/>
      <w:divBdr>
        <w:top w:val="none" w:sz="0" w:space="0" w:color="auto"/>
        <w:left w:val="none" w:sz="0" w:space="0" w:color="auto"/>
        <w:bottom w:val="none" w:sz="0" w:space="0" w:color="auto"/>
        <w:right w:val="none" w:sz="0" w:space="0" w:color="auto"/>
      </w:divBdr>
      <w:divsChild>
        <w:div w:id="1308167261">
          <w:marLeft w:val="0"/>
          <w:marRight w:val="0"/>
          <w:marTop w:val="0"/>
          <w:marBottom w:val="0"/>
          <w:divBdr>
            <w:top w:val="none" w:sz="0" w:space="0" w:color="auto"/>
            <w:left w:val="none" w:sz="0" w:space="0" w:color="auto"/>
            <w:bottom w:val="none" w:sz="0" w:space="0" w:color="auto"/>
            <w:right w:val="none" w:sz="0" w:space="0" w:color="auto"/>
          </w:divBdr>
        </w:div>
      </w:divsChild>
    </w:div>
    <w:div w:id="1393456406">
      <w:bodyDiv w:val="1"/>
      <w:marLeft w:val="0"/>
      <w:marRight w:val="0"/>
      <w:marTop w:val="0"/>
      <w:marBottom w:val="0"/>
      <w:divBdr>
        <w:top w:val="none" w:sz="0" w:space="0" w:color="auto"/>
        <w:left w:val="none" w:sz="0" w:space="0" w:color="auto"/>
        <w:bottom w:val="none" w:sz="0" w:space="0" w:color="auto"/>
        <w:right w:val="none" w:sz="0" w:space="0" w:color="auto"/>
      </w:divBdr>
      <w:divsChild>
        <w:div w:id="901478651">
          <w:marLeft w:val="0"/>
          <w:marRight w:val="0"/>
          <w:marTop w:val="0"/>
          <w:marBottom w:val="0"/>
          <w:divBdr>
            <w:top w:val="none" w:sz="0" w:space="0" w:color="auto"/>
            <w:left w:val="none" w:sz="0" w:space="0" w:color="auto"/>
            <w:bottom w:val="none" w:sz="0" w:space="0" w:color="auto"/>
            <w:right w:val="none" w:sz="0" w:space="0" w:color="auto"/>
          </w:divBdr>
        </w:div>
      </w:divsChild>
    </w:div>
    <w:div w:id="1400593555">
      <w:bodyDiv w:val="1"/>
      <w:marLeft w:val="0"/>
      <w:marRight w:val="0"/>
      <w:marTop w:val="0"/>
      <w:marBottom w:val="0"/>
      <w:divBdr>
        <w:top w:val="none" w:sz="0" w:space="0" w:color="auto"/>
        <w:left w:val="none" w:sz="0" w:space="0" w:color="auto"/>
        <w:bottom w:val="none" w:sz="0" w:space="0" w:color="auto"/>
        <w:right w:val="none" w:sz="0" w:space="0" w:color="auto"/>
      </w:divBdr>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02430568">
      <w:bodyDiv w:val="1"/>
      <w:marLeft w:val="0"/>
      <w:marRight w:val="0"/>
      <w:marTop w:val="0"/>
      <w:marBottom w:val="0"/>
      <w:divBdr>
        <w:top w:val="none" w:sz="0" w:space="0" w:color="auto"/>
        <w:left w:val="none" w:sz="0" w:space="0" w:color="auto"/>
        <w:bottom w:val="none" w:sz="0" w:space="0" w:color="auto"/>
        <w:right w:val="none" w:sz="0" w:space="0" w:color="auto"/>
      </w:divBdr>
    </w:div>
    <w:div w:id="1663581804">
      <w:bodyDiv w:val="1"/>
      <w:marLeft w:val="0"/>
      <w:marRight w:val="0"/>
      <w:marTop w:val="0"/>
      <w:marBottom w:val="0"/>
      <w:divBdr>
        <w:top w:val="none" w:sz="0" w:space="0" w:color="auto"/>
        <w:left w:val="none" w:sz="0" w:space="0" w:color="auto"/>
        <w:bottom w:val="none" w:sz="0" w:space="0" w:color="auto"/>
        <w:right w:val="none" w:sz="0" w:space="0" w:color="auto"/>
      </w:divBdr>
      <w:divsChild>
        <w:div w:id="139075592">
          <w:marLeft w:val="0"/>
          <w:marRight w:val="0"/>
          <w:marTop w:val="0"/>
          <w:marBottom w:val="0"/>
          <w:divBdr>
            <w:top w:val="none" w:sz="0" w:space="0" w:color="auto"/>
            <w:left w:val="none" w:sz="0" w:space="0" w:color="auto"/>
            <w:bottom w:val="none" w:sz="0" w:space="0" w:color="auto"/>
            <w:right w:val="none" w:sz="0" w:space="0" w:color="auto"/>
          </w:divBdr>
        </w:div>
      </w:divsChild>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675721607">
      <w:bodyDiv w:val="1"/>
      <w:marLeft w:val="0"/>
      <w:marRight w:val="0"/>
      <w:marTop w:val="0"/>
      <w:marBottom w:val="0"/>
      <w:divBdr>
        <w:top w:val="none" w:sz="0" w:space="0" w:color="auto"/>
        <w:left w:val="none" w:sz="0" w:space="0" w:color="auto"/>
        <w:bottom w:val="none" w:sz="0" w:space="0" w:color="auto"/>
        <w:right w:val="none" w:sz="0" w:space="0" w:color="auto"/>
      </w:divBdr>
    </w:div>
    <w:div w:id="1713841408">
      <w:bodyDiv w:val="1"/>
      <w:marLeft w:val="0"/>
      <w:marRight w:val="0"/>
      <w:marTop w:val="0"/>
      <w:marBottom w:val="0"/>
      <w:divBdr>
        <w:top w:val="none" w:sz="0" w:space="0" w:color="auto"/>
        <w:left w:val="none" w:sz="0" w:space="0" w:color="auto"/>
        <w:bottom w:val="none" w:sz="0" w:space="0" w:color="auto"/>
        <w:right w:val="none" w:sz="0" w:space="0" w:color="auto"/>
      </w:divBdr>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92444860">
      <w:bodyDiv w:val="1"/>
      <w:marLeft w:val="0"/>
      <w:marRight w:val="0"/>
      <w:marTop w:val="0"/>
      <w:marBottom w:val="0"/>
      <w:divBdr>
        <w:top w:val="none" w:sz="0" w:space="0" w:color="auto"/>
        <w:left w:val="none" w:sz="0" w:space="0" w:color="auto"/>
        <w:bottom w:val="none" w:sz="0" w:space="0" w:color="auto"/>
        <w:right w:val="none" w:sz="0" w:space="0" w:color="auto"/>
      </w:divBdr>
      <w:divsChild>
        <w:div w:id="1887834600">
          <w:marLeft w:val="0"/>
          <w:marRight w:val="0"/>
          <w:marTop w:val="0"/>
          <w:marBottom w:val="0"/>
          <w:divBdr>
            <w:top w:val="none" w:sz="0" w:space="0" w:color="auto"/>
            <w:left w:val="none" w:sz="0" w:space="0" w:color="auto"/>
            <w:bottom w:val="none" w:sz="0" w:space="0" w:color="auto"/>
            <w:right w:val="none" w:sz="0" w:space="0" w:color="auto"/>
          </w:divBdr>
        </w:div>
      </w:divsChild>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tp66\Desktop\CIPD\Evidence-Based%20Practice%20(BMPD5017)\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tp66\Desktop\CIPD\Evidence-Based%20Practice%20(BMPD5017)\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tp66\Desktop\CIPD\Evidence-Based%20Practice%20(BMPD5017)\Tabl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tp66\Desktop\CIPD\Evidence-Based%20Practice%20(BMPD5017)\Tabl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ttp66\Desktop\CIPD\Evidence-Based%20Practice%20(BMPD5017)\Tabl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ttp66\Downloads\Worksheet%20table%202%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Gender breakdown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A66-4894-98BE-FEE1986A5DB5}"/>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A66-4894-98BE-FEE1986A5DB5}"/>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A66-4894-98BE-FEE1986A5DB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A66-4894-98BE-FEE1986A5DB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A66-4894-98BE-FEE1986A5DB5}"/>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FA66-4894-98BE-FEE1986A5DB5}"/>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a!$K$11:$K$13</c:f>
              <c:strCache>
                <c:ptCount val="3"/>
                <c:pt idx="0">
                  <c:v>Female</c:v>
                </c:pt>
                <c:pt idx="1">
                  <c:v>Male</c:v>
                </c:pt>
                <c:pt idx="2">
                  <c:v>Non-binary</c:v>
                </c:pt>
              </c:strCache>
            </c:strRef>
          </c:cat>
          <c:val>
            <c:numRef>
              <c:f>a!$L$11:$L$13</c:f>
              <c:numCache>
                <c:formatCode>General</c:formatCode>
                <c:ptCount val="3"/>
                <c:pt idx="0">
                  <c:v>118</c:v>
                </c:pt>
                <c:pt idx="1">
                  <c:v>140</c:v>
                </c:pt>
                <c:pt idx="2">
                  <c:v>2</c:v>
                </c:pt>
              </c:numCache>
            </c:numRef>
          </c:val>
          <c:extLst>
            <c:ext xmlns:c16="http://schemas.microsoft.com/office/drawing/2014/chart" uri="{C3380CC4-5D6E-409C-BE32-E72D297353CC}">
              <c16:uniqueId val="{00000006-FA66-4894-98BE-FEE1986A5DB5}"/>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[Tables.xlsx]b!PivotTable1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breakdown per team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a:noFill/>
          </a:ln>
          <a:effectLst/>
        </c:spPr>
        <c:marker>
          <c:symbol val="none"/>
        </c:marker>
      </c:pivotFmt>
      <c:pivotFmt>
        <c:idx val="1"/>
        <c:spPr>
          <a:solidFill>
            <a:schemeClr val="accent6"/>
          </a:solidFill>
          <a:ln>
            <a:noFill/>
          </a:ln>
          <a:effectLst/>
        </c:spPr>
        <c:marker>
          <c:symbol val="none"/>
        </c:marker>
      </c:pivotFmt>
      <c:pivotFmt>
        <c:idx val="2"/>
        <c:spPr>
          <a:solidFill>
            <a:schemeClr val="accent6"/>
          </a:solidFill>
          <a:ln>
            <a:noFill/>
          </a:ln>
          <a:effectLst/>
        </c:spPr>
        <c:marker>
          <c:symbol val="none"/>
        </c:marker>
      </c:pivotFmt>
      <c:pivotFmt>
        <c:idx val="3"/>
        <c:spPr>
          <a:solidFill>
            <a:schemeClr val="accent6"/>
          </a:solidFill>
          <a:ln>
            <a:noFill/>
          </a:ln>
          <a:effectLst/>
        </c:spPr>
        <c:marker>
          <c:symbol val="none"/>
        </c:marker>
      </c:pivotFmt>
      <c:pivotFmt>
        <c:idx val="4"/>
        <c:spPr>
          <a:solidFill>
            <a:schemeClr val="accent6"/>
          </a:solidFill>
          <a:ln>
            <a:noFill/>
          </a:ln>
          <a:effectLst/>
        </c:spPr>
        <c:marker>
          <c:symbol val="none"/>
        </c:marker>
      </c:pivotFmt>
      <c:pivotFmt>
        <c:idx val="5"/>
        <c:spPr>
          <a:solidFill>
            <a:schemeClr val="accent6"/>
          </a:solidFill>
          <a:ln>
            <a:noFill/>
          </a:ln>
          <a:effectLst/>
        </c:spPr>
        <c:marker>
          <c:symbol val="none"/>
        </c:marker>
      </c:pivotFmt>
      <c:pivotFmt>
        <c:idx val="6"/>
        <c:spPr>
          <a:solidFill>
            <a:schemeClr val="accent6"/>
          </a:solidFill>
          <a:ln>
            <a:noFill/>
          </a:ln>
          <a:effectLst/>
        </c:spPr>
        <c:marker>
          <c:symbol val="none"/>
        </c:marker>
      </c:pivotFmt>
      <c:pivotFmt>
        <c:idx val="7"/>
        <c:spPr>
          <a:solidFill>
            <a:schemeClr val="accent6"/>
          </a:solidFill>
          <a:ln>
            <a:noFill/>
          </a:ln>
          <a:effectLst/>
        </c:spPr>
        <c:marker>
          <c:symbol val="none"/>
        </c:marker>
      </c:pivotFmt>
      <c:pivotFmt>
        <c:idx val="8"/>
        <c:spPr>
          <a:solidFill>
            <a:schemeClr val="accent6"/>
          </a:solidFill>
          <a:ln>
            <a:noFill/>
          </a:ln>
          <a:effectLst/>
        </c:spPr>
        <c:marker>
          <c:symbol val="none"/>
        </c:marker>
      </c:pivotFmt>
      <c:pivotFmt>
        <c:idx val="9"/>
        <c:spPr>
          <a:solidFill>
            <a:schemeClr val="accent6"/>
          </a:solidFill>
          <a:ln>
            <a:noFill/>
          </a:ln>
          <a:effectLst/>
        </c:spPr>
        <c:marker>
          <c:symbol val="none"/>
        </c:marker>
      </c:pivotFmt>
      <c:pivotFmt>
        <c:idx val="10"/>
        <c:spPr>
          <a:solidFill>
            <a:schemeClr val="accent6"/>
          </a:solidFill>
          <a:ln>
            <a:noFill/>
          </a:ln>
          <a:effectLst/>
        </c:spPr>
        <c:marker>
          <c:symbol val="none"/>
        </c:marker>
      </c:pivotFmt>
      <c:pivotFmt>
        <c:idx val="11"/>
        <c:spPr>
          <a:solidFill>
            <a:schemeClr val="accent6"/>
          </a:solidFill>
          <a:ln>
            <a:noFill/>
          </a:ln>
          <a:effectLst/>
        </c:spPr>
        <c:marker>
          <c:symbol val="none"/>
        </c:marker>
      </c:pivotFmt>
      <c:pivotFmt>
        <c:idx val="12"/>
        <c:spPr>
          <a:solidFill>
            <a:schemeClr val="accent6"/>
          </a:solidFill>
          <a:ln>
            <a:noFill/>
          </a:ln>
          <a:effectLst/>
        </c:spPr>
        <c:marker>
          <c:symbol val="none"/>
        </c:marker>
      </c:pivotFmt>
      <c:pivotFmt>
        <c:idx val="13"/>
        <c:spPr>
          <a:solidFill>
            <a:schemeClr val="accent6"/>
          </a:solidFill>
          <a:ln>
            <a:noFill/>
          </a:ln>
          <a:effectLst/>
        </c:spPr>
        <c:marker>
          <c:symbol val="none"/>
        </c:marker>
      </c:pivotFmt>
      <c:pivotFmt>
        <c:idx val="14"/>
        <c:spPr>
          <a:solidFill>
            <a:schemeClr val="accent6"/>
          </a:solidFill>
          <a:ln>
            <a:noFill/>
          </a:ln>
          <a:effectLst/>
        </c:spPr>
        <c:marker>
          <c:symbol val="none"/>
        </c:marker>
      </c:pivotFmt>
      <c:pivotFmt>
        <c:idx val="15"/>
        <c:spPr>
          <a:solidFill>
            <a:schemeClr val="accent6"/>
          </a:solidFill>
          <a:ln>
            <a:noFill/>
          </a:ln>
          <a:effectLst/>
        </c:spPr>
        <c:marker>
          <c:symbol val="none"/>
        </c:marker>
      </c:pivotFmt>
      <c:pivotFmt>
        <c:idx val="16"/>
        <c:spPr>
          <a:solidFill>
            <a:schemeClr val="accent6"/>
          </a:solidFill>
          <a:ln>
            <a:noFill/>
          </a:ln>
          <a:effectLst/>
        </c:spPr>
        <c:marker>
          <c:symbol val="none"/>
        </c:marker>
      </c:pivotFmt>
      <c:pivotFmt>
        <c:idx val="17"/>
        <c:spPr>
          <a:solidFill>
            <a:schemeClr val="accent6"/>
          </a:solidFill>
          <a:ln>
            <a:noFill/>
          </a:ln>
          <a:effectLst/>
        </c:spPr>
        <c:marker>
          <c:symbol val="none"/>
        </c:marker>
      </c:pivotFmt>
      <c:pivotFmt>
        <c:idx val="18"/>
        <c:spPr>
          <a:solidFill>
            <a:schemeClr val="accent6"/>
          </a:solidFill>
          <a:ln>
            <a:noFill/>
          </a:ln>
          <a:effectLst/>
        </c:spPr>
        <c:marker>
          <c:symbol val="none"/>
        </c:marker>
      </c:pivotFmt>
      <c:pivotFmt>
        <c:idx val="19"/>
        <c:spPr>
          <a:solidFill>
            <a:schemeClr val="accent6"/>
          </a:solidFill>
          <a:ln>
            <a:noFill/>
          </a:ln>
          <a:effectLst/>
        </c:spPr>
        <c:marker>
          <c:symbol val="none"/>
        </c:marker>
      </c:pivotFmt>
      <c:pivotFmt>
        <c:idx val="20"/>
        <c:spPr>
          <a:solidFill>
            <a:schemeClr val="accent6"/>
          </a:solidFill>
          <a:ln>
            <a:noFill/>
          </a:ln>
          <a:effectLst/>
        </c:spPr>
        <c:marker>
          <c:symbol val="none"/>
        </c:marker>
      </c:pivotFmt>
      <c:pivotFmt>
        <c:idx val="21"/>
        <c:spPr>
          <a:solidFill>
            <a:schemeClr val="accent6"/>
          </a:solidFill>
          <a:ln>
            <a:noFill/>
          </a:ln>
          <a:effectLst/>
        </c:spPr>
        <c:marker>
          <c:symbol val="none"/>
        </c:marker>
      </c:pivotFmt>
      <c:pivotFmt>
        <c:idx val="22"/>
        <c:spPr>
          <a:solidFill>
            <a:schemeClr val="accent6"/>
          </a:solidFill>
          <a:ln>
            <a:noFill/>
          </a:ln>
          <a:effectLst/>
        </c:spPr>
        <c:marker>
          <c:symbol val="none"/>
        </c:marker>
      </c:pivotFmt>
      <c:pivotFmt>
        <c:idx val="23"/>
        <c:spPr>
          <a:solidFill>
            <a:schemeClr val="accent6"/>
          </a:solidFill>
          <a:ln>
            <a:noFill/>
          </a:ln>
          <a:effectLst/>
        </c:spPr>
        <c:marker>
          <c:symbol val="none"/>
        </c:marker>
      </c:pivotFmt>
      <c:pivotFmt>
        <c:idx val="24"/>
        <c:spPr>
          <a:solidFill>
            <a:schemeClr val="accent6"/>
          </a:solidFill>
          <a:ln>
            <a:noFill/>
          </a:ln>
          <a:effectLst/>
        </c:spPr>
        <c:marker>
          <c:symbol val="none"/>
        </c:marker>
      </c:pivotFmt>
      <c:pivotFmt>
        <c:idx val="25"/>
        <c:spPr>
          <a:solidFill>
            <a:schemeClr val="accent6"/>
          </a:solidFill>
          <a:ln>
            <a:noFill/>
          </a:ln>
          <a:effectLst/>
        </c:spPr>
        <c:marker>
          <c:symbol val="none"/>
        </c:marker>
      </c:pivotFmt>
      <c:pivotFmt>
        <c:idx val="26"/>
        <c:spPr>
          <a:solidFill>
            <a:schemeClr val="accent6"/>
          </a:solidFill>
          <a:ln>
            <a:noFill/>
          </a:ln>
          <a:effectLst/>
        </c:spPr>
        <c:marker>
          <c:symbol val="none"/>
        </c:marker>
      </c:pivotFmt>
      <c:pivotFmt>
        <c:idx val="27"/>
        <c:spPr>
          <a:solidFill>
            <a:schemeClr val="accent6"/>
          </a:solidFill>
          <a:ln>
            <a:noFill/>
          </a:ln>
          <a:effectLst/>
        </c:spPr>
        <c:marker>
          <c:symbol val="none"/>
        </c:marker>
      </c:pivotFmt>
      <c:pivotFmt>
        <c:idx val="28"/>
        <c:spPr>
          <a:solidFill>
            <a:schemeClr val="accent6"/>
          </a:solidFill>
          <a:ln>
            <a:noFill/>
          </a:ln>
          <a:effectLst/>
        </c:spPr>
        <c:marker>
          <c:symbol val="none"/>
        </c:marker>
      </c:pivotFmt>
      <c:pivotFmt>
        <c:idx val="29"/>
        <c:spPr>
          <a:solidFill>
            <a:schemeClr val="accent6"/>
          </a:solidFill>
          <a:ln>
            <a:noFill/>
          </a:ln>
          <a:effectLst/>
        </c:spPr>
        <c:marker>
          <c:symbol val="none"/>
        </c:marker>
      </c:pivotFmt>
      <c:pivotFmt>
        <c:idx val="30"/>
        <c:spPr>
          <a:solidFill>
            <a:schemeClr val="accent6"/>
          </a:solidFill>
          <a:ln>
            <a:noFill/>
          </a:ln>
          <a:effectLst/>
        </c:spPr>
        <c:marker>
          <c:symbol val="none"/>
        </c:marker>
      </c:pivotFmt>
      <c:pivotFmt>
        <c:idx val="31"/>
        <c:spPr>
          <a:solidFill>
            <a:schemeClr val="accent6"/>
          </a:solidFill>
          <a:ln>
            <a:noFill/>
          </a:ln>
          <a:effectLst/>
        </c:spPr>
        <c:marker>
          <c:symbol val="none"/>
        </c:marker>
      </c:pivotFmt>
      <c:pivotFmt>
        <c:idx val="32"/>
        <c:spPr>
          <a:solidFill>
            <a:schemeClr val="accent6"/>
          </a:solidFill>
          <a:ln>
            <a:noFill/>
          </a:ln>
          <a:effectLst/>
        </c:spPr>
        <c:marker>
          <c:symbol val="none"/>
        </c:marker>
      </c:pivotFmt>
      <c:pivotFmt>
        <c:idx val="33"/>
        <c:spPr>
          <a:solidFill>
            <a:schemeClr val="accent6"/>
          </a:solidFill>
          <a:ln>
            <a:noFill/>
          </a:ln>
          <a:effectLst/>
        </c:spPr>
        <c:marker>
          <c:symbol val="none"/>
        </c:marker>
      </c:pivotFmt>
      <c:pivotFmt>
        <c:idx val="34"/>
        <c:spPr>
          <a:solidFill>
            <a:schemeClr val="accent6"/>
          </a:solidFill>
          <a:ln>
            <a:noFill/>
          </a:ln>
          <a:effectLst/>
        </c:spPr>
        <c:marker>
          <c:symbol val="none"/>
        </c:marker>
      </c:pivotFmt>
      <c:pivotFmt>
        <c:idx val="35"/>
        <c:spPr>
          <a:solidFill>
            <a:schemeClr val="accent6"/>
          </a:solidFill>
          <a:ln>
            <a:noFill/>
          </a:ln>
          <a:effectLst/>
        </c:spPr>
        <c:marker>
          <c:symbol val="none"/>
        </c:marker>
      </c:pivotFmt>
      <c:pivotFmt>
        <c:idx val="36"/>
        <c:spPr>
          <a:solidFill>
            <a:schemeClr val="accent6"/>
          </a:solidFill>
          <a:ln>
            <a:noFill/>
          </a:ln>
          <a:effectLst/>
        </c:spPr>
        <c:marker>
          <c:symbol val="none"/>
        </c:marker>
      </c:pivotFmt>
      <c:pivotFmt>
        <c:idx val="37"/>
        <c:spPr>
          <a:solidFill>
            <a:schemeClr val="accent6"/>
          </a:solidFill>
          <a:ln>
            <a:noFill/>
          </a:ln>
          <a:effectLst/>
        </c:spPr>
        <c:marker>
          <c:symbol val="none"/>
        </c:marker>
      </c:pivotFmt>
      <c:pivotFmt>
        <c:idx val="38"/>
        <c:spPr>
          <a:solidFill>
            <a:schemeClr val="accent6"/>
          </a:solidFill>
          <a:ln>
            <a:noFill/>
          </a:ln>
          <a:effectLst/>
        </c:spPr>
        <c:marker>
          <c:symbol val="none"/>
        </c:marker>
      </c:pivotFmt>
      <c:pivotFmt>
        <c:idx val="39"/>
        <c:spPr>
          <a:solidFill>
            <a:schemeClr val="accent6"/>
          </a:solidFill>
          <a:ln>
            <a:noFill/>
          </a:ln>
          <a:effectLst/>
        </c:spPr>
        <c:marker>
          <c:symbol val="none"/>
        </c:marker>
      </c:pivotFmt>
      <c:pivotFmt>
        <c:idx val="40"/>
        <c:spPr>
          <a:solidFill>
            <a:schemeClr val="accent6"/>
          </a:solidFill>
          <a:ln>
            <a:noFill/>
          </a:ln>
          <a:effectLst/>
        </c:spPr>
        <c:marker>
          <c:symbol val="none"/>
        </c:marker>
      </c:pivotFmt>
      <c:pivotFmt>
        <c:idx val="41"/>
        <c:spPr>
          <a:solidFill>
            <a:schemeClr val="accent6"/>
          </a:solidFill>
          <a:ln>
            <a:noFill/>
          </a:ln>
          <a:effectLst/>
        </c:spPr>
        <c:marker>
          <c:symbol val="none"/>
        </c:marker>
      </c:pivotFmt>
      <c:pivotFmt>
        <c:idx val="42"/>
        <c:spPr>
          <a:solidFill>
            <a:schemeClr val="accent6"/>
          </a:solidFill>
          <a:ln>
            <a:noFill/>
          </a:ln>
          <a:effectLst/>
        </c:spPr>
        <c:marker>
          <c:symbol val="none"/>
        </c:marker>
      </c:pivotFmt>
      <c:pivotFmt>
        <c:idx val="43"/>
        <c:spPr>
          <a:solidFill>
            <a:schemeClr val="accent6"/>
          </a:solidFill>
          <a:ln>
            <a:noFill/>
          </a:ln>
          <a:effectLst/>
        </c:spPr>
        <c:marker>
          <c:symbol val="none"/>
        </c:marker>
      </c:pivotFmt>
      <c:pivotFmt>
        <c:idx val="44"/>
        <c:spPr>
          <a:solidFill>
            <a:schemeClr val="accent6"/>
          </a:solidFill>
          <a:ln>
            <a:noFill/>
          </a:ln>
          <a:effectLst/>
        </c:spPr>
        <c:marker>
          <c:symbol val="none"/>
        </c:marker>
      </c:pivotFmt>
      <c:pivotFmt>
        <c:idx val="45"/>
        <c:spPr>
          <a:solidFill>
            <a:schemeClr val="accent6"/>
          </a:solidFill>
          <a:ln>
            <a:noFill/>
          </a:ln>
          <a:effectLst/>
        </c:spPr>
        <c:marker>
          <c:symbol val="none"/>
        </c:marker>
      </c:pivotFmt>
      <c:pivotFmt>
        <c:idx val="46"/>
        <c:spPr>
          <a:solidFill>
            <a:schemeClr val="accent6"/>
          </a:solidFill>
          <a:ln>
            <a:noFill/>
          </a:ln>
          <a:effectLst/>
        </c:spPr>
        <c:marker>
          <c:symbol val="none"/>
        </c:marker>
      </c:pivotFmt>
      <c:pivotFmt>
        <c:idx val="47"/>
        <c:spPr>
          <a:solidFill>
            <a:schemeClr val="accent6"/>
          </a:solidFill>
          <a:ln>
            <a:noFill/>
          </a:ln>
          <a:effectLst/>
        </c:spPr>
        <c:marker>
          <c:symbol val="none"/>
        </c:marker>
      </c:pivotFmt>
      <c:pivotFmt>
        <c:idx val="48"/>
        <c:spPr>
          <a:solidFill>
            <a:schemeClr val="accent6"/>
          </a:solidFill>
          <a:ln>
            <a:noFill/>
          </a:ln>
          <a:effectLst/>
        </c:spPr>
        <c:marker>
          <c:symbol val="none"/>
        </c:marker>
      </c:pivotFmt>
      <c:pivotFmt>
        <c:idx val="49"/>
        <c:spPr>
          <a:solidFill>
            <a:schemeClr val="accent6"/>
          </a:solidFill>
          <a:ln>
            <a:noFill/>
          </a:ln>
          <a:effectLst/>
        </c:spPr>
        <c:marker>
          <c:symbol val="none"/>
        </c:marker>
      </c:pivotFmt>
      <c:pivotFmt>
        <c:idx val="50"/>
        <c:spPr>
          <a:solidFill>
            <a:schemeClr val="accent6"/>
          </a:solidFill>
          <a:ln>
            <a:noFill/>
          </a:ln>
          <a:effectLst/>
        </c:spPr>
        <c:marker>
          <c:symbol val="none"/>
        </c:marker>
      </c:pivotFmt>
      <c:pivotFmt>
        <c:idx val="51"/>
        <c:spPr>
          <a:solidFill>
            <a:schemeClr val="accent6"/>
          </a:solidFill>
          <a:ln>
            <a:noFill/>
          </a:ln>
          <a:effectLst/>
        </c:spPr>
        <c:marker>
          <c:symbol val="none"/>
        </c:marker>
      </c:pivotFmt>
      <c:pivotFmt>
        <c:idx val="52"/>
        <c:spPr>
          <a:solidFill>
            <a:schemeClr val="accent6"/>
          </a:solidFill>
          <a:ln>
            <a:noFill/>
          </a:ln>
          <a:effectLst/>
        </c:spPr>
        <c:marker>
          <c:symbol val="none"/>
        </c:marker>
      </c:pivotFmt>
      <c:pivotFmt>
        <c:idx val="53"/>
        <c:spPr>
          <a:solidFill>
            <a:schemeClr val="accent6"/>
          </a:solidFill>
          <a:ln>
            <a:noFill/>
          </a:ln>
          <a:effectLst/>
        </c:spPr>
        <c:marker>
          <c:symbol val="none"/>
        </c:marker>
      </c:pivotFmt>
      <c:pivotFmt>
        <c:idx val="54"/>
        <c:spPr>
          <a:solidFill>
            <a:schemeClr val="accent6"/>
          </a:solidFill>
          <a:ln>
            <a:noFill/>
          </a:ln>
          <a:effectLst/>
        </c:spPr>
        <c:marker>
          <c:symbol val="none"/>
        </c:marker>
      </c:pivotFmt>
      <c:pivotFmt>
        <c:idx val="55"/>
        <c:spPr>
          <a:solidFill>
            <a:schemeClr val="accent6"/>
          </a:solidFill>
          <a:ln>
            <a:noFill/>
          </a:ln>
          <a:effectLst/>
        </c:spPr>
        <c:marker>
          <c:symbol val="none"/>
        </c:marker>
      </c:pivotFmt>
      <c:pivotFmt>
        <c:idx val="56"/>
        <c:spPr>
          <a:solidFill>
            <a:schemeClr val="accent6"/>
          </a:solidFill>
          <a:ln>
            <a:noFill/>
          </a:ln>
          <a:effectLst/>
        </c:spPr>
        <c:marker>
          <c:symbol val="none"/>
        </c:marker>
      </c:pivotFmt>
      <c:pivotFmt>
        <c:idx val="57"/>
        <c:spPr>
          <a:solidFill>
            <a:schemeClr val="accent6"/>
          </a:solidFill>
          <a:ln>
            <a:noFill/>
          </a:ln>
          <a:effectLst/>
        </c:spPr>
        <c:marker>
          <c:symbol val="none"/>
        </c:marker>
      </c:pivotFmt>
      <c:pivotFmt>
        <c:idx val="58"/>
        <c:spPr>
          <a:solidFill>
            <a:schemeClr val="accent6"/>
          </a:solidFill>
          <a:ln>
            <a:noFill/>
          </a:ln>
          <a:effectLst/>
        </c:spPr>
        <c:marker>
          <c:symbol val="none"/>
        </c:marker>
      </c:pivotFmt>
    </c:pivotFmts>
    <c:plotArea>
      <c:layout/>
      <c:barChart>
        <c:barDir val="col"/>
        <c:grouping val="percentStacked"/>
        <c:varyColors val="0"/>
        <c:ser>
          <c:idx val="0"/>
          <c:order val="0"/>
          <c:tx>
            <c:strRef>
              <c:f>b!$L$5:$L$6</c:f>
              <c:strCache>
                <c:ptCount val="1"/>
                <c:pt idx="0">
                  <c:v>Asian - Bangladesh</c:v>
                </c:pt>
              </c:strCache>
            </c:strRef>
          </c:tx>
          <c:spPr>
            <a:solidFill>
              <a:schemeClr val="accent6"/>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b!$L$7:$L$25</c:f>
              <c:numCache>
                <c:formatCode>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6B80-4EE9-9B67-8702503F852D}"/>
            </c:ext>
          </c:extLst>
        </c:ser>
        <c:ser>
          <c:idx val="1"/>
          <c:order val="1"/>
          <c:tx>
            <c:strRef>
              <c:f>b!$M$5:$M$6</c:f>
              <c:strCache>
                <c:ptCount val="1"/>
                <c:pt idx="0">
                  <c:v>Black - Other</c:v>
                </c:pt>
              </c:strCache>
            </c:strRef>
          </c:tx>
          <c:spPr>
            <a:solidFill>
              <a:schemeClr val="accent5"/>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b!$M$7:$M$25</c:f>
              <c:numCache>
                <c:formatCode>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6B80-4EE9-9B67-8702503F852D}"/>
            </c:ext>
          </c:extLst>
        </c:ser>
        <c:ser>
          <c:idx val="2"/>
          <c:order val="2"/>
          <c:tx>
            <c:strRef>
              <c:f>b!$N$5:$N$6</c:f>
              <c:strCache>
                <c:ptCount val="1"/>
                <c:pt idx="0">
                  <c:v>Chinese</c:v>
                </c:pt>
              </c:strCache>
            </c:strRef>
          </c:tx>
          <c:spPr>
            <a:solidFill>
              <a:schemeClr val="accent4"/>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b!$N$7:$N$25</c:f>
              <c:numCache>
                <c:formatCode>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6B80-4EE9-9B67-8702503F852D}"/>
            </c:ext>
          </c:extLst>
        </c:ser>
        <c:ser>
          <c:idx val="3"/>
          <c:order val="3"/>
          <c:tx>
            <c:strRef>
              <c:f>b!$O$5:$O$6</c:f>
              <c:strCache>
                <c:ptCount val="1"/>
                <c:pt idx="0">
                  <c:v>Indian</c:v>
                </c:pt>
              </c:strCache>
            </c:strRef>
          </c:tx>
          <c:spPr>
            <a:solidFill>
              <a:schemeClr val="accent6">
                <a:lumMod val="6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b!$O$7:$O$25</c:f>
              <c:numCache>
                <c:formatCode>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6B80-4EE9-9B67-8702503F852D}"/>
            </c:ext>
          </c:extLst>
        </c:ser>
        <c:ser>
          <c:idx val="4"/>
          <c:order val="4"/>
          <c:tx>
            <c:strRef>
              <c:f>b!$P$5:$P$6</c:f>
              <c:strCache>
                <c:ptCount val="1"/>
                <c:pt idx="0">
                  <c:v>Mixed - Other</c:v>
                </c:pt>
              </c:strCache>
            </c:strRef>
          </c:tx>
          <c:spPr>
            <a:solidFill>
              <a:schemeClr val="accent5">
                <a:lumMod val="6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b!$P$7:$P$25</c:f>
              <c:numCache>
                <c:formatCode>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6B80-4EE9-9B67-8702503F852D}"/>
            </c:ext>
          </c:extLst>
        </c:ser>
        <c:ser>
          <c:idx val="5"/>
          <c:order val="5"/>
          <c:tx>
            <c:strRef>
              <c:f>b!$Q$5:$Q$6</c:f>
              <c:strCache>
                <c:ptCount val="1"/>
                <c:pt idx="0">
                  <c:v>Pakistani</c:v>
                </c:pt>
              </c:strCache>
            </c:strRef>
          </c:tx>
          <c:spPr>
            <a:solidFill>
              <a:schemeClr val="accent4">
                <a:lumMod val="6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b!$Q$7:$Q$25</c:f>
              <c:numCache>
                <c:formatCode>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6B80-4EE9-9B67-8702503F852D}"/>
            </c:ext>
          </c:extLst>
        </c:ser>
        <c:ser>
          <c:idx val="6"/>
          <c:order val="6"/>
          <c:tx>
            <c:strRef>
              <c:f>b!$R$5:$R$6</c:f>
              <c:strCache>
                <c:ptCount val="1"/>
                <c:pt idx="0">
                  <c:v>White and Black Caribbean</c:v>
                </c:pt>
              </c:strCache>
            </c:strRef>
          </c:tx>
          <c:spPr>
            <a:solidFill>
              <a:schemeClr val="accent6">
                <a:lumMod val="80000"/>
                <a:lumOff val="2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b!$R$7:$R$25</c:f>
              <c:numCache>
                <c:formatCode>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6B80-4EE9-9B67-8702503F852D}"/>
            </c:ext>
          </c:extLst>
        </c:ser>
        <c:ser>
          <c:idx val="7"/>
          <c:order val="7"/>
          <c:tx>
            <c:strRef>
              <c:f>b!$S$5:$S$6</c:f>
              <c:strCache>
                <c:ptCount val="1"/>
                <c:pt idx="0">
                  <c:v>White British</c:v>
                </c:pt>
              </c:strCache>
            </c:strRef>
          </c:tx>
          <c:spPr>
            <a:solidFill>
              <a:schemeClr val="accent5">
                <a:lumMod val="80000"/>
                <a:lumOff val="2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b!$S$7:$S$25</c:f>
              <c:numCache>
                <c:formatCode>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6B80-4EE9-9B67-8702503F852D}"/>
            </c:ext>
          </c:extLst>
        </c:ser>
        <c:ser>
          <c:idx val="8"/>
          <c:order val="8"/>
          <c:tx>
            <c:strRef>
              <c:f>b!$T$5:$T$6</c:f>
              <c:strCache>
                <c:ptCount val="1"/>
                <c:pt idx="0">
                  <c:v>White Irish</c:v>
                </c:pt>
              </c:strCache>
            </c:strRef>
          </c:tx>
          <c:spPr>
            <a:solidFill>
              <a:schemeClr val="accent4">
                <a:lumMod val="80000"/>
                <a:lumOff val="2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b!$T$7:$T$25</c:f>
              <c:numCache>
                <c:formatCode>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6B80-4EE9-9B67-8702503F852D}"/>
            </c:ext>
          </c:extLst>
        </c:ser>
        <c:ser>
          <c:idx val="9"/>
          <c:order val="9"/>
          <c:tx>
            <c:strRef>
              <c:f>b!$U$5:$U$6</c:f>
              <c:strCache>
                <c:ptCount val="1"/>
                <c:pt idx="0">
                  <c:v>White Other</c:v>
                </c:pt>
              </c:strCache>
            </c:strRef>
          </c:tx>
          <c:spPr>
            <a:solidFill>
              <a:schemeClr val="accent6">
                <a:lumMod val="80000"/>
              </a:schemeClr>
            </a:solidFill>
            <a:ln>
              <a:noFill/>
            </a:ln>
            <a:effectLst/>
          </c:spPr>
          <c:invertIfNegative val="0"/>
          <c:cat>
            <c:strRef>
              <c:f>b!$K$7:$K$25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b!$U$7:$U$25</c:f>
              <c:numCache>
                <c:formatCode>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6B80-4EE9-9B67-8702503F852D}"/>
            </c:ext>
          </c:extLst>
        </c:ser>
        <c:dLbls>
          <c:showLegendKey val="0"/>
          <c:showVal val="0"/>
          <c:showCatName val="0"/>
          <c:showSerName val="0"/>
          <c:showPercent val="0"/>
          <c:showBubbleSize val="0"/>
        </c:dLbls>
        <c:gapWidth val="150"/>
        <c:overlap val="100"/>
        <c:axId val="422270616"/>
        <c:axId val="422273568"/>
      </c:barChart>
      <c:catAx>
        <c:axId val="422270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273568"/>
        <c:crosses val="autoZero"/>
        <c:auto val="1"/>
        <c:lblAlgn val="ctr"/>
        <c:lblOffset val="100"/>
        <c:noMultiLvlLbl val="0"/>
      </c:catAx>
      <c:valAx>
        <c:axId val="4222735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2706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[Tables.xlsx]c!PivotTable2</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Disability breakdown overall</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pivotFmt>
      <c:pivotFmt>
        <c:idx val="1"/>
      </c:pivotFmt>
      <c:pivotFmt>
        <c:idx val="2"/>
      </c:pivotFmt>
      <c:pivotFmt>
        <c:idx val="3"/>
        <c:spPr>
          <a:solidFill>
            <a:schemeClr val="accent1"/>
          </a:solidFill>
          <a:ln>
            <a:noFill/>
          </a:ln>
          <a:effectLst>
            <a:outerShdw blurRad="63500" sx="102000" sy="102000" algn="ctr" rotWithShape="0">
              <a:prstClr val="black">
                <a:alpha val="20000"/>
              </a:prst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5"/>
        <c:spPr>
          <a:solidFill>
            <a:schemeClr val="accent2"/>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6"/>
        <c:spPr>
          <a:solidFill>
            <a:schemeClr val="accent1"/>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9"/>
        <c:spPr>
          <a:solidFill>
            <a:schemeClr val="accent1"/>
          </a:solidFill>
          <a:ln>
            <a:noFill/>
          </a:ln>
          <a:effectLst>
            <a:outerShdw blurRad="63500" sx="102000" sy="102000" algn="ctr"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0"/>
        <c:spPr>
          <a:solidFill>
            <a:schemeClr val="accent1"/>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63500" sx="102000" sy="102000" algn="ctr" rotWithShape="0">
              <a:prstClr val="black">
                <a:alpha val="20000"/>
              </a:prstClr>
            </a:outerShdw>
          </a:effectLst>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'c'!$L$3</c:f>
              <c:strCache>
                <c:ptCount val="1"/>
                <c:pt idx="0">
                  <c:v>Total</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AC7-4288-B26C-7A5FF57951AA}"/>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AC7-4288-B26C-7A5FF57951A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AC7-4288-B26C-7A5FF57951A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AC7-4288-B26C-7A5FF57951AA}"/>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'c'!$K$4:$K$6</c:f>
              <c:strCache>
                <c:ptCount val="2"/>
                <c:pt idx="0">
                  <c:v>Disabled</c:v>
                </c:pt>
                <c:pt idx="1">
                  <c:v>Not disabled</c:v>
                </c:pt>
              </c:strCache>
            </c:strRef>
          </c:cat>
          <c:val>
            <c:numRef>
              <c:f>'c'!$L$4:$L$6</c:f>
              <c:numCache>
                <c:formatCode>0%</c:formatCode>
                <c:ptCount val="2"/>
                <c:pt idx="0">
                  <c:v>8.0769230769230774E-2</c:v>
                </c:pt>
                <c:pt idx="1">
                  <c:v>0.91923076923076918</c:v>
                </c:pt>
              </c:numCache>
            </c:numRef>
          </c:val>
          <c:extLst>
            <c:ext xmlns:c16="http://schemas.microsoft.com/office/drawing/2014/chart" uri="{C3380CC4-5D6E-409C-BE32-E72D297353CC}">
              <c16:uniqueId val="{00000004-DAC7-4288-B26C-7A5FF57951AA}"/>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[Tables.xlsx]c!PivotTable3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breakdown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s>
    <c:plotArea>
      <c:layout/>
      <c:barChart>
        <c:barDir val="col"/>
        <c:grouping val="percentStacked"/>
        <c:varyColors val="0"/>
        <c:ser>
          <c:idx val="0"/>
          <c:order val="0"/>
          <c:tx>
            <c:strRef>
              <c:f>'c'!$L$20:$L$21</c:f>
              <c:strCache>
                <c:ptCount val="1"/>
                <c:pt idx="0">
                  <c:v>Disabled</c:v>
                </c:pt>
              </c:strCache>
            </c:strRef>
          </c:tx>
          <c:spPr>
            <a:solidFill>
              <a:schemeClr val="accent1"/>
            </a:solidFill>
            <a:ln>
              <a:noFill/>
            </a:ln>
            <a:effectLst/>
          </c:spPr>
          <c:invertIfNegative val="0"/>
          <c:cat>
            <c:strRef>
              <c:f>'c'!$K$22:$K$40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'c'!$L$22:$L$40</c:f>
              <c:numCache>
                <c:formatCode>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6359-4C44-80C4-21C0D3CB1A5A}"/>
            </c:ext>
          </c:extLst>
        </c:ser>
        <c:ser>
          <c:idx val="1"/>
          <c:order val="1"/>
          <c:tx>
            <c:strRef>
              <c:f>'c'!$M$20:$M$21</c:f>
              <c:strCache>
                <c:ptCount val="1"/>
                <c:pt idx="0">
                  <c:v>Not disabled</c:v>
                </c:pt>
              </c:strCache>
            </c:strRef>
          </c:tx>
          <c:spPr>
            <a:solidFill>
              <a:schemeClr val="accent2"/>
            </a:solidFill>
            <a:ln>
              <a:noFill/>
            </a:ln>
            <a:effectLst/>
          </c:spPr>
          <c:invertIfNegative val="0"/>
          <c:cat>
            <c:strRef>
              <c:f>'c'!$K$22:$K$40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'c'!$M$22:$M$40</c:f>
              <c:numCache>
                <c:formatCode>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6359-4C44-80C4-21C0D3CB1A5A}"/>
            </c:ext>
          </c:extLst>
        </c:ser>
        <c:dLbls>
          <c:showLegendKey val="0"/>
          <c:showVal val="0"/>
          <c:showCatName val="0"/>
          <c:showSerName val="0"/>
          <c:showPercent val="0"/>
          <c:showBubbleSize val="0"/>
        </c:dLbls>
        <c:gapWidth val="150"/>
        <c:overlap val="100"/>
        <c:axId val="424406664"/>
        <c:axId val="424407976"/>
      </c:barChart>
      <c:catAx>
        <c:axId val="424406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407976"/>
        <c:crosses val="autoZero"/>
        <c:auto val="1"/>
        <c:lblAlgn val="ctr"/>
        <c:lblOffset val="100"/>
        <c:noMultiLvlLbl val="0"/>
      </c:catAx>
      <c:valAx>
        <c:axId val="424407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4066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Median and Mean salary</a:t>
            </a:r>
            <a:r>
              <a:rPr lang="en-GB" baseline="0"/>
              <a:t> by </a:t>
            </a: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Sheet2!$N$8</c:f>
              <c:strCache>
                <c:ptCount val="1"/>
                <c:pt idx="0">
                  <c:v>Median</c:v>
                </c:pt>
              </c:strCache>
            </c:strRef>
          </c:tx>
          <c:spPr>
            <a:solidFill>
              <a:schemeClr val="accent1"/>
            </a:solidFill>
            <a:ln>
              <a:noFill/>
            </a:ln>
            <a:effectLst/>
          </c:spPr>
          <c:invertIfNegative val="0"/>
          <c:cat>
            <c:strRef>
              <c:f>Sheet2!$M$9:$M$11</c:f>
              <c:strCache>
                <c:ptCount val="3"/>
                <c:pt idx="0">
                  <c:v>Female</c:v>
                </c:pt>
                <c:pt idx="1">
                  <c:v>Male</c:v>
                </c:pt>
                <c:pt idx="2">
                  <c:v>Non-Binary</c:v>
                </c:pt>
              </c:strCache>
            </c:strRef>
          </c:cat>
          <c:val>
            <c:numRef>
              <c:f>Sheet2!$N$9:$N$11</c:f>
              <c:numCache>
                <c:formatCode>"£"#,##0.00</c:formatCode>
                <c:ptCount val="3"/>
                <c:pt idx="0">
                  <c:v>26645</c:v>
                </c:pt>
                <c:pt idx="1">
                  <c:v>29500</c:v>
                </c:pt>
                <c:pt idx="2">
                  <c:v>19500</c:v>
                </c:pt>
              </c:numCache>
            </c:numRef>
          </c:val>
          <c:extLst>
            <c:ext xmlns:c16="http://schemas.microsoft.com/office/drawing/2014/chart" uri="{C3380CC4-5D6E-409C-BE32-E72D297353CC}">
              <c16:uniqueId val="{00000000-5553-4A03-93F8-6A368F14FC8F}"/>
            </c:ext>
          </c:extLst>
        </c:ser>
        <c:ser>
          <c:idx val="1"/>
          <c:order val="1"/>
          <c:tx>
            <c:strRef>
              <c:f>Sheet2!$O$8</c:f>
              <c:strCache>
                <c:ptCount val="1"/>
                <c:pt idx="0">
                  <c:v>Mean</c:v>
                </c:pt>
              </c:strCache>
            </c:strRef>
          </c:tx>
          <c:spPr>
            <a:solidFill>
              <a:schemeClr val="accent2"/>
            </a:solidFill>
            <a:ln>
              <a:noFill/>
            </a:ln>
            <a:effectLst/>
          </c:spPr>
          <c:invertIfNegative val="0"/>
          <c:cat>
            <c:strRef>
              <c:f>Sheet2!$M$9:$M$11</c:f>
              <c:strCache>
                <c:ptCount val="3"/>
                <c:pt idx="0">
                  <c:v>Female</c:v>
                </c:pt>
                <c:pt idx="1">
                  <c:v>Male</c:v>
                </c:pt>
                <c:pt idx="2">
                  <c:v>Non-Binary</c:v>
                </c:pt>
              </c:strCache>
            </c:strRef>
          </c:cat>
          <c:val>
            <c:numRef>
              <c:f>Sheet2!$O$9:$O$11</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1-5553-4A03-93F8-6A368F14FC8F}"/>
            </c:ext>
          </c:extLst>
        </c:ser>
        <c:dLbls>
          <c:showLegendKey val="0"/>
          <c:showVal val="0"/>
          <c:showCatName val="0"/>
          <c:showSerName val="0"/>
          <c:showPercent val="0"/>
          <c:showBubbleSize val="0"/>
        </c:dLbls>
        <c:gapWidth val="219"/>
        <c:overlap val="-27"/>
        <c:axId val="289233368"/>
        <c:axId val="289234352"/>
      </c:barChart>
      <c:catAx>
        <c:axId val="289233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34352"/>
        <c:crosses val="autoZero"/>
        <c:auto val="1"/>
        <c:lblAlgn val="ctr"/>
        <c:lblOffset val="100"/>
        <c:noMultiLvlLbl val="0"/>
      </c:catAx>
      <c:valAx>
        <c:axId val="28923435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233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Average salary</a:t>
            </a:r>
            <a:r>
              <a:rPr lang="en-GB" baseline="0"/>
              <a:t> across genders and overall</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'e2'!$M$2</c:f>
              <c:strCache>
                <c:ptCount val="1"/>
                <c:pt idx="0">
                  <c:v>Average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'e2'!$L$3:$L$5</c:f>
              <c:strCache>
                <c:ptCount val="3"/>
                <c:pt idx="0">
                  <c:v>Female</c:v>
                </c:pt>
                <c:pt idx="1">
                  <c:v>Male</c:v>
                </c:pt>
                <c:pt idx="2">
                  <c:v>Non-binary</c:v>
                </c:pt>
              </c:strCache>
            </c:strRef>
          </c:cat>
          <c:val>
            <c:numRef>
              <c:f>'e2'!$M$3:$M$5</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0-1794-4699-BC75-2D3EF9B04264}"/>
            </c:ext>
          </c:extLst>
        </c:ser>
        <c:ser>
          <c:idx val="1"/>
          <c:order val="1"/>
          <c:tx>
            <c:strRef>
              <c:f>'e2'!$N$2</c:f>
              <c:strCache>
                <c:ptCount val="1"/>
                <c:pt idx="0">
                  <c:v>Overall average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'e2'!$L$3:$L$5</c:f>
              <c:strCache>
                <c:ptCount val="3"/>
                <c:pt idx="0">
                  <c:v>Female</c:v>
                </c:pt>
                <c:pt idx="1">
                  <c:v>Male</c:v>
                </c:pt>
                <c:pt idx="2">
                  <c:v>Non-binary</c:v>
                </c:pt>
              </c:strCache>
            </c:strRef>
          </c:cat>
          <c:val>
            <c:numRef>
              <c:f>'e2'!$N$3:$N$5</c:f>
              <c:numCache>
                <c:formatCode>"£"#,##0.00</c:formatCode>
                <c:ptCount val="3"/>
                <c:pt idx="0">
                  <c:v>31757.46</c:v>
                </c:pt>
                <c:pt idx="1">
                  <c:v>31757.46</c:v>
                </c:pt>
                <c:pt idx="2">
                  <c:v>31757.46</c:v>
                </c:pt>
              </c:numCache>
            </c:numRef>
          </c:val>
          <c:extLst>
            <c:ext xmlns:c16="http://schemas.microsoft.com/office/drawing/2014/chart" uri="{C3380CC4-5D6E-409C-BE32-E72D297353CC}">
              <c16:uniqueId val="{00000001-1794-4699-BC75-2D3EF9B04264}"/>
            </c:ext>
          </c:extLst>
        </c:ser>
        <c:dLbls>
          <c:dLblPos val="outEnd"/>
          <c:showLegendKey val="0"/>
          <c:showVal val="1"/>
          <c:showCatName val="0"/>
          <c:showSerName val="0"/>
          <c:showPercent val="0"/>
          <c:showBubbleSize val="0"/>
        </c:dLbls>
        <c:gapWidth val="100"/>
        <c:overlap val="-24"/>
        <c:axId val="533546040"/>
        <c:axId val="533544728"/>
      </c:barChart>
      <c:catAx>
        <c:axId val="53354604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3544728"/>
        <c:crosses val="autoZero"/>
        <c:auto val="1"/>
        <c:lblAlgn val="ctr"/>
        <c:lblOffset val="100"/>
        <c:noMultiLvlLbl val="0"/>
      </c:catAx>
      <c:valAx>
        <c:axId val="533544728"/>
        <c:scaling>
          <c:orientation val="minMax"/>
        </c:scaling>
        <c:delete val="0"/>
        <c:axPos val="l"/>
        <c:majorGridlines>
          <c:spPr>
            <a:ln w="9525" cap="flat" cmpd="sng" algn="ctr">
              <a:solidFill>
                <a:schemeClr val="tx2">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3546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Feedback on Hybrid</a:t>
            </a:r>
            <a:r>
              <a:rPr lang="en-GB" baseline="0"/>
              <a:t> Working Practices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'[Worksheet table 2 Evidence Based Practice 2023.xlsx]Sheet1'!$N$7</c:f>
              <c:strCache>
                <c:ptCount val="1"/>
                <c:pt idx="0">
                  <c:v>Agree/fully agree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2 Evidence Based Practice 2023.xlsx]Sheet1'!$M$8:$M$21</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2023.xlsx]Sheet1'!$N$8:$N$21</c:f>
              <c:numCache>
                <c:formatCode>0%</c:formatCode>
                <c:ptCount val="14"/>
                <c:pt idx="0">
                  <c:v>0.56333333333333335</c:v>
                </c:pt>
                <c:pt idx="1">
                  <c:v>0.82333333333333336</c:v>
                </c:pt>
                <c:pt idx="2">
                  <c:v>7.0000000000000007E-2</c:v>
                </c:pt>
                <c:pt idx="3">
                  <c:v>0.14000000000000001</c:v>
                </c:pt>
                <c:pt idx="4">
                  <c:v>0.24333333333333335</c:v>
                </c:pt>
                <c:pt idx="5">
                  <c:v>0.64333333333333331</c:v>
                </c:pt>
                <c:pt idx="6">
                  <c:v>0.49333333333333335</c:v>
                </c:pt>
                <c:pt idx="7">
                  <c:v>0.38666666666666666</c:v>
                </c:pt>
                <c:pt idx="8">
                  <c:v>0.62</c:v>
                </c:pt>
                <c:pt idx="9">
                  <c:v>0.33333333333333331</c:v>
                </c:pt>
                <c:pt idx="10">
                  <c:v>0.49</c:v>
                </c:pt>
                <c:pt idx="11">
                  <c:v>0.59</c:v>
                </c:pt>
                <c:pt idx="12">
                  <c:v>0.15</c:v>
                </c:pt>
                <c:pt idx="13">
                  <c:v>0.46333333333333332</c:v>
                </c:pt>
              </c:numCache>
            </c:numRef>
          </c:val>
          <c:extLst>
            <c:ext xmlns:c16="http://schemas.microsoft.com/office/drawing/2014/chart" uri="{C3380CC4-5D6E-409C-BE32-E72D297353CC}">
              <c16:uniqueId val="{00000000-6DDA-4C5D-BA2A-BA8AE28D0E4B}"/>
            </c:ext>
          </c:extLst>
        </c:ser>
        <c:ser>
          <c:idx val="1"/>
          <c:order val="1"/>
          <c:tx>
            <c:strRef>
              <c:f>'[Worksheet table 2 Evidence Based Practice 2023.xlsx]Sheet1'!$O$7</c:f>
              <c:strCache>
                <c:ptCount val="1"/>
                <c:pt idx="0">
                  <c:v>Unsure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2 Evidence Based Practice 2023.xlsx]Sheet1'!$M$8:$M$21</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2023.xlsx]Sheet1'!$O$8:$O$21</c:f>
              <c:numCache>
                <c:formatCode>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1-6DDA-4C5D-BA2A-BA8AE28D0E4B}"/>
            </c:ext>
          </c:extLst>
        </c:ser>
        <c:ser>
          <c:idx val="2"/>
          <c:order val="2"/>
          <c:tx>
            <c:strRef>
              <c:f>'[Worksheet table 2 Evidence Based Practice 2023.xlsx]Sheet1'!$P$7</c:f>
              <c:strCache>
                <c:ptCount val="1"/>
                <c:pt idx="0">
                  <c:v>Disagree/strongly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table 2 Evidence Based Practice 2023.xlsx]Sheet1'!$M$8:$M$21</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2023.xlsx]Sheet1'!$P$8:$P$21</c:f>
              <c:numCache>
                <c:formatCode>0%</c:formatCode>
                <c:ptCount val="14"/>
                <c:pt idx="0">
                  <c:v>0.37333333333333335</c:v>
                </c:pt>
                <c:pt idx="1">
                  <c:v>0.14000000000000001</c:v>
                </c:pt>
                <c:pt idx="2">
                  <c:v>0.83</c:v>
                </c:pt>
                <c:pt idx="3">
                  <c:v>0.8</c:v>
                </c:pt>
                <c:pt idx="4">
                  <c:v>0.42</c:v>
                </c:pt>
                <c:pt idx="5">
                  <c:v>0.28000000000000003</c:v>
                </c:pt>
                <c:pt idx="6">
                  <c:v>0.49</c:v>
                </c:pt>
                <c:pt idx="7">
                  <c:v>0.59666666666666668</c:v>
                </c:pt>
                <c:pt idx="8">
                  <c:v>0.37</c:v>
                </c:pt>
                <c:pt idx="9">
                  <c:v>0.66333333333333333</c:v>
                </c:pt>
                <c:pt idx="10">
                  <c:v>0.49</c:v>
                </c:pt>
                <c:pt idx="11">
                  <c:v>0.38666666666666666</c:v>
                </c:pt>
                <c:pt idx="12">
                  <c:v>0.85</c:v>
                </c:pt>
                <c:pt idx="13">
                  <c:v>0.53</c:v>
                </c:pt>
              </c:numCache>
            </c:numRef>
          </c:val>
          <c:extLst>
            <c:ext xmlns:c16="http://schemas.microsoft.com/office/drawing/2014/chart" uri="{C3380CC4-5D6E-409C-BE32-E72D297353CC}">
              <c16:uniqueId val="{00000002-6DDA-4C5D-BA2A-BA8AE28D0E4B}"/>
            </c:ext>
          </c:extLst>
        </c:ser>
        <c:dLbls>
          <c:dLblPos val="ctr"/>
          <c:showLegendKey val="0"/>
          <c:showVal val="1"/>
          <c:showCatName val="0"/>
          <c:showSerName val="0"/>
          <c:showPercent val="0"/>
          <c:showBubbleSize val="0"/>
        </c:dLbls>
        <c:gapWidth val="150"/>
        <c:overlap val="100"/>
        <c:axId val="461006880"/>
        <c:axId val="461014752"/>
      </c:barChart>
      <c:catAx>
        <c:axId val="461006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50" b="0" i="0" u="none" strike="noStrike" kern="1200" baseline="0">
                <a:solidFill>
                  <a:schemeClr val="tx1">
                    <a:lumMod val="65000"/>
                    <a:lumOff val="35000"/>
                  </a:schemeClr>
                </a:solidFill>
                <a:latin typeface="+mn-lt"/>
                <a:ea typeface="+mn-ea"/>
                <a:cs typeface="+mn-cs"/>
              </a:defRPr>
            </a:pPr>
            <a:endParaRPr lang="en-US"/>
          </a:p>
        </c:txPr>
        <c:crossAx val="461014752"/>
        <c:crosses val="autoZero"/>
        <c:auto val="1"/>
        <c:lblAlgn val="ctr"/>
        <c:lblOffset val="100"/>
        <c:noMultiLvlLbl val="0"/>
      </c:catAx>
      <c:valAx>
        <c:axId val="4610147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06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14D23-9041-4E0F-8694-3001CC804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5437</TotalTime>
  <Pages>19</Pages>
  <Words>5019</Words>
  <Characters>28612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64</cp:revision>
  <dcterms:created xsi:type="dcterms:W3CDTF">2023-10-15T14:28:00Z</dcterms:created>
  <dcterms:modified xsi:type="dcterms:W3CDTF">2023-11-24T23:01:00Z</dcterms:modified>
</cp:coreProperties>
</file>