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u w:val="single"/>
        </w:rPr>
      </w:pPr>
      <w:r>
        <w:rPr>
          <w:b/>
          <w:bCs/>
          <w:u w:val="single"/>
          <w:lang w:val="en-GB"/>
        </w:rPr>
        <w:tab/>
        <w:t>Wales in Patagonia and Ukrainians in Canada: migration of culture and the will to keep the heritage of ancestors. Is identity a choice?</w:t>
      </w:r>
    </w:p>
    <w:p>
      <w:pPr>
        <w:pStyle w:val="Normal"/>
        <w:spacing w:lineRule="auto" w:line="360"/>
        <w:jc w:val="both"/>
        <w:rPr>
          <w:u w:val="single"/>
        </w:rPr>
      </w:pPr>
      <w:r>
        <w:rPr>
          <w:u w:val="none"/>
        </w:rPr>
        <w:tab/>
      </w:r>
      <w:r>
        <w:rPr>
          <w:u w:val="none"/>
          <w:lang w:val="en-GB"/>
        </w:rPr>
        <w:t>Identity and culture are both social attributes of an individual that exist in the group context and are subjected to the history, traditions and territory where the people of identity and culture live. This work studies the features of identity adaptation in the framework of immigrant ethnic groups. For the study are chosen Ukrainians in Canada and Wales in Patagonia. This essay aims to find the similarities and common trends in the two "</w:t>
      </w:r>
      <w:r>
        <w:rPr>
          <w:i w:val="false"/>
          <w:iCs w:val="false"/>
          <w:u w:val="none"/>
          <w:lang w:val="en-GB"/>
        </w:rPr>
        <w:t>migrated identities</w:t>
      </w:r>
      <w:r>
        <w:rPr>
          <w:u w:val="none"/>
          <w:lang w:val="en-GB"/>
        </w:rPr>
        <w:t>”</w:t>
      </w:r>
      <w:r>
        <w:rPr>
          <w:i/>
          <w:iCs/>
          <w:u w:val="none"/>
          <w:lang w:val="en-GB"/>
        </w:rPr>
        <w:t xml:space="preserve">. </w:t>
      </w:r>
      <w:r>
        <w:rPr>
          <w:i w:val="false"/>
          <w:iCs w:val="false"/>
          <w:u w:val="none"/>
          <w:lang w:val="en-GB"/>
        </w:rPr>
        <w:t>Andriy Nahachewsky writes about ethnicity as “</w:t>
      </w:r>
      <w:r>
        <w:rPr>
          <w:i/>
          <w:iCs/>
          <w:u w:val="none"/>
          <w:lang w:val="en-GB"/>
        </w:rPr>
        <w:t>a constructed part of reality and a learned aspect of identity</w:t>
      </w:r>
      <w:r>
        <w:rPr>
          <w:i w:val="false"/>
          <w:iCs w:val="false"/>
          <w:u w:val="none"/>
          <w:lang w:val="en-GB"/>
        </w:rPr>
        <w:t>" (Nahachewsky, 2002; p. 175). I problematize the part with the "learned aspect", and in this work try to seek evidence for the point that identity in terms of ethnicity is not only something that a person is born into but also a choice, very often political – for this point stands also the study of Leonie Huddy on the identity theories (Huddy, 2002; pp. 127-128). Simultaneously the following questions will be reviewed in this essay: How does identity change when a person migrates, leaving their people and the cultural environment behind? If it is a constructed part of reality, does that mean the people would adapt their identity to the new conditions? And if it is only a learned part of identity, does that mean when there is no learning aimed at identity, there is also no necessity to differentiate?</w:t>
      </w:r>
    </w:p>
    <w:p>
      <w:pPr>
        <w:pStyle w:val="Normal"/>
        <w:spacing w:lineRule="auto" w:line="360"/>
        <w:jc w:val="both"/>
        <w:rPr>
          <w:u w:val="single"/>
        </w:rPr>
      </w:pPr>
      <w:r>
        <w:rPr>
          <w:i w:val="false"/>
          <w:iCs w:val="false"/>
          <w:u w:val="none"/>
          <w:lang w:val="en-GB"/>
        </w:rPr>
        <w:tab/>
        <w:t>The choice of the two ethnicities is not accidental: the two possess quite interesting similarities. Ukrainian people for the most time in their recent history have been fighting to acquire sovereignty and freedom from other kingdoms' influence, the territory divided between several countries. Ukrainian culture: language, traditions, arts – were all left to struggle in the environment of division, inferiority and even bans of culture (for example, Ems decree banning the use and even mentioning of Ukrainian cultural heritage back in 1876). Welsh people have been incorporated into the Kingdom of Great Britain, where Welsh culture suffered assimilation in the face of the superior culture of the English Empire, which at first failed to recognise the damage that neglection had brought to the smaller nations.</w:t>
      </w:r>
    </w:p>
    <w:p>
      <w:pPr>
        <w:pStyle w:val="Normal"/>
        <w:spacing w:lineRule="auto" w:line="360"/>
        <w:jc w:val="both"/>
        <w:rPr>
          <w:u w:val="single"/>
        </w:rPr>
      </w:pPr>
      <w:r>
        <w:rPr/>
        <w:tab/>
        <w:t>Differences start in the goals and the ways people had come to the decision to leave their homeland to find themselves a new home, and also in the numbers of migrants overall. The Ukrainian ethnic group in Canada is one of the major ethnic groups, ranked 9</w:t>
      </w:r>
      <w:r>
        <w:rPr>
          <w:vertAlign w:val="superscript"/>
        </w:rPr>
        <w:t>th</w:t>
      </w:r>
      <w:r>
        <w:rPr/>
        <w:t xml:space="preserve"> and totalling roughly 1.2 million people (Prymak, 2015; p. 233). As of 1951, the ethnic composition of Canada consisted of 28 Ukrainians per thousand,</w:t>
      </w:r>
      <w:r>
        <w:rPr>
          <w:lang w:val="en-GB"/>
        </w:rPr>
        <w:t xml:space="preserve"> constituting </w:t>
      </w:r>
      <w:r>
        <w:rPr/>
        <w:t>the fourth ethnic majority (Prymak, 2015; p. 251). It was particularly interesting, that even though the first Ukrainians had migrated around the 1890s, back then they were not referred to as Ukrainians.</w:t>
      </w:r>
      <w:r>
        <w:rPr>
          <w:lang w:val="en-GB"/>
        </w:rPr>
        <w:t xml:space="preserve"> The reasoning behind </w:t>
      </w:r>
      <w:r>
        <w:rPr/>
        <w:t>as modern Ukrainian territory was divided between the Habsburg monarchy and the Russian Empire – therefore they were called "</w:t>
      </w:r>
      <w:r>
        <w:rPr>
          <w:i/>
          <w:iCs/>
        </w:rPr>
        <w:t>Ruthenen</w:t>
      </w:r>
      <w:r>
        <w:rPr/>
        <w:t>” and then “Galicians”(Prymak, 2015; p. 234).</w:t>
      </w:r>
      <w:r>
        <w:rPr>
          <w:lang w:val="en-GB"/>
        </w:rPr>
        <w:t xml:space="preserve"> The ethnic referral Ukrainian came later when the fame of the liberation movements had become noticeable in the world. Although such a movement existed, what many people sought was a decent level of life, and a chance to live outside of serfdom and poverty. However, they had never looked for a way to end the connection with their former life. The confirmation of that could be found i</w:t>
      </w:r>
      <w:r>
        <w:rPr/>
        <w:t xml:space="preserve">n the other work, revolving around the life of Ivan Franko, Thomas M. Prymak mentioned that even though immigrants have moved </w:t>
      </w:r>
      <w:r>
        <w:rPr>
          <w:lang w:val="en-GB"/>
        </w:rPr>
        <w:t>to</w:t>
      </w:r>
      <w:r>
        <w:rPr/>
        <w:t xml:space="preserve"> the other half of the world, that did not stop them from keeping in touch with their homeland (</w:t>
      </w:r>
      <w:r>
        <w:rPr>
          <w:lang w:val="en-GB"/>
        </w:rPr>
        <w:t>1984; pp. 315-316</w:t>
      </w:r>
      <w:r>
        <w:rPr/>
        <w:t xml:space="preserve">). </w:t>
      </w:r>
      <w:r>
        <w:rPr>
          <w:lang w:val="en-GB"/>
        </w:rPr>
        <w:t>Ukrainians were aiming to escape the unbearable living conditions, poverty, and famine – not their home, but the circumstances.</w:t>
      </w:r>
    </w:p>
    <w:p>
      <w:pPr>
        <w:pStyle w:val="Normal"/>
        <w:spacing w:lineRule="auto" w:line="360"/>
        <w:jc w:val="both"/>
        <w:rPr>
          <w:u w:val="single"/>
        </w:rPr>
      </w:pPr>
      <w:r>
        <w:rPr>
          <w:lang w:val="en-GB"/>
        </w:rPr>
        <w:tab/>
        <w:t>Welsh do not make similar statistics in Argentina, and the situation in general was not the same for the Welsh: the estimated numbers are roughly 70,000 people, living in the settlement area called Y Wladfa (</w:t>
      </w:r>
      <w:r>
        <w:rPr>
          <w:i/>
          <w:iCs/>
          <w:lang w:val="en-GB"/>
        </w:rPr>
        <w:t xml:space="preserve">welsh </w:t>
      </w:r>
      <w:r>
        <w:rPr>
          <w:i w:val="false"/>
          <w:iCs w:val="false"/>
          <w:lang w:val="en-GB"/>
        </w:rPr>
        <w:t>The Colony</w:t>
      </w:r>
      <w:r>
        <w:rPr>
          <w:lang w:val="en-GB"/>
        </w:rPr>
        <w:t>). The group of Welsh pioneered to establish a permanent settlement in Patagonia back in 1865 (Williams, 1971; p. 79). They found a secluded, relatively distant space where it would be possible to retain a kind of sovereignty over their development. In fact, their contract with the Spanish government had allowed them to have autonomy, exemption of military service and supply of different goods from the Spanish government of Argentina (Baur, 1954; p. 471), which was even better than they would hope for. Thanks to that adventurous spirit, that allowed them to risk their established life to obtain a chance to sustain their culture, there is today a "Wales" in Patagonia, that still has people proud of their Welsh heritage (Malathronas, 2018). A particularly interesting aspect of the Welsh settlement project was formulated well by Lucy Taylor: Welsh settlers were thus "</w:t>
      </w:r>
      <w:r>
        <w:rPr>
          <w:i/>
          <w:iCs/>
          <w:lang w:val="en-GB"/>
        </w:rPr>
        <w:t>both colonizer and colonized</w:t>
      </w:r>
      <w:r>
        <w:rPr>
          <w:i w:val="false"/>
          <w:iCs w:val="false"/>
          <w:lang w:val="en-GB"/>
        </w:rPr>
        <w:t>". Stripped of sovereignty by the British Empire, they sought to find their sacred homeland on the same principle of colonization (Taylor, 2018; p. 447), which is even reflected in the name.</w:t>
      </w:r>
    </w:p>
    <w:p>
      <w:pPr>
        <w:pStyle w:val="Normal"/>
        <w:spacing w:lineRule="auto" w:line="360"/>
        <w:jc w:val="both"/>
        <w:rPr>
          <w:u w:val="single"/>
        </w:rPr>
      </w:pPr>
      <w:r>
        <w:rPr>
          <w:lang w:val="en-GB"/>
        </w:rPr>
        <w:tab/>
        <w:t>Ukrainians, on the other hand, were scattered all across the vast territories of Canada. After the Second World War there was yet another wave (</w:t>
      </w:r>
      <w:r>
        <w:rPr>
          <w:i/>
          <w:iCs/>
          <w:lang w:val="en-GB"/>
        </w:rPr>
        <w:t xml:space="preserve">as in </w:t>
      </w:r>
      <w:r>
        <w:rPr>
          <w:i w:val="false"/>
          <w:iCs w:val="false"/>
          <w:lang w:val="en-GB"/>
        </w:rPr>
        <w:t>numerous flows over a short period of time</w:t>
      </w:r>
      <w:r>
        <w:rPr>
          <w:lang w:val="en-GB"/>
        </w:rPr>
        <w:t>) of Ukrainians into Canada, these were the post-war refugees seeking shelter from the atrocities that they had lived through in Europe, and Canada, that had already a considerable Ukrainian diaspora, became a destination for some around 35 thousand Ukrainians (Stebelsky, 1991; p. 123-124). There have also been limitations imposed on the admission to Canadian immigration, with which not all complied: such were political affiliations (those who fought on the German side of the war were not allowed because the USSR was the war ally and the veterans from Canadian military would have been ignored by such a decision), health and gender (healthy young men were at advantage). Most of the refugees were purposefully coming in order to work at hard, physically demanding jobs, for instance – stone quarries or lumber yards (Luciuk, 1986; p. 476). And for Welsh settlers, the main reason to aim for Patagonia was political interest supported by the Argentinian government (Williams, 1968; p. 122) which was supported in 1875 with the official title to their land (Williams, 1968; p. 130).</w:t>
      </w:r>
    </w:p>
    <w:p>
      <w:pPr>
        <w:pStyle w:val="Normal"/>
        <w:spacing w:lineRule="auto" w:line="360"/>
        <w:jc w:val="both"/>
        <w:rPr>
          <w:u w:val="single"/>
        </w:rPr>
      </w:pPr>
      <w:r>
        <w:rPr/>
        <w:tab/>
        <w:t>Ukrainian migrant community also did not completely miss on the establishment of some official organisations for the aim of voicing out their presence. In 1960, the so-called "Tovarystvo 'Ukraina'" (</w:t>
      </w:r>
      <w:r>
        <w:rPr>
          <w:i/>
          <w:iCs/>
        </w:rPr>
        <w:t xml:space="preserve">ukr. </w:t>
      </w:r>
      <w:r>
        <w:rPr>
          <w:i w:val="false"/>
          <w:iCs w:val="false"/>
        </w:rPr>
        <w:t xml:space="preserve">The </w:t>
      </w:r>
      <w:r>
        <w:rPr>
          <w:i w:val="false"/>
          <w:iCs w:val="false"/>
          <w:u w:val="none"/>
        </w:rPr>
        <w:t>Ukraine Society</w:t>
      </w:r>
      <w:r>
        <w:rPr/>
        <w:t xml:space="preserve">) was established with the aim of helping friendly Ukrainian organisations and individuals in Canada and the West in their relations with Soviet Ukraine (Prymak, 2015; p. 253) – </w:t>
      </w:r>
      <w:r>
        <w:rPr>
          <w:lang w:val="en-GB"/>
        </w:rPr>
        <w:t>such establishment had demonstrated desire to take a part in the political part of life not only inside of Canada, but also to support Ukrainian community inside the USSR</w:t>
      </w:r>
      <w:r>
        <w:rPr/>
        <w:t xml:space="preserve">. Frances Swyripa mentioned by the 1990s only around 10 per cent of Ukrainian Canadians were actively engaged in community life, and traditional churches were losing members fast (Prymak, 2015; p. 256) </w:t>
      </w:r>
      <w:r>
        <w:rPr>
          <w:lang w:val="en-GB"/>
        </w:rPr>
        <w:t xml:space="preserve">In Nahachewsky's concept of "new ethnicity" an answer exists: if the sacrifices to remain part of the ethnic group are greater, then the people tend to drop the unnecessary characteristic by forgetting or not mentioning it whatsoever – as the only thread keeping them part of the ethnic group is the family history and perhaps a family name (Nahachewsky, 2002; p. 177). As of today, such representation belongs to the Ukrainian Canadian Congress (website: www.ucc.ca), which coordinates the community inside the country, and helps Ukrainians coming to Canada with placement, registration and guidance. </w:t>
      </w:r>
    </w:p>
    <w:p>
      <w:pPr>
        <w:pStyle w:val="Normal"/>
        <w:spacing w:lineRule="auto" w:line="360"/>
        <w:jc w:val="both"/>
        <w:rPr>
          <w:u w:val="single"/>
        </w:rPr>
      </w:pPr>
      <w:r>
        <w:rPr>
          <w:lang w:val="en-GB"/>
        </w:rPr>
        <w:tab/>
        <w:t xml:space="preserve">Despite the official mission to secure the Welsh heritage it was hard to maintain culture nonetheless: in the Welsh settlements, the tendency to lose the language was causing the increase of Spanish as the first language among many, especially the younger people (Williams, 1971; p. 82). Moreover, the religious problem of language was just adding to the issue of the Welsh language, as it was quite hard to organise at least one chapel for every member standing up to the use of the Welsh language – they all were scattered across the first two towns (Williams, 1971; p. 84). Nowadays, in order to save the Welsh language, there are active exchange programmes between Y Wladfa and Cymraeg (Wales). </w:t>
      </w:r>
    </w:p>
    <w:p>
      <w:pPr>
        <w:pStyle w:val="Normal"/>
        <w:spacing w:lineRule="auto" w:line="360"/>
        <w:jc w:val="both"/>
        <w:rPr>
          <w:u w:val="single"/>
        </w:rPr>
      </w:pPr>
      <w:r>
        <w:rPr>
          <w:lang w:val="en-GB"/>
        </w:rPr>
        <w:tab/>
        <w:t xml:space="preserve">For Ukrainians, it was somewhat easier to organise cultural activities and keep the national culture popular. For example, one of the cultural activities of the Ukrainian community is Ukrainian dance, especially in the Western parts of Canada: the motivation for this activity was this activity being the provision for ethnic identification and </w:t>
      </w:r>
      <w:r>
        <w:rPr>
          <w:i w:val="false"/>
          <w:iCs w:val="false"/>
          <w:lang w:val="en-GB"/>
        </w:rPr>
        <w:t>“</w:t>
      </w:r>
      <w:r>
        <w:rPr>
          <w:i/>
          <w:iCs/>
          <w:lang w:val="en-GB"/>
        </w:rPr>
        <w:t>Ukrainian-ness</w:t>
      </w:r>
      <w:r>
        <w:rPr>
          <w:i w:val="false"/>
          <w:iCs w:val="false"/>
          <w:lang w:val="en-GB"/>
        </w:rPr>
        <w:t>”</w:t>
      </w:r>
      <w:r>
        <w:rPr>
          <w:i/>
          <w:iCs/>
          <w:lang w:val="en-GB"/>
        </w:rPr>
        <w:t xml:space="preserve"> </w:t>
      </w:r>
      <w:r>
        <w:rPr>
          <w:lang w:val="en-GB"/>
        </w:rPr>
        <w:t>(Nahachewsky, 2002; p. 177). Dance was not the only form of ethnic activity that reflects the culture. In the study of Natalia Kononenko Ukrainian ballads from Canada are reviewed, and collected in the regions of Manitoba, Saskatchewan and Alberta by R. Klymasz (2008; p. 17). These ballads show the process of adjustment to life in Canada, and a little regret because of the sad aftermath of their decision to leave their folk behind (Kononenko, 2008; p. 36). An interesting phenomenon is an echo of the Canadian Ukrainians that had found its expression in the song "</w:t>
      </w:r>
      <w:r>
        <w:rPr>
          <w:i/>
          <w:iCs/>
          <w:lang w:val="en-GB"/>
        </w:rPr>
        <w:t>Kanada</w:t>
      </w:r>
      <w:r>
        <w:rPr>
          <w:lang w:val="en-GB"/>
        </w:rPr>
        <w:t xml:space="preserve">" which refers to the mass migration of Ukrainians to Canada, the song developed and sung in the Transcarpathian regions of Ukraine (Nahachewsky, 2002; pp. 182-183). In light of the division of the Ukrainian ethnic group into those who choose to stay and those who went to Canada, such pieces of cultural expression serve as a piece of connection between the two. </w:t>
      </w:r>
    </w:p>
    <w:p>
      <w:pPr>
        <w:pStyle w:val="Normal"/>
        <w:spacing w:lineRule="auto" w:line="360"/>
        <w:jc w:val="both"/>
        <w:rPr>
          <w:lang w:val="en-GB"/>
        </w:rPr>
      </w:pPr>
      <w:r>
        <w:rPr>
          <w:lang w:val="en-GB"/>
        </w:rPr>
        <w:tab/>
        <w:t xml:space="preserve">Interestingly, Canadian Ukrainians have also decided to commit to their cultural heritage by deed, and not exclusively in activities. In poetry, for example, even though some of the Ukrainian poets were already educated in Canada and their first language was not Ukrainian, choose to use their ethnic language in their poetry. Not only that but also there were some newspapers established by the migrants published exclusively for Ukrainians in the Ukrainian language (Kirkconnell, 1934; pp. 139-140). Watson Kirkconnell has concluded his review of Ukrainian poetry with the idea that in another fifty years, the use of Ukrainian will have ceased (1934; p. 146). </w:t>
        <w:tab/>
        <w:t>As of today, almost ninety years have passed. There are still Ukrainian newspapers published in Canada, for example, "New Pathway", the free Ukrainian newspaper for the Ukrainian community in Alberta (web address: newpathway.ca). Although, on this very website is found an article on the call to the Canadian Ukrainians to team up in order to preserve ethnical heritage (Bilinsky, 2023).</w:t>
      </w:r>
    </w:p>
    <w:p>
      <w:pPr>
        <w:pStyle w:val="Normal"/>
        <w:spacing w:lineRule="auto" w:line="360"/>
        <w:jc w:val="both"/>
        <w:rPr>
          <w:lang w:val="en-GB"/>
        </w:rPr>
      </w:pPr>
      <w:r>
        <w:rPr>
          <w:lang w:val="en-GB"/>
        </w:rPr>
        <w:tab/>
        <w:t>Welsh settlers, on the other hand, were actively engaged in trading and cooperating with Native Americans, being mesmerised by how knowledgeable the people are of their territory and understanding the debt that they have to them. Some of the examples were found in cemeteries, where Native Americans would be buried by their clan's tradition, but on the land specifically dedicated to graves; they had actively traded and exchanged knowledge (Williams, 1979; pp. 55-56). This tells the fact that the Welsh were aware of their colonizer status and tried to somehow mitigate the damage, even though teaching the Natives some principles of their own culture (Taylor, 2018; pp. 465-466). They have maintained the culture and language, despite all the challenges, by keeping close ties with Wales, organising Welsh language holidays and accepting volunteers (volunteering projects available since 2011), thus, maintaining cultural and ethnic sovereignty (Rogers, n/d).</w:t>
      </w:r>
    </w:p>
    <w:p>
      <w:pPr>
        <w:pStyle w:val="Normal"/>
        <w:spacing w:lineRule="auto" w:line="360"/>
        <w:jc w:val="both"/>
        <w:rPr>
          <w:lang w:val="en-GB"/>
        </w:rPr>
      </w:pPr>
      <w:r>
        <w:rPr>
          <w:lang w:val="en-GB"/>
        </w:rPr>
        <w:tab/>
        <w:t>Nahachewsky expresses the point that ethnic identification can not be used alone to explain the cultural activities that had undergone significant transformations, therefore, suggesting the “</w:t>
      </w:r>
      <w:r>
        <w:rPr>
          <w:i/>
          <w:iCs/>
          <w:lang w:val="en-GB"/>
        </w:rPr>
        <w:t>new ethnicity</w:t>
      </w:r>
      <w:r>
        <w:rPr>
          <w:lang w:val="en-GB"/>
        </w:rPr>
        <w:t>" to be simultaneously the initial and new, that was accepted after the immigration (Nahachewsky, 2002; p. 187). From his point of view, it is the merge of the new Canadian and old Ukrainian identities. On the other side, it is problematic to say that such a process is definitely happening: if we were to talk about the merging of identities, that would have meant, there would be no necessity to keep the differences because that means separation from the group.</w:t>
      </w:r>
    </w:p>
    <w:p>
      <w:pPr>
        <w:pStyle w:val="Normal"/>
        <w:spacing w:lineRule="auto" w:line="360"/>
        <w:jc w:val="both"/>
        <w:rPr>
          <w:lang w:val="en-GB"/>
        </w:rPr>
      </w:pPr>
      <w:r>
        <w:rPr>
          <w:lang w:val="en-GB"/>
        </w:rPr>
        <w:tab/>
        <w:t>It could be the case, that the main reason in both cases the ethnic distinction was preserved was the fact how complicated the histories of the target countries are: both Canada and Argentina were colonies in the past. From this evidence can be stated that such countries possess colonial culture, which means it is easier to save one's own cultural heritage than to assimilate among something that is not homogenous. That could be the reason in both cases people were able to retain their identity, although they have also somewhat assimilated, and blended into the overall environment that had become their second home. Such a point expresses Leonie Huddy when talking about political identity: the question of multiculturalism as a phenomenon of American identity (Huddy, 2002; p. 129). Here, however, also can be said that multiculturalism is in particular the reason why Canadian Ukrainians would try to keep their Ukrainian identity. In the case of Welsh settlers, however, there is another reason, and it lies in the initial goal of the Patagonian project: it was in fact to keep their identity at least somewhere somewhat protected from the English influence (although there influenced by Spanish culture, but still existing as a piece of the Welsh culture and efforts to preserve own identity somewhere else).</w:t>
      </w:r>
    </w:p>
    <w:p>
      <w:pPr>
        <w:pStyle w:val="Normal"/>
        <w:spacing w:lineRule="auto" w:line="360"/>
        <w:jc w:val="both"/>
        <w:rPr>
          <w:lang w:val="en-GB"/>
        </w:rPr>
      </w:pPr>
      <w:r>
        <w:rPr>
          <w:lang w:val="en-GB"/>
        </w:rPr>
        <w:tab/>
        <w:t>Another important highlight in both cases is the interaction between the homeland and migrants and their willingness to keep in touch and cooperate. It is rather fascinating how despite having the possibility to abstain from the tragedy, from the hardships, and imposed by the stronger countries inferiority, the people have chosen to remain by their ethnical identity. Therefore, without the will and desire to continue with the ethnic legacy, there would have been no need and no opportunity to establish a school or to learn the language of the people. And when there is no use of the language in the new community, then there is also no reason to learn it. As well there would be nobody to teach and tell about the cultural heritage of their kin that lives very far away, on another continent. The reasoning behind this could be the absence of strong national identity (such as that of America, where national identity does not impose political consequences) dominating in Canada (Huddy, 2002; p. 130); and in Patagonia, the reason is partially in the initial goal, and partially in the physical distance of Y Wladfa from the other colonies.</w:t>
      </w:r>
    </w:p>
    <w:p>
      <w:pPr>
        <w:pStyle w:val="Normal"/>
        <w:spacing w:lineRule="auto" w:line="360"/>
        <w:jc w:val="both"/>
        <w:rPr>
          <w:lang w:val="en-GB"/>
        </w:rPr>
      </w:pPr>
      <w:r>
        <w:rPr>
          <w:lang w:val="en-GB"/>
        </w:rPr>
        <w:tab/>
        <w:t>The main difference in the products of cultural activities probably lies in numbers: the Ukrainian migrant community is simply much larger than that of the Welsh. And Welsh efforts to sustain their cultural development and save their identity from merging with the English were concentrated on the Wales territory mostly (Rogers, n/d), whereas the colony in Argentina was left to own struggles up until 2011.</w:t>
      </w:r>
    </w:p>
    <w:p>
      <w:pPr>
        <w:pStyle w:val="Normal"/>
        <w:spacing w:lineRule="auto" w:line="360"/>
        <w:jc w:val="both"/>
        <w:rPr>
          <w:lang w:val="en-GB"/>
        </w:rPr>
      </w:pPr>
      <w:r>
        <w:rPr>
          <w:lang w:val="en-GB"/>
        </w:rPr>
        <w:tab/>
        <w:t xml:space="preserve">To conclude, it can be said that identity is first of all the choice. It is harder for the first generation, as they have to adapt to new conditions, learn another language, comply with new requirements, etc. It is hard to get rid of the accent, so they would be most definitely inclined toward keeping their identity the way it was before migration. The question is why their successors not only decide to identify themselves by their parents' belonging but also why to learn the language and engage in different cultural activities: the answer lies in the importance of identity for a person. One without a history would have no satisfied sense of belonging, however, there is also a choice to embrace the new identity that is offered by the country where they live. From the examples of both Ukrainians and Welsh, it can be seen that not all of the people are following exact steps to maintain their ethnic identity, as they favour the new environment and want to assimilate. Those who choose the identity of their family and ethnic belonging as the key to their identity make the political decision of ethnic identity, and only from there on it can be said they are </w:t>
      </w:r>
      <w:r>
        <w:rPr>
          <w:i/>
          <w:iCs/>
          <w:lang w:val="en-GB"/>
        </w:rPr>
        <w:t xml:space="preserve">learning </w:t>
      </w:r>
      <w:r>
        <w:rPr>
          <w:i w:val="false"/>
          <w:iCs w:val="false"/>
          <w:lang w:val="en-GB"/>
        </w:rPr>
        <w:t xml:space="preserve">more about their identity. Before all of this, the choice is made, no matter cautious or uncautious. Identity </w:t>
      </w:r>
      <w:r>
        <w:rPr>
          <w:i w:val="false"/>
          <w:iCs w:val="false"/>
          <w:u w:val="single"/>
          <w:lang w:val="en-GB"/>
        </w:rPr>
        <w:t>is</w:t>
      </w:r>
      <w:r>
        <w:rPr>
          <w:i w:val="false"/>
          <w:iCs w:val="false"/>
          <w:lang w:val="en-GB"/>
        </w:rPr>
        <w:t xml:space="preserve"> a choice.</w:t>
      </w:r>
    </w:p>
    <w:p>
      <w:pPr>
        <w:pStyle w:val="Normal"/>
        <w:spacing w:lineRule="auto" w:line="360"/>
        <w:jc w:val="both"/>
        <w:rPr>
          <w:u w:val="single"/>
        </w:rPr>
      </w:pPr>
      <w:r>
        <w:rPr>
          <w:u w:val="single"/>
        </w:rPr>
      </w:r>
    </w:p>
    <w:p>
      <w:pPr>
        <w:pStyle w:val="Normal"/>
        <w:spacing w:lineRule="auto" w:line="360"/>
        <w:jc w:val="both"/>
        <w:rPr>
          <w:u w:val="single"/>
        </w:rPr>
      </w:pPr>
      <w:r>
        <w:rPr/>
        <w:t>References:</w:t>
      </w:r>
    </w:p>
    <w:p>
      <w:pPr>
        <w:pStyle w:val="Normal"/>
        <w:numPr>
          <w:ilvl w:val="0"/>
          <w:numId w:val="2"/>
        </w:numPr>
        <w:spacing w:lineRule="auto" w:line="360"/>
        <w:jc w:val="both"/>
        <w:rPr/>
      </w:pPr>
      <w:r>
        <w:rPr>
          <w:lang w:val="en-GB"/>
        </w:rPr>
        <w:t xml:space="preserve">Baur, J. E. (1954) “The Welsh in Patagonia: An example of Nationalistic Migration,” </w:t>
      </w:r>
      <w:r>
        <w:rPr>
          <w:i/>
          <w:iCs/>
          <w:lang w:val="en-GB"/>
        </w:rPr>
        <w:t xml:space="preserve">The Hispanic American Historical Review, </w:t>
      </w:r>
      <w:r>
        <w:rPr>
          <w:i w:val="false"/>
          <w:iCs w:val="false"/>
          <w:lang w:val="en-GB"/>
        </w:rPr>
        <w:t>34(4), pp. 468-492. Available at: https://www.jstor.org/stable/2509080</w:t>
      </w:r>
    </w:p>
    <w:p>
      <w:pPr>
        <w:pStyle w:val="Normal"/>
        <w:numPr>
          <w:ilvl w:val="0"/>
          <w:numId w:val="2"/>
        </w:numPr>
        <w:spacing w:lineRule="auto" w:line="360"/>
        <w:jc w:val="both"/>
        <w:rPr/>
      </w:pPr>
      <w:r>
        <w:rPr>
          <w:lang w:val="en-GB"/>
        </w:rPr>
        <w:t xml:space="preserve">Bilinsky, Y. (2023) “Save your granny’s language and culture. Canadians and Ukrainians team up to save Ukrainian heritage,” </w:t>
      </w:r>
      <w:r>
        <w:rPr>
          <w:i/>
          <w:iCs/>
          <w:lang w:val="en-GB"/>
        </w:rPr>
        <w:t xml:space="preserve">New Pathway, Ukrainian News, </w:t>
      </w:r>
      <w:r>
        <w:rPr>
          <w:i w:val="false"/>
          <w:iCs w:val="false"/>
          <w:lang w:val="en-GB"/>
        </w:rPr>
        <w:t>[online]. Available at: https://newpathway.ca/save-your-grannys-language-and-culture-canadians-and-ukrainians-team-up-to-save-ukrainian-heritage/</w:t>
      </w:r>
    </w:p>
    <w:p>
      <w:pPr>
        <w:pStyle w:val="Normal"/>
        <w:numPr>
          <w:ilvl w:val="0"/>
          <w:numId w:val="2"/>
        </w:numPr>
        <w:spacing w:lineRule="auto" w:line="360"/>
        <w:jc w:val="both"/>
        <w:rPr/>
      </w:pPr>
      <w:r>
        <w:rPr>
          <w:lang w:val="en-GB"/>
        </w:rPr>
        <w:t xml:space="preserve">Huddy, L. (2002) “From Social to Political Identity: A Critical Examination of Social Identity Theory,” </w:t>
      </w:r>
      <w:r>
        <w:rPr>
          <w:i/>
          <w:iCs/>
          <w:lang w:val="en-GB"/>
        </w:rPr>
        <w:t xml:space="preserve">Political Psychology, </w:t>
      </w:r>
      <w:r>
        <w:rPr>
          <w:i w:val="false"/>
          <w:iCs w:val="false"/>
          <w:lang w:val="en-GB"/>
        </w:rPr>
        <w:t>22(1), pp. 127-156. DOI: 10.1111/0162-895X.00230</w:t>
      </w:r>
    </w:p>
    <w:p>
      <w:pPr>
        <w:pStyle w:val="Normal"/>
        <w:numPr>
          <w:ilvl w:val="0"/>
          <w:numId w:val="2"/>
        </w:numPr>
        <w:spacing w:lineRule="auto" w:line="360"/>
        <w:jc w:val="both"/>
        <w:rPr>
          <w:i w:val="false"/>
          <w:i w:val="false"/>
          <w:iCs w:val="false"/>
          <w:lang w:val="en-GB"/>
        </w:rPr>
      </w:pPr>
      <w:r>
        <w:rPr>
          <w:lang w:val="en-GB"/>
        </w:rPr>
        <w:t xml:space="preserve">Kirkconnell, W. (1934) “Ukrainian Poetry in Canada,” </w:t>
      </w:r>
      <w:r>
        <w:rPr>
          <w:i/>
          <w:iCs/>
          <w:lang w:val="en-GB"/>
        </w:rPr>
        <w:t xml:space="preserve">The Slavinic and East European Review, </w:t>
      </w:r>
      <w:r>
        <w:rPr>
          <w:i w:val="false"/>
          <w:iCs w:val="false"/>
          <w:lang w:val="en-GB"/>
        </w:rPr>
        <w:t xml:space="preserve">13(37), pp. 139-146. Available at: </w:t>
      </w:r>
      <w:r>
        <w:rPr>
          <w:i w:val="false"/>
          <w:iCs w:val="false"/>
          <w:sz w:val="23"/>
          <w:lang w:val="en-GB"/>
        </w:rPr>
        <w:t xml:space="preserve">https://www.jstor.org/stable/4202964 </w:t>
      </w:r>
    </w:p>
    <w:p>
      <w:pPr>
        <w:pStyle w:val="Normal"/>
        <w:numPr>
          <w:ilvl w:val="0"/>
          <w:numId w:val="2"/>
        </w:numPr>
        <w:spacing w:lineRule="auto" w:line="360"/>
        <w:jc w:val="both"/>
        <w:rPr/>
      </w:pPr>
      <w:r>
        <w:rPr>
          <w:lang w:val="en-GB"/>
        </w:rPr>
        <w:t xml:space="preserve">Kononenko, N. (2008) “Ukrainian Ballads in Canada: Adjusting to New Life in a New Land,” </w:t>
      </w:r>
      <w:r>
        <w:rPr>
          <w:i/>
          <w:iCs/>
          <w:lang w:val="en-GB"/>
        </w:rPr>
        <w:t xml:space="preserve">Canadian Slavonic Papers / Revue Canadienne des Slavistes, </w:t>
      </w:r>
      <w:r>
        <w:rPr>
          <w:i w:val="false"/>
          <w:iCs w:val="false"/>
          <w:lang w:val="en-GB"/>
        </w:rPr>
        <w:t xml:space="preserve">50(1/2), pp. 17-36. DOI: </w:t>
      </w:r>
    </w:p>
    <w:p>
      <w:pPr>
        <w:pStyle w:val="Normal"/>
        <w:numPr>
          <w:ilvl w:val="0"/>
          <w:numId w:val="2"/>
        </w:numPr>
        <w:spacing w:lineRule="auto" w:line="360"/>
        <w:jc w:val="both"/>
        <w:rPr/>
      </w:pPr>
      <w:r>
        <w:rPr>
          <w:lang w:val="en-GB"/>
        </w:rPr>
        <w:t xml:space="preserve">Luciuk, L. Y. (1986) “Unintended Consequences in Refugee Resettlement: Post-War Ukrainian Refugee Immigration to Canada,” </w:t>
      </w:r>
      <w:r>
        <w:rPr>
          <w:i/>
          <w:iCs/>
          <w:lang w:val="en-GB"/>
        </w:rPr>
        <w:t xml:space="preserve">The International Migration Review [Special Issue] Refugees: Issues and Directions, </w:t>
      </w:r>
      <w:r>
        <w:rPr>
          <w:i w:val="false"/>
          <w:iCs w:val="false"/>
          <w:lang w:val="en-GB"/>
        </w:rPr>
        <w:t>20(2), pp. 467-482. DOI: 10.1177/019791838602000217</w:t>
      </w:r>
    </w:p>
    <w:p>
      <w:pPr>
        <w:pStyle w:val="Normal"/>
        <w:numPr>
          <w:ilvl w:val="0"/>
          <w:numId w:val="2"/>
        </w:numPr>
        <w:spacing w:lineRule="auto" w:line="360"/>
        <w:jc w:val="both"/>
        <w:rPr/>
      </w:pPr>
      <w:r>
        <w:rPr>
          <w:lang w:val="en-GB"/>
        </w:rPr>
        <w:t xml:space="preserve">Malathronas, J. (2018) “A Welsh colony in Patagonia? Yes. Welcome to the Welsh Wild West,” </w:t>
      </w:r>
      <w:r>
        <w:rPr>
          <w:i/>
          <w:iCs/>
          <w:lang w:val="en-GB"/>
        </w:rPr>
        <w:t xml:space="preserve">Adventure.com, </w:t>
      </w:r>
      <w:r>
        <w:rPr>
          <w:i w:val="false"/>
          <w:iCs w:val="false"/>
          <w:lang w:val="en-GB"/>
        </w:rPr>
        <w:t>[online]. Available at: https://adventure.com/welsh-patagonia-argentina/</w:t>
      </w:r>
    </w:p>
    <w:p>
      <w:pPr>
        <w:pStyle w:val="Normal"/>
        <w:numPr>
          <w:ilvl w:val="0"/>
          <w:numId w:val="2"/>
        </w:numPr>
        <w:spacing w:lineRule="auto" w:line="360"/>
        <w:jc w:val="both"/>
        <w:rPr/>
      </w:pPr>
      <w:r>
        <w:rPr>
          <w:lang w:val="en-GB"/>
        </w:rPr>
        <w:t xml:space="preserve">Nahachewsky, A. (2002) “New Ethnicity and Ukrainian Canadian Social Dances,” </w:t>
      </w:r>
      <w:r>
        <w:rPr>
          <w:i/>
          <w:iCs/>
          <w:lang w:val="en-GB"/>
        </w:rPr>
        <w:t>The Journal of American Folklore,</w:t>
      </w:r>
      <w:r>
        <w:rPr>
          <w:i w:val="false"/>
          <w:iCs w:val="false"/>
          <w:lang w:val="en-GB"/>
        </w:rPr>
        <w:t xml:space="preserve"> 115(456), pp. 175-190. DOI: 10.1353/jaf.2002.0019  </w:t>
      </w:r>
    </w:p>
    <w:p>
      <w:pPr>
        <w:pStyle w:val="Normal"/>
        <w:numPr>
          <w:ilvl w:val="0"/>
          <w:numId w:val="2"/>
        </w:numPr>
        <w:spacing w:lineRule="auto" w:line="360"/>
        <w:jc w:val="both"/>
        <w:rPr/>
      </w:pPr>
      <w:r>
        <w:rPr/>
        <w:t xml:space="preserve">Prymak, T. M. (2015) “Ukrainian Canada in the Encyclopedias, 1897-2010: An Historical Overview,” in </w:t>
      </w:r>
      <w:r>
        <w:rPr>
          <w:i/>
          <w:iCs/>
        </w:rPr>
        <w:t xml:space="preserve">Gathering a Heritage (Ukrainian, Slavonic, and Ethnic Canada and the USA), </w:t>
      </w:r>
      <w:r>
        <w:rPr>
          <w:i w:val="false"/>
          <w:iCs w:val="false"/>
        </w:rPr>
        <w:t>pp. 233-261. Available at: https://</w:t>
      </w:r>
      <w:r>
        <w:rPr>
          <w:i w:val="false"/>
          <w:iCs w:val="false"/>
          <w:sz w:val="23"/>
        </w:rPr>
        <w:t>www.jstor.org/stable/10.3138/j.ctt1287tsz.19</w:t>
      </w:r>
    </w:p>
    <w:p>
      <w:pPr>
        <w:pStyle w:val="Normal"/>
        <w:numPr>
          <w:ilvl w:val="0"/>
          <w:numId w:val="2"/>
        </w:numPr>
        <w:spacing w:lineRule="auto" w:line="360"/>
        <w:jc w:val="both"/>
        <w:rPr>
          <w:sz w:val="24"/>
          <w:szCs w:val="24"/>
        </w:rPr>
      </w:pPr>
      <w:r>
        <w:rPr>
          <w:i w:val="false"/>
          <w:iCs w:val="false"/>
          <w:sz w:val="24"/>
          <w:szCs w:val="24"/>
        </w:rPr>
        <w:t xml:space="preserve">Prymak, T. M. (1984) “Ivan Franko and Mass Ukrainian Emigration to Canada,” </w:t>
      </w:r>
      <w:r>
        <w:rPr>
          <w:i/>
          <w:iCs/>
          <w:sz w:val="24"/>
          <w:szCs w:val="24"/>
        </w:rPr>
        <w:t xml:space="preserve">Canadian Slavonic Papers / Revue Canadienne des Slavistes, </w:t>
      </w:r>
      <w:r>
        <w:rPr>
          <w:i w:val="false"/>
          <w:iCs w:val="false"/>
          <w:sz w:val="24"/>
          <w:szCs w:val="24"/>
        </w:rPr>
        <w:t xml:space="preserve">26(4), pp. 307-317. </w:t>
      </w:r>
      <w:r>
        <w:rPr>
          <w:i w:val="false"/>
          <w:iCs w:val="false"/>
          <w:sz w:val="24"/>
          <w:szCs w:val="24"/>
          <w:lang w:val="en-GB"/>
        </w:rPr>
        <w:t>DOI</w:t>
      </w:r>
      <w:r>
        <w:rPr>
          <w:i w:val="false"/>
          <w:iCs w:val="false"/>
          <w:sz w:val="24"/>
          <w:szCs w:val="24"/>
        </w:rPr>
        <w:t>: 10.1080/00085006.1984.11091783</w:t>
      </w:r>
    </w:p>
    <w:p>
      <w:pPr>
        <w:pStyle w:val="Normal"/>
        <w:numPr>
          <w:ilvl w:val="0"/>
          <w:numId w:val="2"/>
        </w:numPr>
        <w:spacing w:lineRule="auto" w:line="360"/>
        <w:jc w:val="both"/>
        <w:rPr>
          <w:sz w:val="24"/>
          <w:szCs w:val="24"/>
          <w:lang w:val="en-GB"/>
        </w:rPr>
      </w:pPr>
      <w:r>
        <w:rPr>
          <w:i w:val="false"/>
          <w:iCs w:val="false"/>
          <w:sz w:val="24"/>
          <w:szCs w:val="24"/>
          <w:lang w:val="en-GB"/>
        </w:rPr>
        <w:t xml:space="preserve">Rogers, J. (n/d) “Patagonia: a small slice of Wales in South America,” </w:t>
      </w:r>
      <w:r>
        <w:rPr>
          <w:i/>
          <w:iCs/>
          <w:sz w:val="24"/>
          <w:szCs w:val="24"/>
          <w:lang w:val="en-GB"/>
        </w:rPr>
        <w:t xml:space="preserve">Wales.com, </w:t>
      </w:r>
      <w:r>
        <w:rPr>
          <w:i w:val="false"/>
          <w:iCs w:val="false"/>
          <w:sz w:val="24"/>
          <w:szCs w:val="24"/>
          <w:lang w:val="en-GB"/>
        </w:rPr>
        <w:t>[online]. Available at: https://www.wales.com/about/language/history-welsh-people-patagonia</w:t>
      </w:r>
    </w:p>
    <w:p>
      <w:pPr>
        <w:pStyle w:val="Normal"/>
        <w:numPr>
          <w:ilvl w:val="0"/>
          <w:numId w:val="2"/>
        </w:numPr>
        <w:spacing w:lineRule="auto" w:line="360"/>
        <w:jc w:val="both"/>
        <w:rPr>
          <w:sz w:val="24"/>
          <w:szCs w:val="24"/>
          <w:lang w:val="en-GB"/>
        </w:rPr>
      </w:pPr>
      <w:r>
        <w:rPr>
          <w:i w:val="false"/>
          <w:iCs w:val="false"/>
          <w:sz w:val="24"/>
          <w:szCs w:val="24"/>
          <w:lang w:val="en-GB"/>
        </w:rPr>
        <w:t xml:space="preserve">Stebelsky, I. (1991) “The Resettlement of Ukrainian Refugees in Canada after the Second World War,” in </w:t>
      </w:r>
      <w:r>
        <w:rPr>
          <w:i/>
          <w:iCs/>
          <w:sz w:val="24"/>
          <w:szCs w:val="24"/>
          <w:lang w:val="en-GB"/>
        </w:rPr>
        <w:t xml:space="preserve">Luciuk, L., Hryniuk, S. “Changing Perspectives, 1891-1991”, </w:t>
      </w:r>
      <w:r>
        <w:rPr>
          <w:i w:val="false"/>
          <w:iCs w:val="false"/>
          <w:sz w:val="24"/>
          <w:szCs w:val="24"/>
          <w:lang w:val="en-GB"/>
        </w:rPr>
        <w:t>pp. 123-154. Available at: https://www.jstor.org/stable/10.3138/j.ctt2ttsgq.12</w:t>
      </w:r>
    </w:p>
    <w:p>
      <w:pPr>
        <w:pStyle w:val="Normal"/>
        <w:numPr>
          <w:ilvl w:val="0"/>
          <w:numId w:val="2"/>
        </w:numPr>
        <w:spacing w:lineRule="auto" w:line="360"/>
        <w:jc w:val="both"/>
        <w:rPr>
          <w:sz w:val="24"/>
          <w:szCs w:val="24"/>
          <w:lang w:val="en-GB"/>
        </w:rPr>
      </w:pPr>
      <w:r>
        <w:rPr>
          <w:i w:val="false"/>
          <w:iCs w:val="false"/>
          <w:sz w:val="24"/>
          <w:szCs w:val="24"/>
          <w:lang w:val="en-GB"/>
        </w:rPr>
        <w:t xml:space="preserve">Taylor, L. (2018) "Global perspectives on Welsh Patagonia: the complexities </w:t>
      </w:r>
    </w:p>
    <w:p>
      <w:pPr>
        <w:pStyle w:val="Normal"/>
        <w:numPr>
          <w:ilvl w:val="0"/>
          <w:numId w:val="2"/>
        </w:numPr>
        <w:spacing w:lineRule="auto" w:line="360"/>
        <w:jc w:val="both"/>
        <w:rPr>
          <w:sz w:val="24"/>
          <w:szCs w:val="24"/>
          <w:lang w:val="en-GB"/>
        </w:rPr>
      </w:pPr>
      <w:r>
        <w:rPr>
          <w:i w:val="false"/>
          <w:iCs w:val="false"/>
          <w:sz w:val="24"/>
          <w:szCs w:val="24"/>
          <w:lang w:val="en-GB"/>
        </w:rPr>
        <w:t>of being both colonizer and colonized,"</w:t>
      </w:r>
      <w:r>
        <w:rPr>
          <w:i/>
          <w:iCs/>
          <w:sz w:val="24"/>
          <w:szCs w:val="24"/>
          <w:lang w:val="en-GB"/>
        </w:rPr>
        <w:t xml:space="preserve"> Journal of Global History,</w:t>
      </w:r>
      <w:r>
        <w:rPr>
          <w:i w:val="false"/>
          <w:iCs w:val="false"/>
          <w:sz w:val="24"/>
          <w:szCs w:val="24"/>
          <w:lang w:val="en-GB"/>
        </w:rPr>
        <w:t xml:space="preserve"> 13, pp. 446-468. </w:t>
      </w:r>
    </w:p>
    <w:p>
      <w:pPr>
        <w:pStyle w:val="Normal"/>
        <w:numPr>
          <w:ilvl w:val="0"/>
          <w:numId w:val="2"/>
        </w:numPr>
        <w:spacing w:lineRule="auto" w:line="360"/>
        <w:jc w:val="both"/>
        <w:rPr>
          <w:sz w:val="24"/>
          <w:szCs w:val="24"/>
          <w:lang w:val="en-GB"/>
        </w:rPr>
      </w:pPr>
      <w:r>
        <w:rPr>
          <w:i w:val="false"/>
          <w:iCs w:val="false"/>
          <w:sz w:val="24"/>
          <w:szCs w:val="24"/>
          <w:lang w:val="en-GB"/>
        </w:rPr>
        <w:t>DOI: 10.1017/S1740022818000232</w:t>
      </w:r>
    </w:p>
    <w:p>
      <w:pPr>
        <w:pStyle w:val="Normal"/>
        <w:numPr>
          <w:ilvl w:val="0"/>
          <w:numId w:val="2"/>
        </w:numPr>
        <w:spacing w:lineRule="auto" w:line="360"/>
        <w:jc w:val="both"/>
        <w:rPr>
          <w:sz w:val="24"/>
          <w:szCs w:val="24"/>
          <w:lang w:val="en-GB"/>
        </w:rPr>
      </w:pPr>
      <w:r>
        <w:rPr>
          <w:i w:val="false"/>
          <w:iCs w:val="false"/>
          <w:sz w:val="24"/>
          <w:szCs w:val="24"/>
          <w:lang w:val="en-GB"/>
        </w:rPr>
        <w:t xml:space="preserve">Williams, G. (1971) “Social Conflict and Change within the Welsh Colony in Patagonia,” </w:t>
      </w:r>
      <w:r>
        <w:rPr>
          <w:i/>
          <w:iCs/>
          <w:sz w:val="24"/>
          <w:szCs w:val="24"/>
          <w:lang w:val="en-GB"/>
        </w:rPr>
        <w:t xml:space="preserve">Anthropological Quarterly, </w:t>
      </w:r>
      <w:r>
        <w:rPr>
          <w:i w:val="false"/>
          <w:iCs w:val="false"/>
          <w:sz w:val="24"/>
          <w:szCs w:val="24"/>
          <w:lang w:val="en-GB"/>
        </w:rPr>
        <w:t xml:space="preserve">44(2), pp. 78-93. Available at: https://www.jstor.org/stable/3316772 </w:t>
      </w:r>
    </w:p>
    <w:p>
      <w:pPr>
        <w:pStyle w:val="Normal"/>
        <w:numPr>
          <w:ilvl w:val="0"/>
          <w:numId w:val="2"/>
        </w:numPr>
        <w:spacing w:lineRule="auto" w:line="360"/>
        <w:jc w:val="both"/>
        <w:rPr>
          <w:sz w:val="24"/>
          <w:szCs w:val="24"/>
          <w:lang w:val="en-GB"/>
        </w:rPr>
      </w:pPr>
      <w:r>
        <w:rPr>
          <w:i w:val="false"/>
          <w:iCs w:val="false"/>
          <w:sz w:val="24"/>
          <w:szCs w:val="24"/>
          <w:lang w:val="en-GB"/>
        </w:rPr>
        <w:t xml:space="preserve">Williams, G. (1979) “Welsh Settlers and Native Americans in Patagonia,” </w:t>
      </w:r>
      <w:r>
        <w:rPr>
          <w:i/>
          <w:iCs/>
          <w:sz w:val="24"/>
          <w:szCs w:val="24"/>
          <w:lang w:val="en-GB"/>
        </w:rPr>
        <w:t xml:space="preserve">Journal of Latin American Studies, </w:t>
      </w:r>
      <w:r>
        <w:rPr>
          <w:i w:val="false"/>
          <w:iCs w:val="false"/>
          <w:sz w:val="24"/>
          <w:szCs w:val="24"/>
          <w:lang w:val="en-GB"/>
        </w:rPr>
        <w:t>11(1), pp. 41-66. DOI: 10.1017/S0022216X0002229X</w:t>
      </w:r>
    </w:p>
    <w:p>
      <w:pPr>
        <w:pStyle w:val="Normal"/>
        <w:numPr>
          <w:ilvl w:val="0"/>
          <w:numId w:val="2"/>
        </w:numPr>
        <w:spacing w:lineRule="auto" w:line="360"/>
        <w:jc w:val="both"/>
        <w:rPr>
          <w:sz w:val="24"/>
          <w:szCs w:val="24"/>
          <w:lang w:val="en-GB"/>
        </w:rPr>
      </w:pPr>
      <w:r>
        <w:rPr>
          <w:i w:val="false"/>
          <w:iCs w:val="false"/>
          <w:sz w:val="24"/>
          <w:szCs w:val="24"/>
          <w:lang w:val="en-GB"/>
        </w:rPr>
        <w:t xml:space="preserve">Williams, G. B. (1968) “The Welsh in Patagonia: A Geographic Perspective,” </w:t>
      </w:r>
      <w:r>
        <w:rPr>
          <w:i/>
          <w:iCs/>
          <w:sz w:val="24"/>
          <w:szCs w:val="24"/>
          <w:lang w:val="en-GB"/>
        </w:rPr>
        <w:t xml:space="preserve">Revista Geografica, </w:t>
      </w:r>
      <w:r>
        <w:rPr>
          <w:i w:val="false"/>
          <w:iCs w:val="false"/>
          <w:sz w:val="24"/>
          <w:szCs w:val="24"/>
          <w:lang w:val="en-GB"/>
        </w:rPr>
        <w:t>69(1), pp. 121-144. Available at: https://www.jstor.org/stable/40991973</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 w:name="OpenSymbol">
    <w:altName w:val="Arial Unicode MS"/>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decimal"/>
      <w:lvlText w:val="%1."/>
      <w:lvlJc w:val="left"/>
      <w:pPr>
        <w:tabs>
          <w:tab w:val="num" w:pos="720"/>
        </w:tabs>
        <w:ind w:left="720" w:hanging="360"/>
      </w:pPr>
      <w:rPr/>
    </w:lvl>
    <w:lvl w:ilvl="1">
      <w:start w:val="1"/>
      <w:numFmt w:val="decimal"/>
      <w:lvlText w:val="%2."/>
      <w:lvlJc w:val="left"/>
      <w:pPr>
        <w:tabs>
          <w:tab w:val="num" w:pos="1080"/>
        </w:tabs>
        <w:ind w:left="1080" w:hanging="360"/>
      </w:pPr>
      <w:rPr/>
    </w:lvl>
    <w:lvl w:ilvl="2">
      <w:start w:val="1"/>
      <w:numFmt w:val="decimal"/>
      <w:lvlText w:val="%3."/>
      <w:lvlJc w:val="left"/>
      <w:pPr>
        <w:tabs>
          <w:tab w:val="num" w:pos="1440"/>
        </w:tabs>
        <w:ind w:left="1440" w:hanging="360"/>
      </w:pPr>
      <w:rPr/>
    </w:lvl>
    <w:lvl w:ilvl="3">
      <w:start w:val="1"/>
      <w:numFmt w:val="decimal"/>
      <w:lvlText w:val="%4."/>
      <w:lvlJc w:val="left"/>
      <w:pPr>
        <w:tabs>
          <w:tab w:val="num" w:pos="1800"/>
        </w:tabs>
        <w:ind w:left="1800" w:hanging="360"/>
      </w:pPr>
      <w:rPr/>
    </w:lvl>
    <w:lvl w:ilvl="4">
      <w:start w:val="1"/>
      <w:numFmt w:val="decimal"/>
      <w:lvlText w:val="%5."/>
      <w:lvlJc w:val="left"/>
      <w:pPr>
        <w:tabs>
          <w:tab w:val="num" w:pos="2160"/>
        </w:tabs>
        <w:ind w:left="2160" w:hanging="360"/>
      </w:pPr>
      <w:rPr/>
    </w:lvl>
    <w:lvl w:ilvl="5">
      <w:start w:val="1"/>
      <w:numFmt w:val="decimal"/>
      <w:lvlText w:val="%6."/>
      <w:lvlJc w:val="left"/>
      <w:pPr>
        <w:tabs>
          <w:tab w:val="num" w:pos="2520"/>
        </w:tabs>
        <w:ind w:left="2520" w:hanging="360"/>
      </w:pPr>
      <w:rPr/>
    </w:lvl>
    <w:lvl w:ilvl="6">
      <w:start w:val="1"/>
      <w:numFmt w:val="decimal"/>
      <w:lvlText w:val="%7."/>
      <w:lvlJc w:val="left"/>
      <w:pPr>
        <w:tabs>
          <w:tab w:val="num" w:pos="2880"/>
        </w:tabs>
        <w:ind w:left="2880" w:hanging="360"/>
      </w:pPr>
      <w:rPr/>
    </w:lvl>
    <w:lvl w:ilvl="7">
      <w:start w:val="1"/>
      <w:numFmt w:val="decimal"/>
      <w:lvlText w:val="%8."/>
      <w:lvlJc w:val="left"/>
      <w:pPr>
        <w:tabs>
          <w:tab w:val="num" w:pos="3240"/>
        </w:tabs>
        <w:ind w:left="3240" w:hanging="360"/>
      </w:pPr>
      <w:rPr/>
    </w:lvl>
    <w:lvl w:ilvl="8">
      <w:start w:val="1"/>
      <w:numFmt w:val="decimal"/>
      <w:lvlText w:val="%9."/>
      <w:lvlJc w:val="left"/>
      <w:pPr>
        <w:tabs>
          <w:tab w:val="num" w:pos="3600"/>
        </w:tabs>
        <w:ind w:left="3600" w:hanging="360"/>
      </w:pPr>
      <w:rPr/>
    </w:lvl>
  </w:abstractNum>
  <w:num w:numId="1">
    <w:abstractNumId w:val="1"/>
  </w:num>
  <w:num w:numId="2">
    <w:abstractNumId w:val="2"/>
  </w:num>
</w:numbering>
</file>

<file path=word/settings.xml><?xml version="1.0" encoding="utf-8"?>
<w:settings xmlns:w="http://schemas.openxmlformats.org/wordprocessingml/2006/main">
  <w:zoom w:percent="90"/>
  <w:defaultTabStop w:val="709"/>
  <w:autoHyphenation w:val="true"/>
  <w:compat>
    <w:compatSetting w:name="compatibilityMode" w:uri="http://schemas.microsoft.com/office/word" w:val="12"/>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fals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character" w:styleId="StrongEmphasis" w:customStyle="1">
    <w:name w:val="Strong Emphasis"/>
    <w:qFormat/>
    <w:rPr>
      <w:b/>
      <w:bCs/>
    </w:rPr>
  </w:style>
  <w:style w:type="character" w:styleId="NumberingSymbols" w:customStyle="1">
    <w:name w:val="Numbering Symbols"/>
    <w:qFormat/>
    <w:rPr/>
  </w:style>
  <w:style w:type="character" w:styleId="InternetLink">
    <w:name w:val="Hyperlink"/>
    <w:rPr>
      <w:color w:val="000080"/>
      <w:u w:val="single"/>
      <w:lang w:val="en-US" w:eastAsia="en-US" w:bidi="en-US"/>
    </w:rPr>
  </w:style>
  <w:style w:type="character" w:styleId="Bullets" w:customStyle="1">
    <w:name w:val="Bullets"/>
    <w:qFormat/>
    <w:rPr>
      <w:rFonts w:ascii="OpenSymbol" w:hAnsi="OpenSymbol" w:eastAsia="OpenSymbol" w:cs="OpenSymbol"/>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 w:type="paragraph" w:styleId="Default" w:customStyle="1">
    <w:name w:val="Default"/>
    <w:qFormat/>
    <w:pPr>
      <w:widowControl/>
      <w:suppressAutoHyphens w:val="true"/>
      <w:bidi w:val="0"/>
      <w:spacing w:before="0" w:after="0"/>
      <w:jc w:val="left"/>
    </w:pPr>
    <w:rPr>
      <w:rFonts w:ascii="Times New Roman" w:hAnsi="Times New Roman" w:eastAsia="NSimSun" w:cs="Lucida Sans"/>
      <w:color w:val="000000"/>
      <w:kern w:val="2"/>
      <w:sz w:val="24"/>
      <w:szCs w:val="24"/>
      <w:lang w:val="en-US" w:eastAsia="zh-CN" w:bidi="hi-IN"/>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980</TotalTime>
  <Application>LibreOffice/7.3.4.2$Windows_X86_64 LibreOffice_project/728fec16bd5f605073805c3c9e7c4212a0120dc5</Application>
  <AppVersion>15.0000</AppVersion>
  <Pages>7</Pages>
  <Words>3104</Words>
  <Characters>16882</Characters>
  <CharactersWithSpaces>19968</CharactersWithSpaces>
  <Paragraphs>35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2016-08-10T02:49:00Z</dcterms:created>
  <dc:creator>Nilesh</dc:creator>
  <dc:description/>
  <dc:language>en-US</dc:language>
  <cp:lastModifiedBy/>
  <dcterms:modified xsi:type="dcterms:W3CDTF">2023-05-01T16:50:39Z</dcterms:modified>
  <cp:revision>113</cp:revision>
  <dc:subject/>
  <dc:title>Ukrainian Poetry in Canada</dc:title>
</cp:coreProperties>
</file>

<file path=docProps/custom.xml><?xml version="1.0" encoding="utf-8"?>
<Properties xmlns="http://schemas.openxmlformats.org/officeDocument/2006/custom-properties" xmlns:vt="http://schemas.openxmlformats.org/officeDocument/2006/docPropsVTypes"/>
</file>