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2E37D" w14:textId="77777777" w:rsidR="004B1AD0" w:rsidRDefault="004B1AD0" w:rsidP="004B1AD0">
      <w:pPr>
        <w:spacing w:line="360" w:lineRule="auto"/>
        <w:jc w:val="both"/>
        <w:rPr>
          <w:rFonts w:asciiTheme="minorBidi" w:hAnsiTheme="minorBidi"/>
        </w:rPr>
      </w:pPr>
      <w:r>
        <w:rPr>
          <w:rFonts w:asciiTheme="minorBidi" w:hAnsiTheme="minorBidi"/>
        </w:rPr>
        <w:t>Student Name:           Ahmed Abdurahman Adam</w:t>
      </w:r>
    </w:p>
    <w:p w14:paraId="476E0A13" w14:textId="77777777" w:rsidR="004B1AD0" w:rsidRDefault="004B1AD0" w:rsidP="004B1AD0">
      <w:pPr>
        <w:spacing w:line="360" w:lineRule="auto"/>
        <w:jc w:val="both"/>
        <w:rPr>
          <w:rFonts w:asciiTheme="minorBidi" w:hAnsiTheme="minorBidi"/>
        </w:rPr>
      </w:pPr>
      <w:r>
        <w:rPr>
          <w:rFonts w:asciiTheme="minorBidi" w:hAnsiTheme="minorBidi"/>
        </w:rPr>
        <w:t>Student Number:        2423736</w:t>
      </w:r>
    </w:p>
    <w:p w14:paraId="638568AC" w14:textId="77777777" w:rsidR="004B1AD0" w:rsidRDefault="004B1AD0" w:rsidP="004B1AD0">
      <w:pPr>
        <w:spacing w:line="360" w:lineRule="auto"/>
        <w:jc w:val="both"/>
        <w:rPr>
          <w:rFonts w:asciiTheme="minorBidi" w:hAnsiTheme="minorBidi"/>
        </w:rPr>
      </w:pPr>
      <w:r>
        <w:rPr>
          <w:rFonts w:asciiTheme="minorBidi" w:hAnsiTheme="minorBidi"/>
        </w:rPr>
        <w:t>Module Name :         Professional Career Development</w:t>
      </w:r>
    </w:p>
    <w:p w14:paraId="100D6C4C" w14:textId="77777777" w:rsidR="004B1AD0" w:rsidRDefault="004B1AD0" w:rsidP="004B1AD0">
      <w:pPr>
        <w:spacing w:line="360" w:lineRule="auto"/>
        <w:jc w:val="both"/>
        <w:rPr>
          <w:rFonts w:asciiTheme="minorBidi" w:hAnsiTheme="minorBidi"/>
        </w:rPr>
      </w:pPr>
      <w:r>
        <w:rPr>
          <w:rFonts w:asciiTheme="minorBidi" w:hAnsiTheme="minorBidi"/>
        </w:rPr>
        <w:t>Module Code :           BMSW4012</w:t>
      </w:r>
    </w:p>
    <w:p w14:paraId="6E0062F8" w14:textId="77777777" w:rsidR="004B1AD0" w:rsidRPr="00BE2444" w:rsidRDefault="004B1AD0" w:rsidP="004B1AD0">
      <w:pPr>
        <w:spacing w:line="360" w:lineRule="auto"/>
        <w:jc w:val="both"/>
        <w:rPr>
          <w:rFonts w:asciiTheme="minorBidi" w:hAnsiTheme="minorBidi"/>
        </w:rPr>
      </w:pPr>
      <w:r>
        <w:rPr>
          <w:rFonts w:asciiTheme="minorBidi" w:hAnsiTheme="minorBidi"/>
        </w:rPr>
        <w:t xml:space="preserve">Lecture’s name:        Muhammad </w:t>
      </w:r>
      <w:proofErr w:type="spellStart"/>
      <w:r>
        <w:rPr>
          <w:rFonts w:asciiTheme="minorBidi" w:hAnsiTheme="minorBidi"/>
        </w:rPr>
        <w:t>Cassamo</w:t>
      </w:r>
      <w:proofErr w:type="spellEnd"/>
    </w:p>
    <w:p w14:paraId="2B05860E" w14:textId="77777777" w:rsidR="00AB541F" w:rsidRDefault="00AB541F" w:rsidP="005B5E6C">
      <w:pPr>
        <w:pStyle w:val="Heading1"/>
        <w:spacing w:before="322" w:after="322" w:line="360" w:lineRule="auto"/>
        <w:jc w:val="both"/>
        <w:rPr>
          <w:rFonts w:ascii="Arial" w:eastAsia="Aptos" w:hAnsi="Arial" w:cs="Arial"/>
          <w:b/>
          <w:bCs/>
          <w:sz w:val="22"/>
          <w:szCs w:val="22"/>
        </w:rPr>
      </w:pPr>
    </w:p>
    <w:p w14:paraId="7BD18126" w14:textId="77777777" w:rsidR="00AB541F" w:rsidRDefault="00AB541F" w:rsidP="005B5E6C">
      <w:pPr>
        <w:pStyle w:val="Heading1"/>
        <w:spacing w:before="322" w:after="322" w:line="360" w:lineRule="auto"/>
        <w:jc w:val="both"/>
        <w:rPr>
          <w:rFonts w:ascii="Arial" w:eastAsia="Aptos" w:hAnsi="Arial" w:cs="Arial"/>
          <w:b/>
          <w:bCs/>
          <w:sz w:val="22"/>
          <w:szCs w:val="22"/>
        </w:rPr>
      </w:pPr>
    </w:p>
    <w:p w14:paraId="44E4560A" w14:textId="0DF49A56" w:rsidR="00456551" w:rsidRPr="00356EF3" w:rsidRDefault="3055A3DB" w:rsidP="005B5E6C">
      <w:pPr>
        <w:pStyle w:val="Heading1"/>
        <w:spacing w:before="322" w:after="322" w:line="360" w:lineRule="auto"/>
        <w:jc w:val="both"/>
        <w:rPr>
          <w:rFonts w:ascii="Arial" w:hAnsi="Arial" w:cs="Arial"/>
          <w:sz w:val="22"/>
          <w:szCs w:val="22"/>
        </w:rPr>
      </w:pPr>
      <w:r w:rsidRPr="00356EF3">
        <w:rPr>
          <w:rFonts w:ascii="Arial" w:eastAsia="Aptos" w:hAnsi="Arial" w:cs="Arial"/>
          <w:b/>
          <w:bCs/>
          <w:sz w:val="22"/>
          <w:szCs w:val="22"/>
        </w:rPr>
        <w:t xml:space="preserve">1. Introduction </w:t>
      </w:r>
    </w:p>
    <w:p w14:paraId="0D1B8311" w14:textId="6CF2EBA3" w:rsidR="009D507D" w:rsidRPr="00356EF3" w:rsidRDefault="009D507D"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Since the 1980s, reflective practice has permeated professional and educational discourses. This section makes the case that something must involve active thought coupled with action </w:t>
      </w:r>
      <w:r w:rsidR="00FE1F49" w:rsidRPr="00356EF3">
        <w:rPr>
          <w:rFonts w:ascii="Arial" w:eastAsia="Aptos" w:hAnsi="Arial" w:cs="Arial"/>
          <w:sz w:val="22"/>
          <w:szCs w:val="22"/>
        </w:rPr>
        <w:t>to</w:t>
      </w:r>
      <w:r w:rsidRPr="00356EF3">
        <w:rPr>
          <w:rFonts w:ascii="Arial" w:eastAsia="Aptos" w:hAnsi="Arial" w:cs="Arial"/>
          <w:sz w:val="22"/>
          <w:szCs w:val="22"/>
        </w:rPr>
        <w:t xml:space="preserve"> qualify as reflective practice, even though the definition is not entirely clear. Although reflective practice has garnered a lot of attention in the field of education, many teachers find it challenging to implement for their own professional growth. Therefore, this section examines the research on reflective practice in education to define it and explain how its complexities might be explained so that teachers can better comprehend and implement it.</w:t>
      </w:r>
    </w:p>
    <w:p w14:paraId="6F6598C6" w14:textId="362B107B" w:rsidR="00FE7733" w:rsidRPr="00356EF3" w:rsidRDefault="00FE7733"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According to certain authors in the literature, teachers should develop a set of reactions to how learning happens and how their instruction functions in real life. According to Dewey, </w:t>
      </w:r>
      <w:r w:rsidR="00FE1F49" w:rsidRPr="00356EF3">
        <w:rPr>
          <w:rFonts w:ascii="Arial" w:eastAsia="Aptos" w:hAnsi="Arial" w:cs="Arial"/>
          <w:sz w:val="22"/>
          <w:szCs w:val="22"/>
        </w:rPr>
        <w:t>to</w:t>
      </w:r>
      <w:r w:rsidRPr="00356EF3">
        <w:rPr>
          <w:rFonts w:ascii="Arial" w:eastAsia="Aptos" w:hAnsi="Arial" w:cs="Arial"/>
          <w:sz w:val="22"/>
          <w:szCs w:val="22"/>
        </w:rPr>
        <w:t xml:space="preserve"> effectively serve the community and foster each student's development, educators must </w:t>
      </w:r>
      <w:r w:rsidR="002C613A" w:rsidRPr="00356EF3">
        <w:rPr>
          <w:rFonts w:ascii="Arial" w:eastAsia="Aptos" w:hAnsi="Arial" w:cs="Arial"/>
          <w:sz w:val="22"/>
          <w:szCs w:val="22"/>
        </w:rPr>
        <w:t>be available</w:t>
      </w:r>
      <w:r w:rsidRPr="00356EF3">
        <w:rPr>
          <w:rFonts w:ascii="Arial" w:eastAsia="Aptos" w:hAnsi="Arial" w:cs="Arial"/>
          <w:sz w:val="22"/>
          <w:szCs w:val="22"/>
        </w:rPr>
        <w:t xml:space="preserve"> to reflect on their work, knowledge, and experiences (Karunanayaka et al., 2017). Teachers continue to behave based on habit, instinct, or beliefs because they lack the time to critically assess their practices. As a result, certain actions are habitual and unthinking. As a result, certain things that might be effective in one situation might not be in another. This can deliberately limit learning opportunities, which makes it challenging for influencing students' learning.</w:t>
      </w:r>
    </w:p>
    <w:p w14:paraId="71FC5B15" w14:textId="10958860" w:rsidR="00096961" w:rsidRPr="00356EF3" w:rsidRDefault="00096961" w:rsidP="00356EF3">
      <w:pPr>
        <w:pStyle w:val="Heading1"/>
        <w:spacing w:before="322" w:after="322" w:line="360" w:lineRule="auto"/>
        <w:rPr>
          <w:rFonts w:ascii="Arial" w:eastAsia="Aptos" w:hAnsi="Arial" w:cs="Arial"/>
          <w:color w:val="auto"/>
          <w:sz w:val="22"/>
          <w:szCs w:val="22"/>
        </w:rPr>
      </w:pPr>
      <w:r w:rsidRPr="00356EF3">
        <w:rPr>
          <w:rFonts w:ascii="Arial" w:eastAsia="Aptos" w:hAnsi="Arial" w:cs="Arial"/>
          <w:color w:val="auto"/>
          <w:sz w:val="22"/>
          <w:szCs w:val="22"/>
        </w:rPr>
        <w:lastRenderedPageBreak/>
        <w:t xml:space="preserve">Over the years, several models of reflective practice have been put forth to describe how reflection helps to connect theory and practice (Mohamed et al., 2022). While some models show a distinct cycle of reflection, others view reflection more broadly, as thinking or reacting to circumstances. All models do, however, suggest that reflection is critical to practise improvement. </w:t>
      </w:r>
      <w:r w:rsidR="00AF61A5" w:rsidRPr="00356EF3">
        <w:rPr>
          <w:rFonts w:ascii="Arial" w:eastAsia="Aptos" w:hAnsi="Arial" w:cs="Arial"/>
          <w:color w:val="auto"/>
          <w:sz w:val="22"/>
          <w:szCs w:val="22"/>
        </w:rPr>
        <w:t>The Experiential Learning Theory model depicts an iterative cycle of active exploration, abstract conceptualisation, reflection, and tangible experience</w:t>
      </w:r>
      <w:r w:rsidRPr="00356EF3">
        <w:rPr>
          <w:rFonts w:ascii="Arial" w:eastAsia="Aptos" w:hAnsi="Arial" w:cs="Arial"/>
          <w:color w:val="auto"/>
          <w:sz w:val="22"/>
          <w:szCs w:val="22"/>
        </w:rPr>
        <w:t xml:space="preserve">. According to this paradigm, learning happens </w:t>
      </w:r>
      <w:r w:rsidR="004860A9" w:rsidRPr="00356EF3">
        <w:rPr>
          <w:rFonts w:ascii="Arial" w:eastAsia="Aptos" w:hAnsi="Arial" w:cs="Arial"/>
          <w:color w:val="auto"/>
          <w:sz w:val="22"/>
          <w:szCs w:val="22"/>
        </w:rPr>
        <w:t>because of</w:t>
      </w:r>
      <w:r w:rsidRPr="00356EF3">
        <w:rPr>
          <w:rFonts w:ascii="Arial" w:eastAsia="Aptos" w:hAnsi="Arial" w:cs="Arial"/>
          <w:color w:val="auto"/>
          <w:sz w:val="22"/>
          <w:szCs w:val="22"/>
        </w:rPr>
        <w:t xml:space="preserve"> reflection on the experience. In a similar vein, the "Learning by Doing" approach offers important developmental aspects, including action, analysis, assessment, and description. </w:t>
      </w:r>
      <w:r w:rsidR="004860A9" w:rsidRPr="00356EF3">
        <w:rPr>
          <w:rFonts w:ascii="Arial" w:eastAsia="Aptos" w:hAnsi="Arial" w:cs="Arial"/>
          <w:color w:val="auto"/>
          <w:sz w:val="22"/>
          <w:szCs w:val="22"/>
        </w:rPr>
        <w:t>To</w:t>
      </w:r>
      <w:r w:rsidRPr="00356EF3">
        <w:rPr>
          <w:rFonts w:ascii="Arial" w:eastAsia="Aptos" w:hAnsi="Arial" w:cs="Arial"/>
          <w:color w:val="auto"/>
          <w:sz w:val="22"/>
          <w:szCs w:val="22"/>
        </w:rPr>
        <w:t xml:space="preserve"> transform new knowledge into action and change, this paradigm promotes critical reflection.</w:t>
      </w:r>
    </w:p>
    <w:p w14:paraId="43B1C19E" w14:textId="34D5326D" w:rsidR="00456551" w:rsidRPr="00356EF3" w:rsidRDefault="3055A3DB" w:rsidP="00356EF3">
      <w:pPr>
        <w:pStyle w:val="Heading1"/>
        <w:spacing w:before="322" w:after="322" w:line="360" w:lineRule="auto"/>
        <w:rPr>
          <w:rFonts w:ascii="Arial" w:hAnsi="Arial" w:cs="Arial"/>
          <w:sz w:val="22"/>
          <w:szCs w:val="22"/>
        </w:rPr>
      </w:pPr>
      <w:r w:rsidRPr="00356EF3">
        <w:rPr>
          <w:rFonts w:ascii="Arial" w:eastAsia="Aptos" w:hAnsi="Arial" w:cs="Arial"/>
          <w:b/>
          <w:bCs/>
          <w:sz w:val="22"/>
          <w:szCs w:val="22"/>
        </w:rPr>
        <w:t>2. Overview of Rolfe's Reflective Cycle</w:t>
      </w:r>
    </w:p>
    <w:p w14:paraId="453385C3" w14:textId="77777777" w:rsidR="006D11C3" w:rsidRPr="00356EF3" w:rsidRDefault="006D11C3"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One of the most important methods for learning new things is to reflect on past experiences. It enables people to reflect on past events, gain a deeper understanding of them, and enhance subsequent behaviour. Reflective practice requires an efficient framework. </w:t>
      </w:r>
    </w:p>
    <w:p w14:paraId="482BF9FB" w14:textId="5AFED32C" w:rsidR="000D7627" w:rsidRPr="00356EF3" w:rsidRDefault="000D7627"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Rolfe's Reflective Cycle is a methodical framework that simplifies and organises reflection. Three basic yet crucial questions are used in this cyclical model: What? </w:t>
      </w:r>
      <w:r w:rsidR="002C613A" w:rsidRPr="00356EF3">
        <w:rPr>
          <w:rFonts w:ascii="Arial" w:eastAsia="Aptos" w:hAnsi="Arial" w:cs="Arial"/>
          <w:sz w:val="22"/>
          <w:szCs w:val="22"/>
        </w:rPr>
        <w:t>What</w:t>
      </w:r>
      <w:r w:rsidRPr="00356EF3">
        <w:rPr>
          <w:rFonts w:ascii="Arial" w:eastAsia="Aptos" w:hAnsi="Arial" w:cs="Arial"/>
          <w:sz w:val="22"/>
          <w:szCs w:val="22"/>
        </w:rPr>
        <w:t xml:space="preserve">? What Comes Next? Every question is essential to reflection. "What?" provides a description of the experience together with pertinent details that aid in comprehension. "So what?" highlights the experience's importance and the lessons learnt. "Now what?" outlines an action plan and explains what needs to be done differently going forward (Mohamed et al., 2022). Rolfe's Reflective Cycle promotes ongoing introspection and experience enhancement. This model's ease in comprehending reflection makes it special. This model's simplicity makes it suitable for usage in a variety of settings, such as business, education, health, </w:t>
      </w:r>
    </w:p>
    <w:p w14:paraId="34558028" w14:textId="5E88F766" w:rsidR="002D39CE" w:rsidRPr="00356EF3" w:rsidRDefault="002D39CE"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Each of the three phases of Rolfe's Reflective Cycle comprises sub-stages that focus on various facets of reflection. The model's three phases help people reflect by asking them to describe an experience, analyse its meaning, and make goals for the future. There are sub-levels within these three stages. Every question is important since answering them all helps one to critically assess events. </w:t>
      </w:r>
      <w:r w:rsidR="004860A9" w:rsidRPr="00356EF3">
        <w:rPr>
          <w:rFonts w:ascii="Arial" w:eastAsia="Aptos" w:hAnsi="Arial" w:cs="Arial"/>
          <w:sz w:val="22"/>
          <w:szCs w:val="22"/>
        </w:rPr>
        <w:t>To</w:t>
      </w:r>
      <w:r w:rsidRPr="00356EF3">
        <w:rPr>
          <w:rFonts w:ascii="Arial" w:eastAsia="Aptos" w:hAnsi="Arial" w:cs="Arial"/>
          <w:sz w:val="22"/>
          <w:szCs w:val="22"/>
        </w:rPr>
        <w:t xml:space="preserve"> better understand themselves, the cyclical model encourages people to think back on and reflect on their prior experiences. By summarising an event and addressing pertinent information, the "What?" question aims to better grasp the situation. Here are some helpful questions to think about: What happened? What part did I play? What did I hope to accomplish? What else were they attempting?</w:t>
      </w:r>
    </w:p>
    <w:p w14:paraId="5921A64E" w14:textId="77777777" w:rsidR="00DA58B0" w:rsidRPr="00356EF3" w:rsidRDefault="00DA58B0"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lastRenderedPageBreak/>
        <w:t>The relevance of the event and the learning results that come from going through it are examined by the question "So what?" Here are some helpful questions to think about: What did you enjoy or find difficult about the experience? What did I have going for me? What were my areas of weakness? What was going on? What have I discovered? What else am I thinking about? Interpretation, analysis, and learning from the experience through assessment and comprehension are the main goals of this stage. Lastly, the question "Now what?" asks what should be done differently in the future, which encourages people to use the knowledge they gained from the experience to create a plan of action. Here are some helpful questions to think about: What would I do differently if I were in a comparable situation? Should I repeat this action,</w:t>
      </w:r>
    </w:p>
    <w:p w14:paraId="220A01F9" w14:textId="488F4E36" w:rsidR="007D126F" w:rsidRPr="00356EF3" w:rsidRDefault="007D126F" w:rsidP="00356EF3">
      <w:pPr>
        <w:pStyle w:val="Heading1"/>
        <w:spacing w:before="322" w:after="322" w:line="360" w:lineRule="auto"/>
        <w:rPr>
          <w:rFonts w:ascii="Arial" w:eastAsia="Aptos" w:hAnsi="Arial" w:cs="Arial"/>
          <w:color w:val="auto"/>
          <w:sz w:val="22"/>
          <w:szCs w:val="22"/>
        </w:rPr>
      </w:pPr>
      <w:r w:rsidRPr="00356EF3">
        <w:rPr>
          <w:rFonts w:ascii="Arial" w:eastAsia="Aptos" w:hAnsi="Arial" w:cs="Arial"/>
          <w:color w:val="auto"/>
          <w:sz w:val="22"/>
          <w:szCs w:val="22"/>
        </w:rPr>
        <w:t xml:space="preserve">Rolfe's model is especially helpful for people who are new to reflective practice because of its simplicity. Because of its ease of use, </w:t>
      </w:r>
      <w:r w:rsidR="002C613A" w:rsidRPr="00356EF3">
        <w:rPr>
          <w:rFonts w:ascii="Arial" w:eastAsia="Aptos" w:hAnsi="Arial" w:cs="Arial"/>
          <w:color w:val="auto"/>
          <w:sz w:val="22"/>
          <w:szCs w:val="22"/>
        </w:rPr>
        <w:t>it is</w:t>
      </w:r>
      <w:r w:rsidRPr="00356EF3">
        <w:rPr>
          <w:rFonts w:ascii="Arial" w:eastAsia="Aptos" w:hAnsi="Arial" w:cs="Arial"/>
          <w:color w:val="auto"/>
          <w:sz w:val="22"/>
          <w:szCs w:val="22"/>
        </w:rPr>
        <w:t xml:space="preserve"> </w:t>
      </w:r>
      <w:r w:rsidR="00763E47" w:rsidRPr="00356EF3">
        <w:rPr>
          <w:rFonts w:ascii="Arial" w:eastAsia="Aptos" w:hAnsi="Arial" w:cs="Arial"/>
          <w:color w:val="auto"/>
          <w:sz w:val="22"/>
          <w:szCs w:val="22"/>
        </w:rPr>
        <w:t>a suitable place</w:t>
      </w:r>
      <w:r w:rsidRPr="00356EF3">
        <w:rPr>
          <w:rFonts w:ascii="Arial" w:eastAsia="Aptos" w:hAnsi="Arial" w:cs="Arial"/>
          <w:color w:val="auto"/>
          <w:sz w:val="22"/>
          <w:szCs w:val="22"/>
        </w:rPr>
        <w:t xml:space="preserve"> for people who are new to reflective practice to start. It also promotes ongoing introspection about what </w:t>
      </w:r>
      <w:r w:rsidR="004860A9" w:rsidRPr="00356EF3">
        <w:rPr>
          <w:rFonts w:ascii="Arial" w:eastAsia="Aptos" w:hAnsi="Arial" w:cs="Arial"/>
          <w:color w:val="auto"/>
          <w:sz w:val="22"/>
          <w:szCs w:val="22"/>
        </w:rPr>
        <w:t>must</w:t>
      </w:r>
      <w:r w:rsidRPr="00356EF3">
        <w:rPr>
          <w:rFonts w:ascii="Arial" w:eastAsia="Aptos" w:hAnsi="Arial" w:cs="Arial"/>
          <w:color w:val="auto"/>
          <w:sz w:val="22"/>
          <w:szCs w:val="22"/>
        </w:rPr>
        <w:t xml:space="preserve"> be done next and new abilities or information acquired from diverse encounters. Other models may have more intricate structures than other reflective models. Gibbs' Reflective Cycle, for instance, contains more sub-stages, which can make it more difficult to understand the goal of each one. Rolfe's reflective cycle, on the other hand, merely asks users to critically think about three topics. </w:t>
      </w:r>
      <w:r w:rsidR="00763E47" w:rsidRPr="00356EF3">
        <w:rPr>
          <w:rFonts w:ascii="Arial" w:eastAsia="Aptos" w:hAnsi="Arial" w:cs="Arial"/>
          <w:color w:val="auto"/>
          <w:sz w:val="22"/>
          <w:szCs w:val="22"/>
        </w:rPr>
        <w:t>Given the circumstances</w:t>
      </w:r>
      <w:r w:rsidRPr="00356EF3">
        <w:rPr>
          <w:rFonts w:ascii="Arial" w:eastAsia="Aptos" w:hAnsi="Arial" w:cs="Arial"/>
          <w:color w:val="auto"/>
          <w:sz w:val="22"/>
          <w:szCs w:val="22"/>
        </w:rPr>
        <w:t>, it is a simple paradigm to understand and apply.</w:t>
      </w:r>
    </w:p>
    <w:p w14:paraId="7B1C8DA6" w14:textId="77777777" w:rsidR="003732E3" w:rsidRPr="00356EF3" w:rsidRDefault="003732E3" w:rsidP="00356EF3">
      <w:pPr>
        <w:spacing w:line="360" w:lineRule="auto"/>
        <w:rPr>
          <w:rFonts w:ascii="Arial" w:eastAsia="Aptos" w:hAnsi="Arial" w:cs="Arial"/>
          <w:b/>
          <w:bCs/>
          <w:sz w:val="22"/>
          <w:szCs w:val="22"/>
        </w:rPr>
      </w:pPr>
      <w:r w:rsidRPr="00356EF3">
        <w:rPr>
          <w:rFonts w:ascii="Arial" w:hAnsi="Arial" w:cs="Arial"/>
          <w:noProof/>
          <w:sz w:val="22"/>
          <w:szCs w:val="22"/>
        </w:rPr>
        <w:drawing>
          <wp:inline distT="0" distB="0" distL="0" distR="0" wp14:anchorId="4A3ABE8B" wp14:editId="4244D2B3">
            <wp:extent cx="3257550" cy="1714500"/>
            <wp:effectExtent l="0" t="0" r="0" b="0"/>
            <wp:docPr id="482549186" name="Picture 1"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49186" name="Picture 1" descr="A close-up of a scree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57550" cy="1714500"/>
                    </a:xfrm>
                    <a:prstGeom prst="rect">
                      <a:avLst/>
                    </a:prstGeom>
                    <a:noFill/>
                    <a:ln>
                      <a:noFill/>
                    </a:ln>
                  </pic:spPr>
                </pic:pic>
              </a:graphicData>
            </a:graphic>
          </wp:inline>
        </w:drawing>
      </w:r>
    </w:p>
    <w:p w14:paraId="26769140" w14:textId="68F787AB" w:rsidR="00456551" w:rsidRPr="00356EF3" w:rsidRDefault="3055A3DB" w:rsidP="00356EF3">
      <w:pPr>
        <w:spacing w:line="360" w:lineRule="auto"/>
        <w:rPr>
          <w:rFonts w:ascii="Arial" w:hAnsi="Arial" w:cs="Arial"/>
          <w:sz w:val="22"/>
          <w:szCs w:val="22"/>
        </w:rPr>
      </w:pPr>
      <w:r w:rsidRPr="00356EF3">
        <w:rPr>
          <w:rFonts w:ascii="Arial" w:eastAsia="Aptos" w:hAnsi="Arial" w:cs="Arial"/>
          <w:b/>
          <w:bCs/>
          <w:sz w:val="22"/>
          <w:szCs w:val="22"/>
        </w:rPr>
        <w:t xml:space="preserve">3. </w:t>
      </w:r>
      <w:r w:rsidR="009717E6" w:rsidRPr="00356EF3">
        <w:rPr>
          <w:rFonts w:ascii="Arial" w:eastAsia="Aptos" w:hAnsi="Arial" w:cs="Arial"/>
          <w:b/>
          <w:bCs/>
          <w:sz w:val="22"/>
          <w:szCs w:val="22"/>
        </w:rPr>
        <w:t>Developing SMART Goals: A Reflective Cycle Approach to Enhancing Skills</w:t>
      </w:r>
    </w:p>
    <w:p w14:paraId="253B8CB4" w14:textId="511251F6" w:rsidR="00C74138" w:rsidRPr="00356EF3" w:rsidRDefault="00C74138" w:rsidP="00356EF3">
      <w:pPr>
        <w:pStyle w:val="Heading1"/>
        <w:spacing w:before="322" w:after="322" w:line="360" w:lineRule="auto"/>
        <w:rPr>
          <w:rFonts w:ascii="Arial" w:eastAsia="Aptos" w:hAnsi="Arial" w:cs="Arial"/>
          <w:color w:val="auto"/>
          <w:sz w:val="22"/>
          <w:szCs w:val="22"/>
        </w:rPr>
      </w:pPr>
      <w:r w:rsidRPr="00356EF3">
        <w:rPr>
          <w:rFonts w:ascii="Arial" w:eastAsia="Aptos" w:hAnsi="Arial" w:cs="Arial"/>
          <w:color w:val="auto"/>
          <w:sz w:val="22"/>
          <w:szCs w:val="22"/>
        </w:rPr>
        <w:lastRenderedPageBreak/>
        <w:t xml:space="preserve">Enhancing abilities is a crucial component of both professional and personal development. This can be accomplished effectively by combining reflective practice with SMART goals. This indicates that people </w:t>
      </w:r>
      <w:r w:rsidR="004860A9" w:rsidRPr="00356EF3">
        <w:rPr>
          <w:rFonts w:ascii="Arial" w:eastAsia="Aptos" w:hAnsi="Arial" w:cs="Arial"/>
          <w:color w:val="auto"/>
          <w:sz w:val="22"/>
          <w:szCs w:val="22"/>
        </w:rPr>
        <w:t>can give</w:t>
      </w:r>
      <w:r w:rsidRPr="00356EF3">
        <w:rPr>
          <w:rFonts w:ascii="Arial" w:eastAsia="Aptos" w:hAnsi="Arial" w:cs="Arial"/>
          <w:color w:val="auto"/>
          <w:sz w:val="22"/>
          <w:szCs w:val="22"/>
        </w:rPr>
        <w:t xml:space="preserve"> significant thought to and clearly expressing a plan for creating something new. We refer to these plans as goals. Because they are well-defined, SMART goals are more likely to inspire people to create something that is pertinent to their professional or personal development (Davies &amp; Reynolds, 2009). People frequently have skills </w:t>
      </w:r>
      <w:r w:rsidR="002C613A" w:rsidRPr="00356EF3">
        <w:rPr>
          <w:rFonts w:ascii="Arial" w:eastAsia="Aptos" w:hAnsi="Arial" w:cs="Arial"/>
          <w:color w:val="auto"/>
          <w:sz w:val="22"/>
          <w:szCs w:val="22"/>
        </w:rPr>
        <w:t>they would</w:t>
      </w:r>
      <w:r w:rsidRPr="00356EF3">
        <w:rPr>
          <w:rFonts w:ascii="Arial" w:eastAsia="Aptos" w:hAnsi="Arial" w:cs="Arial"/>
          <w:color w:val="auto"/>
          <w:sz w:val="22"/>
          <w:szCs w:val="22"/>
        </w:rPr>
        <w:t xml:space="preserve"> like to improve but </w:t>
      </w:r>
      <w:r w:rsidR="002C613A" w:rsidRPr="00356EF3">
        <w:rPr>
          <w:rFonts w:ascii="Arial" w:eastAsia="Aptos" w:hAnsi="Arial" w:cs="Arial"/>
          <w:color w:val="auto"/>
          <w:sz w:val="22"/>
          <w:szCs w:val="22"/>
        </w:rPr>
        <w:t>do not</w:t>
      </w:r>
      <w:r w:rsidRPr="00356EF3">
        <w:rPr>
          <w:rFonts w:ascii="Arial" w:eastAsia="Aptos" w:hAnsi="Arial" w:cs="Arial"/>
          <w:color w:val="auto"/>
          <w:sz w:val="22"/>
          <w:szCs w:val="22"/>
        </w:rPr>
        <w:t xml:space="preserve"> give it much thought as to how to do it. Therefore, objectives should be created that motivate people to think through these strategies thoroughly and express them intelligibly. Plans for personal development typically examine a number of distinct areas of focus. </w:t>
      </w:r>
    </w:p>
    <w:p w14:paraId="30E5C652" w14:textId="13C90F47" w:rsidR="00356EF3" w:rsidRPr="00356EF3" w:rsidRDefault="00356EF3" w:rsidP="00356EF3">
      <w:pPr>
        <w:spacing w:line="360" w:lineRule="auto"/>
        <w:rPr>
          <w:rFonts w:ascii="Arial" w:hAnsi="Arial" w:cs="Arial"/>
          <w:sz w:val="22"/>
          <w:szCs w:val="22"/>
        </w:rPr>
      </w:pPr>
      <w:r w:rsidRPr="00356EF3">
        <w:rPr>
          <w:rFonts w:ascii="Arial" w:hAnsi="Arial" w:cs="Arial"/>
          <w:noProof/>
          <w:sz w:val="22"/>
          <w:szCs w:val="22"/>
        </w:rPr>
        <w:drawing>
          <wp:inline distT="0" distB="0" distL="0" distR="0" wp14:anchorId="695E8158" wp14:editId="235BC806">
            <wp:extent cx="927100" cy="1714500"/>
            <wp:effectExtent l="0" t="0" r="6350" b="0"/>
            <wp:docPr id="1376260824" name="Picture 2"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260824" name="Picture 2" descr="A screen shot of a cell phone&#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27100" cy="1714500"/>
                    </a:xfrm>
                    <a:prstGeom prst="rect">
                      <a:avLst/>
                    </a:prstGeom>
                    <a:noFill/>
                    <a:ln>
                      <a:noFill/>
                    </a:ln>
                  </pic:spPr>
                </pic:pic>
              </a:graphicData>
            </a:graphic>
          </wp:inline>
        </w:drawing>
      </w:r>
    </w:p>
    <w:p w14:paraId="68882965" w14:textId="56FF8FC6" w:rsidR="00456551" w:rsidRPr="00356EF3" w:rsidRDefault="3055A3DB" w:rsidP="00356EF3">
      <w:pPr>
        <w:pStyle w:val="Heading1"/>
        <w:spacing w:before="322" w:after="322" w:line="360" w:lineRule="auto"/>
        <w:rPr>
          <w:rFonts w:ascii="Arial" w:hAnsi="Arial" w:cs="Arial"/>
          <w:sz w:val="22"/>
          <w:szCs w:val="22"/>
        </w:rPr>
      </w:pPr>
      <w:r w:rsidRPr="00356EF3">
        <w:rPr>
          <w:rFonts w:ascii="Arial" w:eastAsia="Aptos" w:hAnsi="Arial" w:cs="Arial"/>
          <w:b/>
          <w:bCs/>
          <w:sz w:val="22"/>
          <w:szCs w:val="22"/>
        </w:rPr>
        <w:t>4. Case Studies and Examples</w:t>
      </w:r>
    </w:p>
    <w:p w14:paraId="7B6EA75C" w14:textId="3EF57D4A" w:rsidR="003A31C5" w:rsidRPr="00356EF3" w:rsidRDefault="003A31C5" w:rsidP="00356EF3">
      <w:pPr>
        <w:pStyle w:val="Heading1"/>
        <w:spacing w:before="322" w:after="322" w:line="360" w:lineRule="auto"/>
        <w:rPr>
          <w:rFonts w:ascii="Arial" w:eastAsia="Aptos" w:hAnsi="Arial" w:cs="Arial"/>
          <w:color w:val="auto"/>
          <w:sz w:val="22"/>
          <w:szCs w:val="22"/>
        </w:rPr>
      </w:pPr>
      <w:r w:rsidRPr="00356EF3">
        <w:rPr>
          <w:rFonts w:ascii="Arial" w:eastAsia="Aptos" w:hAnsi="Arial" w:cs="Arial"/>
          <w:color w:val="auto"/>
          <w:sz w:val="22"/>
          <w:szCs w:val="22"/>
        </w:rPr>
        <w:t xml:space="preserve">This section presents case studies and illustrations that demonstrate the application of Rolfe's Reflective Cycle in various contexts, including corporate, healthcare, and educational settings. The examples demonstrate the adaptability of the cycle, focusing on </w:t>
      </w:r>
      <w:r w:rsidR="00E44271" w:rsidRPr="00356EF3">
        <w:rPr>
          <w:rFonts w:ascii="Arial" w:eastAsia="Aptos" w:hAnsi="Arial" w:cs="Arial"/>
          <w:color w:val="auto"/>
          <w:sz w:val="22"/>
          <w:szCs w:val="22"/>
        </w:rPr>
        <w:t>various aspects</w:t>
      </w:r>
      <w:r w:rsidRPr="00356EF3">
        <w:rPr>
          <w:rFonts w:ascii="Arial" w:eastAsia="Aptos" w:hAnsi="Arial" w:cs="Arial"/>
          <w:color w:val="auto"/>
          <w:sz w:val="22"/>
          <w:szCs w:val="22"/>
        </w:rPr>
        <w:t xml:space="preserve"> of the experience and its implications for growth and development. The first scenario involves a teacher using video to enhance their students' educational experience, emphasizing the importance of describing the experience and considering both its advantages and disadvantages. The second case involves a charge nurse addressing their experience in a critically ill patient, demonstrating how reflective practice can adapt to high-pressure situations. The third case focuses on a team leader applying reflective practice after a project, emphasizing the importance of "So What?" questions in Rolfe's paradigm and the potential for personal growth through reflection.</w:t>
      </w:r>
    </w:p>
    <w:p w14:paraId="03AA6B4D" w14:textId="5FCDF64C" w:rsidR="00456551" w:rsidRPr="00356EF3" w:rsidRDefault="3055A3DB" w:rsidP="00356EF3">
      <w:pPr>
        <w:pStyle w:val="Heading1"/>
        <w:spacing w:before="322" w:after="322" w:line="360" w:lineRule="auto"/>
        <w:rPr>
          <w:rFonts w:ascii="Arial" w:hAnsi="Arial" w:cs="Arial"/>
          <w:sz w:val="22"/>
          <w:szCs w:val="22"/>
        </w:rPr>
      </w:pPr>
      <w:r w:rsidRPr="00356EF3">
        <w:rPr>
          <w:rFonts w:ascii="Arial" w:eastAsia="Aptos" w:hAnsi="Arial" w:cs="Arial"/>
          <w:b/>
          <w:bCs/>
          <w:sz w:val="22"/>
          <w:szCs w:val="22"/>
        </w:rPr>
        <w:t>5. Conclusion and Future Applications</w:t>
      </w:r>
    </w:p>
    <w:p w14:paraId="61E6161E" w14:textId="77777777" w:rsidR="00622099" w:rsidRPr="00356EF3" w:rsidRDefault="00622099"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To sum up, Rolfe's Reflective Cycle is a helpful tool for enhancing knowledge and abilities. The cycle highlights the areas that need work while assisting in the assessment of </w:t>
      </w:r>
      <w:r w:rsidRPr="00356EF3">
        <w:rPr>
          <w:rFonts w:ascii="Arial" w:eastAsia="Aptos" w:hAnsi="Arial" w:cs="Arial"/>
          <w:sz w:val="22"/>
          <w:szCs w:val="22"/>
        </w:rPr>
        <w:lastRenderedPageBreak/>
        <w:t>knowledge and comprehension of abilities already in use. There is a lot of room for growth and a shift in how one approaches certain situations and circumstances through the reflective practice. Reflective practice has the power to make the experiences had more than merely educational. Understanding, insight, and applicability can result in confidence in the use of skills, which can then be transferred to others. This cycle of ongoing learning will guarantee that every practice is improved (Mohamed et al., 2022).</w:t>
      </w:r>
    </w:p>
    <w:p w14:paraId="3B11BF7E" w14:textId="77777777" w:rsidR="002A58DF" w:rsidRPr="00356EF3" w:rsidRDefault="002A58DF"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Rolfe's Reflective Cycle will remain in use in a variety of contexts in the future. Although it may be more applicable in the domains of education and healthcare, the cycle's simplicity and clarity allow for cross-field adaption and can be used in business, social work, and community service. Future professional practices will attempt to include the reflection more fully. Regardless of the practice, time must be set aside to reflect on the experience that comes from participation. Sharing the exercise with a coworker will be considered as confidence in completing the cycle increases. Consideration will be given to new inventive ways to employ the cycle as its use becomes second nature. It is believed that the growing utilisation of</w:t>
      </w:r>
    </w:p>
    <w:p w14:paraId="21F0584B" w14:textId="4E1AA697" w:rsidR="00CB40F1" w:rsidRPr="00356EF3" w:rsidRDefault="00CB40F1"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 xml:space="preserve">Lastly, it is recognised that reflective practices are still developing and that the latest developments in integrating reflection into the classroom are </w:t>
      </w:r>
      <w:r w:rsidR="004860A9" w:rsidRPr="00356EF3">
        <w:rPr>
          <w:rFonts w:ascii="Arial" w:eastAsia="Aptos" w:hAnsi="Arial" w:cs="Arial"/>
          <w:sz w:val="22"/>
          <w:szCs w:val="22"/>
        </w:rPr>
        <w:t>interesting</w:t>
      </w:r>
      <w:r w:rsidRPr="00356EF3">
        <w:rPr>
          <w:rFonts w:ascii="Arial" w:eastAsia="Aptos" w:hAnsi="Arial" w:cs="Arial"/>
          <w:sz w:val="22"/>
          <w:szCs w:val="22"/>
        </w:rPr>
        <w:t xml:space="preserve">. Trying to keep up is difficult. Furthermore, students frequently have a negative opinion of the legally mandated duty for reflective practice, which is all too readily overlooked. It is crucial to emphasise introspection as a learning technique. It is acknowledged that certain students may find written reflection challenging, and that other formats need to be </w:t>
      </w:r>
      <w:r w:rsidR="004860A9" w:rsidRPr="00356EF3">
        <w:rPr>
          <w:rFonts w:ascii="Arial" w:eastAsia="Aptos" w:hAnsi="Arial" w:cs="Arial"/>
          <w:sz w:val="22"/>
          <w:szCs w:val="22"/>
        </w:rPr>
        <w:t>considered</w:t>
      </w:r>
      <w:r w:rsidRPr="00356EF3">
        <w:rPr>
          <w:rFonts w:ascii="Arial" w:eastAsia="Aptos" w:hAnsi="Arial" w:cs="Arial"/>
          <w:sz w:val="22"/>
          <w:szCs w:val="22"/>
        </w:rPr>
        <w:t xml:space="preserve">. Numerous opportunities for reflection have been made possible by the advancement of technology in education, and </w:t>
      </w:r>
      <w:r w:rsidR="002C613A" w:rsidRPr="00356EF3">
        <w:rPr>
          <w:rFonts w:ascii="Arial" w:eastAsia="Aptos" w:hAnsi="Arial" w:cs="Arial"/>
          <w:sz w:val="22"/>
          <w:szCs w:val="22"/>
        </w:rPr>
        <w:t>it is</w:t>
      </w:r>
      <w:r w:rsidRPr="00356EF3">
        <w:rPr>
          <w:rFonts w:ascii="Arial" w:eastAsia="Aptos" w:hAnsi="Arial" w:cs="Arial"/>
          <w:sz w:val="22"/>
          <w:szCs w:val="22"/>
        </w:rPr>
        <w:t xml:space="preserve"> intriguing to weigh the benefits and drawbacks of digital reflections vs printed journals. The significance of mentoring in integrating reflective techniques is highlighted, as are the </w:t>
      </w:r>
      <w:r w:rsidR="00AF61A5" w:rsidRPr="00356EF3">
        <w:rPr>
          <w:rFonts w:ascii="Arial" w:eastAsia="Aptos" w:hAnsi="Arial" w:cs="Arial"/>
          <w:sz w:val="22"/>
          <w:szCs w:val="22"/>
        </w:rPr>
        <w:t>issues.</w:t>
      </w:r>
    </w:p>
    <w:p w14:paraId="2233057D" w14:textId="71429238" w:rsidR="00456551" w:rsidRDefault="3055A3DB" w:rsidP="00356EF3">
      <w:pPr>
        <w:spacing w:before="240" w:after="240" w:line="360" w:lineRule="auto"/>
        <w:rPr>
          <w:rFonts w:ascii="Arial" w:eastAsia="Aptos" w:hAnsi="Arial" w:cs="Arial"/>
          <w:sz w:val="22"/>
          <w:szCs w:val="22"/>
        </w:rPr>
      </w:pPr>
      <w:r w:rsidRPr="00356EF3">
        <w:rPr>
          <w:rFonts w:ascii="Arial" w:eastAsia="Aptos" w:hAnsi="Arial" w:cs="Arial"/>
          <w:sz w:val="22"/>
          <w:szCs w:val="22"/>
        </w:rPr>
        <w:t>References:</w:t>
      </w:r>
    </w:p>
    <w:p w14:paraId="56800E81" w14:textId="77777777" w:rsidR="00031D33" w:rsidRPr="00031D33" w:rsidRDefault="00031D33" w:rsidP="00031D33">
      <w:pPr>
        <w:spacing w:line="360" w:lineRule="auto"/>
        <w:rPr>
          <w:rFonts w:ascii="Arial" w:eastAsia="Aptos" w:hAnsi="Arial" w:cs="Arial"/>
          <w:sz w:val="22"/>
          <w:szCs w:val="22"/>
        </w:rPr>
      </w:pPr>
      <w:r w:rsidRPr="00031D33">
        <w:rPr>
          <w:rFonts w:ascii="Arial" w:eastAsia="Aptos" w:hAnsi="Arial" w:cs="Arial"/>
          <w:sz w:val="22"/>
          <w:szCs w:val="22"/>
        </w:rPr>
        <w:t>Here are the references in alphabetical order:</w:t>
      </w:r>
    </w:p>
    <w:p w14:paraId="09B944C8" w14:textId="77777777" w:rsidR="00031D33" w:rsidRPr="00031D33" w:rsidRDefault="00031D33" w:rsidP="00031D33">
      <w:pPr>
        <w:numPr>
          <w:ilvl w:val="0"/>
          <w:numId w:val="1"/>
        </w:numPr>
        <w:spacing w:line="360" w:lineRule="auto"/>
        <w:rPr>
          <w:rFonts w:ascii="Arial" w:eastAsia="Aptos" w:hAnsi="Arial" w:cs="Arial"/>
          <w:sz w:val="22"/>
          <w:szCs w:val="22"/>
        </w:rPr>
      </w:pPr>
      <w:proofErr w:type="spellStart"/>
      <w:r w:rsidRPr="00031D33">
        <w:rPr>
          <w:rFonts w:ascii="Arial" w:eastAsia="Aptos" w:hAnsi="Arial" w:cs="Arial"/>
          <w:sz w:val="22"/>
          <w:szCs w:val="22"/>
        </w:rPr>
        <w:t>Abulibdeh</w:t>
      </w:r>
      <w:proofErr w:type="spellEnd"/>
      <w:r w:rsidRPr="00031D33">
        <w:rPr>
          <w:rFonts w:ascii="Arial" w:eastAsia="Aptos" w:hAnsi="Arial" w:cs="Arial"/>
          <w:sz w:val="22"/>
          <w:szCs w:val="22"/>
        </w:rPr>
        <w:t xml:space="preserve">, A., Zaidan, E. and </w:t>
      </w:r>
      <w:proofErr w:type="spellStart"/>
      <w:r w:rsidRPr="00031D33">
        <w:rPr>
          <w:rFonts w:ascii="Arial" w:eastAsia="Aptos" w:hAnsi="Arial" w:cs="Arial"/>
          <w:sz w:val="22"/>
          <w:szCs w:val="22"/>
        </w:rPr>
        <w:t>Abulibdeh</w:t>
      </w:r>
      <w:proofErr w:type="spellEnd"/>
      <w:r w:rsidRPr="00031D33">
        <w:rPr>
          <w:rFonts w:ascii="Arial" w:eastAsia="Aptos" w:hAnsi="Arial" w:cs="Arial"/>
          <w:sz w:val="22"/>
          <w:szCs w:val="22"/>
        </w:rPr>
        <w:t>, R., 2024. Navigating the confluence of artificial intelligence and education for sustainable development in the era of industry 4.0: Challenges, opportunities, and ethical dimensions. Journal of Cleaner Production, p.140527.</w:t>
      </w:r>
    </w:p>
    <w:p w14:paraId="23905EEF" w14:textId="77777777" w:rsidR="00031D33" w:rsidRPr="00031D33" w:rsidRDefault="00031D33" w:rsidP="00031D33">
      <w:pPr>
        <w:numPr>
          <w:ilvl w:val="0"/>
          <w:numId w:val="1"/>
        </w:numPr>
        <w:spacing w:line="360" w:lineRule="auto"/>
        <w:rPr>
          <w:rFonts w:ascii="Arial" w:eastAsia="Aptos" w:hAnsi="Arial" w:cs="Arial"/>
          <w:sz w:val="22"/>
          <w:szCs w:val="22"/>
        </w:rPr>
      </w:pPr>
      <w:proofErr w:type="spellStart"/>
      <w:r w:rsidRPr="00031D33">
        <w:rPr>
          <w:rFonts w:ascii="Arial" w:eastAsia="Aptos" w:hAnsi="Arial" w:cs="Arial"/>
          <w:sz w:val="22"/>
          <w:szCs w:val="22"/>
        </w:rPr>
        <w:lastRenderedPageBreak/>
        <w:t>Cirocki</w:t>
      </w:r>
      <w:proofErr w:type="spellEnd"/>
      <w:r w:rsidRPr="00031D33">
        <w:rPr>
          <w:rFonts w:ascii="Arial" w:eastAsia="Aptos" w:hAnsi="Arial" w:cs="Arial"/>
          <w:sz w:val="22"/>
          <w:szCs w:val="22"/>
        </w:rPr>
        <w:t>, A., Wyatt, M. and Gao, X., 2024. Reflective practice in TESOL: An introduction. In Developing reflective TESOL practitioners through teacher education: Insights from Asia (pp. 1-30). Singapore: Springer Nature Singapore.</w:t>
      </w:r>
    </w:p>
    <w:p w14:paraId="7496CC17"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Davies &amp; Reynolds, 2009.</w:t>
      </w:r>
    </w:p>
    <w:p w14:paraId="58208351" w14:textId="77777777" w:rsidR="00031D33" w:rsidRPr="00031D33" w:rsidRDefault="00031D33" w:rsidP="00031D33">
      <w:pPr>
        <w:numPr>
          <w:ilvl w:val="0"/>
          <w:numId w:val="1"/>
        </w:numPr>
        <w:spacing w:line="360" w:lineRule="auto"/>
        <w:rPr>
          <w:rFonts w:ascii="Arial" w:eastAsia="Aptos" w:hAnsi="Arial" w:cs="Arial"/>
          <w:sz w:val="22"/>
          <w:szCs w:val="22"/>
        </w:rPr>
      </w:pPr>
      <w:proofErr w:type="spellStart"/>
      <w:r w:rsidRPr="00031D33">
        <w:rPr>
          <w:rFonts w:ascii="Arial" w:eastAsia="Aptos" w:hAnsi="Arial" w:cs="Arial"/>
          <w:sz w:val="22"/>
          <w:szCs w:val="22"/>
        </w:rPr>
        <w:t>ElSayary</w:t>
      </w:r>
      <w:proofErr w:type="spellEnd"/>
      <w:r w:rsidRPr="00031D33">
        <w:rPr>
          <w:rFonts w:ascii="Arial" w:eastAsia="Aptos" w:hAnsi="Arial" w:cs="Arial"/>
          <w:sz w:val="22"/>
          <w:szCs w:val="22"/>
        </w:rPr>
        <w:t>, A., 2024. An investigation of teachers' perceptions of using ChatGPT as a supporting tool for teaching and learning in the digital era. Journal of Computer Assisted Learning, 40(3), pp.931-945.</w:t>
      </w:r>
    </w:p>
    <w:p w14:paraId="725AA918"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Foote, J., Nicholas, G. and Midgley, G., 2025. Designing for structural, social and political viability in national-scale systemic interventions. Systemic Service Design: Design for Social Responsibility. Routledge.</w:t>
      </w:r>
    </w:p>
    <w:p w14:paraId="1B15E26D" w14:textId="77777777" w:rsidR="00031D33" w:rsidRPr="00031D33" w:rsidRDefault="00031D33" w:rsidP="00031D33">
      <w:pPr>
        <w:numPr>
          <w:ilvl w:val="0"/>
          <w:numId w:val="1"/>
        </w:numPr>
        <w:spacing w:line="360" w:lineRule="auto"/>
        <w:rPr>
          <w:rFonts w:ascii="Arial" w:eastAsia="Aptos" w:hAnsi="Arial" w:cs="Arial"/>
          <w:sz w:val="22"/>
          <w:szCs w:val="22"/>
        </w:rPr>
      </w:pPr>
      <w:proofErr w:type="spellStart"/>
      <w:r w:rsidRPr="00031D33">
        <w:rPr>
          <w:rFonts w:ascii="Arial" w:eastAsia="Aptos" w:hAnsi="Arial" w:cs="Arial"/>
          <w:sz w:val="22"/>
          <w:szCs w:val="22"/>
        </w:rPr>
        <w:t>Karunanayaka</w:t>
      </w:r>
      <w:proofErr w:type="spellEnd"/>
      <w:r w:rsidRPr="00031D33">
        <w:rPr>
          <w:rFonts w:ascii="Arial" w:eastAsia="Aptos" w:hAnsi="Arial" w:cs="Arial"/>
          <w:sz w:val="22"/>
          <w:szCs w:val="22"/>
        </w:rPr>
        <w:t xml:space="preserve"> et al., 2017.</w:t>
      </w:r>
    </w:p>
    <w:p w14:paraId="319C27DF"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Macfarlane, B. and Yeung, J., 2024. The (re) invention of tradition in higher education research: 1976–2021. Studies in Higher Education, 49(2), pp.382-393.</w:t>
      </w:r>
    </w:p>
    <w:p w14:paraId="4EB2594C"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Mohamed et al., 2022.</w:t>
      </w:r>
    </w:p>
    <w:p w14:paraId="2B1896CC"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Ranjan, R., 2025. Behavioural Finance in Banking and Management: A Study on the Trends and Challenges in the Banking Industry. Asian Journal of Economics, Business and Accounting, 25, pp.374-386.</w:t>
      </w:r>
    </w:p>
    <w:p w14:paraId="695DCFF2" w14:textId="77777777" w:rsidR="00031D33" w:rsidRPr="00031D33" w:rsidRDefault="00031D33" w:rsidP="00031D33">
      <w:pPr>
        <w:numPr>
          <w:ilvl w:val="0"/>
          <w:numId w:val="1"/>
        </w:numPr>
        <w:spacing w:line="360" w:lineRule="auto"/>
        <w:rPr>
          <w:rFonts w:ascii="Arial" w:eastAsia="Aptos" w:hAnsi="Arial" w:cs="Arial"/>
          <w:sz w:val="22"/>
          <w:szCs w:val="22"/>
        </w:rPr>
      </w:pPr>
      <w:r w:rsidRPr="00031D33">
        <w:rPr>
          <w:rFonts w:ascii="Arial" w:eastAsia="Aptos" w:hAnsi="Arial" w:cs="Arial"/>
          <w:sz w:val="22"/>
          <w:szCs w:val="22"/>
        </w:rPr>
        <w:t>Sohail, A. and Akram, H., 2025. The role of self-awareness and reflection in academic achievement: A psychological and Bayesian analysis. Pedagogical Research, 10(1).</w:t>
      </w:r>
    </w:p>
    <w:p w14:paraId="0F004B4A" w14:textId="77777777" w:rsidR="001F4397" w:rsidRPr="00F4484C" w:rsidRDefault="001F4397" w:rsidP="00F4484C">
      <w:pPr>
        <w:spacing w:line="360" w:lineRule="auto"/>
        <w:rPr>
          <w:rFonts w:ascii="Arial" w:hAnsi="Arial" w:cs="Arial"/>
          <w:sz w:val="22"/>
          <w:szCs w:val="22"/>
        </w:rPr>
      </w:pPr>
    </w:p>
    <w:p w14:paraId="11CFC996" w14:textId="77777777" w:rsidR="00F4484C" w:rsidRPr="005E6388" w:rsidRDefault="00F4484C" w:rsidP="005E6388">
      <w:pPr>
        <w:spacing w:line="360" w:lineRule="auto"/>
        <w:rPr>
          <w:rFonts w:ascii="Arial" w:hAnsi="Arial" w:cs="Arial"/>
          <w:sz w:val="22"/>
          <w:szCs w:val="22"/>
        </w:rPr>
      </w:pPr>
    </w:p>
    <w:p w14:paraId="5B7E37E3" w14:textId="77777777" w:rsidR="005E6388" w:rsidRPr="006C306E" w:rsidRDefault="005E6388" w:rsidP="006C306E">
      <w:pPr>
        <w:spacing w:line="360" w:lineRule="auto"/>
        <w:rPr>
          <w:rFonts w:ascii="Arial" w:hAnsi="Arial" w:cs="Arial"/>
          <w:sz w:val="22"/>
          <w:szCs w:val="22"/>
        </w:rPr>
      </w:pPr>
    </w:p>
    <w:p w14:paraId="3158ACBA" w14:textId="77777777" w:rsidR="006C306E" w:rsidRPr="007D5B81" w:rsidRDefault="006C306E" w:rsidP="007D5B81">
      <w:pPr>
        <w:spacing w:line="360" w:lineRule="auto"/>
        <w:rPr>
          <w:rFonts w:ascii="Arial" w:hAnsi="Arial" w:cs="Arial"/>
          <w:sz w:val="22"/>
          <w:szCs w:val="22"/>
        </w:rPr>
      </w:pPr>
    </w:p>
    <w:p w14:paraId="75ED6989" w14:textId="77777777" w:rsidR="007D5B81" w:rsidRPr="00A36266" w:rsidRDefault="007D5B81" w:rsidP="00A36266">
      <w:pPr>
        <w:spacing w:line="360" w:lineRule="auto"/>
        <w:rPr>
          <w:rFonts w:ascii="Arial" w:hAnsi="Arial" w:cs="Arial"/>
          <w:sz w:val="22"/>
          <w:szCs w:val="22"/>
        </w:rPr>
      </w:pPr>
    </w:p>
    <w:p w14:paraId="7A167AEF" w14:textId="77777777" w:rsidR="00A36266" w:rsidRPr="00E20F24" w:rsidRDefault="00A36266" w:rsidP="00E20F24">
      <w:pPr>
        <w:spacing w:line="360" w:lineRule="auto"/>
        <w:rPr>
          <w:rFonts w:ascii="Arial" w:hAnsi="Arial" w:cs="Arial"/>
          <w:sz w:val="22"/>
          <w:szCs w:val="22"/>
        </w:rPr>
      </w:pPr>
    </w:p>
    <w:p w14:paraId="5E5787A5" w14:textId="5E03FE12" w:rsidR="00456551" w:rsidRPr="00356EF3" w:rsidRDefault="00456551" w:rsidP="00356EF3">
      <w:pPr>
        <w:spacing w:line="360" w:lineRule="auto"/>
        <w:rPr>
          <w:rFonts w:ascii="Arial" w:hAnsi="Arial" w:cs="Arial"/>
          <w:sz w:val="22"/>
          <w:szCs w:val="22"/>
        </w:rPr>
      </w:pPr>
    </w:p>
    <w:sectPr w:rsidR="00456551" w:rsidRPr="00356EF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4C0ECD"/>
    <w:multiLevelType w:val="multilevel"/>
    <w:tmpl w:val="23FA9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207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DF9116"/>
    <w:rsid w:val="00031D33"/>
    <w:rsid w:val="00096961"/>
    <w:rsid w:val="000D7627"/>
    <w:rsid w:val="000F372E"/>
    <w:rsid w:val="001970A8"/>
    <w:rsid w:val="001F4397"/>
    <w:rsid w:val="0021743E"/>
    <w:rsid w:val="00266EB6"/>
    <w:rsid w:val="002A58DF"/>
    <w:rsid w:val="002C613A"/>
    <w:rsid w:val="002D39CE"/>
    <w:rsid w:val="00356EF3"/>
    <w:rsid w:val="003732E3"/>
    <w:rsid w:val="003A31C5"/>
    <w:rsid w:val="00456551"/>
    <w:rsid w:val="004860A9"/>
    <w:rsid w:val="004B1AD0"/>
    <w:rsid w:val="0053788F"/>
    <w:rsid w:val="005B5E6C"/>
    <w:rsid w:val="005E6388"/>
    <w:rsid w:val="00622099"/>
    <w:rsid w:val="006C306E"/>
    <w:rsid w:val="006D11C3"/>
    <w:rsid w:val="00744A22"/>
    <w:rsid w:val="00763E47"/>
    <w:rsid w:val="007D126F"/>
    <w:rsid w:val="007D5B81"/>
    <w:rsid w:val="00926C98"/>
    <w:rsid w:val="009717E6"/>
    <w:rsid w:val="009D507D"/>
    <w:rsid w:val="00A36266"/>
    <w:rsid w:val="00AB541F"/>
    <w:rsid w:val="00AF61A5"/>
    <w:rsid w:val="00C74138"/>
    <w:rsid w:val="00CB40F1"/>
    <w:rsid w:val="00DA58B0"/>
    <w:rsid w:val="00DC3BC6"/>
    <w:rsid w:val="00E20F24"/>
    <w:rsid w:val="00E44271"/>
    <w:rsid w:val="00F4484C"/>
    <w:rsid w:val="00FE1F49"/>
    <w:rsid w:val="00FE7733"/>
    <w:rsid w:val="0ADF9116"/>
    <w:rsid w:val="3055A3DB"/>
    <w:rsid w:val="7B8E580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F9116"/>
  <w15:chartTrackingRefBased/>
  <w15:docId w15:val="{E85EB2B4-6AAB-4B2E-993A-7DA8B3908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8636">
      <w:bodyDiv w:val="1"/>
      <w:marLeft w:val="0"/>
      <w:marRight w:val="0"/>
      <w:marTop w:val="0"/>
      <w:marBottom w:val="0"/>
      <w:divBdr>
        <w:top w:val="none" w:sz="0" w:space="0" w:color="auto"/>
        <w:left w:val="none" w:sz="0" w:space="0" w:color="auto"/>
        <w:bottom w:val="none" w:sz="0" w:space="0" w:color="auto"/>
        <w:right w:val="none" w:sz="0" w:space="0" w:color="auto"/>
      </w:divBdr>
      <w:divsChild>
        <w:div w:id="115831059">
          <w:marLeft w:val="0"/>
          <w:marRight w:val="0"/>
          <w:marTop w:val="0"/>
          <w:marBottom w:val="0"/>
          <w:divBdr>
            <w:top w:val="none" w:sz="0" w:space="0" w:color="auto"/>
            <w:left w:val="none" w:sz="0" w:space="0" w:color="auto"/>
            <w:bottom w:val="none" w:sz="0" w:space="0" w:color="auto"/>
            <w:right w:val="none" w:sz="0" w:space="0" w:color="auto"/>
          </w:divBdr>
        </w:div>
      </w:divsChild>
    </w:div>
    <w:div w:id="74324814">
      <w:bodyDiv w:val="1"/>
      <w:marLeft w:val="0"/>
      <w:marRight w:val="0"/>
      <w:marTop w:val="0"/>
      <w:marBottom w:val="0"/>
      <w:divBdr>
        <w:top w:val="none" w:sz="0" w:space="0" w:color="auto"/>
        <w:left w:val="none" w:sz="0" w:space="0" w:color="auto"/>
        <w:bottom w:val="none" w:sz="0" w:space="0" w:color="auto"/>
        <w:right w:val="none" w:sz="0" w:space="0" w:color="auto"/>
      </w:divBdr>
      <w:divsChild>
        <w:div w:id="1089689916">
          <w:marLeft w:val="0"/>
          <w:marRight w:val="0"/>
          <w:marTop w:val="0"/>
          <w:marBottom w:val="0"/>
          <w:divBdr>
            <w:top w:val="none" w:sz="0" w:space="0" w:color="auto"/>
            <w:left w:val="none" w:sz="0" w:space="0" w:color="auto"/>
            <w:bottom w:val="none" w:sz="0" w:space="0" w:color="auto"/>
            <w:right w:val="none" w:sz="0" w:space="0" w:color="auto"/>
          </w:divBdr>
        </w:div>
      </w:divsChild>
    </w:div>
    <w:div w:id="308171642">
      <w:bodyDiv w:val="1"/>
      <w:marLeft w:val="0"/>
      <w:marRight w:val="0"/>
      <w:marTop w:val="0"/>
      <w:marBottom w:val="0"/>
      <w:divBdr>
        <w:top w:val="none" w:sz="0" w:space="0" w:color="auto"/>
        <w:left w:val="none" w:sz="0" w:space="0" w:color="auto"/>
        <w:bottom w:val="none" w:sz="0" w:space="0" w:color="auto"/>
        <w:right w:val="none" w:sz="0" w:space="0" w:color="auto"/>
      </w:divBdr>
    </w:div>
    <w:div w:id="649673763">
      <w:bodyDiv w:val="1"/>
      <w:marLeft w:val="0"/>
      <w:marRight w:val="0"/>
      <w:marTop w:val="0"/>
      <w:marBottom w:val="0"/>
      <w:divBdr>
        <w:top w:val="none" w:sz="0" w:space="0" w:color="auto"/>
        <w:left w:val="none" w:sz="0" w:space="0" w:color="auto"/>
        <w:bottom w:val="none" w:sz="0" w:space="0" w:color="auto"/>
        <w:right w:val="none" w:sz="0" w:space="0" w:color="auto"/>
      </w:divBdr>
    </w:div>
    <w:div w:id="652877756">
      <w:bodyDiv w:val="1"/>
      <w:marLeft w:val="0"/>
      <w:marRight w:val="0"/>
      <w:marTop w:val="0"/>
      <w:marBottom w:val="0"/>
      <w:divBdr>
        <w:top w:val="none" w:sz="0" w:space="0" w:color="auto"/>
        <w:left w:val="none" w:sz="0" w:space="0" w:color="auto"/>
        <w:bottom w:val="none" w:sz="0" w:space="0" w:color="auto"/>
        <w:right w:val="none" w:sz="0" w:space="0" w:color="auto"/>
      </w:divBdr>
      <w:divsChild>
        <w:div w:id="1476799358">
          <w:marLeft w:val="0"/>
          <w:marRight w:val="0"/>
          <w:marTop w:val="0"/>
          <w:marBottom w:val="0"/>
          <w:divBdr>
            <w:top w:val="none" w:sz="0" w:space="0" w:color="auto"/>
            <w:left w:val="none" w:sz="0" w:space="0" w:color="auto"/>
            <w:bottom w:val="none" w:sz="0" w:space="0" w:color="auto"/>
            <w:right w:val="none" w:sz="0" w:space="0" w:color="auto"/>
          </w:divBdr>
        </w:div>
      </w:divsChild>
    </w:div>
    <w:div w:id="702826838">
      <w:bodyDiv w:val="1"/>
      <w:marLeft w:val="0"/>
      <w:marRight w:val="0"/>
      <w:marTop w:val="0"/>
      <w:marBottom w:val="0"/>
      <w:divBdr>
        <w:top w:val="none" w:sz="0" w:space="0" w:color="auto"/>
        <w:left w:val="none" w:sz="0" w:space="0" w:color="auto"/>
        <w:bottom w:val="none" w:sz="0" w:space="0" w:color="auto"/>
        <w:right w:val="none" w:sz="0" w:space="0" w:color="auto"/>
      </w:divBdr>
      <w:divsChild>
        <w:div w:id="2133207477">
          <w:marLeft w:val="0"/>
          <w:marRight w:val="0"/>
          <w:marTop w:val="0"/>
          <w:marBottom w:val="0"/>
          <w:divBdr>
            <w:top w:val="none" w:sz="0" w:space="0" w:color="auto"/>
            <w:left w:val="none" w:sz="0" w:space="0" w:color="auto"/>
            <w:bottom w:val="none" w:sz="0" w:space="0" w:color="auto"/>
            <w:right w:val="none" w:sz="0" w:space="0" w:color="auto"/>
          </w:divBdr>
        </w:div>
      </w:divsChild>
    </w:div>
    <w:div w:id="865748471">
      <w:bodyDiv w:val="1"/>
      <w:marLeft w:val="0"/>
      <w:marRight w:val="0"/>
      <w:marTop w:val="0"/>
      <w:marBottom w:val="0"/>
      <w:divBdr>
        <w:top w:val="none" w:sz="0" w:space="0" w:color="auto"/>
        <w:left w:val="none" w:sz="0" w:space="0" w:color="auto"/>
        <w:bottom w:val="none" w:sz="0" w:space="0" w:color="auto"/>
        <w:right w:val="none" w:sz="0" w:space="0" w:color="auto"/>
      </w:divBdr>
      <w:divsChild>
        <w:div w:id="1706976648">
          <w:marLeft w:val="0"/>
          <w:marRight w:val="0"/>
          <w:marTop w:val="0"/>
          <w:marBottom w:val="0"/>
          <w:divBdr>
            <w:top w:val="none" w:sz="0" w:space="0" w:color="auto"/>
            <w:left w:val="none" w:sz="0" w:space="0" w:color="auto"/>
            <w:bottom w:val="none" w:sz="0" w:space="0" w:color="auto"/>
            <w:right w:val="none" w:sz="0" w:space="0" w:color="auto"/>
          </w:divBdr>
        </w:div>
      </w:divsChild>
    </w:div>
    <w:div w:id="989990163">
      <w:bodyDiv w:val="1"/>
      <w:marLeft w:val="0"/>
      <w:marRight w:val="0"/>
      <w:marTop w:val="0"/>
      <w:marBottom w:val="0"/>
      <w:divBdr>
        <w:top w:val="none" w:sz="0" w:space="0" w:color="auto"/>
        <w:left w:val="none" w:sz="0" w:space="0" w:color="auto"/>
        <w:bottom w:val="none" w:sz="0" w:space="0" w:color="auto"/>
        <w:right w:val="none" w:sz="0" w:space="0" w:color="auto"/>
      </w:divBdr>
      <w:divsChild>
        <w:div w:id="1147815592">
          <w:marLeft w:val="0"/>
          <w:marRight w:val="0"/>
          <w:marTop w:val="0"/>
          <w:marBottom w:val="0"/>
          <w:divBdr>
            <w:top w:val="none" w:sz="0" w:space="0" w:color="auto"/>
            <w:left w:val="none" w:sz="0" w:space="0" w:color="auto"/>
            <w:bottom w:val="none" w:sz="0" w:space="0" w:color="auto"/>
            <w:right w:val="none" w:sz="0" w:space="0" w:color="auto"/>
          </w:divBdr>
        </w:div>
      </w:divsChild>
    </w:div>
    <w:div w:id="1048262546">
      <w:bodyDiv w:val="1"/>
      <w:marLeft w:val="0"/>
      <w:marRight w:val="0"/>
      <w:marTop w:val="0"/>
      <w:marBottom w:val="0"/>
      <w:divBdr>
        <w:top w:val="none" w:sz="0" w:space="0" w:color="auto"/>
        <w:left w:val="none" w:sz="0" w:space="0" w:color="auto"/>
        <w:bottom w:val="none" w:sz="0" w:space="0" w:color="auto"/>
        <w:right w:val="none" w:sz="0" w:space="0" w:color="auto"/>
      </w:divBdr>
    </w:div>
    <w:div w:id="1086461422">
      <w:bodyDiv w:val="1"/>
      <w:marLeft w:val="0"/>
      <w:marRight w:val="0"/>
      <w:marTop w:val="0"/>
      <w:marBottom w:val="0"/>
      <w:divBdr>
        <w:top w:val="none" w:sz="0" w:space="0" w:color="auto"/>
        <w:left w:val="none" w:sz="0" w:space="0" w:color="auto"/>
        <w:bottom w:val="none" w:sz="0" w:space="0" w:color="auto"/>
        <w:right w:val="none" w:sz="0" w:space="0" w:color="auto"/>
      </w:divBdr>
      <w:divsChild>
        <w:div w:id="685908486">
          <w:marLeft w:val="0"/>
          <w:marRight w:val="0"/>
          <w:marTop w:val="0"/>
          <w:marBottom w:val="0"/>
          <w:divBdr>
            <w:top w:val="none" w:sz="0" w:space="0" w:color="auto"/>
            <w:left w:val="none" w:sz="0" w:space="0" w:color="auto"/>
            <w:bottom w:val="none" w:sz="0" w:space="0" w:color="auto"/>
            <w:right w:val="none" w:sz="0" w:space="0" w:color="auto"/>
          </w:divBdr>
        </w:div>
      </w:divsChild>
    </w:div>
    <w:div w:id="1187911338">
      <w:bodyDiv w:val="1"/>
      <w:marLeft w:val="0"/>
      <w:marRight w:val="0"/>
      <w:marTop w:val="0"/>
      <w:marBottom w:val="0"/>
      <w:divBdr>
        <w:top w:val="none" w:sz="0" w:space="0" w:color="auto"/>
        <w:left w:val="none" w:sz="0" w:space="0" w:color="auto"/>
        <w:bottom w:val="none" w:sz="0" w:space="0" w:color="auto"/>
        <w:right w:val="none" w:sz="0" w:space="0" w:color="auto"/>
      </w:divBdr>
      <w:divsChild>
        <w:div w:id="1339384143">
          <w:marLeft w:val="0"/>
          <w:marRight w:val="0"/>
          <w:marTop w:val="0"/>
          <w:marBottom w:val="0"/>
          <w:divBdr>
            <w:top w:val="none" w:sz="0" w:space="0" w:color="auto"/>
            <w:left w:val="none" w:sz="0" w:space="0" w:color="auto"/>
            <w:bottom w:val="none" w:sz="0" w:space="0" w:color="auto"/>
            <w:right w:val="none" w:sz="0" w:space="0" w:color="auto"/>
          </w:divBdr>
        </w:div>
      </w:divsChild>
    </w:div>
    <w:div w:id="1196044303">
      <w:bodyDiv w:val="1"/>
      <w:marLeft w:val="0"/>
      <w:marRight w:val="0"/>
      <w:marTop w:val="0"/>
      <w:marBottom w:val="0"/>
      <w:divBdr>
        <w:top w:val="none" w:sz="0" w:space="0" w:color="auto"/>
        <w:left w:val="none" w:sz="0" w:space="0" w:color="auto"/>
        <w:bottom w:val="none" w:sz="0" w:space="0" w:color="auto"/>
        <w:right w:val="none" w:sz="0" w:space="0" w:color="auto"/>
      </w:divBdr>
      <w:divsChild>
        <w:div w:id="958876836">
          <w:marLeft w:val="0"/>
          <w:marRight w:val="0"/>
          <w:marTop w:val="0"/>
          <w:marBottom w:val="0"/>
          <w:divBdr>
            <w:top w:val="none" w:sz="0" w:space="0" w:color="auto"/>
            <w:left w:val="none" w:sz="0" w:space="0" w:color="auto"/>
            <w:bottom w:val="none" w:sz="0" w:space="0" w:color="auto"/>
            <w:right w:val="none" w:sz="0" w:space="0" w:color="auto"/>
          </w:divBdr>
        </w:div>
      </w:divsChild>
    </w:div>
    <w:div w:id="1333022156">
      <w:bodyDiv w:val="1"/>
      <w:marLeft w:val="0"/>
      <w:marRight w:val="0"/>
      <w:marTop w:val="0"/>
      <w:marBottom w:val="0"/>
      <w:divBdr>
        <w:top w:val="none" w:sz="0" w:space="0" w:color="auto"/>
        <w:left w:val="none" w:sz="0" w:space="0" w:color="auto"/>
        <w:bottom w:val="none" w:sz="0" w:space="0" w:color="auto"/>
        <w:right w:val="none" w:sz="0" w:space="0" w:color="auto"/>
      </w:divBdr>
    </w:div>
    <w:div w:id="1601796823">
      <w:bodyDiv w:val="1"/>
      <w:marLeft w:val="0"/>
      <w:marRight w:val="0"/>
      <w:marTop w:val="0"/>
      <w:marBottom w:val="0"/>
      <w:divBdr>
        <w:top w:val="none" w:sz="0" w:space="0" w:color="auto"/>
        <w:left w:val="none" w:sz="0" w:space="0" w:color="auto"/>
        <w:bottom w:val="none" w:sz="0" w:space="0" w:color="auto"/>
        <w:right w:val="none" w:sz="0" w:space="0" w:color="auto"/>
      </w:divBdr>
      <w:divsChild>
        <w:div w:id="907226685">
          <w:marLeft w:val="0"/>
          <w:marRight w:val="0"/>
          <w:marTop w:val="0"/>
          <w:marBottom w:val="0"/>
          <w:divBdr>
            <w:top w:val="none" w:sz="0" w:space="0" w:color="auto"/>
            <w:left w:val="none" w:sz="0" w:space="0" w:color="auto"/>
            <w:bottom w:val="none" w:sz="0" w:space="0" w:color="auto"/>
            <w:right w:val="none" w:sz="0" w:space="0" w:color="auto"/>
          </w:divBdr>
        </w:div>
      </w:divsChild>
    </w:div>
    <w:div w:id="1660890289">
      <w:bodyDiv w:val="1"/>
      <w:marLeft w:val="0"/>
      <w:marRight w:val="0"/>
      <w:marTop w:val="0"/>
      <w:marBottom w:val="0"/>
      <w:divBdr>
        <w:top w:val="none" w:sz="0" w:space="0" w:color="auto"/>
        <w:left w:val="none" w:sz="0" w:space="0" w:color="auto"/>
        <w:bottom w:val="none" w:sz="0" w:space="0" w:color="auto"/>
        <w:right w:val="none" w:sz="0" w:space="0" w:color="auto"/>
      </w:divBdr>
      <w:divsChild>
        <w:div w:id="120416276">
          <w:marLeft w:val="0"/>
          <w:marRight w:val="0"/>
          <w:marTop w:val="0"/>
          <w:marBottom w:val="0"/>
          <w:divBdr>
            <w:top w:val="none" w:sz="0" w:space="0" w:color="auto"/>
            <w:left w:val="none" w:sz="0" w:space="0" w:color="auto"/>
            <w:bottom w:val="none" w:sz="0" w:space="0" w:color="auto"/>
            <w:right w:val="none" w:sz="0" w:space="0" w:color="auto"/>
          </w:divBdr>
        </w:div>
      </w:divsChild>
    </w:div>
    <w:div w:id="1964270157">
      <w:bodyDiv w:val="1"/>
      <w:marLeft w:val="0"/>
      <w:marRight w:val="0"/>
      <w:marTop w:val="0"/>
      <w:marBottom w:val="0"/>
      <w:divBdr>
        <w:top w:val="none" w:sz="0" w:space="0" w:color="auto"/>
        <w:left w:val="none" w:sz="0" w:space="0" w:color="auto"/>
        <w:bottom w:val="none" w:sz="0" w:space="0" w:color="auto"/>
        <w:right w:val="none" w:sz="0" w:space="0" w:color="auto"/>
      </w:divBdr>
      <w:divsChild>
        <w:div w:id="723218606">
          <w:marLeft w:val="0"/>
          <w:marRight w:val="0"/>
          <w:marTop w:val="0"/>
          <w:marBottom w:val="0"/>
          <w:divBdr>
            <w:top w:val="none" w:sz="0" w:space="0" w:color="auto"/>
            <w:left w:val="none" w:sz="0" w:space="0" w:color="auto"/>
            <w:bottom w:val="none" w:sz="0" w:space="0" w:color="auto"/>
            <w:right w:val="none" w:sz="0" w:space="0" w:color="auto"/>
          </w:divBdr>
        </w:div>
      </w:divsChild>
    </w:div>
    <w:div w:id="1977948873">
      <w:bodyDiv w:val="1"/>
      <w:marLeft w:val="0"/>
      <w:marRight w:val="0"/>
      <w:marTop w:val="0"/>
      <w:marBottom w:val="0"/>
      <w:divBdr>
        <w:top w:val="none" w:sz="0" w:space="0" w:color="auto"/>
        <w:left w:val="none" w:sz="0" w:space="0" w:color="auto"/>
        <w:bottom w:val="none" w:sz="0" w:space="0" w:color="auto"/>
        <w:right w:val="none" w:sz="0" w:space="0" w:color="auto"/>
      </w:divBdr>
      <w:divsChild>
        <w:div w:id="237324046">
          <w:marLeft w:val="0"/>
          <w:marRight w:val="0"/>
          <w:marTop w:val="0"/>
          <w:marBottom w:val="0"/>
          <w:divBdr>
            <w:top w:val="none" w:sz="0" w:space="0" w:color="auto"/>
            <w:left w:val="none" w:sz="0" w:space="0" w:color="auto"/>
            <w:bottom w:val="none" w:sz="0" w:space="0" w:color="auto"/>
            <w:right w:val="none" w:sz="0" w:space="0" w:color="auto"/>
          </w:divBdr>
        </w:div>
      </w:divsChild>
    </w:div>
    <w:div w:id="2054188063">
      <w:bodyDiv w:val="1"/>
      <w:marLeft w:val="0"/>
      <w:marRight w:val="0"/>
      <w:marTop w:val="0"/>
      <w:marBottom w:val="0"/>
      <w:divBdr>
        <w:top w:val="none" w:sz="0" w:space="0" w:color="auto"/>
        <w:left w:val="none" w:sz="0" w:space="0" w:color="auto"/>
        <w:bottom w:val="none" w:sz="0" w:space="0" w:color="auto"/>
        <w:right w:val="none" w:sz="0" w:space="0" w:color="auto"/>
      </w:divBdr>
      <w:divsChild>
        <w:div w:id="1403870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6</Pages>
  <Words>1756</Words>
  <Characters>10010</Characters>
  <Application>Microsoft Office Word</Application>
  <DocSecurity>0</DocSecurity>
  <Lines>83</Lines>
  <Paragraphs>23</Paragraphs>
  <ScaleCrop>false</ScaleCrop>
  <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Adam (2423736)</dc:creator>
  <cp:keywords/>
  <dc:description/>
  <cp:lastModifiedBy>aliahmed suliman</cp:lastModifiedBy>
  <cp:revision>43</cp:revision>
  <dcterms:created xsi:type="dcterms:W3CDTF">2025-02-04T22:30:00Z</dcterms:created>
  <dcterms:modified xsi:type="dcterms:W3CDTF">2025-02-06T11:58:00Z</dcterms:modified>
</cp:coreProperties>
</file>