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39FD8" w14:textId="57DEAF73" w:rsidR="00361F37" w:rsidRPr="00361F37" w:rsidRDefault="00361F37" w:rsidP="00361F37">
      <w:pPr>
        <w:pStyle w:val="Body"/>
        <w:spacing w:line="240" w:lineRule="auto"/>
        <w:jc w:val="center"/>
        <w:rPr>
          <w:rFonts w:asciiTheme="minorHAnsi" w:hAnsiTheme="minorHAnsi" w:cs="Calibri"/>
          <w:b/>
          <w:bCs/>
          <w:color w:val="auto"/>
          <w:u w:color="004147"/>
        </w:rPr>
      </w:pPr>
      <w:r w:rsidRPr="00361F37">
        <w:rPr>
          <w:rFonts w:asciiTheme="minorHAnsi" w:hAnsiTheme="minorHAnsi" w:cs="Calibri"/>
          <w:b/>
          <w:bCs/>
          <w:color w:val="auto"/>
          <w:u w:color="004147"/>
        </w:rPr>
        <w:t>CIPD_5</w:t>
      </w:r>
      <w:r>
        <w:rPr>
          <w:rFonts w:asciiTheme="minorHAnsi" w:hAnsiTheme="minorHAnsi" w:cs="Calibri"/>
          <w:b/>
          <w:bCs/>
          <w:color w:val="auto"/>
          <w:u w:color="004147"/>
        </w:rPr>
        <w:t>HR01_24_01</w:t>
      </w:r>
    </w:p>
    <w:p w14:paraId="504809D8" w14:textId="77777777" w:rsidR="00361F37" w:rsidRPr="00361F37" w:rsidRDefault="00361F37" w:rsidP="00361F37">
      <w:pPr>
        <w:pStyle w:val="Body"/>
        <w:spacing w:line="240" w:lineRule="auto"/>
        <w:jc w:val="center"/>
        <w:rPr>
          <w:rFonts w:asciiTheme="minorHAnsi" w:hAnsiTheme="minorHAnsi" w:cs="Calibri"/>
          <w:b/>
          <w:bCs/>
          <w:color w:val="auto"/>
          <w:u w:color="004147"/>
          <w:lang w:val="en-US"/>
        </w:rPr>
      </w:pPr>
      <w:r w:rsidRPr="00361F37">
        <w:rPr>
          <w:rFonts w:asciiTheme="minorHAnsi" w:hAnsiTheme="minorHAnsi" w:cs="Calibri"/>
          <w:b/>
          <w:bCs/>
          <w:color w:val="auto"/>
          <w:u w:color="004147"/>
        </w:rPr>
        <w:t>Chloe Gardner 2325620</w:t>
      </w:r>
    </w:p>
    <w:p w14:paraId="76AE7E47" w14:textId="3F2D4F88" w:rsidR="00361F37" w:rsidRPr="00361F37" w:rsidRDefault="00361F37" w:rsidP="00361F37">
      <w:pPr>
        <w:pStyle w:val="Body"/>
        <w:spacing w:line="240" w:lineRule="auto"/>
        <w:jc w:val="center"/>
        <w:rPr>
          <w:rFonts w:asciiTheme="minorHAnsi" w:hAnsiTheme="minorHAnsi" w:cs="Calibri"/>
          <w:b/>
          <w:bCs/>
          <w:color w:val="auto"/>
          <w:u w:color="004147"/>
          <w:lang w:val="en-US"/>
        </w:rPr>
      </w:pPr>
      <w:r w:rsidRPr="00361F37">
        <w:rPr>
          <w:rFonts w:asciiTheme="minorHAnsi" w:hAnsiTheme="minorHAnsi" w:cs="Calibri"/>
          <w:b/>
          <w:bCs/>
          <w:color w:val="auto"/>
          <w:u w:color="004147"/>
          <w:lang w:val="en-US"/>
        </w:rPr>
        <w:t>39</w:t>
      </w:r>
      <w:r>
        <w:rPr>
          <w:rFonts w:asciiTheme="minorHAnsi" w:hAnsiTheme="minorHAnsi" w:cs="Calibri"/>
          <w:b/>
          <w:bCs/>
          <w:color w:val="auto"/>
          <w:u w:color="004147"/>
          <w:lang w:val="en-US"/>
        </w:rPr>
        <w:t>33</w:t>
      </w:r>
      <w:r w:rsidRPr="00361F37">
        <w:rPr>
          <w:rFonts w:asciiTheme="minorHAnsi" w:hAnsiTheme="minorHAnsi" w:cs="Calibri"/>
          <w:b/>
          <w:bCs/>
          <w:color w:val="auto"/>
          <w:u w:color="004147"/>
          <w:lang w:val="en-US"/>
        </w:rPr>
        <w:t xml:space="preserve"> words</w:t>
      </w:r>
    </w:p>
    <w:p w14:paraId="524F86CF" w14:textId="77777777" w:rsidR="00361F37" w:rsidRDefault="00361F37" w:rsidP="00361F37">
      <w:pPr>
        <w:pStyle w:val="Listparag"/>
        <w:spacing w:after="0" w:line="240" w:lineRule="auto"/>
        <w:jc w:val="center"/>
        <w:rPr>
          <w:rFonts w:asciiTheme="minorHAnsi" w:hAnsiTheme="minorHAnsi"/>
          <w:b/>
          <w:bCs/>
          <w:u w:val="single"/>
        </w:rPr>
      </w:pPr>
    </w:p>
    <w:p w14:paraId="4E8D2708" w14:textId="53147168" w:rsidR="0054226A" w:rsidRPr="0002603C" w:rsidRDefault="0054226A" w:rsidP="00C13F48">
      <w:pPr>
        <w:pStyle w:val="Listparag"/>
        <w:numPr>
          <w:ilvl w:val="0"/>
          <w:numId w:val="22"/>
        </w:numPr>
        <w:spacing w:after="0" w:line="240" w:lineRule="auto"/>
        <w:rPr>
          <w:rFonts w:asciiTheme="minorHAnsi" w:hAnsiTheme="minorHAnsi"/>
          <w:b/>
          <w:bCs/>
          <w:u w:val="single"/>
        </w:rPr>
      </w:pPr>
      <w:r w:rsidRPr="0002603C">
        <w:rPr>
          <w:rFonts w:asciiTheme="minorHAnsi" w:hAnsiTheme="minorHAnsi"/>
          <w:b/>
          <w:bCs/>
          <w:u w:val="single"/>
        </w:rPr>
        <w:t>Differentiate between employee involvement and employee participation and how they build relationships. (AC 1.1)</w:t>
      </w:r>
    </w:p>
    <w:p w14:paraId="4AFE5AB4" w14:textId="77777777" w:rsidR="00AD1D32" w:rsidRPr="0002603C" w:rsidRDefault="00AD1D32" w:rsidP="00761E57">
      <w:pPr>
        <w:pStyle w:val="Listparag"/>
        <w:spacing w:after="0" w:line="240" w:lineRule="auto"/>
        <w:rPr>
          <w:rFonts w:asciiTheme="minorHAnsi" w:hAnsiTheme="minorHAnsi"/>
        </w:rPr>
      </w:pPr>
    </w:p>
    <w:p w14:paraId="6D1B4A1A" w14:textId="04D18465" w:rsidR="00AD1D32" w:rsidRPr="0002603C" w:rsidRDefault="00AD1D32" w:rsidP="00761E57">
      <w:pPr>
        <w:pStyle w:val="Listparag"/>
        <w:spacing w:after="0" w:line="240" w:lineRule="auto"/>
        <w:rPr>
          <w:rFonts w:asciiTheme="minorHAnsi" w:hAnsiTheme="minorHAnsi"/>
        </w:rPr>
      </w:pPr>
      <w:r w:rsidRPr="0002603C">
        <w:rPr>
          <w:rFonts w:asciiTheme="minorHAnsi" w:hAnsiTheme="minorHAnsi"/>
        </w:rPr>
        <w:t xml:space="preserve">Employee involvement refers to the </w:t>
      </w:r>
      <w:r w:rsidR="00806B0C" w:rsidRPr="0002603C">
        <w:rPr>
          <w:rFonts w:asciiTheme="minorHAnsi" w:hAnsiTheme="minorHAnsi"/>
        </w:rPr>
        <w:t xml:space="preserve">use of employees’ opinions and feedback to influence organisational decision making, particularly around topics that will directly impact employees (Obiekwe, 2018). </w:t>
      </w:r>
      <w:r w:rsidR="00A32162" w:rsidRPr="0002603C">
        <w:rPr>
          <w:rFonts w:asciiTheme="minorHAnsi" w:hAnsiTheme="minorHAnsi"/>
        </w:rPr>
        <w:t xml:space="preserve">When welcoming employee involvement, employers will collect and listen to the voices of their staff and consider it when making decisions. These opinions are often collected </w:t>
      </w:r>
      <w:r w:rsidRPr="0002603C">
        <w:rPr>
          <w:rFonts w:asciiTheme="minorHAnsi" w:hAnsiTheme="minorHAnsi"/>
        </w:rPr>
        <w:t>through</w:t>
      </w:r>
      <w:r w:rsidR="00806B0C" w:rsidRPr="0002603C">
        <w:rPr>
          <w:rFonts w:asciiTheme="minorHAnsi" w:hAnsiTheme="minorHAnsi"/>
        </w:rPr>
        <w:t xml:space="preserve"> channels such as</w:t>
      </w:r>
      <w:r w:rsidRPr="0002603C">
        <w:rPr>
          <w:rFonts w:asciiTheme="minorHAnsi" w:hAnsiTheme="minorHAnsi"/>
        </w:rPr>
        <w:t xml:space="preserve"> staff surveys, suggestion boxes or feedback to changes</w:t>
      </w:r>
      <w:r w:rsidR="00806B0C" w:rsidRPr="0002603C">
        <w:rPr>
          <w:rFonts w:asciiTheme="minorHAnsi" w:hAnsiTheme="minorHAnsi"/>
        </w:rPr>
        <w:t xml:space="preserve"> (CIPD, 2025)</w:t>
      </w:r>
      <w:r w:rsidRPr="0002603C">
        <w:rPr>
          <w:rFonts w:asciiTheme="minorHAnsi" w:hAnsiTheme="minorHAnsi"/>
        </w:rPr>
        <w:t xml:space="preserve">. </w:t>
      </w:r>
    </w:p>
    <w:p w14:paraId="090317E9" w14:textId="77777777" w:rsidR="00AD1D32" w:rsidRPr="0002603C" w:rsidRDefault="00AD1D32" w:rsidP="00761E57">
      <w:pPr>
        <w:pStyle w:val="Listparag"/>
        <w:spacing w:after="0" w:line="240" w:lineRule="auto"/>
        <w:rPr>
          <w:rFonts w:asciiTheme="minorHAnsi" w:hAnsiTheme="minorHAnsi"/>
        </w:rPr>
      </w:pPr>
    </w:p>
    <w:p w14:paraId="3A9302F7" w14:textId="2E5FE31B" w:rsidR="00A32162" w:rsidRPr="0002603C" w:rsidRDefault="00A32162" w:rsidP="00761E57">
      <w:pPr>
        <w:pStyle w:val="Listparag"/>
        <w:spacing w:after="0" w:line="240" w:lineRule="auto"/>
        <w:rPr>
          <w:rFonts w:asciiTheme="minorHAnsi" w:hAnsiTheme="minorHAnsi"/>
        </w:rPr>
      </w:pPr>
      <w:r w:rsidRPr="0002603C">
        <w:rPr>
          <w:rFonts w:asciiTheme="minorHAnsi" w:hAnsiTheme="minorHAnsi"/>
        </w:rPr>
        <w:t xml:space="preserve">Listening to employees in this way before implementing changes/new processes helps to build the relationship between employers and their employees, as employees are likely to feel more respected and involved (CIPD, 2025). </w:t>
      </w:r>
      <w:r w:rsidR="00636CC2" w:rsidRPr="0002603C">
        <w:rPr>
          <w:rFonts w:asciiTheme="minorHAnsi" w:hAnsiTheme="minorHAnsi"/>
        </w:rPr>
        <w:t>Employees who are involved in decision-making are also far more likely to respect their employer back and therefore feel motivated to produce high quality work for them (Ryan &amp; Deci, 2024). This is supported by Thomas and Velthouse (1990) who found that involving individuals in decisions and goals will likely then increase their ability to use initiative in their work, by increasing their levels of autonomy in the workplace.</w:t>
      </w:r>
    </w:p>
    <w:p w14:paraId="31D23C6F" w14:textId="77777777" w:rsidR="00AD1D32" w:rsidRPr="0002603C" w:rsidRDefault="00AD1D32" w:rsidP="00761E57">
      <w:pPr>
        <w:pStyle w:val="Listparag"/>
        <w:spacing w:after="0" w:line="240" w:lineRule="auto"/>
        <w:rPr>
          <w:rFonts w:asciiTheme="minorHAnsi" w:hAnsiTheme="minorHAnsi"/>
        </w:rPr>
      </w:pPr>
    </w:p>
    <w:p w14:paraId="05B994A9" w14:textId="267B48D7" w:rsidR="00176335" w:rsidRPr="0002603C" w:rsidRDefault="00176335" w:rsidP="00761E57">
      <w:pPr>
        <w:pStyle w:val="Listparag"/>
        <w:spacing w:after="0" w:line="240" w:lineRule="auto"/>
        <w:rPr>
          <w:rFonts w:asciiTheme="minorHAnsi" w:hAnsiTheme="minorHAnsi"/>
        </w:rPr>
      </w:pPr>
      <w:r w:rsidRPr="0002603C">
        <w:rPr>
          <w:rFonts w:asciiTheme="minorHAnsi" w:hAnsiTheme="minorHAnsi"/>
        </w:rPr>
        <w:t>When using this method, however, employers must ensure that the feedback they collect from employees is listened to (CIPD, 2025). This does not necessarily mean that anything that an employee recommends is implemented, but reasoning as to why not must be shared if employers cannot act on the feedback. Ensuring that communication is maintained, no matter the outcome, ensures relationships are upheld through transparency (Hackman, Lawler &amp; Oldham, 2015).</w:t>
      </w:r>
    </w:p>
    <w:p w14:paraId="65E54553" w14:textId="77777777" w:rsidR="00176335" w:rsidRPr="0002603C" w:rsidRDefault="00176335" w:rsidP="00761E57">
      <w:pPr>
        <w:pStyle w:val="Listparag"/>
        <w:spacing w:after="0" w:line="240" w:lineRule="auto"/>
        <w:rPr>
          <w:rFonts w:asciiTheme="minorHAnsi" w:hAnsiTheme="minorHAnsi"/>
        </w:rPr>
      </w:pPr>
    </w:p>
    <w:p w14:paraId="20681C0A" w14:textId="18967F03" w:rsidR="00F62349" w:rsidRPr="0002603C" w:rsidRDefault="00F62349" w:rsidP="00761E57">
      <w:pPr>
        <w:pStyle w:val="Listparag"/>
        <w:spacing w:after="0" w:line="240" w:lineRule="auto"/>
        <w:rPr>
          <w:rFonts w:asciiTheme="minorHAnsi" w:hAnsiTheme="minorHAnsi"/>
        </w:rPr>
      </w:pPr>
      <w:r w:rsidRPr="0002603C">
        <w:rPr>
          <w:rFonts w:asciiTheme="minorHAnsi" w:hAnsiTheme="minorHAnsi"/>
        </w:rPr>
        <w:t>Moving on, employee participation refers to a more active level of involvement from employees in decision-making. Where employee involvement tends to involve employers collecting employees’ views on a topic, before making the final decision themselves, employee participation allows employees to have more of an influence over that final decision (Indeed Editorial Team, 2025). For example, employee participation may be achieved through a staff representative group or by asking employees to vote on a matter.</w:t>
      </w:r>
    </w:p>
    <w:p w14:paraId="410C9A9D" w14:textId="77777777" w:rsidR="00F62349" w:rsidRPr="0002603C" w:rsidRDefault="00F62349" w:rsidP="00761E57">
      <w:pPr>
        <w:pStyle w:val="Listparag"/>
        <w:spacing w:after="0" w:line="240" w:lineRule="auto"/>
        <w:rPr>
          <w:rFonts w:asciiTheme="minorHAnsi" w:hAnsiTheme="minorHAnsi"/>
        </w:rPr>
      </w:pPr>
    </w:p>
    <w:p w14:paraId="11BB8056" w14:textId="18FE814B" w:rsidR="00F62349" w:rsidRPr="0002603C" w:rsidRDefault="00F62349" w:rsidP="00761E57">
      <w:pPr>
        <w:pStyle w:val="Listparag"/>
        <w:spacing w:after="0" w:line="240" w:lineRule="auto"/>
        <w:rPr>
          <w:rFonts w:asciiTheme="minorHAnsi" w:hAnsiTheme="minorHAnsi"/>
        </w:rPr>
      </w:pPr>
      <w:r w:rsidRPr="0002603C">
        <w:rPr>
          <w:rFonts w:asciiTheme="minorHAnsi" w:hAnsiTheme="minorHAnsi"/>
        </w:rPr>
        <w:t xml:space="preserve">As employee representation encourages more </w:t>
      </w:r>
      <w:r w:rsidR="005446CD" w:rsidRPr="0002603C">
        <w:rPr>
          <w:rFonts w:asciiTheme="minorHAnsi" w:hAnsiTheme="minorHAnsi"/>
        </w:rPr>
        <w:t xml:space="preserve">frequent and direct </w:t>
      </w:r>
      <w:r w:rsidRPr="0002603C">
        <w:rPr>
          <w:rFonts w:asciiTheme="minorHAnsi" w:hAnsiTheme="minorHAnsi"/>
        </w:rPr>
        <w:t xml:space="preserve">conversation between employees and employers than employee involvement, it can also achieve a higher level of communication within a workplace. When </w:t>
      </w:r>
      <w:r w:rsidR="004438F6" w:rsidRPr="0002603C">
        <w:rPr>
          <w:rFonts w:asciiTheme="minorHAnsi" w:hAnsiTheme="minorHAnsi"/>
        </w:rPr>
        <w:t xml:space="preserve">staff feel regularly involved in two-way discussions with management, they are likely to feel more able to share other information with their organisation </w:t>
      </w:r>
      <w:r w:rsidR="007408FD" w:rsidRPr="0002603C">
        <w:rPr>
          <w:rFonts w:asciiTheme="minorHAnsi" w:hAnsiTheme="minorHAnsi"/>
        </w:rPr>
        <w:t>(Bakker &amp; Demerouti, 2007).</w:t>
      </w:r>
    </w:p>
    <w:p w14:paraId="42391CB9" w14:textId="77777777" w:rsidR="00B7282D" w:rsidRPr="0002603C" w:rsidRDefault="00B7282D" w:rsidP="00761E57">
      <w:pPr>
        <w:pStyle w:val="Listparag"/>
        <w:spacing w:after="0" w:line="240" w:lineRule="auto"/>
        <w:rPr>
          <w:rFonts w:asciiTheme="minorHAnsi" w:hAnsiTheme="minorHAnsi"/>
        </w:rPr>
      </w:pPr>
    </w:p>
    <w:p w14:paraId="0860C0B8" w14:textId="07416E0A" w:rsidR="00B7282D" w:rsidRPr="0002603C" w:rsidRDefault="00B7282D" w:rsidP="00761E57">
      <w:pPr>
        <w:pStyle w:val="Listparag"/>
        <w:spacing w:after="0" w:line="240" w:lineRule="auto"/>
        <w:rPr>
          <w:rFonts w:asciiTheme="minorHAnsi" w:hAnsiTheme="minorHAnsi"/>
          <w:i/>
          <w:iCs/>
        </w:rPr>
      </w:pPr>
      <w:r w:rsidRPr="0002603C">
        <w:rPr>
          <w:rFonts w:asciiTheme="minorHAnsi" w:hAnsiTheme="minorHAnsi"/>
        </w:rPr>
        <w:t>Those working for an organisation generally will have the best understanding of what it needs, and so either method (ideally both) will enhance the overall culture of an organisation, resulting in happier employees and better work. This is evident in Mayo’s (1924) Hawthorne experiment, where the intended study was shifted, resulting in findings that any method of asking employees for their opinions resulted in improved productivity.</w:t>
      </w:r>
    </w:p>
    <w:p w14:paraId="18B537CF" w14:textId="77777777" w:rsidR="00C71C13" w:rsidRPr="0002603C" w:rsidRDefault="00C71C13" w:rsidP="00C71C13">
      <w:pPr>
        <w:pStyle w:val="Listparag"/>
        <w:spacing w:after="0" w:line="240" w:lineRule="auto"/>
        <w:rPr>
          <w:rFonts w:asciiTheme="minorHAnsi" w:hAnsiTheme="minorHAnsi"/>
          <w:b/>
          <w:bCs/>
          <w:u w:val="single"/>
        </w:rPr>
      </w:pPr>
    </w:p>
    <w:p w14:paraId="000F330C" w14:textId="179D0198" w:rsidR="0054226A" w:rsidRPr="0002603C" w:rsidRDefault="0054226A" w:rsidP="00C71C13">
      <w:pPr>
        <w:pStyle w:val="Listparag"/>
        <w:numPr>
          <w:ilvl w:val="0"/>
          <w:numId w:val="22"/>
        </w:numPr>
        <w:spacing w:after="0" w:line="240" w:lineRule="auto"/>
        <w:rPr>
          <w:rFonts w:asciiTheme="minorHAnsi" w:hAnsiTheme="minorHAnsi"/>
          <w:b/>
          <w:bCs/>
        </w:rPr>
      </w:pPr>
      <w:r w:rsidRPr="0002603C">
        <w:rPr>
          <w:rFonts w:asciiTheme="minorHAnsi" w:hAnsiTheme="minorHAnsi"/>
          <w:b/>
          <w:bCs/>
          <w:u w:val="single"/>
        </w:rPr>
        <w:t>Compare forms of union and non-union employee representation. (AC 1.2)</w:t>
      </w:r>
    </w:p>
    <w:p w14:paraId="0FFF768E" w14:textId="5A36EEB6" w:rsidR="00C9503A" w:rsidRPr="0002603C" w:rsidRDefault="00C9503A" w:rsidP="00F5229A">
      <w:pPr>
        <w:pStyle w:val="Listparag"/>
        <w:spacing w:after="0" w:line="240" w:lineRule="auto"/>
        <w:rPr>
          <w:rFonts w:asciiTheme="minorHAnsi" w:hAnsiTheme="minorHAnsi"/>
        </w:rPr>
      </w:pPr>
    </w:p>
    <w:p w14:paraId="09058B59" w14:textId="6810053B" w:rsidR="00C9503A" w:rsidRPr="0002603C" w:rsidRDefault="00C9503A" w:rsidP="00F5229A">
      <w:pPr>
        <w:pStyle w:val="Listparag"/>
        <w:spacing w:after="0" w:line="240" w:lineRule="auto"/>
        <w:rPr>
          <w:rFonts w:asciiTheme="minorHAnsi" w:hAnsiTheme="minorHAnsi"/>
        </w:rPr>
      </w:pPr>
      <w:r w:rsidRPr="0002603C">
        <w:rPr>
          <w:rFonts w:asciiTheme="minorHAnsi" w:hAnsiTheme="minorHAnsi"/>
        </w:rPr>
        <w:lastRenderedPageBreak/>
        <w:t>Employ</w:t>
      </w:r>
      <w:r w:rsidR="00994CD4" w:rsidRPr="0002603C">
        <w:rPr>
          <w:rFonts w:asciiTheme="minorHAnsi" w:hAnsiTheme="minorHAnsi"/>
        </w:rPr>
        <w:t xml:space="preserve">ee </w:t>
      </w:r>
      <w:r w:rsidRPr="0002603C">
        <w:rPr>
          <w:rFonts w:asciiTheme="minorHAnsi" w:hAnsiTheme="minorHAnsi"/>
        </w:rPr>
        <w:t xml:space="preserve">representation can either me </w:t>
      </w:r>
      <w:r w:rsidR="00994CD4" w:rsidRPr="0002603C">
        <w:rPr>
          <w:rFonts w:asciiTheme="minorHAnsi" w:hAnsiTheme="minorHAnsi"/>
        </w:rPr>
        <w:t xml:space="preserve">union or non-union, both of which have their advantages and disadvantages. </w:t>
      </w:r>
    </w:p>
    <w:p w14:paraId="7354861C" w14:textId="0E4A699D" w:rsidR="00994CD4" w:rsidRPr="0002603C" w:rsidRDefault="00994CD4" w:rsidP="00F5229A">
      <w:pPr>
        <w:pStyle w:val="Listparag"/>
        <w:spacing w:after="0" w:line="240" w:lineRule="auto"/>
        <w:rPr>
          <w:rFonts w:asciiTheme="minorHAnsi" w:hAnsiTheme="minorHAnsi"/>
        </w:rPr>
      </w:pPr>
    </w:p>
    <w:p w14:paraId="58CDFFA1" w14:textId="1EC7A666" w:rsidR="00994CD4" w:rsidRPr="0002603C" w:rsidRDefault="00994CD4" w:rsidP="00F5229A">
      <w:pPr>
        <w:pStyle w:val="Listparag"/>
        <w:spacing w:after="0" w:line="240" w:lineRule="auto"/>
        <w:rPr>
          <w:rFonts w:asciiTheme="minorHAnsi" w:hAnsiTheme="minorHAnsi"/>
        </w:rPr>
      </w:pPr>
      <w:r w:rsidRPr="0002603C">
        <w:rPr>
          <w:rFonts w:asciiTheme="minorHAnsi" w:hAnsiTheme="minorHAnsi"/>
        </w:rPr>
        <w:t>Trade unions represent employees independently, supporting them with employment related issues such as conditions, hours and pay (CIPD, 2023</w:t>
      </w:r>
      <w:r w:rsidR="00250A16" w:rsidRPr="0002603C">
        <w:rPr>
          <w:rFonts w:asciiTheme="minorHAnsi" w:hAnsiTheme="minorHAnsi"/>
        </w:rPr>
        <w:t>b</w:t>
      </w:r>
      <w:r w:rsidRPr="0002603C">
        <w:rPr>
          <w:rFonts w:asciiTheme="minorHAnsi" w:hAnsiTheme="minorHAnsi"/>
        </w:rPr>
        <w:t>)</w:t>
      </w:r>
      <w:r w:rsidR="00B732A2" w:rsidRPr="0002603C">
        <w:rPr>
          <w:rFonts w:asciiTheme="minorHAnsi" w:hAnsiTheme="minorHAnsi"/>
        </w:rPr>
        <w:t>. Trade unions train their staff (union representatives) in areas of employment law, so that they are equipped to support employees when negotiating with employers (Lewis</w:t>
      </w:r>
      <w:r w:rsidR="00C71C13" w:rsidRPr="0002603C">
        <w:rPr>
          <w:rFonts w:asciiTheme="minorHAnsi" w:hAnsiTheme="minorHAnsi"/>
        </w:rPr>
        <w:t xml:space="preserve"> </w:t>
      </w:r>
      <w:r w:rsidR="00C71C13" w:rsidRPr="0002603C">
        <w:rPr>
          <w:rFonts w:asciiTheme="minorHAnsi" w:hAnsiTheme="minorHAnsi"/>
          <w:i/>
          <w:iCs/>
        </w:rPr>
        <w:t>et al</w:t>
      </w:r>
      <w:r w:rsidR="00C71C13" w:rsidRPr="0002603C">
        <w:rPr>
          <w:rFonts w:asciiTheme="minorHAnsi" w:hAnsiTheme="minorHAnsi"/>
        </w:rPr>
        <w:t>.</w:t>
      </w:r>
      <w:r w:rsidR="00B732A2" w:rsidRPr="0002603C">
        <w:rPr>
          <w:rFonts w:asciiTheme="minorHAnsi" w:hAnsiTheme="minorHAnsi"/>
        </w:rPr>
        <w:t>, 2020). Union representatives may also represent and support employees in formal meetings such as grievances and disciplinaries (CIPD, 2023</w:t>
      </w:r>
      <w:r w:rsidR="00250A16" w:rsidRPr="0002603C">
        <w:rPr>
          <w:rFonts w:asciiTheme="minorHAnsi" w:hAnsiTheme="minorHAnsi"/>
        </w:rPr>
        <w:t>b</w:t>
      </w:r>
      <w:r w:rsidR="00B732A2" w:rsidRPr="0002603C">
        <w:rPr>
          <w:rFonts w:asciiTheme="minorHAnsi" w:hAnsiTheme="minorHAnsi"/>
        </w:rPr>
        <w:t>). They have very specific processes, for example they can organise industrial action, however a formal ballot must be undertaken first (CIPD, 2023</w:t>
      </w:r>
      <w:r w:rsidR="00250A16" w:rsidRPr="0002603C">
        <w:rPr>
          <w:rFonts w:asciiTheme="minorHAnsi" w:hAnsiTheme="minorHAnsi"/>
        </w:rPr>
        <w:t>b</w:t>
      </w:r>
      <w:r w:rsidR="00B732A2" w:rsidRPr="0002603C">
        <w:rPr>
          <w:rFonts w:asciiTheme="minorHAnsi" w:hAnsiTheme="minorHAnsi"/>
        </w:rPr>
        <w:t>).</w:t>
      </w:r>
    </w:p>
    <w:p w14:paraId="312173B2" w14:textId="77777777" w:rsidR="00C9503A" w:rsidRPr="0002603C" w:rsidRDefault="00C9503A" w:rsidP="00F5229A">
      <w:pPr>
        <w:pStyle w:val="Listparag"/>
        <w:spacing w:after="0" w:line="240" w:lineRule="auto"/>
        <w:rPr>
          <w:rFonts w:asciiTheme="minorHAnsi" w:hAnsiTheme="minorHAnsi"/>
        </w:rPr>
      </w:pPr>
    </w:p>
    <w:p w14:paraId="2C53AEF8" w14:textId="76EC4EAC" w:rsidR="00B732A2" w:rsidRPr="0002603C" w:rsidRDefault="00B732A2" w:rsidP="00F5229A">
      <w:pPr>
        <w:pStyle w:val="Listparag"/>
        <w:spacing w:after="0" w:line="240" w:lineRule="auto"/>
        <w:rPr>
          <w:rFonts w:asciiTheme="minorHAnsi" w:hAnsiTheme="minorHAnsi"/>
        </w:rPr>
      </w:pPr>
      <w:r w:rsidRPr="0002603C">
        <w:rPr>
          <w:rFonts w:asciiTheme="minorHAnsi" w:hAnsiTheme="minorHAnsi"/>
        </w:rPr>
        <w:t>On the other hand, non-union representation defines a range of forums, including employee working groups, staff representatives or pension representatives (Invol</w:t>
      </w:r>
      <w:r w:rsidR="00250A16" w:rsidRPr="0002603C">
        <w:rPr>
          <w:rFonts w:asciiTheme="minorHAnsi" w:hAnsiTheme="minorHAnsi"/>
        </w:rPr>
        <w:t>v</w:t>
      </w:r>
      <w:r w:rsidRPr="0002603C">
        <w:rPr>
          <w:rFonts w:asciiTheme="minorHAnsi" w:hAnsiTheme="minorHAnsi"/>
        </w:rPr>
        <w:t>ement and Participation Association, 2021). These forms of representation are often internal within the organisation</w:t>
      </w:r>
      <w:r w:rsidR="00250A16" w:rsidRPr="0002603C">
        <w:rPr>
          <w:rFonts w:asciiTheme="minorHAnsi" w:hAnsiTheme="minorHAnsi"/>
        </w:rPr>
        <w:t>, but can be formal or informal. Although representatives of these forums are unlikely to receive the level of training as trade union representatives, employers may provide some training for these individuals. However, the process for non-union representatives is that they should still act as a communicator between employees and employers, to raise/query any concerns and ensure employees’ voices are recognised in organisational decision making (ACAS, 2021c).</w:t>
      </w:r>
    </w:p>
    <w:p w14:paraId="083E7EBB" w14:textId="77777777" w:rsidR="00250A16" w:rsidRPr="0002603C" w:rsidRDefault="00250A16" w:rsidP="00F5229A">
      <w:pPr>
        <w:pStyle w:val="Listparag"/>
        <w:spacing w:after="0" w:line="240" w:lineRule="auto"/>
        <w:rPr>
          <w:rFonts w:asciiTheme="minorHAnsi" w:hAnsiTheme="minorHAnsi"/>
        </w:rPr>
      </w:pPr>
    </w:p>
    <w:p w14:paraId="221B94D4" w14:textId="7B564C21" w:rsidR="00250A16" w:rsidRPr="0002603C" w:rsidRDefault="00250A16" w:rsidP="00F5229A">
      <w:pPr>
        <w:pStyle w:val="Listparag"/>
        <w:spacing w:after="0" w:line="240" w:lineRule="auto"/>
        <w:rPr>
          <w:rFonts w:asciiTheme="minorHAnsi" w:hAnsiTheme="minorHAnsi"/>
        </w:rPr>
      </w:pPr>
      <w:r w:rsidRPr="0002603C">
        <w:rPr>
          <w:rFonts w:asciiTheme="minorHAnsi" w:hAnsiTheme="minorHAnsi"/>
        </w:rPr>
        <w:t>The aim of any form of employee representation is to champion working conditions, through ensuring that employee voices are heard and that they are aware of their rights (CIPD, 2023b). Both types will also support consultation about any proposed changes before implementation. However, it could be argued that non-union representatives have less independence in terms of decision making, as they have generally been internally selected and work much more closely with employers (Lewis</w:t>
      </w:r>
      <w:r w:rsidR="00C71C13" w:rsidRPr="0002603C">
        <w:rPr>
          <w:rFonts w:asciiTheme="minorHAnsi" w:hAnsiTheme="minorHAnsi"/>
        </w:rPr>
        <w:t xml:space="preserve"> </w:t>
      </w:r>
      <w:r w:rsidR="00C71C13" w:rsidRPr="0002603C">
        <w:rPr>
          <w:rFonts w:asciiTheme="minorHAnsi" w:hAnsiTheme="minorHAnsi"/>
          <w:i/>
          <w:iCs/>
        </w:rPr>
        <w:t>et al</w:t>
      </w:r>
      <w:r w:rsidR="00C71C13" w:rsidRPr="0002603C">
        <w:rPr>
          <w:rFonts w:asciiTheme="minorHAnsi" w:hAnsiTheme="minorHAnsi"/>
        </w:rPr>
        <w:t>.</w:t>
      </w:r>
      <w:r w:rsidRPr="0002603C">
        <w:rPr>
          <w:rFonts w:asciiTheme="minorHAnsi" w:hAnsiTheme="minorHAnsi"/>
        </w:rPr>
        <w:t>, 2020). Trade unions, on the other hand, generally have more legal power, for example the legal right to strike (Involvement and Participation Association, 2021). As mentioned previously, they also receive more training and external support from the union they representative.</w:t>
      </w:r>
    </w:p>
    <w:p w14:paraId="4B9CF46D" w14:textId="77777777" w:rsidR="000F188E" w:rsidRPr="0002603C" w:rsidRDefault="000F188E" w:rsidP="0054226A">
      <w:pPr>
        <w:pStyle w:val="Nornal"/>
        <w:spacing w:after="0" w:line="240" w:lineRule="auto"/>
        <w:rPr>
          <w:rFonts w:asciiTheme="minorHAnsi" w:eastAsia="Trebuchet MS" w:hAnsiTheme="minorHAnsi" w:cs="Trebuchet MS"/>
          <w:b/>
          <w:bCs/>
          <w:u w:val="single"/>
        </w:rPr>
      </w:pPr>
    </w:p>
    <w:p w14:paraId="3AB14A58" w14:textId="78F21D3D" w:rsidR="0054226A" w:rsidRPr="0002603C" w:rsidRDefault="0054226A" w:rsidP="00C71C13">
      <w:pPr>
        <w:pStyle w:val="Nornal"/>
        <w:numPr>
          <w:ilvl w:val="0"/>
          <w:numId w:val="21"/>
        </w:numPr>
        <w:spacing w:after="0" w:line="240" w:lineRule="auto"/>
        <w:rPr>
          <w:rFonts w:asciiTheme="minorHAnsi" w:hAnsiTheme="minorHAnsi"/>
          <w:b/>
          <w:bCs/>
          <w:u w:val="single"/>
        </w:rPr>
      </w:pPr>
      <w:r w:rsidRPr="0002603C">
        <w:rPr>
          <w:rFonts w:asciiTheme="minorHAnsi" w:hAnsiTheme="minorHAnsi"/>
          <w:b/>
          <w:bCs/>
          <w:u w:val="single"/>
        </w:rPr>
        <w:t>Evaluate the relationship between employee voice and organisational performance. (AC 1.3)</w:t>
      </w:r>
    </w:p>
    <w:p w14:paraId="2A9CB55A" w14:textId="77777777" w:rsidR="00720CC8" w:rsidRPr="0002603C" w:rsidRDefault="00720CC8" w:rsidP="00DD4897">
      <w:pPr>
        <w:pStyle w:val="Nornal"/>
        <w:spacing w:after="0" w:line="240" w:lineRule="auto"/>
        <w:rPr>
          <w:rFonts w:asciiTheme="minorHAnsi" w:hAnsiTheme="minorHAnsi"/>
        </w:rPr>
      </w:pPr>
    </w:p>
    <w:p w14:paraId="6062C3F0" w14:textId="4EE6679D" w:rsidR="00B037D0" w:rsidRPr="0002603C" w:rsidRDefault="00720CC8" w:rsidP="00DD4897">
      <w:pPr>
        <w:pStyle w:val="Nornal"/>
        <w:spacing w:after="0" w:line="240" w:lineRule="auto"/>
        <w:rPr>
          <w:rFonts w:asciiTheme="minorHAnsi" w:hAnsiTheme="minorHAnsi"/>
        </w:rPr>
      </w:pPr>
      <w:r w:rsidRPr="0002603C">
        <w:rPr>
          <w:rFonts w:asciiTheme="minorHAnsi" w:hAnsiTheme="minorHAnsi"/>
        </w:rPr>
        <w:t>Employee voice can be defined as when employees have an input, or a ‘say’, in the workplace (Carberry, Nowak &amp; Dix, 2020)</w:t>
      </w:r>
      <w:r w:rsidR="00F95DB2" w:rsidRPr="0002603C">
        <w:rPr>
          <w:rFonts w:asciiTheme="minorHAnsi" w:hAnsiTheme="minorHAnsi"/>
        </w:rPr>
        <w:t>.</w:t>
      </w:r>
      <w:r w:rsidR="007F2558" w:rsidRPr="0002603C">
        <w:rPr>
          <w:rFonts w:asciiTheme="minorHAnsi" w:hAnsiTheme="minorHAnsi"/>
        </w:rPr>
        <w:t xml:space="preserve"> Employers can collect this input from employees through a range of platforms</w:t>
      </w:r>
      <w:r w:rsidR="00656959" w:rsidRPr="0002603C">
        <w:rPr>
          <w:rFonts w:asciiTheme="minorHAnsi" w:hAnsiTheme="minorHAnsi"/>
        </w:rPr>
        <w:t xml:space="preserve"> </w:t>
      </w:r>
      <w:r w:rsidR="007F2558" w:rsidRPr="0002603C">
        <w:rPr>
          <w:rFonts w:asciiTheme="minorHAnsi" w:hAnsiTheme="minorHAnsi"/>
        </w:rPr>
        <w:t xml:space="preserve">such as staff surveys (these could be annual or </w:t>
      </w:r>
      <w:r w:rsidR="00FF4CF7" w:rsidRPr="0002603C">
        <w:rPr>
          <w:rFonts w:asciiTheme="minorHAnsi" w:hAnsiTheme="minorHAnsi"/>
        </w:rPr>
        <w:t>ad hoc)</w:t>
      </w:r>
      <w:r w:rsidR="007F2558" w:rsidRPr="0002603C">
        <w:rPr>
          <w:rFonts w:asciiTheme="minorHAnsi" w:hAnsiTheme="minorHAnsi"/>
        </w:rPr>
        <w:t>, supervisions/appraisals,</w:t>
      </w:r>
      <w:r w:rsidR="00656959" w:rsidRPr="0002603C">
        <w:rPr>
          <w:rFonts w:asciiTheme="minorHAnsi" w:hAnsiTheme="minorHAnsi"/>
        </w:rPr>
        <w:t xml:space="preserve"> staff rep groups or anonymous feedback systems.</w:t>
      </w:r>
    </w:p>
    <w:p w14:paraId="4294479C" w14:textId="77777777" w:rsidR="005A5993" w:rsidRPr="0002603C" w:rsidRDefault="005A5993" w:rsidP="00DD4897">
      <w:pPr>
        <w:pStyle w:val="Nornal"/>
        <w:spacing w:after="0" w:line="240" w:lineRule="auto"/>
        <w:rPr>
          <w:rFonts w:asciiTheme="minorHAnsi" w:hAnsiTheme="minorHAnsi"/>
        </w:rPr>
      </w:pPr>
    </w:p>
    <w:p w14:paraId="0F57A8CB" w14:textId="6EF1CB5C" w:rsidR="005A5993" w:rsidRPr="0002603C" w:rsidRDefault="005A5993" w:rsidP="00DD4897">
      <w:pPr>
        <w:pStyle w:val="Nornal"/>
        <w:spacing w:after="0" w:line="240" w:lineRule="auto"/>
        <w:rPr>
          <w:rFonts w:asciiTheme="minorHAnsi" w:hAnsiTheme="minorHAnsi"/>
        </w:rPr>
      </w:pPr>
      <w:r w:rsidRPr="0002603C">
        <w:rPr>
          <w:rFonts w:asciiTheme="minorHAnsi" w:hAnsiTheme="minorHAnsi"/>
        </w:rPr>
        <w:t xml:space="preserve">Organisational performance refers to the success of an organisation. It can be measured in a number of ways depending on the purpose of a company, </w:t>
      </w:r>
      <w:r w:rsidR="008062F9" w:rsidRPr="0002603C">
        <w:rPr>
          <w:rFonts w:asciiTheme="minorHAnsi" w:hAnsiTheme="minorHAnsi"/>
        </w:rPr>
        <w:t>such as</w:t>
      </w:r>
      <w:r w:rsidRPr="0002603C">
        <w:rPr>
          <w:rFonts w:asciiTheme="minorHAnsi" w:hAnsiTheme="minorHAnsi"/>
        </w:rPr>
        <w:t xml:space="preserve"> financially (</w:t>
      </w:r>
      <w:r w:rsidR="008062F9" w:rsidRPr="0002603C">
        <w:rPr>
          <w:rFonts w:asciiTheme="minorHAnsi" w:hAnsiTheme="minorHAnsi"/>
        </w:rPr>
        <w:t>e.g.</w:t>
      </w:r>
      <w:r w:rsidRPr="0002603C">
        <w:rPr>
          <w:rFonts w:asciiTheme="minorHAnsi" w:hAnsiTheme="minorHAnsi"/>
        </w:rPr>
        <w:t xml:space="preserve"> profits)</w:t>
      </w:r>
      <w:r w:rsidR="008062F9" w:rsidRPr="0002603C">
        <w:rPr>
          <w:rFonts w:asciiTheme="minorHAnsi" w:hAnsiTheme="minorHAnsi"/>
        </w:rPr>
        <w:t xml:space="preserve">, through non-financial targets or from customer evaluations (BambooHR, 2024). </w:t>
      </w:r>
    </w:p>
    <w:p w14:paraId="27FA77E2" w14:textId="77777777" w:rsidR="005A5993" w:rsidRPr="0002603C" w:rsidRDefault="005A5993" w:rsidP="00DD4897">
      <w:pPr>
        <w:pStyle w:val="Nornal"/>
        <w:spacing w:after="0" w:line="240" w:lineRule="auto"/>
        <w:rPr>
          <w:rFonts w:asciiTheme="minorHAnsi" w:hAnsiTheme="minorHAnsi"/>
        </w:rPr>
      </w:pPr>
    </w:p>
    <w:p w14:paraId="372CF37B" w14:textId="032C14FC" w:rsidR="00B037D0" w:rsidRPr="0002603C" w:rsidRDefault="005A5993" w:rsidP="00DD4897">
      <w:pPr>
        <w:pStyle w:val="Nornal"/>
        <w:spacing w:after="0" w:line="240" w:lineRule="auto"/>
        <w:rPr>
          <w:rFonts w:asciiTheme="minorHAnsi" w:hAnsiTheme="minorHAnsi"/>
        </w:rPr>
      </w:pPr>
      <w:r w:rsidRPr="0002603C">
        <w:rPr>
          <w:rFonts w:asciiTheme="minorHAnsi" w:hAnsiTheme="minorHAnsi"/>
        </w:rPr>
        <w:t>The CIPD (2025) states that effect employee voice channels in an organisation can have a direct positive impact, not only on performance but on job satisfaction levels too.</w:t>
      </w:r>
      <w:r w:rsidR="008062F9" w:rsidRPr="0002603C">
        <w:rPr>
          <w:rFonts w:asciiTheme="minorHAnsi" w:hAnsiTheme="minorHAnsi"/>
        </w:rPr>
        <w:t xml:space="preserve"> Gallup’s (no date) study further supported this, identifying that </w:t>
      </w:r>
      <w:r w:rsidR="00482469" w:rsidRPr="0002603C">
        <w:rPr>
          <w:rFonts w:asciiTheme="minorHAnsi" w:hAnsiTheme="minorHAnsi"/>
        </w:rPr>
        <w:t xml:space="preserve">organisations with higher levels of employee engagement, as a result of employee voice channels, experienced more productive workers, with lower turnover and sickness levels. As a result of this, the organisations in the study saw an increase in financial outcomes. However, it is vital that employee voice channels are implemented effectively, to see positive results like these. The input of employees should be </w:t>
      </w:r>
      <w:r w:rsidR="007838D5" w:rsidRPr="0002603C">
        <w:rPr>
          <w:rFonts w:asciiTheme="minorHAnsi" w:hAnsiTheme="minorHAnsi"/>
        </w:rPr>
        <w:t>acknowledged and utilised, so that staff know that their opinions matter (Guest, 2002).</w:t>
      </w:r>
    </w:p>
    <w:p w14:paraId="32E19623" w14:textId="65ED4778" w:rsidR="008A022D" w:rsidRPr="0002603C" w:rsidRDefault="008A022D" w:rsidP="00DD4897">
      <w:pPr>
        <w:pStyle w:val="Nornal"/>
        <w:spacing w:after="0" w:line="240" w:lineRule="auto"/>
        <w:rPr>
          <w:rFonts w:asciiTheme="minorHAnsi" w:hAnsiTheme="minorHAnsi"/>
        </w:rPr>
      </w:pPr>
    </w:p>
    <w:p w14:paraId="39A8F156" w14:textId="648D708B" w:rsidR="008A022D" w:rsidRPr="0002603C" w:rsidRDefault="008A022D" w:rsidP="00DD4897">
      <w:pPr>
        <w:pStyle w:val="Nornal"/>
        <w:spacing w:after="0" w:line="240" w:lineRule="auto"/>
        <w:rPr>
          <w:rFonts w:asciiTheme="minorHAnsi" w:hAnsiTheme="minorHAnsi"/>
        </w:rPr>
      </w:pPr>
      <w:r w:rsidRPr="0002603C">
        <w:rPr>
          <w:rFonts w:asciiTheme="minorHAnsi" w:hAnsiTheme="minorHAnsi"/>
        </w:rPr>
        <w:lastRenderedPageBreak/>
        <w:t>When thinking about how employee voice impacts organisational performance, one possibility is through the increase in a sense of autonomy. When employees feel heard, they feel more able to use their creativity in work – resulting in more innovative work (Al-</w:t>
      </w:r>
      <w:proofErr w:type="spellStart"/>
      <w:r w:rsidRPr="0002603C">
        <w:rPr>
          <w:rFonts w:asciiTheme="minorHAnsi" w:hAnsiTheme="minorHAnsi"/>
        </w:rPr>
        <w:t>Aljouni</w:t>
      </w:r>
      <w:proofErr w:type="spellEnd"/>
      <w:r w:rsidRPr="0002603C">
        <w:rPr>
          <w:rFonts w:asciiTheme="minorHAnsi" w:hAnsiTheme="minorHAnsi"/>
        </w:rPr>
        <w:t>, 2021). This is then likely to boost organisational performance, through new and better ideas.</w:t>
      </w:r>
      <w:r w:rsidR="003E61A8" w:rsidRPr="0002603C">
        <w:rPr>
          <w:rFonts w:asciiTheme="minorHAnsi" w:hAnsiTheme="minorHAnsi"/>
        </w:rPr>
        <w:t xml:space="preserve"> Organisations who have achieved this culture should encourage the innovation of their employees and be open to hearing their ideas, to avoid employees feeling stifled </w:t>
      </w:r>
      <w:r w:rsidR="007F2558" w:rsidRPr="0002603C">
        <w:rPr>
          <w:rFonts w:asciiTheme="minorHAnsi" w:hAnsiTheme="minorHAnsi"/>
        </w:rPr>
        <w:t>or even resentful (Marchington, 2007).</w:t>
      </w:r>
    </w:p>
    <w:p w14:paraId="061F39EC" w14:textId="77777777" w:rsidR="008A022D" w:rsidRPr="0002603C" w:rsidRDefault="008A022D" w:rsidP="00DD4897">
      <w:pPr>
        <w:pStyle w:val="Nornal"/>
        <w:spacing w:after="0" w:line="240" w:lineRule="auto"/>
        <w:rPr>
          <w:rFonts w:asciiTheme="minorHAnsi" w:hAnsiTheme="minorHAnsi"/>
        </w:rPr>
      </w:pPr>
    </w:p>
    <w:p w14:paraId="579E0951" w14:textId="083835F7" w:rsidR="00117B88" w:rsidRPr="0002603C" w:rsidRDefault="00117B88" w:rsidP="00DD4897">
      <w:pPr>
        <w:pStyle w:val="Nornal"/>
        <w:spacing w:after="0" w:line="240" w:lineRule="auto"/>
        <w:rPr>
          <w:rFonts w:asciiTheme="minorHAnsi" w:hAnsiTheme="minorHAnsi"/>
        </w:rPr>
      </w:pPr>
      <w:r w:rsidRPr="0002603C">
        <w:rPr>
          <w:rFonts w:asciiTheme="minorHAnsi" w:hAnsiTheme="minorHAnsi"/>
        </w:rPr>
        <w:t xml:space="preserve">Furthermore, it is also </w:t>
      </w:r>
      <w:r w:rsidR="001741BA" w:rsidRPr="0002603C">
        <w:rPr>
          <w:rFonts w:asciiTheme="minorHAnsi" w:hAnsiTheme="minorHAnsi"/>
        </w:rPr>
        <w:t>widely reported</w:t>
      </w:r>
      <w:r w:rsidRPr="0002603C">
        <w:rPr>
          <w:rFonts w:asciiTheme="minorHAnsi" w:hAnsiTheme="minorHAnsi"/>
        </w:rPr>
        <w:t xml:space="preserve"> that employee voice improv</w:t>
      </w:r>
      <w:r w:rsidR="001741BA" w:rsidRPr="0002603C">
        <w:rPr>
          <w:rFonts w:asciiTheme="minorHAnsi" w:hAnsiTheme="minorHAnsi"/>
        </w:rPr>
        <w:t>es culture, which then results in improved organisational performance. This is supported by CIPD (2023) who support the idea that genuine employee voice methods build a culture of trust and openness amongst organisations, which in turn will result in employees wanting their company to succeed.</w:t>
      </w:r>
      <w:r w:rsidR="002128C9" w:rsidRPr="0002603C">
        <w:rPr>
          <w:rFonts w:asciiTheme="minorHAnsi" w:hAnsiTheme="minorHAnsi"/>
        </w:rPr>
        <w:t xml:space="preserve"> However, Marchington (2007) argues that some methods (particularly anonymous ones) can sometimes result in broken trust and poor psychological safety, due to a negative culture developing. It could be argued that employees would only leave negative feedback if they had reason to, however this ignores the concept of a ‘culture of complaining’ (Gordon, 2008).</w:t>
      </w:r>
    </w:p>
    <w:p w14:paraId="32841767" w14:textId="77777777" w:rsidR="00F5229A" w:rsidRPr="0002603C" w:rsidRDefault="00F5229A" w:rsidP="0054226A">
      <w:pPr>
        <w:pStyle w:val="Nornal"/>
        <w:spacing w:after="0" w:line="240" w:lineRule="auto"/>
        <w:rPr>
          <w:rFonts w:asciiTheme="minorHAnsi" w:eastAsia="Trebuchet MS" w:hAnsiTheme="minorHAnsi" w:cs="Trebuchet MS"/>
        </w:rPr>
      </w:pPr>
    </w:p>
    <w:p w14:paraId="07202B66" w14:textId="36D71748" w:rsidR="00DE0F6D" w:rsidRPr="0002603C" w:rsidRDefault="00DE0F6D" w:rsidP="0054226A">
      <w:pPr>
        <w:pStyle w:val="Nornal"/>
        <w:spacing w:after="0" w:line="240" w:lineRule="auto"/>
        <w:rPr>
          <w:rFonts w:asciiTheme="minorHAnsi" w:eastAsia="Trebuchet MS" w:hAnsiTheme="minorHAnsi" w:cs="Trebuchet MS"/>
          <w:lang w:val="en-GB"/>
        </w:rPr>
      </w:pPr>
      <w:r w:rsidRPr="0002603C">
        <w:rPr>
          <w:rFonts w:asciiTheme="minorHAnsi" w:eastAsia="Trebuchet MS" w:hAnsiTheme="minorHAnsi" w:cs="Trebuchet MS"/>
          <w:lang w:val="en-GB"/>
        </w:rPr>
        <w:t xml:space="preserve">In conclusion, whilst employee voice can </w:t>
      </w:r>
      <w:r w:rsidR="0054778A" w:rsidRPr="0002603C">
        <w:rPr>
          <w:rFonts w:asciiTheme="minorHAnsi" w:eastAsia="Trebuchet MS" w:hAnsiTheme="minorHAnsi" w:cs="Trebuchet MS"/>
          <w:lang w:val="en-GB"/>
        </w:rPr>
        <w:t>improve</w:t>
      </w:r>
      <w:r w:rsidRPr="0002603C">
        <w:rPr>
          <w:rFonts w:asciiTheme="minorHAnsi" w:eastAsia="Trebuchet MS" w:hAnsiTheme="minorHAnsi" w:cs="Trebuchet MS"/>
          <w:lang w:val="en-GB"/>
        </w:rPr>
        <w:t xml:space="preserve"> organisational performance through increased engagement, creativity, and trust, this relationship is not guaranteed. The effectiveness of voice channels depends on their sincerity and quality of implementation.</w:t>
      </w:r>
    </w:p>
    <w:p w14:paraId="4FB87001" w14:textId="77777777" w:rsidR="00DE0F6D" w:rsidRPr="0002603C" w:rsidRDefault="00DE0F6D" w:rsidP="0054226A">
      <w:pPr>
        <w:pStyle w:val="Nornal"/>
        <w:spacing w:after="0" w:line="240" w:lineRule="auto"/>
        <w:rPr>
          <w:rFonts w:asciiTheme="minorHAnsi" w:eastAsia="Trebuchet MS" w:hAnsiTheme="minorHAnsi" w:cs="Trebuchet MS"/>
        </w:rPr>
      </w:pPr>
    </w:p>
    <w:p w14:paraId="7E1469A8" w14:textId="417237AB" w:rsidR="0054226A" w:rsidRPr="0002603C" w:rsidRDefault="0054226A" w:rsidP="00C13F48">
      <w:pPr>
        <w:pStyle w:val="Nornal"/>
        <w:numPr>
          <w:ilvl w:val="0"/>
          <w:numId w:val="20"/>
        </w:numPr>
        <w:spacing w:after="0" w:line="240" w:lineRule="auto"/>
        <w:rPr>
          <w:rFonts w:asciiTheme="minorHAnsi" w:hAnsiTheme="minorHAnsi"/>
          <w:b/>
          <w:bCs/>
          <w:u w:val="single"/>
        </w:rPr>
      </w:pPr>
      <w:r w:rsidRPr="0002603C">
        <w:rPr>
          <w:rFonts w:asciiTheme="minorHAnsi" w:hAnsiTheme="minorHAnsi"/>
          <w:b/>
          <w:bCs/>
          <w:u w:val="single"/>
        </w:rPr>
        <w:t>Explain the concept of better working lives and how this can be designed. (AC 1.4)</w:t>
      </w:r>
    </w:p>
    <w:p w14:paraId="2D246586" w14:textId="77777777" w:rsidR="007C5DCF" w:rsidRPr="0002603C" w:rsidRDefault="007C5DCF" w:rsidP="00F526AB">
      <w:pPr>
        <w:pStyle w:val="Nornal"/>
        <w:spacing w:after="0" w:line="240" w:lineRule="auto"/>
        <w:rPr>
          <w:rFonts w:asciiTheme="minorHAnsi" w:hAnsiTheme="minorHAnsi"/>
        </w:rPr>
      </w:pPr>
    </w:p>
    <w:p w14:paraId="7408D5E7" w14:textId="51E2478A" w:rsidR="007C5DCF" w:rsidRPr="0002603C" w:rsidRDefault="00252E11" w:rsidP="00F526AB">
      <w:pPr>
        <w:pStyle w:val="Nornal"/>
        <w:spacing w:after="0" w:line="240" w:lineRule="auto"/>
        <w:rPr>
          <w:rFonts w:asciiTheme="minorHAnsi" w:hAnsiTheme="minorHAnsi"/>
        </w:rPr>
      </w:pPr>
      <w:r w:rsidRPr="0002603C">
        <w:rPr>
          <w:rFonts w:asciiTheme="minorHAnsi" w:hAnsiTheme="minorHAnsi"/>
        </w:rPr>
        <w:t>Better working lives are defined by CIPD (2023) as ensuring work experiences are fulfilling for individuals, with wellbeing, inclusivity and safety being prioritised. CIPD’s mission is ‘championing better work and working lives’, a statement that has helped to design the work of HR professionals.</w:t>
      </w:r>
      <w:r w:rsidR="007361B7" w:rsidRPr="0002603C">
        <w:rPr>
          <w:rFonts w:asciiTheme="minorHAnsi" w:hAnsiTheme="minorHAnsi"/>
        </w:rPr>
        <w:t xml:space="preserve"> The concept of better working lives relies on a number of factors to be considered, identified by CIPD’s </w:t>
      </w:r>
      <w:r w:rsidR="007361B7" w:rsidRPr="0002603C">
        <w:rPr>
          <w:rFonts w:asciiTheme="minorHAnsi" w:hAnsiTheme="minorHAnsi"/>
          <w:i/>
          <w:iCs/>
        </w:rPr>
        <w:t xml:space="preserve">Good Work Index </w:t>
      </w:r>
      <w:r w:rsidR="007361B7" w:rsidRPr="0002603C">
        <w:rPr>
          <w:rFonts w:asciiTheme="minorHAnsi" w:hAnsiTheme="minorHAnsi"/>
        </w:rPr>
        <w:t>(2023) as things such as job quality, work-life balance, development opportunities and employee voice. All of these factors being met effectively help to ensure employees are made to feel appreciated and happy at work, resulting in better work, higher retention and improved overall organisation performance.</w:t>
      </w:r>
    </w:p>
    <w:p w14:paraId="1550390D" w14:textId="77777777" w:rsidR="007C5DCF" w:rsidRPr="0002603C" w:rsidRDefault="007C5DCF" w:rsidP="00F526AB">
      <w:pPr>
        <w:pStyle w:val="Nornal"/>
        <w:spacing w:after="0" w:line="240" w:lineRule="auto"/>
        <w:rPr>
          <w:rFonts w:asciiTheme="minorHAnsi" w:hAnsiTheme="minorHAnsi"/>
        </w:rPr>
      </w:pPr>
    </w:p>
    <w:p w14:paraId="371517DF" w14:textId="77777777" w:rsidR="00830777" w:rsidRPr="0002603C" w:rsidRDefault="00830777" w:rsidP="00F526AB">
      <w:pPr>
        <w:pStyle w:val="Nornal"/>
        <w:spacing w:after="0" w:line="240" w:lineRule="auto"/>
        <w:rPr>
          <w:rFonts w:asciiTheme="minorHAnsi" w:hAnsiTheme="minorHAnsi"/>
        </w:rPr>
      </w:pPr>
      <w:r w:rsidRPr="0002603C">
        <w:rPr>
          <w:rFonts w:asciiTheme="minorHAnsi" w:hAnsiTheme="minorHAnsi"/>
        </w:rPr>
        <w:t xml:space="preserve">There is evidence of the importance of each aspect of better working lives. For example, Armstrong (2020) explores the importance of safety (both physical and psychological) in the workplace, something which has become even more vital since Covid-19. Furthermore, as discussed previously in this assignment, CIPD (2023) highlight the importance of employee voice in developing a positive workplace culture. </w:t>
      </w:r>
    </w:p>
    <w:p w14:paraId="53B53ED5" w14:textId="77777777" w:rsidR="00830777" w:rsidRPr="0002603C" w:rsidRDefault="00830777" w:rsidP="00F526AB">
      <w:pPr>
        <w:pStyle w:val="Nornal"/>
        <w:spacing w:after="0" w:line="240" w:lineRule="auto"/>
        <w:rPr>
          <w:rFonts w:asciiTheme="minorHAnsi" w:hAnsiTheme="minorHAnsi"/>
        </w:rPr>
      </w:pPr>
    </w:p>
    <w:p w14:paraId="7DF0F698" w14:textId="4477E8DA" w:rsidR="00830777" w:rsidRPr="0002603C" w:rsidRDefault="00830777" w:rsidP="00F526AB">
      <w:pPr>
        <w:pStyle w:val="Nornal"/>
        <w:spacing w:after="0" w:line="240" w:lineRule="auto"/>
        <w:rPr>
          <w:rFonts w:asciiTheme="minorHAnsi" w:hAnsiTheme="minorHAnsi"/>
        </w:rPr>
      </w:pPr>
      <w:r w:rsidRPr="0002603C">
        <w:rPr>
          <w:rFonts w:asciiTheme="minorHAnsi" w:hAnsiTheme="minorHAnsi"/>
        </w:rPr>
        <w:t xml:space="preserve">Maslow’s (1943) </w:t>
      </w:r>
      <w:r w:rsidRPr="0002603C">
        <w:rPr>
          <w:rFonts w:asciiTheme="minorHAnsi" w:hAnsiTheme="minorHAnsi"/>
          <w:i/>
          <w:iCs/>
        </w:rPr>
        <w:t xml:space="preserve">Hierarchy of Needs </w:t>
      </w:r>
      <w:r w:rsidRPr="0002603C">
        <w:rPr>
          <w:rFonts w:asciiTheme="minorHAnsi" w:hAnsiTheme="minorHAnsi"/>
        </w:rPr>
        <w:t xml:space="preserve">also provides useful evidence for the importance of good working lives. Many of the basic needs identified by Maslow (1943), such as physiological security and safety, cannot be met in the modern day without having a secure job, which pays fairly and provides a safe working environment. Moving on, the next levels of the </w:t>
      </w:r>
      <w:r w:rsidRPr="0002603C">
        <w:rPr>
          <w:rFonts w:asciiTheme="minorHAnsi" w:hAnsiTheme="minorHAnsi"/>
          <w:i/>
          <w:iCs/>
        </w:rPr>
        <w:t xml:space="preserve">Hierarchy of Needs </w:t>
      </w:r>
      <w:r w:rsidRPr="0002603C">
        <w:rPr>
          <w:rFonts w:asciiTheme="minorHAnsi" w:hAnsiTheme="minorHAnsi"/>
        </w:rPr>
        <w:t>include esteem and self-</w:t>
      </w:r>
      <w:proofErr w:type="spellStart"/>
      <w:r w:rsidRPr="0002603C">
        <w:rPr>
          <w:rFonts w:asciiTheme="minorHAnsi" w:hAnsiTheme="minorHAnsi"/>
        </w:rPr>
        <w:t>actualisation</w:t>
      </w:r>
      <w:proofErr w:type="spellEnd"/>
      <w:r w:rsidRPr="0002603C">
        <w:rPr>
          <w:rFonts w:asciiTheme="minorHAnsi" w:hAnsiTheme="minorHAnsi"/>
        </w:rPr>
        <w:t>. These again can be met by working in a meaningful job role, which opportunities for continuous learning and career progression</w:t>
      </w:r>
      <w:r w:rsidR="007C2AE3" w:rsidRPr="0002603C">
        <w:rPr>
          <w:rFonts w:asciiTheme="minorHAnsi" w:hAnsiTheme="minorHAnsi"/>
        </w:rPr>
        <w:t xml:space="preserve"> (Maslow, 1943).</w:t>
      </w:r>
    </w:p>
    <w:p w14:paraId="17503F2D" w14:textId="77777777" w:rsidR="00830777" w:rsidRPr="0002603C" w:rsidRDefault="00830777" w:rsidP="00F526AB">
      <w:pPr>
        <w:pStyle w:val="Nornal"/>
        <w:spacing w:after="0" w:line="240" w:lineRule="auto"/>
        <w:rPr>
          <w:rFonts w:asciiTheme="minorHAnsi" w:hAnsiTheme="minorHAnsi"/>
        </w:rPr>
      </w:pPr>
    </w:p>
    <w:p w14:paraId="0B8E181D" w14:textId="1C9E06B9" w:rsidR="004E750F" w:rsidRPr="0002603C" w:rsidRDefault="004E750F" w:rsidP="00F526AB">
      <w:pPr>
        <w:pStyle w:val="Nornal"/>
        <w:spacing w:after="0" w:line="240" w:lineRule="auto"/>
        <w:rPr>
          <w:rFonts w:asciiTheme="minorHAnsi" w:hAnsiTheme="minorHAnsi"/>
        </w:rPr>
      </w:pPr>
      <w:r w:rsidRPr="0002603C">
        <w:rPr>
          <w:rFonts w:asciiTheme="minorHAnsi" w:hAnsiTheme="minorHAnsi"/>
        </w:rPr>
        <w:t xml:space="preserve">Better working lives can be designed by employers and HR staff through a range of strategies. Job design is one way of enhancing working lives, by ensuring that job roles are varied and allow for autonomy, to promote employees’ feelings of engagement and motivation (Armstrong, 2020). Better working lives can also be achieved by encouraging, exploring and allowing flexible working options, such as hybrid working models and variation in contracted hours to support </w:t>
      </w:r>
      <w:r w:rsidRPr="0002603C">
        <w:rPr>
          <w:rFonts w:asciiTheme="minorHAnsi" w:hAnsiTheme="minorHAnsi"/>
        </w:rPr>
        <w:lastRenderedPageBreak/>
        <w:t>work-life balance (CIPD, 2021).</w:t>
      </w:r>
      <w:r w:rsidR="00DC72DF" w:rsidRPr="0002603C">
        <w:rPr>
          <w:rFonts w:asciiTheme="minorHAnsi" w:hAnsiTheme="minorHAnsi"/>
        </w:rPr>
        <w:t xml:space="preserve"> Recent changes to legislation surrounding flexible working further supports this, as employees are now able to submit flexible working requests from the first day of employment, promoting a culture of flexibility.</w:t>
      </w:r>
      <w:r w:rsidR="00EE08CE" w:rsidRPr="0002603C">
        <w:rPr>
          <w:rFonts w:asciiTheme="minorHAnsi" w:hAnsiTheme="minorHAnsi"/>
        </w:rPr>
        <w:t xml:space="preserve"> Furthermore, organisations can also promote better working lives by </w:t>
      </w:r>
      <w:proofErr w:type="spellStart"/>
      <w:r w:rsidR="00EE08CE" w:rsidRPr="0002603C">
        <w:rPr>
          <w:rFonts w:asciiTheme="minorHAnsi" w:hAnsiTheme="minorHAnsi"/>
        </w:rPr>
        <w:t>prioritising</w:t>
      </w:r>
      <w:proofErr w:type="spellEnd"/>
      <w:r w:rsidR="00EE08CE" w:rsidRPr="0002603C">
        <w:rPr>
          <w:rFonts w:asciiTheme="minorHAnsi" w:hAnsiTheme="minorHAnsi"/>
        </w:rPr>
        <w:t xml:space="preserve"> the learning and development opportunities they offer employees</w:t>
      </w:r>
      <w:r w:rsidR="00993AC5" w:rsidRPr="0002603C">
        <w:rPr>
          <w:rFonts w:asciiTheme="minorHAnsi" w:hAnsiTheme="minorHAnsi"/>
        </w:rPr>
        <w:t>, as well as regularly reviewing their other benefits such as pay and health/wellbeing initiatives.</w:t>
      </w:r>
    </w:p>
    <w:p w14:paraId="70263C21" w14:textId="77777777" w:rsidR="0054226A" w:rsidRPr="0002603C" w:rsidRDefault="0054226A" w:rsidP="0054226A">
      <w:pPr>
        <w:pStyle w:val="Body"/>
        <w:rPr>
          <w:rFonts w:asciiTheme="minorHAnsi" w:eastAsia="Trebuchet MS" w:hAnsiTheme="minorHAnsi" w:cs="Trebuchet MS"/>
          <w:b/>
          <w:bCs/>
          <w:u w:val="single"/>
        </w:rPr>
      </w:pPr>
    </w:p>
    <w:p w14:paraId="05DD9FA0" w14:textId="441248B4" w:rsidR="0054226A" w:rsidRPr="0002603C" w:rsidRDefault="0054226A" w:rsidP="00C13F48">
      <w:pPr>
        <w:pStyle w:val="ListParagraph"/>
        <w:numPr>
          <w:ilvl w:val="0"/>
          <w:numId w:val="19"/>
        </w:numPr>
        <w:pBdr>
          <w:top w:val="nil"/>
          <w:left w:val="nil"/>
          <w:bottom w:val="nil"/>
          <w:right w:val="nil"/>
          <w:between w:val="nil"/>
          <w:bar w:val="nil"/>
        </w:pBdr>
        <w:spacing w:after="0"/>
        <w:rPr>
          <w:b/>
          <w:bCs/>
        </w:rPr>
      </w:pPr>
      <w:r w:rsidRPr="0002603C">
        <w:rPr>
          <w:b/>
          <w:bCs/>
          <w:color w:val="000000"/>
          <w:u w:val="single" w:color="000000"/>
          <w:lang w:val="en-US"/>
        </w:rPr>
        <w:t>Distinguish between organisational conflict and misbehaviour. (AC 2.1)</w:t>
      </w:r>
    </w:p>
    <w:p w14:paraId="19B23FFA" w14:textId="77777777" w:rsidR="007E7243" w:rsidRPr="0002603C" w:rsidRDefault="007E7243" w:rsidP="007E7243">
      <w:pPr>
        <w:pBdr>
          <w:top w:val="nil"/>
          <w:left w:val="nil"/>
          <w:bottom w:val="nil"/>
          <w:right w:val="nil"/>
          <w:between w:val="nil"/>
          <w:bar w:val="nil"/>
        </w:pBdr>
        <w:spacing w:after="0"/>
        <w:rPr>
          <w:b/>
          <w:bCs/>
        </w:rPr>
      </w:pPr>
    </w:p>
    <w:p w14:paraId="5C1AC4C7" w14:textId="7D3D091B" w:rsidR="00AC7BB5" w:rsidRPr="0002603C" w:rsidRDefault="00A531BF" w:rsidP="00C63DF3">
      <w:pPr>
        <w:rPr>
          <w:rFonts w:eastAsia="Trebuchet MS" w:cs="Trebuchet MS"/>
        </w:rPr>
      </w:pPr>
      <w:r w:rsidRPr="0002603C">
        <w:rPr>
          <w:rFonts w:eastAsia="Trebuchet MS" w:cs="Trebuchet MS"/>
        </w:rPr>
        <w:t xml:space="preserve">Organisational conflict can be defined as any form of misunderstanding or dispute that happens in the workplace, which could be a result of differing opinions, relationships, backgrounds or something else </w:t>
      </w:r>
      <w:r w:rsidR="00B474AC" w:rsidRPr="0002603C">
        <w:rPr>
          <w:rFonts w:eastAsia="Trebuchet MS" w:cs="Trebuchet MS"/>
        </w:rPr>
        <w:t>(Mullins, 2016). CIPD (2020)</w:t>
      </w:r>
      <w:r w:rsidR="002C4A14" w:rsidRPr="0002603C">
        <w:rPr>
          <w:rFonts w:eastAsia="Trebuchet MS" w:cs="Trebuchet MS"/>
        </w:rPr>
        <w:t xml:space="preserve"> acknowledge that conflict is often seen in organisations, due to the natural dynamics when people work closely together.</w:t>
      </w:r>
      <w:r w:rsidR="003C04CB" w:rsidRPr="0002603C">
        <w:rPr>
          <w:rFonts w:eastAsia="Trebuchet MS" w:cs="Trebuchet MS"/>
        </w:rPr>
        <w:t xml:space="preserve"> </w:t>
      </w:r>
      <w:r w:rsidR="002C4A14" w:rsidRPr="0002603C">
        <w:rPr>
          <w:rFonts w:eastAsia="Trebuchet MS" w:cs="Trebuchet MS"/>
        </w:rPr>
        <w:t>Organisational conflict is generally categorised as either formal or informal. Informal conflict refers to smaller disagreements which happen privately between employees, for example tension rising from a misinterpreted email tone or employees disagreeing over a project</w:t>
      </w:r>
      <w:r w:rsidR="006E35F6" w:rsidRPr="0002603C">
        <w:rPr>
          <w:rFonts w:eastAsia="Trebuchet MS" w:cs="Trebuchet MS"/>
        </w:rPr>
        <w:t xml:space="preserve"> (NCVO, 2022)</w:t>
      </w:r>
      <w:r w:rsidR="002C4A14" w:rsidRPr="0002603C">
        <w:rPr>
          <w:rFonts w:eastAsia="Trebuchet MS" w:cs="Trebuchet MS"/>
        </w:rPr>
        <w:t xml:space="preserve">. </w:t>
      </w:r>
      <w:r w:rsidR="006E35F6" w:rsidRPr="0002603C">
        <w:rPr>
          <w:rFonts w:eastAsia="Trebuchet MS" w:cs="Trebuchet MS"/>
        </w:rPr>
        <w:t>Although informal conflict often doesn’t result in further intervention, CIPD (2020) do advise that HR professionals do try to address these conflicts early, to avoid escalation</w:t>
      </w:r>
      <w:r w:rsidR="003C04CB" w:rsidRPr="0002603C">
        <w:rPr>
          <w:rFonts w:eastAsia="Trebuchet MS" w:cs="Trebuchet MS"/>
        </w:rPr>
        <w:t>, as conflict is likely to impact the wellbeing and overall morale of staff</w:t>
      </w:r>
      <w:r w:rsidR="006E35F6" w:rsidRPr="0002603C">
        <w:rPr>
          <w:rFonts w:eastAsia="Trebuchet MS" w:cs="Trebuchet MS"/>
        </w:rPr>
        <w:t xml:space="preserve">. </w:t>
      </w:r>
    </w:p>
    <w:p w14:paraId="22416451" w14:textId="6F744F80" w:rsidR="0054226A" w:rsidRDefault="002C4A14" w:rsidP="00C63DF3">
      <w:pPr>
        <w:rPr>
          <w:rFonts w:eastAsia="Trebuchet MS" w:cs="Trebuchet MS"/>
        </w:rPr>
      </w:pPr>
      <w:r w:rsidRPr="0002603C">
        <w:rPr>
          <w:rFonts w:eastAsia="Trebuchet MS" w:cs="Trebuchet MS"/>
        </w:rPr>
        <w:t xml:space="preserve">Formal conflict, on the other hand, </w:t>
      </w:r>
      <w:r w:rsidR="006823E6" w:rsidRPr="0002603C">
        <w:rPr>
          <w:rFonts w:eastAsia="Trebuchet MS" w:cs="Trebuchet MS"/>
        </w:rPr>
        <w:t>often requires involvement from HR or management</w:t>
      </w:r>
      <w:r w:rsidR="006823E6">
        <w:rPr>
          <w:rFonts w:eastAsia="Trebuchet MS" w:cs="Trebuchet MS"/>
        </w:rPr>
        <w:t xml:space="preserve"> to resolve and generally has a more serious nature, such as related to rights or how an employee is treated</w:t>
      </w:r>
      <w:r w:rsidR="006E35F6">
        <w:rPr>
          <w:rFonts w:eastAsia="Trebuchet MS" w:cs="Trebuchet MS"/>
        </w:rPr>
        <w:t xml:space="preserve"> (NCVO, 2022)</w:t>
      </w:r>
      <w:r w:rsidR="006823E6">
        <w:rPr>
          <w:rFonts w:eastAsia="Trebuchet MS" w:cs="Trebuchet MS"/>
        </w:rPr>
        <w:t xml:space="preserve">. For example, a formal conflict could be where an employee files a grievance related to bullying. </w:t>
      </w:r>
    </w:p>
    <w:p w14:paraId="6775DA1C" w14:textId="45CCCAF5" w:rsidR="00AC7BB5" w:rsidRPr="001E0147" w:rsidRDefault="00AC7BB5" w:rsidP="00C63DF3">
      <w:pPr>
        <w:rPr>
          <w:rFonts w:eastAsia="Trebuchet MS" w:cs="Trebuchet MS"/>
        </w:rPr>
      </w:pPr>
      <w:r w:rsidRPr="001E0147">
        <w:rPr>
          <w:rFonts w:eastAsia="Trebuchet MS" w:cs="Trebuchet MS"/>
        </w:rPr>
        <w:t xml:space="preserve">On the other hand, organisational misbehaviour refers to employees acting purposely against the organisation’s policies, procedures or expectations (Ackroyd &amp; Thompson, 1999). It can often be a result of employee disengagement or unhappiness in the workplace. For example, organisational </w:t>
      </w:r>
      <w:r w:rsidR="001E0147">
        <w:rPr>
          <w:rFonts w:eastAsia="Trebuchet MS" w:cs="Trebuchet MS"/>
        </w:rPr>
        <w:t>mis</w:t>
      </w:r>
      <w:r w:rsidRPr="001E0147">
        <w:rPr>
          <w:rFonts w:eastAsia="Trebuchet MS" w:cs="Trebuchet MS"/>
        </w:rPr>
        <w:t>behaviour could be seen as purposeful low productivity, lateness or not following instructions from management.</w:t>
      </w:r>
    </w:p>
    <w:p w14:paraId="578A3A6D" w14:textId="6EF8E6C3" w:rsidR="00AC7BB5" w:rsidRPr="001E0147" w:rsidRDefault="00D616C7" w:rsidP="00C63DF3">
      <w:pPr>
        <w:rPr>
          <w:rFonts w:eastAsia="Trebuchet MS" w:cs="Trebuchet MS"/>
        </w:rPr>
      </w:pPr>
      <w:r w:rsidRPr="001E0147">
        <w:rPr>
          <w:rFonts w:eastAsia="Trebuchet MS" w:cs="Trebuchet MS"/>
        </w:rPr>
        <w:t xml:space="preserve">There are several ways that organisational conflict and behaviour differ from one another. Firstly, the intent differs between the two – organisational conflict is often unintentional and is a result of natural interpersonal dynamics, whereas </w:t>
      </w:r>
      <w:r w:rsidR="00FD5199" w:rsidRPr="001E0147">
        <w:rPr>
          <w:rFonts w:eastAsia="Trebuchet MS" w:cs="Trebuchet MS"/>
        </w:rPr>
        <w:t>organisational misbehaviour is often a conscious reaction to negative feelings (CIPD, 2020; Mullins, 2016). This misbehaviour is characterised by a clear breach of organisational policy, whereas organisational conflict may not necessarily ‘break</w:t>
      </w:r>
      <w:r w:rsidR="00BB33A0" w:rsidRPr="001E0147">
        <w:rPr>
          <w:rFonts w:eastAsia="Trebuchet MS" w:cs="Trebuchet MS"/>
        </w:rPr>
        <w:t xml:space="preserve"> rules’ (Robbins &amp; Judge, 2019).</w:t>
      </w:r>
    </w:p>
    <w:p w14:paraId="22844623" w14:textId="7B58AB69" w:rsidR="003330DA" w:rsidRDefault="00BB33A0" w:rsidP="00C63DF3">
      <w:pPr>
        <w:rPr>
          <w:rFonts w:eastAsia="Trebuchet MS" w:cs="Trebuchet MS"/>
        </w:rPr>
      </w:pPr>
      <w:r w:rsidRPr="001E0147">
        <w:rPr>
          <w:rFonts w:eastAsia="Trebuchet MS" w:cs="Trebuchet MS"/>
        </w:rPr>
        <w:t xml:space="preserve">In terms of resolution, </w:t>
      </w:r>
      <w:r w:rsidR="00AE74DC" w:rsidRPr="001E0147">
        <w:rPr>
          <w:rFonts w:eastAsia="Trebuchet MS" w:cs="Trebuchet MS"/>
        </w:rPr>
        <w:t xml:space="preserve">informal </w:t>
      </w:r>
      <w:r w:rsidRPr="001E0147">
        <w:rPr>
          <w:rFonts w:eastAsia="Trebuchet MS" w:cs="Trebuchet MS"/>
        </w:rPr>
        <w:t>organisational conflict can often be addressed through low</w:t>
      </w:r>
      <w:r w:rsidR="00AE74DC" w:rsidRPr="001E0147">
        <w:rPr>
          <w:rFonts w:eastAsia="Trebuchet MS" w:cs="Trebuchet MS"/>
        </w:rPr>
        <w:t xml:space="preserve"> </w:t>
      </w:r>
      <w:r w:rsidRPr="001E0147">
        <w:rPr>
          <w:rFonts w:eastAsia="Trebuchet MS" w:cs="Trebuchet MS"/>
        </w:rPr>
        <w:t>level interventions such as discussions or mediation</w:t>
      </w:r>
      <w:r w:rsidR="00AE74DC" w:rsidRPr="001E0147">
        <w:rPr>
          <w:rFonts w:eastAsia="Trebuchet MS" w:cs="Trebuchet MS"/>
        </w:rPr>
        <w:t xml:space="preserve">, as often no formal procedures are required (CIPD, 2020). However, formal grievance procedures may apply in situations of </w:t>
      </w:r>
      <w:r w:rsidR="00AE74DC" w:rsidRPr="001E0147">
        <w:rPr>
          <w:rFonts w:eastAsia="Trebuchet MS" w:cs="Trebuchet MS"/>
          <w:i/>
          <w:iCs/>
        </w:rPr>
        <w:t xml:space="preserve">formal </w:t>
      </w:r>
      <w:r w:rsidR="00AE74DC" w:rsidRPr="001E0147">
        <w:rPr>
          <w:rFonts w:eastAsia="Trebuchet MS" w:cs="Trebuchet MS"/>
        </w:rPr>
        <w:t>conflict. With organisational misbehaviour, however, it’s likely that resolution will always require formal processes, whether this is disciplinary action or performance management (Taylor &amp; Emir, 2015).</w:t>
      </w:r>
    </w:p>
    <w:p w14:paraId="136D2392" w14:textId="77777777" w:rsidR="004F70E1" w:rsidRDefault="004F70E1" w:rsidP="00C63DF3">
      <w:pPr>
        <w:rPr>
          <w:rFonts w:eastAsia="Trebuchet MS" w:cs="Trebuchet MS"/>
        </w:rPr>
      </w:pPr>
    </w:p>
    <w:p w14:paraId="0AA587D1" w14:textId="77777777" w:rsidR="004F70E1" w:rsidRDefault="004F70E1" w:rsidP="00C63DF3">
      <w:pPr>
        <w:rPr>
          <w:rFonts w:eastAsia="Trebuchet MS" w:cs="Trebuchet MS"/>
        </w:rPr>
      </w:pPr>
    </w:p>
    <w:p w14:paraId="4C9C8F8A" w14:textId="77777777" w:rsidR="004F70E1" w:rsidRDefault="004F70E1" w:rsidP="00C63DF3">
      <w:pPr>
        <w:rPr>
          <w:rFonts w:eastAsia="Trebuchet MS" w:cs="Trebuchet MS"/>
        </w:rPr>
      </w:pPr>
    </w:p>
    <w:p w14:paraId="5C2EC80B" w14:textId="77777777" w:rsidR="004F70E1" w:rsidRDefault="004F70E1" w:rsidP="00C63DF3">
      <w:pPr>
        <w:rPr>
          <w:rFonts w:eastAsia="Trebuchet MS" w:cs="Trebuchet MS"/>
        </w:rPr>
      </w:pPr>
    </w:p>
    <w:p w14:paraId="3BBBEB3D" w14:textId="77777777" w:rsidR="004F70E1" w:rsidRDefault="004F70E1" w:rsidP="00C63DF3">
      <w:pPr>
        <w:rPr>
          <w:rFonts w:eastAsia="Trebuchet MS" w:cs="Trebuchet MS"/>
        </w:rPr>
      </w:pPr>
    </w:p>
    <w:p w14:paraId="2C7569EF" w14:textId="77777777" w:rsidR="004F70E1" w:rsidRPr="00C63DF3" w:rsidRDefault="004F70E1" w:rsidP="00C63DF3">
      <w:pPr>
        <w:rPr>
          <w:rFonts w:eastAsia="Trebuchet MS" w:cs="Trebuchet MS"/>
        </w:rPr>
      </w:pPr>
    </w:p>
    <w:p w14:paraId="41B22AD4" w14:textId="11E8BE89" w:rsidR="0054226A" w:rsidRPr="003355D2" w:rsidRDefault="0054226A" w:rsidP="00C13F48">
      <w:pPr>
        <w:pStyle w:val="ListParagraph"/>
        <w:numPr>
          <w:ilvl w:val="0"/>
          <w:numId w:val="19"/>
        </w:numPr>
        <w:pBdr>
          <w:top w:val="nil"/>
          <w:left w:val="nil"/>
          <w:bottom w:val="nil"/>
          <w:right w:val="nil"/>
          <w:between w:val="nil"/>
          <w:bar w:val="nil"/>
        </w:pBdr>
        <w:spacing w:after="0"/>
        <w:rPr>
          <w:b/>
          <w:bCs/>
          <w:u w:val="single"/>
        </w:rPr>
      </w:pPr>
      <w:r w:rsidRPr="003355D2">
        <w:rPr>
          <w:b/>
          <w:bCs/>
          <w:color w:val="000000"/>
          <w:u w:val="single" w:color="000000"/>
          <w:lang w:val="en-US"/>
        </w:rPr>
        <w:t xml:space="preserve">Assess emerging trends in the types of conflict and industrial sanctions. (AC 2.2) </w:t>
      </w:r>
    </w:p>
    <w:p w14:paraId="7981B143" w14:textId="77777777" w:rsidR="00B81070" w:rsidRDefault="00B81070" w:rsidP="00B81070">
      <w:pPr>
        <w:pBdr>
          <w:top w:val="nil"/>
          <w:left w:val="nil"/>
          <w:bottom w:val="nil"/>
          <w:right w:val="nil"/>
          <w:between w:val="nil"/>
          <w:bar w:val="nil"/>
        </w:pBdr>
        <w:spacing w:after="0"/>
        <w:rPr>
          <w:b/>
          <w:bCs/>
        </w:rPr>
      </w:pPr>
    </w:p>
    <w:p w14:paraId="6B21D1B8" w14:textId="1B83CEDA" w:rsidR="0054226A" w:rsidRDefault="006A523C" w:rsidP="0054226A">
      <w:pPr>
        <w:pStyle w:val="Body"/>
        <w:rPr>
          <w:rFonts w:asciiTheme="minorHAnsi" w:eastAsia="Trebuchet MS" w:hAnsiTheme="minorHAnsi" w:cs="Trebuchet MS"/>
        </w:rPr>
      </w:pPr>
      <w:r>
        <w:rPr>
          <w:rFonts w:asciiTheme="minorHAnsi" w:eastAsia="Trebuchet MS" w:hAnsiTheme="minorHAnsi" w:cs="Trebuchet MS"/>
        </w:rPr>
        <w:t>One recent noticeable trend is the increasing number of disputes resulting in employment tribunal claims (Watt, 2024). This has been since and is likely due to the 2017 Supreme Court removal of tribunal fees, which likely discouraged individuals to submit a claim previously (Ford, 2018).</w:t>
      </w:r>
      <w:r w:rsidR="00AF0852">
        <w:rPr>
          <w:rFonts w:asciiTheme="minorHAnsi" w:eastAsia="Trebuchet MS" w:hAnsiTheme="minorHAnsi" w:cs="Trebuchet MS"/>
        </w:rPr>
        <w:t xml:space="preserve"> This finding is supported by Ministry of Justice (2020) statistics, which found that claims increased by 25% in the years following the 2017 ruling. These statistics represent a progression from disputes previously being addressed by employees through industrial sanctions such as strikes to legal processes – something which could also be a result of a decline in unionisation, as well as an increase in employees’ awareness of their employment rights (</w:t>
      </w:r>
      <w:proofErr w:type="spellStart"/>
      <w:r w:rsidR="00AF0852">
        <w:rPr>
          <w:rFonts w:asciiTheme="minorHAnsi" w:eastAsia="Trebuchet MS" w:hAnsiTheme="minorHAnsi" w:cs="Trebuchet MS"/>
        </w:rPr>
        <w:t>Onaran</w:t>
      </w:r>
      <w:proofErr w:type="spellEnd"/>
      <w:r w:rsidR="00AF0852">
        <w:rPr>
          <w:rFonts w:asciiTheme="minorHAnsi" w:eastAsia="Trebuchet MS" w:hAnsiTheme="minorHAnsi" w:cs="Trebuchet MS"/>
        </w:rPr>
        <w:t xml:space="preserve"> </w:t>
      </w:r>
      <w:r w:rsidR="00AF0852">
        <w:rPr>
          <w:rFonts w:asciiTheme="minorHAnsi" w:eastAsia="Trebuchet MS" w:hAnsiTheme="minorHAnsi" w:cs="Trebuchet MS"/>
          <w:i/>
          <w:iCs/>
        </w:rPr>
        <w:t>et al</w:t>
      </w:r>
      <w:r w:rsidR="00AF0852">
        <w:rPr>
          <w:rFonts w:asciiTheme="minorHAnsi" w:eastAsia="Trebuchet MS" w:hAnsiTheme="minorHAnsi" w:cs="Trebuchet MS"/>
        </w:rPr>
        <w:t>., 2015).</w:t>
      </w:r>
      <w:r w:rsidR="00AE1991">
        <w:rPr>
          <w:rFonts w:asciiTheme="minorHAnsi" w:eastAsia="Trebuchet MS" w:hAnsiTheme="minorHAnsi" w:cs="Trebuchet MS"/>
        </w:rPr>
        <w:t xml:space="preserve"> This trend also highlights employees’ growing confidence in standing up for their rights on an individual basis, possibly due to wider range of advice and support that can now be found online in relation to employment rights.</w:t>
      </w:r>
    </w:p>
    <w:p w14:paraId="1EFDD94B" w14:textId="77777777" w:rsidR="00AF0852" w:rsidRDefault="00AF0852" w:rsidP="0054226A">
      <w:pPr>
        <w:pStyle w:val="Body"/>
        <w:rPr>
          <w:rFonts w:asciiTheme="minorHAnsi" w:eastAsia="Trebuchet MS" w:hAnsiTheme="minorHAnsi" w:cs="Trebuchet MS"/>
        </w:rPr>
      </w:pPr>
    </w:p>
    <w:p w14:paraId="2AEA233C" w14:textId="59782505" w:rsidR="00AF0852" w:rsidRDefault="00AF0852" w:rsidP="0054226A">
      <w:pPr>
        <w:pStyle w:val="Body"/>
        <w:rPr>
          <w:rFonts w:asciiTheme="minorHAnsi" w:eastAsia="Trebuchet MS" w:hAnsiTheme="minorHAnsi" w:cs="Trebuchet MS"/>
        </w:rPr>
      </w:pPr>
      <w:r>
        <w:rPr>
          <w:rFonts w:asciiTheme="minorHAnsi" w:eastAsia="Trebuchet MS" w:hAnsiTheme="minorHAnsi" w:cs="Trebuchet MS"/>
        </w:rPr>
        <w:t>This leads on to and supports another noticeable trend – the decline in industrial stoppages over recent years</w:t>
      </w:r>
      <w:r w:rsidR="0048052D">
        <w:rPr>
          <w:rFonts w:asciiTheme="minorHAnsi" w:eastAsia="Trebuchet MS" w:hAnsiTheme="minorHAnsi" w:cs="Trebuchet MS"/>
        </w:rPr>
        <w:t xml:space="preserve"> but increase in impact of any strikes carried out</w:t>
      </w:r>
      <w:r>
        <w:rPr>
          <w:rFonts w:asciiTheme="minorHAnsi" w:eastAsia="Trebuchet MS" w:hAnsiTheme="minorHAnsi" w:cs="Trebuchet MS"/>
        </w:rPr>
        <w:t>, when using number of working days lost as a measurement</w:t>
      </w:r>
      <w:r w:rsidR="00460317">
        <w:rPr>
          <w:rFonts w:asciiTheme="minorHAnsi" w:eastAsia="Trebuchet MS" w:hAnsiTheme="minorHAnsi" w:cs="Trebuchet MS"/>
        </w:rPr>
        <w:t xml:space="preserve"> (Office for National Statistics, 2022).</w:t>
      </w:r>
      <w:r w:rsidR="0048052D">
        <w:rPr>
          <w:rFonts w:asciiTheme="minorHAnsi" w:eastAsia="Trebuchet MS" w:hAnsiTheme="minorHAnsi" w:cs="Trebuchet MS"/>
        </w:rPr>
        <w:t xml:space="preserve"> This statistic spiked between 2022 and 2023, where working days lost due to strikes passed two million (higher than it had been since 1989) (Office for National Statistics, 2025). This finding represents the increasing popularity of larger-scale and more impactful striking, likely a result of pay disputes, which are now impacting workers more due to financial pressures and the cost-of-living crisis (BBC Monitoring &amp; Capital FM, 2023).</w:t>
      </w:r>
      <w:r w:rsidR="002210EF">
        <w:rPr>
          <w:rFonts w:asciiTheme="minorHAnsi" w:eastAsia="Trebuchet MS" w:hAnsiTheme="minorHAnsi" w:cs="Trebuchet MS"/>
        </w:rPr>
        <w:t xml:space="preserve"> This is further supported by the large-scale 2023 NHS walkouts, which were a result of disputes regarding wages and pay policies relating to overtime rates (Baldwin, 2023).</w:t>
      </w:r>
    </w:p>
    <w:p w14:paraId="62761380" w14:textId="77777777" w:rsidR="00AE1991" w:rsidRDefault="00AE1991" w:rsidP="0054226A">
      <w:pPr>
        <w:pStyle w:val="Body"/>
        <w:rPr>
          <w:rFonts w:asciiTheme="minorHAnsi" w:eastAsia="Trebuchet MS" w:hAnsiTheme="minorHAnsi" w:cs="Trebuchet MS"/>
        </w:rPr>
      </w:pPr>
    </w:p>
    <w:p w14:paraId="628E2166" w14:textId="234B0DB4" w:rsidR="00AE1991" w:rsidRPr="00AF0852" w:rsidRDefault="00AE1991" w:rsidP="0054226A">
      <w:pPr>
        <w:pStyle w:val="Body"/>
        <w:rPr>
          <w:rFonts w:asciiTheme="minorHAnsi" w:eastAsia="Trebuchet MS" w:hAnsiTheme="minorHAnsi" w:cs="Trebuchet MS"/>
        </w:rPr>
      </w:pPr>
      <w:r>
        <w:rPr>
          <w:rFonts w:asciiTheme="minorHAnsi" w:eastAsia="Trebuchet MS" w:hAnsiTheme="minorHAnsi" w:cs="Trebuchet MS"/>
        </w:rPr>
        <w:t>The trends mentioned show a shift in workplace conflicts are currently being addressed by employees. Employees are seemingly choosing more hard-hitting resolution methods in recent years, either through legal action or more impactful industrial action (Ministry of Justice, 2020; Office for National Statistics, 2022; Watt, 2024).</w:t>
      </w:r>
    </w:p>
    <w:p w14:paraId="1A3B8688" w14:textId="77777777" w:rsidR="0045402E" w:rsidRPr="0002603C" w:rsidRDefault="0045402E" w:rsidP="0054226A">
      <w:pPr>
        <w:pStyle w:val="Body"/>
        <w:rPr>
          <w:rFonts w:asciiTheme="minorHAnsi" w:eastAsia="Trebuchet MS" w:hAnsiTheme="minorHAnsi" w:cs="Trebuchet MS"/>
          <w:b/>
          <w:bCs/>
        </w:rPr>
      </w:pPr>
    </w:p>
    <w:p w14:paraId="51DF9BB8" w14:textId="3EDC9C14" w:rsidR="00567D2D" w:rsidRPr="0002603C" w:rsidRDefault="00567D2D" w:rsidP="00C13F48">
      <w:pPr>
        <w:pStyle w:val="ListParagraph"/>
        <w:numPr>
          <w:ilvl w:val="0"/>
          <w:numId w:val="19"/>
        </w:numPr>
        <w:pBdr>
          <w:top w:val="nil"/>
          <w:left w:val="nil"/>
          <w:bottom w:val="nil"/>
          <w:right w:val="nil"/>
          <w:between w:val="nil"/>
          <w:bar w:val="nil"/>
        </w:pBdr>
        <w:spacing w:after="0"/>
        <w:rPr>
          <w:b/>
          <w:bCs/>
          <w:color w:val="000000"/>
          <w:u w:val="single" w:color="000000"/>
          <w:lang w:val="en-US"/>
        </w:rPr>
      </w:pPr>
      <w:r w:rsidRPr="0002603C">
        <w:rPr>
          <w:b/>
          <w:bCs/>
          <w:color w:val="000000"/>
          <w:u w:val="single" w:color="000000"/>
          <w:lang w:val="en-US"/>
        </w:rPr>
        <w:t>Distinguish between third-party conciliation, mediation and arbitration. (AC 2.3)</w:t>
      </w:r>
    </w:p>
    <w:p w14:paraId="145BF5E9" w14:textId="41D31004" w:rsidR="0037295B" w:rsidRPr="0002603C" w:rsidRDefault="00AF7930" w:rsidP="002803AA">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Alternative Dispute Resolution (ADR) is the definition used for interventions in a dispute which have the aim of reaching a settlement, as opposed to legal intervention (Dupont </w:t>
      </w:r>
      <w:r w:rsidRPr="0002603C">
        <w:rPr>
          <w:rFonts w:eastAsia="Times New Roman" w:cs="Times New Roman"/>
          <w:i/>
          <w:iCs/>
          <w:kern w:val="0"/>
          <w:lang w:eastAsia="en-GB"/>
          <w14:ligatures w14:val="none"/>
        </w:rPr>
        <w:t>et al</w:t>
      </w:r>
      <w:r w:rsidRPr="0002603C">
        <w:rPr>
          <w:rFonts w:eastAsia="Times New Roman" w:cs="Times New Roman"/>
          <w:kern w:val="0"/>
          <w:lang w:eastAsia="en-GB"/>
          <w14:ligatures w14:val="none"/>
        </w:rPr>
        <w:t xml:space="preserve">., 2018). ADR has a range of benefits, including being cost and time effective, as well as generally a more informal way to resolve disputes (Daniels, 2021; Dupont </w:t>
      </w:r>
      <w:r w:rsidRPr="0002603C">
        <w:rPr>
          <w:rFonts w:eastAsia="Times New Roman" w:cs="Times New Roman"/>
          <w:i/>
          <w:iCs/>
          <w:kern w:val="0"/>
          <w:lang w:eastAsia="en-GB"/>
          <w14:ligatures w14:val="none"/>
        </w:rPr>
        <w:t>et al</w:t>
      </w:r>
      <w:r w:rsidRPr="0002603C">
        <w:rPr>
          <w:rFonts w:eastAsia="Times New Roman" w:cs="Times New Roman"/>
          <w:kern w:val="0"/>
          <w:lang w:eastAsia="en-GB"/>
          <w14:ligatures w14:val="none"/>
        </w:rPr>
        <w:t>., 2018).</w:t>
      </w:r>
    </w:p>
    <w:p w14:paraId="60BF5877" w14:textId="2BEAD1A4" w:rsidR="00AF7930" w:rsidRPr="0002603C" w:rsidRDefault="00AF7930" w:rsidP="002803AA">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One form of ADR is conciliation, a method which involves support from an impartial independent third party (quite often being an ACAS conciliator). </w:t>
      </w:r>
      <w:r w:rsidR="009253C1" w:rsidRPr="0002603C">
        <w:rPr>
          <w:rFonts w:eastAsia="Times New Roman" w:cs="Times New Roman"/>
          <w:kern w:val="0"/>
          <w:lang w:eastAsia="en-GB"/>
          <w14:ligatures w14:val="none"/>
        </w:rPr>
        <w:t>Conciliators are able to discuss both sides of a dispute with the involved parties</w:t>
      </w:r>
      <w:r w:rsidR="005A5D60" w:rsidRPr="0002603C">
        <w:rPr>
          <w:rFonts w:eastAsia="Times New Roman" w:cs="Times New Roman"/>
          <w:kern w:val="0"/>
          <w:lang w:eastAsia="en-GB"/>
          <w14:ligatures w14:val="none"/>
        </w:rPr>
        <w:t>, explore settlement options,</w:t>
      </w:r>
      <w:r w:rsidR="009253C1" w:rsidRPr="0002603C">
        <w:rPr>
          <w:rFonts w:eastAsia="Times New Roman" w:cs="Times New Roman"/>
          <w:kern w:val="0"/>
          <w:lang w:eastAsia="en-GB"/>
          <w14:ligatures w14:val="none"/>
        </w:rPr>
        <w:t xml:space="preserve"> and share any relevant legal information regarding the case</w:t>
      </w:r>
      <w:r w:rsidR="000B4800" w:rsidRPr="0002603C">
        <w:rPr>
          <w:rFonts w:eastAsia="Times New Roman" w:cs="Times New Roman"/>
          <w:kern w:val="0"/>
          <w:lang w:eastAsia="en-GB"/>
          <w14:ligatures w14:val="none"/>
        </w:rPr>
        <w:t xml:space="preserve"> (ACAS, no date</w:t>
      </w:r>
      <w:r w:rsidR="002A54FA" w:rsidRPr="0002603C">
        <w:rPr>
          <w:rFonts w:eastAsia="Times New Roman" w:cs="Times New Roman"/>
          <w:kern w:val="0"/>
          <w:lang w:eastAsia="en-GB"/>
          <w14:ligatures w14:val="none"/>
        </w:rPr>
        <w:t xml:space="preserve"> b</w:t>
      </w:r>
      <w:r w:rsidR="000B4800" w:rsidRPr="0002603C">
        <w:rPr>
          <w:rFonts w:eastAsia="Times New Roman" w:cs="Times New Roman"/>
          <w:kern w:val="0"/>
          <w:lang w:eastAsia="en-GB"/>
          <w14:ligatures w14:val="none"/>
        </w:rPr>
        <w:t>)</w:t>
      </w:r>
      <w:r w:rsidR="009253C1" w:rsidRPr="0002603C">
        <w:rPr>
          <w:rFonts w:eastAsia="Times New Roman" w:cs="Times New Roman"/>
          <w:kern w:val="0"/>
          <w:lang w:eastAsia="en-GB"/>
          <w14:ligatures w14:val="none"/>
        </w:rPr>
        <w:t xml:space="preserve">. They will also support both parties in how best to </w:t>
      </w:r>
      <w:r w:rsidR="000B4800" w:rsidRPr="0002603C">
        <w:rPr>
          <w:rFonts w:eastAsia="Times New Roman" w:cs="Times New Roman"/>
          <w:kern w:val="0"/>
          <w:lang w:eastAsia="en-GB"/>
          <w14:ligatures w14:val="none"/>
        </w:rPr>
        <w:t>come to a resolution, without the need for tribunal.</w:t>
      </w:r>
      <w:r w:rsidR="00094B21" w:rsidRPr="0002603C">
        <w:rPr>
          <w:rFonts w:eastAsia="Times New Roman" w:cs="Times New Roman"/>
          <w:kern w:val="0"/>
          <w:lang w:eastAsia="en-GB"/>
          <w14:ligatures w14:val="none"/>
        </w:rPr>
        <w:t xml:space="preserve"> The conciliator, however, is not able to favour either party and impose their opinions on a dispute.</w:t>
      </w:r>
    </w:p>
    <w:p w14:paraId="2A34C7F2" w14:textId="6666C97E" w:rsidR="0037295B" w:rsidRPr="0002603C" w:rsidRDefault="005A5D60" w:rsidP="00094B21">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Another form of ADR is mediation. Similarly to conciliation, mediation is also held by an impartial individual, known as a mediator. </w:t>
      </w:r>
      <w:r w:rsidR="00567D2D" w:rsidRPr="0002603C">
        <w:rPr>
          <w:rFonts w:eastAsia="Times New Roman" w:cs="Times New Roman"/>
          <w:kern w:val="0"/>
          <w:lang w:eastAsia="en-GB"/>
          <w14:ligatures w14:val="none"/>
        </w:rPr>
        <w:t xml:space="preserve">Differently to conciliation, where the conciliator will </w:t>
      </w:r>
      <w:r w:rsidR="00567D2D" w:rsidRPr="0002603C">
        <w:rPr>
          <w:rFonts w:eastAsia="Times New Roman" w:cs="Times New Roman"/>
          <w:kern w:val="0"/>
          <w:lang w:eastAsia="en-GB"/>
          <w14:ligatures w14:val="none"/>
        </w:rPr>
        <w:lastRenderedPageBreak/>
        <w:t>explore options with the involved parties, a mediator’s role is to facilitate a discussion so that an agreement can be met by those involved (CIPD, 2024</w:t>
      </w:r>
      <w:r w:rsidR="00496288" w:rsidRPr="0002603C">
        <w:rPr>
          <w:rFonts w:eastAsia="Times New Roman" w:cs="Times New Roman"/>
          <w:kern w:val="0"/>
          <w:lang w:eastAsia="en-GB"/>
          <w14:ligatures w14:val="none"/>
        </w:rPr>
        <w:t>b</w:t>
      </w:r>
      <w:r w:rsidR="00567D2D" w:rsidRPr="0002603C">
        <w:rPr>
          <w:rFonts w:eastAsia="Times New Roman" w:cs="Times New Roman"/>
          <w:kern w:val="0"/>
          <w:lang w:eastAsia="en-GB"/>
          <w14:ligatures w14:val="none"/>
        </w:rPr>
        <w:t xml:space="preserve">). As highlighted by Daniels (2021), mediation can be particularly useful at team conflicts, for example bullying or personality clashes, whereas conciliation is a tool more likely to be used to address employment related disputes. </w:t>
      </w:r>
    </w:p>
    <w:p w14:paraId="590AFEC0" w14:textId="77777777" w:rsidR="00FA7752" w:rsidRPr="0002603C" w:rsidRDefault="00796411" w:rsidP="00FA7752">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One more ADR method is arbitration – a more formal process where an independent third party, known as the arbitrator, is brought in to hear from both sides of a dispute (Daniels, 2021). Then, as opposed to support or facilitation provided by conciliators and mediators, the arbitrator will make a final, decision on the dispute (GOV.UK, no date). </w:t>
      </w:r>
      <w:r w:rsidR="0084099C" w:rsidRPr="0002603C">
        <w:rPr>
          <w:rFonts w:eastAsia="Times New Roman" w:cs="Times New Roman"/>
          <w:kern w:val="0"/>
          <w:lang w:eastAsia="en-GB"/>
          <w14:ligatures w14:val="none"/>
        </w:rPr>
        <w:t xml:space="preserve">This decision is then binding, whereas conciliation and mediation result in more voluntary agreements. </w:t>
      </w:r>
      <w:r w:rsidRPr="0002603C">
        <w:rPr>
          <w:rFonts w:eastAsia="Times New Roman" w:cs="Times New Roman"/>
          <w:kern w:val="0"/>
          <w:lang w:eastAsia="en-GB"/>
          <w14:ligatures w14:val="none"/>
        </w:rPr>
        <w:t xml:space="preserve">The purpose of arbitration is to give a definitive outcome to a dispute, mirroring </w:t>
      </w:r>
      <w:r w:rsidR="00D824C8" w:rsidRPr="0002603C">
        <w:rPr>
          <w:rFonts w:eastAsia="Times New Roman" w:cs="Times New Roman"/>
          <w:kern w:val="0"/>
          <w:lang w:eastAsia="en-GB"/>
          <w14:ligatures w14:val="none"/>
        </w:rPr>
        <w:t>a tribunal process (ACAS, 2023).</w:t>
      </w:r>
      <w:r w:rsidR="0084099C" w:rsidRPr="0002603C">
        <w:rPr>
          <w:rFonts w:eastAsia="Times New Roman" w:cs="Times New Roman"/>
          <w:kern w:val="0"/>
          <w:lang w:eastAsia="en-GB"/>
          <w14:ligatures w14:val="none"/>
        </w:rPr>
        <w:t xml:space="preserve"> The arbitrator is in full control of this outcome, as opposed to in conciliation and mediation where the involved parties are in control.</w:t>
      </w:r>
    </w:p>
    <w:p w14:paraId="63CB6EEB" w14:textId="7210AC34" w:rsidR="0054226A" w:rsidRPr="0002603C" w:rsidRDefault="0054226A" w:rsidP="00C13F48">
      <w:pPr>
        <w:pStyle w:val="ListParagraph"/>
        <w:numPr>
          <w:ilvl w:val="0"/>
          <w:numId w:val="19"/>
        </w:numPr>
        <w:spacing w:before="100" w:beforeAutospacing="1" w:after="100" w:afterAutospacing="1" w:line="240" w:lineRule="auto"/>
        <w:rPr>
          <w:b/>
          <w:bCs/>
          <w:color w:val="000000"/>
          <w:u w:val="single" w:color="000000"/>
          <w:lang w:val="en-US"/>
        </w:rPr>
      </w:pPr>
      <w:r w:rsidRPr="0002603C">
        <w:rPr>
          <w:b/>
          <w:bCs/>
          <w:color w:val="000000"/>
          <w:u w:val="single" w:color="000000"/>
          <w:lang w:val="en-US"/>
        </w:rPr>
        <w:t>Explain the principles of legislation relating to unfair dismissal in respect of capability and misconduct issues. (AC 3.1)</w:t>
      </w:r>
    </w:p>
    <w:p w14:paraId="1F542D45" w14:textId="09FDBDCB" w:rsidR="00495B37" w:rsidRPr="0002603C" w:rsidRDefault="008E46D4" w:rsidP="00FA7752">
      <w:pPr>
        <w:spacing w:before="100" w:beforeAutospacing="1" w:after="100" w:afterAutospacing="1" w:line="240" w:lineRule="auto"/>
        <w:rPr>
          <w:color w:val="000000"/>
          <w:u w:color="000000"/>
          <w:lang w:val="en-US"/>
        </w:rPr>
      </w:pPr>
      <w:r w:rsidRPr="0002603C">
        <w:rPr>
          <w:color w:val="000000"/>
          <w:u w:color="000000"/>
          <w:lang w:val="en-US"/>
        </w:rPr>
        <w:t xml:space="preserve">Unfair dismissal refers to when an employee’s employment is ended without fair reason and process. </w:t>
      </w:r>
      <w:r w:rsidR="00495B37" w:rsidRPr="0002603C">
        <w:rPr>
          <w:color w:val="000000"/>
          <w:u w:color="000000"/>
          <w:lang w:val="en-US"/>
        </w:rPr>
        <w:t xml:space="preserve">Employees are protected from unfair dismissal under </w:t>
      </w:r>
      <w:r w:rsidR="009C64A2" w:rsidRPr="0002603C">
        <w:rPr>
          <w:color w:val="000000"/>
          <w:u w:color="000000"/>
          <w:lang w:val="en-US"/>
        </w:rPr>
        <w:t>t</w:t>
      </w:r>
      <w:r w:rsidR="00495B37" w:rsidRPr="0002603C">
        <w:rPr>
          <w:color w:val="000000"/>
          <w:u w:color="000000"/>
          <w:lang w:val="en-US"/>
        </w:rPr>
        <w:t xml:space="preserve">he Employment Rights Act </w:t>
      </w:r>
      <w:r w:rsidR="000D64FB" w:rsidRPr="0002603C">
        <w:rPr>
          <w:color w:val="000000"/>
          <w:u w:color="000000"/>
          <w:lang w:val="en-US"/>
        </w:rPr>
        <w:t>(</w:t>
      </w:r>
      <w:r w:rsidR="00495B37" w:rsidRPr="0002603C">
        <w:rPr>
          <w:color w:val="000000"/>
          <w:u w:color="000000"/>
          <w:lang w:val="en-US"/>
        </w:rPr>
        <w:t>1996</w:t>
      </w:r>
      <w:r w:rsidR="000D64FB" w:rsidRPr="0002603C">
        <w:rPr>
          <w:color w:val="000000"/>
          <w:u w:color="000000"/>
          <w:lang w:val="en-US"/>
        </w:rPr>
        <w:t>)</w:t>
      </w:r>
      <w:r w:rsidRPr="0002603C">
        <w:rPr>
          <w:color w:val="000000"/>
          <w:u w:color="000000"/>
          <w:lang w:val="en-US"/>
        </w:rPr>
        <w:t>, meaning that those who are unfairly dismissed have the right to claim unfair dismissal, if they have been with the employer for at least two years (ACAS, 2021). This timeline is likely to change in 2025, with employees’ being entitled to claim unfair dismissal from the first day of employment (as a result of The Employment Rights Bill)</w:t>
      </w:r>
      <w:r w:rsidR="009C64A2" w:rsidRPr="0002603C">
        <w:rPr>
          <w:color w:val="000000"/>
          <w:u w:color="000000"/>
          <w:lang w:val="en-US"/>
        </w:rPr>
        <w:t xml:space="preserve"> (CIPD, 2024</w:t>
      </w:r>
      <w:r w:rsidR="00496288" w:rsidRPr="0002603C">
        <w:rPr>
          <w:color w:val="000000"/>
          <w:u w:color="000000"/>
          <w:lang w:val="en-US"/>
        </w:rPr>
        <w:t>a</w:t>
      </w:r>
      <w:r w:rsidR="009C64A2" w:rsidRPr="0002603C">
        <w:rPr>
          <w:color w:val="000000"/>
          <w:u w:color="000000"/>
          <w:lang w:val="en-US"/>
        </w:rPr>
        <w:t>)</w:t>
      </w:r>
      <w:r w:rsidRPr="0002603C">
        <w:rPr>
          <w:color w:val="000000"/>
          <w:u w:color="000000"/>
          <w:lang w:val="en-US"/>
        </w:rPr>
        <w:t>. Currently, an individual may claim unfair dismissal earlier than two years if the dismissal is deemed ‘automatically unfair’, for example if they have been dismissed for discriminative reasons (CIPD, 2021</w:t>
      </w:r>
      <w:r w:rsidR="009C64A2" w:rsidRPr="0002603C">
        <w:rPr>
          <w:color w:val="000000"/>
          <w:u w:color="000000"/>
          <w:lang w:val="en-US"/>
        </w:rPr>
        <w:t>; Equalities Act, 2010</w:t>
      </w:r>
      <w:r w:rsidRPr="0002603C">
        <w:rPr>
          <w:color w:val="000000"/>
          <w:u w:color="000000"/>
          <w:lang w:val="en-US"/>
        </w:rPr>
        <w:t>).</w:t>
      </w:r>
    </w:p>
    <w:p w14:paraId="343B321F" w14:textId="10C0059D" w:rsidR="008E46D4" w:rsidRPr="0002603C" w:rsidRDefault="008E46D4" w:rsidP="00FA7752">
      <w:pPr>
        <w:spacing w:before="100" w:beforeAutospacing="1" w:after="100" w:afterAutospacing="1" w:line="240" w:lineRule="auto"/>
        <w:rPr>
          <w:color w:val="000000"/>
          <w:u w:color="000000"/>
          <w:lang w:val="en-US"/>
        </w:rPr>
      </w:pPr>
      <w:r w:rsidRPr="0002603C">
        <w:rPr>
          <w:color w:val="000000"/>
          <w:u w:color="000000"/>
          <w:lang w:val="en-US"/>
        </w:rPr>
        <w:t xml:space="preserve">One dismissal reason deemed ‘fair’ </w:t>
      </w:r>
      <w:r w:rsidR="009D3F4E" w:rsidRPr="0002603C">
        <w:rPr>
          <w:color w:val="000000"/>
          <w:u w:color="000000"/>
          <w:lang w:val="en-US"/>
        </w:rPr>
        <w:t xml:space="preserve">by </w:t>
      </w:r>
      <w:r w:rsidR="009C64A2" w:rsidRPr="0002603C">
        <w:rPr>
          <w:color w:val="000000"/>
          <w:u w:color="000000"/>
          <w:lang w:val="en-US"/>
        </w:rPr>
        <w:t>t</w:t>
      </w:r>
      <w:r w:rsidR="009D3F4E" w:rsidRPr="0002603C">
        <w:rPr>
          <w:color w:val="000000"/>
          <w:u w:color="000000"/>
          <w:lang w:val="en-US"/>
        </w:rPr>
        <w:t xml:space="preserve">he Employment Rights Act </w:t>
      </w:r>
      <w:r w:rsidR="000D64FB" w:rsidRPr="0002603C">
        <w:rPr>
          <w:color w:val="000000"/>
          <w:u w:color="000000"/>
          <w:lang w:val="en-US"/>
        </w:rPr>
        <w:t>(</w:t>
      </w:r>
      <w:r w:rsidR="009D3F4E" w:rsidRPr="0002603C">
        <w:rPr>
          <w:color w:val="000000"/>
          <w:u w:color="000000"/>
          <w:lang w:val="en-US"/>
        </w:rPr>
        <w:t>1996</w:t>
      </w:r>
      <w:r w:rsidR="000D64FB" w:rsidRPr="0002603C">
        <w:rPr>
          <w:color w:val="000000"/>
          <w:u w:color="000000"/>
          <w:lang w:val="en-US"/>
        </w:rPr>
        <w:t>)</w:t>
      </w:r>
      <w:r w:rsidR="009D3F4E" w:rsidRPr="0002603C">
        <w:rPr>
          <w:color w:val="000000"/>
          <w:u w:color="000000"/>
          <w:lang w:val="en-US"/>
        </w:rPr>
        <w:t xml:space="preserve"> </w:t>
      </w:r>
      <w:r w:rsidRPr="0002603C">
        <w:rPr>
          <w:color w:val="000000"/>
          <w:u w:color="000000"/>
          <w:lang w:val="en-US"/>
        </w:rPr>
        <w:t xml:space="preserve">is capability. This is when an employer dismisses an employee due to them not being able to effectively perform their duties. However, for this dismissal to be fair, the employee in question should be </w:t>
      </w:r>
      <w:r w:rsidR="00FF1367" w:rsidRPr="0002603C">
        <w:rPr>
          <w:color w:val="000000"/>
          <w:u w:color="000000"/>
          <w:lang w:val="en-US"/>
        </w:rPr>
        <w:t>made aware of the concern and given opportunity to improve their performance</w:t>
      </w:r>
      <w:r w:rsidR="000D64FB" w:rsidRPr="0002603C">
        <w:rPr>
          <w:color w:val="000000"/>
          <w:u w:color="000000"/>
          <w:lang w:val="en-US"/>
        </w:rPr>
        <w:t xml:space="preserve"> (ACAS, 2021</w:t>
      </w:r>
      <w:r w:rsidR="00496288" w:rsidRPr="0002603C">
        <w:rPr>
          <w:color w:val="000000"/>
          <w:u w:color="000000"/>
          <w:lang w:val="en-US"/>
        </w:rPr>
        <w:t>a</w:t>
      </w:r>
      <w:r w:rsidR="009C64A2" w:rsidRPr="0002603C">
        <w:rPr>
          <w:color w:val="000000"/>
          <w:u w:color="000000"/>
          <w:lang w:val="en-US"/>
        </w:rPr>
        <w:t>; CIPD, 2021</w:t>
      </w:r>
      <w:r w:rsidR="000D64FB" w:rsidRPr="0002603C">
        <w:rPr>
          <w:color w:val="000000"/>
          <w:u w:color="000000"/>
          <w:lang w:val="en-US"/>
        </w:rPr>
        <w:t>)</w:t>
      </w:r>
      <w:r w:rsidR="00FF1367" w:rsidRPr="0002603C">
        <w:rPr>
          <w:color w:val="000000"/>
          <w:u w:color="000000"/>
          <w:lang w:val="en-US"/>
        </w:rPr>
        <w:t>.</w:t>
      </w:r>
      <w:r w:rsidR="000D64FB" w:rsidRPr="0002603C">
        <w:rPr>
          <w:color w:val="000000"/>
          <w:u w:color="000000"/>
          <w:lang w:val="en-US"/>
        </w:rPr>
        <w:t xml:space="preserve"> Employers should also support the employee in improving, for example by offering training or implementing reasonable adjustments</w:t>
      </w:r>
      <w:r w:rsidR="00496288" w:rsidRPr="0002603C">
        <w:rPr>
          <w:color w:val="000000"/>
          <w:u w:color="000000"/>
          <w:lang w:val="en-US"/>
        </w:rPr>
        <w:t xml:space="preserve"> (Daniels, 2021)</w:t>
      </w:r>
      <w:r w:rsidR="000D64FB" w:rsidRPr="0002603C">
        <w:rPr>
          <w:color w:val="000000"/>
          <w:u w:color="000000"/>
          <w:lang w:val="en-US"/>
        </w:rPr>
        <w:t xml:space="preserve">. An incident where this did not happen is during the </w:t>
      </w:r>
      <w:proofErr w:type="spellStart"/>
      <w:r w:rsidR="000D64FB" w:rsidRPr="0002603C">
        <w:rPr>
          <w:color w:val="000000"/>
          <w:u w:color="000000"/>
          <w:lang w:val="en-US"/>
        </w:rPr>
        <w:t>Mrs</w:t>
      </w:r>
      <w:proofErr w:type="spellEnd"/>
      <w:r w:rsidR="000D64FB" w:rsidRPr="0002603C">
        <w:rPr>
          <w:color w:val="000000"/>
          <w:u w:color="000000"/>
          <w:lang w:val="en-US"/>
        </w:rPr>
        <w:t xml:space="preserve"> S D’Silva v Croydon Health Services</w:t>
      </w:r>
      <w:r w:rsidR="009C64A2" w:rsidRPr="0002603C">
        <w:rPr>
          <w:color w:val="000000"/>
          <w:u w:color="000000"/>
          <w:lang w:val="en-US"/>
        </w:rPr>
        <w:t xml:space="preserve"> NHS Trust</w:t>
      </w:r>
      <w:r w:rsidR="000D64FB" w:rsidRPr="0002603C">
        <w:rPr>
          <w:color w:val="000000"/>
          <w:u w:color="000000"/>
          <w:lang w:val="en-US"/>
        </w:rPr>
        <w:t xml:space="preserve"> (2021) case, where the employee was unable to carry out their receptionist task</w:t>
      </w:r>
      <w:r w:rsidR="009C64A2" w:rsidRPr="0002603C">
        <w:rPr>
          <w:color w:val="000000"/>
          <w:u w:color="000000"/>
          <w:lang w:val="en-US"/>
        </w:rPr>
        <w:t>s</w:t>
      </w:r>
      <w:r w:rsidR="000D64FB" w:rsidRPr="0002603C">
        <w:rPr>
          <w:color w:val="000000"/>
          <w:u w:color="000000"/>
          <w:lang w:val="en-US"/>
        </w:rPr>
        <w:t xml:space="preserve"> due to diagnosed anxiety, which was heightened when speaking with strangers. Rather than amending her role or look for suitable alternative roles, the employer instead sent the employee regular lists of all vacancies at the organisation, without taking steps themselves to find an alternative. The employee in this case was successful in their unfair dismissal claim.</w:t>
      </w:r>
    </w:p>
    <w:p w14:paraId="31320EC4" w14:textId="6EBAD666" w:rsidR="0054778A" w:rsidRPr="0002603C" w:rsidRDefault="000D64FB" w:rsidP="00496288">
      <w:pPr>
        <w:spacing w:before="100" w:beforeAutospacing="1" w:after="100" w:afterAutospacing="1" w:line="240" w:lineRule="auto"/>
        <w:rPr>
          <w:b/>
          <w:bCs/>
          <w:color w:val="000000"/>
          <w:u w:val="single" w:color="000000"/>
          <w:lang w:val="en-US"/>
        </w:rPr>
      </w:pPr>
      <w:r w:rsidRPr="0002603C">
        <w:rPr>
          <w:color w:val="000000"/>
          <w:u w:color="000000"/>
          <w:lang w:val="en-US"/>
        </w:rPr>
        <w:t>Another ‘fair’ reason for dismissal is misconduct (Employment Rights Act,</w:t>
      </w:r>
      <w:r w:rsidR="00496288" w:rsidRPr="0002603C">
        <w:rPr>
          <w:color w:val="000000"/>
          <w:u w:color="000000"/>
          <w:lang w:val="en-US"/>
        </w:rPr>
        <w:t xml:space="preserve"> </w:t>
      </w:r>
      <w:r w:rsidRPr="0002603C">
        <w:rPr>
          <w:color w:val="000000"/>
          <w:u w:color="000000"/>
          <w:lang w:val="en-US"/>
        </w:rPr>
        <w:t>1996)</w:t>
      </w:r>
      <w:r w:rsidR="00366003" w:rsidRPr="0002603C">
        <w:rPr>
          <w:color w:val="000000"/>
          <w:u w:color="000000"/>
          <w:lang w:val="en-US"/>
        </w:rPr>
        <w:t>. This is when an employee breaches organisational policy or rules. Although dismissal for misconduct is deemed ‘fair’, a fair and thorough investigation must be carried out before reaching this outcome. In this investigation, the employer must collect any evidence relevant to the misconduct claim, including by holding interviews with the employee and any witnesses</w:t>
      </w:r>
      <w:r w:rsidR="00496288" w:rsidRPr="0002603C">
        <w:rPr>
          <w:color w:val="000000"/>
          <w:u w:color="000000"/>
          <w:lang w:val="en-US"/>
        </w:rPr>
        <w:t xml:space="preserve"> (Daniels, 2021)</w:t>
      </w:r>
      <w:r w:rsidR="00366003" w:rsidRPr="0002603C">
        <w:rPr>
          <w:color w:val="000000"/>
          <w:u w:color="000000"/>
          <w:lang w:val="en-US"/>
        </w:rPr>
        <w:t>. This process should be in line with how the organisation carries out other misconduct investigations across the business (CIPD, 2021).</w:t>
      </w:r>
      <w:r w:rsidR="009C64A2" w:rsidRPr="0002603C">
        <w:rPr>
          <w:color w:val="000000"/>
          <w:u w:color="000000"/>
          <w:lang w:val="en-US"/>
        </w:rPr>
        <w:t xml:space="preserve"> An example of where a thorough investigation was not undertaken was in the case of </w:t>
      </w:r>
      <w:proofErr w:type="spellStart"/>
      <w:r w:rsidR="009C64A2" w:rsidRPr="0002603C">
        <w:rPr>
          <w:color w:val="000000"/>
          <w:u w:color="000000"/>
          <w:lang w:val="en-US"/>
        </w:rPr>
        <w:t>Carmelli</w:t>
      </w:r>
      <w:proofErr w:type="spellEnd"/>
      <w:r w:rsidR="009C64A2" w:rsidRPr="0002603C">
        <w:rPr>
          <w:color w:val="000000"/>
          <w:u w:color="000000"/>
          <w:lang w:val="en-US"/>
        </w:rPr>
        <w:t xml:space="preserve"> Bakeries Ltd v Benali (2013) where </w:t>
      </w:r>
      <w:proofErr w:type="spellStart"/>
      <w:r w:rsidR="009C64A2" w:rsidRPr="0002603C">
        <w:rPr>
          <w:color w:val="000000"/>
          <w:u w:color="000000"/>
          <w:lang w:val="en-US"/>
        </w:rPr>
        <w:t>victimisation</w:t>
      </w:r>
      <w:proofErr w:type="spellEnd"/>
      <w:r w:rsidR="009C64A2" w:rsidRPr="0002603C">
        <w:rPr>
          <w:color w:val="000000"/>
          <w:u w:color="000000"/>
          <w:lang w:val="en-US"/>
        </w:rPr>
        <w:t xml:space="preserve"> of a disabled employee led employers to rush an investigation, to find the </w:t>
      </w:r>
      <w:r w:rsidR="009C64A2" w:rsidRPr="0002603C">
        <w:rPr>
          <w:color w:val="000000"/>
          <w:u w:color="000000"/>
          <w:lang w:val="en-US"/>
        </w:rPr>
        <w:lastRenderedPageBreak/>
        <w:t>employee in question responsible of misconduct. This then ‘allowed’ the employer to dismiss the employee, who then went on to win in an unfair dismissal claim.</w:t>
      </w:r>
    </w:p>
    <w:p w14:paraId="739A8D17" w14:textId="0C1B0C2D" w:rsidR="00C13F48" w:rsidRPr="0002603C" w:rsidRDefault="00C13F48" w:rsidP="00C13F48">
      <w:pPr>
        <w:pStyle w:val="ListParagraph"/>
        <w:numPr>
          <w:ilvl w:val="0"/>
          <w:numId w:val="19"/>
        </w:numPr>
        <w:spacing w:before="100" w:beforeAutospacing="1" w:after="100" w:afterAutospacing="1" w:line="240" w:lineRule="auto"/>
        <w:rPr>
          <w:rFonts w:eastAsia="Times New Roman" w:cs="Times New Roman"/>
          <w:b/>
          <w:bCs/>
          <w:kern w:val="0"/>
          <w:u w:val="single"/>
          <w:lang w:eastAsia="en-GB"/>
          <w14:ligatures w14:val="none"/>
        </w:rPr>
      </w:pPr>
      <w:r w:rsidRPr="0002603C">
        <w:rPr>
          <w:rFonts w:eastAsia="Times New Roman" w:cs="Times New Roman"/>
          <w:b/>
          <w:bCs/>
          <w:kern w:val="0"/>
          <w:u w:val="single"/>
          <w:lang w:eastAsia="en-GB"/>
          <w14:ligatures w14:val="none"/>
        </w:rPr>
        <w:t>Analyse three key causes of employee grievances</w:t>
      </w:r>
    </w:p>
    <w:p w14:paraId="7FC2576E" w14:textId="09CE063E" w:rsidR="00AD0282" w:rsidRPr="0002603C" w:rsidRDefault="00AD0282" w:rsidP="003A12B2">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An employee grievance is when a formal complaint is raised in the workplace (ACAS, 2024</w:t>
      </w:r>
      <w:r w:rsidR="00520CF4" w:rsidRPr="0002603C">
        <w:rPr>
          <w:rFonts w:eastAsia="Times New Roman" w:cs="Times New Roman"/>
          <w:kern w:val="0"/>
          <w:lang w:eastAsia="en-GB"/>
          <w14:ligatures w14:val="none"/>
        </w:rPr>
        <w:t>a</w:t>
      </w:r>
      <w:r w:rsidRPr="0002603C">
        <w:rPr>
          <w:rFonts w:eastAsia="Times New Roman" w:cs="Times New Roman"/>
          <w:kern w:val="0"/>
          <w:lang w:eastAsia="en-GB"/>
          <w14:ligatures w14:val="none"/>
        </w:rPr>
        <w:t>). Grievances can either be individual (raised by one employee) or collective (a concern shared by a group of employees) (CIPD, 2024a).</w:t>
      </w:r>
    </w:p>
    <w:p w14:paraId="2061277D" w14:textId="3A3AB805" w:rsidR="00ED0C34" w:rsidRPr="0002603C" w:rsidRDefault="00ED0C34" w:rsidP="00C13F48">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One possible cause of an employee grievance is bullying. This could be defined as any </w:t>
      </w:r>
      <w:r w:rsidR="002A54FA" w:rsidRPr="0002603C">
        <w:rPr>
          <w:rFonts w:eastAsia="Times New Roman" w:cs="Times New Roman"/>
          <w:kern w:val="0"/>
          <w:lang w:eastAsia="en-GB"/>
          <w14:ligatures w14:val="none"/>
        </w:rPr>
        <w:t xml:space="preserve">unwanted </w:t>
      </w:r>
      <w:r w:rsidRPr="0002603C">
        <w:rPr>
          <w:rFonts w:eastAsia="Times New Roman" w:cs="Times New Roman"/>
          <w:kern w:val="0"/>
          <w:lang w:eastAsia="en-GB"/>
          <w14:ligatures w14:val="none"/>
        </w:rPr>
        <w:t xml:space="preserve">behaviour </w:t>
      </w:r>
      <w:r w:rsidR="002A54FA" w:rsidRPr="0002603C">
        <w:rPr>
          <w:rFonts w:eastAsia="Times New Roman" w:cs="Times New Roman"/>
          <w:kern w:val="0"/>
          <w:lang w:eastAsia="en-GB"/>
          <w14:ligatures w14:val="none"/>
        </w:rPr>
        <w:t>that is ‘offensive, intimidating, malicious or insulting’ (ACAS, no date a).</w:t>
      </w:r>
      <w:r w:rsidRPr="0002603C">
        <w:rPr>
          <w:rFonts w:eastAsia="Times New Roman" w:cs="Times New Roman"/>
          <w:kern w:val="0"/>
          <w:lang w:eastAsia="en-GB"/>
          <w14:ligatures w14:val="none"/>
        </w:rPr>
        <w:t xml:space="preserve"> </w:t>
      </w:r>
      <w:r w:rsidR="002A54FA" w:rsidRPr="0002603C">
        <w:rPr>
          <w:rFonts w:eastAsia="Times New Roman" w:cs="Times New Roman"/>
          <w:kern w:val="0"/>
          <w:lang w:eastAsia="en-GB"/>
          <w14:ligatures w14:val="none"/>
        </w:rPr>
        <w:t>Any behaviour of this kind is likely to impact the wellbeing of the victimised employee, which could then go on to impact further areas, such as absence levels and performance (ACAS, 2024</w:t>
      </w:r>
      <w:r w:rsidR="00520CF4" w:rsidRPr="0002603C">
        <w:rPr>
          <w:rFonts w:eastAsia="Times New Roman" w:cs="Times New Roman"/>
          <w:kern w:val="0"/>
          <w:lang w:eastAsia="en-GB"/>
          <w14:ligatures w14:val="none"/>
        </w:rPr>
        <w:t>a</w:t>
      </w:r>
      <w:r w:rsidR="002A54FA" w:rsidRPr="0002603C">
        <w:rPr>
          <w:rFonts w:eastAsia="Times New Roman" w:cs="Times New Roman"/>
          <w:kern w:val="0"/>
          <w:lang w:eastAsia="en-GB"/>
          <w14:ligatures w14:val="none"/>
        </w:rPr>
        <w:t>). The ACAS Code of Practice encourages employers to address workplace bullying promptly  and effectively as, although it isn’t unlawful, if unchecked it is likely to impact multiple employees and teams (Daniels, 2022</w:t>
      </w:r>
      <w:r w:rsidR="003235FC" w:rsidRPr="0002603C">
        <w:rPr>
          <w:rFonts w:eastAsia="Times New Roman" w:cs="Times New Roman"/>
          <w:kern w:val="0"/>
          <w:lang w:eastAsia="en-GB"/>
          <w14:ligatures w14:val="none"/>
        </w:rPr>
        <w:t>a</w:t>
      </w:r>
      <w:r w:rsidR="002A54FA" w:rsidRPr="0002603C">
        <w:rPr>
          <w:rFonts w:eastAsia="Times New Roman" w:cs="Times New Roman"/>
          <w:kern w:val="0"/>
          <w:lang w:eastAsia="en-GB"/>
          <w14:ligatures w14:val="none"/>
        </w:rPr>
        <w:t>; ACAS, 2024</w:t>
      </w:r>
      <w:r w:rsidR="00520CF4" w:rsidRPr="0002603C">
        <w:rPr>
          <w:rFonts w:eastAsia="Times New Roman" w:cs="Times New Roman"/>
          <w:kern w:val="0"/>
          <w:lang w:eastAsia="en-GB"/>
          <w14:ligatures w14:val="none"/>
        </w:rPr>
        <w:t>a</w:t>
      </w:r>
      <w:r w:rsidR="002A54FA" w:rsidRPr="0002603C">
        <w:rPr>
          <w:rFonts w:eastAsia="Times New Roman" w:cs="Times New Roman"/>
          <w:kern w:val="0"/>
          <w:lang w:eastAsia="en-GB"/>
          <w14:ligatures w14:val="none"/>
        </w:rPr>
        <w:t>).</w:t>
      </w:r>
      <w:r w:rsidR="00AD0282" w:rsidRPr="0002603C">
        <w:rPr>
          <w:rFonts w:eastAsia="Times New Roman" w:cs="Times New Roman"/>
          <w:kern w:val="0"/>
          <w:lang w:eastAsia="en-GB"/>
          <w14:ligatures w14:val="none"/>
        </w:rPr>
        <w:t xml:space="preserve"> Although bullying is often an individual grievance,</w:t>
      </w:r>
      <w:r w:rsidR="007C0020" w:rsidRPr="0002603C">
        <w:rPr>
          <w:rFonts w:eastAsia="Times New Roman" w:cs="Times New Roman"/>
          <w:kern w:val="0"/>
          <w:lang w:eastAsia="en-GB"/>
          <w14:ligatures w14:val="none"/>
        </w:rPr>
        <w:t xml:space="preserve"> it can sometimes impact a wider team or group, which could then result in a collective grievance.</w:t>
      </w:r>
    </w:p>
    <w:p w14:paraId="59893A69" w14:textId="79B273C0" w:rsidR="002A54FA" w:rsidRPr="0002603C" w:rsidRDefault="002A54FA" w:rsidP="00C13F48">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A second leading cause of workplace grievances is discrimination. Discrimination can be identified as any </w:t>
      </w:r>
      <w:r w:rsidR="00FF3566" w:rsidRPr="0002603C">
        <w:rPr>
          <w:rFonts w:eastAsia="Times New Roman" w:cs="Times New Roman"/>
          <w:kern w:val="0"/>
          <w:lang w:eastAsia="en-GB"/>
          <w14:ligatures w14:val="none"/>
        </w:rPr>
        <w:t>incidence where an individual is treated ‘less favourably’ because of a protected characteristic, including age, race, disability, gender, ethnicity, religion or sexual orientation (CIPD, 2024c). Discrimination can occur at any stage of the employee lifecycle, starting from recruitment (Daniels, 2022</w:t>
      </w:r>
      <w:r w:rsidR="003235FC" w:rsidRPr="0002603C">
        <w:rPr>
          <w:rFonts w:eastAsia="Times New Roman" w:cs="Times New Roman"/>
          <w:kern w:val="0"/>
          <w:lang w:eastAsia="en-GB"/>
          <w14:ligatures w14:val="none"/>
        </w:rPr>
        <w:t>a</w:t>
      </w:r>
      <w:r w:rsidR="00FF3566" w:rsidRPr="0002603C">
        <w:rPr>
          <w:rFonts w:eastAsia="Times New Roman" w:cs="Times New Roman"/>
          <w:kern w:val="0"/>
          <w:lang w:eastAsia="en-GB"/>
          <w14:ligatures w14:val="none"/>
        </w:rPr>
        <w:t>). Discrimination is such a common cause of grievance due to the fact that employees are generally more likely to raise an issue if they see or experience inconsistent treatment within the workplace (</w:t>
      </w:r>
      <w:proofErr w:type="spellStart"/>
      <w:r w:rsidR="00FF3566" w:rsidRPr="0002603C">
        <w:rPr>
          <w:rFonts w:eastAsia="Times New Roman" w:cs="Times New Roman"/>
          <w:kern w:val="0"/>
          <w:lang w:eastAsia="en-GB"/>
          <w14:ligatures w14:val="none"/>
        </w:rPr>
        <w:t>WorkNest</w:t>
      </w:r>
      <w:proofErr w:type="spellEnd"/>
      <w:r w:rsidR="00FF3566" w:rsidRPr="0002603C">
        <w:rPr>
          <w:rFonts w:eastAsia="Times New Roman" w:cs="Times New Roman"/>
          <w:kern w:val="0"/>
          <w:lang w:eastAsia="en-GB"/>
          <w14:ligatures w14:val="none"/>
        </w:rPr>
        <w:t>, 2023). They are even more likely to raise a grievance if they feel they are part of a group of employees who are being discriminated against for the same reason</w:t>
      </w:r>
      <w:r w:rsidR="007C0020" w:rsidRPr="0002603C">
        <w:rPr>
          <w:rFonts w:eastAsia="Times New Roman" w:cs="Times New Roman"/>
          <w:kern w:val="0"/>
          <w:lang w:eastAsia="en-GB"/>
          <w14:ligatures w14:val="none"/>
        </w:rPr>
        <w:t>, which is why collective discrimination grievances are very common</w:t>
      </w:r>
      <w:r w:rsidR="00FF3566" w:rsidRPr="0002603C">
        <w:rPr>
          <w:rFonts w:eastAsia="Times New Roman" w:cs="Times New Roman"/>
          <w:kern w:val="0"/>
          <w:lang w:eastAsia="en-GB"/>
          <w14:ligatures w14:val="none"/>
        </w:rPr>
        <w:t>. CIPD (no date) highlights the importance of addressing discrimination allegations quickly and consistently, to avoid further claims and potential legal action or damage to reputations.</w:t>
      </w:r>
    </w:p>
    <w:p w14:paraId="60850DD2" w14:textId="601C9340" w:rsidR="003A12B2" w:rsidRPr="0002603C" w:rsidRDefault="00B25692" w:rsidP="00C13F48">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Another </w:t>
      </w:r>
      <w:r w:rsidR="007C0020" w:rsidRPr="0002603C">
        <w:rPr>
          <w:rFonts w:eastAsia="Times New Roman" w:cs="Times New Roman"/>
          <w:kern w:val="0"/>
          <w:lang w:eastAsia="en-GB"/>
          <w14:ligatures w14:val="none"/>
        </w:rPr>
        <w:t>key cause of employee grievances is employment terms and conditions. Employees may raise a grievance if they feel their working terms (such as pay, hours, role or benefits) have been changed, without consultation. ACAS (2024) and Davidson Morris (2023) that employers maintain transparency with anything related to terms and conditions, to avoid complaints like this being made. Terms and conditions are very much an individual concern, however often these grievances will be collective if multiple employees have experienced similar changes (Unison National, 2023; CIPD, 2024a).</w:t>
      </w:r>
    </w:p>
    <w:p w14:paraId="4345B05D" w14:textId="44C8AB25" w:rsidR="00C13F48" w:rsidRPr="0002603C" w:rsidRDefault="00C13F48" w:rsidP="003C6DE9">
      <w:pPr>
        <w:pStyle w:val="ListParagraph"/>
        <w:numPr>
          <w:ilvl w:val="0"/>
          <w:numId w:val="19"/>
        </w:numPr>
        <w:spacing w:before="100" w:beforeAutospacing="1" w:after="100" w:afterAutospacing="1" w:line="240" w:lineRule="auto"/>
        <w:rPr>
          <w:rFonts w:eastAsia="Times New Roman" w:cs="Times New Roman"/>
          <w:b/>
          <w:bCs/>
          <w:kern w:val="0"/>
          <w:u w:val="single"/>
          <w:lang w:eastAsia="en-GB"/>
          <w14:ligatures w14:val="none"/>
        </w:rPr>
      </w:pPr>
      <w:r w:rsidRPr="0002603C">
        <w:rPr>
          <w:rFonts w:eastAsia="Times New Roman" w:cs="Times New Roman"/>
          <w:b/>
          <w:bCs/>
          <w:kern w:val="0"/>
          <w:u w:val="single"/>
          <w:lang w:eastAsia="en-GB"/>
          <w14:ligatures w14:val="none"/>
        </w:rPr>
        <w:t>Advise on the importance of handling grievances effectively</w:t>
      </w:r>
    </w:p>
    <w:p w14:paraId="7167A191" w14:textId="6B2F7F1F" w:rsidR="00C44A97" w:rsidRPr="0002603C" w:rsidRDefault="00C44A97" w:rsidP="003A12B2">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Handling grievances effectively is vital to ensure a safe and productive working environment for employees. Not addressing grievances correctly and in a timely manner could lead to a negative culture within an organisation, either where individuals feel unsupported or where employees are more inclined to break company policies and/or rules due to lack of consequences.</w:t>
      </w:r>
    </w:p>
    <w:p w14:paraId="08193A28" w14:textId="719347E9" w:rsidR="00C44A97" w:rsidRPr="0002603C" w:rsidRDefault="007C10CB" w:rsidP="003A12B2">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One of the main impacts of not handling grievances effectively is on employee morale and wellbeing. When employees’ grievances are not addressed efficiently, it is likely that they will be left feeling unheard and undervalued. This could then negatively impact job satisfaction, </w:t>
      </w:r>
      <w:r w:rsidRPr="0002603C">
        <w:rPr>
          <w:rFonts w:eastAsia="Times New Roman" w:cs="Times New Roman"/>
          <w:kern w:val="0"/>
          <w:lang w:eastAsia="en-GB"/>
          <w14:ligatures w14:val="none"/>
        </w:rPr>
        <w:lastRenderedPageBreak/>
        <w:t>potentially resulting in more absences, less productivity and higher turnover rates (ACAS, 2024</w:t>
      </w:r>
      <w:r w:rsidR="00520CF4" w:rsidRPr="0002603C">
        <w:rPr>
          <w:rFonts w:eastAsia="Times New Roman" w:cs="Times New Roman"/>
          <w:kern w:val="0"/>
          <w:lang w:eastAsia="en-GB"/>
          <w14:ligatures w14:val="none"/>
        </w:rPr>
        <w:t>b</w:t>
      </w:r>
      <w:r w:rsidRPr="0002603C">
        <w:rPr>
          <w:rFonts w:eastAsia="Times New Roman" w:cs="Times New Roman"/>
          <w:kern w:val="0"/>
          <w:lang w:eastAsia="en-GB"/>
          <w14:ligatures w14:val="none"/>
        </w:rPr>
        <w:t>). When other employees are aware of situations like this, the negativity is likely to spread across teams – either created a divide between employees and management or between employees themselves (Daniels, 2022</w:t>
      </w:r>
      <w:r w:rsidR="003235FC" w:rsidRPr="0002603C">
        <w:rPr>
          <w:rFonts w:eastAsia="Times New Roman" w:cs="Times New Roman"/>
          <w:kern w:val="0"/>
          <w:lang w:eastAsia="en-GB"/>
          <w14:ligatures w14:val="none"/>
        </w:rPr>
        <w:t>b</w:t>
      </w:r>
      <w:r w:rsidRPr="0002603C">
        <w:rPr>
          <w:rFonts w:eastAsia="Times New Roman" w:cs="Times New Roman"/>
          <w:kern w:val="0"/>
          <w:lang w:eastAsia="en-GB"/>
          <w14:ligatures w14:val="none"/>
        </w:rPr>
        <w:t>; CIPD, 2023</w:t>
      </w:r>
      <w:r w:rsidR="003235FC" w:rsidRPr="0002603C">
        <w:rPr>
          <w:rFonts w:eastAsia="Times New Roman" w:cs="Times New Roman"/>
          <w:kern w:val="0"/>
          <w:lang w:eastAsia="en-GB"/>
          <w14:ligatures w14:val="none"/>
        </w:rPr>
        <w:t>c</w:t>
      </w:r>
      <w:r w:rsidRPr="0002603C">
        <w:rPr>
          <w:rFonts w:eastAsia="Times New Roman" w:cs="Times New Roman"/>
          <w:kern w:val="0"/>
          <w:lang w:eastAsia="en-GB"/>
          <w14:ligatures w14:val="none"/>
        </w:rPr>
        <w:t>).</w:t>
      </w:r>
      <w:r w:rsidR="009750E0" w:rsidRPr="0002603C">
        <w:rPr>
          <w:rFonts w:eastAsia="Times New Roman" w:cs="Times New Roman"/>
          <w:kern w:val="0"/>
          <w:lang w:eastAsia="en-GB"/>
          <w14:ligatures w14:val="none"/>
        </w:rPr>
        <w:t xml:space="preserve"> When there is tenson amongst teams like this, collaboration is likely to be strained due to weak colleague relationships. The focus is also likely to be on the strained relationships, rather than on the organisation’s wider goals (</w:t>
      </w:r>
      <w:proofErr w:type="spellStart"/>
      <w:r w:rsidR="009750E0" w:rsidRPr="0002603C">
        <w:rPr>
          <w:rFonts w:eastAsia="Times New Roman" w:cs="Times New Roman"/>
          <w:kern w:val="0"/>
          <w:lang w:eastAsia="en-GB"/>
          <w14:ligatures w14:val="none"/>
        </w:rPr>
        <w:t>WorkNest</w:t>
      </w:r>
      <w:proofErr w:type="spellEnd"/>
      <w:r w:rsidR="009750E0" w:rsidRPr="0002603C">
        <w:rPr>
          <w:rFonts w:eastAsia="Times New Roman" w:cs="Times New Roman"/>
          <w:kern w:val="0"/>
          <w:lang w:eastAsia="en-GB"/>
          <w14:ligatures w14:val="none"/>
        </w:rPr>
        <w:t>, 2023</w:t>
      </w:r>
      <w:r w:rsidR="003235FC" w:rsidRPr="0002603C">
        <w:rPr>
          <w:rFonts w:eastAsia="Times New Roman" w:cs="Times New Roman"/>
          <w:kern w:val="0"/>
          <w:lang w:eastAsia="en-GB"/>
          <w14:ligatures w14:val="none"/>
        </w:rPr>
        <w:t>; Wesonga &amp; Van Der Westhuizen, 2024</w:t>
      </w:r>
      <w:r w:rsidR="009750E0" w:rsidRPr="0002603C">
        <w:rPr>
          <w:rFonts w:eastAsia="Times New Roman" w:cs="Times New Roman"/>
          <w:kern w:val="0"/>
          <w:lang w:eastAsia="en-GB"/>
          <w14:ligatures w14:val="none"/>
        </w:rPr>
        <w:t>).</w:t>
      </w:r>
      <w:r w:rsidR="00520CF4" w:rsidRPr="0002603C">
        <w:rPr>
          <w:rFonts w:eastAsia="Times New Roman" w:cs="Times New Roman"/>
          <w:kern w:val="0"/>
          <w:lang w:eastAsia="en-GB"/>
          <w14:ligatures w14:val="none"/>
        </w:rPr>
        <w:t xml:space="preserve"> This is likely to hinder an organisation’s success and productivity.</w:t>
      </w:r>
    </w:p>
    <w:p w14:paraId="587609C9" w14:textId="23A3D00C" w:rsidR="003423F9" w:rsidRPr="0002603C" w:rsidRDefault="003423F9" w:rsidP="003A12B2">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 xml:space="preserve">There is also likely to be cost implications for an organisation that does not handle grievances well. One way that this could occur is through legal costs, which may be a requirement </w:t>
      </w:r>
      <w:r w:rsidR="009E5CFB" w:rsidRPr="0002603C">
        <w:rPr>
          <w:rFonts w:eastAsia="Times New Roman" w:cs="Times New Roman"/>
          <w:kern w:val="0"/>
          <w:lang w:eastAsia="en-GB"/>
          <w14:ligatures w14:val="none"/>
        </w:rPr>
        <w:t xml:space="preserve">if grievances (specifically around bullying or discrimination) are left unaddressed </w:t>
      </w:r>
      <w:r w:rsidR="00297544" w:rsidRPr="0002603C">
        <w:rPr>
          <w:rFonts w:eastAsia="Times New Roman" w:cs="Times New Roman"/>
          <w:kern w:val="0"/>
          <w:lang w:eastAsia="en-GB"/>
          <w14:ligatures w14:val="none"/>
        </w:rPr>
        <w:t>or addressed unsensitively, resulting in escalation to employment tribunal. Just one escalated grievance could result in long-term financial implications for an organisation, as well as irreversible damage to their reputation.</w:t>
      </w:r>
    </w:p>
    <w:p w14:paraId="4315E7E4" w14:textId="314EFBF9" w:rsidR="00297544" w:rsidRDefault="00520CF4" w:rsidP="003A12B2">
      <w:pPr>
        <w:spacing w:before="100" w:beforeAutospacing="1" w:after="100" w:afterAutospacing="1" w:line="240" w:lineRule="auto"/>
        <w:rPr>
          <w:rFonts w:eastAsia="Times New Roman" w:cs="Times New Roman"/>
          <w:kern w:val="0"/>
          <w:lang w:eastAsia="en-GB"/>
          <w14:ligatures w14:val="none"/>
        </w:rPr>
      </w:pPr>
      <w:r w:rsidRPr="0002603C">
        <w:rPr>
          <w:rFonts w:eastAsia="Times New Roman" w:cs="Times New Roman"/>
          <w:kern w:val="0"/>
          <w:lang w:eastAsia="en-GB"/>
          <w14:ligatures w14:val="none"/>
        </w:rPr>
        <w:t>When grievances are addressed promptly, efficiently and fairly, a culture of trust can be built between employees and management/the employer (ACAS, 2024b).</w:t>
      </w:r>
      <w:r w:rsidR="003235FC" w:rsidRPr="0002603C">
        <w:rPr>
          <w:rFonts w:eastAsia="Times New Roman" w:cs="Times New Roman"/>
          <w:kern w:val="0"/>
          <w:lang w:eastAsia="en-GB"/>
          <w14:ligatures w14:val="none"/>
        </w:rPr>
        <w:t xml:space="preserve"> Employees are then likely to feel valued and confident that their employee believes they should be treated fairly, through transparent processes (CIPD, 2023c). When this relationship is strong, productivity is then likely to be higher as collaboration can run successfully between employees, plus employees respect their employers and are committed to ensuring good outcomes (</w:t>
      </w:r>
      <w:proofErr w:type="spellStart"/>
      <w:r w:rsidR="003235FC" w:rsidRPr="0002603C">
        <w:rPr>
          <w:rFonts w:eastAsia="Times New Roman" w:cs="Times New Roman"/>
          <w:kern w:val="0"/>
          <w:lang w:eastAsia="en-GB"/>
          <w14:ligatures w14:val="none"/>
        </w:rPr>
        <w:t>Melchades</w:t>
      </w:r>
      <w:proofErr w:type="spellEnd"/>
      <w:r w:rsidR="003235FC" w:rsidRPr="0002603C">
        <w:rPr>
          <w:rFonts w:eastAsia="Times New Roman" w:cs="Times New Roman"/>
          <w:kern w:val="0"/>
          <w:lang w:eastAsia="en-GB"/>
          <w14:ligatures w14:val="none"/>
        </w:rPr>
        <w:t>, 2013).</w:t>
      </w:r>
    </w:p>
    <w:p w14:paraId="49104322" w14:textId="77777777" w:rsidR="007554C6" w:rsidRPr="003A12B2" w:rsidRDefault="007554C6" w:rsidP="003A12B2">
      <w:pPr>
        <w:spacing w:before="100" w:beforeAutospacing="1" w:after="100" w:afterAutospacing="1" w:line="240" w:lineRule="auto"/>
        <w:rPr>
          <w:rFonts w:eastAsia="Times New Roman" w:cs="Times New Roman"/>
          <w:kern w:val="0"/>
          <w:highlight w:val="green"/>
          <w:lang w:eastAsia="en-GB"/>
          <w14:ligatures w14:val="none"/>
        </w:rPr>
      </w:pPr>
    </w:p>
    <w:p w14:paraId="16535994" w14:textId="2629B4CA" w:rsidR="0064365D" w:rsidRDefault="0016632F">
      <w:pPr>
        <w:rPr>
          <w:b/>
          <w:bCs/>
          <w:u w:val="single"/>
        </w:rPr>
      </w:pPr>
      <w:r>
        <w:rPr>
          <w:b/>
          <w:bCs/>
          <w:u w:val="single"/>
        </w:rPr>
        <w:br w:type="page"/>
      </w:r>
      <w:r w:rsidR="0054778A">
        <w:rPr>
          <w:b/>
          <w:bCs/>
          <w:u w:val="single"/>
        </w:rPr>
        <w:lastRenderedPageBreak/>
        <w:t>References</w:t>
      </w:r>
    </w:p>
    <w:p w14:paraId="66363B28" w14:textId="77777777" w:rsidR="00744991" w:rsidRPr="00744991" w:rsidRDefault="00744991" w:rsidP="00744991">
      <w:r w:rsidRPr="00744991">
        <w:t xml:space="preserve">ACAS (no date a). </w:t>
      </w:r>
      <w:r w:rsidRPr="00744991">
        <w:rPr>
          <w:i/>
          <w:iCs/>
        </w:rPr>
        <w:t>Bullying at work</w:t>
      </w:r>
      <w:r w:rsidRPr="00744991">
        <w:t>. [online] Advisory, Conciliation and Arbitration Service. Available at: https://www.acas.org.uk/bullying-at-work [Accessed 9 May 2025].</w:t>
      </w:r>
    </w:p>
    <w:p w14:paraId="49884E4D" w14:textId="77777777" w:rsidR="00744991" w:rsidRPr="00744991" w:rsidRDefault="00744991" w:rsidP="00744991">
      <w:r w:rsidRPr="00744991">
        <w:t xml:space="preserve">ACAS (no date b). </w:t>
      </w:r>
      <w:r w:rsidRPr="00744991">
        <w:rPr>
          <w:i/>
          <w:iCs/>
        </w:rPr>
        <w:t>How early conciliation works</w:t>
      </w:r>
      <w:r w:rsidRPr="00744991">
        <w:t>. [online] Available at: https://www.acas.org.uk/early-conciliation/how-early-conciliation-works [Accessed 6 May 2025].</w:t>
      </w:r>
    </w:p>
    <w:p w14:paraId="0D30BD30" w14:textId="77777777" w:rsidR="00744991" w:rsidRPr="00744991" w:rsidRDefault="00744991" w:rsidP="00744991">
      <w:r w:rsidRPr="00744991">
        <w:t xml:space="preserve">ACAS (2021a). </w:t>
      </w:r>
      <w:r w:rsidRPr="00744991">
        <w:rPr>
          <w:i/>
          <w:iCs/>
        </w:rPr>
        <w:t>Discipline and grievance: Code of Practice</w:t>
      </w:r>
      <w:r w:rsidRPr="00744991">
        <w:t>. [online] Available at: https://www.acas.org.uk/acas-code-of-practice-on-disciplinary-and-grievance-procedures [Accessed 9 May 2025].</w:t>
      </w:r>
    </w:p>
    <w:p w14:paraId="21D68C6B" w14:textId="77777777" w:rsidR="00744991" w:rsidRPr="00744991" w:rsidRDefault="00744991" w:rsidP="00744991">
      <w:r w:rsidRPr="00744991">
        <w:t xml:space="preserve">ACAS (2021b). </w:t>
      </w:r>
      <w:r w:rsidRPr="00744991">
        <w:rPr>
          <w:i/>
          <w:iCs/>
        </w:rPr>
        <w:t>Unfair dismissal</w:t>
      </w:r>
      <w:r w:rsidRPr="00744991">
        <w:t>. [online] Available at: https://www.acas.org.uk/dismissals/unfair-dismissal [Accessed 9 May 2025].</w:t>
      </w:r>
    </w:p>
    <w:p w14:paraId="3ED59E44" w14:textId="77777777" w:rsidR="00744991" w:rsidRPr="00744991" w:rsidRDefault="00744991" w:rsidP="00744991">
      <w:r w:rsidRPr="00744991">
        <w:t xml:space="preserve">ACAS (2021c). </w:t>
      </w:r>
      <w:r w:rsidRPr="00744991">
        <w:rPr>
          <w:i/>
          <w:iCs/>
        </w:rPr>
        <w:t>Non-union representation in the workplace</w:t>
      </w:r>
      <w:r w:rsidRPr="00744991">
        <w:t>. [PDF] London: Advisory, Conciliation and Arbitration Service. Available at: https://www.acas.org.uk/sites/default/files/2021-03/non-union-representation-in-the-workplace.pdf [Accessed 9 May 2025].</w:t>
      </w:r>
    </w:p>
    <w:p w14:paraId="242575CA" w14:textId="77777777" w:rsidR="00744991" w:rsidRPr="00744991" w:rsidRDefault="00744991" w:rsidP="00744991">
      <w:r w:rsidRPr="00744991">
        <w:t xml:space="preserve">ACAS (2023). </w:t>
      </w:r>
      <w:r w:rsidRPr="00744991">
        <w:rPr>
          <w:i/>
          <w:iCs/>
        </w:rPr>
        <w:t>Arbitration explained</w:t>
      </w:r>
      <w:r w:rsidRPr="00744991">
        <w:t>. [online] Available at: https://www.acas.org.uk/arbitration [Accessed 7 May 2025].</w:t>
      </w:r>
    </w:p>
    <w:p w14:paraId="4C248D1D" w14:textId="77777777" w:rsidR="00744991" w:rsidRPr="00744991" w:rsidRDefault="00744991" w:rsidP="00744991">
      <w:r w:rsidRPr="00744991">
        <w:t xml:space="preserve">ACAS (2024a). </w:t>
      </w:r>
      <w:r w:rsidRPr="00744991">
        <w:rPr>
          <w:i/>
          <w:iCs/>
        </w:rPr>
        <w:t xml:space="preserve">Discipline and grievances at work: The </w:t>
      </w:r>
      <w:proofErr w:type="spellStart"/>
      <w:r w:rsidRPr="00744991">
        <w:rPr>
          <w:i/>
          <w:iCs/>
        </w:rPr>
        <w:t>Acas</w:t>
      </w:r>
      <w:proofErr w:type="spellEnd"/>
      <w:r w:rsidRPr="00744991">
        <w:rPr>
          <w:i/>
          <w:iCs/>
        </w:rPr>
        <w:t xml:space="preserve"> guide</w:t>
      </w:r>
      <w:r w:rsidRPr="00744991">
        <w:t>. [PDF] London: Advisory, Conciliation and Arbitration Service. Available at: https://www.acas.org.uk/sites/default/files/2024-08/discipline-and-grievances-at-work-the-acas-guide.pdf [Accessed 9 May 2025].</w:t>
      </w:r>
    </w:p>
    <w:p w14:paraId="31467D5C" w14:textId="77777777" w:rsidR="00744991" w:rsidRPr="00744991" w:rsidRDefault="00744991" w:rsidP="00744991">
      <w:r w:rsidRPr="00744991">
        <w:t xml:space="preserve">ACAS (2024b). </w:t>
      </w:r>
      <w:r w:rsidRPr="00744991">
        <w:rPr>
          <w:i/>
          <w:iCs/>
        </w:rPr>
        <w:t>Code of practice on disciplinary and grievance procedures</w:t>
      </w:r>
      <w:r w:rsidRPr="00744991">
        <w:t>. [online] Available at: https://www.acas.org.uk/acas-code-of-practice-on-disciplinary-and-grievance-procedures/html [Accessed 9 May 2025].</w:t>
      </w:r>
    </w:p>
    <w:p w14:paraId="7843F481" w14:textId="77777777" w:rsidR="00744991" w:rsidRPr="00744991" w:rsidRDefault="00744991" w:rsidP="00744991">
      <w:r w:rsidRPr="00744991">
        <w:t xml:space="preserve">Ackroyd, S. and Thompson, P. (1999). </w:t>
      </w:r>
      <w:r w:rsidRPr="00744991">
        <w:rPr>
          <w:i/>
          <w:iCs/>
        </w:rPr>
        <w:t>Organizational Misbehaviour</w:t>
      </w:r>
      <w:r w:rsidRPr="00744991">
        <w:t>. London: SAGE.</w:t>
      </w:r>
    </w:p>
    <w:p w14:paraId="62080102" w14:textId="77777777" w:rsidR="00744991" w:rsidRPr="00744991" w:rsidRDefault="00744991" w:rsidP="00744991">
      <w:r w:rsidRPr="00744991">
        <w:t>Al-</w:t>
      </w:r>
      <w:proofErr w:type="spellStart"/>
      <w:r w:rsidRPr="00744991">
        <w:t>Ajlouni</w:t>
      </w:r>
      <w:proofErr w:type="spellEnd"/>
      <w:r w:rsidRPr="00744991">
        <w:t xml:space="preserve">, M.I. (2021). Can high-performance work systems (HPWS) promote organisational innovation? Employee perspective-taking, engagement and creativity in a moderated mediation model. </w:t>
      </w:r>
      <w:r w:rsidRPr="00744991">
        <w:rPr>
          <w:i/>
          <w:iCs/>
        </w:rPr>
        <w:t>Employee Relations</w:t>
      </w:r>
      <w:r w:rsidRPr="00744991">
        <w:t>, 43(2), pp.373–397. Available at: https://doi.org/10.1108/ER-09-2019-0369 [Accessed 23 Apr. 2025].</w:t>
      </w:r>
    </w:p>
    <w:p w14:paraId="681B8536" w14:textId="77777777" w:rsidR="00744991" w:rsidRPr="00744991" w:rsidRDefault="00744991" w:rsidP="00744991">
      <w:r w:rsidRPr="00744991">
        <w:t xml:space="preserve">Armstrong, M. (2020). </w:t>
      </w:r>
      <w:r w:rsidRPr="00744991">
        <w:rPr>
          <w:i/>
          <w:iCs/>
        </w:rPr>
        <w:t>Armstrong's Handbook of Human Resource Management Practice</w:t>
      </w:r>
      <w:r w:rsidRPr="00744991">
        <w:t>. 15th ed. London: Kogan Page.</w:t>
      </w:r>
    </w:p>
    <w:p w14:paraId="02D26082" w14:textId="77777777" w:rsidR="00744991" w:rsidRPr="00744991" w:rsidRDefault="00744991" w:rsidP="00744991">
      <w:r w:rsidRPr="00744991">
        <w:t>Bakker, A.B. and Demerouti, E. (2007). The job demands</w:t>
      </w:r>
      <w:r w:rsidRPr="00744991">
        <w:rPr>
          <w:rFonts w:ascii="Cambria Math" w:hAnsi="Cambria Math" w:cs="Cambria Math"/>
        </w:rPr>
        <w:t>‐</w:t>
      </w:r>
      <w:r w:rsidRPr="00744991">
        <w:t xml:space="preserve">resources model: State of the art. </w:t>
      </w:r>
      <w:r w:rsidRPr="00744991">
        <w:rPr>
          <w:i/>
          <w:iCs/>
        </w:rPr>
        <w:t>Journal of Managerial Psychology</w:t>
      </w:r>
      <w:r w:rsidRPr="00744991">
        <w:t>, 22(3), pp.309–328.</w:t>
      </w:r>
    </w:p>
    <w:p w14:paraId="5BCD0051" w14:textId="77777777" w:rsidR="00744991" w:rsidRPr="00744991" w:rsidRDefault="00744991" w:rsidP="00744991">
      <w:r w:rsidRPr="00744991">
        <w:t xml:space="preserve">Baldwin, A.J. (2023). The history of industrial action in the NHS. </w:t>
      </w:r>
      <w:r w:rsidRPr="00744991">
        <w:rPr>
          <w:i/>
          <w:iCs/>
        </w:rPr>
        <w:t>The Bulletin of the Royal College of Surgeons of England</w:t>
      </w:r>
      <w:r w:rsidRPr="00744991">
        <w:t>, 105(4), pp.158–160.</w:t>
      </w:r>
    </w:p>
    <w:p w14:paraId="6291F9E5" w14:textId="77777777" w:rsidR="00744991" w:rsidRPr="00744991" w:rsidRDefault="00744991" w:rsidP="00744991">
      <w:r w:rsidRPr="00744991">
        <w:t xml:space="preserve">BambooHR. (2024). </w:t>
      </w:r>
      <w:r w:rsidRPr="00744991">
        <w:rPr>
          <w:i/>
          <w:iCs/>
        </w:rPr>
        <w:t>Organizational Performance: What Is It and How to Improve It</w:t>
      </w:r>
      <w:r w:rsidRPr="00744991">
        <w:t>. [online] Available at: https://www.bamboohr.com/blog/organizational-performance [Accessed 23 Apr. 2025].</w:t>
      </w:r>
    </w:p>
    <w:p w14:paraId="152CA833" w14:textId="77777777" w:rsidR="00744991" w:rsidRPr="00744991" w:rsidRDefault="00744991" w:rsidP="00744991">
      <w:r w:rsidRPr="00744991">
        <w:t xml:space="preserve">BBC Monitoring &amp; Capital FM. (2023). </w:t>
      </w:r>
      <w:r w:rsidRPr="00744991">
        <w:rPr>
          <w:i/>
          <w:iCs/>
        </w:rPr>
        <w:t>More Strikes Threatened As cost of living pain continues, the opposition warns it will take further action</w:t>
      </w:r>
      <w:r w:rsidRPr="00744991">
        <w:t>.</w:t>
      </w:r>
    </w:p>
    <w:p w14:paraId="6D3D767B" w14:textId="77777777" w:rsidR="00744991" w:rsidRPr="00744991" w:rsidRDefault="00744991" w:rsidP="00744991">
      <w:r w:rsidRPr="00744991">
        <w:lastRenderedPageBreak/>
        <w:t xml:space="preserve">Carberry, N., Nowak, P. and Dix, G. (2020). </w:t>
      </w:r>
      <w:r w:rsidRPr="00744991">
        <w:rPr>
          <w:i/>
          <w:iCs/>
        </w:rPr>
        <w:t>Employee voice: on mute or mission critical?</w:t>
      </w:r>
      <w:r w:rsidRPr="00744991">
        <w:t xml:space="preserve"> [podcast] Available at: https://www.cipd.co.uk/podcasts/employee-voice-on-mute-or-mission-critical [Accessed 9 Apr. 2025].</w:t>
      </w:r>
    </w:p>
    <w:p w14:paraId="69F7313C" w14:textId="77777777" w:rsidR="00744991" w:rsidRPr="00744991" w:rsidRDefault="00744991" w:rsidP="00744991">
      <w:proofErr w:type="spellStart"/>
      <w:r w:rsidRPr="00744991">
        <w:t>Carmelli</w:t>
      </w:r>
      <w:proofErr w:type="spellEnd"/>
      <w:r w:rsidRPr="00744991">
        <w:t xml:space="preserve"> Bakeries Ltd v Benali [2013] UKEAT.</w:t>
      </w:r>
    </w:p>
    <w:p w14:paraId="4B28C202" w14:textId="77777777" w:rsidR="00744991" w:rsidRPr="00744991" w:rsidRDefault="00744991" w:rsidP="00744991">
      <w:r w:rsidRPr="00744991">
        <w:t xml:space="preserve">CIPD (no date). </w:t>
      </w:r>
      <w:r w:rsidRPr="00744991">
        <w:rPr>
          <w:i/>
          <w:iCs/>
        </w:rPr>
        <w:t>Discipline</w:t>
      </w:r>
      <w:r w:rsidRPr="00744991">
        <w:t>. [online] Chartered Institute of Personnel and Development. Available at: https://www.cipd.org/uk/knowledge/factsheets/discipline-factsheet/ [Accessed 9 May 2025].</w:t>
      </w:r>
    </w:p>
    <w:p w14:paraId="75A7A030" w14:textId="77777777" w:rsidR="00744991" w:rsidRPr="00744991" w:rsidRDefault="00744991" w:rsidP="00744991">
      <w:r w:rsidRPr="00744991">
        <w:t xml:space="preserve">CIPD (2020). </w:t>
      </w:r>
      <w:r w:rsidRPr="00744991">
        <w:rPr>
          <w:i/>
          <w:iCs/>
        </w:rPr>
        <w:t>Managing conflict in the modern workplace</w:t>
      </w:r>
      <w:r w:rsidRPr="00744991">
        <w:t>. [online] Chartered Institute of Personnel and Development. Available at: https://www.cipd.org/globalassets/media/knowledge/knowledge-hub/reports/managing-conflict-in-the-workplace-2_tcm18-70655.pdf [Accessed 9 May 2025].</w:t>
      </w:r>
    </w:p>
    <w:p w14:paraId="3AB94CFF" w14:textId="77777777" w:rsidR="00744991" w:rsidRPr="00744991" w:rsidRDefault="00744991" w:rsidP="00744991">
      <w:r w:rsidRPr="00744991">
        <w:t xml:space="preserve">CIPD (2021). </w:t>
      </w:r>
      <w:r w:rsidRPr="00744991">
        <w:rPr>
          <w:i/>
          <w:iCs/>
        </w:rPr>
        <w:t>Dismissal Factsheet</w:t>
      </w:r>
      <w:r w:rsidRPr="00744991">
        <w:t>. [online] Available at: https://www.cipd.org/uk/knowledge/factsheets/dismissal-factsheet/#unfair-dismissal [Accessed 9 May 2025].</w:t>
      </w:r>
    </w:p>
    <w:p w14:paraId="71CB9A57" w14:textId="77777777" w:rsidR="00744991" w:rsidRPr="00744991" w:rsidRDefault="00744991" w:rsidP="00744991">
      <w:r w:rsidRPr="00744991">
        <w:t xml:space="preserve">CIPD (2021). </w:t>
      </w:r>
      <w:r w:rsidRPr="00744991">
        <w:rPr>
          <w:i/>
          <w:iCs/>
        </w:rPr>
        <w:t>Flexible Working: The Evidence</w:t>
      </w:r>
      <w:r w:rsidRPr="00744991">
        <w:t>. [online] Available at: https://www.cipd.co.uk/knowledge/fundamentals/emp-law/flexible-working/factsheet [Accessed 23 Apr. 2025].</w:t>
      </w:r>
    </w:p>
    <w:p w14:paraId="2AECF54A" w14:textId="77777777" w:rsidR="00744991" w:rsidRPr="00744991" w:rsidRDefault="00744991" w:rsidP="00744991">
      <w:r w:rsidRPr="00744991">
        <w:t xml:space="preserve">CIPD (2023a). </w:t>
      </w:r>
      <w:r w:rsidRPr="00744991">
        <w:rPr>
          <w:i/>
          <w:iCs/>
        </w:rPr>
        <w:t>Good Work Index</w:t>
      </w:r>
      <w:r w:rsidRPr="00744991">
        <w:t>. [online] Available at: https://www.cipd.co.uk/knowledge/work/culture/good-work-index [Accessed 23 Apr. 2025].</w:t>
      </w:r>
    </w:p>
    <w:p w14:paraId="5F8AF11F" w14:textId="77777777" w:rsidR="00744991" w:rsidRPr="00744991" w:rsidRDefault="00744991" w:rsidP="00744991">
      <w:r w:rsidRPr="00744991">
        <w:t xml:space="preserve">CIPD (2023b). </w:t>
      </w:r>
      <w:r w:rsidRPr="00744991">
        <w:rPr>
          <w:i/>
          <w:iCs/>
        </w:rPr>
        <w:t>Trade Unions</w:t>
      </w:r>
      <w:r w:rsidRPr="00744991">
        <w:t>. [Factsheet].</w:t>
      </w:r>
    </w:p>
    <w:p w14:paraId="705118E9" w14:textId="77777777" w:rsidR="00744991" w:rsidRPr="00744991" w:rsidRDefault="00744991" w:rsidP="00744991">
      <w:r w:rsidRPr="00744991">
        <w:t xml:space="preserve">CIPD (2023c). </w:t>
      </w:r>
      <w:r w:rsidRPr="00744991">
        <w:rPr>
          <w:i/>
          <w:iCs/>
        </w:rPr>
        <w:t>Disciplinary and grievance procedures: Guidance for managers</w:t>
      </w:r>
      <w:r w:rsidRPr="00744991">
        <w:t>. [online] Available at: https://www.cipd.org/uk/knowledge/guides/disciplinary-and-grievance-procedures-guidance-for-managers/ [Accessed 9 May 2025].</w:t>
      </w:r>
    </w:p>
    <w:p w14:paraId="72359D00" w14:textId="77777777" w:rsidR="00744991" w:rsidRPr="00744991" w:rsidRDefault="00744991" w:rsidP="00744991">
      <w:r w:rsidRPr="00744991">
        <w:t xml:space="preserve">CIPD (2024a). </w:t>
      </w:r>
      <w:r w:rsidRPr="00744991">
        <w:rPr>
          <w:i/>
          <w:iCs/>
        </w:rPr>
        <w:t>Employment law changes: What to expect in 2025</w:t>
      </w:r>
      <w:r w:rsidRPr="00744991">
        <w:t>. [online] Retrieved from https://www.cipd.org</w:t>
      </w:r>
    </w:p>
    <w:p w14:paraId="0DD4FAAB" w14:textId="77777777" w:rsidR="00744991" w:rsidRPr="00744991" w:rsidRDefault="00744991" w:rsidP="00744991">
      <w:r w:rsidRPr="00744991">
        <w:t xml:space="preserve">CIPD (2024b). </w:t>
      </w:r>
      <w:r w:rsidRPr="00744991">
        <w:rPr>
          <w:i/>
          <w:iCs/>
        </w:rPr>
        <w:t>Workplace mediation</w:t>
      </w:r>
      <w:r w:rsidRPr="00744991">
        <w:t>. [online] Available at: https://www.cipd.org/uk/knowledge/factsheets/mediation-factsheet/ [Accessed 7 May 2025].</w:t>
      </w:r>
    </w:p>
    <w:p w14:paraId="3EA13ABA" w14:textId="77777777" w:rsidR="00744991" w:rsidRPr="00744991" w:rsidRDefault="00744991" w:rsidP="00744991">
      <w:r w:rsidRPr="00744991">
        <w:t xml:space="preserve">CIPD (2024c). </w:t>
      </w:r>
      <w:r w:rsidRPr="00744991">
        <w:rPr>
          <w:i/>
          <w:iCs/>
        </w:rPr>
        <w:t>Discrimination in the workplace</w:t>
      </w:r>
      <w:r w:rsidRPr="00744991">
        <w:t>. [online] Chartered Institute of Personnel and Development. Available at: https://www.cipd.org/uk/knowledge/factsheets/discrimination-workplace-factsheet/ [Accessed 9 May 2025].</w:t>
      </w:r>
    </w:p>
    <w:p w14:paraId="4A56CBC9" w14:textId="77777777" w:rsidR="00744991" w:rsidRPr="00744991" w:rsidRDefault="00744991" w:rsidP="00744991">
      <w:r w:rsidRPr="00744991">
        <w:t xml:space="preserve">CIPD (2025). </w:t>
      </w:r>
      <w:r w:rsidRPr="00744991">
        <w:rPr>
          <w:i/>
          <w:iCs/>
        </w:rPr>
        <w:t>Employee voice</w:t>
      </w:r>
      <w:r w:rsidRPr="00744991">
        <w:t>. [online] Available at: https://www.cipd.org/uk/knowledge/factsheets/voice-factsheet/ [Accessed 8 Apr. 2025].</w:t>
      </w:r>
    </w:p>
    <w:p w14:paraId="7ED4AC2B" w14:textId="77777777" w:rsidR="00744991" w:rsidRPr="00744991" w:rsidRDefault="00744991" w:rsidP="00744991">
      <w:r w:rsidRPr="00744991">
        <w:t xml:space="preserve">Daniels, K. (2022a). </w:t>
      </w:r>
      <w:r w:rsidRPr="00744991">
        <w:rPr>
          <w:i/>
          <w:iCs/>
        </w:rPr>
        <w:t>Introduction to employment law: Fundamentals for HR and business students</w:t>
      </w:r>
      <w:r w:rsidRPr="00744991">
        <w:t>. 6th ed. London: Kogan Page Limited.</w:t>
      </w:r>
    </w:p>
    <w:p w14:paraId="3FDDD8C5" w14:textId="77777777" w:rsidR="00744991" w:rsidRPr="00744991" w:rsidRDefault="00744991" w:rsidP="00744991">
      <w:r w:rsidRPr="00744991">
        <w:t xml:space="preserve">Daniels, P. (2022b). </w:t>
      </w:r>
      <w:r w:rsidRPr="00744991">
        <w:rPr>
          <w:i/>
          <w:iCs/>
        </w:rPr>
        <w:t>Workplace conflict and grievance management</w:t>
      </w:r>
      <w:r w:rsidRPr="00744991">
        <w:t>. London: HR Press.</w:t>
      </w:r>
    </w:p>
    <w:p w14:paraId="3CD1CDD1" w14:textId="77777777" w:rsidR="00744991" w:rsidRPr="00744991" w:rsidRDefault="00744991" w:rsidP="00744991">
      <w:r w:rsidRPr="00744991">
        <w:t xml:space="preserve">Davidson Morris (2023). </w:t>
      </w:r>
      <w:r w:rsidRPr="00744991">
        <w:rPr>
          <w:i/>
          <w:iCs/>
        </w:rPr>
        <w:t>Grievance at work guide for employers</w:t>
      </w:r>
      <w:r w:rsidRPr="00744991">
        <w:t>. [online] Available at: https://www.davidsonmorris.com/grievance-at-work-guide-for-employers/ [Accessed 9 May 2025].</w:t>
      </w:r>
    </w:p>
    <w:p w14:paraId="57D19301" w14:textId="77777777" w:rsidR="00744991" w:rsidRPr="00744991" w:rsidRDefault="00744991" w:rsidP="00744991">
      <w:r w:rsidRPr="00744991">
        <w:lastRenderedPageBreak/>
        <w:t xml:space="preserve">Dupont, P.L., Kirk, E., McDermont, M. and Anderson, B. (2018). </w:t>
      </w:r>
      <w:r w:rsidRPr="00744991">
        <w:rPr>
          <w:i/>
          <w:iCs/>
        </w:rPr>
        <w:t>Promoting access to injustice? Alternative dispute resolution and employment relations in the UK</w:t>
      </w:r>
      <w:r w:rsidRPr="00744991">
        <w:t>.</w:t>
      </w:r>
    </w:p>
    <w:p w14:paraId="1E018387" w14:textId="77777777" w:rsidR="00744991" w:rsidRPr="00744991" w:rsidRDefault="00744991" w:rsidP="00744991">
      <w:r w:rsidRPr="00744991">
        <w:t>Employment Rights Act 1996 (c. 18). Available at: https://www.legislation.gov.uk/ukpga/1996/18/contents</w:t>
      </w:r>
    </w:p>
    <w:p w14:paraId="3B1F96AE" w14:textId="77777777" w:rsidR="00744991" w:rsidRPr="00744991" w:rsidRDefault="00744991" w:rsidP="00744991">
      <w:r w:rsidRPr="00744991">
        <w:t>Equality Act 2010 (c. 15). Available at: https://www.legislation.gov.uk/ukpga/2010/15/contents</w:t>
      </w:r>
    </w:p>
    <w:p w14:paraId="45E4535F" w14:textId="77777777" w:rsidR="00744991" w:rsidRPr="00744991" w:rsidRDefault="00744991" w:rsidP="00744991">
      <w:r w:rsidRPr="00744991">
        <w:t xml:space="preserve">Ford, M. (2018). Employment tribunal fees and the rule of law: R (Unison) v Lord Chancellor in the Supreme Court. </w:t>
      </w:r>
      <w:r w:rsidRPr="00744991">
        <w:rPr>
          <w:i/>
          <w:iCs/>
        </w:rPr>
        <w:t>Industrial Law Journal</w:t>
      </w:r>
      <w:r w:rsidRPr="00744991">
        <w:t>, 47(1), pp.1–45.</w:t>
      </w:r>
    </w:p>
    <w:p w14:paraId="635F4C42" w14:textId="77777777" w:rsidR="00744991" w:rsidRPr="00744991" w:rsidRDefault="00744991" w:rsidP="00744991">
      <w:r w:rsidRPr="00744991">
        <w:t xml:space="preserve">Gallup. (n.d.). </w:t>
      </w:r>
      <w:r w:rsidRPr="00744991">
        <w:rPr>
          <w:i/>
          <w:iCs/>
        </w:rPr>
        <w:t>State of the Global Workplace Report</w:t>
      </w:r>
      <w:r w:rsidRPr="00744991">
        <w:t>. [online] Available at: https://www.gallup.com/workplace/349484/state-of-the-global-workplace-2021.aspx [Accessed 23 Apr. 2025].</w:t>
      </w:r>
    </w:p>
    <w:p w14:paraId="59FD7DA1" w14:textId="77777777" w:rsidR="00744991" w:rsidRPr="00744991" w:rsidRDefault="00744991" w:rsidP="00744991">
      <w:r w:rsidRPr="00744991">
        <w:t xml:space="preserve">Gordon, J. (2008). </w:t>
      </w:r>
      <w:r w:rsidRPr="00744991">
        <w:rPr>
          <w:i/>
          <w:iCs/>
        </w:rPr>
        <w:t>The no complaining rule: Positive ways to deal with negativity at work</w:t>
      </w:r>
      <w:r w:rsidRPr="00744991">
        <w:t>. John Wiley &amp; Sons.</w:t>
      </w:r>
    </w:p>
    <w:p w14:paraId="6CC97AC7" w14:textId="77777777" w:rsidR="00744991" w:rsidRPr="00744991" w:rsidRDefault="00744991" w:rsidP="00744991">
      <w:r w:rsidRPr="00744991">
        <w:t xml:space="preserve">Guest, D.E. (2002). Human resource management, corporate performance and employee wellbeing: Building the worker into HRM. </w:t>
      </w:r>
      <w:r w:rsidRPr="00744991">
        <w:rPr>
          <w:i/>
          <w:iCs/>
        </w:rPr>
        <w:t>The Journal of Industrial Relations</w:t>
      </w:r>
      <w:r w:rsidRPr="00744991">
        <w:t>, 44(3), pp.335–358.</w:t>
      </w:r>
    </w:p>
    <w:p w14:paraId="087816B6" w14:textId="77777777" w:rsidR="00744991" w:rsidRPr="00744991" w:rsidRDefault="00744991" w:rsidP="00744991">
      <w:r w:rsidRPr="00744991">
        <w:t xml:space="preserve">Hackman, R., Lawler, E. and Oldham, G. (2015). Job Characteristics in Theory. In </w:t>
      </w:r>
      <w:r w:rsidRPr="00744991">
        <w:rPr>
          <w:i/>
          <w:iCs/>
        </w:rPr>
        <w:t xml:space="preserve">Organizational </w:t>
      </w:r>
      <w:proofErr w:type="spellStart"/>
      <w:r w:rsidRPr="00744991">
        <w:rPr>
          <w:i/>
          <w:iCs/>
        </w:rPr>
        <w:t>Behavior</w:t>
      </w:r>
      <w:proofErr w:type="spellEnd"/>
      <w:r w:rsidRPr="00744991">
        <w:rPr>
          <w:i/>
          <w:iCs/>
        </w:rPr>
        <w:t xml:space="preserve"> 1</w:t>
      </w:r>
      <w:r w:rsidRPr="00744991">
        <w:t xml:space="preserve"> (pp. 75–93). Routledge.</w:t>
      </w:r>
    </w:p>
    <w:p w14:paraId="020C05AF" w14:textId="77777777" w:rsidR="00744991" w:rsidRPr="00744991" w:rsidRDefault="00744991" w:rsidP="00744991">
      <w:r w:rsidRPr="00744991">
        <w:t xml:space="preserve">Indeed Editorial Team. (2025). </w:t>
      </w:r>
      <w:r w:rsidRPr="00744991">
        <w:rPr>
          <w:i/>
          <w:iCs/>
        </w:rPr>
        <w:t>Employee participation: What it is and how it benefits the workplace</w:t>
      </w:r>
      <w:r w:rsidRPr="00744991">
        <w:t>. [online] Available at: https://uk.indeed.com/career-advice/career-development/employee-participation [Accessed 8 Apr. 2025].</w:t>
      </w:r>
    </w:p>
    <w:p w14:paraId="2242BB94" w14:textId="77777777" w:rsidR="00744991" w:rsidRPr="00744991" w:rsidRDefault="00744991" w:rsidP="00744991">
      <w:r w:rsidRPr="00744991">
        <w:t xml:space="preserve">Involvement and Participation Association (2021). </w:t>
      </w:r>
      <w:r w:rsidRPr="00744991">
        <w:rPr>
          <w:i/>
          <w:iCs/>
        </w:rPr>
        <w:t>Workplace Representation – What Next for Trade Unions and Staff Forums?</w:t>
      </w:r>
    </w:p>
    <w:p w14:paraId="7522EEA9" w14:textId="77777777" w:rsidR="00744991" w:rsidRPr="00744991" w:rsidRDefault="00744991" w:rsidP="00744991">
      <w:r w:rsidRPr="00744991">
        <w:t xml:space="preserve">Lewis, D., Sargeant, M., Schwab, B. and CIPD (2023). </w:t>
      </w:r>
      <w:r w:rsidRPr="00744991">
        <w:rPr>
          <w:i/>
          <w:iCs/>
        </w:rPr>
        <w:t>Employment law: The essentials</w:t>
      </w:r>
      <w:r w:rsidRPr="00744991">
        <w:t>. 16th ed. London: Kogan Page.</w:t>
      </w:r>
    </w:p>
    <w:p w14:paraId="582ACEB1" w14:textId="77777777" w:rsidR="00744991" w:rsidRPr="00744991" w:rsidRDefault="00744991" w:rsidP="00744991">
      <w:r w:rsidRPr="00744991">
        <w:t xml:space="preserve">Marchington, M. (2007). Employee voice systems. In: Boxall, P., Purcell, J. and Wright, P. (eds.) </w:t>
      </w:r>
      <w:r w:rsidRPr="00744991">
        <w:rPr>
          <w:i/>
          <w:iCs/>
        </w:rPr>
        <w:t>The Oxford Handbook of Human Resource Management</w:t>
      </w:r>
      <w:r w:rsidRPr="00744991">
        <w:t>. Oxford: Oxford University Press, pp.231–250.</w:t>
      </w:r>
    </w:p>
    <w:p w14:paraId="7D483B88" w14:textId="77777777" w:rsidR="00744991" w:rsidRPr="00744991" w:rsidRDefault="00744991" w:rsidP="00744991">
      <w:r w:rsidRPr="00744991">
        <w:t xml:space="preserve">Maslow, A.H. (1943). A Theory of Human Motivation. </w:t>
      </w:r>
      <w:r w:rsidRPr="00744991">
        <w:rPr>
          <w:i/>
          <w:iCs/>
        </w:rPr>
        <w:t>Psychological Review</w:t>
      </w:r>
      <w:r w:rsidRPr="00744991">
        <w:t>, 50(4), pp.370–396.</w:t>
      </w:r>
    </w:p>
    <w:p w14:paraId="5720CB70" w14:textId="77777777" w:rsidR="00744991" w:rsidRPr="00744991" w:rsidRDefault="00744991" w:rsidP="00744991">
      <w:r w:rsidRPr="00744991">
        <w:t xml:space="preserve">Mayo, E. (1924). </w:t>
      </w:r>
      <w:r w:rsidRPr="00744991">
        <w:rPr>
          <w:i/>
          <w:iCs/>
        </w:rPr>
        <w:t>The Hawthorne experiments: The studies of the effects of lighting on worker productivity</w:t>
      </w:r>
      <w:r w:rsidRPr="00744991">
        <w:t>. Western Electric Company.</w:t>
      </w:r>
    </w:p>
    <w:p w14:paraId="20296B6B" w14:textId="77777777" w:rsidR="00744991" w:rsidRPr="00744991" w:rsidRDefault="00744991" w:rsidP="00744991">
      <w:proofErr w:type="spellStart"/>
      <w:r w:rsidRPr="00744991">
        <w:t>Melchades</w:t>
      </w:r>
      <w:proofErr w:type="spellEnd"/>
      <w:r w:rsidRPr="00744991">
        <w:t xml:space="preserve">, V. (2013). </w:t>
      </w:r>
      <w:r w:rsidRPr="00744991">
        <w:rPr>
          <w:i/>
          <w:iCs/>
        </w:rPr>
        <w:t>The role of effective grievance management procedures in enhancing the work performance</w:t>
      </w:r>
      <w:r w:rsidRPr="00744991">
        <w:t xml:space="preserve"> (Doctoral dissertation, The Open University of Tanzania).</w:t>
      </w:r>
    </w:p>
    <w:p w14:paraId="700AB8A4" w14:textId="77777777" w:rsidR="00744991" w:rsidRPr="00744991" w:rsidRDefault="00744991" w:rsidP="00744991">
      <w:r w:rsidRPr="00744991">
        <w:t xml:space="preserve">Ministry of Justice (2020). </w:t>
      </w:r>
      <w:r w:rsidRPr="00744991">
        <w:rPr>
          <w:i/>
          <w:iCs/>
        </w:rPr>
        <w:t>Tribunal Statistics Quarterly, October to December 2020</w:t>
      </w:r>
      <w:r w:rsidRPr="00744991">
        <w:t>. Available at: https://www.gov.uk/government/statistics/tribunal-statistics-quarterly-october-to-december-2020 [Accessed 11 May 2025].</w:t>
      </w:r>
    </w:p>
    <w:p w14:paraId="665A646F" w14:textId="77777777" w:rsidR="00744991" w:rsidRPr="00744991" w:rsidRDefault="00744991" w:rsidP="00744991">
      <w:r w:rsidRPr="00744991">
        <w:t>Mrs S D’Silva v Croydon Health Services NHS Trust [2021] UKET.</w:t>
      </w:r>
    </w:p>
    <w:p w14:paraId="34CBF614" w14:textId="77777777" w:rsidR="00744991" w:rsidRPr="00744991" w:rsidRDefault="00744991" w:rsidP="00744991">
      <w:r w:rsidRPr="00744991">
        <w:t xml:space="preserve">Mullins, L.J. (2016). </w:t>
      </w:r>
      <w:r w:rsidRPr="00744991">
        <w:rPr>
          <w:i/>
          <w:iCs/>
        </w:rPr>
        <w:t>Management and Organisational Behaviour</w:t>
      </w:r>
      <w:r w:rsidRPr="00744991">
        <w:t>. 11th ed. Pearson Education.</w:t>
      </w:r>
    </w:p>
    <w:p w14:paraId="0FAC2B7E" w14:textId="77777777" w:rsidR="00744991" w:rsidRPr="00744991" w:rsidRDefault="00744991" w:rsidP="00744991">
      <w:r w:rsidRPr="00744991">
        <w:lastRenderedPageBreak/>
        <w:t xml:space="preserve">NCVO. (2022). </w:t>
      </w:r>
      <w:r w:rsidRPr="00744991">
        <w:rPr>
          <w:i/>
          <w:iCs/>
        </w:rPr>
        <w:t>Handling conflict at work</w:t>
      </w:r>
      <w:r w:rsidRPr="00744991">
        <w:t>. [online] National Council for Voluntary Organisations. Available at: https://www.ncvo.org.uk/help-and-guidance/running-a-charity/employing-managing-staff/managing-developing-staff/handling-conflict/ [Accessed 28 Apr. 2025].</w:t>
      </w:r>
    </w:p>
    <w:p w14:paraId="5B0D4C86" w14:textId="77777777" w:rsidR="00744991" w:rsidRPr="00744991" w:rsidRDefault="00744991" w:rsidP="00744991">
      <w:r w:rsidRPr="00744991">
        <w:t xml:space="preserve">Obiekwe, O. (2018). Human capital development and organizational survival: A theoretical review. </w:t>
      </w:r>
      <w:r w:rsidRPr="00744991">
        <w:rPr>
          <w:i/>
          <w:iCs/>
        </w:rPr>
        <w:t>International Journal of Sustainability</w:t>
      </w:r>
      <w:r w:rsidRPr="00744991">
        <w:t>, 7(4), pp.194–203.</w:t>
      </w:r>
    </w:p>
    <w:p w14:paraId="283DA306" w14:textId="77777777" w:rsidR="00744991" w:rsidRPr="00744991" w:rsidRDefault="00744991" w:rsidP="00744991">
      <w:r w:rsidRPr="00744991">
        <w:t>Obiekwe, O., Zeb-</w:t>
      </w:r>
      <w:proofErr w:type="spellStart"/>
      <w:r w:rsidRPr="00744991">
        <w:t>Obipi</w:t>
      </w:r>
      <w:proofErr w:type="spellEnd"/>
      <w:r w:rsidRPr="00744991">
        <w:t>, I. and Ejo-</w:t>
      </w:r>
      <w:proofErr w:type="spellStart"/>
      <w:r w:rsidRPr="00744991">
        <w:t>Orusa</w:t>
      </w:r>
      <w:proofErr w:type="spellEnd"/>
      <w:r w:rsidRPr="00744991">
        <w:t xml:space="preserve">, H. (2019). Employee involvement in organizations: Benefits, challenges and implications. </w:t>
      </w:r>
      <w:r w:rsidRPr="00744991">
        <w:rPr>
          <w:i/>
          <w:iCs/>
        </w:rPr>
        <w:t>Management and Human Resource Research Journal</w:t>
      </w:r>
      <w:r w:rsidRPr="00744991">
        <w:t>, 8(8), pp.1–11.</w:t>
      </w:r>
    </w:p>
    <w:p w14:paraId="5FA3D7B2" w14:textId="77777777" w:rsidR="00744991" w:rsidRPr="00744991" w:rsidRDefault="00744991" w:rsidP="00744991">
      <w:r w:rsidRPr="00744991">
        <w:t xml:space="preserve">Office for National Statistics (ONS) (2022). </w:t>
      </w:r>
      <w:r w:rsidRPr="00744991">
        <w:rPr>
          <w:i/>
          <w:iCs/>
        </w:rPr>
        <w:t>Labour disputes, UK: July 2022 update and future work</w:t>
      </w:r>
      <w:r w:rsidRPr="00744991">
        <w:t>. [online] Available at: https://www.ons.gov.uk/employmentandlabourmarket/peopleinwork/workplacedisputesandworkingconditions/articles/labourdisputesuk/july2022updateandfuturework [Accessed 11 May 2025].</w:t>
      </w:r>
    </w:p>
    <w:p w14:paraId="2B96C28C" w14:textId="77777777" w:rsidR="00744991" w:rsidRPr="00744991" w:rsidRDefault="00744991" w:rsidP="00744991">
      <w:r w:rsidRPr="00744991">
        <w:t xml:space="preserve">Office for National Statistics (ONS) (2025). </w:t>
      </w:r>
      <w:r w:rsidRPr="00744991">
        <w:rPr>
          <w:i/>
          <w:iCs/>
        </w:rPr>
        <w:t>Labour disputes; working days lost due to strike action; UK (thousands)</w:t>
      </w:r>
      <w:r w:rsidRPr="00744991">
        <w:t>. [online] Available at: https://www.ons.gov.uk/employmentandlabourmarket/peopleinwork/employmentandemployeetypes/timeseries/bbfw/lms [Accessed 11 May 2025].</w:t>
      </w:r>
    </w:p>
    <w:p w14:paraId="51B24A80" w14:textId="77777777" w:rsidR="00744991" w:rsidRPr="00744991" w:rsidRDefault="00744991" w:rsidP="00744991">
      <w:proofErr w:type="spellStart"/>
      <w:r w:rsidRPr="00744991">
        <w:t>Onaran</w:t>
      </w:r>
      <w:proofErr w:type="spellEnd"/>
      <w:r w:rsidRPr="00744991">
        <w:t xml:space="preserve">, Ö., </w:t>
      </w:r>
      <w:proofErr w:type="spellStart"/>
      <w:r w:rsidRPr="00744991">
        <w:t>Guschanski</w:t>
      </w:r>
      <w:proofErr w:type="spellEnd"/>
      <w:r w:rsidRPr="00744991">
        <w:t xml:space="preserve">, A., </w:t>
      </w:r>
      <w:proofErr w:type="spellStart"/>
      <w:r w:rsidRPr="00744991">
        <w:t>Meadway</w:t>
      </w:r>
      <w:proofErr w:type="spellEnd"/>
      <w:r w:rsidRPr="00744991">
        <w:t xml:space="preserve">, J. and Martin, A. (2015). </w:t>
      </w:r>
      <w:r w:rsidRPr="00744991">
        <w:rPr>
          <w:i/>
          <w:iCs/>
        </w:rPr>
        <w:t>Working for the economy: The economic case for trade unions</w:t>
      </w:r>
      <w:r w:rsidRPr="00744991">
        <w:t>.</w:t>
      </w:r>
    </w:p>
    <w:p w14:paraId="3FE101F1" w14:textId="77777777" w:rsidR="00744991" w:rsidRPr="00744991" w:rsidRDefault="00744991" w:rsidP="00744991">
      <w:r w:rsidRPr="00744991">
        <w:t xml:space="preserve">Robbins, S.P. and Judge, T.A. (2019). </w:t>
      </w:r>
      <w:r w:rsidRPr="00744991">
        <w:rPr>
          <w:i/>
          <w:iCs/>
        </w:rPr>
        <w:t>Organisational Behaviour</w:t>
      </w:r>
      <w:r w:rsidRPr="00744991">
        <w:t>. 18th ed. Harlow: Pearson.</w:t>
      </w:r>
    </w:p>
    <w:p w14:paraId="3614548A" w14:textId="77777777" w:rsidR="00744991" w:rsidRPr="00744991" w:rsidRDefault="00744991" w:rsidP="00744991">
      <w:r w:rsidRPr="00744991">
        <w:t xml:space="preserve">Ryan, R.M. and Deci, E.L. (2024). Self-determination theory. In </w:t>
      </w:r>
      <w:proofErr w:type="spellStart"/>
      <w:r w:rsidRPr="00744991">
        <w:rPr>
          <w:i/>
          <w:iCs/>
        </w:rPr>
        <w:t>Encyclopedia</w:t>
      </w:r>
      <w:proofErr w:type="spellEnd"/>
      <w:r w:rsidRPr="00744991">
        <w:rPr>
          <w:i/>
          <w:iCs/>
        </w:rPr>
        <w:t xml:space="preserve"> of Quality of Life and Well-being Research</w:t>
      </w:r>
      <w:r w:rsidRPr="00744991">
        <w:t xml:space="preserve"> (pp.6229–6235). Cham: Springer.</w:t>
      </w:r>
    </w:p>
    <w:p w14:paraId="44FC11BE" w14:textId="77777777" w:rsidR="00744991" w:rsidRPr="00744991" w:rsidRDefault="00744991" w:rsidP="00744991">
      <w:r w:rsidRPr="00744991">
        <w:t xml:space="preserve">Taylor, M. (2017). </w:t>
      </w:r>
      <w:r w:rsidRPr="00744991">
        <w:rPr>
          <w:i/>
          <w:iCs/>
        </w:rPr>
        <w:t>Good Work: The Taylor Review of Modern Working Practices</w:t>
      </w:r>
      <w:r w:rsidRPr="00744991">
        <w:t>. London: Department for Business, Energy &amp; Industrial Strategy.</w:t>
      </w:r>
    </w:p>
    <w:p w14:paraId="1541772C" w14:textId="77777777" w:rsidR="00744991" w:rsidRPr="00744991" w:rsidRDefault="00744991" w:rsidP="00744991">
      <w:r w:rsidRPr="00744991">
        <w:t xml:space="preserve">Taylor, S. and Emir, A. (2015). </w:t>
      </w:r>
      <w:r w:rsidRPr="00744991">
        <w:rPr>
          <w:i/>
          <w:iCs/>
        </w:rPr>
        <w:t>Employment Law: An Introduction</w:t>
      </w:r>
      <w:r w:rsidRPr="00744991">
        <w:t>. Oxford: Oxford University Press.</w:t>
      </w:r>
    </w:p>
    <w:p w14:paraId="0B85A1F6" w14:textId="77777777" w:rsidR="00744991" w:rsidRPr="00744991" w:rsidRDefault="00744991" w:rsidP="00744991">
      <w:r w:rsidRPr="00744991">
        <w:t xml:space="preserve">Thomas, K.W. and Velthouse, B.A. (1990). Cognitive elements of empowerment: An “interpretive” model of intrinsic task motivation. </w:t>
      </w:r>
      <w:r w:rsidRPr="00744991">
        <w:rPr>
          <w:i/>
          <w:iCs/>
        </w:rPr>
        <w:t>Academy of Management Review</w:t>
      </w:r>
      <w:r w:rsidRPr="00744991">
        <w:t>, 15(4), pp.666–681.</w:t>
      </w:r>
    </w:p>
    <w:p w14:paraId="20A31F14" w14:textId="77777777" w:rsidR="00744991" w:rsidRPr="00744991" w:rsidRDefault="00744991" w:rsidP="00744991">
      <w:r w:rsidRPr="00744991">
        <w:t xml:space="preserve">UNISON National (2023). </w:t>
      </w:r>
      <w:r w:rsidRPr="00744991">
        <w:rPr>
          <w:i/>
          <w:iCs/>
        </w:rPr>
        <w:t>Grievances</w:t>
      </w:r>
      <w:r w:rsidRPr="00744991">
        <w:t>. [online] Available at: https://www.unison.org.uk/content/uploads/2023/01/Grievances-guide.pdf [Accessed 9 May 2025].</w:t>
      </w:r>
    </w:p>
    <w:p w14:paraId="2CEC0B66" w14:textId="77777777" w:rsidR="00744991" w:rsidRPr="00744991" w:rsidRDefault="00744991" w:rsidP="00744991">
      <w:r w:rsidRPr="00744991">
        <w:t xml:space="preserve">Watt, K. (2024). Dispute in the workplace: a story of change and complexity. </w:t>
      </w:r>
      <w:proofErr w:type="spellStart"/>
      <w:r w:rsidRPr="00744991">
        <w:rPr>
          <w:i/>
          <w:iCs/>
        </w:rPr>
        <w:t>Acas</w:t>
      </w:r>
      <w:proofErr w:type="spellEnd"/>
      <w:r w:rsidRPr="00744991">
        <w:t>, 6 March. Available at: https://www.acas.org.uk/dispute-in-the-workplace-a-story-of-change-and-complexity [Accessed 11 May 2025].</w:t>
      </w:r>
    </w:p>
    <w:p w14:paraId="767E0651" w14:textId="77777777" w:rsidR="00744991" w:rsidRPr="00744991" w:rsidRDefault="00744991" w:rsidP="00744991">
      <w:r w:rsidRPr="00744991">
        <w:t xml:space="preserve">Wesonga, J.N. and Van Der Westhuizen, J. (2024). The role of grievance handling styles on employee performance. </w:t>
      </w:r>
      <w:r w:rsidRPr="00744991">
        <w:rPr>
          <w:i/>
          <w:iCs/>
        </w:rPr>
        <w:t>EUREKA: Social and Humanities</w:t>
      </w:r>
      <w:r w:rsidRPr="00744991">
        <w:t>, (3), pp.3–20.</w:t>
      </w:r>
    </w:p>
    <w:p w14:paraId="5BC54F74" w14:textId="77777777" w:rsidR="00744991" w:rsidRPr="00744991" w:rsidRDefault="00744991" w:rsidP="00744991">
      <w:proofErr w:type="spellStart"/>
      <w:r w:rsidRPr="00744991">
        <w:t>WorkNest</w:t>
      </w:r>
      <w:proofErr w:type="spellEnd"/>
      <w:r w:rsidRPr="00744991">
        <w:t xml:space="preserve"> (2023). </w:t>
      </w:r>
      <w:r w:rsidRPr="00744991">
        <w:rPr>
          <w:i/>
          <w:iCs/>
        </w:rPr>
        <w:t xml:space="preserve">Workplace conflict accounts for nearly half of all grievances, according to </w:t>
      </w:r>
      <w:proofErr w:type="spellStart"/>
      <w:r w:rsidRPr="00744991">
        <w:rPr>
          <w:i/>
          <w:iCs/>
        </w:rPr>
        <w:t>WorkNest</w:t>
      </w:r>
      <w:proofErr w:type="spellEnd"/>
      <w:r w:rsidRPr="00744991">
        <w:rPr>
          <w:i/>
          <w:iCs/>
        </w:rPr>
        <w:t xml:space="preserve"> survey</w:t>
      </w:r>
      <w:r w:rsidRPr="00744991">
        <w:t>. [online] Available at: https://worknest.com/blog/workplace-conflict-</w:t>
      </w:r>
      <w:r w:rsidRPr="00744991">
        <w:lastRenderedPageBreak/>
        <w:t>accounts-for-nearly-half-of-all-grievances-according-to-worknest-survey/ [Accessed 9 May 2025].</w:t>
      </w:r>
    </w:p>
    <w:p w14:paraId="1F612B41" w14:textId="77777777" w:rsidR="0064365D" w:rsidRDefault="0064365D">
      <w:pPr>
        <w:rPr>
          <w:b/>
          <w:bCs/>
          <w:u w:val="single"/>
        </w:rPr>
      </w:pPr>
    </w:p>
    <w:sectPr w:rsidR="00643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232D3"/>
    <w:multiLevelType w:val="hybridMultilevel"/>
    <w:tmpl w:val="017E9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721D3"/>
    <w:multiLevelType w:val="hybridMultilevel"/>
    <w:tmpl w:val="9508E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343968"/>
    <w:multiLevelType w:val="hybridMultilevel"/>
    <w:tmpl w:val="067057C0"/>
    <w:lvl w:ilvl="0" w:tplc="C58AC6E0">
      <w:start w:val="1"/>
      <w:numFmt w:val="bullet"/>
      <w:lvlText w:val="•"/>
      <w:lvlJc w:val="left"/>
      <w:pPr>
        <w:tabs>
          <w:tab w:val="num" w:pos="720"/>
        </w:tabs>
        <w:ind w:left="720" w:hanging="360"/>
      </w:pPr>
      <w:rPr>
        <w:rFonts w:ascii="Arial" w:hAnsi="Arial" w:hint="default"/>
      </w:rPr>
    </w:lvl>
    <w:lvl w:ilvl="1" w:tplc="375C53E4" w:tentative="1">
      <w:start w:val="1"/>
      <w:numFmt w:val="bullet"/>
      <w:lvlText w:val="•"/>
      <w:lvlJc w:val="left"/>
      <w:pPr>
        <w:tabs>
          <w:tab w:val="num" w:pos="1440"/>
        </w:tabs>
        <w:ind w:left="1440" w:hanging="360"/>
      </w:pPr>
      <w:rPr>
        <w:rFonts w:ascii="Arial" w:hAnsi="Arial" w:hint="default"/>
      </w:rPr>
    </w:lvl>
    <w:lvl w:ilvl="2" w:tplc="E278D510" w:tentative="1">
      <w:start w:val="1"/>
      <w:numFmt w:val="bullet"/>
      <w:lvlText w:val="•"/>
      <w:lvlJc w:val="left"/>
      <w:pPr>
        <w:tabs>
          <w:tab w:val="num" w:pos="2160"/>
        </w:tabs>
        <w:ind w:left="2160" w:hanging="360"/>
      </w:pPr>
      <w:rPr>
        <w:rFonts w:ascii="Arial" w:hAnsi="Arial" w:hint="default"/>
      </w:rPr>
    </w:lvl>
    <w:lvl w:ilvl="3" w:tplc="46CA083E" w:tentative="1">
      <w:start w:val="1"/>
      <w:numFmt w:val="bullet"/>
      <w:lvlText w:val="•"/>
      <w:lvlJc w:val="left"/>
      <w:pPr>
        <w:tabs>
          <w:tab w:val="num" w:pos="2880"/>
        </w:tabs>
        <w:ind w:left="2880" w:hanging="360"/>
      </w:pPr>
      <w:rPr>
        <w:rFonts w:ascii="Arial" w:hAnsi="Arial" w:hint="default"/>
      </w:rPr>
    </w:lvl>
    <w:lvl w:ilvl="4" w:tplc="88047404" w:tentative="1">
      <w:start w:val="1"/>
      <w:numFmt w:val="bullet"/>
      <w:lvlText w:val="•"/>
      <w:lvlJc w:val="left"/>
      <w:pPr>
        <w:tabs>
          <w:tab w:val="num" w:pos="3600"/>
        </w:tabs>
        <w:ind w:left="3600" w:hanging="360"/>
      </w:pPr>
      <w:rPr>
        <w:rFonts w:ascii="Arial" w:hAnsi="Arial" w:hint="default"/>
      </w:rPr>
    </w:lvl>
    <w:lvl w:ilvl="5" w:tplc="165AC23A" w:tentative="1">
      <w:start w:val="1"/>
      <w:numFmt w:val="bullet"/>
      <w:lvlText w:val="•"/>
      <w:lvlJc w:val="left"/>
      <w:pPr>
        <w:tabs>
          <w:tab w:val="num" w:pos="4320"/>
        </w:tabs>
        <w:ind w:left="4320" w:hanging="360"/>
      </w:pPr>
      <w:rPr>
        <w:rFonts w:ascii="Arial" w:hAnsi="Arial" w:hint="default"/>
      </w:rPr>
    </w:lvl>
    <w:lvl w:ilvl="6" w:tplc="DECAA528" w:tentative="1">
      <w:start w:val="1"/>
      <w:numFmt w:val="bullet"/>
      <w:lvlText w:val="•"/>
      <w:lvlJc w:val="left"/>
      <w:pPr>
        <w:tabs>
          <w:tab w:val="num" w:pos="5040"/>
        </w:tabs>
        <w:ind w:left="5040" w:hanging="360"/>
      </w:pPr>
      <w:rPr>
        <w:rFonts w:ascii="Arial" w:hAnsi="Arial" w:hint="default"/>
      </w:rPr>
    </w:lvl>
    <w:lvl w:ilvl="7" w:tplc="7BB681A0" w:tentative="1">
      <w:start w:val="1"/>
      <w:numFmt w:val="bullet"/>
      <w:lvlText w:val="•"/>
      <w:lvlJc w:val="left"/>
      <w:pPr>
        <w:tabs>
          <w:tab w:val="num" w:pos="5760"/>
        </w:tabs>
        <w:ind w:left="5760" w:hanging="360"/>
      </w:pPr>
      <w:rPr>
        <w:rFonts w:ascii="Arial" w:hAnsi="Arial" w:hint="default"/>
      </w:rPr>
    </w:lvl>
    <w:lvl w:ilvl="8" w:tplc="65A626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2A4297"/>
    <w:multiLevelType w:val="hybridMultilevel"/>
    <w:tmpl w:val="3FD2D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0D1A2C"/>
    <w:multiLevelType w:val="hybridMultilevel"/>
    <w:tmpl w:val="C044ABF4"/>
    <w:lvl w:ilvl="0" w:tplc="77766BF2">
      <w:start w:val="9"/>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105FD2"/>
    <w:multiLevelType w:val="hybridMultilevel"/>
    <w:tmpl w:val="B930F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6777A0"/>
    <w:multiLevelType w:val="hybridMultilevel"/>
    <w:tmpl w:val="F3D6E7D6"/>
    <w:numStyleLink w:val="ImportedStyle6"/>
  </w:abstractNum>
  <w:abstractNum w:abstractNumId="7" w15:restartNumberingAfterBreak="0">
    <w:nsid w:val="3086316B"/>
    <w:multiLevelType w:val="hybridMultilevel"/>
    <w:tmpl w:val="31DC2B6E"/>
    <w:lvl w:ilvl="0" w:tplc="A7BC6EE8">
      <w:start w:val="1"/>
      <w:numFmt w:val="bullet"/>
      <w:lvlText w:val="•"/>
      <w:lvlJc w:val="left"/>
      <w:pPr>
        <w:tabs>
          <w:tab w:val="num" w:pos="720"/>
        </w:tabs>
        <w:ind w:left="720" w:hanging="360"/>
      </w:pPr>
      <w:rPr>
        <w:rFonts w:ascii="Arial" w:hAnsi="Arial" w:hint="default"/>
      </w:rPr>
    </w:lvl>
    <w:lvl w:ilvl="1" w:tplc="4E88381A">
      <w:start w:val="1"/>
      <w:numFmt w:val="bullet"/>
      <w:lvlText w:val="•"/>
      <w:lvlJc w:val="left"/>
      <w:pPr>
        <w:tabs>
          <w:tab w:val="num" w:pos="1440"/>
        </w:tabs>
        <w:ind w:left="1440" w:hanging="360"/>
      </w:pPr>
      <w:rPr>
        <w:rFonts w:ascii="Arial" w:hAnsi="Arial" w:hint="default"/>
      </w:rPr>
    </w:lvl>
    <w:lvl w:ilvl="2" w:tplc="AA6A2382" w:tentative="1">
      <w:start w:val="1"/>
      <w:numFmt w:val="bullet"/>
      <w:lvlText w:val="•"/>
      <w:lvlJc w:val="left"/>
      <w:pPr>
        <w:tabs>
          <w:tab w:val="num" w:pos="2160"/>
        </w:tabs>
        <w:ind w:left="2160" w:hanging="360"/>
      </w:pPr>
      <w:rPr>
        <w:rFonts w:ascii="Arial" w:hAnsi="Arial" w:hint="default"/>
      </w:rPr>
    </w:lvl>
    <w:lvl w:ilvl="3" w:tplc="A64C3AAE" w:tentative="1">
      <w:start w:val="1"/>
      <w:numFmt w:val="bullet"/>
      <w:lvlText w:val="•"/>
      <w:lvlJc w:val="left"/>
      <w:pPr>
        <w:tabs>
          <w:tab w:val="num" w:pos="2880"/>
        </w:tabs>
        <w:ind w:left="2880" w:hanging="360"/>
      </w:pPr>
      <w:rPr>
        <w:rFonts w:ascii="Arial" w:hAnsi="Arial" w:hint="default"/>
      </w:rPr>
    </w:lvl>
    <w:lvl w:ilvl="4" w:tplc="7A1E3E96" w:tentative="1">
      <w:start w:val="1"/>
      <w:numFmt w:val="bullet"/>
      <w:lvlText w:val="•"/>
      <w:lvlJc w:val="left"/>
      <w:pPr>
        <w:tabs>
          <w:tab w:val="num" w:pos="3600"/>
        </w:tabs>
        <w:ind w:left="3600" w:hanging="360"/>
      </w:pPr>
      <w:rPr>
        <w:rFonts w:ascii="Arial" w:hAnsi="Arial" w:hint="default"/>
      </w:rPr>
    </w:lvl>
    <w:lvl w:ilvl="5" w:tplc="711EE5A4" w:tentative="1">
      <w:start w:val="1"/>
      <w:numFmt w:val="bullet"/>
      <w:lvlText w:val="•"/>
      <w:lvlJc w:val="left"/>
      <w:pPr>
        <w:tabs>
          <w:tab w:val="num" w:pos="4320"/>
        </w:tabs>
        <w:ind w:left="4320" w:hanging="360"/>
      </w:pPr>
      <w:rPr>
        <w:rFonts w:ascii="Arial" w:hAnsi="Arial" w:hint="default"/>
      </w:rPr>
    </w:lvl>
    <w:lvl w:ilvl="6" w:tplc="5160564A" w:tentative="1">
      <w:start w:val="1"/>
      <w:numFmt w:val="bullet"/>
      <w:lvlText w:val="•"/>
      <w:lvlJc w:val="left"/>
      <w:pPr>
        <w:tabs>
          <w:tab w:val="num" w:pos="5040"/>
        </w:tabs>
        <w:ind w:left="5040" w:hanging="360"/>
      </w:pPr>
      <w:rPr>
        <w:rFonts w:ascii="Arial" w:hAnsi="Arial" w:hint="default"/>
      </w:rPr>
    </w:lvl>
    <w:lvl w:ilvl="7" w:tplc="D2D03314" w:tentative="1">
      <w:start w:val="1"/>
      <w:numFmt w:val="bullet"/>
      <w:lvlText w:val="•"/>
      <w:lvlJc w:val="left"/>
      <w:pPr>
        <w:tabs>
          <w:tab w:val="num" w:pos="5760"/>
        </w:tabs>
        <w:ind w:left="5760" w:hanging="360"/>
      </w:pPr>
      <w:rPr>
        <w:rFonts w:ascii="Arial" w:hAnsi="Arial" w:hint="default"/>
      </w:rPr>
    </w:lvl>
    <w:lvl w:ilvl="8" w:tplc="DA5698F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196074F"/>
    <w:multiLevelType w:val="hybridMultilevel"/>
    <w:tmpl w:val="0A7234F8"/>
    <w:lvl w:ilvl="0" w:tplc="8A5A3CA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FE36F4"/>
    <w:multiLevelType w:val="multilevel"/>
    <w:tmpl w:val="DB6A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951F66"/>
    <w:multiLevelType w:val="multilevel"/>
    <w:tmpl w:val="8000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575FC6"/>
    <w:multiLevelType w:val="hybridMultilevel"/>
    <w:tmpl w:val="92A2E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2378A3"/>
    <w:multiLevelType w:val="multilevel"/>
    <w:tmpl w:val="8FDA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93A0C16"/>
    <w:multiLevelType w:val="hybridMultilevel"/>
    <w:tmpl w:val="9D544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3F5F7C"/>
    <w:multiLevelType w:val="hybridMultilevel"/>
    <w:tmpl w:val="CAFA4F2C"/>
    <w:lvl w:ilvl="0" w:tplc="A3D47E82">
      <w:start w:val="1"/>
      <w:numFmt w:val="bullet"/>
      <w:lvlText w:val="•"/>
      <w:lvlJc w:val="left"/>
      <w:pPr>
        <w:tabs>
          <w:tab w:val="num" w:pos="720"/>
        </w:tabs>
        <w:ind w:left="720" w:hanging="360"/>
      </w:pPr>
      <w:rPr>
        <w:rFonts w:ascii="Arial" w:hAnsi="Arial" w:hint="default"/>
      </w:rPr>
    </w:lvl>
    <w:lvl w:ilvl="1" w:tplc="B242112C" w:tentative="1">
      <w:start w:val="1"/>
      <w:numFmt w:val="bullet"/>
      <w:lvlText w:val="•"/>
      <w:lvlJc w:val="left"/>
      <w:pPr>
        <w:tabs>
          <w:tab w:val="num" w:pos="1440"/>
        </w:tabs>
        <w:ind w:left="1440" w:hanging="360"/>
      </w:pPr>
      <w:rPr>
        <w:rFonts w:ascii="Arial" w:hAnsi="Arial" w:hint="default"/>
      </w:rPr>
    </w:lvl>
    <w:lvl w:ilvl="2" w:tplc="3A10C6CA" w:tentative="1">
      <w:start w:val="1"/>
      <w:numFmt w:val="bullet"/>
      <w:lvlText w:val="•"/>
      <w:lvlJc w:val="left"/>
      <w:pPr>
        <w:tabs>
          <w:tab w:val="num" w:pos="2160"/>
        </w:tabs>
        <w:ind w:left="2160" w:hanging="360"/>
      </w:pPr>
      <w:rPr>
        <w:rFonts w:ascii="Arial" w:hAnsi="Arial" w:hint="default"/>
      </w:rPr>
    </w:lvl>
    <w:lvl w:ilvl="3" w:tplc="EA5C5954" w:tentative="1">
      <w:start w:val="1"/>
      <w:numFmt w:val="bullet"/>
      <w:lvlText w:val="•"/>
      <w:lvlJc w:val="left"/>
      <w:pPr>
        <w:tabs>
          <w:tab w:val="num" w:pos="2880"/>
        </w:tabs>
        <w:ind w:left="2880" w:hanging="360"/>
      </w:pPr>
      <w:rPr>
        <w:rFonts w:ascii="Arial" w:hAnsi="Arial" w:hint="default"/>
      </w:rPr>
    </w:lvl>
    <w:lvl w:ilvl="4" w:tplc="810ACCAA" w:tentative="1">
      <w:start w:val="1"/>
      <w:numFmt w:val="bullet"/>
      <w:lvlText w:val="•"/>
      <w:lvlJc w:val="left"/>
      <w:pPr>
        <w:tabs>
          <w:tab w:val="num" w:pos="3600"/>
        </w:tabs>
        <w:ind w:left="3600" w:hanging="360"/>
      </w:pPr>
      <w:rPr>
        <w:rFonts w:ascii="Arial" w:hAnsi="Arial" w:hint="default"/>
      </w:rPr>
    </w:lvl>
    <w:lvl w:ilvl="5" w:tplc="2BF85152" w:tentative="1">
      <w:start w:val="1"/>
      <w:numFmt w:val="bullet"/>
      <w:lvlText w:val="•"/>
      <w:lvlJc w:val="left"/>
      <w:pPr>
        <w:tabs>
          <w:tab w:val="num" w:pos="4320"/>
        </w:tabs>
        <w:ind w:left="4320" w:hanging="360"/>
      </w:pPr>
      <w:rPr>
        <w:rFonts w:ascii="Arial" w:hAnsi="Arial" w:hint="default"/>
      </w:rPr>
    </w:lvl>
    <w:lvl w:ilvl="6" w:tplc="18B2C7FE" w:tentative="1">
      <w:start w:val="1"/>
      <w:numFmt w:val="bullet"/>
      <w:lvlText w:val="•"/>
      <w:lvlJc w:val="left"/>
      <w:pPr>
        <w:tabs>
          <w:tab w:val="num" w:pos="5040"/>
        </w:tabs>
        <w:ind w:left="5040" w:hanging="360"/>
      </w:pPr>
      <w:rPr>
        <w:rFonts w:ascii="Arial" w:hAnsi="Arial" w:hint="default"/>
      </w:rPr>
    </w:lvl>
    <w:lvl w:ilvl="7" w:tplc="130032F6" w:tentative="1">
      <w:start w:val="1"/>
      <w:numFmt w:val="bullet"/>
      <w:lvlText w:val="•"/>
      <w:lvlJc w:val="left"/>
      <w:pPr>
        <w:tabs>
          <w:tab w:val="num" w:pos="5760"/>
        </w:tabs>
        <w:ind w:left="5760" w:hanging="360"/>
      </w:pPr>
      <w:rPr>
        <w:rFonts w:ascii="Arial" w:hAnsi="Arial" w:hint="default"/>
      </w:rPr>
    </w:lvl>
    <w:lvl w:ilvl="8" w:tplc="8308404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7142EAA"/>
    <w:multiLevelType w:val="hybridMultilevel"/>
    <w:tmpl w:val="F3D6E7D6"/>
    <w:lvl w:ilvl="0" w:tplc="FFFFFFFF">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FFFFFFFF">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FFFFFFFF">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FFFFFFFF">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16" w15:restartNumberingAfterBreak="0">
    <w:nsid w:val="680841DA"/>
    <w:multiLevelType w:val="multilevel"/>
    <w:tmpl w:val="31144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8D1654F"/>
    <w:multiLevelType w:val="hybridMultilevel"/>
    <w:tmpl w:val="AC221C14"/>
    <w:lvl w:ilvl="0" w:tplc="87D0A9F2">
      <w:start w:val="1"/>
      <w:numFmt w:val="bullet"/>
      <w:lvlText w:val="•"/>
      <w:lvlJc w:val="left"/>
      <w:pPr>
        <w:tabs>
          <w:tab w:val="num" w:pos="720"/>
        </w:tabs>
        <w:ind w:left="720" w:hanging="360"/>
      </w:pPr>
      <w:rPr>
        <w:rFonts w:ascii="Arial" w:hAnsi="Arial" w:hint="default"/>
      </w:rPr>
    </w:lvl>
    <w:lvl w:ilvl="1" w:tplc="510A3CDC">
      <w:numFmt w:val="bullet"/>
      <w:lvlText w:val="•"/>
      <w:lvlJc w:val="left"/>
      <w:pPr>
        <w:tabs>
          <w:tab w:val="num" w:pos="1440"/>
        </w:tabs>
        <w:ind w:left="1440" w:hanging="360"/>
      </w:pPr>
      <w:rPr>
        <w:rFonts w:ascii="Arial" w:hAnsi="Arial" w:hint="default"/>
      </w:rPr>
    </w:lvl>
    <w:lvl w:ilvl="2" w:tplc="3372ECCE" w:tentative="1">
      <w:start w:val="1"/>
      <w:numFmt w:val="bullet"/>
      <w:lvlText w:val="•"/>
      <w:lvlJc w:val="left"/>
      <w:pPr>
        <w:tabs>
          <w:tab w:val="num" w:pos="2160"/>
        </w:tabs>
        <w:ind w:left="2160" w:hanging="360"/>
      </w:pPr>
      <w:rPr>
        <w:rFonts w:ascii="Arial" w:hAnsi="Arial" w:hint="default"/>
      </w:rPr>
    </w:lvl>
    <w:lvl w:ilvl="3" w:tplc="3708A498" w:tentative="1">
      <w:start w:val="1"/>
      <w:numFmt w:val="bullet"/>
      <w:lvlText w:val="•"/>
      <w:lvlJc w:val="left"/>
      <w:pPr>
        <w:tabs>
          <w:tab w:val="num" w:pos="2880"/>
        </w:tabs>
        <w:ind w:left="2880" w:hanging="360"/>
      </w:pPr>
      <w:rPr>
        <w:rFonts w:ascii="Arial" w:hAnsi="Arial" w:hint="default"/>
      </w:rPr>
    </w:lvl>
    <w:lvl w:ilvl="4" w:tplc="DC66C11E" w:tentative="1">
      <w:start w:val="1"/>
      <w:numFmt w:val="bullet"/>
      <w:lvlText w:val="•"/>
      <w:lvlJc w:val="left"/>
      <w:pPr>
        <w:tabs>
          <w:tab w:val="num" w:pos="3600"/>
        </w:tabs>
        <w:ind w:left="3600" w:hanging="360"/>
      </w:pPr>
      <w:rPr>
        <w:rFonts w:ascii="Arial" w:hAnsi="Arial" w:hint="default"/>
      </w:rPr>
    </w:lvl>
    <w:lvl w:ilvl="5" w:tplc="443C1B10" w:tentative="1">
      <w:start w:val="1"/>
      <w:numFmt w:val="bullet"/>
      <w:lvlText w:val="•"/>
      <w:lvlJc w:val="left"/>
      <w:pPr>
        <w:tabs>
          <w:tab w:val="num" w:pos="4320"/>
        </w:tabs>
        <w:ind w:left="4320" w:hanging="360"/>
      </w:pPr>
      <w:rPr>
        <w:rFonts w:ascii="Arial" w:hAnsi="Arial" w:hint="default"/>
      </w:rPr>
    </w:lvl>
    <w:lvl w:ilvl="6" w:tplc="7AE62C88" w:tentative="1">
      <w:start w:val="1"/>
      <w:numFmt w:val="bullet"/>
      <w:lvlText w:val="•"/>
      <w:lvlJc w:val="left"/>
      <w:pPr>
        <w:tabs>
          <w:tab w:val="num" w:pos="5040"/>
        </w:tabs>
        <w:ind w:left="5040" w:hanging="360"/>
      </w:pPr>
      <w:rPr>
        <w:rFonts w:ascii="Arial" w:hAnsi="Arial" w:hint="default"/>
      </w:rPr>
    </w:lvl>
    <w:lvl w:ilvl="7" w:tplc="A426B528" w:tentative="1">
      <w:start w:val="1"/>
      <w:numFmt w:val="bullet"/>
      <w:lvlText w:val="•"/>
      <w:lvlJc w:val="left"/>
      <w:pPr>
        <w:tabs>
          <w:tab w:val="num" w:pos="5760"/>
        </w:tabs>
        <w:ind w:left="5760" w:hanging="360"/>
      </w:pPr>
      <w:rPr>
        <w:rFonts w:ascii="Arial" w:hAnsi="Arial" w:hint="default"/>
      </w:rPr>
    </w:lvl>
    <w:lvl w:ilvl="8" w:tplc="786C465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BF021A1"/>
    <w:multiLevelType w:val="hybridMultilevel"/>
    <w:tmpl w:val="11E49A9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9E27DF"/>
    <w:multiLevelType w:val="multilevel"/>
    <w:tmpl w:val="AEC8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002CB0"/>
    <w:multiLevelType w:val="hybridMultilevel"/>
    <w:tmpl w:val="B358CF60"/>
    <w:lvl w:ilvl="0" w:tplc="0EF2AB20">
      <w:start w:val="5"/>
      <w:numFmt w:val="decimal"/>
      <w:lvlText w:val="%1."/>
      <w:lvlJc w:val="left"/>
      <w:pPr>
        <w:ind w:left="720" w:hanging="360"/>
      </w:pPr>
      <w:rPr>
        <w:rFonts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7B3B98"/>
    <w:multiLevelType w:val="hybridMultilevel"/>
    <w:tmpl w:val="F3D6E7D6"/>
    <w:styleLink w:val="ImportedStyle6"/>
    <w:lvl w:ilvl="0" w:tplc="C4E052FC">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041AA5BE">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021A040C">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8F58A9EC">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35BCF144">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6EC03332">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771E198C">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8F124520">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72ACB856">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22" w15:restartNumberingAfterBreak="0">
    <w:nsid w:val="75CB4D7C"/>
    <w:multiLevelType w:val="hybridMultilevel"/>
    <w:tmpl w:val="A4B4236E"/>
    <w:lvl w:ilvl="0" w:tplc="B3542798">
      <w:start w:val="1"/>
      <w:numFmt w:val="bullet"/>
      <w:lvlText w:val="•"/>
      <w:lvlJc w:val="left"/>
      <w:pPr>
        <w:tabs>
          <w:tab w:val="num" w:pos="720"/>
        </w:tabs>
        <w:ind w:left="720" w:hanging="360"/>
      </w:pPr>
      <w:rPr>
        <w:rFonts w:ascii="Arial" w:hAnsi="Arial" w:hint="default"/>
      </w:rPr>
    </w:lvl>
    <w:lvl w:ilvl="1" w:tplc="6E4EFE2C" w:tentative="1">
      <w:start w:val="1"/>
      <w:numFmt w:val="bullet"/>
      <w:lvlText w:val="•"/>
      <w:lvlJc w:val="left"/>
      <w:pPr>
        <w:tabs>
          <w:tab w:val="num" w:pos="1440"/>
        </w:tabs>
        <w:ind w:left="1440" w:hanging="360"/>
      </w:pPr>
      <w:rPr>
        <w:rFonts w:ascii="Arial" w:hAnsi="Arial" w:hint="default"/>
      </w:rPr>
    </w:lvl>
    <w:lvl w:ilvl="2" w:tplc="91BC4DCE" w:tentative="1">
      <w:start w:val="1"/>
      <w:numFmt w:val="bullet"/>
      <w:lvlText w:val="•"/>
      <w:lvlJc w:val="left"/>
      <w:pPr>
        <w:tabs>
          <w:tab w:val="num" w:pos="2160"/>
        </w:tabs>
        <w:ind w:left="2160" w:hanging="360"/>
      </w:pPr>
      <w:rPr>
        <w:rFonts w:ascii="Arial" w:hAnsi="Arial" w:hint="default"/>
      </w:rPr>
    </w:lvl>
    <w:lvl w:ilvl="3" w:tplc="5CB055B6" w:tentative="1">
      <w:start w:val="1"/>
      <w:numFmt w:val="bullet"/>
      <w:lvlText w:val="•"/>
      <w:lvlJc w:val="left"/>
      <w:pPr>
        <w:tabs>
          <w:tab w:val="num" w:pos="2880"/>
        </w:tabs>
        <w:ind w:left="2880" w:hanging="360"/>
      </w:pPr>
      <w:rPr>
        <w:rFonts w:ascii="Arial" w:hAnsi="Arial" w:hint="default"/>
      </w:rPr>
    </w:lvl>
    <w:lvl w:ilvl="4" w:tplc="9C56149A" w:tentative="1">
      <w:start w:val="1"/>
      <w:numFmt w:val="bullet"/>
      <w:lvlText w:val="•"/>
      <w:lvlJc w:val="left"/>
      <w:pPr>
        <w:tabs>
          <w:tab w:val="num" w:pos="3600"/>
        </w:tabs>
        <w:ind w:left="3600" w:hanging="360"/>
      </w:pPr>
      <w:rPr>
        <w:rFonts w:ascii="Arial" w:hAnsi="Arial" w:hint="default"/>
      </w:rPr>
    </w:lvl>
    <w:lvl w:ilvl="5" w:tplc="ABDED0F2" w:tentative="1">
      <w:start w:val="1"/>
      <w:numFmt w:val="bullet"/>
      <w:lvlText w:val="•"/>
      <w:lvlJc w:val="left"/>
      <w:pPr>
        <w:tabs>
          <w:tab w:val="num" w:pos="4320"/>
        </w:tabs>
        <w:ind w:left="4320" w:hanging="360"/>
      </w:pPr>
      <w:rPr>
        <w:rFonts w:ascii="Arial" w:hAnsi="Arial" w:hint="default"/>
      </w:rPr>
    </w:lvl>
    <w:lvl w:ilvl="6" w:tplc="4CEA18E2" w:tentative="1">
      <w:start w:val="1"/>
      <w:numFmt w:val="bullet"/>
      <w:lvlText w:val="•"/>
      <w:lvlJc w:val="left"/>
      <w:pPr>
        <w:tabs>
          <w:tab w:val="num" w:pos="5040"/>
        </w:tabs>
        <w:ind w:left="5040" w:hanging="360"/>
      </w:pPr>
      <w:rPr>
        <w:rFonts w:ascii="Arial" w:hAnsi="Arial" w:hint="default"/>
      </w:rPr>
    </w:lvl>
    <w:lvl w:ilvl="7" w:tplc="1F148974" w:tentative="1">
      <w:start w:val="1"/>
      <w:numFmt w:val="bullet"/>
      <w:lvlText w:val="•"/>
      <w:lvlJc w:val="left"/>
      <w:pPr>
        <w:tabs>
          <w:tab w:val="num" w:pos="5760"/>
        </w:tabs>
        <w:ind w:left="5760" w:hanging="360"/>
      </w:pPr>
      <w:rPr>
        <w:rFonts w:ascii="Arial" w:hAnsi="Arial" w:hint="default"/>
      </w:rPr>
    </w:lvl>
    <w:lvl w:ilvl="8" w:tplc="A99433CC" w:tentative="1">
      <w:start w:val="1"/>
      <w:numFmt w:val="bullet"/>
      <w:lvlText w:val="•"/>
      <w:lvlJc w:val="left"/>
      <w:pPr>
        <w:tabs>
          <w:tab w:val="num" w:pos="6480"/>
        </w:tabs>
        <w:ind w:left="6480" w:hanging="360"/>
      </w:pPr>
      <w:rPr>
        <w:rFonts w:ascii="Arial" w:hAnsi="Arial" w:hint="default"/>
      </w:rPr>
    </w:lvl>
  </w:abstractNum>
  <w:num w:numId="1" w16cid:durableId="1977367235">
    <w:abstractNumId w:val="21"/>
  </w:num>
  <w:num w:numId="2" w16cid:durableId="128666871">
    <w:abstractNumId w:val="6"/>
  </w:num>
  <w:num w:numId="3" w16cid:durableId="357898247">
    <w:abstractNumId w:val="6"/>
    <w:lvlOverride w:ilvl="0">
      <w:lvl w:ilvl="0" w:tplc="EA101B8A">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E6283C78">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3DB83714">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7F14890C">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302C6106">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BDE6BC2C">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65B07D0A">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8D4E7942">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4ECA342C">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4" w16cid:durableId="15664220">
    <w:abstractNumId w:val="16"/>
  </w:num>
  <w:num w:numId="5" w16cid:durableId="2060938320">
    <w:abstractNumId w:val="19"/>
  </w:num>
  <w:num w:numId="6" w16cid:durableId="910390156">
    <w:abstractNumId w:val="22"/>
  </w:num>
  <w:num w:numId="7" w16cid:durableId="358433237">
    <w:abstractNumId w:val="2"/>
  </w:num>
  <w:num w:numId="8" w16cid:durableId="1491217751">
    <w:abstractNumId w:val="15"/>
  </w:num>
  <w:num w:numId="9" w16cid:durableId="1754086912">
    <w:abstractNumId w:val="8"/>
  </w:num>
  <w:num w:numId="10" w16cid:durableId="983658761">
    <w:abstractNumId w:val="4"/>
  </w:num>
  <w:num w:numId="11" w16cid:durableId="1484928803">
    <w:abstractNumId w:val="7"/>
  </w:num>
  <w:num w:numId="12" w16cid:durableId="421679911">
    <w:abstractNumId w:val="14"/>
  </w:num>
  <w:num w:numId="13" w16cid:durableId="1937128502">
    <w:abstractNumId w:val="17"/>
  </w:num>
  <w:num w:numId="14" w16cid:durableId="196814677">
    <w:abstractNumId w:val="5"/>
  </w:num>
  <w:num w:numId="15" w16cid:durableId="1932157371">
    <w:abstractNumId w:val="0"/>
  </w:num>
  <w:num w:numId="16" w16cid:durableId="1879471214">
    <w:abstractNumId w:val="10"/>
  </w:num>
  <w:num w:numId="17" w16cid:durableId="908418808">
    <w:abstractNumId w:val="9"/>
  </w:num>
  <w:num w:numId="18" w16cid:durableId="1137793271">
    <w:abstractNumId w:val="12"/>
  </w:num>
  <w:num w:numId="19" w16cid:durableId="1352535393">
    <w:abstractNumId w:val="20"/>
  </w:num>
  <w:num w:numId="20" w16cid:durableId="1874659346">
    <w:abstractNumId w:val="13"/>
  </w:num>
  <w:num w:numId="21" w16cid:durableId="721707381">
    <w:abstractNumId w:val="18"/>
  </w:num>
  <w:num w:numId="22" w16cid:durableId="1007631027">
    <w:abstractNumId w:val="3"/>
  </w:num>
  <w:num w:numId="23" w16cid:durableId="875586047">
    <w:abstractNumId w:val="11"/>
  </w:num>
  <w:num w:numId="24" w16cid:durableId="62216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26A"/>
    <w:rsid w:val="00000AA8"/>
    <w:rsid w:val="00002865"/>
    <w:rsid w:val="00015752"/>
    <w:rsid w:val="0002603C"/>
    <w:rsid w:val="00094B21"/>
    <w:rsid w:val="000A7EAB"/>
    <w:rsid w:val="000B4800"/>
    <w:rsid w:val="000D64FB"/>
    <w:rsid w:val="000F188E"/>
    <w:rsid w:val="00117B88"/>
    <w:rsid w:val="001370FE"/>
    <w:rsid w:val="00165AA9"/>
    <w:rsid w:val="0016632F"/>
    <w:rsid w:val="001741BA"/>
    <w:rsid w:val="00176335"/>
    <w:rsid w:val="00177A39"/>
    <w:rsid w:val="001C741B"/>
    <w:rsid w:val="001E0147"/>
    <w:rsid w:val="002128C9"/>
    <w:rsid w:val="002210EF"/>
    <w:rsid w:val="00250A16"/>
    <w:rsid w:val="00252E11"/>
    <w:rsid w:val="002803AA"/>
    <w:rsid w:val="00297544"/>
    <w:rsid w:val="002A54FA"/>
    <w:rsid w:val="002C4A14"/>
    <w:rsid w:val="003235FC"/>
    <w:rsid w:val="003330DA"/>
    <w:rsid w:val="003355D2"/>
    <w:rsid w:val="003423F9"/>
    <w:rsid w:val="00346A91"/>
    <w:rsid w:val="00361F37"/>
    <w:rsid w:val="00366003"/>
    <w:rsid w:val="0037098D"/>
    <w:rsid w:val="0037295B"/>
    <w:rsid w:val="0039450A"/>
    <w:rsid w:val="003A12B2"/>
    <w:rsid w:val="003C04CB"/>
    <w:rsid w:val="003C6DE9"/>
    <w:rsid w:val="003D0B62"/>
    <w:rsid w:val="003D5425"/>
    <w:rsid w:val="003E3F44"/>
    <w:rsid w:val="003E61A8"/>
    <w:rsid w:val="003F5AA7"/>
    <w:rsid w:val="0041216C"/>
    <w:rsid w:val="0042363F"/>
    <w:rsid w:val="00442778"/>
    <w:rsid w:val="004438F6"/>
    <w:rsid w:val="0045402E"/>
    <w:rsid w:val="00460317"/>
    <w:rsid w:val="004762D9"/>
    <w:rsid w:val="0048052D"/>
    <w:rsid w:val="00482469"/>
    <w:rsid w:val="00495B37"/>
    <w:rsid w:val="00496288"/>
    <w:rsid w:val="004E750F"/>
    <w:rsid w:val="004F70E1"/>
    <w:rsid w:val="00503FBE"/>
    <w:rsid w:val="00506E75"/>
    <w:rsid w:val="00520CF4"/>
    <w:rsid w:val="0054226A"/>
    <w:rsid w:val="00542860"/>
    <w:rsid w:val="005446CD"/>
    <w:rsid w:val="0054778A"/>
    <w:rsid w:val="00552178"/>
    <w:rsid w:val="00567D2D"/>
    <w:rsid w:val="00575F89"/>
    <w:rsid w:val="00577963"/>
    <w:rsid w:val="0059782F"/>
    <w:rsid w:val="005A5993"/>
    <w:rsid w:val="005A5D60"/>
    <w:rsid w:val="005C4E43"/>
    <w:rsid w:val="005C7859"/>
    <w:rsid w:val="00615CB5"/>
    <w:rsid w:val="00625F91"/>
    <w:rsid w:val="00636CC2"/>
    <w:rsid w:val="0064365D"/>
    <w:rsid w:val="00656959"/>
    <w:rsid w:val="006823E6"/>
    <w:rsid w:val="006A523C"/>
    <w:rsid w:val="006E35F6"/>
    <w:rsid w:val="00720CC8"/>
    <w:rsid w:val="007361B7"/>
    <w:rsid w:val="007408FD"/>
    <w:rsid w:val="00744991"/>
    <w:rsid w:val="007554C6"/>
    <w:rsid w:val="00761E57"/>
    <w:rsid w:val="00767589"/>
    <w:rsid w:val="007838D5"/>
    <w:rsid w:val="00796411"/>
    <w:rsid w:val="007C0020"/>
    <w:rsid w:val="007C10CB"/>
    <w:rsid w:val="007C2AE3"/>
    <w:rsid w:val="007C5DCF"/>
    <w:rsid w:val="007E7243"/>
    <w:rsid w:val="007F2558"/>
    <w:rsid w:val="008062F9"/>
    <w:rsid w:val="00806B0C"/>
    <w:rsid w:val="0081760A"/>
    <w:rsid w:val="008214F6"/>
    <w:rsid w:val="00830777"/>
    <w:rsid w:val="00837128"/>
    <w:rsid w:val="008403FB"/>
    <w:rsid w:val="0084099C"/>
    <w:rsid w:val="008A022D"/>
    <w:rsid w:val="008E46D4"/>
    <w:rsid w:val="008E4B64"/>
    <w:rsid w:val="008F03E7"/>
    <w:rsid w:val="009253C1"/>
    <w:rsid w:val="009642AC"/>
    <w:rsid w:val="00966FDF"/>
    <w:rsid w:val="009750E0"/>
    <w:rsid w:val="00982C78"/>
    <w:rsid w:val="00993AC5"/>
    <w:rsid w:val="00994CD4"/>
    <w:rsid w:val="009C64A2"/>
    <w:rsid w:val="009D3F4E"/>
    <w:rsid w:val="009E5CFB"/>
    <w:rsid w:val="009F5EFE"/>
    <w:rsid w:val="00A15955"/>
    <w:rsid w:val="00A32162"/>
    <w:rsid w:val="00A531BF"/>
    <w:rsid w:val="00A5658F"/>
    <w:rsid w:val="00A65EF2"/>
    <w:rsid w:val="00AB0EF8"/>
    <w:rsid w:val="00AC7BB5"/>
    <w:rsid w:val="00AD0282"/>
    <w:rsid w:val="00AD1D32"/>
    <w:rsid w:val="00AE1991"/>
    <w:rsid w:val="00AE74DC"/>
    <w:rsid w:val="00AF0852"/>
    <w:rsid w:val="00AF36FD"/>
    <w:rsid w:val="00AF7930"/>
    <w:rsid w:val="00B037D0"/>
    <w:rsid w:val="00B25692"/>
    <w:rsid w:val="00B474AC"/>
    <w:rsid w:val="00B5277C"/>
    <w:rsid w:val="00B6675A"/>
    <w:rsid w:val="00B7282D"/>
    <w:rsid w:val="00B732A2"/>
    <w:rsid w:val="00B81070"/>
    <w:rsid w:val="00B96BF3"/>
    <w:rsid w:val="00BA32E5"/>
    <w:rsid w:val="00BB33A0"/>
    <w:rsid w:val="00BC36DD"/>
    <w:rsid w:val="00BF4449"/>
    <w:rsid w:val="00C13F48"/>
    <w:rsid w:val="00C44A97"/>
    <w:rsid w:val="00C618C4"/>
    <w:rsid w:val="00C63DF3"/>
    <w:rsid w:val="00C71C13"/>
    <w:rsid w:val="00C9503A"/>
    <w:rsid w:val="00CE1036"/>
    <w:rsid w:val="00CF74DE"/>
    <w:rsid w:val="00D60AD8"/>
    <w:rsid w:val="00D616C7"/>
    <w:rsid w:val="00D61A3E"/>
    <w:rsid w:val="00D62F23"/>
    <w:rsid w:val="00D824C8"/>
    <w:rsid w:val="00DC624C"/>
    <w:rsid w:val="00DC72DF"/>
    <w:rsid w:val="00DD0621"/>
    <w:rsid w:val="00DD4897"/>
    <w:rsid w:val="00DE0F6D"/>
    <w:rsid w:val="00DE213F"/>
    <w:rsid w:val="00E1210C"/>
    <w:rsid w:val="00E24303"/>
    <w:rsid w:val="00E94C70"/>
    <w:rsid w:val="00EB220C"/>
    <w:rsid w:val="00EB55F2"/>
    <w:rsid w:val="00ED0C34"/>
    <w:rsid w:val="00EE08CE"/>
    <w:rsid w:val="00F20E2F"/>
    <w:rsid w:val="00F32A30"/>
    <w:rsid w:val="00F341FE"/>
    <w:rsid w:val="00F43856"/>
    <w:rsid w:val="00F51DC8"/>
    <w:rsid w:val="00F5229A"/>
    <w:rsid w:val="00F526AB"/>
    <w:rsid w:val="00F55C46"/>
    <w:rsid w:val="00F62349"/>
    <w:rsid w:val="00F95DB2"/>
    <w:rsid w:val="00F97064"/>
    <w:rsid w:val="00FA7752"/>
    <w:rsid w:val="00FC37D1"/>
    <w:rsid w:val="00FD5199"/>
    <w:rsid w:val="00FF1367"/>
    <w:rsid w:val="00FF3566"/>
    <w:rsid w:val="00FF4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42E01"/>
  <w15:chartTrackingRefBased/>
  <w15:docId w15:val="{6BB960E5-6310-4401-B9BA-290409950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2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22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22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22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22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2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2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22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22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22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22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2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26A"/>
    <w:rPr>
      <w:rFonts w:eastAsiaTheme="majorEastAsia" w:cstheme="majorBidi"/>
      <w:color w:val="272727" w:themeColor="text1" w:themeTint="D8"/>
    </w:rPr>
  </w:style>
  <w:style w:type="paragraph" w:styleId="Title">
    <w:name w:val="Title"/>
    <w:basedOn w:val="Normal"/>
    <w:next w:val="Normal"/>
    <w:link w:val="TitleChar"/>
    <w:uiPriority w:val="10"/>
    <w:qFormat/>
    <w:rsid w:val="00542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26A"/>
    <w:pPr>
      <w:spacing w:before="160"/>
      <w:jc w:val="center"/>
    </w:pPr>
    <w:rPr>
      <w:i/>
      <w:iCs/>
      <w:color w:val="404040" w:themeColor="text1" w:themeTint="BF"/>
    </w:rPr>
  </w:style>
  <w:style w:type="character" w:customStyle="1" w:styleId="QuoteChar">
    <w:name w:val="Quote Char"/>
    <w:basedOn w:val="DefaultParagraphFont"/>
    <w:link w:val="Quote"/>
    <w:uiPriority w:val="29"/>
    <w:rsid w:val="0054226A"/>
    <w:rPr>
      <w:i/>
      <w:iCs/>
      <w:color w:val="404040" w:themeColor="text1" w:themeTint="BF"/>
    </w:rPr>
  </w:style>
  <w:style w:type="paragraph" w:styleId="ListParagraph">
    <w:name w:val="List Paragraph"/>
    <w:basedOn w:val="Normal"/>
    <w:qFormat/>
    <w:rsid w:val="0054226A"/>
    <w:pPr>
      <w:ind w:left="720"/>
      <w:contextualSpacing/>
    </w:pPr>
  </w:style>
  <w:style w:type="character" w:styleId="IntenseEmphasis">
    <w:name w:val="Intense Emphasis"/>
    <w:basedOn w:val="DefaultParagraphFont"/>
    <w:uiPriority w:val="21"/>
    <w:qFormat/>
    <w:rsid w:val="0054226A"/>
    <w:rPr>
      <w:i/>
      <w:iCs/>
      <w:color w:val="0F4761" w:themeColor="accent1" w:themeShade="BF"/>
    </w:rPr>
  </w:style>
  <w:style w:type="paragraph" w:styleId="IntenseQuote">
    <w:name w:val="Intense Quote"/>
    <w:basedOn w:val="Normal"/>
    <w:next w:val="Normal"/>
    <w:link w:val="IntenseQuoteChar"/>
    <w:uiPriority w:val="30"/>
    <w:qFormat/>
    <w:rsid w:val="005422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226A"/>
    <w:rPr>
      <w:i/>
      <w:iCs/>
      <w:color w:val="0F4761" w:themeColor="accent1" w:themeShade="BF"/>
    </w:rPr>
  </w:style>
  <w:style w:type="character" w:styleId="IntenseReference">
    <w:name w:val="Intense Reference"/>
    <w:basedOn w:val="DefaultParagraphFont"/>
    <w:uiPriority w:val="32"/>
    <w:qFormat/>
    <w:rsid w:val="0054226A"/>
    <w:rPr>
      <w:b/>
      <w:bCs/>
      <w:smallCaps/>
      <w:color w:val="0F4761" w:themeColor="accent1" w:themeShade="BF"/>
      <w:spacing w:val="5"/>
    </w:rPr>
  </w:style>
  <w:style w:type="character" w:customStyle="1" w:styleId="ui-provider">
    <w:name w:val="ui-provider"/>
    <w:rsid w:val="0054226A"/>
  </w:style>
  <w:style w:type="paragraph" w:customStyle="1" w:styleId="Body">
    <w:name w:val="Body"/>
    <w:rsid w:val="0054226A"/>
    <w:pPr>
      <w:pBdr>
        <w:top w:val="nil"/>
        <w:left w:val="nil"/>
        <w:bottom w:val="nil"/>
        <w:right w:val="nil"/>
        <w:between w:val="nil"/>
        <w:bar w:val="nil"/>
      </w:pBdr>
      <w:spacing w:after="0"/>
    </w:pPr>
    <w:rPr>
      <w:rFonts w:ascii="Arial" w:eastAsia="Arial" w:hAnsi="Arial" w:cs="Arial"/>
      <w:color w:val="000000"/>
      <w:kern w:val="0"/>
      <w:u w:color="000000"/>
      <w:bdr w:val="nil"/>
      <w:lang w:eastAsia="en-GB"/>
      <w14:textOutline w14:w="0" w14:cap="flat" w14:cmpd="sng" w14:algn="ctr">
        <w14:noFill/>
        <w14:prstDash w14:val="solid"/>
        <w14:bevel/>
      </w14:textOutline>
      <w14:ligatures w14:val="none"/>
    </w:rPr>
  </w:style>
  <w:style w:type="paragraph" w:customStyle="1" w:styleId="Nornal">
    <w:name w:val="Nornal"/>
    <w:rsid w:val="0054226A"/>
    <w:pPr>
      <w:pBdr>
        <w:top w:val="nil"/>
        <w:left w:val="nil"/>
        <w:bottom w:val="nil"/>
        <w:right w:val="nil"/>
        <w:between w:val="nil"/>
        <w:bar w:val="nil"/>
      </w:pBdr>
      <w:spacing w:line="264" w:lineRule="auto"/>
    </w:pPr>
    <w:rPr>
      <w:rFonts w:ascii="Arial" w:eastAsia="Arial" w:hAnsi="Arial" w:cs="Arial"/>
      <w:color w:val="000000"/>
      <w:kern w:val="0"/>
      <w:u w:color="000000"/>
      <w:bdr w:val="nil"/>
      <w:lang w:val="en-US" w:eastAsia="en-GB"/>
      <w14:ligatures w14:val="none"/>
    </w:rPr>
  </w:style>
  <w:style w:type="paragraph" w:customStyle="1" w:styleId="Listparag">
    <w:name w:val="List parag"/>
    <w:rsid w:val="0054226A"/>
    <w:pPr>
      <w:pBdr>
        <w:top w:val="nil"/>
        <w:left w:val="nil"/>
        <w:bottom w:val="nil"/>
        <w:right w:val="nil"/>
        <w:between w:val="nil"/>
        <w:bar w:val="nil"/>
      </w:pBdr>
      <w:spacing w:after="120" w:line="264" w:lineRule="auto"/>
    </w:pPr>
    <w:rPr>
      <w:rFonts w:ascii="Arial" w:eastAsia="Arial Unicode MS" w:hAnsi="Arial" w:cs="Arial Unicode MS"/>
      <w:color w:val="000000"/>
      <w:kern w:val="0"/>
      <w:u w:color="000000"/>
      <w:bdr w:val="nil"/>
      <w:lang w:val="en-US" w:eastAsia="en-GB"/>
      <w14:ligatures w14:val="none"/>
    </w:rPr>
  </w:style>
  <w:style w:type="numbering" w:customStyle="1" w:styleId="ImportedStyle6">
    <w:name w:val="Imported Style 6"/>
    <w:rsid w:val="0054226A"/>
    <w:pPr>
      <w:numPr>
        <w:numId w:val="1"/>
      </w:numPr>
    </w:pPr>
  </w:style>
  <w:style w:type="character" w:styleId="Hyperlink">
    <w:name w:val="Hyperlink"/>
    <w:basedOn w:val="DefaultParagraphFont"/>
    <w:uiPriority w:val="99"/>
    <w:unhideWhenUsed/>
    <w:rsid w:val="00806B0C"/>
    <w:rPr>
      <w:color w:val="467886" w:themeColor="hyperlink"/>
      <w:u w:val="single"/>
    </w:rPr>
  </w:style>
  <w:style w:type="character" w:styleId="UnresolvedMention">
    <w:name w:val="Unresolved Mention"/>
    <w:basedOn w:val="DefaultParagraphFont"/>
    <w:uiPriority w:val="99"/>
    <w:semiHidden/>
    <w:unhideWhenUsed/>
    <w:rsid w:val="00806B0C"/>
    <w:rPr>
      <w:color w:val="605E5C"/>
      <w:shd w:val="clear" w:color="auto" w:fill="E1DFDD"/>
    </w:rPr>
  </w:style>
  <w:style w:type="character" w:styleId="Strong">
    <w:name w:val="Strong"/>
    <w:basedOn w:val="DefaultParagraphFont"/>
    <w:uiPriority w:val="22"/>
    <w:qFormat/>
    <w:rsid w:val="00615CB5"/>
    <w:rPr>
      <w:b/>
      <w:bCs/>
    </w:rPr>
  </w:style>
  <w:style w:type="character" w:styleId="Emphasis">
    <w:name w:val="Emphasis"/>
    <w:basedOn w:val="DefaultParagraphFont"/>
    <w:uiPriority w:val="20"/>
    <w:qFormat/>
    <w:rsid w:val="00496288"/>
    <w:rPr>
      <w:i/>
      <w:iCs/>
    </w:rPr>
  </w:style>
  <w:style w:type="character" w:styleId="FollowedHyperlink">
    <w:name w:val="FollowedHyperlink"/>
    <w:basedOn w:val="DefaultParagraphFont"/>
    <w:uiPriority w:val="99"/>
    <w:semiHidden/>
    <w:unhideWhenUsed/>
    <w:rsid w:val="00250A1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99669">
      <w:bodyDiv w:val="1"/>
      <w:marLeft w:val="0"/>
      <w:marRight w:val="0"/>
      <w:marTop w:val="0"/>
      <w:marBottom w:val="0"/>
      <w:divBdr>
        <w:top w:val="none" w:sz="0" w:space="0" w:color="auto"/>
        <w:left w:val="none" w:sz="0" w:space="0" w:color="auto"/>
        <w:bottom w:val="none" w:sz="0" w:space="0" w:color="auto"/>
        <w:right w:val="none" w:sz="0" w:space="0" w:color="auto"/>
      </w:divBdr>
    </w:div>
    <w:div w:id="143745061">
      <w:bodyDiv w:val="1"/>
      <w:marLeft w:val="0"/>
      <w:marRight w:val="0"/>
      <w:marTop w:val="0"/>
      <w:marBottom w:val="0"/>
      <w:divBdr>
        <w:top w:val="none" w:sz="0" w:space="0" w:color="auto"/>
        <w:left w:val="none" w:sz="0" w:space="0" w:color="auto"/>
        <w:bottom w:val="none" w:sz="0" w:space="0" w:color="auto"/>
        <w:right w:val="none" w:sz="0" w:space="0" w:color="auto"/>
      </w:divBdr>
    </w:div>
    <w:div w:id="196704557">
      <w:bodyDiv w:val="1"/>
      <w:marLeft w:val="0"/>
      <w:marRight w:val="0"/>
      <w:marTop w:val="0"/>
      <w:marBottom w:val="0"/>
      <w:divBdr>
        <w:top w:val="none" w:sz="0" w:space="0" w:color="auto"/>
        <w:left w:val="none" w:sz="0" w:space="0" w:color="auto"/>
        <w:bottom w:val="none" w:sz="0" w:space="0" w:color="auto"/>
        <w:right w:val="none" w:sz="0" w:space="0" w:color="auto"/>
      </w:divBdr>
    </w:div>
    <w:div w:id="254360057">
      <w:bodyDiv w:val="1"/>
      <w:marLeft w:val="0"/>
      <w:marRight w:val="0"/>
      <w:marTop w:val="0"/>
      <w:marBottom w:val="0"/>
      <w:divBdr>
        <w:top w:val="none" w:sz="0" w:space="0" w:color="auto"/>
        <w:left w:val="none" w:sz="0" w:space="0" w:color="auto"/>
        <w:bottom w:val="none" w:sz="0" w:space="0" w:color="auto"/>
        <w:right w:val="none" w:sz="0" w:space="0" w:color="auto"/>
      </w:divBdr>
    </w:div>
    <w:div w:id="291905661">
      <w:bodyDiv w:val="1"/>
      <w:marLeft w:val="0"/>
      <w:marRight w:val="0"/>
      <w:marTop w:val="0"/>
      <w:marBottom w:val="0"/>
      <w:divBdr>
        <w:top w:val="none" w:sz="0" w:space="0" w:color="auto"/>
        <w:left w:val="none" w:sz="0" w:space="0" w:color="auto"/>
        <w:bottom w:val="none" w:sz="0" w:space="0" w:color="auto"/>
        <w:right w:val="none" w:sz="0" w:space="0" w:color="auto"/>
      </w:divBdr>
    </w:div>
    <w:div w:id="379868836">
      <w:bodyDiv w:val="1"/>
      <w:marLeft w:val="0"/>
      <w:marRight w:val="0"/>
      <w:marTop w:val="0"/>
      <w:marBottom w:val="0"/>
      <w:divBdr>
        <w:top w:val="none" w:sz="0" w:space="0" w:color="auto"/>
        <w:left w:val="none" w:sz="0" w:space="0" w:color="auto"/>
        <w:bottom w:val="none" w:sz="0" w:space="0" w:color="auto"/>
        <w:right w:val="none" w:sz="0" w:space="0" w:color="auto"/>
      </w:divBdr>
      <w:divsChild>
        <w:div w:id="1276670787">
          <w:marLeft w:val="547"/>
          <w:marRight w:val="0"/>
          <w:marTop w:val="140"/>
          <w:marBottom w:val="0"/>
          <w:divBdr>
            <w:top w:val="none" w:sz="0" w:space="0" w:color="auto"/>
            <w:left w:val="none" w:sz="0" w:space="0" w:color="auto"/>
            <w:bottom w:val="none" w:sz="0" w:space="0" w:color="auto"/>
            <w:right w:val="none" w:sz="0" w:space="0" w:color="auto"/>
          </w:divBdr>
        </w:div>
        <w:div w:id="1918174007">
          <w:marLeft w:val="1267"/>
          <w:marRight w:val="0"/>
          <w:marTop w:val="140"/>
          <w:marBottom w:val="0"/>
          <w:divBdr>
            <w:top w:val="none" w:sz="0" w:space="0" w:color="auto"/>
            <w:left w:val="none" w:sz="0" w:space="0" w:color="auto"/>
            <w:bottom w:val="none" w:sz="0" w:space="0" w:color="auto"/>
            <w:right w:val="none" w:sz="0" w:space="0" w:color="auto"/>
          </w:divBdr>
        </w:div>
        <w:div w:id="643437423">
          <w:marLeft w:val="1267"/>
          <w:marRight w:val="0"/>
          <w:marTop w:val="140"/>
          <w:marBottom w:val="0"/>
          <w:divBdr>
            <w:top w:val="none" w:sz="0" w:space="0" w:color="auto"/>
            <w:left w:val="none" w:sz="0" w:space="0" w:color="auto"/>
            <w:bottom w:val="none" w:sz="0" w:space="0" w:color="auto"/>
            <w:right w:val="none" w:sz="0" w:space="0" w:color="auto"/>
          </w:divBdr>
        </w:div>
        <w:div w:id="1837573105">
          <w:marLeft w:val="1267"/>
          <w:marRight w:val="0"/>
          <w:marTop w:val="140"/>
          <w:marBottom w:val="0"/>
          <w:divBdr>
            <w:top w:val="none" w:sz="0" w:space="0" w:color="auto"/>
            <w:left w:val="none" w:sz="0" w:space="0" w:color="auto"/>
            <w:bottom w:val="none" w:sz="0" w:space="0" w:color="auto"/>
            <w:right w:val="none" w:sz="0" w:space="0" w:color="auto"/>
          </w:divBdr>
        </w:div>
        <w:div w:id="1858301508">
          <w:marLeft w:val="1267"/>
          <w:marRight w:val="0"/>
          <w:marTop w:val="140"/>
          <w:marBottom w:val="0"/>
          <w:divBdr>
            <w:top w:val="none" w:sz="0" w:space="0" w:color="auto"/>
            <w:left w:val="none" w:sz="0" w:space="0" w:color="auto"/>
            <w:bottom w:val="none" w:sz="0" w:space="0" w:color="auto"/>
            <w:right w:val="none" w:sz="0" w:space="0" w:color="auto"/>
          </w:divBdr>
        </w:div>
        <w:div w:id="1957058777">
          <w:marLeft w:val="1267"/>
          <w:marRight w:val="0"/>
          <w:marTop w:val="140"/>
          <w:marBottom w:val="0"/>
          <w:divBdr>
            <w:top w:val="none" w:sz="0" w:space="0" w:color="auto"/>
            <w:left w:val="none" w:sz="0" w:space="0" w:color="auto"/>
            <w:bottom w:val="none" w:sz="0" w:space="0" w:color="auto"/>
            <w:right w:val="none" w:sz="0" w:space="0" w:color="auto"/>
          </w:divBdr>
        </w:div>
      </w:divsChild>
    </w:div>
    <w:div w:id="483132959">
      <w:bodyDiv w:val="1"/>
      <w:marLeft w:val="0"/>
      <w:marRight w:val="0"/>
      <w:marTop w:val="0"/>
      <w:marBottom w:val="0"/>
      <w:divBdr>
        <w:top w:val="none" w:sz="0" w:space="0" w:color="auto"/>
        <w:left w:val="none" w:sz="0" w:space="0" w:color="auto"/>
        <w:bottom w:val="none" w:sz="0" w:space="0" w:color="auto"/>
        <w:right w:val="none" w:sz="0" w:space="0" w:color="auto"/>
      </w:divBdr>
    </w:div>
    <w:div w:id="590310282">
      <w:bodyDiv w:val="1"/>
      <w:marLeft w:val="0"/>
      <w:marRight w:val="0"/>
      <w:marTop w:val="0"/>
      <w:marBottom w:val="0"/>
      <w:divBdr>
        <w:top w:val="none" w:sz="0" w:space="0" w:color="auto"/>
        <w:left w:val="none" w:sz="0" w:space="0" w:color="auto"/>
        <w:bottom w:val="none" w:sz="0" w:space="0" w:color="auto"/>
        <w:right w:val="none" w:sz="0" w:space="0" w:color="auto"/>
      </w:divBdr>
    </w:div>
    <w:div w:id="639071873">
      <w:bodyDiv w:val="1"/>
      <w:marLeft w:val="0"/>
      <w:marRight w:val="0"/>
      <w:marTop w:val="0"/>
      <w:marBottom w:val="0"/>
      <w:divBdr>
        <w:top w:val="none" w:sz="0" w:space="0" w:color="auto"/>
        <w:left w:val="none" w:sz="0" w:space="0" w:color="auto"/>
        <w:bottom w:val="none" w:sz="0" w:space="0" w:color="auto"/>
        <w:right w:val="none" w:sz="0" w:space="0" w:color="auto"/>
      </w:divBdr>
    </w:div>
    <w:div w:id="661009594">
      <w:bodyDiv w:val="1"/>
      <w:marLeft w:val="0"/>
      <w:marRight w:val="0"/>
      <w:marTop w:val="0"/>
      <w:marBottom w:val="0"/>
      <w:divBdr>
        <w:top w:val="none" w:sz="0" w:space="0" w:color="auto"/>
        <w:left w:val="none" w:sz="0" w:space="0" w:color="auto"/>
        <w:bottom w:val="none" w:sz="0" w:space="0" w:color="auto"/>
        <w:right w:val="none" w:sz="0" w:space="0" w:color="auto"/>
      </w:divBdr>
    </w:div>
    <w:div w:id="733822989">
      <w:bodyDiv w:val="1"/>
      <w:marLeft w:val="0"/>
      <w:marRight w:val="0"/>
      <w:marTop w:val="0"/>
      <w:marBottom w:val="0"/>
      <w:divBdr>
        <w:top w:val="none" w:sz="0" w:space="0" w:color="auto"/>
        <w:left w:val="none" w:sz="0" w:space="0" w:color="auto"/>
        <w:bottom w:val="none" w:sz="0" w:space="0" w:color="auto"/>
        <w:right w:val="none" w:sz="0" w:space="0" w:color="auto"/>
      </w:divBdr>
    </w:div>
    <w:div w:id="755789443">
      <w:bodyDiv w:val="1"/>
      <w:marLeft w:val="0"/>
      <w:marRight w:val="0"/>
      <w:marTop w:val="0"/>
      <w:marBottom w:val="0"/>
      <w:divBdr>
        <w:top w:val="none" w:sz="0" w:space="0" w:color="auto"/>
        <w:left w:val="none" w:sz="0" w:space="0" w:color="auto"/>
        <w:bottom w:val="none" w:sz="0" w:space="0" w:color="auto"/>
        <w:right w:val="none" w:sz="0" w:space="0" w:color="auto"/>
      </w:divBdr>
    </w:div>
    <w:div w:id="766384807">
      <w:bodyDiv w:val="1"/>
      <w:marLeft w:val="0"/>
      <w:marRight w:val="0"/>
      <w:marTop w:val="0"/>
      <w:marBottom w:val="0"/>
      <w:divBdr>
        <w:top w:val="none" w:sz="0" w:space="0" w:color="auto"/>
        <w:left w:val="none" w:sz="0" w:space="0" w:color="auto"/>
        <w:bottom w:val="none" w:sz="0" w:space="0" w:color="auto"/>
        <w:right w:val="none" w:sz="0" w:space="0" w:color="auto"/>
      </w:divBdr>
      <w:divsChild>
        <w:div w:id="145169881">
          <w:marLeft w:val="547"/>
          <w:marRight w:val="0"/>
          <w:marTop w:val="140"/>
          <w:marBottom w:val="0"/>
          <w:divBdr>
            <w:top w:val="none" w:sz="0" w:space="0" w:color="auto"/>
            <w:left w:val="none" w:sz="0" w:space="0" w:color="auto"/>
            <w:bottom w:val="none" w:sz="0" w:space="0" w:color="auto"/>
            <w:right w:val="none" w:sz="0" w:space="0" w:color="auto"/>
          </w:divBdr>
        </w:div>
        <w:div w:id="1498765657">
          <w:marLeft w:val="547"/>
          <w:marRight w:val="0"/>
          <w:marTop w:val="140"/>
          <w:marBottom w:val="0"/>
          <w:divBdr>
            <w:top w:val="none" w:sz="0" w:space="0" w:color="auto"/>
            <w:left w:val="none" w:sz="0" w:space="0" w:color="auto"/>
            <w:bottom w:val="none" w:sz="0" w:space="0" w:color="auto"/>
            <w:right w:val="none" w:sz="0" w:space="0" w:color="auto"/>
          </w:divBdr>
        </w:div>
        <w:div w:id="426655486">
          <w:marLeft w:val="547"/>
          <w:marRight w:val="0"/>
          <w:marTop w:val="140"/>
          <w:marBottom w:val="0"/>
          <w:divBdr>
            <w:top w:val="none" w:sz="0" w:space="0" w:color="auto"/>
            <w:left w:val="none" w:sz="0" w:space="0" w:color="auto"/>
            <w:bottom w:val="none" w:sz="0" w:space="0" w:color="auto"/>
            <w:right w:val="none" w:sz="0" w:space="0" w:color="auto"/>
          </w:divBdr>
        </w:div>
      </w:divsChild>
    </w:div>
    <w:div w:id="1025715719">
      <w:bodyDiv w:val="1"/>
      <w:marLeft w:val="0"/>
      <w:marRight w:val="0"/>
      <w:marTop w:val="0"/>
      <w:marBottom w:val="0"/>
      <w:divBdr>
        <w:top w:val="none" w:sz="0" w:space="0" w:color="auto"/>
        <w:left w:val="none" w:sz="0" w:space="0" w:color="auto"/>
        <w:bottom w:val="none" w:sz="0" w:space="0" w:color="auto"/>
        <w:right w:val="none" w:sz="0" w:space="0" w:color="auto"/>
      </w:divBdr>
    </w:div>
    <w:div w:id="1051033130">
      <w:bodyDiv w:val="1"/>
      <w:marLeft w:val="0"/>
      <w:marRight w:val="0"/>
      <w:marTop w:val="0"/>
      <w:marBottom w:val="0"/>
      <w:divBdr>
        <w:top w:val="none" w:sz="0" w:space="0" w:color="auto"/>
        <w:left w:val="none" w:sz="0" w:space="0" w:color="auto"/>
        <w:bottom w:val="none" w:sz="0" w:space="0" w:color="auto"/>
        <w:right w:val="none" w:sz="0" w:space="0" w:color="auto"/>
      </w:divBdr>
      <w:divsChild>
        <w:div w:id="1600336265">
          <w:marLeft w:val="0"/>
          <w:marRight w:val="0"/>
          <w:marTop w:val="0"/>
          <w:marBottom w:val="0"/>
          <w:divBdr>
            <w:top w:val="none" w:sz="0" w:space="0" w:color="auto"/>
            <w:left w:val="none" w:sz="0" w:space="0" w:color="auto"/>
            <w:bottom w:val="none" w:sz="0" w:space="0" w:color="auto"/>
            <w:right w:val="none" w:sz="0" w:space="0" w:color="auto"/>
          </w:divBdr>
        </w:div>
      </w:divsChild>
    </w:div>
    <w:div w:id="1183084024">
      <w:bodyDiv w:val="1"/>
      <w:marLeft w:val="0"/>
      <w:marRight w:val="0"/>
      <w:marTop w:val="0"/>
      <w:marBottom w:val="0"/>
      <w:divBdr>
        <w:top w:val="none" w:sz="0" w:space="0" w:color="auto"/>
        <w:left w:val="none" w:sz="0" w:space="0" w:color="auto"/>
        <w:bottom w:val="none" w:sz="0" w:space="0" w:color="auto"/>
        <w:right w:val="none" w:sz="0" w:space="0" w:color="auto"/>
      </w:divBdr>
    </w:div>
    <w:div w:id="1289236160">
      <w:bodyDiv w:val="1"/>
      <w:marLeft w:val="0"/>
      <w:marRight w:val="0"/>
      <w:marTop w:val="0"/>
      <w:marBottom w:val="0"/>
      <w:divBdr>
        <w:top w:val="none" w:sz="0" w:space="0" w:color="auto"/>
        <w:left w:val="none" w:sz="0" w:space="0" w:color="auto"/>
        <w:bottom w:val="none" w:sz="0" w:space="0" w:color="auto"/>
        <w:right w:val="none" w:sz="0" w:space="0" w:color="auto"/>
      </w:divBdr>
    </w:div>
    <w:div w:id="1307051870">
      <w:bodyDiv w:val="1"/>
      <w:marLeft w:val="0"/>
      <w:marRight w:val="0"/>
      <w:marTop w:val="0"/>
      <w:marBottom w:val="0"/>
      <w:divBdr>
        <w:top w:val="none" w:sz="0" w:space="0" w:color="auto"/>
        <w:left w:val="none" w:sz="0" w:space="0" w:color="auto"/>
        <w:bottom w:val="none" w:sz="0" w:space="0" w:color="auto"/>
        <w:right w:val="none" w:sz="0" w:space="0" w:color="auto"/>
      </w:divBdr>
    </w:div>
    <w:div w:id="1336615318">
      <w:bodyDiv w:val="1"/>
      <w:marLeft w:val="0"/>
      <w:marRight w:val="0"/>
      <w:marTop w:val="0"/>
      <w:marBottom w:val="0"/>
      <w:divBdr>
        <w:top w:val="none" w:sz="0" w:space="0" w:color="auto"/>
        <w:left w:val="none" w:sz="0" w:space="0" w:color="auto"/>
        <w:bottom w:val="none" w:sz="0" w:space="0" w:color="auto"/>
        <w:right w:val="none" w:sz="0" w:space="0" w:color="auto"/>
      </w:divBdr>
    </w:div>
    <w:div w:id="1474329931">
      <w:bodyDiv w:val="1"/>
      <w:marLeft w:val="0"/>
      <w:marRight w:val="0"/>
      <w:marTop w:val="0"/>
      <w:marBottom w:val="0"/>
      <w:divBdr>
        <w:top w:val="none" w:sz="0" w:space="0" w:color="auto"/>
        <w:left w:val="none" w:sz="0" w:space="0" w:color="auto"/>
        <w:bottom w:val="none" w:sz="0" w:space="0" w:color="auto"/>
        <w:right w:val="none" w:sz="0" w:space="0" w:color="auto"/>
      </w:divBdr>
      <w:divsChild>
        <w:div w:id="181483536">
          <w:marLeft w:val="547"/>
          <w:marRight w:val="0"/>
          <w:marTop w:val="140"/>
          <w:marBottom w:val="0"/>
          <w:divBdr>
            <w:top w:val="none" w:sz="0" w:space="0" w:color="auto"/>
            <w:left w:val="none" w:sz="0" w:space="0" w:color="auto"/>
            <w:bottom w:val="none" w:sz="0" w:space="0" w:color="auto"/>
            <w:right w:val="none" w:sz="0" w:space="0" w:color="auto"/>
          </w:divBdr>
        </w:div>
        <w:div w:id="68118023">
          <w:marLeft w:val="547"/>
          <w:marRight w:val="0"/>
          <w:marTop w:val="140"/>
          <w:marBottom w:val="0"/>
          <w:divBdr>
            <w:top w:val="none" w:sz="0" w:space="0" w:color="auto"/>
            <w:left w:val="none" w:sz="0" w:space="0" w:color="auto"/>
            <w:bottom w:val="none" w:sz="0" w:space="0" w:color="auto"/>
            <w:right w:val="none" w:sz="0" w:space="0" w:color="auto"/>
          </w:divBdr>
        </w:div>
        <w:div w:id="1340615248">
          <w:marLeft w:val="547"/>
          <w:marRight w:val="0"/>
          <w:marTop w:val="140"/>
          <w:marBottom w:val="0"/>
          <w:divBdr>
            <w:top w:val="none" w:sz="0" w:space="0" w:color="auto"/>
            <w:left w:val="none" w:sz="0" w:space="0" w:color="auto"/>
            <w:bottom w:val="none" w:sz="0" w:space="0" w:color="auto"/>
            <w:right w:val="none" w:sz="0" w:space="0" w:color="auto"/>
          </w:divBdr>
        </w:div>
        <w:div w:id="54358483">
          <w:marLeft w:val="547"/>
          <w:marRight w:val="0"/>
          <w:marTop w:val="140"/>
          <w:marBottom w:val="0"/>
          <w:divBdr>
            <w:top w:val="none" w:sz="0" w:space="0" w:color="auto"/>
            <w:left w:val="none" w:sz="0" w:space="0" w:color="auto"/>
            <w:bottom w:val="none" w:sz="0" w:space="0" w:color="auto"/>
            <w:right w:val="none" w:sz="0" w:space="0" w:color="auto"/>
          </w:divBdr>
        </w:div>
      </w:divsChild>
    </w:div>
    <w:div w:id="1508668471">
      <w:bodyDiv w:val="1"/>
      <w:marLeft w:val="0"/>
      <w:marRight w:val="0"/>
      <w:marTop w:val="0"/>
      <w:marBottom w:val="0"/>
      <w:divBdr>
        <w:top w:val="none" w:sz="0" w:space="0" w:color="auto"/>
        <w:left w:val="none" w:sz="0" w:space="0" w:color="auto"/>
        <w:bottom w:val="none" w:sz="0" w:space="0" w:color="auto"/>
        <w:right w:val="none" w:sz="0" w:space="0" w:color="auto"/>
      </w:divBdr>
    </w:div>
    <w:div w:id="1578831694">
      <w:bodyDiv w:val="1"/>
      <w:marLeft w:val="0"/>
      <w:marRight w:val="0"/>
      <w:marTop w:val="0"/>
      <w:marBottom w:val="0"/>
      <w:divBdr>
        <w:top w:val="none" w:sz="0" w:space="0" w:color="auto"/>
        <w:left w:val="none" w:sz="0" w:space="0" w:color="auto"/>
        <w:bottom w:val="none" w:sz="0" w:space="0" w:color="auto"/>
        <w:right w:val="none" w:sz="0" w:space="0" w:color="auto"/>
      </w:divBdr>
      <w:divsChild>
        <w:div w:id="230120552">
          <w:marLeft w:val="547"/>
          <w:marRight w:val="0"/>
          <w:marTop w:val="140"/>
          <w:marBottom w:val="0"/>
          <w:divBdr>
            <w:top w:val="none" w:sz="0" w:space="0" w:color="auto"/>
            <w:left w:val="none" w:sz="0" w:space="0" w:color="auto"/>
            <w:bottom w:val="none" w:sz="0" w:space="0" w:color="auto"/>
            <w:right w:val="none" w:sz="0" w:space="0" w:color="auto"/>
          </w:divBdr>
        </w:div>
        <w:div w:id="41178976">
          <w:marLeft w:val="547"/>
          <w:marRight w:val="0"/>
          <w:marTop w:val="140"/>
          <w:marBottom w:val="0"/>
          <w:divBdr>
            <w:top w:val="none" w:sz="0" w:space="0" w:color="auto"/>
            <w:left w:val="none" w:sz="0" w:space="0" w:color="auto"/>
            <w:bottom w:val="none" w:sz="0" w:space="0" w:color="auto"/>
            <w:right w:val="none" w:sz="0" w:space="0" w:color="auto"/>
          </w:divBdr>
        </w:div>
        <w:div w:id="68237344">
          <w:marLeft w:val="547"/>
          <w:marRight w:val="0"/>
          <w:marTop w:val="140"/>
          <w:marBottom w:val="0"/>
          <w:divBdr>
            <w:top w:val="none" w:sz="0" w:space="0" w:color="auto"/>
            <w:left w:val="none" w:sz="0" w:space="0" w:color="auto"/>
            <w:bottom w:val="none" w:sz="0" w:space="0" w:color="auto"/>
            <w:right w:val="none" w:sz="0" w:space="0" w:color="auto"/>
          </w:divBdr>
        </w:div>
        <w:div w:id="956564986">
          <w:marLeft w:val="547"/>
          <w:marRight w:val="0"/>
          <w:marTop w:val="140"/>
          <w:marBottom w:val="0"/>
          <w:divBdr>
            <w:top w:val="none" w:sz="0" w:space="0" w:color="auto"/>
            <w:left w:val="none" w:sz="0" w:space="0" w:color="auto"/>
            <w:bottom w:val="none" w:sz="0" w:space="0" w:color="auto"/>
            <w:right w:val="none" w:sz="0" w:space="0" w:color="auto"/>
          </w:divBdr>
        </w:div>
        <w:div w:id="2129160869">
          <w:marLeft w:val="547"/>
          <w:marRight w:val="0"/>
          <w:marTop w:val="140"/>
          <w:marBottom w:val="0"/>
          <w:divBdr>
            <w:top w:val="none" w:sz="0" w:space="0" w:color="auto"/>
            <w:left w:val="none" w:sz="0" w:space="0" w:color="auto"/>
            <w:bottom w:val="none" w:sz="0" w:space="0" w:color="auto"/>
            <w:right w:val="none" w:sz="0" w:space="0" w:color="auto"/>
          </w:divBdr>
        </w:div>
      </w:divsChild>
    </w:div>
    <w:div w:id="1578857070">
      <w:bodyDiv w:val="1"/>
      <w:marLeft w:val="0"/>
      <w:marRight w:val="0"/>
      <w:marTop w:val="0"/>
      <w:marBottom w:val="0"/>
      <w:divBdr>
        <w:top w:val="none" w:sz="0" w:space="0" w:color="auto"/>
        <w:left w:val="none" w:sz="0" w:space="0" w:color="auto"/>
        <w:bottom w:val="none" w:sz="0" w:space="0" w:color="auto"/>
        <w:right w:val="none" w:sz="0" w:space="0" w:color="auto"/>
      </w:divBdr>
    </w:div>
    <w:div w:id="1587307385">
      <w:bodyDiv w:val="1"/>
      <w:marLeft w:val="0"/>
      <w:marRight w:val="0"/>
      <w:marTop w:val="0"/>
      <w:marBottom w:val="0"/>
      <w:divBdr>
        <w:top w:val="none" w:sz="0" w:space="0" w:color="auto"/>
        <w:left w:val="none" w:sz="0" w:space="0" w:color="auto"/>
        <w:bottom w:val="none" w:sz="0" w:space="0" w:color="auto"/>
        <w:right w:val="none" w:sz="0" w:space="0" w:color="auto"/>
      </w:divBdr>
    </w:div>
    <w:div w:id="1664355525">
      <w:bodyDiv w:val="1"/>
      <w:marLeft w:val="0"/>
      <w:marRight w:val="0"/>
      <w:marTop w:val="0"/>
      <w:marBottom w:val="0"/>
      <w:divBdr>
        <w:top w:val="none" w:sz="0" w:space="0" w:color="auto"/>
        <w:left w:val="none" w:sz="0" w:space="0" w:color="auto"/>
        <w:bottom w:val="none" w:sz="0" w:space="0" w:color="auto"/>
        <w:right w:val="none" w:sz="0" w:space="0" w:color="auto"/>
      </w:divBdr>
      <w:divsChild>
        <w:div w:id="395249104">
          <w:marLeft w:val="0"/>
          <w:marRight w:val="0"/>
          <w:marTop w:val="0"/>
          <w:marBottom w:val="0"/>
          <w:divBdr>
            <w:top w:val="none" w:sz="0" w:space="0" w:color="auto"/>
            <w:left w:val="none" w:sz="0" w:space="0" w:color="auto"/>
            <w:bottom w:val="none" w:sz="0" w:space="0" w:color="auto"/>
            <w:right w:val="none" w:sz="0" w:space="0" w:color="auto"/>
          </w:divBdr>
        </w:div>
      </w:divsChild>
    </w:div>
    <w:div w:id="1779711140">
      <w:bodyDiv w:val="1"/>
      <w:marLeft w:val="0"/>
      <w:marRight w:val="0"/>
      <w:marTop w:val="0"/>
      <w:marBottom w:val="0"/>
      <w:divBdr>
        <w:top w:val="none" w:sz="0" w:space="0" w:color="auto"/>
        <w:left w:val="none" w:sz="0" w:space="0" w:color="auto"/>
        <w:bottom w:val="none" w:sz="0" w:space="0" w:color="auto"/>
        <w:right w:val="none" w:sz="0" w:space="0" w:color="auto"/>
      </w:divBdr>
    </w:div>
    <w:div w:id="1856072500">
      <w:bodyDiv w:val="1"/>
      <w:marLeft w:val="0"/>
      <w:marRight w:val="0"/>
      <w:marTop w:val="0"/>
      <w:marBottom w:val="0"/>
      <w:divBdr>
        <w:top w:val="none" w:sz="0" w:space="0" w:color="auto"/>
        <w:left w:val="none" w:sz="0" w:space="0" w:color="auto"/>
        <w:bottom w:val="none" w:sz="0" w:space="0" w:color="auto"/>
        <w:right w:val="none" w:sz="0" w:space="0" w:color="auto"/>
      </w:divBdr>
    </w:div>
    <w:div w:id="1895584303">
      <w:bodyDiv w:val="1"/>
      <w:marLeft w:val="0"/>
      <w:marRight w:val="0"/>
      <w:marTop w:val="0"/>
      <w:marBottom w:val="0"/>
      <w:divBdr>
        <w:top w:val="none" w:sz="0" w:space="0" w:color="auto"/>
        <w:left w:val="none" w:sz="0" w:space="0" w:color="auto"/>
        <w:bottom w:val="none" w:sz="0" w:space="0" w:color="auto"/>
        <w:right w:val="none" w:sz="0" w:space="0" w:color="auto"/>
      </w:divBdr>
    </w:div>
    <w:div w:id="2015761999">
      <w:bodyDiv w:val="1"/>
      <w:marLeft w:val="0"/>
      <w:marRight w:val="0"/>
      <w:marTop w:val="0"/>
      <w:marBottom w:val="0"/>
      <w:divBdr>
        <w:top w:val="none" w:sz="0" w:space="0" w:color="auto"/>
        <w:left w:val="none" w:sz="0" w:space="0" w:color="auto"/>
        <w:bottom w:val="none" w:sz="0" w:space="0" w:color="auto"/>
        <w:right w:val="none" w:sz="0" w:space="0" w:color="auto"/>
      </w:divBdr>
      <w:divsChild>
        <w:div w:id="317732891">
          <w:marLeft w:val="547"/>
          <w:marRight w:val="0"/>
          <w:marTop w:val="140"/>
          <w:marBottom w:val="0"/>
          <w:divBdr>
            <w:top w:val="none" w:sz="0" w:space="0" w:color="auto"/>
            <w:left w:val="none" w:sz="0" w:space="0" w:color="auto"/>
            <w:bottom w:val="none" w:sz="0" w:space="0" w:color="auto"/>
            <w:right w:val="none" w:sz="0" w:space="0" w:color="auto"/>
          </w:divBdr>
        </w:div>
      </w:divsChild>
    </w:div>
    <w:div w:id="2047413225">
      <w:bodyDiv w:val="1"/>
      <w:marLeft w:val="0"/>
      <w:marRight w:val="0"/>
      <w:marTop w:val="0"/>
      <w:marBottom w:val="0"/>
      <w:divBdr>
        <w:top w:val="none" w:sz="0" w:space="0" w:color="auto"/>
        <w:left w:val="none" w:sz="0" w:space="0" w:color="auto"/>
        <w:bottom w:val="none" w:sz="0" w:space="0" w:color="auto"/>
        <w:right w:val="none" w:sz="0" w:space="0" w:color="auto"/>
      </w:divBdr>
    </w:div>
    <w:div w:id="213674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9EC0B-96D3-430C-A820-232FBDA57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5490</Words>
  <Characters>31298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Gardner</dc:creator>
  <cp:keywords/>
  <dc:description/>
  <cp:lastModifiedBy>Chloe Gardner</cp:lastModifiedBy>
  <cp:revision>2</cp:revision>
  <dcterms:created xsi:type="dcterms:W3CDTF">2025-05-12T07:49:00Z</dcterms:created>
  <dcterms:modified xsi:type="dcterms:W3CDTF">2025-05-12T07:49:00Z</dcterms:modified>
</cp:coreProperties>
</file>