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F3F7F8" w14:textId="77777777" w:rsidR="00EB4F58" w:rsidRPr="00EB4F58" w:rsidRDefault="00EB4F58" w:rsidP="00EB4F58">
      <w:pPr>
        <w:jc w:val="center"/>
        <w:rPr>
          <w:rFonts w:ascii="Times New Roman" w:hAnsi="Times New Roman" w:cs="Times New Roman"/>
          <w:b/>
          <w:bCs/>
        </w:rPr>
      </w:pPr>
    </w:p>
    <w:p w14:paraId="70E4685B" w14:textId="77777777" w:rsidR="00EB4F58" w:rsidRPr="00EB4F58" w:rsidRDefault="00EB4F58" w:rsidP="00EB4F58">
      <w:pPr>
        <w:jc w:val="center"/>
        <w:rPr>
          <w:rFonts w:ascii="Times New Roman" w:hAnsi="Times New Roman" w:cs="Times New Roman"/>
          <w:b/>
          <w:bCs/>
        </w:rPr>
      </w:pPr>
    </w:p>
    <w:p w14:paraId="447296BE" w14:textId="77777777" w:rsidR="00EB4F58" w:rsidRPr="00EB4F58" w:rsidRDefault="00EB4F58" w:rsidP="00EB4F58">
      <w:pPr>
        <w:jc w:val="center"/>
        <w:rPr>
          <w:rFonts w:ascii="Times New Roman" w:hAnsi="Times New Roman" w:cs="Times New Roman"/>
          <w:b/>
          <w:bCs/>
        </w:rPr>
      </w:pPr>
    </w:p>
    <w:p w14:paraId="5E9F0299" w14:textId="77777777" w:rsidR="00EB4F58" w:rsidRDefault="00EB4F58" w:rsidP="00EB4F58">
      <w:pPr>
        <w:jc w:val="center"/>
        <w:rPr>
          <w:rFonts w:ascii="Times New Roman" w:hAnsi="Times New Roman" w:cs="Times New Roman"/>
          <w:b/>
          <w:bCs/>
        </w:rPr>
      </w:pPr>
    </w:p>
    <w:p w14:paraId="7A3F924A" w14:textId="77777777" w:rsidR="007A7618" w:rsidRPr="00B46E79" w:rsidRDefault="007A7618" w:rsidP="00EB4F58">
      <w:pPr>
        <w:jc w:val="center"/>
        <w:rPr>
          <w:rFonts w:ascii="Arial" w:hAnsi="Arial" w:cs="Arial"/>
        </w:rPr>
      </w:pPr>
    </w:p>
    <w:p w14:paraId="4DC7B859" w14:textId="7B0DE1DE" w:rsidR="00EB4F58" w:rsidRPr="00B46E79" w:rsidRDefault="00EB4F58" w:rsidP="00EB4F58">
      <w:pPr>
        <w:jc w:val="center"/>
        <w:rPr>
          <w:rFonts w:ascii="Arial" w:hAnsi="Arial" w:cs="Arial"/>
        </w:rPr>
      </w:pPr>
      <w:r w:rsidRPr="00B46E79">
        <w:rPr>
          <w:rFonts w:ascii="Arial" w:hAnsi="Arial" w:cs="Arial"/>
        </w:rPr>
        <w:t>PERSON-CENTRED CARE AND PARTNERSHIP WORKING IN INTEGRATED PRIMARY CARE MENTAL HEALTH SERVICES</w:t>
      </w:r>
    </w:p>
    <w:p w14:paraId="25BFB63E" w14:textId="77777777" w:rsidR="00EB4F58" w:rsidRPr="00EB4F58" w:rsidRDefault="00EB4F58" w:rsidP="00EB4F58">
      <w:pPr>
        <w:jc w:val="center"/>
        <w:rPr>
          <w:rFonts w:ascii="Times New Roman" w:hAnsi="Times New Roman" w:cs="Times New Roman"/>
          <w:b/>
          <w:bCs/>
        </w:rPr>
      </w:pPr>
    </w:p>
    <w:p w14:paraId="7773F5D0" w14:textId="77777777" w:rsidR="00EB4F58" w:rsidRDefault="00EB4F58" w:rsidP="00EB4F58">
      <w:pPr>
        <w:jc w:val="center"/>
        <w:rPr>
          <w:rFonts w:ascii="Times New Roman" w:hAnsi="Times New Roman" w:cs="Times New Roman"/>
        </w:rPr>
      </w:pPr>
    </w:p>
    <w:p w14:paraId="5D364E99" w14:textId="77777777" w:rsidR="007A7618" w:rsidRPr="008265C8" w:rsidRDefault="007A7618" w:rsidP="008265C8">
      <w:pPr>
        <w:jc w:val="center"/>
        <w:rPr>
          <w:rFonts w:ascii="Times New Roman" w:hAnsi="Times New Roman" w:cs="Times New Roman"/>
        </w:rPr>
      </w:pPr>
    </w:p>
    <w:p w14:paraId="64251C90" w14:textId="492C7756" w:rsidR="008265C8" w:rsidRPr="00B46E79" w:rsidRDefault="008265C8" w:rsidP="008265C8">
      <w:pPr>
        <w:spacing w:line="480" w:lineRule="auto"/>
        <w:jc w:val="center"/>
        <w:rPr>
          <w:rFonts w:ascii="Arial" w:hAnsi="Arial" w:cs="Arial"/>
        </w:rPr>
      </w:pPr>
      <w:r w:rsidRPr="00B46E79">
        <w:rPr>
          <w:rFonts w:ascii="Arial" w:hAnsi="Arial" w:cs="Arial"/>
        </w:rPr>
        <w:t>Student Name: Areena Ayaz</w:t>
      </w:r>
    </w:p>
    <w:p w14:paraId="7EC5BDAA" w14:textId="273FC938" w:rsidR="008265C8" w:rsidRPr="00B46E79" w:rsidRDefault="008265C8" w:rsidP="008265C8">
      <w:pPr>
        <w:spacing w:line="480" w:lineRule="auto"/>
        <w:jc w:val="center"/>
        <w:rPr>
          <w:rFonts w:ascii="Arial" w:hAnsi="Arial" w:cs="Arial"/>
        </w:rPr>
      </w:pPr>
      <w:r w:rsidRPr="00B46E79">
        <w:rPr>
          <w:rFonts w:ascii="Arial" w:hAnsi="Arial" w:cs="Arial"/>
        </w:rPr>
        <w:t>Student I.D: 250</w:t>
      </w:r>
      <w:r w:rsidR="007F62AA">
        <w:rPr>
          <w:rFonts w:ascii="Arial" w:hAnsi="Arial" w:cs="Arial"/>
        </w:rPr>
        <w:t>9706</w:t>
      </w:r>
    </w:p>
    <w:p w14:paraId="030A1E8B" w14:textId="77777777" w:rsidR="008265C8" w:rsidRPr="00B46E79" w:rsidRDefault="008265C8" w:rsidP="008265C8">
      <w:pPr>
        <w:spacing w:line="480" w:lineRule="auto"/>
        <w:jc w:val="center"/>
        <w:rPr>
          <w:rFonts w:ascii="Arial" w:hAnsi="Arial" w:cs="Arial"/>
        </w:rPr>
      </w:pPr>
      <w:r w:rsidRPr="00B46E79">
        <w:rPr>
          <w:rFonts w:ascii="Arial" w:hAnsi="Arial" w:cs="Arial"/>
        </w:rPr>
        <w:t>University of Wales</w:t>
      </w:r>
    </w:p>
    <w:p w14:paraId="364270AC" w14:textId="77777777" w:rsidR="008265C8" w:rsidRPr="00B46E79" w:rsidRDefault="008265C8" w:rsidP="008265C8">
      <w:pPr>
        <w:spacing w:line="480" w:lineRule="auto"/>
        <w:jc w:val="center"/>
        <w:rPr>
          <w:rFonts w:ascii="Arial" w:hAnsi="Arial" w:cs="Arial"/>
        </w:rPr>
      </w:pPr>
      <w:r w:rsidRPr="00B46E79">
        <w:rPr>
          <w:rFonts w:ascii="Arial" w:hAnsi="Arial" w:cs="Arial"/>
        </w:rPr>
        <w:t>Module Code: BMHP5016</w:t>
      </w:r>
    </w:p>
    <w:p w14:paraId="2DE9367A" w14:textId="77777777" w:rsidR="008265C8" w:rsidRPr="00B46E79" w:rsidRDefault="008265C8" w:rsidP="008265C8">
      <w:pPr>
        <w:spacing w:line="480" w:lineRule="auto"/>
        <w:jc w:val="center"/>
        <w:rPr>
          <w:rFonts w:ascii="Arial" w:hAnsi="Arial" w:cs="Arial"/>
        </w:rPr>
      </w:pPr>
      <w:r w:rsidRPr="00B46E79">
        <w:rPr>
          <w:rFonts w:ascii="Arial" w:hAnsi="Arial" w:cs="Arial"/>
        </w:rPr>
        <w:t>Lecturer: Azida Zainol</w:t>
      </w:r>
    </w:p>
    <w:p w14:paraId="734F4F06" w14:textId="77777777" w:rsidR="008265C8" w:rsidRPr="00B46E79" w:rsidRDefault="008265C8" w:rsidP="00EB4F58">
      <w:pPr>
        <w:spacing w:line="480" w:lineRule="auto"/>
        <w:rPr>
          <w:rFonts w:ascii="Arial" w:hAnsi="Arial" w:cs="Arial"/>
          <w:b/>
          <w:bCs/>
        </w:rPr>
      </w:pPr>
    </w:p>
    <w:p w14:paraId="03467FFF" w14:textId="77777777" w:rsidR="008265C8" w:rsidRPr="00B46E79" w:rsidRDefault="008265C8" w:rsidP="00EB4F58">
      <w:pPr>
        <w:spacing w:line="480" w:lineRule="auto"/>
        <w:rPr>
          <w:rFonts w:ascii="Arial" w:hAnsi="Arial" w:cs="Arial"/>
          <w:b/>
          <w:bCs/>
        </w:rPr>
      </w:pPr>
    </w:p>
    <w:p w14:paraId="6907531D" w14:textId="77777777" w:rsidR="008265C8" w:rsidRPr="00B46E79" w:rsidRDefault="008265C8" w:rsidP="00EB4F58">
      <w:pPr>
        <w:spacing w:line="480" w:lineRule="auto"/>
        <w:rPr>
          <w:rFonts w:ascii="Arial" w:hAnsi="Arial" w:cs="Arial"/>
          <w:b/>
          <w:bCs/>
        </w:rPr>
      </w:pPr>
    </w:p>
    <w:p w14:paraId="4E681486" w14:textId="77777777" w:rsidR="008265C8" w:rsidRPr="00B46E79" w:rsidRDefault="008265C8" w:rsidP="00EB4F58">
      <w:pPr>
        <w:spacing w:line="480" w:lineRule="auto"/>
        <w:rPr>
          <w:rFonts w:ascii="Arial" w:hAnsi="Arial" w:cs="Arial"/>
          <w:b/>
          <w:bCs/>
        </w:rPr>
      </w:pPr>
    </w:p>
    <w:p w14:paraId="2B966D9C" w14:textId="77777777" w:rsidR="008265C8" w:rsidRPr="00B46E79" w:rsidRDefault="008265C8" w:rsidP="00EB4F58">
      <w:pPr>
        <w:spacing w:line="480" w:lineRule="auto"/>
        <w:rPr>
          <w:rFonts w:ascii="Arial" w:hAnsi="Arial" w:cs="Arial"/>
          <w:b/>
          <w:bCs/>
        </w:rPr>
      </w:pPr>
    </w:p>
    <w:p w14:paraId="72745A85" w14:textId="77777777" w:rsidR="008265C8" w:rsidRPr="00B46E79" w:rsidRDefault="008265C8" w:rsidP="00EB4F58">
      <w:pPr>
        <w:spacing w:line="480" w:lineRule="auto"/>
        <w:rPr>
          <w:rFonts w:ascii="Arial" w:hAnsi="Arial" w:cs="Arial"/>
          <w:b/>
          <w:bCs/>
        </w:rPr>
      </w:pPr>
    </w:p>
    <w:p w14:paraId="2CD7C1E1" w14:textId="77777777" w:rsidR="008265C8" w:rsidRPr="00B46E79" w:rsidRDefault="008265C8" w:rsidP="00EB4F58">
      <w:pPr>
        <w:spacing w:line="480" w:lineRule="auto"/>
        <w:rPr>
          <w:rFonts w:ascii="Arial" w:hAnsi="Arial" w:cs="Arial"/>
          <w:b/>
          <w:bCs/>
        </w:rPr>
      </w:pPr>
    </w:p>
    <w:p w14:paraId="162FB23C" w14:textId="065959D4" w:rsidR="00424719" w:rsidRPr="00B46E79" w:rsidRDefault="00B35939" w:rsidP="00F73FA1">
      <w:pPr>
        <w:spacing w:line="360" w:lineRule="auto"/>
        <w:jc w:val="both"/>
        <w:rPr>
          <w:rFonts w:ascii="Arial" w:hAnsi="Arial" w:cs="Arial"/>
          <w:b/>
          <w:bCs/>
        </w:rPr>
      </w:pPr>
      <w:r w:rsidRPr="00B46E79">
        <w:rPr>
          <w:rFonts w:ascii="Arial" w:hAnsi="Arial" w:cs="Arial"/>
          <w:b/>
          <w:bCs/>
        </w:rPr>
        <w:lastRenderedPageBreak/>
        <w:t>Introduction</w:t>
      </w:r>
    </w:p>
    <w:p w14:paraId="16292617" w14:textId="77777777" w:rsidR="00B35939" w:rsidRPr="00B46E79" w:rsidRDefault="00B35939" w:rsidP="00F73FA1">
      <w:pPr>
        <w:spacing w:line="360" w:lineRule="auto"/>
        <w:ind w:firstLine="720"/>
        <w:jc w:val="both"/>
        <w:rPr>
          <w:rFonts w:ascii="Arial" w:hAnsi="Arial" w:cs="Arial"/>
        </w:rPr>
      </w:pPr>
      <w:r w:rsidRPr="00B46E79">
        <w:rPr>
          <w:rFonts w:ascii="Arial" w:hAnsi="Arial" w:cs="Arial"/>
        </w:rPr>
        <w:t>Person-Centered Care and Partnership Working may be regarded as two of the essential concepts related to the policy agenda, whose main aim is to ensure high quality of the health and social care services provided in the UK. Person-Centered Care implies that the provision of services should take into consideration the person's values, preferences and goals. Partnership working presupposes collaboration of experts within various professions and organizations. Such cooperation is very important when dealing with patients with serious mental illnesses who require the provision of services going beyond primary care, specialist mental health, social care and voluntary sector services (Thorburn et al., 2025).</w:t>
      </w:r>
    </w:p>
    <w:p w14:paraId="43A6F960" w14:textId="77777777" w:rsidR="00B35939" w:rsidRPr="00B46E79" w:rsidRDefault="00B35939" w:rsidP="00F73FA1">
      <w:pPr>
        <w:spacing w:line="360" w:lineRule="auto"/>
        <w:ind w:firstLine="720"/>
        <w:jc w:val="both"/>
        <w:rPr>
          <w:rFonts w:ascii="Arial" w:hAnsi="Arial" w:cs="Arial"/>
        </w:rPr>
      </w:pPr>
      <w:r w:rsidRPr="00B46E79">
        <w:rPr>
          <w:rFonts w:ascii="Arial" w:hAnsi="Arial" w:cs="Arial"/>
        </w:rPr>
        <w:t>Nevertheless, despite the widespread promotion of the concepts of person-centered care and partnership working, there is no efficient implementation of the concepts due to the existence of power imbalance, diagnostic dominance, risk management cultures and limited resources (McDonough, 2025; Grattidge et al., 2026). Many practices used by various services include person-centered care rhetoric along with the desire to achieve throughput, risk scores and interests of professionals. This report provides the critical review of the concept of person-centered care, theoretical model analysis, discussion of ethical base and the analysis of partnership working. The implementation of these concepts will be discussed in relation to integrated mental health services in primary care. Policy will be analyzed and recommendations for further development will be offered.</w:t>
      </w:r>
    </w:p>
    <w:p w14:paraId="77B9BA7A" w14:textId="2A360D28" w:rsidR="00B35939" w:rsidRPr="00B46E79" w:rsidRDefault="00B35939" w:rsidP="00F73FA1">
      <w:pPr>
        <w:spacing w:line="360" w:lineRule="auto"/>
        <w:jc w:val="both"/>
        <w:rPr>
          <w:rFonts w:ascii="Arial" w:hAnsi="Arial" w:cs="Arial"/>
          <w:b/>
          <w:bCs/>
        </w:rPr>
      </w:pPr>
      <w:r w:rsidRPr="00B46E79">
        <w:rPr>
          <w:rFonts w:ascii="Arial" w:hAnsi="Arial" w:cs="Arial"/>
          <w:b/>
          <w:bCs/>
        </w:rPr>
        <w:t>Person-Centered Care: Definition, Advantages and Disadvantages</w:t>
      </w:r>
    </w:p>
    <w:p w14:paraId="24E413B8" w14:textId="2B33DC06" w:rsidR="00B35939" w:rsidRPr="00B46E79" w:rsidRDefault="00B35939" w:rsidP="00F73FA1">
      <w:pPr>
        <w:spacing w:line="360" w:lineRule="auto"/>
        <w:ind w:firstLine="720"/>
        <w:jc w:val="both"/>
        <w:rPr>
          <w:rFonts w:ascii="Arial" w:hAnsi="Arial" w:cs="Arial"/>
        </w:rPr>
      </w:pPr>
      <w:r w:rsidRPr="00B46E79">
        <w:rPr>
          <w:rFonts w:ascii="Arial" w:hAnsi="Arial" w:cs="Arial"/>
        </w:rPr>
        <w:t xml:space="preserve">The concept of person-centered care involves the inclusion of person's preferences, values and beliefs into the decision-making process, and it implies that a person is treated as a partner but not as a passive recipient (Grover et al., 2022). In the case of mental health the concept of person-centered care may be defined as a recovery-oriented approach focusing on such factors as hope, identity, empowerment and personal agency but not symptom reduction (Grattidge et al., 2026). The key features of PCC include: elicitation of person's story, shared decision-making, continuity of the </w:t>
      </w:r>
      <w:r w:rsidRPr="00B46E79">
        <w:rPr>
          <w:rFonts w:ascii="Arial" w:hAnsi="Arial" w:cs="Arial"/>
        </w:rPr>
        <w:lastRenderedPageBreak/>
        <w:t>relationship, social and existential aspects of distress. These concepts create a challenge to professional expertise and hierarchy.</w:t>
      </w:r>
    </w:p>
    <w:p w14:paraId="3F51FD56" w14:textId="77777777" w:rsidR="00575E00" w:rsidRPr="00B46E79" w:rsidRDefault="00575E00" w:rsidP="00F73FA1">
      <w:pPr>
        <w:spacing w:line="360" w:lineRule="auto"/>
        <w:ind w:firstLine="720"/>
        <w:jc w:val="both"/>
        <w:rPr>
          <w:rFonts w:ascii="Arial" w:hAnsi="Arial" w:cs="Arial"/>
        </w:rPr>
      </w:pPr>
      <w:r w:rsidRPr="00B46E79">
        <w:rPr>
          <w:rFonts w:ascii="Arial" w:hAnsi="Arial" w:cs="Arial"/>
        </w:rPr>
        <w:t>Several advantages can be outlined. Firstly, person-centred approaches have shown higher engagement, more satisfaction, improved self-management and sometimes lower hospital admissions rates (Gyllensten et al., 2025). Secondly, it was found out that collaboration on co-design of mental health services between mental health service users and primary care practitioners was not only possible but led to service improvement where power imbalances were taken into account (Thorburn et al., 2025). Thirdly, integrated approaches where mental health expertise was embedded in primary care practice showed better outcomes for children and adolescents (Asarnow et al., 2026). Positive results could be observed especially where relational continuity was assured and the service users participated in decision-making.</w:t>
      </w:r>
    </w:p>
    <w:p w14:paraId="47709A64" w14:textId="77777777" w:rsidR="00575E00" w:rsidRPr="00B46E79" w:rsidRDefault="00575E00" w:rsidP="00F73FA1">
      <w:pPr>
        <w:spacing w:line="360" w:lineRule="auto"/>
        <w:ind w:firstLine="720"/>
        <w:jc w:val="both"/>
        <w:rPr>
          <w:rFonts w:ascii="Arial" w:hAnsi="Arial" w:cs="Arial"/>
        </w:rPr>
      </w:pPr>
      <w:r w:rsidRPr="00B46E79">
        <w:rPr>
          <w:rFonts w:ascii="Arial" w:hAnsi="Arial" w:cs="Arial"/>
        </w:rPr>
        <w:t>Several limitations exist. First of all, conceptual ambiguity prevents the implementation and evaluation of PCC (Grover et al., 2022). Secondly, mental health service conflicts are caused by the contradictions between person-centred care and risk management, diagnostic needs and other priorities (McDonough, 2025). Finally, lack of resources and hierarchy in teams can prevent collaboration, while PCC language might mask power differences and create an impression of tokenism instead of partnership (Thorburn et al., 2025).</w:t>
      </w:r>
    </w:p>
    <w:p w14:paraId="2C74DBC5" w14:textId="77777777" w:rsidR="00EB4F58" w:rsidRPr="00B46E79" w:rsidRDefault="00EB4F58" w:rsidP="00F73FA1">
      <w:pPr>
        <w:spacing w:line="360" w:lineRule="auto"/>
        <w:jc w:val="both"/>
        <w:rPr>
          <w:rFonts w:ascii="Arial" w:hAnsi="Arial" w:cs="Arial"/>
          <w:b/>
          <w:bCs/>
        </w:rPr>
      </w:pPr>
      <w:r w:rsidRPr="00B46E79">
        <w:rPr>
          <w:rFonts w:ascii="Arial" w:hAnsi="Arial" w:cs="Arial"/>
          <w:b/>
          <w:bCs/>
        </w:rPr>
        <w:br w:type="page"/>
      </w:r>
    </w:p>
    <w:p w14:paraId="45DFD97A" w14:textId="14FC41CC" w:rsidR="00575E00" w:rsidRPr="00B46E79" w:rsidRDefault="00575E00" w:rsidP="00F73FA1">
      <w:pPr>
        <w:spacing w:line="360" w:lineRule="auto"/>
        <w:jc w:val="both"/>
        <w:rPr>
          <w:rFonts w:ascii="Arial" w:hAnsi="Arial" w:cs="Arial"/>
          <w:b/>
          <w:bCs/>
        </w:rPr>
      </w:pPr>
      <w:r w:rsidRPr="00B46E79">
        <w:rPr>
          <w:rFonts w:ascii="Arial" w:hAnsi="Arial" w:cs="Arial"/>
          <w:b/>
          <w:bCs/>
        </w:rPr>
        <w:lastRenderedPageBreak/>
        <w:t>Theoretical Foundations of Person-Centred Care</w:t>
      </w:r>
    </w:p>
    <w:p w14:paraId="0D0B4A10" w14:textId="37A6ED6B" w:rsidR="00575E00" w:rsidRPr="00B46E79" w:rsidRDefault="00575E00" w:rsidP="00F73FA1">
      <w:pPr>
        <w:spacing w:line="360" w:lineRule="auto"/>
        <w:ind w:firstLine="720"/>
        <w:jc w:val="both"/>
        <w:rPr>
          <w:rFonts w:ascii="Arial" w:hAnsi="Arial" w:cs="Arial"/>
        </w:rPr>
      </w:pPr>
      <w:r w:rsidRPr="00B46E79">
        <w:rPr>
          <w:rFonts w:ascii="Arial" w:hAnsi="Arial" w:cs="Arial"/>
        </w:rPr>
        <w:t>One of the most popular models of PCC is the Gothenburg model of PCC which was proposed on the basis of the research performed at the University of Gothenburg Centre for Person-Centred Care. The theoretical foundation of the model is the philosophical perspective of Paul Ricoeur, and it operates with three basic routines of partnership: its initiation by elicitation of narrative from the person; its development through shared decision making and goal setting; and its maintenance through documenting of the narrative and agreed upon plan traveling with the person across different locations (Gyllensten et al., 2025; Britten et al., 2020).</w:t>
      </w:r>
    </w:p>
    <w:p w14:paraId="21D7C195" w14:textId="77777777" w:rsidR="00D6796A" w:rsidRPr="00B46E79" w:rsidRDefault="00D6796A" w:rsidP="00F73FA1">
      <w:pPr>
        <w:spacing w:line="360" w:lineRule="auto"/>
        <w:ind w:firstLine="720"/>
        <w:jc w:val="both"/>
        <w:rPr>
          <w:rFonts w:ascii="Arial" w:hAnsi="Arial" w:cs="Arial"/>
        </w:rPr>
      </w:pPr>
      <w:r w:rsidRPr="00B46E79">
        <w:rPr>
          <w:rFonts w:ascii="Arial" w:hAnsi="Arial" w:cs="Arial"/>
        </w:rPr>
        <w:t>This model explicitly shifts the locus of care away from the biomedical paradigm to the patient's perspective of illness, resources and aims. Partnership is conceptualised as a relational process that reduces hierarchical distance between practitioner and client. Narrative documentation is to ensure continuity and accountability of services in relation to the person's priorities. The research that was done on this model has revealed its benefits such as shorter hospital stay, enhanced self-efficacy and satisfaction of the patients with different diseases (Gyllensten et al., 2025).</w:t>
      </w:r>
    </w:p>
    <w:p w14:paraId="6D2A2653" w14:textId="77777777" w:rsidR="00D6796A" w:rsidRPr="00B46E79" w:rsidRDefault="00D6796A" w:rsidP="00F73FA1">
      <w:pPr>
        <w:spacing w:line="360" w:lineRule="auto"/>
        <w:ind w:firstLine="720"/>
        <w:jc w:val="both"/>
        <w:rPr>
          <w:rFonts w:ascii="Arial" w:hAnsi="Arial" w:cs="Arial"/>
        </w:rPr>
      </w:pPr>
      <w:r w:rsidRPr="00B46E79">
        <w:rPr>
          <w:rFonts w:ascii="Arial" w:hAnsi="Arial" w:cs="Arial"/>
        </w:rPr>
        <w:t>However, critical analysis reveals that there are positive aspects as well as limitations of the model. First of all, it is strength in its strong ethical foundations and routine. This makes the model quite easily applicable because of its transferability. Yet, the conditions for its successful application presuppose the readiness of the organisation to implement it, sufficient time spent on working with narratives and relational practice culture. The latter criteria cannot be met in the case of mental health organisations that have risk protocols and high turnover rates of personnel. It should also be stressed that the emphasis of the model on individual narratives must be complemented by the understanding of structural power inequalities and power-sharing at the group level (McDonough, 2025).</w:t>
      </w:r>
    </w:p>
    <w:p w14:paraId="050D3D03" w14:textId="22FC5615" w:rsidR="00D6796A" w:rsidRPr="00B46E79" w:rsidRDefault="00D6796A" w:rsidP="00F73FA1">
      <w:pPr>
        <w:spacing w:line="360" w:lineRule="auto"/>
        <w:jc w:val="both"/>
        <w:rPr>
          <w:rFonts w:ascii="Arial" w:hAnsi="Arial" w:cs="Arial"/>
          <w:b/>
          <w:bCs/>
        </w:rPr>
      </w:pPr>
      <w:r w:rsidRPr="00B46E79">
        <w:rPr>
          <w:rFonts w:ascii="Arial" w:hAnsi="Arial" w:cs="Arial"/>
          <w:b/>
          <w:bCs/>
        </w:rPr>
        <w:t>Ethical Fundamentals of Health and Social Care</w:t>
      </w:r>
    </w:p>
    <w:p w14:paraId="67EA3D22" w14:textId="77777777" w:rsidR="00D6796A" w:rsidRPr="00B46E79" w:rsidRDefault="00D6796A" w:rsidP="00F73FA1">
      <w:pPr>
        <w:spacing w:line="360" w:lineRule="auto"/>
        <w:ind w:firstLine="720"/>
        <w:jc w:val="both"/>
        <w:rPr>
          <w:rFonts w:ascii="Arial" w:hAnsi="Arial" w:cs="Arial"/>
        </w:rPr>
      </w:pPr>
      <w:r w:rsidRPr="00B46E79">
        <w:rPr>
          <w:rFonts w:ascii="Arial" w:hAnsi="Arial" w:cs="Arial"/>
        </w:rPr>
        <w:t xml:space="preserve">In most cases ethical healthcare practice is based on principles of autonomy, beneficence, non-maleficence and justice. In the context of person-centred models, the </w:t>
      </w:r>
      <w:r w:rsidRPr="00B46E79">
        <w:rPr>
          <w:rFonts w:ascii="Arial" w:hAnsi="Arial" w:cs="Arial"/>
        </w:rPr>
        <w:lastRenderedPageBreak/>
        <w:t>relational autonomy concept includes not only the decision making but also support for enacting it (Daly and Cascio, 2024). The latter is especially vital in the case of mental health care taking into account such experiences as coercion, loss of freedom and diagnostic labeling.</w:t>
      </w:r>
    </w:p>
    <w:p w14:paraId="013B1B48" w14:textId="20381F2A" w:rsidR="00575E00" w:rsidRPr="00B46E79" w:rsidRDefault="00D6796A" w:rsidP="00F73FA1">
      <w:pPr>
        <w:spacing w:line="360" w:lineRule="auto"/>
        <w:ind w:firstLine="720"/>
        <w:jc w:val="both"/>
        <w:rPr>
          <w:rFonts w:ascii="Arial" w:hAnsi="Arial" w:cs="Arial"/>
        </w:rPr>
      </w:pPr>
      <w:r w:rsidRPr="00B46E79">
        <w:rPr>
          <w:rFonts w:ascii="Arial" w:hAnsi="Arial" w:cs="Arial"/>
        </w:rPr>
        <w:t>The principles of beneficence and non-maleficence imply that care is supposed to contribute to well-being of people and not cause any harm to them. Person-centred approach interprets these ethical principles through partnership in which practitioners utilise their knowledge in cooperation with clients' expertise in their lives (Gyllensten et al., 2025). Principle of justice implies equal access to care and consideration of social factors influencing the outcomes of mental well-being of patients. Relational approaches emphasize mutual respect and social inclusion of the person into her environment (Daly and Cascio, 2024).</w:t>
      </w:r>
    </w:p>
    <w:p w14:paraId="67093BB3" w14:textId="77777777" w:rsidR="00D6796A" w:rsidRPr="00B46E79" w:rsidRDefault="00D6796A" w:rsidP="00F73FA1">
      <w:pPr>
        <w:spacing w:line="360" w:lineRule="auto"/>
        <w:ind w:firstLine="720"/>
        <w:jc w:val="both"/>
        <w:rPr>
          <w:rFonts w:ascii="Arial" w:hAnsi="Arial" w:cs="Arial"/>
        </w:rPr>
      </w:pPr>
      <w:r w:rsidRPr="00B46E79">
        <w:rPr>
          <w:rFonts w:ascii="Arial" w:hAnsi="Arial" w:cs="Arial"/>
        </w:rPr>
        <w:t>There appears moral tension when the number of possible choices is limited either by resource limitations or by risk management considerations. Practitioners might be upset because of their inability to engage into partnerships due to organisational pressures. It is therefore important to keep on reflecting on the way whether organisational structures hinder or promote person-centred ethics so that it would become an ethical commitment rather than rhetoric.</w:t>
      </w:r>
    </w:p>
    <w:p w14:paraId="49DC253C" w14:textId="77777777" w:rsidR="00EB4F58" w:rsidRPr="00B46E79" w:rsidRDefault="00EB4F58" w:rsidP="00F73FA1">
      <w:pPr>
        <w:spacing w:line="360" w:lineRule="auto"/>
        <w:jc w:val="both"/>
        <w:rPr>
          <w:rFonts w:ascii="Arial" w:hAnsi="Arial" w:cs="Arial"/>
          <w:b/>
          <w:bCs/>
        </w:rPr>
      </w:pPr>
      <w:r w:rsidRPr="00B46E79">
        <w:rPr>
          <w:rFonts w:ascii="Arial" w:hAnsi="Arial" w:cs="Arial"/>
          <w:b/>
          <w:bCs/>
        </w:rPr>
        <w:br w:type="page"/>
      </w:r>
    </w:p>
    <w:p w14:paraId="68443424" w14:textId="33E095B6" w:rsidR="00D6796A" w:rsidRPr="00B46E79" w:rsidRDefault="00D6796A" w:rsidP="00F73FA1">
      <w:pPr>
        <w:spacing w:line="360" w:lineRule="auto"/>
        <w:jc w:val="both"/>
        <w:rPr>
          <w:rFonts w:ascii="Arial" w:hAnsi="Arial" w:cs="Arial"/>
          <w:b/>
          <w:bCs/>
        </w:rPr>
      </w:pPr>
      <w:r w:rsidRPr="00B46E79">
        <w:rPr>
          <w:rFonts w:ascii="Arial" w:hAnsi="Arial" w:cs="Arial"/>
          <w:b/>
          <w:bCs/>
        </w:rPr>
        <w:lastRenderedPageBreak/>
        <w:t>Evaluating Partnership Working</w:t>
      </w:r>
    </w:p>
    <w:p w14:paraId="1B913B6C" w14:textId="77777777" w:rsidR="00D6796A" w:rsidRPr="00B46E79" w:rsidRDefault="00D6796A" w:rsidP="00F73FA1">
      <w:pPr>
        <w:spacing w:line="360" w:lineRule="auto"/>
        <w:ind w:firstLine="720"/>
        <w:jc w:val="both"/>
        <w:rPr>
          <w:rFonts w:ascii="Arial" w:hAnsi="Arial" w:cs="Arial"/>
        </w:rPr>
      </w:pPr>
      <w:r w:rsidRPr="00B46E79">
        <w:rPr>
          <w:rFonts w:ascii="Arial" w:hAnsi="Arial" w:cs="Arial"/>
        </w:rPr>
        <w:t>Partnership working means collaborative relations within the fields of health, social care and communities aimed at achieving a certain coordination and adopting person-centred approach to care delivery. While from the point of theory it is quite attractive, empirical evidence of effectiveness of collaboration in health care improvement is not very consistent. Factors that support collaboration include common goals, trust, resources availability and efficient governance. Typical barriers are conflicts of interest, power inequality and lack of investment in relationships building (Ruud et al., 2025).</w:t>
      </w:r>
    </w:p>
    <w:p w14:paraId="2DA158C1" w14:textId="77777777" w:rsidR="00D6796A" w:rsidRPr="00B46E79" w:rsidRDefault="00D6796A" w:rsidP="00F73FA1">
      <w:pPr>
        <w:spacing w:line="360" w:lineRule="auto"/>
        <w:ind w:firstLine="720"/>
        <w:jc w:val="both"/>
        <w:rPr>
          <w:rFonts w:ascii="Arial" w:hAnsi="Arial" w:cs="Arial"/>
        </w:rPr>
      </w:pPr>
      <w:r w:rsidRPr="00B46E79">
        <w:rPr>
          <w:rFonts w:ascii="Arial" w:hAnsi="Arial" w:cs="Arial"/>
        </w:rPr>
        <w:t>Models of collaborative care that imply engagement of psychologists and psychiatrists into primary care have proved to be helpful in terms of psychological care accessibility increase and have been appreciated by GPs. However, these projects turned out to be unsustainable because of funding and policy issues (Ruud et al., 2025). Approaches of co-design and co-production that imply collaboration between service users and primary care professionals in the process of design seem promising but require close attention to power issues to be truly effective (Thorburn et al., 2025). It appears that greater involvement in decision making leads to better results at service level compared to consultations that do not change hierarchical order.</w:t>
      </w:r>
    </w:p>
    <w:p w14:paraId="21D6B8A2" w14:textId="77777777" w:rsidR="00D6796A" w:rsidRPr="00B46E79" w:rsidRDefault="00D6796A" w:rsidP="00F73FA1">
      <w:pPr>
        <w:spacing w:line="360" w:lineRule="auto"/>
        <w:ind w:firstLine="720"/>
        <w:jc w:val="both"/>
        <w:rPr>
          <w:rFonts w:ascii="Arial" w:hAnsi="Arial" w:cs="Arial"/>
        </w:rPr>
      </w:pPr>
      <w:r w:rsidRPr="00B46E79">
        <w:rPr>
          <w:rFonts w:ascii="Arial" w:hAnsi="Arial" w:cs="Arial"/>
        </w:rPr>
        <w:t>Collaboration and PCC go well together. Collaboration driven by organisational or professional concerns is unlikely to produce person-centred results. On the other hand, person-centred approach that remains restricted to individual interactions will not solve the problem of continuity. Effective collaboration therefore requires both relational practice and structural collaboration.</w:t>
      </w:r>
    </w:p>
    <w:p w14:paraId="35B15070" w14:textId="77777777" w:rsidR="00EB4F58" w:rsidRPr="00B46E79" w:rsidRDefault="00EB4F58" w:rsidP="00F73FA1">
      <w:pPr>
        <w:spacing w:line="360" w:lineRule="auto"/>
        <w:jc w:val="both"/>
        <w:rPr>
          <w:rFonts w:ascii="Arial" w:hAnsi="Arial" w:cs="Arial"/>
          <w:b/>
          <w:bCs/>
        </w:rPr>
      </w:pPr>
      <w:r w:rsidRPr="00B46E79">
        <w:rPr>
          <w:rFonts w:ascii="Arial" w:hAnsi="Arial" w:cs="Arial"/>
          <w:b/>
          <w:bCs/>
        </w:rPr>
        <w:br w:type="page"/>
      </w:r>
    </w:p>
    <w:p w14:paraId="4575F47F" w14:textId="07F0A331" w:rsidR="00D6796A" w:rsidRPr="00B46E79" w:rsidRDefault="00D6796A" w:rsidP="00F73FA1">
      <w:pPr>
        <w:spacing w:line="360" w:lineRule="auto"/>
        <w:jc w:val="both"/>
        <w:rPr>
          <w:rFonts w:ascii="Arial" w:hAnsi="Arial" w:cs="Arial"/>
          <w:b/>
          <w:bCs/>
        </w:rPr>
      </w:pPr>
      <w:r w:rsidRPr="00B46E79">
        <w:rPr>
          <w:rFonts w:ascii="Arial" w:hAnsi="Arial" w:cs="Arial"/>
          <w:b/>
          <w:bCs/>
        </w:rPr>
        <w:lastRenderedPageBreak/>
        <w:t>Application in Integrated Primary Care Mental Health Services</w:t>
      </w:r>
    </w:p>
    <w:p w14:paraId="6BC8CDB7" w14:textId="59317737" w:rsidR="00D6796A" w:rsidRPr="00B46E79" w:rsidRDefault="00D6796A" w:rsidP="00F73FA1">
      <w:pPr>
        <w:spacing w:line="360" w:lineRule="auto"/>
        <w:ind w:firstLine="720"/>
        <w:jc w:val="both"/>
        <w:rPr>
          <w:rFonts w:ascii="Arial" w:hAnsi="Arial" w:cs="Arial"/>
        </w:rPr>
      </w:pPr>
      <w:r w:rsidRPr="00B46E79">
        <w:rPr>
          <w:rFonts w:ascii="Arial" w:hAnsi="Arial" w:cs="Arial"/>
        </w:rPr>
        <w:t>Integrated primary care mental health services might serve as an example of application of both person-centred approach and collaboration together. These services provide early and holistic assistance to people suffering from serious mental diseases in primary care setting in a multi-disciplinary way, involving mental health workers, GPs and voluntary sector (Baker et al., 2024).</w:t>
      </w:r>
    </w:p>
    <w:p w14:paraId="72FC225B" w14:textId="77777777" w:rsidR="00D6796A" w:rsidRPr="00B46E79" w:rsidRDefault="00D6796A" w:rsidP="00F73FA1">
      <w:pPr>
        <w:spacing w:line="360" w:lineRule="auto"/>
        <w:ind w:firstLine="720"/>
        <w:jc w:val="both"/>
        <w:rPr>
          <w:rFonts w:ascii="Arial" w:hAnsi="Arial" w:cs="Arial"/>
        </w:rPr>
      </w:pPr>
      <w:r w:rsidRPr="00B46E79">
        <w:rPr>
          <w:rFonts w:ascii="Arial" w:hAnsi="Arial" w:cs="Arial"/>
        </w:rPr>
        <w:t>Based on qualitative evaluation, it seems that such models could help improve access, foster community engagement and facilitate cross-collaboration (Baker et al., 2024). Service users and providers have appreciated strength-based initiatives which included identifying barriers to access and working together with different system partners. Feasibility and innovations were found among the results of the collaborative design projects involving mental health consumers and primary care practitioners despite the challenges related to equitable involvement (Thorburn et al., 2025).</w:t>
      </w:r>
    </w:p>
    <w:p w14:paraId="4DBEEF19" w14:textId="77777777" w:rsidR="00D6796A" w:rsidRPr="00B46E79" w:rsidRDefault="00D6796A" w:rsidP="00F73FA1">
      <w:pPr>
        <w:spacing w:line="360" w:lineRule="auto"/>
        <w:ind w:firstLine="720"/>
        <w:jc w:val="both"/>
        <w:rPr>
          <w:rFonts w:ascii="Arial" w:hAnsi="Arial" w:cs="Arial"/>
        </w:rPr>
      </w:pPr>
      <w:r w:rsidRPr="00B46E79">
        <w:rPr>
          <w:rFonts w:ascii="Arial" w:hAnsi="Arial" w:cs="Arial"/>
        </w:rPr>
        <w:t>However, the process of implementation has been far from even. Service provision and risk management agendas as well as diagnostics-driven approach may ignore the importance of the perspective of lived experience even in the context of services based on the notion of person-centred care (McDonough, 2025; Grattidge et al., 2026). Continuity of relationships, collaborative decision-making and formulation has been named as important requirements which are not fulfilled in practice. Multi-disciplinary teams could be the opportunity to adopt a holistic approach only if the culture and governance of these teams appreciate relational and recovery-related activities. Otherwise, the integrated models could perpetuate the issues they are designed to address.</w:t>
      </w:r>
    </w:p>
    <w:p w14:paraId="30E77D9B" w14:textId="42473576" w:rsidR="00D6796A" w:rsidRPr="00B46E79" w:rsidRDefault="00D6796A" w:rsidP="00F73FA1">
      <w:pPr>
        <w:spacing w:line="360" w:lineRule="auto"/>
        <w:jc w:val="both"/>
        <w:rPr>
          <w:rFonts w:ascii="Arial" w:hAnsi="Arial" w:cs="Arial"/>
          <w:b/>
          <w:bCs/>
        </w:rPr>
      </w:pPr>
      <w:r w:rsidRPr="00B46E79">
        <w:rPr>
          <w:rFonts w:ascii="Arial" w:hAnsi="Arial" w:cs="Arial"/>
          <w:b/>
          <w:bCs/>
        </w:rPr>
        <w:t>Policy and Legislation</w:t>
      </w:r>
    </w:p>
    <w:p w14:paraId="7F4F83B0" w14:textId="3BCA6FE3" w:rsidR="00D6796A" w:rsidRPr="00B46E79" w:rsidRDefault="00D6796A" w:rsidP="00F73FA1">
      <w:pPr>
        <w:spacing w:line="360" w:lineRule="auto"/>
        <w:ind w:firstLine="720"/>
        <w:jc w:val="both"/>
        <w:rPr>
          <w:rFonts w:ascii="Arial" w:hAnsi="Arial" w:cs="Arial"/>
        </w:rPr>
      </w:pPr>
      <w:r w:rsidRPr="00B46E79">
        <w:rPr>
          <w:rFonts w:ascii="Arial" w:hAnsi="Arial" w:cs="Arial"/>
        </w:rPr>
        <w:t xml:space="preserve">The British policy becomes increasingly oriented towards personalisation and collaboration. According to the Care Act 2014, the wellbeing of a person should become the core principle of social care and the local authorities are responsible for offering choice and control to the individuals. The Health and Care Act 2022 establishes statutory Integrated Care Boards and Partnerships to shift the culture from competition to </w:t>
      </w:r>
      <w:r w:rsidRPr="00B46E79">
        <w:rPr>
          <w:rFonts w:ascii="Arial" w:hAnsi="Arial" w:cs="Arial"/>
        </w:rPr>
        <w:lastRenderedPageBreak/>
        <w:t>collaboration. The policy on mental health, including the NHS Long Term Plan, encourages community services, personalisation and involvement of people with lived experience.</w:t>
      </w:r>
    </w:p>
    <w:p w14:paraId="338FA210" w14:textId="77777777" w:rsidR="00EB4F58" w:rsidRPr="00B46E79" w:rsidRDefault="00EB4F58" w:rsidP="00F73FA1">
      <w:pPr>
        <w:spacing w:line="360" w:lineRule="auto"/>
        <w:ind w:firstLine="720"/>
        <w:jc w:val="both"/>
        <w:rPr>
          <w:rFonts w:ascii="Arial" w:hAnsi="Arial" w:cs="Arial"/>
        </w:rPr>
      </w:pPr>
      <w:r w:rsidRPr="00B46E79">
        <w:rPr>
          <w:rFonts w:ascii="Arial" w:hAnsi="Arial" w:cs="Arial"/>
        </w:rPr>
        <w:t>The Fundamental Standards set out in Regulation 9 of CQC also mandate care and treatment to be individually tailored and based on needs and preferences. The additional guidance on partnership work with people and communities reinforces these expectations. However, despite the existence of an enabing framework for partnership and person-centredness in terms of policy, the transition of policy intent to practice is incomplete due to work pressure, funding limitations and organisational cultures that continue to privilege metrics over relational outcomes. Policy can create necessary conditions, but culture and resourcing changes will have to occur for those conditions to lead to consistent person-centred and partnership practices.</w:t>
      </w:r>
    </w:p>
    <w:p w14:paraId="284908CB" w14:textId="57C9AEC7" w:rsidR="00EB4F58" w:rsidRPr="00B46E79" w:rsidRDefault="00EB4F58" w:rsidP="00F73FA1">
      <w:pPr>
        <w:spacing w:line="360" w:lineRule="auto"/>
        <w:jc w:val="both"/>
        <w:rPr>
          <w:rFonts w:ascii="Arial" w:hAnsi="Arial" w:cs="Arial"/>
          <w:b/>
          <w:bCs/>
        </w:rPr>
      </w:pPr>
      <w:r w:rsidRPr="00B46E79">
        <w:rPr>
          <w:rFonts w:ascii="Arial" w:hAnsi="Arial" w:cs="Arial"/>
          <w:b/>
          <w:bCs/>
        </w:rPr>
        <w:t>Recommendations for Future Development</w:t>
      </w:r>
    </w:p>
    <w:p w14:paraId="14E32A71" w14:textId="77777777" w:rsidR="00EB4F58" w:rsidRPr="00B46E79" w:rsidRDefault="00EB4F58" w:rsidP="00F73FA1">
      <w:pPr>
        <w:spacing w:line="360" w:lineRule="auto"/>
        <w:ind w:firstLine="720"/>
        <w:jc w:val="both"/>
        <w:rPr>
          <w:rFonts w:ascii="Arial" w:hAnsi="Arial" w:cs="Arial"/>
        </w:rPr>
      </w:pPr>
      <w:r w:rsidRPr="00B46E79">
        <w:rPr>
          <w:rFonts w:ascii="Arial" w:hAnsi="Arial" w:cs="Arial"/>
        </w:rPr>
        <w:t>There are several ways in which the development of PCC and partnership working in the UK could be strengthened. First, workforce training and organisational cultures should privilege relational skills and reflexive approach to partnership including time for narrative and joint decision making (Gyllensten et al., 2025). Training is necessary but not sufficient without changes in work load, supervision and valuing of relational practice within performance management.</w:t>
      </w:r>
    </w:p>
    <w:p w14:paraId="69DFEA98" w14:textId="77777777" w:rsidR="00EB4F58" w:rsidRPr="00B46E79" w:rsidRDefault="00EB4F58" w:rsidP="00F73FA1">
      <w:pPr>
        <w:spacing w:line="360" w:lineRule="auto"/>
        <w:ind w:firstLine="720"/>
        <w:jc w:val="both"/>
        <w:rPr>
          <w:rFonts w:ascii="Arial" w:hAnsi="Arial" w:cs="Arial"/>
        </w:rPr>
      </w:pPr>
      <w:r w:rsidRPr="00B46E79">
        <w:rPr>
          <w:rFonts w:ascii="Arial" w:hAnsi="Arial" w:cs="Arial"/>
        </w:rPr>
        <w:t>Second, integrated models of care for mental health in primary care should incorporate co-production and co-design in their models as default and not optional components paying attention to the issue of power dynamics and equitability in participation (Thorburn et al., 2025). Third, there should be measurement of outcomes and accountability which includes not only clinical and process indicators but also experience-based and recovery-focused ones to value relational work. Finally, structural changes in cross-sectoral collaborations including funding for voluntary sector partners and ways to level the playing field are necessary in order for partnerships to become truly person-centred (Ruud et al., 2025).</w:t>
      </w:r>
    </w:p>
    <w:p w14:paraId="4E37B63D" w14:textId="24AA20D7" w:rsidR="00EB4F58" w:rsidRPr="00B46E79" w:rsidRDefault="00EB4F58" w:rsidP="00F73FA1">
      <w:pPr>
        <w:spacing w:line="360" w:lineRule="auto"/>
        <w:jc w:val="both"/>
        <w:rPr>
          <w:rFonts w:ascii="Arial" w:hAnsi="Arial" w:cs="Arial"/>
          <w:b/>
          <w:bCs/>
        </w:rPr>
      </w:pPr>
      <w:r w:rsidRPr="00B46E79">
        <w:rPr>
          <w:rFonts w:ascii="Arial" w:hAnsi="Arial" w:cs="Arial"/>
          <w:b/>
          <w:bCs/>
        </w:rPr>
        <w:t>Conclusion</w:t>
      </w:r>
    </w:p>
    <w:p w14:paraId="1C575F2F" w14:textId="4A572703" w:rsidR="00EB4F58" w:rsidRPr="00B46E79" w:rsidRDefault="00EB4F58" w:rsidP="00F73FA1">
      <w:pPr>
        <w:spacing w:line="360" w:lineRule="auto"/>
        <w:ind w:firstLine="720"/>
        <w:jc w:val="both"/>
        <w:rPr>
          <w:rFonts w:ascii="Arial" w:hAnsi="Arial" w:cs="Arial"/>
        </w:rPr>
      </w:pPr>
      <w:r w:rsidRPr="00B46E79">
        <w:rPr>
          <w:rFonts w:ascii="Arial" w:hAnsi="Arial" w:cs="Arial"/>
        </w:rPr>
        <w:lastRenderedPageBreak/>
        <w:t>PCC and partnership are two inter-related aspects of high-quality health and social care provision especially concerning individuals living with serious mental illness. The Gothenburg model is a practical and ethical framework which privileges the importance of narrative, joint decision-making and continuity of the partnership. Ethical principles such as autonomy, beneficence, non-maleficence and justice guide the practitioner towards relational practice. Meanwhile, policy increasingly demands collaborative and personalised approaches in healthcare and social care provision. Integrated models of primary care for mental health provide evidence of potential for partnership as well as challenges related to power dynamics and resource limitations.</w:t>
      </w:r>
    </w:p>
    <w:p w14:paraId="293F394E" w14:textId="77777777" w:rsidR="00EB4F58" w:rsidRPr="00B46E79" w:rsidRDefault="00EB4F58" w:rsidP="00F73FA1">
      <w:pPr>
        <w:spacing w:line="360" w:lineRule="auto"/>
        <w:jc w:val="both"/>
        <w:rPr>
          <w:rFonts w:ascii="Arial" w:hAnsi="Arial" w:cs="Arial"/>
        </w:rPr>
      </w:pPr>
      <w:r w:rsidRPr="00B46E79">
        <w:rPr>
          <w:rFonts w:ascii="Arial" w:hAnsi="Arial" w:cs="Arial"/>
        </w:rPr>
        <w:br w:type="page"/>
      </w:r>
    </w:p>
    <w:p w14:paraId="69D9F5AB" w14:textId="64FF17C1" w:rsidR="00EB4F58" w:rsidRPr="00B46E79" w:rsidRDefault="00EB4F58" w:rsidP="00F73FA1">
      <w:pPr>
        <w:spacing w:line="360" w:lineRule="auto"/>
        <w:jc w:val="both"/>
        <w:rPr>
          <w:rFonts w:ascii="Arial" w:hAnsi="Arial" w:cs="Arial"/>
          <w:b/>
          <w:bCs/>
        </w:rPr>
      </w:pPr>
      <w:r w:rsidRPr="00B46E79">
        <w:rPr>
          <w:rFonts w:ascii="Arial" w:hAnsi="Arial" w:cs="Arial"/>
          <w:b/>
          <w:bCs/>
        </w:rPr>
        <w:lastRenderedPageBreak/>
        <w:t>References</w:t>
      </w:r>
    </w:p>
    <w:p w14:paraId="22404BD1" w14:textId="77777777" w:rsidR="00EB4F58" w:rsidRPr="00B46E79" w:rsidRDefault="00EB4F58" w:rsidP="00F73FA1">
      <w:pPr>
        <w:spacing w:after="140" w:line="360" w:lineRule="auto"/>
        <w:ind w:left="720" w:hanging="720"/>
        <w:jc w:val="both"/>
        <w:rPr>
          <w:rFonts w:ascii="Arial" w:hAnsi="Arial" w:cs="Arial"/>
        </w:rPr>
      </w:pPr>
      <w:r w:rsidRPr="00B46E79">
        <w:rPr>
          <w:rFonts w:ascii="Arial" w:eastAsia="Arial" w:hAnsi="Arial" w:cs="Arial"/>
        </w:rPr>
        <w:t xml:space="preserve">Asarnow, J.R. et al. (2026) ‘Kids, teens win when mental health providers team with pediatricians, family doctors’, </w:t>
      </w:r>
      <w:r w:rsidRPr="00B46E79">
        <w:rPr>
          <w:rFonts w:ascii="Arial" w:eastAsia="Arial" w:hAnsi="Arial" w:cs="Arial"/>
          <w:i/>
          <w:iCs/>
        </w:rPr>
        <w:t>JAMA Pediatrics</w:t>
      </w:r>
      <w:r w:rsidRPr="00B46E79">
        <w:rPr>
          <w:rFonts w:ascii="Arial" w:hAnsi="Arial" w:cs="Arial"/>
        </w:rPr>
        <w:t>. Available at: UCLA Health research summary.</w:t>
      </w:r>
    </w:p>
    <w:p w14:paraId="17A9629A" w14:textId="77777777" w:rsidR="00EB4F58" w:rsidRPr="00B46E79" w:rsidRDefault="00EB4F58" w:rsidP="00F73FA1">
      <w:pPr>
        <w:spacing w:after="140" w:line="360" w:lineRule="auto"/>
        <w:ind w:left="720" w:hanging="720"/>
        <w:jc w:val="both"/>
        <w:rPr>
          <w:rFonts w:ascii="Arial" w:hAnsi="Arial" w:cs="Arial"/>
        </w:rPr>
      </w:pPr>
      <w:r w:rsidRPr="00B46E79">
        <w:rPr>
          <w:rFonts w:ascii="Arial" w:eastAsia="Arial" w:hAnsi="Arial" w:cs="Arial"/>
        </w:rPr>
        <w:t xml:space="preserve">Baker, S. et al. (2024) ‘Integrated primary care mental health service: a qualitative exploration of an integrated approach to supporting people with significant mental health problems in primary care’, </w:t>
      </w:r>
      <w:r w:rsidRPr="00B46E79">
        <w:rPr>
          <w:rFonts w:ascii="Arial" w:eastAsia="Arial" w:hAnsi="Arial" w:cs="Arial"/>
          <w:i/>
          <w:iCs/>
        </w:rPr>
        <w:t>Community Mental Health Journal</w:t>
      </w:r>
      <w:r w:rsidRPr="00B46E79">
        <w:rPr>
          <w:rFonts w:ascii="Arial" w:hAnsi="Arial" w:cs="Arial"/>
        </w:rPr>
        <w:t>. doi: 10.1007/s10597-024-01393-1.</w:t>
      </w:r>
    </w:p>
    <w:p w14:paraId="583860F8" w14:textId="77777777" w:rsidR="00EB4F58" w:rsidRPr="00B46E79" w:rsidRDefault="00EB4F58" w:rsidP="00F73FA1">
      <w:pPr>
        <w:spacing w:after="140" w:line="360" w:lineRule="auto"/>
        <w:ind w:left="720" w:hanging="720"/>
        <w:jc w:val="both"/>
        <w:rPr>
          <w:rFonts w:ascii="Arial" w:hAnsi="Arial" w:cs="Arial"/>
        </w:rPr>
      </w:pPr>
      <w:r w:rsidRPr="00B46E79">
        <w:rPr>
          <w:rFonts w:ascii="Arial" w:eastAsia="Arial" w:hAnsi="Arial" w:cs="Arial"/>
        </w:rPr>
        <w:t xml:space="preserve">Britten, N., Ekman, I., Naldemirci, Ö., Javinger, M., Hedman, H. and Wolf, A. (2020) ‘Learning from Gothenburg model of person centred healthcare’, </w:t>
      </w:r>
      <w:r w:rsidRPr="00B46E79">
        <w:rPr>
          <w:rFonts w:ascii="Arial" w:eastAsia="Arial" w:hAnsi="Arial" w:cs="Arial"/>
          <w:i/>
          <w:iCs/>
        </w:rPr>
        <w:t>BMJ</w:t>
      </w:r>
      <w:r w:rsidRPr="00B46E79">
        <w:rPr>
          <w:rFonts w:ascii="Arial" w:hAnsi="Arial" w:cs="Arial"/>
        </w:rPr>
        <w:t>, 370, m2738. doi: 10.1136/bmj.m2738.</w:t>
      </w:r>
    </w:p>
    <w:p w14:paraId="05ECFEB0" w14:textId="77777777" w:rsidR="00EB4F58" w:rsidRPr="00B46E79" w:rsidRDefault="00EB4F58" w:rsidP="00F73FA1">
      <w:pPr>
        <w:spacing w:after="140" w:line="360" w:lineRule="auto"/>
        <w:ind w:left="720" w:hanging="720"/>
        <w:jc w:val="both"/>
        <w:rPr>
          <w:rFonts w:ascii="Arial" w:hAnsi="Arial" w:cs="Arial"/>
        </w:rPr>
      </w:pPr>
      <w:r w:rsidRPr="00B46E79">
        <w:rPr>
          <w:rFonts w:ascii="Arial" w:eastAsia="Arial" w:hAnsi="Arial" w:cs="Arial"/>
        </w:rPr>
        <w:t xml:space="preserve">Daly, T. and Cascio, M.A. (2024) ‘Strengthening autonomy in mental health care through a relational approach’, </w:t>
      </w:r>
      <w:r w:rsidRPr="00B46E79">
        <w:rPr>
          <w:rFonts w:ascii="Arial" w:eastAsia="Arial" w:hAnsi="Arial" w:cs="Arial"/>
          <w:i/>
          <w:iCs/>
        </w:rPr>
        <w:t>Frontiers in Psychiatry</w:t>
      </w:r>
      <w:r w:rsidRPr="00B46E79">
        <w:rPr>
          <w:rFonts w:ascii="Arial" w:hAnsi="Arial" w:cs="Arial"/>
        </w:rPr>
        <w:t>. doi: 10.3389/fpsyt.2024.XXXX.</w:t>
      </w:r>
    </w:p>
    <w:p w14:paraId="6FF34B53" w14:textId="77777777" w:rsidR="00EB4F58" w:rsidRPr="00B46E79" w:rsidRDefault="00EB4F58" w:rsidP="00F73FA1">
      <w:pPr>
        <w:spacing w:after="140" w:line="360" w:lineRule="auto"/>
        <w:ind w:left="720" w:hanging="720"/>
        <w:jc w:val="both"/>
        <w:rPr>
          <w:rFonts w:ascii="Arial" w:hAnsi="Arial" w:cs="Arial"/>
        </w:rPr>
      </w:pPr>
      <w:r w:rsidRPr="00B46E79">
        <w:rPr>
          <w:rFonts w:ascii="Arial" w:eastAsia="Arial" w:hAnsi="Arial" w:cs="Arial"/>
        </w:rPr>
        <w:t xml:space="preserve">Grattidge, L., Haywood, D., Hart, N.H., Hamilton, B.E., Fossey, E., Petrakis, M. and Castle, D.J. (2026) ‘Putting lived experience at the centre: a critical review of multidisciplinary, person-centred mental health care’, </w:t>
      </w:r>
      <w:r w:rsidRPr="00B46E79">
        <w:rPr>
          <w:rFonts w:ascii="Arial" w:eastAsia="Arial" w:hAnsi="Arial" w:cs="Arial"/>
          <w:i/>
          <w:iCs/>
        </w:rPr>
        <w:t>Journal of Multidisciplinary Healthcare</w:t>
      </w:r>
      <w:r w:rsidRPr="00B46E79">
        <w:rPr>
          <w:rFonts w:ascii="Arial" w:hAnsi="Arial" w:cs="Arial"/>
        </w:rPr>
        <w:t>, 19. doi: 10.2147/JMDH.S600579.</w:t>
      </w:r>
    </w:p>
    <w:p w14:paraId="639DA17E" w14:textId="77777777" w:rsidR="00EB4F58" w:rsidRPr="00B46E79" w:rsidRDefault="00EB4F58" w:rsidP="00F73FA1">
      <w:pPr>
        <w:spacing w:after="140" w:line="360" w:lineRule="auto"/>
        <w:ind w:left="720" w:hanging="720"/>
        <w:jc w:val="both"/>
        <w:rPr>
          <w:rFonts w:ascii="Arial" w:hAnsi="Arial" w:cs="Arial"/>
        </w:rPr>
      </w:pPr>
      <w:r w:rsidRPr="00B46E79">
        <w:rPr>
          <w:rFonts w:ascii="Arial" w:eastAsia="Arial" w:hAnsi="Arial" w:cs="Arial"/>
        </w:rPr>
        <w:t xml:space="preserve">Grover, S. et al. (2022) ‘Defining and implementing patient-centered care: an umbrella review’, </w:t>
      </w:r>
      <w:r w:rsidRPr="00B46E79">
        <w:rPr>
          <w:rFonts w:ascii="Arial" w:eastAsia="Arial" w:hAnsi="Arial" w:cs="Arial"/>
          <w:i/>
          <w:iCs/>
        </w:rPr>
        <w:t>Patient Education and Counseling</w:t>
      </w:r>
      <w:r w:rsidRPr="00B46E79">
        <w:rPr>
          <w:rFonts w:ascii="Arial" w:hAnsi="Arial" w:cs="Arial"/>
        </w:rPr>
        <w:t>, 105(7), pp. 1679–1688. doi: 10.1016/j.pec.2021.12.004.</w:t>
      </w:r>
    </w:p>
    <w:p w14:paraId="31493FCF" w14:textId="77777777" w:rsidR="00EB4F58" w:rsidRPr="00B46E79" w:rsidRDefault="00EB4F58" w:rsidP="00F73FA1">
      <w:pPr>
        <w:spacing w:after="140" w:line="360" w:lineRule="auto"/>
        <w:ind w:left="720" w:hanging="720"/>
        <w:jc w:val="both"/>
        <w:rPr>
          <w:rFonts w:ascii="Arial" w:hAnsi="Arial" w:cs="Arial"/>
        </w:rPr>
      </w:pPr>
      <w:r w:rsidRPr="00B46E79">
        <w:rPr>
          <w:rFonts w:ascii="Arial" w:eastAsia="Arial" w:hAnsi="Arial" w:cs="Arial"/>
        </w:rPr>
        <w:t xml:space="preserve">Gyllensten, H. et al. (2025) ‘Person-centred care: state-of-the-art and future perspectives’, </w:t>
      </w:r>
      <w:r w:rsidRPr="00B46E79">
        <w:rPr>
          <w:rFonts w:ascii="Arial" w:eastAsia="Arial" w:hAnsi="Arial" w:cs="Arial"/>
          <w:i/>
          <w:iCs/>
        </w:rPr>
        <w:t>Current Heart Failure Reports</w:t>
      </w:r>
      <w:r w:rsidRPr="00B46E79">
        <w:rPr>
          <w:rFonts w:ascii="Arial" w:hAnsi="Arial" w:cs="Arial"/>
        </w:rPr>
        <w:t>, 22(1), 15. doi: 10.1007/s11897-025-00702-3.</w:t>
      </w:r>
    </w:p>
    <w:p w14:paraId="6221A44A" w14:textId="77777777" w:rsidR="00EB4F58" w:rsidRPr="00B46E79" w:rsidRDefault="00EB4F58" w:rsidP="00F73FA1">
      <w:pPr>
        <w:spacing w:after="140" w:line="360" w:lineRule="auto"/>
        <w:ind w:left="720" w:hanging="720"/>
        <w:jc w:val="both"/>
        <w:rPr>
          <w:rFonts w:ascii="Arial" w:hAnsi="Arial" w:cs="Arial"/>
        </w:rPr>
      </w:pPr>
      <w:r w:rsidRPr="00B46E79">
        <w:rPr>
          <w:rFonts w:ascii="Arial" w:eastAsia="Arial" w:hAnsi="Arial" w:cs="Arial"/>
        </w:rPr>
        <w:t xml:space="preserve">McDonough, J. (2025) ‘“Am I safe here? Am I going to be let down?” Disentangling tensions in the pursuit of person-centred and consumer directed care in the Australian mental healthcare context’, </w:t>
      </w:r>
      <w:r w:rsidRPr="00B46E79">
        <w:rPr>
          <w:rFonts w:ascii="Arial" w:eastAsia="Arial" w:hAnsi="Arial" w:cs="Arial"/>
          <w:i/>
          <w:iCs/>
        </w:rPr>
        <w:t>International Journal of Mental Health Nursing</w:t>
      </w:r>
      <w:r w:rsidRPr="00B46E79">
        <w:rPr>
          <w:rFonts w:ascii="Arial" w:hAnsi="Arial" w:cs="Arial"/>
        </w:rPr>
        <w:t>. doi: 10.1111/inm.70177.</w:t>
      </w:r>
    </w:p>
    <w:p w14:paraId="3FA89EA6" w14:textId="77777777" w:rsidR="00EB4F58" w:rsidRPr="00B46E79" w:rsidRDefault="00EB4F58" w:rsidP="00F73FA1">
      <w:pPr>
        <w:spacing w:after="140" w:line="360" w:lineRule="auto"/>
        <w:ind w:left="720" w:hanging="720"/>
        <w:jc w:val="both"/>
        <w:rPr>
          <w:rFonts w:ascii="Arial" w:hAnsi="Arial" w:cs="Arial"/>
        </w:rPr>
      </w:pPr>
      <w:r w:rsidRPr="00B46E79">
        <w:rPr>
          <w:rFonts w:ascii="Arial" w:eastAsia="Arial" w:hAnsi="Arial" w:cs="Arial"/>
        </w:rPr>
        <w:lastRenderedPageBreak/>
        <w:t xml:space="preserve">Ruud, T. et al. (2025) ‘A collaborative primary and mental health care model with psychologist and psychiatrist working in GP practices: process evaluation of the implementation, challenges, and sustainability’, </w:t>
      </w:r>
      <w:r w:rsidRPr="00B46E79">
        <w:rPr>
          <w:rFonts w:ascii="Arial" w:eastAsia="Arial" w:hAnsi="Arial" w:cs="Arial"/>
          <w:i/>
          <w:iCs/>
        </w:rPr>
        <w:t>BMC Health Services Research</w:t>
      </w:r>
      <w:r w:rsidRPr="00B46E79">
        <w:rPr>
          <w:rFonts w:ascii="Arial" w:hAnsi="Arial" w:cs="Arial"/>
        </w:rPr>
        <w:t>, 25, 1178. doi: 10.1186/s12913-025-13408-y.</w:t>
      </w:r>
    </w:p>
    <w:p w14:paraId="42DB1222" w14:textId="77777777" w:rsidR="00EB4F58" w:rsidRPr="00B46E79" w:rsidRDefault="00EB4F58" w:rsidP="00F73FA1">
      <w:pPr>
        <w:spacing w:after="140" w:line="360" w:lineRule="auto"/>
        <w:ind w:left="720" w:hanging="720"/>
        <w:jc w:val="both"/>
        <w:rPr>
          <w:rFonts w:ascii="Arial" w:hAnsi="Arial" w:cs="Arial"/>
        </w:rPr>
      </w:pPr>
      <w:r w:rsidRPr="00B46E79">
        <w:rPr>
          <w:rFonts w:ascii="Arial" w:eastAsia="Arial" w:hAnsi="Arial" w:cs="Arial"/>
        </w:rPr>
        <w:t xml:space="preserve">Thorburn, K., Aadam, B., Waks, S., Bellingham, B., Harris, M.F., Fisher, K.R. and Spooner, C. (2025) ‘Mental health consumers and primary care providers co-designing improvements and innovations: a scoping review’, </w:t>
      </w:r>
      <w:r w:rsidRPr="00B46E79">
        <w:rPr>
          <w:rFonts w:ascii="Arial" w:eastAsia="Arial" w:hAnsi="Arial" w:cs="Arial"/>
          <w:i/>
          <w:iCs/>
        </w:rPr>
        <w:t>Australian Journal of Primary Health</w:t>
      </w:r>
      <w:r w:rsidRPr="00B46E79">
        <w:rPr>
          <w:rFonts w:ascii="Arial" w:hAnsi="Arial" w:cs="Arial"/>
        </w:rPr>
        <w:t>, 31, PY24104. doi: 10.1071/PY24104.</w:t>
      </w:r>
    </w:p>
    <w:p w14:paraId="2D29FEEB" w14:textId="77777777" w:rsidR="00EB4F58" w:rsidRPr="00B46E79" w:rsidRDefault="00EB4F58" w:rsidP="00F73FA1">
      <w:pPr>
        <w:spacing w:line="360" w:lineRule="auto"/>
        <w:jc w:val="both"/>
        <w:rPr>
          <w:rFonts w:ascii="Arial" w:hAnsi="Arial" w:cs="Arial"/>
        </w:rPr>
      </w:pPr>
    </w:p>
    <w:p w14:paraId="364E7F74" w14:textId="77777777" w:rsidR="00EB4F58" w:rsidRPr="00B46E79" w:rsidRDefault="00EB4F58" w:rsidP="00F73FA1">
      <w:pPr>
        <w:spacing w:line="360" w:lineRule="auto"/>
        <w:ind w:firstLine="720"/>
        <w:jc w:val="both"/>
        <w:rPr>
          <w:rFonts w:ascii="Arial" w:hAnsi="Arial" w:cs="Arial"/>
        </w:rPr>
      </w:pPr>
    </w:p>
    <w:sectPr w:rsidR="00EB4F58" w:rsidRPr="00B46E7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939"/>
    <w:rsid w:val="0000638E"/>
    <w:rsid w:val="00177D46"/>
    <w:rsid w:val="003133A9"/>
    <w:rsid w:val="00424719"/>
    <w:rsid w:val="00575E00"/>
    <w:rsid w:val="0061146C"/>
    <w:rsid w:val="007A7618"/>
    <w:rsid w:val="007F62AA"/>
    <w:rsid w:val="008265C8"/>
    <w:rsid w:val="008B0C94"/>
    <w:rsid w:val="00A06B8C"/>
    <w:rsid w:val="00B33F50"/>
    <w:rsid w:val="00B35939"/>
    <w:rsid w:val="00B43495"/>
    <w:rsid w:val="00B46E79"/>
    <w:rsid w:val="00D55C53"/>
    <w:rsid w:val="00D6796A"/>
    <w:rsid w:val="00EB4F58"/>
    <w:rsid w:val="00F234B8"/>
    <w:rsid w:val="00F73FA1"/>
    <w:rsid w:val="00F97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3117A"/>
  <w15:chartTrackingRefBased/>
  <w15:docId w15:val="{B716A896-4B30-4254-B429-771ED0CFA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46C"/>
    <w:pPr>
      <w:keepNext/>
      <w:keepLines/>
      <w:spacing w:before="360" w:after="80"/>
      <w:outlineLvl w:val="0"/>
    </w:pPr>
    <w:rPr>
      <w:rFonts w:ascii="Times New Roman" w:eastAsiaTheme="majorEastAsia" w:hAnsi="Times New Roman" w:cstheme="majorBidi"/>
      <w:b/>
      <w:sz w:val="26"/>
      <w:szCs w:val="40"/>
    </w:rPr>
  </w:style>
  <w:style w:type="paragraph" w:styleId="Heading2">
    <w:name w:val="heading 2"/>
    <w:basedOn w:val="Normal"/>
    <w:next w:val="Normal"/>
    <w:link w:val="Heading2Char"/>
    <w:uiPriority w:val="9"/>
    <w:unhideWhenUsed/>
    <w:qFormat/>
    <w:rsid w:val="00A06B8C"/>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A06B8C"/>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B3593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3593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359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59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59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59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46C"/>
    <w:rPr>
      <w:rFonts w:ascii="Times New Roman" w:eastAsiaTheme="majorEastAsia" w:hAnsi="Times New Roman" w:cstheme="majorBidi"/>
      <w:b/>
      <w:sz w:val="26"/>
      <w:szCs w:val="40"/>
    </w:rPr>
  </w:style>
  <w:style w:type="character" w:customStyle="1" w:styleId="Heading2Char">
    <w:name w:val="Heading 2 Char"/>
    <w:basedOn w:val="DefaultParagraphFont"/>
    <w:link w:val="Heading2"/>
    <w:uiPriority w:val="9"/>
    <w:rsid w:val="00A06B8C"/>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A06B8C"/>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B3593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3593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359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59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59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5939"/>
    <w:rPr>
      <w:rFonts w:eastAsiaTheme="majorEastAsia" w:cstheme="majorBidi"/>
      <w:color w:val="272727" w:themeColor="text1" w:themeTint="D8"/>
    </w:rPr>
  </w:style>
  <w:style w:type="paragraph" w:styleId="Title">
    <w:name w:val="Title"/>
    <w:basedOn w:val="Normal"/>
    <w:next w:val="Normal"/>
    <w:link w:val="TitleChar"/>
    <w:uiPriority w:val="10"/>
    <w:qFormat/>
    <w:rsid w:val="00B359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59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59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59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5939"/>
    <w:pPr>
      <w:spacing w:before="160"/>
      <w:jc w:val="center"/>
    </w:pPr>
    <w:rPr>
      <w:i/>
      <w:iCs/>
      <w:color w:val="404040" w:themeColor="text1" w:themeTint="BF"/>
    </w:rPr>
  </w:style>
  <w:style w:type="character" w:customStyle="1" w:styleId="QuoteChar">
    <w:name w:val="Quote Char"/>
    <w:basedOn w:val="DefaultParagraphFont"/>
    <w:link w:val="Quote"/>
    <w:uiPriority w:val="29"/>
    <w:rsid w:val="00B35939"/>
    <w:rPr>
      <w:i/>
      <w:iCs/>
      <w:color w:val="404040" w:themeColor="text1" w:themeTint="BF"/>
    </w:rPr>
  </w:style>
  <w:style w:type="paragraph" w:styleId="ListParagraph">
    <w:name w:val="List Paragraph"/>
    <w:basedOn w:val="Normal"/>
    <w:uiPriority w:val="34"/>
    <w:qFormat/>
    <w:rsid w:val="00B35939"/>
    <w:pPr>
      <w:ind w:left="720"/>
      <w:contextualSpacing/>
    </w:pPr>
  </w:style>
  <w:style w:type="character" w:styleId="IntenseEmphasis">
    <w:name w:val="Intense Emphasis"/>
    <w:basedOn w:val="DefaultParagraphFont"/>
    <w:uiPriority w:val="21"/>
    <w:qFormat/>
    <w:rsid w:val="00B35939"/>
    <w:rPr>
      <w:i/>
      <w:iCs/>
      <w:color w:val="2F5496" w:themeColor="accent1" w:themeShade="BF"/>
    </w:rPr>
  </w:style>
  <w:style w:type="paragraph" w:styleId="IntenseQuote">
    <w:name w:val="Intense Quote"/>
    <w:basedOn w:val="Normal"/>
    <w:next w:val="Normal"/>
    <w:link w:val="IntenseQuoteChar"/>
    <w:uiPriority w:val="30"/>
    <w:qFormat/>
    <w:rsid w:val="00B359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35939"/>
    <w:rPr>
      <w:i/>
      <w:iCs/>
      <w:color w:val="2F5496" w:themeColor="accent1" w:themeShade="BF"/>
    </w:rPr>
  </w:style>
  <w:style w:type="character" w:styleId="IntenseReference">
    <w:name w:val="Intense Reference"/>
    <w:basedOn w:val="DefaultParagraphFont"/>
    <w:uiPriority w:val="32"/>
    <w:qFormat/>
    <w:rsid w:val="00B35939"/>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11</Pages>
  <Words>2509</Words>
  <Characters>14306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 BBTEC202171890</dc:creator>
  <cp:keywords/>
  <dc:description/>
  <cp:lastModifiedBy>Sabia Alam (2507875)</cp:lastModifiedBy>
  <cp:revision>8</cp:revision>
  <dcterms:created xsi:type="dcterms:W3CDTF">2026-10-15T11:27:00Z</dcterms:created>
  <dcterms:modified xsi:type="dcterms:W3CDTF">2026-10-17T20:12:00Z</dcterms:modified>
</cp:coreProperties>
</file>