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3741F" w14:textId="77777777" w:rsidR="003A09B3" w:rsidRPr="003A09B3" w:rsidRDefault="008E2C4C" w:rsidP="00C050D6">
      <w:pPr>
        <w:spacing w:before="0" w:beforeAutospacing="0" w:after="0" w:afterAutospacing="0"/>
        <w:jc w:val="center"/>
        <w:rPr>
          <w:rFonts w:ascii="Arial" w:hAnsi="Arial" w:cs="Arial"/>
          <w:b/>
          <w:bCs/>
          <w:sz w:val="28"/>
          <w:szCs w:val="28"/>
        </w:rPr>
      </w:pPr>
      <w:r w:rsidRPr="003A09B3">
        <w:rPr>
          <w:rFonts w:ascii="Arial" w:hAnsi="Arial" w:cs="Arial"/>
          <w:noProof/>
          <w:lang w:eastAsia="en-GB"/>
        </w:rPr>
        <w:drawing>
          <wp:anchor distT="0" distB="0" distL="114300" distR="114300" simplePos="0" relativeHeight="251658240" behindDoc="0" locked="0" layoutInCell="1" allowOverlap="1" wp14:anchorId="5EC8F1FB" wp14:editId="5DF8207E">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6A7AC99D" w14:textId="77777777" w:rsidR="003A09B3" w:rsidRPr="003A09B3" w:rsidRDefault="003A09B3" w:rsidP="00C050D6">
      <w:pPr>
        <w:spacing w:before="0" w:beforeAutospacing="0" w:after="0" w:afterAutospacing="0"/>
        <w:jc w:val="center"/>
        <w:rPr>
          <w:rFonts w:ascii="Arial" w:hAnsi="Arial" w:cs="Arial"/>
          <w:b/>
          <w:bCs/>
          <w:sz w:val="28"/>
          <w:szCs w:val="28"/>
        </w:rPr>
      </w:pPr>
    </w:p>
    <w:p w14:paraId="03956BA6" w14:textId="77777777" w:rsidR="003A09B3" w:rsidRPr="003A09B3" w:rsidRDefault="003A09B3" w:rsidP="00C050D6">
      <w:pPr>
        <w:spacing w:before="0" w:beforeAutospacing="0" w:after="0" w:afterAutospacing="0"/>
        <w:jc w:val="center"/>
        <w:rPr>
          <w:rFonts w:ascii="Arial" w:hAnsi="Arial" w:cs="Arial"/>
          <w:b/>
          <w:bCs/>
          <w:sz w:val="28"/>
          <w:szCs w:val="28"/>
        </w:rPr>
      </w:pPr>
    </w:p>
    <w:p w14:paraId="164F6A17" w14:textId="77777777" w:rsidR="003A09B3" w:rsidRPr="003A09B3" w:rsidRDefault="003A09B3" w:rsidP="00C050D6">
      <w:pPr>
        <w:spacing w:before="0" w:beforeAutospacing="0" w:after="0" w:afterAutospacing="0"/>
        <w:jc w:val="center"/>
        <w:rPr>
          <w:rFonts w:ascii="Arial" w:hAnsi="Arial" w:cs="Arial"/>
          <w:b/>
          <w:bCs/>
          <w:sz w:val="28"/>
          <w:szCs w:val="28"/>
        </w:rPr>
      </w:pPr>
    </w:p>
    <w:p w14:paraId="42D6D5E8" w14:textId="46E94F34" w:rsidR="00F865F0"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 xml:space="preserve">Student Name:                Naomi </w:t>
      </w:r>
      <w:proofErr w:type="spellStart"/>
      <w:r>
        <w:rPr>
          <w:rFonts w:ascii="Arial" w:hAnsi="Arial" w:cs="Arial"/>
          <w:b/>
          <w:bCs/>
          <w:sz w:val="28"/>
          <w:szCs w:val="28"/>
        </w:rPr>
        <w:t>Akossua</w:t>
      </w:r>
      <w:proofErr w:type="spellEnd"/>
    </w:p>
    <w:p w14:paraId="0C336BC9" w14:textId="77777777" w:rsidR="00F865F0" w:rsidRDefault="00F865F0" w:rsidP="00F865F0">
      <w:pPr>
        <w:spacing w:before="0" w:beforeAutospacing="0" w:after="0" w:afterAutospacing="0"/>
        <w:rPr>
          <w:rFonts w:ascii="Arial" w:hAnsi="Arial" w:cs="Arial"/>
          <w:b/>
          <w:bCs/>
          <w:sz w:val="28"/>
          <w:szCs w:val="28"/>
        </w:rPr>
      </w:pPr>
    </w:p>
    <w:p w14:paraId="3A12E471" w14:textId="41A50F40" w:rsidR="00F865F0"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Student Number:            2324063</w:t>
      </w:r>
    </w:p>
    <w:p w14:paraId="07F0A778" w14:textId="77777777" w:rsidR="00F865F0" w:rsidRDefault="00F865F0" w:rsidP="00F865F0">
      <w:pPr>
        <w:spacing w:before="0" w:beforeAutospacing="0" w:after="0" w:afterAutospacing="0"/>
        <w:rPr>
          <w:rFonts w:ascii="Arial" w:hAnsi="Arial" w:cs="Arial"/>
          <w:b/>
          <w:bCs/>
          <w:sz w:val="28"/>
          <w:szCs w:val="28"/>
        </w:rPr>
      </w:pPr>
    </w:p>
    <w:p w14:paraId="6173BC3B" w14:textId="77777777" w:rsidR="00F865F0"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Module Tittle:                   Introduction to Independent Research Skills</w:t>
      </w:r>
    </w:p>
    <w:p w14:paraId="663F1D33" w14:textId="77777777" w:rsidR="00F865F0" w:rsidRDefault="00F865F0" w:rsidP="00F865F0">
      <w:pPr>
        <w:spacing w:before="0" w:beforeAutospacing="0" w:after="0" w:afterAutospacing="0"/>
        <w:rPr>
          <w:rFonts w:ascii="Arial" w:hAnsi="Arial" w:cs="Arial"/>
          <w:b/>
          <w:bCs/>
          <w:sz w:val="28"/>
          <w:szCs w:val="28"/>
        </w:rPr>
      </w:pPr>
    </w:p>
    <w:p w14:paraId="003CBC62" w14:textId="77777777" w:rsidR="00F865F0"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Module Code:               BMHP5019</w:t>
      </w:r>
    </w:p>
    <w:p w14:paraId="4F69E15A" w14:textId="77777777" w:rsidR="00F865F0" w:rsidRDefault="00F865F0" w:rsidP="00F865F0">
      <w:pPr>
        <w:spacing w:before="0" w:beforeAutospacing="0" w:after="0" w:afterAutospacing="0"/>
        <w:rPr>
          <w:rFonts w:ascii="Arial" w:hAnsi="Arial" w:cs="Arial"/>
          <w:b/>
          <w:bCs/>
          <w:sz w:val="28"/>
          <w:szCs w:val="28"/>
        </w:rPr>
      </w:pPr>
    </w:p>
    <w:p w14:paraId="43114751" w14:textId="77777777" w:rsidR="00F865F0"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Lecturer:                      Philip Jones</w:t>
      </w:r>
    </w:p>
    <w:p w14:paraId="0A223C7C" w14:textId="77777777" w:rsidR="00F865F0" w:rsidRDefault="00F865F0" w:rsidP="00F865F0">
      <w:pPr>
        <w:spacing w:before="0" w:beforeAutospacing="0" w:after="0" w:afterAutospacing="0"/>
        <w:rPr>
          <w:rFonts w:ascii="Arial" w:hAnsi="Arial" w:cs="Arial"/>
          <w:b/>
          <w:bCs/>
          <w:sz w:val="28"/>
          <w:szCs w:val="28"/>
        </w:rPr>
      </w:pPr>
    </w:p>
    <w:p w14:paraId="5A75646F" w14:textId="77777777" w:rsidR="007E6472" w:rsidRDefault="00F865F0" w:rsidP="00F865F0">
      <w:pPr>
        <w:spacing w:before="0" w:beforeAutospacing="0" w:after="0" w:afterAutospacing="0"/>
        <w:rPr>
          <w:rFonts w:ascii="Arial" w:hAnsi="Arial" w:cs="Arial"/>
          <w:b/>
          <w:bCs/>
          <w:sz w:val="28"/>
          <w:szCs w:val="28"/>
        </w:rPr>
      </w:pPr>
      <w:r>
        <w:rPr>
          <w:rFonts w:ascii="Arial" w:hAnsi="Arial" w:cs="Arial"/>
          <w:b/>
          <w:bCs/>
          <w:sz w:val="28"/>
          <w:szCs w:val="28"/>
        </w:rPr>
        <w:t xml:space="preserve">Assignment Tittle:     Component 1 (Research </w:t>
      </w:r>
      <w:r w:rsidR="007E6472">
        <w:rPr>
          <w:rFonts w:ascii="Arial" w:hAnsi="Arial" w:cs="Arial"/>
          <w:b/>
          <w:bCs/>
          <w:sz w:val="28"/>
          <w:szCs w:val="28"/>
        </w:rPr>
        <w:t xml:space="preserve">Proposal) </w:t>
      </w:r>
    </w:p>
    <w:p w14:paraId="22B936D4" w14:textId="77777777" w:rsidR="007E6472" w:rsidRDefault="007E6472" w:rsidP="00F865F0">
      <w:pPr>
        <w:spacing w:before="0" w:beforeAutospacing="0" w:after="0" w:afterAutospacing="0"/>
        <w:rPr>
          <w:rFonts w:ascii="Arial" w:hAnsi="Arial" w:cs="Arial"/>
          <w:b/>
          <w:bCs/>
          <w:sz w:val="28"/>
          <w:szCs w:val="28"/>
        </w:rPr>
      </w:pPr>
    </w:p>
    <w:p w14:paraId="3A1578A5" w14:textId="325E50BF" w:rsidR="003A09B3" w:rsidRPr="00F865F0" w:rsidRDefault="007E6472" w:rsidP="00F865F0">
      <w:pPr>
        <w:spacing w:before="0" w:beforeAutospacing="0" w:after="0" w:afterAutospacing="0"/>
        <w:rPr>
          <w:rFonts w:ascii="Arial" w:hAnsi="Arial" w:cs="Arial"/>
          <w:b/>
          <w:bCs/>
          <w:sz w:val="28"/>
          <w:szCs w:val="28"/>
        </w:rPr>
      </w:pPr>
      <w:r>
        <w:rPr>
          <w:rFonts w:ascii="Arial" w:hAnsi="Arial" w:cs="Arial"/>
          <w:b/>
          <w:bCs/>
          <w:sz w:val="28"/>
          <w:szCs w:val="28"/>
        </w:rPr>
        <w:t>Submission Date:       6</w:t>
      </w:r>
      <w:r w:rsidRPr="007E6472">
        <w:rPr>
          <w:rFonts w:ascii="Arial" w:hAnsi="Arial" w:cs="Arial"/>
          <w:b/>
          <w:bCs/>
          <w:sz w:val="28"/>
          <w:szCs w:val="28"/>
          <w:vertAlign w:val="superscript"/>
        </w:rPr>
        <w:t>th</w:t>
      </w:r>
      <w:r>
        <w:rPr>
          <w:rFonts w:ascii="Arial" w:hAnsi="Arial" w:cs="Arial"/>
          <w:b/>
          <w:bCs/>
          <w:sz w:val="28"/>
          <w:szCs w:val="28"/>
        </w:rPr>
        <w:t xml:space="preserve"> October 2025</w:t>
      </w:r>
      <w:r w:rsidR="008E2C4C" w:rsidRPr="003A09B3">
        <w:rPr>
          <w:rFonts w:ascii="Arial" w:hAnsi="Arial" w:cs="Arial"/>
          <w:b/>
          <w:bCs/>
          <w:sz w:val="28"/>
          <w:szCs w:val="28"/>
        </w:rPr>
        <w:br w:type="page"/>
      </w:r>
    </w:p>
    <w:sdt>
      <w:sdtPr>
        <w:rPr>
          <w:rFonts w:ascii="Arial" w:hAnsi="Arial" w:cs="Arial"/>
          <w:b/>
          <w:bCs/>
          <w:sz w:val="28"/>
          <w:szCs w:val="24"/>
        </w:rPr>
        <w:id w:val="2111619173"/>
        <w:docPartObj>
          <w:docPartGallery w:val="Table of Contents"/>
          <w:docPartUnique/>
        </w:docPartObj>
      </w:sdtPr>
      <w:sdtEndPr>
        <w:rPr>
          <w:sz w:val="24"/>
          <w:szCs w:val="22"/>
        </w:rPr>
      </w:sdtEndPr>
      <w:sdtContent>
        <w:p w14:paraId="64C2233D" w14:textId="77777777" w:rsidR="003A09B3" w:rsidRPr="003A09B3" w:rsidRDefault="008E2C4C" w:rsidP="00C050D6">
          <w:pPr>
            <w:spacing w:before="0" w:beforeAutospacing="0" w:after="0" w:afterAutospacing="0"/>
            <w:jc w:val="center"/>
            <w:rPr>
              <w:rFonts w:ascii="Arial" w:hAnsi="Arial" w:cs="Arial"/>
              <w:b/>
              <w:bCs/>
              <w:sz w:val="28"/>
              <w:szCs w:val="24"/>
            </w:rPr>
          </w:pPr>
          <w:r w:rsidRPr="003A09B3">
            <w:rPr>
              <w:rFonts w:ascii="Arial" w:hAnsi="Arial" w:cs="Arial"/>
              <w:b/>
              <w:bCs/>
              <w:sz w:val="28"/>
              <w:szCs w:val="24"/>
            </w:rPr>
            <w:t>Table of Contents</w:t>
          </w:r>
        </w:p>
        <w:p w14:paraId="06CEB813" w14:textId="77777777" w:rsidR="003A09B3" w:rsidRPr="003A09B3" w:rsidRDefault="008E2C4C" w:rsidP="00C050D6">
          <w:pPr>
            <w:pStyle w:val="TOC1"/>
            <w:tabs>
              <w:tab w:val="right" w:leader="dot" w:pos="9016"/>
            </w:tabs>
            <w:spacing w:before="0" w:beforeAutospacing="0" w:after="0" w:afterAutospacing="0"/>
            <w:rPr>
              <w:rFonts w:ascii="Arial" w:hAnsi="Arial" w:cs="Arial"/>
              <w:noProof/>
            </w:rPr>
          </w:pPr>
          <w:r w:rsidRPr="003A09B3">
            <w:rPr>
              <w:rFonts w:ascii="Arial" w:hAnsi="Arial" w:cs="Arial"/>
            </w:rPr>
            <w:fldChar w:fldCharType="begin"/>
          </w:r>
          <w:r w:rsidRPr="003A09B3">
            <w:rPr>
              <w:rFonts w:ascii="Arial" w:hAnsi="Arial" w:cs="Arial"/>
            </w:rPr>
            <w:instrText xml:space="preserve"> TOC \o "1-3" \h \z \u </w:instrText>
          </w:r>
          <w:r w:rsidRPr="003A09B3">
            <w:rPr>
              <w:rFonts w:ascii="Arial" w:hAnsi="Arial" w:cs="Arial"/>
            </w:rPr>
            <w:fldChar w:fldCharType="separate"/>
          </w:r>
          <w:hyperlink w:anchor="_Toc209012672" w:history="1">
            <w:r w:rsidR="003A09B3" w:rsidRPr="003A09B3">
              <w:rPr>
                <w:rStyle w:val="Hyperlink"/>
                <w:rFonts w:ascii="Arial" w:hAnsi="Arial" w:cs="Arial"/>
                <w:noProof/>
              </w:rPr>
              <w:t>1. Background and Rationale</w:t>
            </w:r>
            <w:r w:rsidR="003A09B3" w:rsidRPr="003A09B3">
              <w:rPr>
                <w:rFonts w:ascii="Arial" w:hAnsi="Arial" w:cs="Arial"/>
                <w:noProof/>
                <w:webHidden/>
              </w:rPr>
              <w:tab/>
            </w:r>
            <w:r w:rsidR="003A09B3" w:rsidRPr="003A09B3">
              <w:rPr>
                <w:rFonts w:ascii="Arial" w:hAnsi="Arial" w:cs="Arial"/>
                <w:noProof/>
                <w:webHidden/>
              </w:rPr>
              <w:fldChar w:fldCharType="begin"/>
            </w:r>
            <w:r w:rsidR="003A09B3" w:rsidRPr="003A09B3">
              <w:rPr>
                <w:rFonts w:ascii="Arial" w:hAnsi="Arial" w:cs="Arial"/>
                <w:noProof/>
                <w:webHidden/>
              </w:rPr>
              <w:instrText xml:space="preserve"> PAGEREF _Toc209012672 \h </w:instrText>
            </w:r>
            <w:r w:rsidR="003A09B3" w:rsidRPr="003A09B3">
              <w:rPr>
                <w:rFonts w:ascii="Arial" w:hAnsi="Arial" w:cs="Arial"/>
                <w:noProof/>
                <w:webHidden/>
              </w:rPr>
            </w:r>
            <w:r w:rsidR="003A09B3" w:rsidRPr="003A09B3">
              <w:rPr>
                <w:rFonts w:ascii="Arial" w:hAnsi="Arial" w:cs="Arial"/>
                <w:noProof/>
                <w:webHidden/>
              </w:rPr>
              <w:fldChar w:fldCharType="separate"/>
            </w:r>
            <w:r w:rsidR="003A09B3" w:rsidRPr="003A09B3">
              <w:rPr>
                <w:rFonts w:ascii="Arial" w:hAnsi="Arial" w:cs="Arial"/>
                <w:noProof/>
                <w:webHidden/>
              </w:rPr>
              <w:t>3</w:t>
            </w:r>
            <w:r w:rsidR="003A09B3" w:rsidRPr="003A09B3">
              <w:rPr>
                <w:rFonts w:ascii="Arial" w:hAnsi="Arial" w:cs="Arial"/>
                <w:noProof/>
                <w:webHidden/>
              </w:rPr>
              <w:fldChar w:fldCharType="end"/>
            </w:r>
          </w:hyperlink>
        </w:p>
        <w:p w14:paraId="43786D5F" w14:textId="77777777" w:rsidR="003A09B3" w:rsidRPr="003A09B3" w:rsidRDefault="003A09B3" w:rsidP="00C050D6">
          <w:pPr>
            <w:pStyle w:val="TOC1"/>
            <w:tabs>
              <w:tab w:val="right" w:leader="dot" w:pos="9016"/>
            </w:tabs>
            <w:spacing w:before="0" w:beforeAutospacing="0" w:after="0" w:afterAutospacing="0"/>
            <w:rPr>
              <w:rFonts w:ascii="Arial" w:hAnsi="Arial" w:cs="Arial"/>
              <w:noProof/>
            </w:rPr>
          </w:pPr>
          <w:hyperlink w:anchor="_Toc209012673" w:history="1">
            <w:r w:rsidRPr="003A09B3">
              <w:rPr>
                <w:rStyle w:val="Hyperlink"/>
                <w:rFonts w:ascii="Arial" w:hAnsi="Arial" w:cs="Arial"/>
                <w:noProof/>
              </w:rPr>
              <w:t>2. Research Aim and Objectives</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_Toc209012673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3</w:t>
            </w:r>
            <w:r w:rsidRPr="003A09B3">
              <w:rPr>
                <w:rFonts w:ascii="Arial" w:hAnsi="Arial" w:cs="Arial"/>
                <w:noProof/>
                <w:webHidden/>
              </w:rPr>
              <w:fldChar w:fldCharType="end"/>
            </w:r>
          </w:hyperlink>
        </w:p>
        <w:p w14:paraId="7E089F63" w14:textId="77777777" w:rsidR="003A09B3" w:rsidRPr="003A09B3" w:rsidRDefault="003A09B3" w:rsidP="00C050D6">
          <w:pPr>
            <w:pStyle w:val="TOC1"/>
            <w:tabs>
              <w:tab w:val="right" w:leader="dot" w:pos="9016"/>
            </w:tabs>
            <w:spacing w:before="0" w:beforeAutospacing="0" w:after="0" w:afterAutospacing="0"/>
            <w:rPr>
              <w:rFonts w:ascii="Arial" w:hAnsi="Arial" w:cs="Arial"/>
              <w:noProof/>
            </w:rPr>
          </w:pPr>
          <w:hyperlink w:anchor="_Toc209012674" w:history="1">
            <w:r w:rsidRPr="003A09B3">
              <w:rPr>
                <w:rStyle w:val="Hyperlink"/>
                <w:rFonts w:ascii="Arial" w:hAnsi="Arial" w:cs="Arial"/>
                <w:noProof/>
              </w:rPr>
              <w:t>3. Methodology</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_Toc209012674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4</w:t>
            </w:r>
            <w:r w:rsidRPr="003A09B3">
              <w:rPr>
                <w:rFonts w:ascii="Arial" w:hAnsi="Arial" w:cs="Arial"/>
                <w:noProof/>
                <w:webHidden/>
              </w:rPr>
              <w:fldChar w:fldCharType="end"/>
            </w:r>
          </w:hyperlink>
        </w:p>
        <w:p w14:paraId="2BD79CEA" w14:textId="77777777" w:rsidR="003A09B3" w:rsidRPr="003A09B3" w:rsidRDefault="003A09B3" w:rsidP="00C050D6">
          <w:pPr>
            <w:pStyle w:val="TOC2"/>
            <w:tabs>
              <w:tab w:val="right" w:leader="dot" w:pos="9016"/>
            </w:tabs>
            <w:spacing w:before="0" w:beforeAutospacing="0" w:after="0" w:afterAutospacing="0"/>
            <w:rPr>
              <w:rFonts w:ascii="Arial" w:hAnsi="Arial" w:cs="Arial"/>
              <w:noProof/>
            </w:rPr>
          </w:pPr>
          <w:hyperlink w:anchor="_Toc209012675" w:history="1">
            <w:r w:rsidRPr="003A09B3">
              <w:rPr>
                <w:rStyle w:val="Hyperlink"/>
                <w:rFonts w:ascii="Arial" w:hAnsi="Arial" w:cs="Arial"/>
                <w:noProof/>
              </w:rPr>
              <w:t>3.1 Scoping review framework</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_Toc209012675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4</w:t>
            </w:r>
            <w:r w:rsidRPr="003A09B3">
              <w:rPr>
                <w:rFonts w:ascii="Arial" w:hAnsi="Arial" w:cs="Arial"/>
                <w:noProof/>
                <w:webHidden/>
              </w:rPr>
              <w:fldChar w:fldCharType="end"/>
            </w:r>
          </w:hyperlink>
        </w:p>
        <w:p w14:paraId="09AB91E8" w14:textId="77777777" w:rsidR="003A09B3" w:rsidRPr="003A09B3" w:rsidRDefault="003A09B3" w:rsidP="00C050D6">
          <w:pPr>
            <w:pStyle w:val="TOC2"/>
            <w:tabs>
              <w:tab w:val="right" w:leader="dot" w:pos="9016"/>
            </w:tabs>
            <w:spacing w:before="0" w:beforeAutospacing="0" w:after="0" w:afterAutospacing="0"/>
            <w:rPr>
              <w:rFonts w:ascii="Arial" w:hAnsi="Arial" w:cs="Arial"/>
              <w:noProof/>
            </w:rPr>
          </w:pPr>
          <w:hyperlink w:anchor="_Toc209012676" w:history="1">
            <w:r w:rsidRPr="003A09B3">
              <w:rPr>
                <w:rStyle w:val="Hyperlink"/>
                <w:rFonts w:ascii="Arial" w:hAnsi="Arial" w:cs="Arial"/>
                <w:noProof/>
              </w:rPr>
              <w:t>3.2 Research question</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_Toc209012676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4</w:t>
            </w:r>
            <w:r w:rsidRPr="003A09B3">
              <w:rPr>
                <w:rFonts w:ascii="Arial" w:hAnsi="Arial" w:cs="Arial"/>
                <w:noProof/>
                <w:webHidden/>
              </w:rPr>
              <w:fldChar w:fldCharType="end"/>
            </w:r>
          </w:hyperlink>
        </w:p>
        <w:p w14:paraId="16091D0B" w14:textId="77777777" w:rsidR="003A09B3" w:rsidRPr="003A09B3" w:rsidRDefault="003A09B3" w:rsidP="00C050D6">
          <w:pPr>
            <w:pStyle w:val="TOC2"/>
            <w:tabs>
              <w:tab w:val="right" w:leader="dot" w:pos="9016"/>
            </w:tabs>
            <w:spacing w:before="0" w:beforeAutospacing="0" w:after="0" w:afterAutospacing="0"/>
            <w:rPr>
              <w:rFonts w:ascii="Arial" w:hAnsi="Arial" w:cs="Arial"/>
              <w:noProof/>
            </w:rPr>
          </w:pPr>
          <w:hyperlink w:anchor="_Toc209012677" w:history="1">
            <w:r w:rsidRPr="003A09B3">
              <w:rPr>
                <w:rStyle w:val="Hyperlink"/>
                <w:rFonts w:ascii="Arial" w:hAnsi="Arial" w:cs="Arial"/>
                <w:noProof/>
              </w:rPr>
              <w:t>3.3 Inclusion and Exclusion Criteria</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_Toc209012677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4</w:t>
            </w:r>
            <w:r w:rsidRPr="003A09B3">
              <w:rPr>
                <w:rFonts w:ascii="Arial" w:hAnsi="Arial" w:cs="Arial"/>
                <w:noProof/>
                <w:webHidden/>
              </w:rPr>
              <w:fldChar w:fldCharType="end"/>
            </w:r>
          </w:hyperlink>
        </w:p>
        <w:p w14:paraId="76ABE577" w14:textId="77777777" w:rsidR="003A09B3" w:rsidRPr="003A09B3" w:rsidRDefault="003A09B3" w:rsidP="00C050D6">
          <w:pPr>
            <w:pStyle w:val="TOC2"/>
            <w:tabs>
              <w:tab w:val="right" w:leader="dot" w:pos="9016"/>
            </w:tabs>
            <w:spacing w:before="0" w:beforeAutospacing="0" w:after="0" w:afterAutospacing="0"/>
            <w:rPr>
              <w:rFonts w:ascii="Arial" w:hAnsi="Arial" w:cs="Arial"/>
              <w:noProof/>
            </w:rPr>
          </w:pPr>
          <w:hyperlink w:anchor="_Toc209012678" w:history="1">
            <w:r w:rsidRPr="003A09B3">
              <w:rPr>
                <w:rStyle w:val="Hyperlink"/>
                <w:rFonts w:ascii="Arial" w:hAnsi="Arial" w:cs="Arial"/>
                <w:noProof/>
              </w:rPr>
              <w:t>3.4 Data collection and analysis</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_Toc209012678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4</w:t>
            </w:r>
            <w:r w:rsidRPr="003A09B3">
              <w:rPr>
                <w:rFonts w:ascii="Arial" w:hAnsi="Arial" w:cs="Arial"/>
                <w:noProof/>
                <w:webHidden/>
              </w:rPr>
              <w:fldChar w:fldCharType="end"/>
            </w:r>
          </w:hyperlink>
        </w:p>
        <w:p w14:paraId="3B8F0875" w14:textId="77777777" w:rsidR="003A09B3" w:rsidRPr="003A09B3" w:rsidRDefault="003A09B3" w:rsidP="00C050D6">
          <w:pPr>
            <w:pStyle w:val="TOC1"/>
            <w:tabs>
              <w:tab w:val="right" w:leader="dot" w:pos="9016"/>
            </w:tabs>
            <w:spacing w:before="0" w:beforeAutospacing="0" w:after="0" w:afterAutospacing="0"/>
            <w:rPr>
              <w:rFonts w:ascii="Arial" w:hAnsi="Arial" w:cs="Arial"/>
              <w:noProof/>
            </w:rPr>
          </w:pPr>
          <w:hyperlink w:anchor="_Toc209012679" w:history="1">
            <w:r w:rsidRPr="003A09B3">
              <w:rPr>
                <w:rStyle w:val="Hyperlink"/>
                <w:rFonts w:ascii="Arial" w:hAnsi="Arial" w:cs="Arial"/>
                <w:noProof/>
              </w:rPr>
              <w:t>4. Expected outcomes</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_Toc209012679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5</w:t>
            </w:r>
            <w:r w:rsidRPr="003A09B3">
              <w:rPr>
                <w:rFonts w:ascii="Arial" w:hAnsi="Arial" w:cs="Arial"/>
                <w:noProof/>
                <w:webHidden/>
              </w:rPr>
              <w:fldChar w:fldCharType="end"/>
            </w:r>
          </w:hyperlink>
        </w:p>
        <w:p w14:paraId="79443EA7" w14:textId="77777777" w:rsidR="003A09B3" w:rsidRPr="003A09B3" w:rsidRDefault="003A09B3" w:rsidP="00C050D6">
          <w:pPr>
            <w:pStyle w:val="TOC1"/>
            <w:tabs>
              <w:tab w:val="right" w:leader="dot" w:pos="9016"/>
            </w:tabs>
            <w:spacing w:before="0" w:beforeAutospacing="0" w:after="0" w:afterAutospacing="0"/>
            <w:rPr>
              <w:rFonts w:ascii="Arial" w:hAnsi="Arial" w:cs="Arial"/>
              <w:noProof/>
            </w:rPr>
          </w:pPr>
          <w:hyperlink w:anchor="_Toc209012680" w:history="1">
            <w:r w:rsidRPr="003A09B3">
              <w:rPr>
                <w:rStyle w:val="Hyperlink"/>
                <w:rFonts w:ascii="Arial" w:hAnsi="Arial" w:cs="Arial"/>
                <w:noProof/>
              </w:rPr>
              <w:t>5. Ethical considerations</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_Toc209012680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5</w:t>
            </w:r>
            <w:r w:rsidRPr="003A09B3">
              <w:rPr>
                <w:rFonts w:ascii="Arial" w:hAnsi="Arial" w:cs="Arial"/>
                <w:noProof/>
                <w:webHidden/>
              </w:rPr>
              <w:fldChar w:fldCharType="end"/>
            </w:r>
          </w:hyperlink>
        </w:p>
        <w:p w14:paraId="4A2477D1" w14:textId="77777777" w:rsidR="003A09B3" w:rsidRPr="003A09B3" w:rsidRDefault="003A09B3" w:rsidP="00C050D6">
          <w:pPr>
            <w:pStyle w:val="TOC1"/>
            <w:tabs>
              <w:tab w:val="right" w:leader="dot" w:pos="9016"/>
            </w:tabs>
            <w:spacing w:before="0" w:beforeAutospacing="0" w:after="0" w:afterAutospacing="0"/>
            <w:rPr>
              <w:rFonts w:ascii="Arial" w:hAnsi="Arial" w:cs="Arial"/>
              <w:noProof/>
            </w:rPr>
          </w:pPr>
          <w:hyperlink w:anchor="_Toc209012681" w:history="1">
            <w:r w:rsidRPr="003A09B3">
              <w:rPr>
                <w:rStyle w:val="Hyperlink"/>
                <w:rFonts w:ascii="Arial" w:hAnsi="Arial" w:cs="Arial"/>
                <w:noProof/>
              </w:rPr>
              <w:t>References</w:t>
            </w:r>
            <w:r w:rsidRPr="003A09B3">
              <w:rPr>
                <w:rFonts w:ascii="Arial" w:hAnsi="Arial" w:cs="Arial"/>
                <w:noProof/>
                <w:webHidden/>
              </w:rPr>
              <w:tab/>
            </w:r>
            <w:r w:rsidRPr="003A09B3">
              <w:rPr>
                <w:rFonts w:ascii="Arial" w:hAnsi="Arial" w:cs="Arial"/>
                <w:noProof/>
                <w:webHidden/>
              </w:rPr>
              <w:fldChar w:fldCharType="begin"/>
            </w:r>
            <w:r w:rsidRPr="003A09B3">
              <w:rPr>
                <w:rFonts w:ascii="Arial" w:hAnsi="Arial" w:cs="Arial"/>
                <w:noProof/>
                <w:webHidden/>
              </w:rPr>
              <w:instrText xml:space="preserve"> PAGEREF _Toc209012681 \h </w:instrText>
            </w:r>
            <w:r w:rsidRPr="003A09B3">
              <w:rPr>
                <w:rFonts w:ascii="Arial" w:hAnsi="Arial" w:cs="Arial"/>
                <w:noProof/>
                <w:webHidden/>
              </w:rPr>
            </w:r>
            <w:r w:rsidRPr="003A09B3">
              <w:rPr>
                <w:rFonts w:ascii="Arial" w:hAnsi="Arial" w:cs="Arial"/>
                <w:noProof/>
                <w:webHidden/>
              </w:rPr>
              <w:fldChar w:fldCharType="separate"/>
            </w:r>
            <w:r w:rsidRPr="003A09B3">
              <w:rPr>
                <w:rFonts w:ascii="Arial" w:hAnsi="Arial" w:cs="Arial"/>
                <w:noProof/>
                <w:webHidden/>
              </w:rPr>
              <w:t>6</w:t>
            </w:r>
            <w:r w:rsidRPr="003A09B3">
              <w:rPr>
                <w:rFonts w:ascii="Arial" w:hAnsi="Arial" w:cs="Arial"/>
                <w:noProof/>
                <w:webHidden/>
              </w:rPr>
              <w:fldChar w:fldCharType="end"/>
            </w:r>
          </w:hyperlink>
        </w:p>
        <w:p w14:paraId="74155D2C" w14:textId="77777777" w:rsidR="003A09B3" w:rsidRPr="003A09B3" w:rsidRDefault="008E2C4C" w:rsidP="00C050D6">
          <w:pPr>
            <w:spacing w:before="0" w:beforeAutospacing="0" w:after="0" w:afterAutospacing="0"/>
            <w:rPr>
              <w:rFonts w:ascii="Arial" w:hAnsi="Arial" w:cs="Arial"/>
            </w:rPr>
          </w:pPr>
          <w:r w:rsidRPr="003A09B3">
            <w:rPr>
              <w:rFonts w:ascii="Arial" w:hAnsi="Arial" w:cs="Arial"/>
              <w:b/>
              <w:bCs/>
            </w:rPr>
            <w:fldChar w:fldCharType="end"/>
          </w:r>
        </w:p>
      </w:sdtContent>
    </w:sdt>
    <w:p w14:paraId="72A44F6D" w14:textId="77777777" w:rsidR="003A09B3" w:rsidRPr="003A09B3" w:rsidRDefault="008E2C4C" w:rsidP="00C050D6">
      <w:pPr>
        <w:rPr>
          <w:rFonts w:ascii="Arial" w:hAnsi="Arial" w:cs="Arial"/>
          <w:b/>
          <w:bCs/>
          <w:sz w:val="28"/>
          <w:szCs w:val="28"/>
        </w:rPr>
      </w:pPr>
      <w:r w:rsidRPr="003A09B3">
        <w:rPr>
          <w:rFonts w:ascii="Arial" w:hAnsi="Arial" w:cs="Arial"/>
          <w:b/>
          <w:bCs/>
          <w:sz w:val="28"/>
          <w:szCs w:val="28"/>
        </w:rPr>
        <w:br w:type="page"/>
      </w:r>
    </w:p>
    <w:p w14:paraId="2487FEE9" w14:textId="77777777" w:rsidR="003A09B3" w:rsidRPr="003A09B3" w:rsidRDefault="008E2C4C" w:rsidP="00C050D6">
      <w:pPr>
        <w:jc w:val="center"/>
        <w:rPr>
          <w:rFonts w:ascii="Arial" w:hAnsi="Arial" w:cs="Arial"/>
          <w:sz w:val="28"/>
          <w:szCs w:val="28"/>
        </w:rPr>
      </w:pPr>
      <w:r w:rsidRPr="003A09B3">
        <w:rPr>
          <w:rFonts w:ascii="Arial" w:hAnsi="Arial" w:cs="Arial"/>
          <w:b/>
          <w:bCs/>
          <w:sz w:val="28"/>
          <w:szCs w:val="28"/>
        </w:rPr>
        <w:lastRenderedPageBreak/>
        <w:t>Investigating the role of telemedicine services by the NHS to counter the increased customer waiting time in the healthcare sector of the UK</w:t>
      </w:r>
    </w:p>
    <w:p w14:paraId="104B034B" w14:textId="77777777" w:rsidR="003A09B3" w:rsidRPr="003A09B3" w:rsidRDefault="008E2C4C" w:rsidP="00C050D6">
      <w:pPr>
        <w:pStyle w:val="Heading1"/>
        <w:rPr>
          <w:rFonts w:ascii="Arial" w:hAnsi="Arial" w:cs="Arial"/>
        </w:rPr>
      </w:pPr>
      <w:bookmarkStart w:id="0" w:name="_Toc209012672"/>
      <w:r w:rsidRPr="003A09B3">
        <w:rPr>
          <w:rFonts w:ascii="Arial" w:hAnsi="Arial" w:cs="Arial"/>
        </w:rPr>
        <w:t>1. Background and Rationale</w:t>
      </w:r>
      <w:bookmarkEnd w:id="0"/>
    </w:p>
    <w:p w14:paraId="28CA1523" w14:textId="77777777" w:rsidR="003A09B3" w:rsidRPr="003A09B3" w:rsidRDefault="008E2C4C" w:rsidP="00C050D6">
      <w:pPr>
        <w:rPr>
          <w:rFonts w:ascii="Arial" w:hAnsi="Arial" w:cs="Arial"/>
          <w:sz w:val="22"/>
        </w:rPr>
      </w:pPr>
      <w:r w:rsidRPr="003A09B3">
        <w:rPr>
          <w:rFonts w:ascii="Arial" w:hAnsi="Arial" w:cs="Arial"/>
          <w:sz w:val="22"/>
        </w:rPr>
        <w:t>The topic of focus in the study is the contribution that NHS telemedicine can make to solving the problem of the prolongation of patient waiting times in the UK healthcare sector for both the elderly and adolescents (</w:t>
      </w:r>
      <w:proofErr w:type="spellStart"/>
      <w:r w:rsidRPr="003A09B3">
        <w:rPr>
          <w:rFonts w:ascii="Arial" w:hAnsi="Arial" w:cs="Arial"/>
          <w:sz w:val="22"/>
        </w:rPr>
        <w:t>Gobburi</w:t>
      </w:r>
      <w:proofErr w:type="spellEnd"/>
      <w:r w:rsidRPr="003A09B3">
        <w:rPr>
          <w:rFonts w:ascii="Arial" w:hAnsi="Arial" w:cs="Arial"/>
          <w:sz w:val="22"/>
        </w:rPr>
        <w:t xml:space="preserve"> </w:t>
      </w:r>
      <w:r w:rsidRPr="003A09B3">
        <w:rPr>
          <w:rFonts w:ascii="Arial" w:hAnsi="Arial" w:cs="Arial"/>
          <w:i/>
          <w:iCs/>
          <w:sz w:val="22"/>
        </w:rPr>
        <w:t>et al.</w:t>
      </w:r>
      <w:r w:rsidRPr="003A09B3">
        <w:rPr>
          <w:rFonts w:ascii="Arial" w:hAnsi="Arial" w:cs="Arial"/>
          <w:sz w:val="22"/>
        </w:rPr>
        <w:t xml:space="preserve">, 2025). The research will assess the role of digital health solutions in reducing service delays and determine whether telemedicine can reach sustainability in improving accessibility and efficiency (Groom </w:t>
      </w:r>
      <w:r w:rsidRPr="003A09B3">
        <w:rPr>
          <w:rFonts w:ascii="Arial" w:hAnsi="Arial" w:cs="Arial"/>
          <w:i/>
          <w:iCs/>
          <w:sz w:val="22"/>
        </w:rPr>
        <w:t>et al.</w:t>
      </w:r>
      <w:r w:rsidRPr="003A09B3">
        <w:rPr>
          <w:rFonts w:ascii="Arial" w:hAnsi="Arial" w:cs="Arial"/>
          <w:sz w:val="22"/>
        </w:rPr>
        <w:t xml:space="preserve">, 2021). </w:t>
      </w:r>
      <w:r w:rsidR="00161E00">
        <w:rPr>
          <w:rFonts w:ascii="Arial" w:hAnsi="Arial" w:cs="Arial"/>
          <w:sz w:val="22"/>
        </w:rPr>
        <w:t>However, the key rationale concerning l</w:t>
      </w:r>
      <w:r w:rsidRPr="003A09B3">
        <w:rPr>
          <w:rFonts w:ascii="Arial" w:hAnsi="Arial" w:cs="Arial"/>
          <w:sz w:val="22"/>
        </w:rPr>
        <w:t>ong waiting times undermines patient outcomes as demand and the resources available to the NHS</w:t>
      </w:r>
      <w:r w:rsidR="00161E00">
        <w:rPr>
          <w:rFonts w:ascii="Arial" w:hAnsi="Arial" w:cs="Arial"/>
          <w:sz w:val="22"/>
        </w:rPr>
        <w:t xml:space="preserve"> will primarily be considered in the research </w:t>
      </w:r>
      <w:r w:rsidRPr="003A09B3">
        <w:rPr>
          <w:rFonts w:ascii="Arial" w:hAnsi="Arial" w:cs="Arial"/>
          <w:sz w:val="22"/>
        </w:rPr>
        <w:t xml:space="preserve">(Bates </w:t>
      </w:r>
      <w:r w:rsidRPr="003A09B3">
        <w:rPr>
          <w:rFonts w:ascii="Arial" w:hAnsi="Arial" w:cs="Arial"/>
          <w:i/>
          <w:iCs/>
          <w:sz w:val="22"/>
        </w:rPr>
        <w:t>et al.</w:t>
      </w:r>
      <w:r w:rsidRPr="003A09B3">
        <w:rPr>
          <w:rFonts w:ascii="Arial" w:hAnsi="Arial" w:cs="Arial"/>
          <w:sz w:val="22"/>
        </w:rPr>
        <w:t>, 2021). The discussion of telemedicine may be critical to the modernisation of care routes (Valk-</w:t>
      </w:r>
      <w:proofErr w:type="spellStart"/>
      <w:r w:rsidRPr="003A09B3">
        <w:rPr>
          <w:rFonts w:ascii="Arial" w:hAnsi="Arial" w:cs="Arial"/>
          <w:sz w:val="22"/>
        </w:rPr>
        <w:t>Draad</w:t>
      </w:r>
      <w:proofErr w:type="spellEnd"/>
      <w:r w:rsidRPr="003A09B3">
        <w:rPr>
          <w:rFonts w:ascii="Arial" w:hAnsi="Arial" w:cs="Arial"/>
          <w:sz w:val="22"/>
        </w:rPr>
        <w:t xml:space="preserve"> and Bohnet-Joschko, 2022). The latest research identifies telemedicine and its ability to shorten waiting times and ensure a better utilisation of resources (</w:t>
      </w:r>
      <w:proofErr w:type="spellStart"/>
      <w:r w:rsidRPr="003A09B3">
        <w:rPr>
          <w:rFonts w:ascii="Arial" w:hAnsi="Arial" w:cs="Arial"/>
          <w:sz w:val="22"/>
        </w:rPr>
        <w:t>Macwilliam</w:t>
      </w:r>
      <w:proofErr w:type="spellEnd"/>
      <w:r w:rsidRPr="003A09B3">
        <w:rPr>
          <w:rFonts w:ascii="Arial" w:hAnsi="Arial" w:cs="Arial"/>
          <w:sz w:val="22"/>
        </w:rPr>
        <w:t xml:space="preserve"> </w:t>
      </w:r>
      <w:r w:rsidRPr="003A09B3">
        <w:rPr>
          <w:rFonts w:ascii="Arial" w:hAnsi="Arial" w:cs="Arial"/>
          <w:i/>
          <w:iCs/>
          <w:sz w:val="22"/>
        </w:rPr>
        <w:t xml:space="preserve">et al., </w:t>
      </w:r>
      <w:r w:rsidRPr="003A09B3">
        <w:rPr>
          <w:rFonts w:ascii="Arial" w:hAnsi="Arial" w:cs="Arial"/>
          <w:sz w:val="22"/>
        </w:rPr>
        <w:t>2021).</w:t>
      </w:r>
    </w:p>
    <w:p w14:paraId="6B999EBA" w14:textId="77777777" w:rsidR="003A09B3" w:rsidRPr="003A09B3" w:rsidRDefault="008E2C4C" w:rsidP="00C050D6">
      <w:pPr>
        <w:pStyle w:val="Heading1"/>
        <w:rPr>
          <w:rFonts w:ascii="Arial" w:hAnsi="Arial" w:cs="Arial"/>
        </w:rPr>
      </w:pPr>
      <w:bookmarkStart w:id="1" w:name="_Toc209012673"/>
      <w:r w:rsidRPr="003A09B3">
        <w:rPr>
          <w:rFonts w:ascii="Arial" w:hAnsi="Arial" w:cs="Arial"/>
        </w:rPr>
        <w:t>2. Research Aim and Objectives</w:t>
      </w:r>
      <w:bookmarkEnd w:id="1"/>
    </w:p>
    <w:p w14:paraId="7F6B3C8E" w14:textId="77777777" w:rsidR="003A09B3" w:rsidRPr="003A09B3" w:rsidRDefault="008E2C4C" w:rsidP="00C050D6">
      <w:pPr>
        <w:rPr>
          <w:rFonts w:ascii="Arial" w:hAnsi="Arial" w:cs="Arial"/>
          <w:sz w:val="22"/>
        </w:rPr>
      </w:pPr>
      <w:r w:rsidRPr="003A09B3">
        <w:rPr>
          <w:rFonts w:ascii="Arial" w:hAnsi="Arial" w:cs="Arial"/>
          <w:sz w:val="22"/>
        </w:rPr>
        <w:t>The aim of the research is to systematically review the role of telemedicine services by the NHS to counter the issues faced by customers due to increased waiting times in the healthcare sector of the UK, using a scoping review approach.</w:t>
      </w:r>
    </w:p>
    <w:p w14:paraId="4FFEFE82" w14:textId="77777777" w:rsidR="003A09B3" w:rsidRPr="003A09B3" w:rsidRDefault="008E2C4C" w:rsidP="00C050D6">
      <w:pPr>
        <w:rPr>
          <w:rFonts w:ascii="Arial" w:hAnsi="Arial" w:cs="Arial"/>
          <w:sz w:val="22"/>
        </w:rPr>
      </w:pPr>
      <w:r w:rsidRPr="003A09B3">
        <w:rPr>
          <w:rFonts w:ascii="Arial" w:hAnsi="Arial" w:cs="Arial"/>
          <w:sz w:val="22"/>
        </w:rPr>
        <w:t>The research objectives are</w:t>
      </w:r>
    </w:p>
    <w:p w14:paraId="0476A2DD" w14:textId="77777777" w:rsidR="003A09B3" w:rsidRPr="003A09B3" w:rsidRDefault="008E2C4C" w:rsidP="00C050D6">
      <w:pPr>
        <w:numPr>
          <w:ilvl w:val="0"/>
          <w:numId w:val="1"/>
        </w:numPr>
        <w:rPr>
          <w:rFonts w:ascii="Arial" w:hAnsi="Arial" w:cs="Arial"/>
          <w:sz w:val="22"/>
        </w:rPr>
      </w:pPr>
      <w:r w:rsidRPr="003A09B3">
        <w:rPr>
          <w:rFonts w:ascii="Arial" w:hAnsi="Arial" w:cs="Arial"/>
          <w:sz w:val="22"/>
        </w:rPr>
        <w:t>To review the key theories concerning the telemedicine services and customer dissatisfaction considerations in the healthcare sector of the UK</w:t>
      </w:r>
    </w:p>
    <w:p w14:paraId="56529F66" w14:textId="77777777" w:rsidR="003A09B3" w:rsidRPr="003A09B3" w:rsidRDefault="008E2C4C" w:rsidP="00C050D6">
      <w:pPr>
        <w:numPr>
          <w:ilvl w:val="0"/>
          <w:numId w:val="1"/>
        </w:numPr>
        <w:rPr>
          <w:rFonts w:ascii="Arial" w:hAnsi="Arial" w:cs="Arial"/>
          <w:sz w:val="22"/>
        </w:rPr>
      </w:pPr>
      <w:r w:rsidRPr="003A09B3">
        <w:rPr>
          <w:rFonts w:ascii="Arial" w:hAnsi="Arial" w:cs="Arial"/>
          <w:sz w:val="22"/>
        </w:rPr>
        <w:t>To identify and categorise key themes concerning customer dissatisfaction and the application of digital healthcare systems involved in the NHS of the UK</w:t>
      </w:r>
    </w:p>
    <w:p w14:paraId="3AB9DEDA" w14:textId="77777777" w:rsidR="003A09B3" w:rsidRPr="003A09B3" w:rsidRDefault="008E2C4C" w:rsidP="00C050D6">
      <w:pPr>
        <w:numPr>
          <w:ilvl w:val="0"/>
          <w:numId w:val="1"/>
        </w:numPr>
        <w:rPr>
          <w:rFonts w:ascii="Arial" w:hAnsi="Arial" w:cs="Arial"/>
          <w:sz w:val="22"/>
        </w:rPr>
      </w:pPr>
      <w:r w:rsidRPr="003A09B3">
        <w:rPr>
          <w:rFonts w:ascii="Arial" w:hAnsi="Arial" w:cs="Arial"/>
          <w:sz w:val="22"/>
        </w:rPr>
        <w:t>To highlight evidence gaps for future research concerning the telemedicine services and customer satisfaction in the UK healthcare sector</w:t>
      </w:r>
    </w:p>
    <w:p w14:paraId="07A72006" w14:textId="77777777" w:rsidR="003A09B3" w:rsidRPr="003A09B3" w:rsidRDefault="008E2C4C" w:rsidP="00C050D6">
      <w:pPr>
        <w:numPr>
          <w:ilvl w:val="0"/>
          <w:numId w:val="1"/>
        </w:numPr>
        <w:rPr>
          <w:rFonts w:ascii="Arial" w:hAnsi="Arial" w:cs="Arial"/>
          <w:sz w:val="22"/>
        </w:rPr>
      </w:pPr>
      <w:r w:rsidRPr="003A09B3">
        <w:rPr>
          <w:rFonts w:ascii="Arial" w:hAnsi="Arial" w:cs="Arial"/>
          <w:sz w:val="22"/>
        </w:rPr>
        <w:t>To recommend and provide insights into practical applications within the digital health of the UK and the healthcare systems, considering the change in digital healthcare.</w:t>
      </w:r>
    </w:p>
    <w:p w14:paraId="31843CF4" w14:textId="77777777" w:rsidR="003A09B3" w:rsidRPr="003A09B3" w:rsidRDefault="008E2C4C" w:rsidP="00C050D6">
      <w:pPr>
        <w:pStyle w:val="Heading1"/>
        <w:rPr>
          <w:rFonts w:ascii="Arial" w:hAnsi="Arial" w:cs="Arial"/>
        </w:rPr>
      </w:pPr>
      <w:bookmarkStart w:id="2" w:name="_Toc209012674"/>
      <w:r w:rsidRPr="003A09B3">
        <w:rPr>
          <w:rFonts w:ascii="Arial" w:hAnsi="Arial" w:cs="Arial"/>
        </w:rPr>
        <w:lastRenderedPageBreak/>
        <w:t>3. Methodology</w:t>
      </w:r>
      <w:bookmarkEnd w:id="2"/>
    </w:p>
    <w:p w14:paraId="39232E03" w14:textId="77777777" w:rsidR="003A09B3" w:rsidRPr="003A09B3" w:rsidRDefault="008E2C4C" w:rsidP="00C050D6">
      <w:pPr>
        <w:pStyle w:val="Heading2"/>
        <w:rPr>
          <w:rFonts w:ascii="Arial" w:hAnsi="Arial" w:cs="Arial"/>
        </w:rPr>
      </w:pPr>
      <w:bookmarkStart w:id="3" w:name="_Toc209012675"/>
      <w:r w:rsidRPr="003A09B3">
        <w:rPr>
          <w:rFonts w:ascii="Arial" w:hAnsi="Arial" w:cs="Arial"/>
        </w:rPr>
        <w:t>3.1 Scoping review framework</w:t>
      </w:r>
      <w:bookmarkEnd w:id="3"/>
    </w:p>
    <w:p w14:paraId="15A90CF9" w14:textId="4F5CC8FD" w:rsidR="003A09B3" w:rsidRPr="003A09B3" w:rsidRDefault="008E2C4C" w:rsidP="00C050D6">
      <w:pPr>
        <w:rPr>
          <w:rFonts w:ascii="Arial" w:hAnsi="Arial" w:cs="Arial"/>
          <w:sz w:val="22"/>
        </w:rPr>
      </w:pPr>
      <w:r w:rsidRPr="003A09B3">
        <w:rPr>
          <w:rFonts w:ascii="Arial" w:hAnsi="Arial" w:cs="Arial"/>
          <w:sz w:val="22"/>
        </w:rPr>
        <w:t xml:space="preserve">The application of the </w:t>
      </w:r>
      <w:r w:rsidRPr="003A09B3">
        <w:rPr>
          <w:rFonts w:ascii="Arial" w:hAnsi="Arial" w:cs="Arial"/>
          <w:b/>
          <w:bCs/>
          <w:i/>
          <w:iCs/>
          <w:sz w:val="22"/>
        </w:rPr>
        <w:t xml:space="preserve">secondary qualitative data collection, </w:t>
      </w:r>
      <w:r w:rsidRPr="003A09B3">
        <w:rPr>
          <w:rFonts w:ascii="Arial" w:hAnsi="Arial" w:cs="Arial"/>
          <w:sz w:val="22"/>
        </w:rPr>
        <w:t xml:space="preserve">along with the </w:t>
      </w:r>
      <w:r w:rsidRPr="003A09B3">
        <w:rPr>
          <w:rFonts w:ascii="Arial" w:hAnsi="Arial" w:cs="Arial"/>
          <w:b/>
          <w:bCs/>
          <w:i/>
          <w:iCs/>
          <w:sz w:val="22"/>
        </w:rPr>
        <w:t xml:space="preserve">thematic analysis, </w:t>
      </w:r>
      <w:r w:rsidRPr="003A09B3">
        <w:rPr>
          <w:rFonts w:ascii="Arial" w:hAnsi="Arial" w:cs="Arial"/>
          <w:sz w:val="22"/>
        </w:rPr>
        <w:t xml:space="preserve">will be primarily included in the research. For that purpose, the enhanced application of the </w:t>
      </w:r>
      <w:r w:rsidRPr="003A09B3">
        <w:rPr>
          <w:rFonts w:ascii="Arial" w:hAnsi="Arial" w:cs="Arial"/>
          <w:b/>
          <w:bCs/>
          <w:i/>
          <w:iCs/>
          <w:sz w:val="22"/>
        </w:rPr>
        <w:t>Levesque framework</w:t>
      </w:r>
      <w:r w:rsidRPr="003A09B3">
        <w:rPr>
          <w:rFonts w:ascii="Arial" w:hAnsi="Arial" w:cs="Arial"/>
          <w:sz w:val="22"/>
        </w:rPr>
        <w:t xml:space="preserve"> will be primarily applied to promote lucid enhancement of the research (Cu </w:t>
      </w:r>
      <w:r w:rsidRPr="003A09B3">
        <w:rPr>
          <w:rFonts w:ascii="Arial" w:hAnsi="Arial" w:cs="Arial"/>
          <w:i/>
          <w:iCs/>
          <w:sz w:val="22"/>
        </w:rPr>
        <w:t>et al.</w:t>
      </w:r>
      <w:r w:rsidRPr="003A09B3">
        <w:rPr>
          <w:rFonts w:ascii="Arial" w:hAnsi="Arial" w:cs="Arial"/>
          <w:sz w:val="22"/>
        </w:rPr>
        <w:t xml:space="preserve">, 2021). The engagement of the necessary framework, like the </w:t>
      </w:r>
      <w:r w:rsidRPr="003A09B3">
        <w:rPr>
          <w:rFonts w:ascii="Arial" w:hAnsi="Arial" w:cs="Arial"/>
          <w:b/>
          <w:bCs/>
          <w:i/>
          <w:iCs/>
          <w:sz w:val="22"/>
        </w:rPr>
        <w:t xml:space="preserve">inductive approach, </w:t>
      </w:r>
      <w:r w:rsidRPr="003A09B3">
        <w:rPr>
          <w:rFonts w:ascii="Arial" w:hAnsi="Arial" w:cs="Arial"/>
          <w:sz w:val="22"/>
        </w:rPr>
        <w:t xml:space="preserve">along with </w:t>
      </w:r>
      <w:r w:rsidRPr="003A09B3">
        <w:rPr>
          <w:rFonts w:ascii="Arial" w:hAnsi="Arial" w:cs="Arial"/>
          <w:b/>
          <w:bCs/>
          <w:i/>
          <w:iCs/>
          <w:sz w:val="22"/>
        </w:rPr>
        <w:t xml:space="preserve">interpretivism philosophy </w:t>
      </w:r>
      <w:r w:rsidRPr="003A09B3">
        <w:rPr>
          <w:rFonts w:ascii="Arial" w:hAnsi="Arial" w:cs="Arial"/>
          <w:sz w:val="22"/>
        </w:rPr>
        <w:t xml:space="preserve">and </w:t>
      </w:r>
      <w:r w:rsidRPr="003A09B3">
        <w:rPr>
          <w:rFonts w:ascii="Arial" w:hAnsi="Arial" w:cs="Arial"/>
          <w:b/>
          <w:bCs/>
          <w:i/>
          <w:iCs/>
          <w:sz w:val="22"/>
        </w:rPr>
        <w:t xml:space="preserve">experimental research strategy, </w:t>
      </w:r>
      <w:r w:rsidRPr="003A09B3">
        <w:rPr>
          <w:rFonts w:ascii="Arial" w:hAnsi="Arial" w:cs="Arial"/>
          <w:sz w:val="22"/>
        </w:rPr>
        <w:t xml:space="preserve">will be primarily applied in the selection (Esmaeili </w:t>
      </w:r>
      <w:r w:rsidRPr="003A09B3">
        <w:rPr>
          <w:rFonts w:ascii="Arial" w:hAnsi="Arial" w:cs="Arial"/>
          <w:i/>
          <w:iCs/>
          <w:sz w:val="22"/>
        </w:rPr>
        <w:t xml:space="preserve">et al., </w:t>
      </w:r>
      <w:r w:rsidRPr="003A09B3">
        <w:rPr>
          <w:rFonts w:ascii="Arial" w:hAnsi="Arial" w:cs="Arial"/>
          <w:sz w:val="22"/>
        </w:rPr>
        <w:t xml:space="preserve">2025). The application of empirical data findings will involve the proper application </w:t>
      </w:r>
      <w:r w:rsidRPr="003A09B3">
        <w:rPr>
          <w:rFonts w:ascii="Arial" w:hAnsi="Arial" w:cs="Arial"/>
          <w:b/>
          <w:bCs/>
          <w:i/>
          <w:iCs/>
          <w:sz w:val="22"/>
        </w:rPr>
        <w:t xml:space="preserve">of descriptive research design </w:t>
      </w:r>
      <w:r w:rsidRPr="003A09B3">
        <w:rPr>
          <w:rFonts w:ascii="Arial" w:hAnsi="Arial" w:cs="Arial"/>
          <w:sz w:val="22"/>
        </w:rPr>
        <w:t xml:space="preserve">and </w:t>
      </w:r>
      <w:r w:rsidRPr="003A09B3">
        <w:rPr>
          <w:rFonts w:ascii="Arial" w:hAnsi="Arial" w:cs="Arial"/>
          <w:b/>
          <w:bCs/>
          <w:i/>
          <w:iCs/>
          <w:sz w:val="22"/>
        </w:rPr>
        <w:t xml:space="preserve">keyword analysis </w:t>
      </w:r>
      <w:r w:rsidRPr="003A09B3">
        <w:rPr>
          <w:rFonts w:ascii="Arial" w:hAnsi="Arial" w:cs="Arial"/>
          <w:sz w:val="22"/>
        </w:rPr>
        <w:t xml:space="preserve">for </w:t>
      </w:r>
      <w:r w:rsidRPr="003A09B3">
        <w:rPr>
          <w:rFonts w:ascii="Arial" w:hAnsi="Arial" w:cs="Arial"/>
          <w:b/>
          <w:bCs/>
          <w:i/>
          <w:iCs/>
          <w:sz w:val="22"/>
        </w:rPr>
        <w:t>the generation of the themes</w:t>
      </w:r>
      <w:r w:rsidRPr="003A09B3">
        <w:rPr>
          <w:rFonts w:ascii="Arial" w:hAnsi="Arial" w:cs="Arial"/>
          <w:sz w:val="22"/>
        </w:rPr>
        <w:t xml:space="preserve">. The </w:t>
      </w:r>
      <w:r w:rsidRPr="003A09B3">
        <w:rPr>
          <w:rFonts w:ascii="Arial" w:hAnsi="Arial" w:cs="Arial"/>
          <w:b/>
          <w:bCs/>
          <w:i/>
          <w:iCs/>
          <w:sz w:val="22"/>
        </w:rPr>
        <w:t xml:space="preserve">Thematic analysis </w:t>
      </w:r>
      <w:r w:rsidR="00366FC0">
        <w:rPr>
          <w:rFonts w:ascii="Arial" w:hAnsi="Arial" w:cs="Arial"/>
          <w:bCs/>
          <w:iCs/>
          <w:sz w:val="22"/>
        </w:rPr>
        <w:t xml:space="preserve">based on codes </w:t>
      </w:r>
      <w:r w:rsidRPr="003A09B3">
        <w:rPr>
          <w:rFonts w:ascii="Arial" w:hAnsi="Arial" w:cs="Arial"/>
          <w:sz w:val="22"/>
        </w:rPr>
        <w:t xml:space="preserve">will primarily apply for the enhancement of the key understanding and developed findings as well (Lim </w:t>
      </w:r>
      <w:r w:rsidRPr="003A09B3">
        <w:rPr>
          <w:rFonts w:ascii="Arial" w:hAnsi="Arial" w:cs="Arial"/>
          <w:i/>
          <w:iCs/>
          <w:sz w:val="22"/>
        </w:rPr>
        <w:t>et al.</w:t>
      </w:r>
      <w:r w:rsidRPr="003A09B3">
        <w:rPr>
          <w:rFonts w:ascii="Arial" w:hAnsi="Arial" w:cs="Arial"/>
          <w:sz w:val="22"/>
        </w:rPr>
        <w:t>, 2023).</w:t>
      </w:r>
    </w:p>
    <w:p w14:paraId="116364CE" w14:textId="77777777" w:rsidR="003A09B3" w:rsidRPr="003A09B3" w:rsidRDefault="008E2C4C" w:rsidP="00C050D6">
      <w:pPr>
        <w:pStyle w:val="Heading2"/>
        <w:rPr>
          <w:rFonts w:ascii="Arial" w:hAnsi="Arial" w:cs="Arial"/>
        </w:rPr>
      </w:pPr>
      <w:bookmarkStart w:id="4" w:name="_Toc209012676"/>
      <w:r w:rsidRPr="003A09B3">
        <w:rPr>
          <w:rFonts w:ascii="Arial" w:hAnsi="Arial" w:cs="Arial"/>
        </w:rPr>
        <w:t>3.2 Research question</w:t>
      </w:r>
      <w:bookmarkEnd w:id="4"/>
      <w:r w:rsidRPr="003A09B3">
        <w:rPr>
          <w:rFonts w:ascii="Arial" w:hAnsi="Arial" w:cs="Arial"/>
        </w:rPr>
        <w:t> </w:t>
      </w:r>
    </w:p>
    <w:p w14:paraId="2D1EFD17" w14:textId="66A54608" w:rsidR="003A09B3" w:rsidRPr="003A09B3" w:rsidRDefault="00440D56" w:rsidP="00C050D6">
      <w:pPr>
        <w:rPr>
          <w:rFonts w:ascii="Arial" w:hAnsi="Arial" w:cs="Arial"/>
          <w:sz w:val="22"/>
        </w:rPr>
      </w:pPr>
      <w:r>
        <w:rPr>
          <w:rFonts w:ascii="Arial" w:hAnsi="Arial" w:cs="Arial"/>
          <w:sz w:val="22"/>
        </w:rPr>
        <w:t>What is the effectiveness of telemedicine in the digital care for reducing the long waiting time of service users in NHS under the healthcare sector of UK?</w:t>
      </w:r>
    </w:p>
    <w:p w14:paraId="18E0356C" w14:textId="77777777" w:rsidR="003A09B3" w:rsidRPr="003A09B3" w:rsidRDefault="008E2C4C" w:rsidP="00C050D6">
      <w:pPr>
        <w:pStyle w:val="Heading2"/>
        <w:rPr>
          <w:rFonts w:ascii="Arial" w:hAnsi="Arial" w:cs="Arial"/>
        </w:rPr>
      </w:pPr>
      <w:bookmarkStart w:id="5" w:name="_Toc209012677"/>
      <w:r w:rsidRPr="003A09B3">
        <w:rPr>
          <w:rFonts w:ascii="Arial" w:hAnsi="Arial" w:cs="Arial"/>
        </w:rPr>
        <w:t>3.3 Inclusion and Exclusion Criteria</w:t>
      </w:r>
      <w:bookmarkEnd w:id="5"/>
    </w:p>
    <w:p w14:paraId="6C6E3072" w14:textId="77777777" w:rsidR="003A09B3" w:rsidRPr="003A09B3" w:rsidRDefault="008E2C4C" w:rsidP="00C050D6">
      <w:pPr>
        <w:rPr>
          <w:rFonts w:ascii="Arial" w:hAnsi="Arial" w:cs="Arial"/>
          <w:sz w:val="22"/>
        </w:rPr>
      </w:pPr>
      <w:r w:rsidRPr="003A09B3">
        <w:rPr>
          <w:rFonts w:ascii="Arial" w:hAnsi="Arial" w:cs="Arial"/>
          <w:i/>
          <w:iCs/>
          <w:sz w:val="22"/>
          <w:u w:val="single"/>
        </w:rPr>
        <w:t>Inclusion</w:t>
      </w:r>
      <w:r w:rsidRPr="003A09B3">
        <w:rPr>
          <w:rFonts w:ascii="Arial" w:hAnsi="Arial" w:cs="Arial"/>
          <w:sz w:val="22"/>
        </w:rPr>
        <w:t>: Peer-reviewed studies published in English, within the last 10 years, and focusing on telemedicine, digital health care, the NHS long-term plan, customer dissatisfaction, and healthcare infrastructure will be included in the generation of the findings.</w:t>
      </w:r>
    </w:p>
    <w:p w14:paraId="5A4578CD" w14:textId="77777777" w:rsidR="003A09B3" w:rsidRPr="003A09B3" w:rsidRDefault="008E2C4C" w:rsidP="00C050D6">
      <w:pPr>
        <w:rPr>
          <w:rFonts w:ascii="Arial" w:hAnsi="Arial" w:cs="Arial"/>
          <w:sz w:val="22"/>
        </w:rPr>
      </w:pPr>
      <w:r w:rsidRPr="003A09B3">
        <w:rPr>
          <w:rFonts w:ascii="Arial" w:hAnsi="Arial" w:cs="Arial"/>
          <w:i/>
          <w:iCs/>
          <w:sz w:val="22"/>
          <w:u w:val="single"/>
        </w:rPr>
        <w:t>Exclusion</w:t>
      </w:r>
      <w:r w:rsidRPr="003A09B3">
        <w:rPr>
          <w:rFonts w:ascii="Arial" w:hAnsi="Arial" w:cs="Arial"/>
          <w:sz w:val="22"/>
        </w:rPr>
        <w:t>: Non-peer-reviewed articles, studies outside 10 years, and research focused on unrelated topics apart from the selected areas will be excluded from the research.</w:t>
      </w:r>
    </w:p>
    <w:p w14:paraId="36384630" w14:textId="77777777" w:rsidR="003A09B3" w:rsidRPr="003A09B3" w:rsidRDefault="008E2C4C" w:rsidP="00C050D6">
      <w:pPr>
        <w:pStyle w:val="Heading2"/>
        <w:rPr>
          <w:rFonts w:ascii="Arial" w:hAnsi="Arial" w:cs="Arial"/>
        </w:rPr>
      </w:pPr>
      <w:bookmarkStart w:id="6" w:name="_Toc209012678"/>
      <w:r w:rsidRPr="003A09B3">
        <w:rPr>
          <w:rFonts w:ascii="Arial" w:hAnsi="Arial" w:cs="Arial"/>
        </w:rPr>
        <w:t>3.4 Data collection and analysis</w:t>
      </w:r>
      <w:bookmarkEnd w:id="6"/>
    </w:p>
    <w:p w14:paraId="27E960A0" w14:textId="77777777" w:rsidR="003A09B3" w:rsidRPr="003A09B3" w:rsidRDefault="008E2C4C" w:rsidP="00C050D6">
      <w:pPr>
        <w:rPr>
          <w:rFonts w:ascii="Arial" w:hAnsi="Arial" w:cs="Arial"/>
          <w:sz w:val="22"/>
        </w:rPr>
      </w:pPr>
      <w:r w:rsidRPr="003A09B3">
        <w:rPr>
          <w:rFonts w:ascii="Arial" w:hAnsi="Arial" w:cs="Arial"/>
          <w:i/>
          <w:iCs/>
          <w:sz w:val="22"/>
          <w:u w:val="single"/>
        </w:rPr>
        <w:t>Search strategy</w:t>
      </w:r>
      <w:r w:rsidRPr="003A09B3">
        <w:rPr>
          <w:rFonts w:ascii="Arial" w:hAnsi="Arial" w:cs="Arial"/>
          <w:sz w:val="22"/>
        </w:rPr>
        <w:t>: The application of the key databases like PubMed, Springer, Google Scholar, and Elsevier, where open-sourced articles will be primarily researched using the keyword analysis processes. The application of Boolean operations on customer satisfaction and telemedicine will be included (Aveyard, 2023).</w:t>
      </w:r>
    </w:p>
    <w:p w14:paraId="3F2CB503" w14:textId="6D737007" w:rsidR="003A09B3" w:rsidRPr="003A09B3" w:rsidRDefault="008E2C4C" w:rsidP="00C050D6">
      <w:pPr>
        <w:rPr>
          <w:rFonts w:ascii="Arial" w:hAnsi="Arial" w:cs="Arial"/>
          <w:sz w:val="22"/>
        </w:rPr>
      </w:pPr>
      <w:r w:rsidRPr="003A09B3">
        <w:rPr>
          <w:rFonts w:ascii="Arial" w:hAnsi="Arial" w:cs="Arial"/>
          <w:i/>
          <w:iCs/>
          <w:sz w:val="22"/>
          <w:u w:val="single"/>
        </w:rPr>
        <w:lastRenderedPageBreak/>
        <w:t>Analysis</w:t>
      </w:r>
      <w:r w:rsidRPr="003A09B3">
        <w:rPr>
          <w:rFonts w:ascii="Arial" w:hAnsi="Arial" w:cs="Arial"/>
          <w:sz w:val="22"/>
        </w:rPr>
        <w:t xml:space="preserve">: The application of the thematic analysis, as considered by </w:t>
      </w:r>
      <w:r w:rsidR="00232DC8">
        <w:rPr>
          <w:rFonts w:ascii="Arial" w:hAnsi="Arial" w:cs="Arial"/>
          <w:sz w:val="22"/>
        </w:rPr>
        <w:t>Aveyard</w:t>
      </w:r>
      <w:r w:rsidRPr="003A09B3">
        <w:rPr>
          <w:rFonts w:ascii="Arial" w:hAnsi="Arial" w:cs="Arial"/>
          <w:sz w:val="22"/>
        </w:rPr>
        <w:t>, will be applied, which will include the following phases as depicted.</w:t>
      </w:r>
    </w:p>
    <w:p w14:paraId="31291A98"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Data familiarisation</w:t>
      </w:r>
    </w:p>
    <w:p w14:paraId="10EDFF48"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Code generation</w:t>
      </w:r>
    </w:p>
    <w:p w14:paraId="15671A44"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Theme search</w:t>
      </w:r>
    </w:p>
    <w:p w14:paraId="2F676384"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Reviewing themes</w:t>
      </w:r>
    </w:p>
    <w:p w14:paraId="2C619D5D"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Naming theme </w:t>
      </w:r>
    </w:p>
    <w:p w14:paraId="37DECD88" w14:textId="77777777" w:rsidR="003A09B3" w:rsidRPr="003A09B3" w:rsidRDefault="008E2C4C" w:rsidP="00C050D6">
      <w:pPr>
        <w:numPr>
          <w:ilvl w:val="0"/>
          <w:numId w:val="2"/>
        </w:numPr>
        <w:rPr>
          <w:rFonts w:ascii="Arial" w:hAnsi="Arial" w:cs="Arial"/>
          <w:sz w:val="22"/>
        </w:rPr>
      </w:pPr>
      <w:r w:rsidRPr="003A09B3">
        <w:rPr>
          <w:rFonts w:ascii="Arial" w:hAnsi="Arial" w:cs="Arial"/>
          <w:sz w:val="22"/>
        </w:rPr>
        <w:t>Writing the report</w:t>
      </w:r>
    </w:p>
    <w:p w14:paraId="797F9E96" w14:textId="77777777" w:rsidR="003A09B3" w:rsidRPr="003A09B3" w:rsidRDefault="008E2C4C" w:rsidP="00C050D6">
      <w:pPr>
        <w:pStyle w:val="Heading1"/>
        <w:rPr>
          <w:rFonts w:ascii="Arial" w:hAnsi="Arial" w:cs="Arial"/>
        </w:rPr>
      </w:pPr>
      <w:bookmarkStart w:id="7" w:name="_Toc209012679"/>
      <w:r w:rsidRPr="003A09B3">
        <w:rPr>
          <w:rFonts w:ascii="Arial" w:hAnsi="Arial" w:cs="Arial"/>
        </w:rPr>
        <w:t>4. Expected outcomes</w:t>
      </w:r>
      <w:bookmarkEnd w:id="7"/>
    </w:p>
    <w:p w14:paraId="2FF3EBEF" w14:textId="77777777" w:rsidR="003A09B3" w:rsidRPr="003A09B3" w:rsidRDefault="008E2C4C" w:rsidP="00C050D6">
      <w:pPr>
        <w:rPr>
          <w:rFonts w:ascii="Arial" w:hAnsi="Arial" w:cs="Arial"/>
          <w:sz w:val="22"/>
        </w:rPr>
      </w:pPr>
      <w:r w:rsidRPr="003A09B3">
        <w:rPr>
          <w:rFonts w:ascii="Arial" w:hAnsi="Arial" w:cs="Arial"/>
          <w:sz w:val="22"/>
        </w:rPr>
        <w:t>The scoping review will consider the key issues faced by the UK service users in the healthcare processes, where the problems concerning the staff shortage and lack of infrastructure are affecting the problem. Critical analysis where the recommendations of telemedicine and its potential to counter the problem and provide a major change as per the NHS long-term plan of 2019, and its efficacy in the UK healthcare will also be considered.</w:t>
      </w:r>
    </w:p>
    <w:p w14:paraId="3BAF0B03" w14:textId="77777777" w:rsidR="003A09B3" w:rsidRPr="003A09B3" w:rsidRDefault="008E2C4C" w:rsidP="00C050D6">
      <w:pPr>
        <w:pStyle w:val="Heading1"/>
        <w:rPr>
          <w:rFonts w:ascii="Arial" w:hAnsi="Arial" w:cs="Arial"/>
        </w:rPr>
      </w:pPr>
      <w:bookmarkStart w:id="8" w:name="_Toc209012680"/>
      <w:r w:rsidRPr="003A09B3">
        <w:rPr>
          <w:rFonts w:ascii="Arial" w:hAnsi="Arial" w:cs="Arial"/>
        </w:rPr>
        <w:t>5. Ethical considerations</w:t>
      </w:r>
      <w:bookmarkEnd w:id="8"/>
    </w:p>
    <w:p w14:paraId="45464E1A" w14:textId="77777777" w:rsidR="003A09B3" w:rsidRPr="003A09B3" w:rsidRDefault="008E2C4C" w:rsidP="00C050D6">
      <w:pPr>
        <w:rPr>
          <w:rFonts w:ascii="Arial" w:hAnsi="Arial" w:cs="Arial"/>
          <w:sz w:val="22"/>
        </w:rPr>
      </w:pPr>
      <w:r w:rsidRPr="003A09B3">
        <w:rPr>
          <w:rFonts w:ascii="Arial" w:hAnsi="Arial" w:cs="Arial"/>
          <w:sz w:val="22"/>
        </w:rPr>
        <w:t xml:space="preserve">The enhanced application of the GDPR and the Data Protection Act of 2018 will be considered in the process of administering the key research and findings generation (Carmi </w:t>
      </w:r>
      <w:r w:rsidRPr="003A09B3">
        <w:rPr>
          <w:rFonts w:ascii="Arial" w:hAnsi="Arial" w:cs="Arial"/>
          <w:i/>
          <w:iCs/>
          <w:sz w:val="22"/>
        </w:rPr>
        <w:t xml:space="preserve">et al., </w:t>
      </w:r>
      <w:r w:rsidRPr="003A09B3">
        <w:rPr>
          <w:rFonts w:ascii="Arial" w:hAnsi="Arial" w:cs="Arial"/>
          <w:sz w:val="22"/>
        </w:rPr>
        <w:t>2022). Practices like data manipulation and other relevant processes will be discouraged while doing the research.</w:t>
      </w:r>
    </w:p>
    <w:p w14:paraId="352F1762" w14:textId="77777777" w:rsidR="003A09B3" w:rsidRPr="003A09B3" w:rsidRDefault="008E2C4C" w:rsidP="00C050D6">
      <w:pPr>
        <w:rPr>
          <w:rFonts w:ascii="Arial" w:hAnsi="Arial" w:cs="Arial"/>
          <w:sz w:val="22"/>
        </w:rPr>
      </w:pPr>
      <w:r w:rsidRPr="003A09B3">
        <w:rPr>
          <w:rFonts w:ascii="Arial" w:hAnsi="Arial" w:cs="Arial"/>
          <w:sz w:val="22"/>
        </w:rPr>
        <w:br w:type="page"/>
      </w:r>
    </w:p>
    <w:p w14:paraId="6AA0DF91" w14:textId="77777777" w:rsidR="0018111A" w:rsidRPr="003A09B3" w:rsidRDefault="008E2C4C" w:rsidP="00C050D6">
      <w:pPr>
        <w:pStyle w:val="Heading1"/>
        <w:rPr>
          <w:rFonts w:ascii="Arial" w:hAnsi="Arial" w:cs="Arial"/>
        </w:rPr>
      </w:pPr>
      <w:bookmarkStart w:id="9" w:name="_Toc209012681"/>
      <w:r w:rsidRPr="003A09B3">
        <w:rPr>
          <w:rFonts w:ascii="Arial" w:hAnsi="Arial" w:cs="Arial"/>
        </w:rPr>
        <w:lastRenderedPageBreak/>
        <w:t>References</w:t>
      </w:r>
      <w:bookmarkEnd w:id="9"/>
    </w:p>
    <w:p w14:paraId="38ADBD21" w14:textId="77777777" w:rsidR="003A09B3" w:rsidRPr="003A09B3" w:rsidRDefault="008E2C4C" w:rsidP="00C050D6">
      <w:pPr>
        <w:rPr>
          <w:rFonts w:ascii="Arial" w:hAnsi="Arial" w:cs="Arial"/>
          <w:sz w:val="22"/>
        </w:rPr>
      </w:pPr>
      <w:r w:rsidRPr="003A09B3">
        <w:rPr>
          <w:rFonts w:ascii="Arial" w:hAnsi="Arial" w:cs="Arial"/>
          <w:sz w:val="22"/>
        </w:rPr>
        <w:t xml:space="preserve">Aveyard, H. (2023). </w:t>
      </w:r>
      <w:r w:rsidRPr="003A09B3">
        <w:rPr>
          <w:rFonts w:ascii="Arial" w:hAnsi="Arial" w:cs="Arial"/>
          <w:i/>
          <w:iCs/>
          <w:sz w:val="22"/>
        </w:rPr>
        <w:t>Doing a Literature Review in Health and Social Care: A Practical Guide</w:t>
      </w:r>
      <w:r w:rsidRPr="003A09B3">
        <w:rPr>
          <w:rFonts w:ascii="Arial" w:hAnsi="Arial" w:cs="Arial"/>
          <w:sz w:val="22"/>
        </w:rPr>
        <w:t xml:space="preserve">, 5e. </w:t>
      </w:r>
      <w:r w:rsidRPr="003A09B3">
        <w:rPr>
          <w:rFonts w:ascii="Arial" w:hAnsi="Arial" w:cs="Arial"/>
          <w:i/>
          <w:iCs/>
          <w:sz w:val="22"/>
        </w:rPr>
        <w:t>Google Books</w:t>
      </w:r>
      <w:r w:rsidRPr="003A09B3">
        <w:rPr>
          <w:rFonts w:ascii="Arial" w:hAnsi="Arial" w:cs="Arial"/>
          <w:sz w:val="22"/>
        </w:rPr>
        <w:t>. McGraw-Hill Education (UK). Available at: https://books.google.com/books?hl=en&amp;lr=&amp;id=65W1EAAAQBAJ&amp;oi=fnd&amp;pg=PR11&amp;dq=Aveyard (Accessed: 23 August 2023).</w:t>
      </w:r>
    </w:p>
    <w:p w14:paraId="7C3D73B3" w14:textId="77777777" w:rsidR="003A09B3" w:rsidRPr="003A09B3" w:rsidRDefault="008E2C4C" w:rsidP="00C050D6">
      <w:pPr>
        <w:rPr>
          <w:rFonts w:ascii="Arial" w:hAnsi="Arial" w:cs="Arial"/>
          <w:sz w:val="22"/>
        </w:rPr>
      </w:pPr>
      <w:r w:rsidRPr="003A09B3">
        <w:rPr>
          <w:rFonts w:ascii="Arial" w:hAnsi="Arial" w:cs="Arial"/>
          <w:sz w:val="22"/>
        </w:rPr>
        <w:t xml:space="preserve">Bates, D.W., Levine, D., </w:t>
      </w:r>
      <w:proofErr w:type="spellStart"/>
      <w:r w:rsidRPr="003A09B3">
        <w:rPr>
          <w:rFonts w:ascii="Arial" w:hAnsi="Arial" w:cs="Arial"/>
          <w:sz w:val="22"/>
        </w:rPr>
        <w:t>Syrowatka</w:t>
      </w:r>
      <w:proofErr w:type="spellEnd"/>
      <w:r w:rsidRPr="003A09B3">
        <w:rPr>
          <w:rFonts w:ascii="Arial" w:hAnsi="Arial" w:cs="Arial"/>
          <w:sz w:val="22"/>
        </w:rPr>
        <w:t xml:space="preserve">, A., Kuznetsova, M., Craig, K.J.T., Rui, A., Jackson, G.P. and Rhee, K. (2021) ‘The potential of artificial intelligence to improve patient safety: a scoping review’, </w:t>
      </w:r>
      <w:proofErr w:type="spellStart"/>
      <w:r w:rsidRPr="003A09B3">
        <w:rPr>
          <w:rFonts w:ascii="Arial" w:hAnsi="Arial" w:cs="Arial"/>
          <w:i/>
          <w:iCs/>
          <w:sz w:val="22"/>
        </w:rPr>
        <w:t>npj</w:t>
      </w:r>
      <w:proofErr w:type="spellEnd"/>
      <w:r w:rsidRPr="003A09B3">
        <w:rPr>
          <w:rFonts w:ascii="Arial" w:hAnsi="Arial" w:cs="Arial"/>
          <w:i/>
          <w:iCs/>
          <w:sz w:val="22"/>
        </w:rPr>
        <w:t xml:space="preserve"> Digital Medicine</w:t>
      </w:r>
      <w:r w:rsidRPr="003A09B3">
        <w:rPr>
          <w:rFonts w:ascii="Arial" w:hAnsi="Arial" w:cs="Arial"/>
          <w:sz w:val="22"/>
        </w:rPr>
        <w:t>, 4(1). Available at: https://doi.org/10.1038/s41746-021-00423-6.</w:t>
      </w:r>
    </w:p>
    <w:p w14:paraId="5C8C9CA0" w14:textId="77777777" w:rsidR="003A09B3" w:rsidRPr="003A09B3" w:rsidRDefault="008E2C4C" w:rsidP="00C050D6">
      <w:pPr>
        <w:rPr>
          <w:rFonts w:ascii="Arial" w:hAnsi="Arial" w:cs="Arial"/>
          <w:sz w:val="22"/>
        </w:rPr>
      </w:pPr>
      <w:r w:rsidRPr="003A09B3">
        <w:rPr>
          <w:rFonts w:ascii="Arial" w:hAnsi="Arial" w:cs="Arial"/>
          <w:sz w:val="22"/>
        </w:rPr>
        <w:t xml:space="preserve">Carmi, L., Zohar, M. and Riva, G.M. (2022) ‘The European General Data Protection Regulation (GDPR) in mHealth: Theoretical and practical aspects for practitioners’ use’, </w:t>
      </w:r>
      <w:r w:rsidRPr="003A09B3">
        <w:rPr>
          <w:rFonts w:ascii="Arial" w:hAnsi="Arial" w:cs="Arial"/>
          <w:i/>
          <w:iCs/>
          <w:sz w:val="22"/>
        </w:rPr>
        <w:t>Medicine, Science and the Law</w:t>
      </w:r>
      <w:r w:rsidRPr="003A09B3">
        <w:rPr>
          <w:rFonts w:ascii="Arial" w:hAnsi="Arial" w:cs="Arial"/>
          <w:sz w:val="22"/>
        </w:rPr>
        <w:t>, 63(1), p. 002580242211184. Available at: https://doi.org/10.1177/00258024221118411.</w:t>
      </w:r>
    </w:p>
    <w:p w14:paraId="1961970B" w14:textId="77777777" w:rsidR="003A09B3" w:rsidRPr="003A09B3" w:rsidRDefault="008E2C4C" w:rsidP="00C050D6">
      <w:pPr>
        <w:rPr>
          <w:rFonts w:ascii="Arial" w:hAnsi="Arial" w:cs="Arial"/>
          <w:sz w:val="22"/>
        </w:rPr>
      </w:pPr>
      <w:r w:rsidRPr="003A09B3">
        <w:rPr>
          <w:rFonts w:ascii="Arial" w:hAnsi="Arial" w:cs="Arial"/>
          <w:sz w:val="22"/>
        </w:rPr>
        <w:t xml:space="preserve">Cu, A., Meister, S., Lefebvre, B. and </w:t>
      </w:r>
      <w:proofErr w:type="spellStart"/>
      <w:r w:rsidRPr="003A09B3">
        <w:rPr>
          <w:rFonts w:ascii="Arial" w:hAnsi="Arial" w:cs="Arial"/>
          <w:sz w:val="22"/>
        </w:rPr>
        <w:t>Ridde</w:t>
      </w:r>
      <w:proofErr w:type="spellEnd"/>
      <w:r w:rsidRPr="003A09B3">
        <w:rPr>
          <w:rFonts w:ascii="Arial" w:hAnsi="Arial" w:cs="Arial"/>
          <w:sz w:val="22"/>
        </w:rPr>
        <w:t xml:space="preserve">, V. (2021) 'Assessing healthcare access using Levesque's conceptual framework– a scoping review', </w:t>
      </w:r>
      <w:r w:rsidRPr="003A09B3">
        <w:rPr>
          <w:rFonts w:ascii="Arial" w:hAnsi="Arial" w:cs="Arial"/>
          <w:i/>
          <w:iCs/>
          <w:sz w:val="22"/>
        </w:rPr>
        <w:t>International Journal for Equity in Health</w:t>
      </w:r>
      <w:r w:rsidRPr="003A09B3">
        <w:rPr>
          <w:rFonts w:ascii="Arial" w:hAnsi="Arial" w:cs="Arial"/>
          <w:sz w:val="22"/>
        </w:rPr>
        <w:t>, 20(1). Available at: https://doi.org/10.1186/s12939-021-01416-3.</w:t>
      </w:r>
    </w:p>
    <w:p w14:paraId="4FEC5092" w14:textId="77777777" w:rsidR="003A09B3" w:rsidRPr="003A09B3" w:rsidRDefault="008E2C4C" w:rsidP="00C050D6">
      <w:pPr>
        <w:rPr>
          <w:rFonts w:ascii="Arial" w:hAnsi="Arial" w:cs="Arial"/>
          <w:sz w:val="22"/>
        </w:rPr>
      </w:pPr>
      <w:r w:rsidRPr="003A09B3">
        <w:rPr>
          <w:rFonts w:ascii="Arial" w:hAnsi="Arial" w:cs="Arial"/>
          <w:sz w:val="22"/>
        </w:rPr>
        <w:t xml:space="preserve">Esmaeili, M., Sheydayi, A. and </w:t>
      </w:r>
      <w:proofErr w:type="spellStart"/>
      <w:r w:rsidRPr="003A09B3">
        <w:rPr>
          <w:rFonts w:ascii="Arial" w:hAnsi="Arial" w:cs="Arial"/>
          <w:sz w:val="22"/>
        </w:rPr>
        <w:t>Jamalabadi</w:t>
      </w:r>
      <w:proofErr w:type="spellEnd"/>
      <w:r w:rsidRPr="003A09B3">
        <w:rPr>
          <w:rFonts w:ascii="Arial" w:hAnsi="Arial" w:cs="Arial"/>
          <w:sz w:val="22"/>
        </w:rPr>
        <w:t xml:space="preserve">, F. (2025) ‘A Systematic Review of Qualitative and Quantitative Content Analysis Applications in Urban Planning Research: Proposing a Mixed Method Approach’, </w:t>
      </w:r>
      <w:r w:rsidRPr="003A09B3">
        <w:rPr>
          <w:rFonts w:ascii="Arial" w:hAnsi="Arial" w:cs="Arial"/>
          <w:i/>
          <w:iCs/>
          <w:sz w:val="22"/>
        </w:rPr>
        <w:t>Journal of Urban Planning and Development</w:t>
      </w:r>
      <w:r w:rsidRPr="003A09B3">
        <w:rPr>
          <w:rFonts w:ascii="Arial" w:hAnsi="Arial" w:cs="Arial"/>
          <w:sz w:val="22"/>
        </w:rPr>
        <w:t>, 151(3). Available at: https://doi.org/10.1061/jupddm.upeng-5080.</w:t>
      </w:r>
    </w:p>
    <w:p w14:paraId="37DBC722" w14:textId="77777777" w:rsidR="003A09B3" w:rsidRPr="003A09B3" w:rsidRDefault="008E2C4C" w:rsidP="00C050D6">
      <w:pPr>
        <w:rPr>
          <w:rFonts w:ascii="Arial" w:hAnsi="Arial" w:cs="Arial"/>
          <w:sz w:val="22"/>
        </w:rPr>
      </w:pPr>
      <w:proofErr w:type="spellStart"/>
      <w:r w:rsidRPr="003A09B3">
        <w:rPr>
          <w:rFonts w:ascii="Arial" w:hAnsi="Arial" w:cs="Arial"/>
          <w:sz w:val="22"/>
        </w:rPr>
        <w:t>Gobburi</w:t>
      </w:r>
      <w:proofErr w:type="spellEnd"/>
      <w:r w:rsidRPr="003A09B3">
        <w:rPr>
          <w:rFonts w:ascii="Arial" w:hAnsi="Arial" w:cs="Arial"/>
          <w:sz w:val="22"/>
        </w:rPr>
        <w:t xml:space="preserve">, R.K., </w:t>
      </w:r>
      <w:proofErr w:type="spellStart"/>
      <w:r w:rsidRPr="003A09B3">
        <w:rPr>
          <w:rFonts w:ascii="Arial" w:hAnsi="Arial" w:cs="Arial"/>
          <w:sz w:val="22"/>
        </w:rPr>
        <w:t>Olawade</w:t>
      </w:r>
      <w:proofErr w:type="spellEnd"/>
      <w:r w:rsidRPr="003A09B3">
        <w:rPr>
          <w:rFonts w:ascii="Arial" w:hAnsi="Arial" w:cs="Arial"/>
          <w:sz w:val="22"/>
        </w:rPr>
        <w:t xml:space="preserve">, D.B., Olatunji, G.D., Kokori, E., </w:t>
      </w:r>
      <w:proofErr w:type="spellStart"/>
      <w:r w:rsidRPr="003A09B3">
        <w:rPr>
          <w:rFonts w:ascii="Arial" w:hAnsi="Arial" w:cs="Arial"/>
          <w:sz w:val="22"/>
        </w:rPr>
        <w:t>Aderinto</w:t>
      </w:r>
      <w:proofErr w:type="spellEnd"/>
      <w:r w:rsidRPr="003A09B3">
        <w:rPr>
          <w:rFonts w:ascii="Arial" w:hAnsi="Arial" w:cs="Arial"/>
          <w:sz w:val="22"/>
        </w:rPr>
        <w:t xml:space="preserve">, N. and David-Olawade, A.C. (2025) ‘Telemedicine use in rural areas of the United Kingdom to improve access to healthcare facilities: A review of current evidence’, </w:t>
      </w:r>
      <w:r w:rsidRPr="003A09B3">
        <w:rPr>
          <w:rFonts w:ascii="Arial" w:hAnsi="Arial" w:cs="Arial"/>
          <w:i/>
          <w:iCs/>
          <w:sz w:val="22"/>
        </w:rPr>
        <w:t>Informatics and Health</w:t>
      </w:r>
      <w:r w:rsidRPr="003A09B3">
        <w:rPr>
          <w:rFonts w:ascii="Arial" w:hAnsi="Arial" w:cs="Arial"/>
          <w:sz w:val="22"/>
        </w:rPr>
        <w:t>, 2(1), pp. 41–48. Available at: https://www.sciencedirect.com/science/article/pii/S2949953425000050.</w:t>
      </w:r>
    </w:p>
    <w:p w14:paraId="057331E1" w14:textId="77777777" w:rsidR="003A09B3" w:rsidRPr="003A09B3" w:rsidRDefault="008E2C4C" w:rsidP="00C050D6">
      <w:pPr>
        <w:rPr>
          <w:rFonts w:ascii="Arial" w:hAnsi="Arial" w:cs="Arial"/>
          <w:sz w:val="22"/>
        </w:rPr>
      </w:pPr>
      <w:r w:rsidRPr="003A09B3">
        <w:rPr>
          <w:rFonts w:ascii="Arial" w:hAnsi="Arial" w:cs="Arial"/>
          <w:sz w:val="22"/>
        </w:rPr>
        <w:t xml:space="preserve">Groom, L.L., McCarthy, M.M., Stimpfel, A.W. and Brody, A.A. (2021) ‘Telemedicine and telehealth in nursing homes: An integrative review’, </w:t>
      </w:r>
      <w:r w:rsidRPr="003A09B3">
        <w:rPr>
          <w:rFonts w:ascii="Arial" w:hAnsi="Arial" w:cs="Arial"/>
          <w:i/>
          <w:iCs/>
          <w:sz w:val="22"/>
        </w:rPr>
        <w:t>Journal of the American Medical Directors Association</w:t>
      </w:r>
      <w:r w:rsidRPr="003A09B3">
        <w:rPr>
          <w:rFonts w:ascii="Arial" w:hAnsi="Arial" w:cs="Arial"/>
          <w:sz w:val="22"/>
        </w:rPr>
        <w:t>, 22(9), pp. 1784–1801. Available at: https://doi.org/10.1016/j.jamda.2021.02.037.</w:t>
      </w:r>
    </w:p>
    <w:p w14:paraId="2F4D4601" w14:textId="77777777" w:rsidR="003A09B3" w:rsidRPr="003A09B3" w:rsidRDefault="008E2C4C" w:rsidP="00C050D6">
      <w:pPr>
        <w:rPr>
          <w:rFonts w:ascii="Arial" w:hAnsi="Arial" w:cs="Arial"/>
          <w:sz w:val="22"/>
        </w:rPr>
      </w:pPr>
      <w:r w:rsidRPr="003A09B3">
        <w:rPr>
          <w:rFonts w:ascii="Arial" w:hAnsi="Arial" w:cs="Arial"/>
          <w:sz w:val="22"/>
        </w:rPr>
        <w:t xml:space="preserve">Lim, A.H., Hong, D.Z., </w:t>
      </w:r>
      <w:proofErr w:type="spellStart"/>
      <w:r w:rsidRPr="003A09B3">
        <w:rPr>
          <w:rFonts w:ascii="Arial" w:hAnsi="Arial" w:cs="Arial"/>
          <w:sz w:val="22"/>
        </w:rPr>
        <w:t>Pisupati</w:t>
      </w:r>
      <w:proofErr w:type="spellEnd"/>
      <w:r w:rsidRPr="003A09B3">
        <w:rPr>
          <w:rFonts w:ascii="Arial" w:hAnsi="Arial" w:cs="Arial"/>
          <w:sz w:val="22"/>
        </w:rPr>
        <w:t xml:space="preserve">, A., Ong, Y.T., Yi, J., Jia, E., Koh, Y.Z., Wang, M., Tan, R., Koh, K.K., Jia, J., Yang, K., Chiam, M., Sze, A., Chin, A., Fong, W., Wijaya, L., Hui, L. and Krishna (2023) ‘Portfolio use in postgraduate medical education: a systematic scoping review’, </w:t>
      </w:r>
      <w:r w:rsidRPr="003A09B3">
        <w:rPr>
          <w:rFonts w:ascii="Arial" w:hAnsi="Arial" w:cs="Arial"/>
          <w:i/>
          <w:iCs/>
          <w:sz w:val="22"/>
        </w:rPr>
        <w:lastRenderedPageBreak/>
        <w:t>Postgraduate Medical Journal</w:t>
      </w:r>
      <w:r w:rsidRPr="003A09B3">
        <w:rPr>
          <w:rFonts w:ascii="Arial" w:hAnsi="Arial" w:cs="Arial"/>
          <w:sz w:val="22"/>
        </w:rPr>
        <w:t>, 99(1174). Available at: https://doi.org/10.1093/postmj/qgac007.</w:t>
      </w:r>
    </w:p>
    <w:p w14:paraId="42834FDB" w14:textId="77777777" w:rsidR="003A09B3" w:rsidRPr="003A09B3" w:rsidRDefault="008E2C4C" w:rsidP="00C050D6">
      <w:pPr>
        <w:rPr>
          <w:rFonts w:ascii="Arial" w:hAnsi="Arial" w:cs="Arial"/>
          <w:sz w:val="22"/>
        </w:rPr>
      </w:pPr>
      <w:proofErr w:type="spellStart"/>
      <w:r w:rsidRPr="003A09B3">
        <w:rPr>
          <w:rFonts w:ascii="Arial" w:hAnsi="Arial" w:cs="Arial"/>
          <w:sz w:val="22"/>
        </w:rPr>
        <w:t>Macwilliam</w:t>
      </w:r>
      <w:proofErr w:type="spellEnd"/>
      <w:r w:rsidRPr="003A09B3">
        <w:rPr>
          <w:rFonts w:ascii="Arial" w:hAnsi="Arial" w:cs="Arial"/>
          <w:sz w:val="22"/>
        </w:rPr>
        <w:t xml:space="preserve">, J., Hennessey, I. and Cleary, G. (2021) ‘Telemedicine: improving clinical care and medical education in paediatrics’, </w:t>
      </w:r>
      <w:r w:rsidRPr="003A09B3">
        <w:rPr>
          <w:rFonts w:ascii="Arial" w:hAnsi="Arial" w:cs="Arial"/>
          <w:i/>
          <w:iCs/>
          <w:sz w:val="22"/>
        </w:rPr>
        <w:t>Paediatrics and Child Health</w:t>
      </w:r>
      <w:r w:rsidRPr="003A09B3">
        <w:rPr>
          <w:rFonts w:ascii="Arial" w:hAnsi="Arial" w:cs="Arial"/>
          <w:sz w:val="22"/>
        </w:rPr>
        <w:t>, 31(10), pp. 388–396. Available at: https://doi.org/10.1016/j.paed.2021.07.004.</w:t>
      </w:r>
    </w:p>
    <w:p w14:paraId="429B66F1" w14:textId="77777777" w:rsidR="003A09B3" w:rsidRPr="003A09B3" w:rsidRDefault="008E2C4C" w:rsidP="00C050D6">
      <w:pPr>
        <w:rPr>
          <w:rFonts w:ascii="Arial" w:hAnsi="Arial" w:cs="Arial"/>
          <w:sz w:val="22"/>
        </w:rPr>
      </w:pPr>
      <w:r w:rsidRPr="003A09B3">
        <w:rPr>
          <w:rFonts w:ascii="Arial" w:hAnsi="Arial" w:cs="Arial"/>
          <w:sz w:val="22"/>
        </w:rPr>
        <w:t xml:space="preserve">Valk-Draad, M.P. and Bohnet-Joschko, S. (2022) ‘Nursing Home-Sensitive Hospitalizations and the Relevance of Telemedicine: A Scoping Review’, </w:t>
      </w:r>
      <w:r w:rsidRPr="003A09B3">
        <w:rPr>
          <w:rFonts w:ascii="Arial" w:hAnsi="Arial" w:cs="Arial"/>
          <w:i/>
          <w:iCs/>
          <w:sz w:val="22"/>
        </w:rPr>
        <w:t>International journal of environmental research and public health</w:t>
      </w:r>
      <w:r w:rsidRPr="003A09B3">
        <w:rPr>
          <w:rFonts w:ascii="Arial" w:hAnsi="Arial" w:cs="Arial"/>
          <w:sz w:val="22"/>
        </w:rPr>
        <w:t>, 19(19). Available at: https://doi.org/10.3390/ijerph191912944.</w:t>
      </w:r>
    </w:p>
    <w:sectPr w:rsidR="003A09B3" w:rsidRPr="003A09B3" w:rsidSect="003A09B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8C229" w14:textId="77777777" w:rsidR="008E2C4C" w:rsidRDefault="008E2C4C" w:rsidP="003A09B3">
      <w:pPr>
        <w:spacing w:before="0" w:after="0" w:line="240" w:lineRule="auto"/>
      </w:pPr>
      <w:r>
        <w:separator/>
      </w:r>
    </w:p>
  </w:endnote>
  <w:endnote w:type="continuationSeparator" w:id="0">
    <w:p w14:paraId="4B224826" w14:textId="77777777" w:rsidR="008E2C4C" w:rsidRDefault="008E2C4C" w:rsidP="003A09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1600662"/>
      <w:docPartObj>
        <w:docPartGallery w:val="Page Numbers (Bottom of Page)"/>
        <w:docPartUnique/>
      </w:docPartObj>
    </w:sdtPr>
    <w:sdtEndPr>
      <w:rPr>
        <w:color w:val="7F7F7F" w:themeColor="background1" w:themeShade="7F"/>
        <w:spacing w:val="60"/>
      </w:rPr>
    </w:sdtEndPr>
    <w:sdtContent>
      <w:p w14:paraId="67A64E4C" w14:textId="77777777" w:rsidR="003A09B3" w:rsidRDefault="008E2C4C">
        <w:pPr>
          <w:pStyle w:val="Footer"/>
          <w:pBdr>
            <w:top w:val="single" w:sz="4" w:space="1" w:color="D9D9D9" w:themeColor="background1" w:themeShade="D9"/>
          </w:pBdr>
          <w:jc w:val="right"/>
        </w:pPr>
        <w:r w:rsidRPr="003A09B3">
          <w:rPr>
            <w:rFonts w:ascii="Arial" w:hAnsi="Arial" w:cs="Arial"/>
            <w:sz w:val="18"/>
            <w:szCs w:val="16"/>
          </w:rPr>
          <w:fldChar w:fldCharType="begin"/>
        </w:r>
        <w:r w:rsidRPr="003A09B3">
          <w:rPr>
            <w:rFonts w:ascii="Arial" w:hAnsi="Arial" w:cs="Arial"/>
            <w:sz w:val="18"/>
            <w:szCs w:val="16"/>
          </w:rPr>
          <w:instrText>PAGE   \* MERGEFORMAT</w:instrText>
        </w:r>
        <w:r w:rsidRPr="003A09B3">
          <w:rPr>
            <w:rFonts w:ascii="Arial" w:hAnsi="Arial" w:cs="Arial"/>
            <w:sz w:val="18"/>
            <w:szCs w:val="16"/>
          </w:rPr>
          <w:fldChar w:fldCharType="separate"/>
        </w:r>
        <w:r w:rsidR="00232DC8">
          <w:rPr>
            <w:rFonts w:ascii="Arial" w:hAnsi="Arial" w:cs="Arial"/>
            <w:noProof/>
            <w:sz w:val="18"/>
            <w:szCs w:val="16"/>
          </w:rPr>
          <w:t>6</w:t>
        </w:r>
        <w:r w:rsidRPr="003A09B3">
          <w:rPr>
            <w:rFonts w:ascii="Arial" w:hAnsi="Arial" w:cs="Arial"/>
            <w:sz w:val="18"/>
            <w:szCs w:val="16"/>
          </w:rPr>
          <w:fldChar w:fldCharType="end"/>
        </w:r>
        <w:r w:rsidRPr="003A09B3">
          <w:rPr>
            <w:rFonts w:ascii="Arial" w:hAnsi="Arial" w:cs="Arial"/>
            <w:sz w:val="18"/>
            <w:szCs w:val="16"/>
          </w:rPr>
          <w:t xml:space="preserve"> | </w:t>
        </w:r>
        <w:r w:rsidRPr="003A09B3">
          <w:rPr>
            <w:rFonts w:ascii="Arial" w:hAnsi="Arial" w:cs="Arial"/>
            <w:color w:val="7F7F7F" w:themeColor="background1" w:themeShade="7F"/>
            <w:spacing w:val="60"/>
            <w:sz w:val="18"/>
            <w:szCs w:val="16"/>
          </w:rPr>
          <w:t>Page</w:t>
        </w:r>
      </w:p>
    </w:sdtContent>
  </w:sdt>
  <w:p w14:paraId="7216A906" w14:textId="77777777" w:rsidR="003A09B3" w:rsidRDefault="003A0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D1D3D" w14:textId="77777777" w:rsidR="008E2C4C" w:rsidRDefault="008E2C4C" w:rsidP="003A09B3">
      <w:pPr>
        <w:spacing w:before="0" w:after="0" w:line="240" w:lineRule="auto"/>
      </w:pPr>
      <w:r>
        <w:separator/>
      </w:r>
    </w:p>
  </w:footnote>
  <w:footnote w:type="continuationSeparator" w:id="0">
    <w:p w14:paraId="7FD72D6D" w14:textId="77777777" w:rsidR="008E2C4C" w:rsidRDefault="008E2C4C" w:rsidP="003A09B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43700"/>
    <w:multiLevelType w:val="multilevel"/>
    <w:tmpl w:val="88C8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5A7054"/>
    <w:multiLevelType w:val="multilevel"/>
    <w:tmpl w:val="15DE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978524">
    <w:abstractNumId w:val="1"/>
  </w:num>
  <w:num w:numId="2" w16cid:durableId="1446190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9B3"/>
    <w:rsid w:val="000435D6"/>
    <w:rsid w:val="00161E00"/>
    <w:rsid w:val="0018111A"/>
    <w:rsid w:val="001A644E"/>
    <w:rsid w:val="00232DC8"/>
    <w:rsid w:val="003131E9"/>
    <w:rsid w:val="00352234"/>
    <w:rsid w:val="00366FC0"/>
    <w:rsid w:val="003A09B3"/>
    <w:rsid w:val="00440D56"/>
    <w:rsid w:val="004B5842"/>
    <w:rsid w:val="00550DF4"/>
    <w:rsid w:val="00553229"/>
    <w:rsid w:val="007E0E1F"/>
    <w:rsid w:val="007E6472"/>
    <w:rsid w:val="00876DEA"/>
    <w:rsid w:val="008D5FD7"/>
    <w:rsid w:val="008E2C4C"/>
    <w:rsid w:val="009078FD"/>
    <w:rsid w:val="009422F0"/>
    <w:rsid w:val="00964D51"/>
    <w:rsid w:val="009A3769"/>
    <w:rsid w:val="009B2B5E"/>
    <w:rsid w:val="009D3303"/>
    <w:rsid w:val="00A2635E"/>
    <w:rsid w:val="00A3178F"/>
    <w:rsid w:val="00A94423"/>
    <w:rsid w:val="00B4311D"/>
    <w:rsid w:val="00B82CF0"/>
    <w:rsid w:val="00C007E0"/>
    <w:rsid w:val="00C050D6"/>
    <w:rsid w:val="00C17D42"/>
    <w:rsid w:val="00C2067F"/>
    <w:rsid w:val="00C326D6"/>
    <w:rsid w:val="00CB53A3"/>
    <w:rsid w:val="00DA3E7F"/>
    <w:rsid w:val="00DF2F48"/>
    <w:rsid w:val="00E576E5"/>
    <w:rsid w:val="00F865F0"/>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512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style>
  <w:style w:type="paragraph" w:styleId="Heading1">
    <w:name w:val="heading 1"/>
    <w:basedOn w:val="Normal"/>
    <w:next w:val="Normal"/>
    <w:link w:val="Heading1Char"/>
    <w:autoRedefine/>
    <w:uiPriority w:val="9"/>
    <w:qFormat/>
    <w:rsid w:val="004B5842"/>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paragraph" w:styleId="Heading3">
    <w:name w:val="heading 3"/>
    <w:basedOn w:val="Normal"/>
    <w:next w:val="Normal"/>
    <w:link w:val="Heading3Char"/>
    <w:uiPriority w:val="9"/>
    <w:semiHidden/>
    <w:unhideWhenUsed/>
    <w:qFormat/>
    <w:rsid w:val="003A09B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09B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09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09B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09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09B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09B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42"/>
    <w:rPr>
      <w:b/>
      <w:sz w:val="28"/>
      <w:szCs w:val="40"/>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3A09B3"/>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09B3"/>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3A09B3"/>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3A09B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A09B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A09B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A09B3"/>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3A09B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9B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A09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09B3"/>
    <w:rPr>
      <w:i/>
      <w:iCs/>
      <w:color w:val="404040" w:themeColor="text1" w:themeTint="BF"/>
    </w:rPr>
  </w:style>
  <w:style w:type="paragraph" w:styleId="ListParagraph">
    <w:name w:val="List Paragraph"/>
    <w:basedOn w:val="Normal"/>
    <w:uiPriority w:val="34"/>
    <w:qFormat/>
    <w:rsid w:val="003A09B3"/>
    <w:pPr>
      <w:ind w:left="720"/>
      <w:contextualSpacing/>
    </w:pPr>
  </w:style>
  <w:style w:type="character" w:styleId="IntenseEmphasis">
    <w:name w:val="Intense Emphasis"/>
    <w:basedOn w:val="DefaultParagraphFont"/>
    <w:uiPriority w:val="21"/>
    <w:qFormat/>
    <w:rsid w:val="003A09B3"/>
    <w:rPr>
      <w:i/>
      <w:iCs/>
      <w:color w:val="2F5496" w:themeColor="accent1" w:themeShade="BF"/>
    </w:rPr>
  </w:style>
  <w:style w:type="paragraph" w:styleId="IntenseQuote">
    <w:name w:val="Intense Quote"/>
    <w:basedOn w:val="Normal"/>
    <w:next w:val="Normal"/>
    <w:link w:val="IntenseQuoteChar"/>
    <w:uiPriority w:val="30"/>
    <w:qFormat/>
    <w:rsid w:val="003A09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09B3"/>
    <w:rPr>
      <w:i/>
      <w:iCs/>
      <w:color w:val="2F5496" w:themeColor="accent1" w:themeShade="BF"/>
    </w:rPr>
  </w:style>
  <w:style w:type="character" w:styleId="IntenseReference">
    <w:name w:val="Intense Reference"/>
    <w:basedOn w:val="DefaultParagraphFont"/>
    <w:uiPriority w:val="32"/>
    <w:qFormat/>
    <w:rsid w:val="003A09B3"/>
    <w:rPr>
      <w:b/>
      <w:bCs/>
      <w:smallCaps/>
      <w:color w:val="2F5496" w:themeColor="accent1" w:themeShade="BF"/>
      <w:spacing w:val="5"/>
    </w:rPr>
  </w:style>
  <w:style w:type="paragraph" w:styleId="TOCHeading">
    <w:name w:val="TOC Heading"/>
    <w:basedOn w:val="Heading1"/>
    <w:next w:val="Normal"/>
    <w:uiPriority w:val="39"/>
    <w:unhideWhenUsed/>
    <w:qFormat/>
    <w:rsid w:val="003A09B3"/>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3A09B3"/>
  </w:style>
  <w:style w:type="paragraph" w:styleId="TOC2">
    <w:name w:val="toc 2"/>
    <w:basedOn w:val="Normal"/>
    <w:next w:val="Normal"/>
    <w:autoRedefine/>
    <w:uiPriority w:val="39"/>
    <w:unhideWhenUsed/>
    <w:rsid w:val="003A09B3"/>
    <w:pPr>
      <w:ind w:left="240"/>
    </w:pPr>
  </w:style>
  <w:style w:type="character" w:styleId="Hyperlink">
    <w:name w:val="Hyperlink"/>
    <w:basedOn w:val="DefaultParagraphFont"/>
    <w:uiPriority w:val="99"/>
    <w:unhideWhenUsed/>
    <w:rsid w:val="003A09B3"/>
    <w:rPr>
      <w:color w:val="0563C1" w:themeColor="hyperlink"/>
      <w:u w:val="single"/>
    </w:rPr>
  </w:style>
  <w:style w:type="paragraph" w:styleId="Header">
    <w:name w:val="header"/>
    <w:basedOn w:val="Normal"/>
    <w:link w:val="HeaderChar"/>
    <w:uiPriority w:val="99"/>
    <w:unhideWhenUsed/>
    <w:rsid w:val="003A09B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A09B3"/>
  </w:style>
  <w:style w:type="paragraph" w:styleId="Footer">
    <w:name w:val="footer"/>
    <w:basedOn w:val="Normal"/>
    <w:link w:val="FooterChar"/>
    <w:uiPriority w:val="99"/>
    <w:unhideWhenUsed/>
    <w:rsid w:val="003A09B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A0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47F72-30F8-49DD-86DD-8B9733097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1361</Words>
  <Characters>7763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2025-10-05T20:59:00Z</dcterms:created>
  <dcterms:modified xsi:type="dcterms:W3CDTF">2025-10-05T20:59:00Z</dcterms:modified>
</cp:coreProperties>
</file>