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740F" w:rsidRPr="00AD63DB" w:rsidRDefault="0029611E" w:rsidP="0029611E">
      <w:pPr>
        <w:spacing w:line="360" w:lineRule="auto"/>
        <w:jc w:val="center"/>
        <w:rPr>
          <w:rFonts w:ascii="Times New Roman" w:hAnsi="Times New Roman" w:cs="Times New Roman"/>
          <w:sz w:val="24"/>
          <w:szCs w:val="24"/>
          <w:lang w:val="en-US"/>
        </w:rPr>
      </w:pPr>
      <w:r>
        <w:rPr>
          <w:rFonts w:ascii="Times New Roman" w:hAnsi="Times New Roman" w:cs="Times New Roman"/>
          <w:noProof/>
          <w:sz w:val="24"/>
          <w:szCs w:val="24"/>
          <w:lang w:eastAsia="bg-BG"/>
        </w:rPr>
        <w:drawing>
          <wp:inline distT="0" distB="0" distL="0" distR="0">
            <wp:extent cx="3596128" cy="1603036"/>
            <wp:effectExtent l="228600" t="266700" r="23495" b="28321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54288436.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05227" cy="1607092"/>
                    </a:xfrm>
                    <a:prstGeom prst="rect">
                      <a:avLst/>
                    </a:prstGeom>
                    <a:effectLst>
                      <a:glow rad="228600">
                        <a:schemeClr val="accent6">
                          <a:satMod val="175000"/>
                          <a:alpha val="40000"/>
                        </a:schemeClr>
                      </a:glow>
                    </a:effectLst>
                    <a:scene3d>
                      <a:camera prst="perspectiveRight"/>
                      <a:lightRig rig="threePt" dir="t"/>
                    </a:scene3d>
                    <a:sp3d>
                      <a:bevelT prst="angle"/>
                    </a:sp3d>
                  </pic:spPr>
                </pic:pic>
              </a:graphicData>
            </a:graphic>
          </wp:inline>
        </w:drawing>
      </w:r>
    </w:p>
    <w:p w:rsidR="0029611E" w:rsidRPr="00366EB0" w:rsidRDefault="0029611E" w:rsidP="00366EB0">
      <w:pPr>
        <w:spacing w:line="360" w:lineRule="auto"/>
        <w:rPr>
          <w:rFonts w:ascii="Arial" w:hAnsi="Arial" w:cs="Arial"/>
          <w:sz w:val="24"/>
          <w:szCs w:val="24"/>
          <w:lang w:val="en-US"/>
        </w:rPr>
      </w:pPr>
    </w:p>
    <w:p w:rsidR="0029611E" w:rsidRPr="00366EB0" w:rsidRDefault="0029611E" w:rsidP="00366EB0">
      <w:pPr>
        <w:spacing w:line="360" w:lineRule="auto"/>
        <w:rPr>
          <w:rFonts w:ascii="Arial" w:hAnsi="Arial" w:cs="Arial"/>
          <w:sz w:val="24"/>
          <w:szCs w:val="24"/>
        </w:rPr>
      </w:pPr>
      <w:proofErr w:type="spellStart"/>
      <w:r w:rsidRPr="00366EB0">
        <w:rPr>
          <w:rFonts w:ascii="Arial" w:hAnsi="Arial" w:cs="Arial"/>
          <w:sz w:val="24"/>
          <w:szCs w:val="24"/>
        </w:rPr>
        <w:t>Module</w:t>
      </w:r>
      <w:proofErr w:type="spellEnd"/>
      <w:r w:rsidRPr="00366EB0">
        <w:rPr>
          <w:rFonts w:ascii="Arial" w:hAnsi="Arial" w:cs="Arial"/>
          <w:sz w:val="24"/>
          <w:szCs w:val="24"/>
        </w:rPr>
        <w:t xml:space="preserve"> </w:t>
      </w:r>
      <w:proofErr w:type="spellStart"/>
      <w:r w:rsidRPr="00366EB0">
        <w:rPr>
          <w:rFonts w:ascii="Arial" w:hAnsi="Arial" w:cs="Arial"/>
          <w:sz w:val="24"/>
          <w:szCs w:val="24"/>
        </w:rPr>
        <w:t>Name</w:t>
      </w:r>
      <w:proofErr w:type="spellEnd"/>
      <w:r w:rsidRPr="00366EB0">
        <w:rPr>
          <w:rFonts w:ascii="Arial" w:hAnsi="Arial" w:cs="Arial"/>
          <w:sz w:val="24"/>
          <w:szCs w:val="24"/>
        </w:rPr>
        <w:t xml:space="preserve"> </w:t>
      </w:r>
      <w:proofErr w:type="spellStart"/>
      <w:r w:rsidRPr="00366EB0">
        <w:rPr>
          <w:rFonts w:ascii="Arial" w:hAnsi="Arial" w:cs="Arial"/>
          <w:sz w:val="24"/>
          <w:szCs w:val="24"/>
        </w:rPr>
        <w:t>Early</w:t>
      </w:r>
      <w:proofErr w:type="spellEnd"/>
      <w:r w:rsidRPr="00366EB0">
        <w:rPr>
          <w:rFonts w:ascii="Arial" w:hAnsi="Arial" w:cs="Arial"/>
          <w:sz w:val="24"/>
          <w:szCs w:val="24"/>
        </w:rPr>
        <w:t xml:space="preserve"> </w:t>
      </w:r>
      <w:proofErr w:type="spellStart"/>
      <w:r w:rsidRPr="00366EB0">
        <w:rPr>
          <w:rFonts w:ascii="Arial" w:hAnsi="Arial" w:cs="Arial"/>
          <w:sz w:val="24"/>
          <w:szCs w:val="24"/>
        </w:rPr>
        <w:t>Years</w:t>
      </w:r>
      <w:proofErr w:type="spellEnd"/>
      <w:r w:rsidRPr="00366EB0">
        <w:rPr>
          <w:rFonts w:ascii="Arial" w:hAnsi="Arial" w:cs="Arial"/>
          <w:sz w:val="24"/>
          <w:szCs w:val="24"/>
        </w:rPr>
        <w:t xml:space="preserve"> </w:t>
      </w:r>
      <w:proofErr w:type="spellStart"/>
      <w:r w:rsidRPr="00366EB0">
        <w:rPr>
          <w:rFonts w:ascii="Arial" w:hAnsi="Arial" w:cs="Arial"/>
          <w:sz w:val="24"/>
          <w:szCs w:val="24"/>
        </w:rPr>
        <w:t>Curricula</w:t>
      </w:r>
      <w:proofErr w:type="spellEnd"/>
      <w:r w:rsidRPr="00366EB0">
        <w:rPr>
          <w:rFonts w:ascii="Arial" w:hAnsi="Arial" w:cs="Arial"/>
          <w:sz w:val="24"/>
          <w:szCs w:val="24"/>
        </w:rPr>
        <w:t xml:space="preserve"> </w:t>
      </w:r>
    </w:p>
    <w:p w:rsidR="0029611E" w:rsidRPr="00366EB0" w:rsidRDefault="0029611E" w:rsidP="00366EB0">
      <w:pPr>
        <w:spacing w:line="360" w:lineRule="auto"/>
        <w:rPr>
          <w:rFonts w:ascii="Arial" w:hAnsi="Arial" w:cs="Arial"/>
          <w:sz w:val="24"/>
          <w:szCs w:val="24"/>
        </w:rPr>
      </w:pPr>
      <w:proofErr w:type="spellStart"/>
      <w:r w:rsidRPr="00366EB0">
        <w:rPr>
          <w:rFonts w:ascii="Arial" w:hAnsi="Arial" w:cs="Arial"/>
          <w:sz w:val="24"/>
          <w:szCs w:val="24"/>
        </w:rPr>
        <w:t>Module</w:t>
      </w:r>
      <w:proofErr w:type="spellEnd"/>
      <w:r w:rsidRPr="00366EB0">
        <w:rPr>
          <w:rFonts w:ascii="Arial" w:hAnsi="Arial" w:cs="Arial"/>
          <w:sz w:val="24"/>
          <w:szCs w:val="24"/>
        </w:rPr>
        <w:t xml:space="preserve"> </w:t>
      </w:r>
      <w:proofErr w:type="spellStart"/>
      <w:r w:rsidRPr="00366EB0">
        <w:rPr>
          <w:rFonts w:ascii="Arial" w:hAnsi="Arial" w:cs="Arial"/>
          <w:sz w:val="24"/>
          <w:szCs w:val="24"/>
        </w:rPr>
        <w:t>Code</w:t>
      </w:r>
      <w:proofErr w:type="spellEnd"/>
      <w:r w:rsidRPr="00366EB0">
        <w:rPr>
          <w:rFonts w:ascii="Arial" w:hAnsi="Arial" w:cs="Arial"/>
          <w:sz w:val="24"/>
          <w:szCs w:val="24"/>
        </w:rPr>
        <w:t>: (ECEY6010/C)</w:t>
      </w:r>
    </w:p>
    <w:p w:rsidR="0029611E" w:rsidRPr="00366EB0" w:rsidRDefault="0029611E" w:rsidP="00366EB0">
      <w:pPr>
        <w:spacing w:line="360" w:lineRule="auto"/>
        <w:rPr>
          <w:rFonts w:ascii="Arial" w:hAnsi="Arial" w:cs="Arial"/>
          <w:sz w:val="24"/>
          <w:szCs w:val="24"/>
        </w:rPr>
      </w:pPr>
      <w:proofErr w:type="spellStart"/>
      <w:r w:rsidRPr="00366EB0">
        <w:rPr>
          <w:rFonts w:ascii="Arial" w:hAnsi="Arial" w:cs="Arial"/>
          <w:sz w:val="24"/>
          <w:szCs w:val="24"/>
        </w:rPr>
        <w:t>Student</w:t>
      </w:r>
      <w:proofErr w:type="spellEnd"/>
      <w:r w:rsidRPr="00366EB0">
        <w:rPr>
          <w:rFonts w:ascii="Arial" w:hAnsi="Arial" w:cs="Arial"/>
          <w:sz w:val="24"/>
          <w:szCs w:val="24"/>
        </w:rPr>
        <w:t xml:space="preserve"> ID: </w:t>
      </w:r>
      <w:r w:rsidRPr="00366EB0">
        <w:rPr>
          <w:rFonts w:ascii="Arial" w:hAnsi="Arial" w:cs="Arial"/>
          <w:sz w:val="24"/>
          <w:szCs w:val="24"/>
          <w:lang w:val="en-GB"/>
        </w:rPr>
        <w:t>2403964</w:t>
      </w:r>
    </w:p>
    <w:p w:rsidR="0029611E" w:rsidRPr="00366EB0" w:rsidRDefault="0029611E" w:rsidP="00366EB0">
      <w:pPr>
        <w:spacing w:line="360" w:lineRule="auto"/>
        <w:rPr>
          <w:rFonts w:ascii="Arial" w:hAnsi="Arial" w:cs="Arial"/>
          <w:sz w:val="24"/>
          <w:szCs w:val="24"/>
        </w:rPr>
      </w:pPr>
      <w:proofErr w:type="spellStart"/>
      <w:r w:rsidRPr="00366EB0">
        <w:rPr>
          <w:rFonts w:ascii="Arial" w:hAnsi="Arial" w:cs="Arial"/>
          <w:sz w:val="24"/>
          <w:szCs w:val="24"/>
        </w:rPr>
        <w:t>Module</w:t>
      </w:r>
      <w:proofErr w:type="spellEnd"/>
      <w:r w:rsidRPr="00366EB0">
        <w:rPr>
          <w:rFonts w:ascii="Arial" w:hAnsi="Arial" w:cs="Arial"/>
          <w:sz w:val="24"/>
          <w:szCs w:val="24"/>
        </w:rPr>
        <w:t xml:space="preserve"> </w:t>
      </w:r>
      <w:proofErr w:type="spellStart"/>
      <w:r w:rsidRPr="00366EB0">
        <w:rPr>
          <w:rFonts w:ascii="Arial" w:hAnsi="Arial" w:cs="Arial"/>
          <w:sz w:val="24"/>
          <w:szCs w:val="24"/>
        </w:rPr>
        <w:t>Leader</w:t>
      </w:r>
      <w:proofErr w:type="spellEnd"/>
      <w:r w:rsidRPr="00366EB0">
        <w:rPr>
          <w:rFonts w:ascii="Arial" w:hAnsi="Arial" w:cs="Arial"/>
          <w:sz w:val="24"/>
          <w:szCs w:val="24"/>
        </w:rPr>
        <w:t xml:space="preserve">: </w:t>
      </w:r>
      <w:proofErr w:type="spellStart"/>
      <w:r w:rsidRPr="00366EB0">
        <w:rPr>
          <w:rFonts w:ascii="Arial" w:hAnsi="Arial" w:cs="Arial"/>
          <w:sz w:val="24"/>
          <w:szCs w:val="24"/>
        </w:rPr>
        <w:t>Alison</w:t>
      </w:r>
      <w:proofErr w:type="spellEnd"/>
      <w:r w:rsidRPr="00366EB0">
        <w:rPr>
          <w:rFonts w:ascii="Arial" w:hAnsi="Arial" w:cs="Arial"/>
          <w:sz w:val="24"/>
          <w:szCs w:val="24"/>
        </w:rPr>
        <w:t xml:space="preserve"> </w:t>
      </w:r>
      <w:proofErr w:type="spellStart"/>
      <w:r w:rsidRPr="00366EB0">
        <w:rPr>
          <w:rFonts w:ascii="Arial" w:hAnsi="Arial" w:cs="Arial"/>
          <w:sz w:val="24"/>
          <w:szCs w:val="24"/>
        </w:rPr>
        <w:t>Rees</w:t>
      </w:r>
      <w:proofErr w:type="spellEnd"/>
      <w:r w:rsidRPr="00366EB0">
        <w:rPr>
          <w:rFonts w:ascii="Arial" w:hAnsi="Arial" w:cs="Arial"/>
          <w:sz w:val="24"/>
          <w:szCs w:val="24"/>
        </w:rPr>
        <w:t xml:space="preserve">- </w:t>
      </w:r>
      <w:proofErr w:type="spellStart"/>
      <w:r w:rsidRPr="00366EB0">
        <w:rPr>
          <w:rFonts w:ascii="Arial" w:hAnsi="Arial" w:cs="Arial"/>
          <w:sz w:val="24"/>
          <w:szCs w:val="24"/>
        </w:rPr>
        <w:t>Edwards</w:t>
      </w:r>
      <w:proofErr w:type="spellEnd"/>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Style w:val="a6"/>
          <w:rFonts w:ascii="Arial" w:hAnsi="Arial" w:cs="Arial"/>
          <w:lang w:val="en-US"/>
        </w:rPr>
      </w:pPr>
    </w:p>
    <w:p w:rsidR="0029611E" w:rsidRPr="00366EB0" w:rsidRDefault="0029611E" w:rsidP="00366EB0">
      <w:pPr>
        <w:pStyle w:val="a5"/>
        <w:spacing w:line="360" w:lineRule="auto"/>
        <w:rPr>
          <w:rFonts w:ascii="Arial" w:hAnsi="Arial" w:cs="Arial"/>
        </w:rPr>
      </w:pPr>
      <w:proofErr w:type="spellStart"/>
      <w:r w:rsidRPr="00366EB0">
        <w:rPr>
          <w:rStyle w:val="a6"/>
          <w:rFonts w:ascii="Arial" w:hAnsi="Arial" w:cs="Arial"/>
        </w:rPr>
        <w:t>Acknowledgement</w:t>
      </w:r>
      <w:proofErr w:type="spellEnd"/>
      <w:r w:rsidRPr="00366EB0">
        <w:rPr>
          <w:rStyle w:val="a6"/>
          <w:rFonts w:ascii="Arial" w:hAnsi="Arial" w:cs="Arial"/>
        </w:rPr>
        <w:t xml:space="preserve"> of AI </w:t>
      </w:r>
      <w:proofErr w:type="spellStart"/>
      <w:r w:rsidRPr="00366EB0">
        <w:rPr>
          <w:rStyle w:val="a6"/>
          <w:rFonts w:ascii="Arial" w:hAnsi="Arial" w:cs="Arial"/>
        </w:rPr>
        <w:t>Tool</w:t>
      </w:r>
      <w:proofErr w:type="spellEnd"/>
      <w:r w:rsidRPr="00366EB0">
        <w:rPr>
          <w:rStyle w:val="a6"/>
          <w:rFonts w:ascii="Arial" w:hAnsi="Arial" w:cs="Arial"/>
        </w:rPr>
        <w:t xml:space="preserve"> </w:t>
      </w:r>
      <w:proofErr w:type="spellStart"/>
      <w:r w:rsidRPr="00366EB0">
        <w:rPr>
          <w:rStyle w:val="a6"/>
          <w:rFonts w:ascii="Arial" w:hAnsi="Arial" w:cs="Arial"/>
        </w:rPr>
        <w:t>Use</w:t>
      </w:r>
      <w:proofErr w:type="spellEnd"/>
    </w:p>
    <w:p w:rsidR="0029611E" w:rsidRPr="00366EB0" w:rsidRDefault="0029611E" w:rsidP="00366EB0">
      <w:pPr>
        <w:pStyle w:val="a5"/>
        <w:spacing w:line="360" w:lineRule="auto"/>
        <w:rPr>
          <w:rFonts w:ascii="Arial" w:hAnsi="Arial" w:cs="Arial"/>
        </w:rPr>
      </w:pPr>
      <w:r w:rsidRPr="00366EB0">
        <w:rPr>
          <w:rFonts w:ascii="Arial" w:hAnsi="Arial" w:cs="Arial"/>
        </w:rPr>
        <w:t xml:space="preserve">I </w:t>
      </w:r>
      <w:proofErr w:type="spellStart"/>
      <w:r w:rsidRPr="00366EB0">
        <w:rPr>
          <w:rFonts w:ascii="Arial" w:hAnsi="Arial" w:cs="Arial"/>
        </w:rPr>
        <w:t>used</w:t>
      </w:r>
      <w:proofErr w:type="spellEnd"/>
      <w:r w:rsidRPr="00366EB0">
        <w:rPr>
          <w:rFonts w:ascii="Arial" w:hAnsi="Arial" w:cs="Arial"/>
        </w:rPr>
        <w:t xml:space="preserve"> </w:t>
      </w:r>
      <w:proofErr w:type="spellStart"/>
      <w:r w:rsidRPr="00366EB0">
        <w:rPr>
          <w:rFonts w:ascii="Arial" w:hAnsi="Arial" w:cs="Arial"/>
        </w:rPr>
        <w:t>ChatGPT</w:t>
      </w:r>
      <w:proofErr w:type="spellEnd"/>
      <w:r w:rsidRPr="00366EB0">
        <w:rPr>
          <w:rFonts w:ascii="Arial" w:hAnsi="Arial" w:cs="Arial"/>
        </w:rPr>
        <w:t xml:space="preserve"> (</w:t>
      </w:r>
      <w:proofErr w:type="spellStart"/>
      <w:r w:rsidRPr="00366EB0">
        <w:rPr>
          <w:rFonts w:ascii="Arial" w:hAnsi="Arial" w:cs="Arial"/>
        </w:rPr>
        <w:t>OpenAI</w:t>
      </w:r>
      <w:proofErr w:type="spellEnd"/>
      <w:r w:rsidRPr="00366EB0">
        <w:rPr>
          <w:rFonts w:ascii="Arial" w:hAnsi="Arial" w:cs="Arial"/>
        </w:rPr>
        <w:t xml:space="preserve">) </w:t>
      </w:r>
      <w:proofErr w:type="spellStart"/>
      <w:r w:rsidRPr="00366EB0">
        <w:rPr>
          <w:rFonts w:ascii="Arial" w:hAnsi="Arial" w:cs="Arial"/>
        </w:rPr>
        <w:t>during</w:t>
      </w:r>
      <w:proofErr w:type="spellEnd"/>
      <w:r w:rsidRPr="00366EB0">
        <w:rPr>
          <w:rFonts w:ascii="Arial" w:hAnsi="Arial" w:cs="Arial"/>
        </w:rPr>
        <w:t xml:space="preserve"> </w:t>
      </w:r>
      <w:proofErr w:type="spellStart"/>
      <w:r w:rsidRPr="00366EB0">
        <w:rPr>
          <w:rFonts w:ascii="Arial" w:hAnsi="Arial" w:cs="Arial"/>
        </w:rPr>
        <w:t>October</w:t>
      </w:r>
      <w:proofErr w:type="spellEnd"/>
      <w:r w:rsidRPr="00366EB0">
        <w:rPr>
          <w:rFonts w:ascii="Arial" w:hAnsi="Arial" w:cs="Arial"/>
        </w:rPr>
        <w:t xml:space="preserve"> 2026 </w:t>
      </w:r>
      <w:proofErr w:type="spellStart"/>
      <w:r w:rsidRPr="00366EB0">
        <w:rPr>
          <w:rFonts w:ascii="Arial" w:hAnsi="Arial" w:cs="Arial"/>
        </w:rPr>
        <w:t>for</w:t>
      </w:r>
      <w:proofErr w:type="spellEnd"/>
      <w:r w:rsidRPr="00366EB0">
        <w:rPr>
          <w:rFonts w:ascii="Arial" w:hAnsi="Arial" w:cs="Arial"/>
        </w:rPr>
        <w:t xml:space="preserve"> </w:t>
      </w:r>
      <w:proofErr w:type="spellStart"/>
      <w:r w:rsidRPr="00366EB0">
        <w:rPr>
          <w:rFonts w:ascii="Arial" w:hAnsi="Arial" w:cs="Arial"/>
        </w:rPr>
        <w:t>support</w:t>
      </w:r>
      <w:proofErr w:type="spellEnd"/>
      <w:r w:rsidRPr="00366EB0">
        <w:rPr>
          <w:rFonts w:ascii="Arial" w:hAnsi="Arial" w:cs="Arial"/>
        </w:rPr>
        <w:t xml:space="preserve"> </w:t>
      </w:r>
      <w:proofErr w:type="spellStart"/>
      <w:r w:rsidRPr="00366EB0">
        <w:rPr>
          <w:rFonts w:ascii="Arial" w:hAnsi="Arial" w:cs="Arial"/>
        </w:rPr>
        <w:t>with</w:t>
      </w:r>
      <w:proofErr w:type="spellEnd"/>
      <w:r w:rsidRPr="00366EB0">
        <w:rPr>
          <w:rFonts w:ascii="Arial" w:hAnsi="Arial" w:cs="Arial"/>
        </w:rPr>
        <w:t xml:space="preserve"> </w:t>
      </w:r>
      <w:proofErr w:type="spellStart"/>
      <w:r w:rsidRPr="00366EB0">
        <w:rPr>
          <w:rFonts w:ascii="Arial" w:hAnsi="Arial" w:cs="Arial"/>
        </w:rPr>
        <w:t>drafting</w:t>
      </w:r>
      <w:proofErr w:type="spellEnd"/>
      <w:r w:rsidRPr="00366EB0">
        <w:rPr>
          <w:rFonts w:ascii="Arial" w:hAnsi="Arial" w:cs="Arial"/>
        </w:rPr>
        <w:t xml:space="preserve">, </w:t>
      </w:r>
      <w:proofErr w:type="spellStart"/>
      <w:r w:rsidRPr="00366EB0">
        <w:rPr>
          <w:rFonts w:ascii="Arial" w:hAnsi="Arial" w:cs="Arial"/>
        </w:rPr>
        <w:t>spelling</w:t>
      </w:r>
      <w:proofErr w:type="spellEnd"/>
      <w:r w:rsidRPr="00366EB0">
        <w:rPr>
          <w:rFonts w:ascii="Arial" w:hAnsi="Arial" w:cs="Arial"/>
        </w:rPr>
        <w:t xml:space="preserve">, </w:t>
      </w:r>
      <w:proofErr w:type="spellStart"/>
      <w:r w:rsidRPr="00366EB0">
        <w:rPr>
          <w:rFonts w:ascii="Arial" w:hAnsi="Arial" w:cs="Arial"/>
        </w:rPr>
        <w:t>grammar</w:t>
      </w:r>
      <w:proofErr w:type="spellEnd"/>
      <w:r w:rsidRPr="00366EB0">
        <w:rPr>
          <w:rFonts w:ascii="Arial" w:hAnsi="Arial" w:cs="Arial"/>
        </w:rPr>
        <w:t xml:space="preserve">, </w:t>
      </w:r>
      <w:proofErr w:type="spellStart"/>
      <w:r w:rsidRPr="00366EB0">
        <w:rPr>
          <w:rFonts w:ascii="Arial" w:hAnsi="Arial" w:cs="Arial"/>
        </w:rPr>
        <w:t>clarity</w:t>
      </w:r>
      <w:proofErr w:type="spellEnd"/>
      <w:r w:rsidRPr="00366EB0">
        <w:rPr>
          <w:rFonts w:ascii="Arial" w:hAnsi="Arial" w:cs="Arial"/>
        </w:rPr>
        <w:t xml:space="preserve"> </w:t>
      </w:r>
      <w:proofErr w:type="spellStart"/>
      <w:r w:rsidRPr="00366EB0">
        <w:rPr>
          <w:rFonts w:ascii="Arial" w:hAnsi="Arial" w:cs="Arial"/>
        </w:rPr>
        <w:t>and</w:t>
      </w:r>
      <w:proofErr w:type="spellEnd"/>
      <w:r w:rsidRPr="00366EB0">
        <w:rPr>
          <w:rFonts w:ascii="Arial" w:hAnsi="Arial" w:cs="Arial"/>
        </w:rPr>
        <w:t xml:space="preserve"> </w:t>
      </w:r>
      <w:proofErr w:type="spellStart"/>
      <w:r w:rsidRPr="00366EB0">
        <w:rPr>
          <w:rFonts w:ascii="Arial" w:hAnsi="Arial" w:cs="Arial"/>
        </w:rPr>
        <w:t>references</w:t>
      </w:r>
      <w:proofErr w:type="spellEnd"/>
      <w:r w:rsidRPr="00366EB0">
        <w:rPr>
          <w:rFonts w:ascii="Arial" w:hAnsi="Arial" w:cs="Arial"/>
        </w:rPr>
        <w:t xml:space="preserve"> </w:t>
      </w:r>
      <w:proofErr w:type="spellStart"/>
      <w:r w:rsidRPr="00366EB0">
        <w:rPr>
          <w:rFonts w:ascii="Arial" w:hAnsi="Arial" w:cs="Arial"/>
        </w:rPr>
        <w:t>in</w:t>
      </w:r>
      <w:proofErr w:type="spellEnd"/>
      <w:r w:rsidRPr="00366EB0">
        <w:rPr>
          <w:rFonts w:ascii="Arial" w:hAnsi="Arial" w:cs="Arial"/>
        </w:rPr>
        <w:t xml:space="preserve"> </w:t>
      </w:r>
      <w:proofErr w:type="spellStart"/>
      <w:r w:rsidRPr="00366EB0">
        <w:rPr>
          <w:rFonts w:ascii="Arial" w:hAnsi="Arial" w:cs="Arial"/>
        </w:rPr>
        <w:t>my</w:t>
      </w:r>
      <w:proofErr w:type="spellEnd"/>
      <w:r w:rsidRPr="00366EB0">
        <w:rPr>
          <w:rFonts w:ascii="Arial" w:hAnsi="Arial" w:cs="Arial"/>
        </w:rPr>
        <w:t xml:space="preserve"> </w:t>
      </w:r>
      <w:proofErr w:type="spellStart"/>
      <w:r w:rsidRPr="00366EB0">
        <w:rPr>
          <w:rFonts w:ascii="Arial" w:hAnsi="Arial" w:cs="Arial"/>
        </w:rPr>
        <w:t>Early</w:t>
      </w:r>
      <w:proofErr w:type="spellEnd"/>
      <w:r w:rsidRPr="00366EB0">
        <w:rPr>
          <w:rFonts w:ascii="Arial" w:hAnsi="Arial" w:cs="Arial"/>
        </w:rPr>
        <w:t xml:space="preserve"> </w:t>
      </w:r>
      <w:proofErr w:type="spellStart"/>
      <w:r w:rsidRPr="00366EB0">
        <w:rPr>
          <w:rFonts w:ascii="Arial" w:hAnsi="Arial" w:cs="Arial"/>
        </w:rPr>
        <w:t>Years</w:t>
      </w:r>
      <w:proofErr w:type="spellEnd"/>
      <w:r w:rsidRPr="00366EB0">
        <w:rPr>
          <w:rFonts w:ascii="Arial" w:hAnsi="Arial" w:cs="Arial"/>
        </w:rPr>
        <w:t xml:space="preserve"> </w:t>
      </w:r>
      <w:proofErr w:type="spellStart"/>
      <w:r w:rsidRPr="00366EB0">
        <w:rPr>
          <w:rFonts w:ascii="Arial" w:hAnsi="Arial" w:cs="Arial"/>
        </w:rPr>
        <w:t>Curricula</w:t>
      </w:r>
      <w:proofErr w:type="spellEnd"/>
      <w:r w:rsidRPr="00366EB0">
        <w:rPr>
          <w:rFonts w:ascii="Arial" w:hAnsi="Arial" w:cs="Arial"/>
        </w:rPr>
        <w:t xml:space="preserve"> </w:t>
      </w:r>
      <w:proofErr w:type="spellStart"/>
      <w:r w:rsidRPr="00366EB0">
        <w:rPr>
          <w:rFonts w:ascii="Arial" w:hAnsi="Arial" w:cs="Arial"/>
        </w:rPr>
        <w:t>assignment</w:t>
      </w:r>
      <w:proofErr w:type="spellEnd"/>
      <w:r w:rsidRPr="00366EB0">
        <w:rPr>
          <w:rFonts w:ascii="Arial" w:hAnsi="Arial" w:cs="Arial"/>
        </w:rPr>
        <w:t xml:space="preserve">. I </w:t>
      </w:r>
      <w:proofErr w:type="spellStart"/>
      <w:r w:rsidRPr="00366EB0">
        <w:rPr>
          <w:rFonts w:ascii="Arial" w:hAnsi="Arial" w:cs="Arial"/>
        </w:rPr>
        <w:t>take</w:t>
      </w:r>
      <w:proofErr w:type="spellEnd"/>
      <w:r w:rsidRPr="00366EB0">
        <w:rPr>
          <w:rFonts w:ascii="Arial" w:hAnsi="Arial" w:cs="Arial"/>
        </w:rPr>
        <w:t xml:space="preserve"> </w:t>
      </w:r>
      <w:proofErr w:type="spellStart"/>
      <w:r w:rsidRPr="00366EB0">
        <w:rPr>
          <w:rFonts w:ascii="Arial" w:hAnsi="Arial" w:cs="Arial"/>
        </w:rPr>
        <w:t>responsibility</w:t>
      </w:r>
      <w:proofErr w:type="spellEnd"/>
      <w:r w:rsidRPr="00366EB0">
        <w:rPr>
          <w:rFonts w:ascii="Arial" w:hAnsi="Arial" w:cs="Arial"/>
        </w:rPr>
        <w:t xml:space="preserve"> </w:t>
      </w:r>
      <w:proofErr w:type="spellStart"/>
      <w:r w:rsidRPr="00366EB0">
        <w:rPr>
          <w:rFonts w:ascii="Arial" w:hAnsi="Arial" w:cs="Arial"/>
        </w:rPr>
        <w:t>for</w:t>
      </w:r>
      <w:proofErr w:type="spellEnd"/>
      <w:r w:rsidRPr="00366EB0">
        <w:rPr>
          <w:rFonts w:ascii="Arial" w:hAnsi="Arial" w:cs="Arial"/>
        </w:rPr>
        <w:t xml:space="preserve"> </w:t>
      </w:r>
      <w:proofErr w:type="spellStart"/>
      <w:r w:rsidRPr="00366EB0">
        <w:rPr>
          <w:rFonts w:ascii="Arial" w:hAnsi="Arial" w:cs="Arial"/>
        </w:rPr>
        <w:t>checking</w:t>
      </w:r>
      <w:proofErr w:type="spellEnd"/>
      <w:r w:rsidRPr="00366EB0">
        <w:rPr>
          <w:rFonts w:ascii="Arial" w:hAnsi="Arial" w:cs="Arial"/>
        </w:rPr>
        <w:t xml:space="preserve"> </w:t>
      </w:r>
      <w:proofErr w:type="spellStart"/>
      <w:r w:rsidRPr="00366EB0">
        <w:rPr>
          <w:rFonts w:ascii="Arial" w:hAnsi="Arial" w:cs="Arial"/>
        </w:rPr>
        <w:t>the</w:t>
      </w:r>
      <w:proofErr w:type="spellEnd"/>
      <w:r w:rsidRPr="00366EB0">
        <w:rPr>
          <w:rFonts w:ascii="Arial" w:hAnsi="Arial" w:cs="Arial"/>
        </w:rPr>
        <w:t xml:space="preserve"> </w:t>
      </w:r>
      <w:proofErr w:type="spellStart"/>
      <w:r w:rsidRPr="00366EB0">
        <w:rPr>
          <w:rFonts w:ascii="Arial" w:hAnsi="Arial" w:cs="Arial"/>
        </w:rPr>
        <w:t>final</w:t>
      </w:r>
      <w:proofErr w:type="spellEnd"/>
      <w:r w:rsidRPr="00366EB0">
        <w:rPr>
          <w:rFonts w:ascii="Arial" w:hAnsi="Arial" w:cs="Arial"/>
        </w:rPr>
        <w:t xml:space="preserve"> </w:t>
      </w:r>
      <w:proofErr w:type="spellStart"/>
      <w:r w:rsidRPr="00366EB0">
        <w:rPr>
          <w:rFonts w:ascii="Arial" w:hAnsi="Arial" w:cs="Arial"/>
        </w:rPr>
        <w:t>work</w:t>
      </w:r>
      <w:proofErr w:type="spellEnd"/>
      <w:r w:rsidRPr="00366EB0">
        <w:rPr>
          <w:rFonts w:ascii="Arial" w:hAnsi="Arial" w:cs="Arial"/>
        </w:rPr>
        <w:t>.</w:t>
      </w: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29611E" w:rsidRPr="00366EB0" w:rsidRDefault="0029611E" w:rsidP="00366EB0">
      <w:pPr>
        <w:spacing w:line="360" w:lineRule="auto"/>
        <w:rPr>
          <w:rFonts w:ascii="Arial" w:hAnsi="Arial" w:cs="Arial"/>
          <w:b/>
          <w:sz w:val="24"/>
          <w:szCs w:val="24"/>
          <w:lang w:val="en-US"/>
        </w:rPr>
      </w:pPr>
    </w:p>
    <w:p w:rsidR="00AB4B04" w:rsidRPr="00366EB0" w:rsidRDefault="00073CF7" w:rsidP="00366EB0">
      <w:pPr>
        <w:pageBreakBefore/>
        <w:spacing w:after="280" w:line="360" w:lineRule="auto"/>
        <w:rPr>
          <w:rFonts w:ascii="Arial" w:hAnsi="Arial" w:cs="Arial"/>
          <w:sz w:val="24"/>
          <w:szCs w:val="24"/>
        </w:rPr>
      </w:pPr>
      <w:r w:rsidRPr="00366EB0">
        <w:rPr>
          <w:rFonts w:ascii="Arial" w:hAnsi="Arial" w:cs="Arial"/>
          <w:b/>
          <w:sz w:val="24"/>
          <w:szCs w:val="24"/>
        </w:rPr>
        <w:lastRenderedPageBreak/>
        <w:t>Contents</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b/>
          <w:sz w:val="24"/>
          <w:szCs w:val="24"/>
        </w:rPr>
        <w:t>Part 1 – Play-based pedagogy in Finland and its relevance to Wales</w:t>
      </w:r>
      <w:r w:rsidRPr="00366EB0">
        <w:rPr>
          <w:rFonts w:ascii="Arial" w:hAnsi="Arial" w:cs="Arial"/>
          <w:b/>
          <w:sz w:val="24"/>
          <w:szCs w:val="24"/>
        </w:rPr>
        <w:tab/>
        <w:t>4</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Introduction</w:t>
      </w:r>
      <w:r w:rsidRPr="00366EB0">
        <w:rPr>
          <w:rFonts w:ascii="Arial" w:hAnsi="Arial" w:cs="Arial"/>
          <w:sz w:val="24"/>
          <w:szCs w:val="24"/>
        </w:rPr>
        <w:tab/>
        <w:t>4</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The pedagogical approach of Finland</w:t>
      </w:r>
      <w:r w:rsidRPr="00366EB0">
        <w:rPr>
          <w:rFonts w:ascii="Arial" w:hAnsi="Arial" w:cs="Arial"/>
          <w:sz w:val="24"/>
          <w:szCs w:val="24"/>
        </w:rPr>
        <w:tab/>
        <w:t>4</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Implementing the principles in Wales</w:t>
      </w:r>
      <w:r w:rsidRPr="00366EB0">
        <w:rPr>
          <w:rFonts w:ascii="Arial" w:hAnsi="Arial" w:cs="Arial"/>
          <w:sz w:val="24"/>
          <w:szCs w:val="24"/>
        </w:rPr>
        <w:tab/>
        <w:t>5</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Conclusion</w:t>
      </w:r>
      <w:r w:rsidRPr="00366EB0">
        <w:rPr>
          <w:rFonts w:ascii="Arial" w:hAnsi="Arial" w:cs="Arial"/>
          <w:sz w:val="24"/>
          <w:szCs w:val="24"/>
        </w:rPr>
        <w:tab/>
        <w:t>8</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b/>
          <w:sz w:val="24"/>
          <w:szCs w:val="24"/>
        </w:rPr>
        <w:t>Part 2 – Assessment in Finnish early childhood education</w:t>
      </w:r>
      <w:r w:rsidRPr="00366EB0">
        <w:rPr>
          <w:rFonts w:ascii="Arial" w:hAnsi="Arial" w:cs="Arial"/>
          <w:b/>
          <w:sz w:val="24"/>
          <w:szCs w:val="24"/>
        </w:rPr>
        <w:tab/>
        <w:t>9</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Introduction</w:t>
      </w:r>
      <w:r w:rsidRPr="00366EB0">
        <w:rPr>
          <w:rFonts w:ascii="Arial" w:hAnsi="Arial" w:cs="Arial"/>
          <w:sz w:val="24"/>
          <w:szCs w:val="24"/>
        </w:rPr>
        <w:tab/>
        <w:t>9</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Making notes and recording observations about learning in play</w:t>
      </w:r>
      <w:r w:rsidRPr="00366EB0">
        <w:rPr>
          <w:rFonts w:ascii="Arial" w:hAnsi="Arial" w:cs="Arial"/>
          <w:sz w:val="24"/>
          <w:szCs w:val="24"/>
        </w:rPr>
        <w:tab/>
        <w:t>9</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The individual ECEC plan and its review</w:t>
      </w:r>
      <w:r w:rsidRPr="00366EB0">
        <w:rPr>
          <w:rFonts w:ascii="Arial" w:hAnsi="Arial" w:cs="Arial"/>
          <w:sz w:val="24"/>
          <w:szCs w:val="24"/>
        </w:rPr>
        <w:tab/>
        <w:t>11</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Critical comparison of the approaches</w:t>
      </w:r>
      <w:r w:rsidRPr="00366EB0">
        <w:rPr>
          <w:rFonts w:ascii="Arial" w:hAnsi="Arial" w:cs="Arial"/>
          <w:sz w:val="24"/>
          <w:szCs w:val="24"/>
        </w:rPr>
        <w:tab/>
        <w:t>12</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Implications and conclusion</w:t>
      </w:r>
      <w:r w:rsidRPr="00366EB0">
        <w:rPr>
          <w:rFonts w:ascii="Arial" w:hAnsi="Arial" w:cs="Arial"/>
          <w:sz w:val="24"/>
          <w:szCs w:val="24"/>
        </w:rPr>
        <w:tab/>
        <w:t>13</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b/>
          <w:sz w:val="24"/>
          <w:szCs w:val="24"/>
        </w:rPr>
        <w:t>Part 3 – Professional blog</w:t>
      </w:r>
      <w:r w:rsidRPr="00366EB0">
        <w:rPr>
          <w:rFonts w:ascii="Arial" w:hAnsi="Arial" w:cs="Arial"/>
          <w:b/>
          <w:sz w:val="24"/>
          <w:szCs w:val="24"/>
        </w:rPr>
        <w:tab/>
        <w:t>14</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Set aside time for ideas to come back</w:t>
      </w:r>
      <w:r w:rsidRPr="00366EB0">
        <w:rPr>
          <w:rFonts w:ascii="Arial" w:hAnsi="Arial" w:cs="Arial"/>
          <w:sz w:val="24"/>
          <w:szCs w:val="24"/>
        </w:rPr>
        <w:tab/>
        <w:t>14</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Understand when to enter the game</w:t>
      </w:r>
      <w:r w:rsidRPr="00366EB0">
        <w:rPr>
          <w:rFonts w:ascii="Arial" w:hAnsi="Arial" w:cs="Arial"/>
          <w:sz w:val="24"/>
          <w:szCs w:val="24"/>
        </w:rPr>
        <w:tab/>
        <w:t>15</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Inquire about belonging</w:t>
      </w:r>
      <w:r w:rsidRPr="00366EB0">
        <w:rPr>
          <w:rFonts w:ascii="Arial" w:hAnsi="Arial" w:cs="Arial"/>
          <w:sz w:val="24"/>
          <w:szCs w:val="24"/>
        </w:rPr>
        <w:tab/>
        <w:t>15</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Making Observation Change something</w:t>
      </w:r>
      <w:r w:rsidRPr="00366EB0">
        <w:rPr>
          <w:rFonts w:ascii="Arial" w:hAnsi="Arial" w:cs="Arial"/>
          <w:sz w:val="24"/>
          <w:szCs w:val="24"/>
        </w:rPr>
        <w:tab/>
        <w:t>16</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sz w:val="24"/>
          <w:szCs w:val="24"/>
        </w:rPr>
        <w:t>A realistic commitment</w:t>
      </w:r>
      <w:r w:rsidRPr="00366EB0">
        <w:rPr>
          <w:rFonts w:ascii="Arial" w:hAnsi="Arial" w:cs="Arial"/>
          <w:sz w:val="24"/>
          <w:szCs w:val="24"/>
        </w:rPr>
        <w:tab/>
        <w:t>16</w:t>
      </w:r>
    </w:p>
    <w:p w:rsidR="00AB4B04" w:rsidRPr="00366EB0" w:rsidRDefault="00073CF7" w:rsidP="00366EB0">
      <w:pPr>
        <w:tabs>
          <w:tab w:val="right" w:leader="dot" w:pos="8640"/>
        </w:tabs>
        <w:spacing w:after="100" w:line="360" w:lineRule="auto"/>
        <w:rPr>
          <w:rFonts w:ascii="Arial" w:hAnsi="Arial" w:cs="Arial"/>
          <w:sz w:val="24"/>
          <w:szCs w:val="24"/>
        </w:rPr>
      </w:pPr>
      <w:r w:rsidRPr="00366EB0">
        <w:rPr>
          <w:rFonts w:ascii="Arial" w:hAnsi="Arial" w:cs="Arial"/>
          <w:b/>
          <w:sz w:val="24"/>
          <w:szCs w:val="24"/>
        </w:rPr>
        <w:t>References</w:t>
      </w:r>
      <w:r w:rsidRPr="00366EB0">
        <w:rPr>
          <w:rFonts w:ascii="Arial" w:hAnsi="Arial" w:cs="Arial"/>
          <w:b/>
          <w:sz w:val="24"/>
          <w:szCs w:val="24"/>
        </w:rPr>
        <w:tab/>
        <w:t>18</w:t>
      </w:r>
    </w:p>
    <w:p w:rsidR="00AD63DB" w:rsidRPr="00366EB0" w:rsidRDefault="00AD63DB" w:rsidP="00366EB0">
      <w:pPr>
        <w:keepNext/>
        <w:keepLines/>
        <w:pageBreakBefore/>
        <w:spacing w:before="240" w:after="160" w:line="360" w:lineRule="auto"/>
        <w:rPr>
          <w:rFonts w:ascii="Arial" w:hAnsi="Arial" w:cs="Arial"/>
          <w:b/>
          <w:sz w:val="24"/>
          <w:szCs w:val="24"/>
          <w:lang w:val="en-US"/>
        </w:rPr>
      </w:pPr>
      <w:r w:rsidRPr="00366EB0">
        <w:rPr>
          <w:rFonts w:ascii="Arial" w:hAnsi="Arial" w:cs="Arial"/>
          <w:b/>
          <w:sz w:val="24"/>
          <w:szCs w:val="24"/>
          <w:lang w:val="en-US"/>
        </w:rPr>
        <w:lastRenderedPageBreak/>
        <w:t xml:space="preserve">Part 1: </w:t>
      </w:r>
      <w:proofErr w:type="spellStart"/>
      <w:r w:rsidRPr="00366EB0">
        <w:rPr>
          <w:rFonts w:ascii="Arial" w:hAnsi="Arial" w:cs="Arial"/>
          <w:b/>
          <w:sz w:val="24"/>
          <w:szCs w:val="24"/>
          <w:lang w:val="en-US"/>
        </w:rPr>
        <w:t>Analysing</w:t>
      </w:r>
      <w:proofErr w:type="spellEnd"/>
      <w:r w:rsidRPr="00366EB0">
        <w:rPr>
          <w:rFonts w:ascii="Arial" w:hAnsi="Arial" w:cs="Arial"/>
          <w:b/>
          <w:sz w:val="24"/>
          <w:szCs w:val="24"/>
          <w:lang w:val="en-US"/>
        </w:rPr>
        <w:t>, in a critical way, the difficulties of implementing play-based pedagogy in Wales using the Finnish early childhood curriculum.</w:t>
      </w:r>
    </w:p>
    <w:p w:rsidR="00AD63DB" w:rsidRPr="00366EB0" w:rsidRDefault="00AD63DB"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Introduction</w:t>
      </w:r>
    </w:p>
    <w:p w:rsidR="00AD63DB" w:rsidRPr="00366EB0" w:rsidRDefault="00AC1211" w:rsidP="00366EB0">
      <w:pPr>
        <w:spacing w:line="360" w:lineRule="auto"/>
        <w:rPr>
          <w:rFonts w:ascii="Arial" w:hAnsi="Arial" w:cs="Arial"/>
          <w:sz w:val="24"/>
          <w:szCs w:val="24"/>
          <w:lang w:val="en-US"/>
        </w:rPr>
      </w:pPr>
      <w:r w:rsidRPr="00366EB0">
        <w:rPr>
          <w:rFonts w:ascii="Arial" w:hAnsi="Arial" w:cs="Arial"/>
          <w:sz w:val="24"/>
          <w:szCs w:val="24"/>
          <w:lang w:val="en-US"/>
        </w:rPr>
        <w:t>A curriculum is a statement of the purpose of education and the principles which are applied to structure children's learning experiences. A play-based curriculum is thus far more than just setting aside some time for activities labelled as play: it determines whose ideas are heard when planning, how adults engage in the activities and what is considered learning. The National core curriculum for ECEC (Finnish National Agency for Education, 2022) is useful to reflect on as it embraces the idea that education, instruction and care are intertwined in an integrated process where education takes a pedagogical approach. This essay will focus on the 2022 edition and its understanding of play, and will critically discuss its relevance to Wales.  OECD (2021) likewise links curriculum quality to meaningful interactions; a curriculum document alone cannot establish their quality.</w:t>
      </w:r>
    </w:p>
    <w:p w:rsidR="00AD63DB" w:rsidRPr="00366EB0" w:rsidRDefault="00AD63DB" w:rsidP="00366EB0">
      <w:pPr>
        <w:keepNext/>
        <w:keepLines/>
        <w:spacing w:before="240" w:after="160" w:line="360" w:lineRule="auto"/>
        <w:rPr>
          <w:rFonts w:ascii="Arial" w:hAnsi="Arial" w:cs="Arial"/>
          <w:b/>
          <w:sz w:val="24"/>
          <w:szCs w:val="24"/>
          <w:lang w:val="en-US"/>
        </w:rPr>
      </w:pPr>
      <w:proofErr w:type="gramStart"/>
      <w:r w:rsidRPr="00366EB0">
        <w:rPr>
          <w:rFonts w:ascii="Arial" w:hAnsi="Arial" w:cs="Arial"/>
          <w:b/>
          <w:sz w:val="24"/>
          <w:szCs w:val="24"/>
          <w:lang w:val="en-US"/>
        </w:rPr>
        <w:t>The pedagogical approach of Finland.</w:t>
      </w:r>
      <w:proofErr w:type="gramEnd"/>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Children are active subjects of the curriculum in Finland and experiences and interests are taken up in the planning. It combines activities that children initiate, activities they co-operatively develop with adults and activities planned by practitioners. Instead of separating free play from teaching, it is advocated that adults prepare for play and listen to children's ideas and assess when adults could add to children's ideas (Finnish National Agency for Education, 2022). This provides great flexibility, but the curriculum cannot give the correct answer in all circumstances. When an intervention is necessary to support one child to participate in a game this can impact on another child's exploration. Thus, implementation is reliant upon professional </w:t>
      </w:r>
      <w:r w:rsidR="003F4264" w:rsidRPr="00366EB0">
        <w:rPr>
          <w:rFonts w:ascii="Arial" w:hAnsi="Arial" w:cs="Arial"/>
          <w:sz w:val="24"/>
          <w:szCs w:val="24"/>
          <w:lang w:val="en-US"/>
        </w:rPr>
        <w:t>judgement,</w:t>
      </w:r>
      <w:r w:rsidRPr="00366EB0">
        <w:rPr>
          <w:rFonts w:ascii="Arial" w:hAnsi="Arial" w:cs="Arial"/>
          <w:sz w:val="24"/>
          <w:szCs w:val="24"/>
          <w:lang w:val="en-US"/>
        </w:rPr>
        <w:t xml:space="preserve"> and this is explored collaboratively within practice.  Pyle and Danniels (2017) describe a continuum of adult involvement, which helps question whether guidance preserves children’s direction. Smolucha and Smolucha (2021) explain Vygotsky’s account of pretend play and self-regulation; benefits are not guaranteed.</w:t>
      </w:r>
    </w:p>
    <w:p w:rsidR="00AD63DB" w:rsidRPr="00366EB0" w:rsidRDefault="00A836F7" w:rsidP="00366EB0">
      <w:pPr>
        <w:spacing w:line="360" w:lineRule="auto"/>
        <w:rPr>
          <w:rFonts w:ascii="Arial" w:hAnsi="Arial" w:cs="Arial"/>
          <w:sz w:val="24"/>
          <w:szCs w:val="24"/>
          <w:lang w:val="en-US"/>
        </w:rPr>
      </w:pPr>
      <w:r w:rsidRPr="00366EB0">
        <w:rPr>
          <w:rFonts w:ascii="Arial" w:hAnsi="Arial" w:cs="Arial"/>
          <w:sz w:val="24"/>
          <w:szCs w:val="24"/>
          <w:lang w:val="en-US"/>
        </w:rPr>
        <w:t xml:space="preserve">Skene et al. (2022) found that guided play produced better outcomes than direct instruction for early mathematics, shape knowledge and task switching, and better </w:t>
      </w:r>
      <w:r w:rsidRPr="00366EB0">
        <w:rPr>
          <w:rFonts w:ascii="Arial" w:hAnsi="Arial" w:cs="Arial"/>
          <w:sz w:val="24"/>
          <w:szCs w:val="24"/>
          <w:lang w:val="en-US"/>
        </w:rPr>
        <w:lastRenderedPageBreak/>
        <w:t>outcomes than free play for spatial vocabulary. However, significant differences were not found for several other developmental outcomes.</w:t>
      </w:r>
      <w:r w:rsidR="00AD63DB" w:rsidRPr="00366EB0">
        <w:rPr>
          <w:rFonts w:ascii="Arial" w:hAnsi="Arial" w:cs="Arial"/>
          <w:sz w:val="24"/>
          <w:szCs w:val="24"/>
          <w:lang w:val="en-US"/>
        </w:rPr>
        <w:t xml:space="preserve"> Two important risks arise when adults support play. Passive adults may not see an opportunity to encourage language, peer relationships and developing ideas; directive adults</w:t>
      </w:r>
      <w:r w:rsidR="00FA7C63" w:rsidRPr="00366EB0">
        <w:rPr>
          <w:rFonts w:ascii="Arial" w:hAnsi="Arial" w:cs="Arial"/>
          <w:sz w:val="24"/>
          <w:szCs w:val="24"/>
          <w:lang w:val="en-US"/>
        </w:rPr>
        <w:t xml:space="preserve"> may present activities as play while steering children towards predetermined answers.</w:t>
      </w:r>
      <w:r w:rsidR="00AD63DB" w:rsidRPr="00366EB0">
        <w:rPr>
          <w:rFonts w:ascii="Arial" w:hAnsi="Arial" w:cs="Arial"/>
          <w:sz w:val="24"/>
          <w:szCs w:val="24"/>
          <w:lang w:val="en-US"/>
        </w:rPr>
        <w:t xml:space="preserve"> Differences in how guided play was defined and implemented also limit broad claims. </w:t>
      </w:r>
      <w:r w:rsidRPr="00366EB0">
        <w:rPr>
          <w:rFonts w:ascii="Arial" w:hAnsi="Arial" w:cs="Arial"/>
          <w:sz w:val="24"/>
          <w:szCs w:val="24"/>
          <w:lang w:val="en-US"/>
        </w:rPr>
        <w:t xml:space="preserve"> Pyle, DeLuca and Danniels (2017) found competing developmental and academic views across 168 articles. This challenges claims of one best approach.</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The learning setting likewise matters. Finnish guidance suggests that spaces need to be accessible, that different materials should be used and that time and peace should be provided for sustained play (Finnish National Agency for Education, 2022). For instance, a construction which is kept up </w:t>
      </w:r>
      <w:r w:rsidR="003F4264" w:rsidRPr="00366EB0">
        <w:rPr>
          <w:rFonts w:ascii="Arial" w:hAnsi="Arial" w:cs="Arial"/>
          <w:sz w:val="24"/>
          <w:szCs w:val="24"/>
          <w:lang w:val="en-US"/>
        </w:rPr>
        <w:t>overnight</w:t>
      </w:r>
      <w:r w:rsidRPr="00366EB0">
        <w:rPr>
          <w:rFonts w:ascii="Arial" w:hAnsi="Arial" w:cs="Arial"/>
          <w:sz w:val="24"/>
          <w:szCs w:val="24"/>
          <w:lang w:val="en-US"/>
        </w:rPr>
        <w:t xml:space="preserve"> gives the children the opportunity to come back to a </w:t>
      </w:r>
      <w:r w:rsidR="00F14CD0" w:rsidRPr="00366EB0">
        <w:rPr>
          <w:rFonts w:ascii="Arial" w:hAnsi="Arial" w:cs="Arial"/>
          <w:sz w:val="24"/>
          <w:szCs w:val="24"/>
          <w:lang w:val="en-US"/>
        </w:rPr>
        <w:t>problem and</w:t>
      </w:r>
      <w:r w:rsidRPr="00366EB0">
        <w:rPr>
          <w:rFonts w:ascii="Arial" w:hAnsi="Arial" w:cs="Arial"/>
          <w:sz w:val="24"/>
          <w:szCs w:val="24"/>
          <w:lang w:val="en-US"/>
        </w:rPr>
        <w:t xml:space="preserve"> renegotiate roles and develop ideas. However, it is not sufficient to have attractive resources to be inclusive: practitioners should think about </w:t>
      </w:r>
      <w:proofErr w:type="gramStart"/>
      <w:r w:rsidR="0029611E" w:rsidRPr="00366EB0">
        <w:rPr>
          <w:rFonts w:ascii="Arial" w:hAnsi="Arial" w:cs="Arial"/>
          <w:sz w:val="24"/>
          <w:szCs w:val="24"/>
          <w:lang w:val="en-US"/>
        </w:rPr>
        <w:t>who</w:t>
      </w:r>
      <w:proofErr w:type="gramEnd"/>
      <w:r w:rsidR="0029611E" w:rsidRPr="00366EB0">
        <w:rPr>
          <w:rFonts w:ascii="Arial" w:hAnsi="Arial" w:cs="Arial"/>
          <w:sz w:val="24"/>
          <w:szCs w:val="24"/>
          <w:lang w:val="en-US"/>
        </w:rPr>
        <w:t xml:space="preserve"> is able</w:t>
      </w:r>
      <w:r w:rsidRPr="00366EB0">
        <w:rPr>
          <w:rFonts w:ascii="Arial" w:hAnsi="Arial" w:cs="Arial"/>
          <w:sz w:val="24"/>
          <w:szCs w:val="24"/>
          <w:lang w:val="en-US"/>
        </w:rPr>
        <w:t xml:space="preserve"> to access the resources, to influence their use and to carry on an activity without it being unnecessarily interrupted. A self-evaluation summary, the use of which was voluntary, revealed variation in conditions for sustained play in the participating Finnish settings (Finnish Education Evaluation Centre, 2025). It was also not nationally representative, so it is not possible to determine the prevalence of these problems.  UNICEF (2018) connects play with time, materials and staff preparation. Resources need routines that allow their use.</w:t>
      </w:r>
    </w:p>
    <w:p w:rsidR="00AD63DB" w:rsidRPr="00366EB0" w:rsidRDefault="00AD63DB"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Implementing the principles in Wales</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Enabling adults, effective environments and play are already </w:t>
      </w:r>
      <w:proofErr w:type="spellStart"/>
      <w:r w:rsidRPr="00366EB0">
        <w:rPr>
          <w:rFonts w:ascii="Arial" w:hAnsi="Arial" w:cs="Arial"/>
          <w:sz w:val="24"/>
          <w:szCs w:val="24"/>
          <w:lang w:val="en-US"/>
        </w:rPr>
        <w:t>recognised</w:t>
      </w:r>
      <w:proofErr w:type="spellEnd"/>
      <w:r w:rsidRPr="00366EB0">
        <w:rPr>
          <w:rFonts w:ascii="Arial" w:hAnsi="Arial" w:cs="Arial"/>
          <w:sz w:val="24"/>
          <w:szCs w:val="24"/>
          <w:lang w:val="en-US"/>
        </w:rPr>
        <w:t xml:space="preserve"> as some of the most valuable aspects of the guidance Welsh Government provides (Welsh Government, 2023). </w:t>
      </w:r>
      <w:r w:rsidR="00C12B70" w:rsidRPr="00366EB0">
        <w:rPr>
          <w:rFonts w:ascii="Arial" w:hAnsi="Arial" w:cs="Arial"/>
          <w:sz w:val="24"/>
          <w:szCs w:val="24"/>
          <w:lang w:val="en-US"/>
        </w:rPr>
        <w:t>The challenge is determining how Finnish principles could inform Welsh practice</w:t>
      </w:r>
      <w:r w:rsidRPr="00366EB0">
        <w:rPr>
          <w:rFonts w:ascii="Arial" w:hAnsi="Arial" w:cs="Arial"/>
          <w:sz w:val="24"/>
          <w:szCs w:val="24"/>
          <w:lang w:val="en-US"/>
        </w:rPr>
        <w:t xml:space="preserve">. </w:t>
      </w:r>
      <w:r w:rsidR="003F4264" w:rsidRPr="00366EB0">
        <w:rPr>
          <w:rFonts w:ascii="Arial" w:hAnsi="Arial" w:cs="Arial"/>
          <w:sz w:val="24"/>
          <w:szCs w:val="24"/>
          <w:lang w:val="en-US"/>
        </w:rPr>
        <w:t>Age</w:t>
      </w:r>
      <w:r w:rsidRPr="00366EB0">
        <w:rPr>
          <w:rFonts w:ascii="Arial" w:hAnsi="Arial" w:cs="Arial"/>
          <w:sz w:val="24"/>
          <w:szCs w:val="24"/>
          <w:lang w:val="en-US"/>
        </w:rPr>
        <w:t xml:space="preserve">, language and local context </w:t>
      </w:r>
      <w:r w:rsidR="003F4264" w:rsidRPr="00366EB0">
        <w:rPr>
          <w:rFonts w:ascii="Arial" w:hAnsi="Arial" w:cs="Arial"/>
          <w:sz w:val="24"/>
          <w:szCs w:val="24"/>
          <w:lang w:val="en-US"/>
        </w:rPr>
        <w:t>need</w:t>
      </w:r>
      <w:r w:rsidRPr="00366EB0">
        <w:rPr>
          <w:rFonts w:ascii="Arial" w:hAnsi="Arial" w:cs="Arial"/>
          <w:sz w:val="24"/>
          <w:szCs w:val="24"/>
          <w:lang w:val="en-US"/>
        </w:rPr>
        <w:t xml:space="preserve"> to be considered when applying the approach across countries. A variety of language environments are available in Welsh-medium, English-medium and bilingual settings and practitioners may not be able to speak the languages children take home. Children's choices can be manifested through their gestures, repetitive play or verbal utterances. It is more meaningful to invite families to interpret children's experiences and provide a variety of ways for them to participate than to display culturally diverse resources where </w:t>
      </w:r>
      <w:r w:rsidRPr="00366EB0">
        <w:rPr>
          <w:rFonts w:ascii="Arial" w:hAnsi="Arial" w:cs="Arial"/>
          <w:sz w:val="24"/>
          <w:szCs w:val="24"/>
          <w:lang w:val="en-US"/>
        </w:rPr>
        <w:lastRenderedPageBreak/>
        <w:t xml:space="preserve">provision does not reflect children's ideas. Agency in the Finnish context puts the question to Welsh contexts: Who are the children whose wishes are made visible and who are the ones that do not get to influence what will happen next?  </w:t>
      </w:r>
      <w:proofErr w:type="gramStart"/>
      <w:r w:rsidRPr="00366EB0">
        <w:rPr>
          <w:rFonts w:ascii="Arial" w:hAnsi="Arial" w:cs="Arial"/>
          <w:sz w:val="24"/>
          <w:szCs w:val="24"/>
          <w:lang w:val="en-US"/>
        </w:rPr>
        <w:t>Murray (2019) stresses that children have different perspectives, rather than a single shared voice.</w:t>
      </w:r>
      <w:proofErr w:type="gramEnd"/>
      <w:r w:rsidRPr="00366EB0">
        <w:rPr>
          <w:rFonts w:ascii="Arial" w:hAnsi="Arial" w:cs="Arial"/>
          <w:sz w:val="24"/>
          <w:szCs w:val="24"/>
          <w:lang w:val="en-US"/>
        </w:rPr>
        <w:t xml:space="preserve"> Listening must therefore influence decisions, not simply record agreement.</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The time is clearly an important practical constraint. Children should have safe time to play and explore in order for an investigation to be sustained beyond a short slot - during the day. Children could make up a pretend shop, go back to re-negotiate prices, make up signs and welcome new customers. It could be tidied away for each transition – this may prevent this development from occurring even if there is a daily time period in the timetable that is called play. This can be challenging as practitioners also need to arrange meals, care, safety and other experiences. Leaders could monitor the effectiveness of regular time, maintain a section of the shop and note if children use it. </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Staffing has an impact on adults' ability to see and respond. When a practitioner is responsible for care and a large group of children, he/she may not have time to watch the exclusion process and be comfortable joining in the play process. In another qualitative study conducted in 19 Welsh primary schools, the need for staffing and budget increases was identified, alongside a rise in support needs (Duggan et al., 2026). The small, self selected sample does not provide data on the extent of the pressures throughout Wales.  Slot (2018) reviews links between structural conditions and process quality, while OECD (2018) identifies opportunities associated with smaller groups and lower ratios. These relationships do not guarantee that available adult time is used responsively.</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There are disparities in terms of resources and funding. </w:t>
      </w:r>
      <w:proofErr w:type="spellStart"/>
      <w:r w:rsidRPr="00366EB0">
        <w:rPr>
          <w:rFonts w:ascii="Arial" w:hAnsi="Arial" w:cs="Arial"/>
          <w:sz w:val="24"/>
          <w:szCs w:val="24"/>
          <w:lang w:val="en-US"/>
        </w:rPr>
        <w:t>Estyn</w:t>
      </w:r>
      <w:proofErr w:type="spellEnd"/>
      <w:r w:rsidRPr="00366EB0">
        <w:rPr>
          <w:rFonts w:ascii="Arial" w:hAnsi="Arial" w:cs="Arial"/>
          <w:sz w:val="24"/>
          <w:szCs w:val="24"/>
          <w:lang w:val="en-US"/>
        </w:rPr>
        <w:t xml:space="preserve"> (2024) has noted a variation in nursery access and in the provision of professional learning and the use of targeted funding in their thematic report which was based on visits to 31 settings and schools and evidence from 15 local authorities. Some settings had spent funding to enhance outdoor provision/communication support; others had issues with allocating support. Based on this evidence, it is more challenging to simply recommend </w:t>
      </w:r>
      <w:r w:rsidR="003F4264" w:rsidRPr="00366EB0">
        <w:rPr>
          <w:rFonts w:ascii="Arial" w:hAnsi="Arial" w:cs="Arial"/>
          <w:sz w:val="24"/>
          <w:szCs w:val="24"/>
          <w:lang w:val="en-US"/>
        </w:rPr>
        <w:t>increasing</w:t>
      </w:r>
      <w:r w:rsidRPr="00366EB0">
        <w:rPr>
          <w:rFonts w:ascii="Arial" w:hAnsi="Arial" w:cs="Arial"/>
          <w:sz w:val="24"/>
          <w:szCs w:val="24"/>
          <w:lang w:val="en-US"/>
        </w:rPr>
        <w:t xml:space="preserve"> play material purchases. Even when blocks and books are </w:t>
      </w:r>
      <w:r w:rsidRPr="00366EB0">
        <w:rPr>
          <w:rFonts w:ascii="Arial" w:hAnsi="Arial" w:cs="Arial"/>
          <w:sz w:val="24"/>
          <w:szCs w:val="24"/>
          <w:lang w:val="en-US"/>
        </w:rPr>
        <w:lastRenderedPageBreak/>
        <w:t xml:space="preserve">available, if adults' time is limited there will be a limit to participation; training will not solve physical access problems. </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Inclusion shows the shortcomings of an unqualified appeal to child choice. The curriculum of Finland says that all children are included as well as involved in common activities (Finnish National Agency for Education, 2022). </w:t>
      </w:r>
      <w:r w:rsidR="00366FF1" w:rsidRPr="00366EB0">
        <w:rPr>
          <w:rFonts w:ascii="Arial" w:hAnsi="Arial" w:cs="Arial"/>
          <w:sz w:val="24"/>
          <w:szCs w:val="24"/>
          <w:lang w:val="en-US"/>
        </w:rPr>
        <w:t>If peer play is left entirely to children, those with communication or participation difficulties may be excluded.</w:t>
      </w:r>
      <w:r w:rsidRPr="00366EB0">
        <w:rPr>
          <w:rFonts w:ascii="Arial" w:hAnsi="Arial" w:cs="Arial"/>
          <w:sz w:val="24"/>
          <w:szCs w:val="24"/>
          <w:lang w:val="en-US"/>
        </w:rPr>
        <w:t xml:space="preserve"> Danniels and Pyle (2023) conducted observations and interviews with eight Ontario teachers who reported implementing environmental changes and proactive supports to inclusion. This qualitative evidence provides examples of approaches – not evidence of effectiveness in Wales. Practitioners can offer assistance to communicate visually and/or adapt resources and/or assist peers in developing a welcoming role. The important issue is whether such support enables the child to have a choice in their play in conjunction with others.  CAST (2024) recommends varied ways to participate and communicate. This offers a design principle, not evidence that a particular visual aid will suit every child.</w:t>
      </w:r>
    </w:p>
    <w:p w:rsidR="00AD63DB" w:rsidRPr="00366EB0" w:rsidRDefault="00CB6875" w:rsidP="00366EB0">
      <w:pPr>
        <w:spacing w:line="360" w:lineRule="auto"/>
        <w:rPr>
          <w:rFonts w:ascii="Arial" w:hAnsi="Arial" w:cs="Arial"/>
          <w:sz w:val="24"/>
          <w:szCs w:val="24"/>
          <w:lang w:val="en-US"/>
        </w:rPr>
      </w:pPr>
      <w:r w:rsidRPr="00366EB0">
        <w:rPr>
          <w:rFonts w:ascii="Arial" w:hAnsi="Arial" w:cs="Arial"/>
          <w:sz w:val="24"/>
          <w:szCs w:val="24"/>
          <w:lang w:val="en-US"/>
        </w:rPr>
        <w:t>Adult observation can help identify these differences, but it requires professional judgement</w:t>
      </w:r>
      <w:r w:rsidR="00AD63DB" w:rsidRPr="00366EB0">
        <w:rPr>
          <w:rFonts w:ascii="Arial" w:hAnsi="Arial" w:cs="Arial"/>
          <w:sz w:val="24"/>
          <w:szCs w:val="24"/>
          <w:lang w:val="en-US"/>
        </w:rPr>
        <w:t xml:space="preserve">. Pedagogical documentation in Finland should be utilised for planning the next steps of the activity or environment and not just for documentation purposes (Finnish National Agency for Education, 2022). Lindh and Mansikka (2023) found that in one municipality in Finland there were differences in the interpretation of documentation and its utilisation among the professionals. Their findings do not represent Finland overall, but caution that pictures or completed forms are not necessarily evidence of responsive practice. Duggan et al. (2026) found that some practitioners in Wales were confused about how to evidence progression and felt there was a lack of clarity in the benchmarks. It is a stated concern and not evidence that there is no progression guidance for the curriculum. Adults might be pressured to demonstrate outcomes that can be easily measured and reported, leading them to short tasks. However, if it were not evaluated then it would be more challenging to identify the support needs which were not being met. Helpful questions to ask when recording observations are: What did the child try to do? What did the setting do to enable the child to participate? What will the adult do differently next time? </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lastRenderedPageBreak/>
        <w:t xml:space="preserve">Continuous learning and leadership </w:t>
      </w:r>
      <w:r w:rsidR="003F4264" w:rsidRPr="00366EB0">
        <w:rPr>
          <w:rFonts w:ascii="Arial" w:hAnsi="Arial" w:cs="Arial"/>
          <w:sz w:val="24"/>
          <w:szCs w:val="24"/>
          <w:lang w:val="en-US"/>
        </w:rPr>
        <w:t>are</w:t>
      </w:r>
      <w:r w:rsidRPr="00366EB0">
        <w:rPr>
          <w:rFonts w:ascii="Arial" w:hAnsi="Arial" w:cs="Arial"/>
          <w:sz w:val="24"/>
          <w:szCs w:val="24"/>
          <w:lang w:val="en-US"/>
        </w:rPr>
        <w:t xml:space="preserve"> required. In </w:t>
      </w:r>
      <w:proofErr w:type="spellStart"/>
      <w:r w:rsidRPr="00366EB0">
        <w:rPr>
          <w:rFonts w:ascii="Arial" w:hAnsi="Arial" w:cs="Arial"/>
          <w:sz w:val="24"/>
          <w:szCs w:val="24"/>
          <w:lang w:val="en-US"/>
        </w:rPr>
        <w:t>Bubikova</w:t>
      </w:r>
      <w:proofErr w:type="spellEnd"/>
      <w:r w:rsidRPr="00366EB0">
        <w:rPr>
          <w:rFonts w:ascii="Arial" w:hAnsi="Arial" w:cs="Arial"/>
          <w:sz w:val="24"/>
          <w:szCs w:val="24"/>
          <w:lang w:val="en-US"/>
        </w:rPr>
        <w:t xml:space="preserve">-Moan, </w:t>
      </w:r>
      <w:proofErr w:type="spellStart"/>
      <w:r w:rsidRPr="00366EB0">
        <w:rPr>
          <w:rFonts w:ascii="Arial" w:hAnsi="Arial" w:cs="Arial"/>
          <w:sz w:val="24"/>
          <w:szCs w:val="24"/>
          <w:lang w:val="en-US"/>
        </w:rPr>
        <w:t>Hjetland</w:t>
      </w:r>
      <w:proofErr w:type="spellEnd"/>
      <w:r w:rsidRPr="00366EB0">
        <w:rPr>
          <w:rFonts w:ascii="Arial" w:hAnsi="Arial" w:cs="Arial"/>
          <w:sz w:val="24"/>
          <w:szCs w:val="24"/>
          <w:lang w:val="en-US"/>
        </w:rPr>
        <w:t xml:space="preserve"> and </w:t>
      </w:r>
      <w:proofErr w:type="spellStart"/>
      <w:r w:rsidRPr="00366EB0">
        <w:rPr>
          <w:rFonts w:ascii="Arial" w:hAnsi="Arial" w:cs="Arial"/>
          <w:sz w:val="24"/>
          <w:szCs w:val="24"/>
          <w:lang w:val="en-US"/>
        </w:rPr>
        <w:t>Wollscheid's</w:t>
      </w:r>
      <w:proofErr w:type="spellEnd"/>
      <w:r w:rsidRPr="00366EB0">
        <w:rPr>
          <w:rFonts w:ascii="Arial" w:hAnsi="Arial" w:cs="Arial"/>
          <w:sz w:val="24"/>
          <w:szCs w:val="24"/>
          <w:lang w:val="en-US"/>
        </w:rPr>
        <w:t xml:space="preserve"> (2019) systematic review a diversity of practitioner conceptions of play-based learning was found. Duggan et al. (2026) also noted the lack of training in additional learning needs and observation and play-based design amongst Welsh practitioners. The impact of the training may be restricted if there are no opportunities for staff to think and reflect on practice after the training. Teams could watch a sustained play episode and discuss their interpretations with the child and family and attempt one change of the environment/routine. Leaders need to take this change into account and think about how it might or might not provide opportunities for children to be involved, especially the less heard.  Egert, Fukkink and Eckhardt (2018) found larger training effects on classroom quality than on child outcomes. Attendance alone is therefore insufficient evidence of improvement.</w:t>
      </w:r>
    </w:p>
    <w:p w:rsidR="00AD63DB" w:rsidRPr="00366EB0" w:rsidRDefault="00AD63DB"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Conclusion</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In the Finnish curriculum, play-based pedagogy encourages adults to listen to children's thinking, provide careful guidance and adjust the settings based on observations. Its significance for Wales is to try out these principles in the context of local funding and staffing levels and local language. Time, inclusion, assessment and professional learning go hand in hand and improving one without the other is unlikely to have an impact on children's experiences. </w:t>
      </w:r>
      <w:r w:rsidR="0076287A" w:rsidRPr="00366EB0">
        <w:rPr>
          <w:rFonts w:ascii="Arial" w:hAnsi="Arial" w:cs="Arial"/>
          <w:sz w:val="24"/>
          <w:szCs w:val="24"/>
          <w:lang w:val="en-US"/>
        </w:rPr>
        <w:t>Implementation becomes more effective when leaders and practitioners consider who participates, what barriers remain and what changes are needed</w:t>
      </w:r>
      <w:r w:rsidRPr="00366EB0">
        <w:rPr>
          <w:rFonts w:ascii="Arial" w:hAnsi="Arial" w:cs="Arial"/>
          <w:sz w:val="24"/>
          <w:szCs w:val="24"/>
          <w:lang w:val="en-US"/>
        </w:rPr>
        <w:t>. Finnish policy offers a framework for questioning practice, but decisions in Wales should be justified by their effects on children’s participation, learning and access to support.</w:t>
      </w:r>
    </w:p>
    <w:p w:rsidR="00AD63DB" w:rsidRPr="00366EB0" w:rsidRDefault="00AD63DB" w:rsidP="00366EB0">
      <w:pPr>
        <w:keepNext/>
        <w:keepLines/>
        <w:pageBreakBefore/>
        <w:spacing w:before="240" w:after="160" w:line="360" w:lineRule="auto"/>
        <w:rPr>
          <w:rFonts w:ascii="Arial" w:hAnsi="Arial" w:cs="Arial"/>
          <w:b/>
          <w:sz w:val="24"/>
          <w:szCs w:val="24"/>
          <w:lang w:val="en-US"/>
        </w:rPr>
      </w:pPr>
      <w:r w:rsidRPr="00366EB0">
        <w:rPr>
          <w:rFonts w:ascii="Arial" w:hAnsi="Arial" w:cs="Arial"/>
          <w:b/>
          <w:sz w:val="24"/>
          <w:szCs w:val="24"/>
          <w:lang w:val="en-US"/>
        </w:rPr>
        <w:lastRenderedPageBreak/>
        <w:t>Part 2: Assessment in the unique child – part of the play-based early childhood curriculum in Finland</w:t>
      </w:r>
    </w:p>
    <w:p w:rsidR="00AD63DB" w:rsidRPr="00366EB0" w:rsidRDefault="00AD63DB"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Introduction</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The 'unique child' acknowledges that children's interests, experiences, relationships and modes of communication are different. Assessment in play based early childhood education therefore has to be about understanding what they are doing and how to adapt what we offer to each child and not about making sure that children are on the same schedule. The National Core Curriculum for Early Childhood Education and Care (ECEC) in Finland is a useful example as it links to the activities children engage in on a daily basis, pedagogical documentation and an individual ECEC plan for each child (Finnish National Agency for Education, 2022). The essay critically reflects on two related practices: continuous observation and pedagogical documentation and review of the child's individual ECEC plan. It implies that their worth is related to the fact that adults respond by altering provision, as a result of listening to the children’s views.  NAEYC (2020) similarly places individuality and context alongside common developmental knowledge. This is not a Finnish requirement.</w:t>
      </w:r>
    </w:p>
    <w:p w:rsidR="00AD63DB" w:rsidRPr="00366EB0" w:rsidRDefault="00AD63DB"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Making notes and recording observations about learning in play.</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According to the curriculum, pedagogical documentation is an ongoing process, which includes observing, children's work and interpretation, planning and evaluation (Finnish National Agency for Education, 2022). A </w:t>
      </w:r>
      <w:r w:rsidR="003F4264" w:rsidRPr="00366EB0">
        <w:rPr>
          <w:rFonts w:ascii="Arial" w:hAnsi="Arial" w:cs="Arial"/>
          <w:sz w:val="24"/>
          <w:szCs w:val="24"/>
          <w:lang w:val="en-US"/>
        </w:rPr>
        <w:t>practitioner,</w:t>
      </w:r>
      <w:r w:rsidRPr="00366EB0">
        <w:rPr>
          <w:rFonts w:ascii="Arial" w:hAnsi="Arial" w:cs="Arial"/>
          <w:sz w:val="24"/>
          <w:szCs w:val="24"/>
          <w:lang w:val="en-US"/>
        </w:rPr>
        <w:t xml:space="preserve"> for example, might notice that the child is negotiating roles in their self-initiated game or using gestures to communicate while trying out a solution. A subsequent picture or note should be discussed with the child and used as a basis for adapting provision. This might show skills and interests that wouldn't be seen in an unfamiliar adult-directed activity. Progress over time can be observed (e.g. increased </w:t>
      </w:r>
      <w:proofErr w:type="gramStart"/>
      <w:r w:rsidRPr="00366EB0">
        <w:rPr>
          <w:rFonts w:ascii="Arial" w:hAnsi="Arial" w:cs="Arial"/>
          <w:sz w:val="24"/>
          <w:szCs w:val="24"/>
          <w:lang w:val="en-US"/>
        </w:rPr>
        <w:t>confidence,</w:t>
      </w:r>
      <w:proofErr w:type="gramEnd"/>
      <w:r w:rsidRPr="00366EB0">
        <w:rPr>
          <w:rFonts w:ascii="Arial" w:hAnsi="Arial" w:cs="Arial"/>
          <w:sz w:val="24"/>
          <w:szCs w:val="24"/>
          <w:lang w:val="en-US"/>
        </w:rPr>
        <w:t xml:space="preserve"> or participation) and not reduced to a score. </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The play may be authentic although this does not rule out assessor bias. Practitioners should make judgements about observations across contexts, consider the knowledge and understanding of the family and consider if the setting is limiting the child's ability to demonstrate their learning. </w:t>
      </w:r>
      <w:proofErr w:type="spellStart"/>
      <w:r w:rsidRPr="00366EB0">
        <w:rPr>
          <w:rFonts w:ascii="Arial" w:hAnsi="Arial" w:cs="Arial"/>
          <w:sz w:val="24"/>
          <w:szCs w:val="24"/>
          <w:lang w:val="en-US"/>
        </w:rPr>
        <w:t>Paananen</w:t>
      </w:r>
      <w:proofErr w:type="spellEnd"/>
      <w:r w:rsidRPr="00366EB0">
        <w:rPr>
          <w:rFonts w:ascii="Arial" w:hAnsi="Arial" w:cs="Arial"/>
          <w:sz w:val="24"/>
          <w:szCs w:val="24"/>
          <w:lang w:val="en-US"/>
        </w:rPr>
        <w:t xml:space="preserve"> and </w:t>
      </w:r>
      <w:proofErr w:type="spellStart"/>
      <w:r w:rsidRPr="00366EB0">
        <w:rPr>
          <w:rFonts w:ascii="Arial" w:hAnsi="Arial" w:cs="Arial"/>
          <w:sz w:val="24"/>
          <w:szCs w:val="24"/>
          <w:lang w:val="en-US"/>
        </w:rPr>
        <w:t>Lipponen</w:t>
      </w:r>
      <w:proofErr w:type="spellEnd"/>
      <w:r w:rsidRPr="00366EB0">
        <w:rPr>
          <w:rFonts w:ascii="Arial" w:hAnsi="Arial" w:cs="Arial"/>
          <w:sz w:val="24"/>
          <w:szCs w:val="24"/>
          <w:lang w:val="en-US"/>
        </w:rPr>
        <w:t xml:space="preserve"> (2018) </w:t>
      </w:r>
      <w:proofErr w:type="spellStart"/>
      <w:r w:rsidRPr="00366EB0">
        <w:rPr>
          <w:rFonts w:ascii="Arial" w:hAnsi="Arial" w:cs="Arial"/>
          <w:sz w:val="24"/>
          <w:szCs w:val="24"/>
          <w:lang w:val="en-US"/>
        </w:rPr>
        <w:lastRenderedPageBreak/>
        <w:t>analysed</w:t>
      </w:r>
      <w:proofErr w:type="spellEnd"/>
      <w:r w:rsidRPr="00366EB0">
        <w:rPr>
          <w:rFonts w:ascii="Arial" w:hAnsi="Arial" w:cs="Arial"/>
          <w:sz w:val="24"/>
          <w:szCs w:val="24"/>
          <w:lang w:val="en-US"/>
        </w:rPr>
        <w:t xml:space="preserve"> 104 individual plans, observations and data from 13 teachers. Children's views were mentioned in only 23 of 380 agreements made. This reveals a documentation and participation gap, although the single-municipality data were collected in 2014 and cannot document practice under the 2022 curriculum.  Clark’s (2017) Mosaic approach brings together several ways of listening to children. Using several methods can broaden evidence, but does not remove adults’ responsibility for interpretation.</w:t>
      </w:r>
    </w:p>
    <w:p w:rsidR="003C6021"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There is also a distinction between the "collection of evidence" and its "use of evidence". Lindh and Mansikka (2023) conducted a survey of 135 Finnish ECEC professionals in one municipality, who had different </w:t>
      </w:r>
      <w:proofErr w:type="spellStart"/>
      <w:r w:rsidRPr="00366EB0">
        <w:rPr>
          <w:rFonts w:ascii="Arial" w:hAnsi="Arial" w:cs="Arial"/>
          <w:sz w:val="24"/>
          <w:szCs w:val="24"/>
          <w:lang w:val="en-US"/>
        </w:rPr>
        <w:t>conceptualisations</w:t>
      </w:r>
      <w:proofErr w:type="spellEnd"/>
      <w:r w:rsidRPr="00366EB0">
        <w:rPr>
          <w:rFonts w:ascii="Arial" w:hAnsi="Arial" w:cs="Arial"/>
          <w:sz w:val="24"/>
          <w:szCs w:val="24"/>
          <w:lang w:val="en-US"/>
        </w:rPr>
        <w:t xml:space="preserve"> and application of pedagogical documentation. There is a small geographical scope which prevents </w:t>
      </w:r>
      <w:proofErr w:type="spellStart"/>
      <w:r w:rsidRPr="00366EB0">
        <w:rPr>
          <w:rFonts w:ascii="Arial" w:hAnsi="Arial" w:cs="Arial"/>
          <w:sz w:val="24"/>
          <w:szCs w:val="24"/>
          <w:lang w:val="en-US"/>
        </w:rPr>
        <w:t>generalisation</w:t>
      </w:r>
      <w:proofErr w:type="spellEnd"/>
      <w:r w:rsidRPr="00366EB0">
        <w:rPr>
          <w:rFonts w:ascii="Arial" w:hAnsi="Arial" w:cs="Arial"/>
          <w:sz w:val="24"/>
          <w:szCs w:val="24"/>
          <w:lang w:val="en-US"/>
        </w:rPr>
        <w:t>, but the research does throw doubt on the notion that a national requirement will result in uniform practice. If we only look at the activities, for example in photographs in a portfolio, we may find that activities were carried out but not necessarily explained in terms of what the child thought – or what the adult changed. Documentation is pedagogical when it is read and interpreted with others, prompts the revisiting of initial judgements and results in changes to an activity, relationship or learning environment.</w:t>
      </w:r>
      <w:r w:rsidR="003C6021" w:rsidRPr="00366EB0">
        <w:rPr>
          <w:rFonts w:ascii="Arial" w:hAnsi="Arial" w:cs="Arial"/>
          <w:sz w:val="24"/>
          <w:szCs w:val="24"/>
          <w:lang w:val="en-US"/>
        </w:rPr>
        <w:t xml:space="preserve"> </w:t>
      </w:r>
    </w:p>
    <w:p w:rsidR="002669A7" w:rsidRPr="00366EB0" w:rsidRDefault="008343D1" w:rsidP="00366EB0">
      <w:pPr>
        <w:spacing w:line="360" w:lineRule="auto"/>
        <w:rPr>
          <w:rFonts w:ascii="Arial" w:hAnsi="Arial" w:cs="Arial"/>
          <w:sz w:val="24"/>
          <w:szCs w:val="24"/>
        </w:rPr>
      </w:pPr>
      <w:r w:rsidRPr="00366EB0">
        <w:rPr>
          <w:rFonts w:ascii="Arial" w:hAnsi="Arial" w:cs="Arial"/>
          <w:sz w:val="24"/>
          <w:szCs w:val="24"/>
        </w:rPr>
        <w:t>Carr and Lee (2019) present Learning Stories as narrative accounts of children's learning, addressing shared responsibility with learners and partnerships with families. These themes offer a comparison with Finnish pedagogical documentation. A critical question for this essay is who selects the episode and controls the interpretation. A polished account may overlook exclusion or a child's disagreement. This suggests a limitation of documentation itself: its quality depends on whose interpretations can challenge the story and whether those interpretations change subsequent provision. Learning Stories therefore sharpen the questions asked of Finnish practice, rather than serving as a second Finnish assessment method. Rinaldi (2021) connects documentation with listening and dialogue in Reggio Emilia. This offers a philosophical comparison, not evidence that Finland uses the same assessment model.</w:t>
      </w:r>
    </w:p>
    <w:p w:rsidR="00091A85" w:rsidRPr="00366EB0" w:rsidRDefault="003C6021" w:rsidP="00366EB0">
      <w:pPr>
        <w:spacing w:line="360" w:lineRule="auto"/>
        <w:rPr>
          <w:rFonts w:ascii="Arial" w:hAnsi="Arial" w:cs="Arial"/>
          <w:sz w:val="24"/>
          <w:szCs w:val="24"/>
          <w:lang w:val="en-US"/>
        </w:rPr>
      </w:pPr>
      <w:r w:rsidRPr="00366EB0">
        <w:rPr>
          <w:rFonts w:ascii="Arial" w:hAnsi="Arial" w:cs="Arial"/>
          <w:sz w:val="24"/>
          <w:szCs w:val="24"/>
          <w:lang w:val="en-US"/>
        </w:rPr>
        <w:t xml:space="preserve">The child's voice is another test of assessment validity. Children are expected to be involved in the assessment of activities in the Finnish curriculum, but an adult's </w:t>
      </w:r>
      <w:r w:rsidRPr="00366EB0">
        <w:rPr>
          <w:rFonts w:ascii="Arial" w:hAnsi="Arial" w:cs="Arial"/>
          <w:sz w:val="24"/>
          <w:szCs w:val="24"/>
          <w:lang w:val="en-US"/>
        </w:rPr>
        <w:lastRenderedPageBreak/>
        <w:t xml:space="preserve">interpretation of interest should not be mistaken for the child's own perspective (Finnish National Agency for Education, 2022). Children are able to express their opinions about pictures and show a preference for revisiting their work or showing their work by moving and repeating the activity. The latter routes can be of particular significance if a traditional interview is not suitable. Sun et al.'s (2023) review of 58 studies identifies continuing challenges in research methods for including young children with additional needs. It focuses on research methods rather than on the common practices of ECEC assessment in </w:t>
      </w:r>
      <w:r w:rsidR="003F4264" w:rsidRPr="00366EB0">
        <w:rPr>
          <w:rFonts w:ascii="Arial" w:hAnsi="Arial" w:cs="Arial"/>
          <w:sz w:val="24"/>
          <w:szCs w:val="24"/>
          <w:lang w:val="en-US"/>
        </w:rPr>
        <w:t>Finland,</w:t>
      </w:r>
      <w:r w:rsidRPr="00366EB0">
        <w:rPr>
          <w:rFonts w:ascii="Arial" w:hAnsi="Arial" w:cs="Arial"/>
          <w:sz w:val="24"/>
          <w:szCs w:val="24"/>
          <w:lang w:val="en-US"/>
        </w:rPr>
        <w:t xml:space="preserve"> but it cautions against treating a claim that a child has been ‘consulted’ as proof of meaningful participation. Adults need to be aware of and recognise refusals, re-think their interpretations and make communication accessible.  </w:t>
      </w:r>
    </w:p>
    <w:p w:rsidR="00091A85" w:rsidRPr="00366EB0" w:rsidRDefault="00091A85"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The individual ECEC plan and its review</w:t>
      </w:r>
    </w:p>
    <w:p w:rsidR="003C6021" w:rsidRPr="00366EB0" w:rsidRDefault="003C6021" w:rsidP="00366EB0">
      <w:pPr>
        <w:spacing w:line="360" w:lineRule="auto"/>
        <w:rPr>
          <w:rFonts w:ascii="Arial" w:hAnsi="Arial" w:cs="Arial"/>
          <w:sz w:val="24"/>
          <w:szCs w:val="24"/>
          <w:lang w:val="en-US"/>
        </w:rPr>
      </w:pPr>
      <w:r w:rsidRPr="00366EB0">
        <w:rPr>
          <w:rFonts w:ascii="Arial" w:hAnsi="Arial" w:cs="Arial"/>
          <w:sz w:val="24"/>
          <w:szCs w:val="24"/>
          <w:lang w:val="en-US"/>
        </w:rPr>
        <w:t xml:space="preserve">The other approach is the individual ECEC plan for the child. Finnish advice is to take into account the child's strengths, interests, needs, language and culture, as well as the child's and guardian's views. More importantly, its goals are related to what staff will do educationally and how the environment can be used to support learning – the plan is not designed to be a list of areas where the child needs to improve (Finnish National Agency for Education, 2022). The plan is reviewed as needed and at least annually. Review can bring together observations and examine the support provided. It can also give families an opportunity to question a partial professional interpretation. A goal for a child who seldom joins in with group play could be for the adults to set up the materials so that invitations to play are offered by peers, instead of the adult saying, “You need to be more sociable.” </w:t>
      </w:r>
    </w:p>
    <w:p w:rsidR="00091A85" w:rsidRPr="00366EB0" w:rsidRDefault="003C6021" w:rsidP="00366EB0">
      <w:pPr>
        <w:spacing w:line="360" w:lineRule="auto"/>
        <w:rPr>
          <w:rFonts w:ascii="Arial" w:hAnsi="Arial" w:cs="Arial"/>
          <w:sz w:val="24"/>
          <w:szCs w:val="24"/>
          <w:lang w:val="en-US"/>
        </w:rPr>
      </w:pPr>
      <w:r w:rsidRPr="00366EB0">
        <w:rPr>
          <w:rFonts w:ascii="Arial" w:hAnsi="Arial" w:cs="Arial"/>
          <w:sz w:val="24"/>
          <w:szCs w:val="24"/>
          <w:lang w:val="en-US"/>
        </w:rPr>
        <w:t xml:space="preserve">This formal status of the plan poses risks. A child's changing interests may be missed between reviews of written objectives, which focus on what might be more easily recorded. If adults think that the age norm is the only important reference point, even a strengths-based form can frame the child primarily in terms of perceived delay. The participation of guardians is not necessarily equal if they may find it hard to disagree with practitioners due to meeting time, language use or language of education. Staff should hence be clear about their decisions, offer accessible opportunities for families to discuss the child's experiences and contribute to decisions.  Pyle and </w:t>
      </w:r>
      <w:r w:rsidRPr="00366EB0">
        <w:rPr>
          <w:rFonts w:ascii="Arial" w:hAnsi="Arial" w:cs="Arial"/>
          <w:sz w:val="24"/>
          <w:szCs w:val="24"/>
          <w:lang w:val="en-US"/>
        </w:rPr>
        <w:lastRenderedPageBreak/>
        <w:t>DeLuca (2017) identified tensions between play-based teaching and assessment among Ontario educators. This raises questions, not findings about Finland.</w:t>
      </w:r>
    </w:p>
    <w:p w:rsidR="00AD63DB" w:rsidRPr="00366EB0" w:rsidRDefault="00DC4E92"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Critical comparison of the approaches</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The following approaches are all for different purposes but are part of one assessment process. Observation is made in the moment and context of a child's actions and experiences; plan review is a mixture of observations and family input to decide on the appropriate ongoing pedagogical response. The use of pedagogical documentation and an individual plan is defined in the Finnish curriculum (Finnish National Agency for Education, 2022). These</w:t>
      </w:r>
      <w:r w:rsidR="007C09C8" w:rsidRPr="00366EB0">
        <w:rPr>
          <w:rFonts w:ascii="Arial" w:hAnsi="Arial" w:cs="Arial"/>
          <w:sz w:val="24"/>
          <w:szCs w:val="24"/>
          <w:lang w:val="en-US"/>
        </w:rPr>
        <w:t xml:space="preserve"> approaches should not be treated as independent assessment methods because the Finnish curriculum connects them</w:t>
      </w:r>
      <w:r w:rsidRPr="00366EB0">
        <w:rPr>
          <w:rFonts w:ascii="Arial" w:hAnsi="Arial" w:cs="Arial"/>
          <w:sz w:val="24"/>
          <w:szCs w:val="24"/>
          <w:lang w:val="en-US"/>
        </w:rPr>
        <w:t xml:space="preserve">. A better comparison would be with respect to timing, contributor and source of bias. Observations can be informal and open to interpretation at the time and the written plan can lead to the assumption that a child's interests and needs are static. </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Consider a child who speaks infrequently in the ECEC setting but has many items to use in making elaborate stories with.</w:t>
      </w:r>
      <w:r w:rsidR="00816A7C" w:rsidRPr="00366EB0">
        <w:rPr>
          <w:rFonts w:ascii="Arial" w:hAnsi="Arial" w:cs="Arial"/>
          <w:sz w:val="24"/>
          <w:szCs w:val="24"/>
          <w:lang w:val="en-US"/>
        </w:rPr>
        <w:t xml:space="preserve"> A</w:t>
      </w:r>
      <w:r w:rsidRPr="00366EB0">
        <w:rPr>
          <w:rFonts w:ascii="Arial" w:hAnsi="Arial" w:cs="Arial"/>
          <w:sz w:val="24"/>
          <w:szCs w:val="24"/>
          <w:lang w:val="en-US"/>
        </w:rPr>
        <w:t xml:space="preserve">ccessible materials and opportunities for peer interaction and adults' use of the child's home language, if possible, can be included in the plan. Progress could then be monitored by observing the child's involvement and opportunities and if communication remains an issue, this would be explored. This is one such example, but it is an example of why an individual play note and/or a generic age/stage checklist </w:t>
      </w:r>
      <w:proofErr w:type="gramStart"/>
      <w:r w:rsidRPr="00366EB0">
        <w:rPr>
          <w:rFonts w:ascii="Arial" w:hAnsi="Arial" w:cs="Arial"/>
          <w:sz w:val="24"/>
          <w:szCs w:val="24"/>
          <w:lang w:val="en-US"/>
        </w:rPr>
        <w:t>is</w:t>
      </w:r>
      <w:proofErr w:type="gramEnd"/>
      <w:r w:rsidRPr="00366EB0">
        <w:rPr>
          <w:rFonts w:ascii="Arial" w:hAnsi="Arial" w:cs="Arial"/>
          <w:sz w:val="24"/>
          <w:szCs w:val="24"/>
          <w:lang w:val="en-US"/>
        </w:rPr>
        <w:t xml:space="preserve"> not enough to describe the child's play experience. </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But for practitioners, age-and-stage models could still be used to help </w:t>
      </w:r>
      <w:proofErr w:type="spellStart"/>
      <w:r w:rsidRPr="00366EB0">
        <w:rPr>
          <w:rFonts w:ascii="Arial" w:hAnsi="Arial" w:cs="Arial"/>
          <w:sz w:val="24"/>
          <w:szCs w:val="24"/>
          <w:lang w:val="en-US"/>
        </w:rPr>
        <w:t>recognise</w:t>
      </w:r>
      <w:proofErr w:type="spellEnd"/>
      <w:r w:rsidRPr="00366EB0">
        <w:rPr>
          <w:rFonts w:ascii="Arial" w:hAnsi="Arial" w:cs="Arial"/>
          <w:sz w:val="24"/>
          <w:szCs w:val="24"/>
          <w:lang w:val="en-US"/>
        </w:rPr>
        <w:t xml:space="preserve"> potential need for further investigation; giving up on them could result in an unnecessary delay in support. Their weakness is that a developmental expectation becomes a verdict that does not consider any form of disability, language, context or opportunity. Similarly, individual </w:t>
      </w:r>
      <w:proofErr w:type="spellStart"/>
      <w:r w:rsidRPr="00366EB0">
        <w:rPr>
          <w:rFonts w:ascii="Arial" w:hAnsi="Arial" w:cs="Arial"/>
          <w:sz w:val="24"/>
          <w:szCs w:val="24"/>
          <w:lang w:val="en-US"/>
        </w:rPr>
        <w:t>behaviours</w:t>
      </w:r>
      <w:proofErr w:type="spellEnd"/>
      <w:r w:rsidRPr="00366EB0">
        <w:rPr>
          <w:rFonts w:ascii="Arial" w:hAnsi="Arial" w:cs="Arial"/>
          <w:sz w:val="24"/>
          <w:szCs w:val="24"/>
          <w:lang w:val="en-US"/>
        </w:rPr>
        <w:t xml:space="preserve"> can be seen as evidence of </w:t>
      </w:r>
      <w:r w:rsidR="003F4264" w:rsidRPr="00366EB0">
        <w:rPr>
          <w:rFonts w:ascii="Arial" w:hAnsi="Arial" w:cs="Arial"/>
          <w:sz w:val="24"/>
          <w:szCs w:val="24"/>
          <w:lang w:val="en-US"/>
        </w:rPr>
        <w:t>progress,</w:t>
      </w:r>
      <w:r w:rsidRPr="00366EB0">
        <w:rPr>
          <w:rFonts w:ascii="Arial" w:hAnsi="Arial" w:cs="Arial"/>
          <w:sz w:val="24"/>
          <w:szCs w:val="24"/>
          <w:lang w:val="en-US"/>
        </w:rPr>
        <w:t xml:space="preserve"> and this can disguise any further problems or lack of information from families regarding the support needed. A defensible assessment, then, will include observations of the child made at various times, knowledge about the child's development and the documentation of uncertainty. A practitioner might record that a child was unable to enter a peer game on three occasions when communication support was unavailable. This does not establish an individual difficulty: it also raises </w:t>
      </w:r>
      <w:r w:rsidRPr="00366EB0">
        <w:rPr>
          <w:rFonts w:ascii="Arial" w:hAnsi="Arial" w:cs="Arial"/>
          <w:sz w:val="24"/>
          <w:szCs w:val="24"/>
          <w:lang w:val="en-US"/>
        </w:rPr>
        <w:lastRenderedPageBreak/>
        <w:t>questions about the accessibility of provision. The next step would be to introduce appropriate support and review whether participation changes.</w:t>
      </w:r>
    </w:p>
    <w:p w:rsidR="00AD63DB" w:rsidRPr="00366EB0" w:rsidRDefault="00AD63DB"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Implications and conclusion</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These Finnish assessment practices raise relevant questions for Welsh settings. Welsh Government (2024) positions assessment as a means of supporting individual progression, while Duggan et al. (2026) report practitioners’ uncertainty about evidencing progress through observation in their study of 19 Welsh schools.  Aras (2019) found that collaborative action research helped three Turkish teachers develop formative assessment practices. Its small scale prevents generalisation to Wales.</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Ultimately, observation and individual plan review can be used to identify the unique child when they are engaged in a reflective cycle of noticing – interpreting (with child and family) – adapting provision – testing the impact. Both of these can also misrepresent children either through adult interpretation, or evidence as an administrative product. One key indicator of quality is that assessment enhances opportunities to engage and learn and holds adult support to account.</w:t>
      </w:r>
    </w:p>
    <w:p w:rsidR="00AE3725" w:rsidRPr="00366EB0" w:rsidRDefault="00AD63DB" w:rsidP="00366EB0">
      <w:pPr>
        <w:pStyle w:val="a5"/>
        <w:keepNext/>
        <w:keepLines/>
        <w:pageBreakBefore/>
        <w:spacing w:before="240" w:after="160" w:line="360" w:lineRule="auto"/>
        <w:rPr>
          <w:rFonts w:ascii="Arial" w:hAnsi="Arial" w:cs="Arial"/>
          <w:b/>
          <w:lang w:val="en-US"/>
        </w:rPr>
      </w:pPr>
      <w:r w:rsidRPr="00366EB0">
        <w:rPr>
          <w:rFonts w:ascii="Arial" w:hAnsi="Arial" w:cs="Arial"/>
          <w:b/>
          <w:lang w:val="en-US"/>
        </w:rPr>
        <w:lastRenderedPageBreak/>
        <w:t>Part 3: Professional blog</w:t>
      </w:r>
      <w:r w:rsidR="004C1FF9" w:rsidRPr="00366EB0">
        <w:rPr>
          <w:rFonts w:ascii="Arial" w:hAnsi="Arial" w:cs="Arial"/>
          <w:b/>
          <w:lang w:val="en-US"/>
        </w:rPr>
        <w:t xml:space="preserve">  </w:t>
      </w:r>
    </w:p>
    <w:p w:rsidR="00522270" w:rsidRPr="00366EB0" w:rsidRDefault="00567D78" w:rsidP="00366EB0">
      <w:pPr>
        <w:keepNext/>
        <w:spacing w:after="160" w:line="360" w:lineRule="auto"/>
        <w:jc w:val="center"/>
        <w:rPr>
          <w:rFonts w:ascii="Arial" w:hAnsi="Arial" w:cs="Arial"/>
          <w:sz w:val="24"/>
          <w:szCs w:val="24"/>
        </w:rPr>
      </w:pPr>
      <w:r w:rsidRPr="00366EB0">
        <w:rPr>
          <w:rFonts w:ascii="Arial" w:hAnsi="Arial" w:cs="Arial"/>
          <w:noProof/>
          <w:sz w:val="24"/>
          <w:szCs w:val="24"/>
          <w:lang w:eastAsia="bg-BG"/>
        </w:rPr>
        <w:drawing>
          <wp:inline distT="0" distB="0" distL="0" distR="0" wp14:anchorId="6D9ADD13" wp14:editId="6920046E">
            <wp:extent cx="3840480" cy="2572173"/>
            <wp:effectExtent l="57150" t="57150" r="48260" b="52705"/>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oden_toy_train_•_tracks_and_bridg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40480" cy="2572173"/>
                    </a:xfrm>
                    <a:prstGeom prst="rect">
                      <a:avLst/>
                    </a:prstGeom>
                    <a:scene3d>
                      <a:camera prst="orthographicFront"/>
                      <a:lightRig rig="threePt" dir="t"/>
                    </a:scene3d>
                    <a:sp3d>
                      <a:bevelT/>
                    </a:sp3d>
                  </pic:spPr>
                </pic:pic>
              </a:graphicData>
            </a:graphic>
          </wp:inline>
        </w:drawing>
      </w:r>
    </w:p>
    <w:p w:rsidR="00AE3725" w:rsidRPr="00366EB0" w:rsidRDefault="00AE3725" w:rsidP="00366EB0">
      <w:pPr>
        <w:pStyle w:val="a5"/>
        <w:spacing w:after="200" w:line="360" w:lineRule="auto"/>
        <w:rPr>
          <w:rFonts w:ascii="Arial" w:hAnsi="Arial" w:cs="Arial"/>
          <w:i/>
          <w:iCs/>
          <w:lang w:val="en-US"/>
        </w:rPr>
      </w:pPr>
      <w:proofErr w:type="spellStart"/>
      <w:r w:rsidRPr="00366EB0">
        <w:rPr>
          <w:rFonts w:ascii="Arial" w:hAnsi="Arial" w:cs="Arial"/>
          <w:i/>
          <w:iCs/>
        </w:rPr>
        <w:t>Children’s</w:t>
      </w:r>
      <w:proofErr w:type="spellEnd"/>
      <w:r w:rsidRPr="00366EB0">
        <w:rPr>
          <w:rFonts w:ascii="Arial" w:hAnsi="Arial" w:cs="Arial"/>
          <w:i/>
          <w:iCs/>
        </w:rPr>
        <w:t xml:space="preserve"> </w:t>
      </w:r>
      <w:proofErr w:type="spellStart"/>
      <w:r w:rsidRPr="00366EB0">
        <w:rPr>
          <w:rFonts w:ascii="Arial" w:hAnsi="Arial" w:cs="Arial"/>
          <w:i/>
          <w:iCs/>
        </w:rPr>
        <w:t>railway</w:t>
      </w:r>
      <w:proofErr w:type="spellEnd"/>
      <w:r w:rsidRPr="00366EB0">
        <w:rPr>
          <w:rFonts w:ascii="Arial" w:hAnsi="Arial" w:cs="Arial"/>
          <w:i/>
          <w:iCs/>
        </w:rPr>
        <w:t xml:space="preserve"> </w:t>
      </w:r>
      <w:proofErr w:type="spellStart"/>
      <w:r w:rsidRPr="00366EB0">
        <w:rPr>
          <w:rFonts w:ascii="Arial" w:hAnsi="Arial" w:cs="Arial"/>
          <w:i/>
          <w:iCs/>
        </w:rPr>
        <w:t>play</w:t>
      </w:r>
      <w:proofErr w:type="spellEnd"/>
      <w:r w:rsidRPr="00366EB0">
        <w:rPr>
          <w:rFonts w:ascii="Arial" w:hAnsi="Arial" w:cs="Arial"/>
          <w:i/>
          <w:iCs/>
        </w:rPr>
        <w:t xml:space="preserve">: </w:t>
      </w:r>
      <w:proofErr w:type="spellStart"/>
      <w:r w:rsidRPr="00366EB0">
        <w:rPr>
          <w:rFonts w:ascii="Arial" w:hAnsi="Arial" w:cs="Arial"/>
          <w:i/>
          <w:iCs/>
        </w:rPr>
        <w:t>opportunities</w:t>
      </w:r>
      <w:proofErr w:type="spellEnd"/>
      <w:r w:rsidRPr="00366EB0">
        <w:rPr>
          <w:rFonts w:ascii="Arial" w:hAnsi="Arial" w:cs="Arial"/>
          <w:i/>
          <w:iCs/>
        </w:rPr>
        <w:t xml:space="preserve"> </w:t>
      </w:r>
      <w:proofErr w:type="spellStart"/>
      <w:r w:rsidRPr="00366EB0">
        <w:rPr>
          <w:rFonts w:ascii="Arial" w:hAnsi="Arial" w:cs="Arial"/>
          <w:i/>
          <w:iCs/>
        </w:rPr>
        <w:t>for</w:t>
      </w:r>
      <w:proofErr w:type="spellEnd"/>
      <w:r w:rsidRPr="00366EB0">
        <w:rPr>
          <w:rFonts w:ascii="Arial" w:hAnsi="Arial" w:cs="Arial"/>
          <w:i/>
          <w:iCs/>
        </w:rPr>
        <w:t xml:space="preserve"> </w:t>
      </w:r>
      <w:proofErr w:type="spellStart"/>
      <w:r w:rsidRPr="00366EB0">
        <w:rPr>
          <w:rFonts w:ascii="Arial" w:hAnsi="Arial" w:cs="Arial"/>
          <w:i/>
          <w:iCs/>
        </w:rPr>
        <w:t>communication</w:t>
      </w:r>
      <w:proofErr w:type="spellEnd"/>
      <w:r w:rsidRPr="00366EB0">
        <w:rPr>
          <w:rFonts w:ascii="Arial" w:hAnsi="Arial" w:cs="Arial"/>
          <w:i/>
          <w:iCs/>
        </w:rPr>
        <w:t xml:space="preserve">, </w:t>
      </w:r>
      <w:proofErr w:type="spellStart"/>
      <w:r w:rsidRPr="00366EB0">
        <w:rPr>
          <w:rFonts w:ascii="Arial" w:hAnsi="Arial" w:cs="Arial"/>
          <w:i/>
          <w:iCs/>
        </w:rPr>
        <w:t>cooperation</w:t>
      </w:r>
      <w:proofErr w:type="spellEnd"/>
      <w:r w:rsidRPr="00366EB0">
        <w:rPr>
          <w:rFonts w:ascii="Arial" w:hAnsi="Arial" w:cs="Arial"/>
          <w:i/>
          <w:iCs/>
        </w:rPr>
        <w:t xml:space="preserve"> </w:t>
      </w:r>
      <w:proofErr w:type="spellStart"/>
      <w:r w:rsidRPr="00366EB0">
        <w:rPr>
          <w:rFonts w:ascii="Arial" w:hAnsi="Arial" w:cs="Arial"/>
          <w:i/>
          <w:iCs/>
        </w:rPr>
        <w:t>and</w:t>
      </w:r>
      <w:proofErr w:type="spellEnd"/>
      <w:r w:rsidRPr="00366EB0">
        <w:rPr>
          <w:rFonts w:ascii="Arial" w:hAnsi="Arial" w:cs="Arial"/>
          <w:i/>
          <w:iCs/>
        </w:rPr>
        <w:t xml:space="preserve"> </w:t>
      </w:r>
      <w:proofErr w:type="spellStart"/>
      <w:r w:rsidRPr="00366EB0">
        <w:rPr>
          <w:rFonts w:ascii="Arial" w:hAnsi="Arial" w:cs="Arial"/>
          <w:i/>
          <w:iCs/>
        </w:rPr>
        <w:t>belonging</w:t>
      </w:r>
      <w:proofErr w:type="spellEnd"/>
      <w:r w:rsidRPr="00366EB0">
        <w:rPr>
          <w:rFonts w:ascii="Arial" w:hAnsi="Arial" w:cs="Arial"/>
          <w:i/>
          <w:iCs/>
        </w:rPr>
        <w:t>.</w:t>
      </w:r>
      <w:r w:rsidRPr="00366EB0">
        <w:rPr>
          <w:rFonts w:ascii="Arial" w:hAnsi="Arial" w:cs="Arial"/>
          <w:i/>
          <w:iCs/>
          <w:lang w:val="en-US"/>
        </w:rPr>
        <w:t xml:space="preserve"> </w:t>
      </w:r>
    </w:p>
    <w:p w:rsidR="00AE3725" w:rsidRPr="00366EB0" w:rsidRDefault="004C1FF9" w:rsidP="00366EB0">
      <w:pPr>
        <w:pStyle w:val="a5"/>
        <w:spacing w:after="200" w:line="360" w:lineRule="auto"/>
        <w:rPr>
          <w:rFonts w:ascii="Arial" w:hAnsi="Arial" w:cs="Arial"/>
          <w:lang w:val="en-US"/>
        </w:rPr>
      </w:pPr>
      <w:proofErr w:type="spellStart"/>
      <w:r w:rsidRPr="00366EB0">
        <w:rPr>
          <w:rFonts w:ascii="Arial" w:hAnsi="Arial" w:cs="Arial"/>
        </w:rPr>
        <w:t>Fauvel</w:t>
      </w:r>
      <w:proofErr w:type="spellEnd"/>
      <w:r w:rsidRPr="00366EB0">
        <w:rPr>
          <w:rFonts w:ascii="Arial" w:hAnsi="Arial" w:cs="Arial"/>
        </w:rPr>
        <w:t xml:space="preserve">, B. (2020) </w:t>
      </w:r>
      <w:proofErr w:type="spellStart"/>
      <w:r w:rsidRPr="00366EB0">
        <w:rPr>
          <w:rStyle w:val="a7"/>
          <w:rFonts w:ascii="Arial" w:hAnsi="Arial" w:cs="Arial"/>
        </w:rPr>
        <w:t>Brio</w:t>
      </w:r>
      <w:proofErr w:type="spellEnd"/>
      <w:r w:rsidRPr="00366EB0">
        <w:rPr>
          <w:rStyle w:val="a7"/>
          <w:rFonts w:ascii="Arial" w:hAnsi="Arial" w:cs="Arial"/>
        </w:rPr>
        <w:t xml:space="preserve"> </w:t>
      </w:r>
      <w:proofErr w:type="spellStart"/>
      <w:r w:rsidRPr="00366EB0">
        <w:rPr>
          <w:rStyle w:val="a7"/>
          <w:rFonts w:ascii="Arial" w:hAnsi="Arial" w:cs="Arial"/>
        </w:rPr>
        <w:t>train</w:t>
      </w:r>
      <w:proofErr w:type="spellEnd"/>
      <w:r w:rsidRPr="00366EB0">
        <w:rPr>
          <w:rStyle w:val="a7"/>
          <w:rFonts w:ascii="Arial" w:hAnsi="Arial" w:cs="Arial"/>
        </w:rPr>
        <w:t xml:space="preserve"> </w:t>
      </w:r>
      <w:proofErr w:type="spellStart"/>
      <w:r w:rsidRPr="00366EB0">
        <w:rPr>
          <w:rStyle w:val="a7"/>
          <w:rFonts w:ascii="Arial" w:hAnsi="Arial" w:cs="Arial"/>
        </w:rPr>
        <w:t>tracks</w:t>
      </w:r>
      <w:proofErr w:type="spellEnd"/>
      <w:r w:rsidRPr="00366EB0">
        <w:rPr>
          <w:rFonts w:ascii="Arial" w:hAnsi="Arial" w:cs="Arial"/>
        </w:rPr>
        <w:t xml:space="preserve"> [</w:t>
      </w:r>
      <w:proofErr w:type="spellStart"/>
      <w:r w:rsidRPr="00366EB0">
        <w:rPr>
          <w:rFonts w:ascii="Arial" w:hAnsi="Arial" w:cs="Arial"/>
        </w:rPr>
        <w:t>Photograph</w:t>
      </w:r>
      <w:proofErr w:type="spellEnd"/>
      <w:r w:rsidRPr="00366EB0">
        <w:rPr>
          <w:rFonts w:ascii="Arial" w:hAnsi="Arial" w:cs="Arial"/>
        </w:rPr>
        <w:t xml:space="preserve">]. </w:t>
      </w:r>
      <w:proofErr w:type="spellStart"/>
      <w:r w:rsidRPr="00366EB0">
        <w:rPr>
          <w:rFonts w:ascii="Arial" w:hAnsi="Arial" w:cs="Arial"/>
        </w:rPr>
        <w:t>Available</w:t>
      </w:r>
      <w:proofErr w:type="spellEnd"/>
      <w:r w:rsidRPr="00366EB0">
        <w:rPr>
          <w:rFonts w:ascii="Arial" w:hAnsi="Arial" w:cs="Arial"/>
        </w:rPr>
        <w:t xml:space="preserve"> </w:t>
      </w:r>
      <w:proofErr w:type="spellStart"/>
      <w:r w:rsidRPr="00366EB0">
        <w:rPr>
          <w:rFonts w:ascii="Arial" w:hAnsi="Arial" w:cs="Arial"/>
        </w:rPr>
        <w:t>at</w:t>
      </w:r>
      <w:proofErr w:type="spellEnd"/>
      <w:r w:rsidRPr="00366EB0">
        <w:rPr>
          <w:rFonts w:ascii="Arial" w:hAnsi="Arial" w:cs="Arial"/>
        </w:rPr>
        <w:t xml:space="preserve">: </w:t>
      </w:r>
      <w:hyperlink r:id="rId9" w:history="1">
        <w:r w:rsidRPr="00366EB0">
          <w:rPr>
            <w:rStyle w:val="a8"/>
            <w:rFonts w:ascii="Arial" w:hAnsi="Arial" w:cs="Arial"/>
          </w:rPr>
          <w:t>https://commons.wikimedia.org/wiki/File:Brio_train_tracks.jpg</w:t>
        </w:r>
      </w:hyperlink>
      <w:r w:rsidRPr="00366EB0">
        <w:rPr>
          <w:rFonts w:ascii="Arial" w:hAnsi="Arial" w:cs="Arial"/>
        </w:rPr>
        <w:t xml:space="preserve"> (</w:t>
      </w:r>
      <w:proofErr w:type="spellStart"/>
      <w:r w:rsidRPr="00366EB0">
        <w:rPr>
          <w:rFonts w:ascii="Arial" w:hAnsi="Arial" w:cs="Arial"/>
        </w:rPr>
        <w:t>Accessed</w:t>
      </w:r>
      <w:proofErr w:type="spellEnd"/>
      <w:r w:rsidRPr="00366EB0">
        <w:rPr>
          <w:rFonts w:ascii="Arial" w:hAnsi="Arial" w:cs="Arial"/>
        </w:rPr>
        <w:t xml:space="preserve">: 24 </w:t>
      </w:r>
      <w:proofErr w:type="spellStart"/>
      <w:r w:rsidRPr="00366EB0">
        <w:rPr>
          <w:rFonts w:ascii="Arial" w:hAnsi="Arial" w:cs="Arial"/>
        </w:rPr>
        <w:t>October</w:t>
      </w:r>
      <w:proofErr w:type="spellEnd"/>
      <w:r w:rsidRPr="00366EB0">
        <w:rPr>
          <w:rFonts w:ascii="Arial" w:hAnsi="Arial" w:cs="Arial"/>
        </w:rPr>
        <w:t xml:space="preserve"> 2026).</w:t>
      </w:r>
      <w:r w:rsidR="00AE3725" w:rsidRPr="00366EB0">
        <w:rPr>
          <w:rFonts w:ascii="Arial" w:hAnsi="Arial" w:cs="Arial"/>
          <w:lang w:val="en-US"/>
        </w:rPr>
        <w:t xml:space="preserve"> </w:t>
      </w:r>
    </w:p>
    <w:p w:rsidR="00AD63DB" w:rsidRPr="00366EB0" w:rsidRDefault="007C09C8" w:rsidP="00366EB0">
      <w:pPr>
        <w:pStyle w:val="a5"/>
        <w:spacing w:after="200" w:line="360" w:lineRule="auto"/>
        <w:rPr>
          <w:rFonts w:ascii="Arial" w:hAnsi="Arial" w:cs="Arial"/>
        </w:rPr>
      </w:pPr>
      <w:r w:rsidRPr="00366EB0">
        <w:rPr>
          <w:rFonts w:ascii="Arial" w:hAnsi="Arial" w:cs="Arial"/>
          <w:b/>
          <w:lang w:val="en-US"/>
        </w:rPr>
        <w:t>We Say Children Learn Through Play – But Do We Give Them the Opportunity</w:t>
      </w:r>
      <w:r w:rsidR="00AD63DB" w:rsidRPr="00366EB0">
        <w:rPr>
          <w:rFonts w:ascii="Arial" w:hAnsi="Arial" w:cs="Arial"/>
          <w:b/>
          <w:lang w:val="en-US"/>
        </w:rPr>
        <w:t>?</w:t>
      </w:r>
    </w:p>
    <w:p w:rsidR="0040138B" w:rsidRPr="00366EB0" w:rsidRDefault="008343D1" w:rsidP="00366EB0">
      <w:pPr>
        <w:spacing w:line="360" w:lineRule="auto"/>
        <w:rPr>
          <w:rFonts w:ascii="Arial" w:hAnsi="Arial" w:cs="Arial"/>
          <w:sz w:val="24"/>
          <w:szCs w:val="24"/>
        </w:rPr>
      </w:pPr>
      <w:r w:rsidRPr="00366EB0">
        <w:rPr>
          <w:rFonts w:ascii="Arial" w:hAnsi="Arial" w:cs="Arial"/>
          <w:sz w:val="24"/>
          <w:szCs w:val="24"/>
        </w:rPr>
        <w:t>A group of children have made a railway station using a few blocks. One child hands out tickets, another calls the departures, and a third watches before joining with a toy train. The room must be cleared 20 minutes later so that the next activity can start. Children's ideas have just begun, yet their play has to stop. Play is part of our curriculum, but do our daily decisions allow it to develop?</w:t>
      </w:r>
    </w:p>
    <w:p w:rsidR="00AD63DB" w:rsidRPr="00366EB0" w:rsidRDefault="00A847CB" w:rsidP="00366EB0">
      <w:pPr>
        <w:spacing w:line="360" w:lineRule="auto"/>
        <w:rPr>
          <w:rFonts w:ascii="Arial" w:hAnsi="Arial" w:cs="Arial"/>
          <w:sz w:val="24"/>
          <w:szCs w:val="24"/>
          <w:lang w:val="en-US"/>
        </w:rPr>
      </w:pPr>
      <w:r w:rsidRPr="00366EB0">
        <w:rPr>
          <w:rFonts w:ascii="Arial" w:hAnsi="Arial" w:cs="Arial"/>
          <w:sz w:val="24"/>
          <w:szCs w:val="24"/>
          <w:lang w:val="en-US"/>
        </w:rPr>
        <w:t>Play-based learning is supported in Wales by enabling adults, engaging experiences and effective environments (Welsh Government, 2023). Likewise, in Finland, the curriculum for early childhood education focuses on children's interests, guidance from adults and adequate time for play (Finnish National Agency for Education, 2022). The challenge is to make sure that staffing, routines and assessment demands enable these principles to be put into practice.</w:t>
      </w:r>
      <w:r w:rsidR="00AD63DB" w:rsidRPr="00366EB0">
        <w:rPr>
          <w:rFonts w:ascii="Arial" w:hAnsi="Arial" w:cs="Arial"/>
          <w:sz w:val="24"/>
          <w:szCs w:val="24"/>
          <w:lang w:val="en-US"/>
        </w:rPr>
        <w:t xml:space="preserve"> </w:t>
      </w:r>
    </w:p>
    <w:p w:rsidR="00AD63DB" w:rsidRPr="00366EB0" w:rsidRDefault="00AD63DB" w:rsidP="00366EB0">
      <w:pPr>
        <w:keepNext/>
        <w:keepLines/>
        <w:spacing w:before="240" w:after="160" w:line="360" w:lineRule="auto"/>
        <w:rPr>
          <w:rFonts w:ascii="Arial" w:hAnsi="Arial" w:cs="Arial"/>
          <w:sz w:val="24"/>
          <w:szCs w:val="24"/>
          <w:lang w:val="en-US"/>
        </w:rPr>
      </w:pPr>
      <w:r w:rsidRPr="00366EB0">
        <w:rPr>
          <w:rFonts w:ascii="Arial" w:hAnsi="Arial" w:cs="Arial"/>
          <w:sz w:val="24"/>
          <w:szCs w:val="24"/>
          <w:lang w:val="en-US"/>
        </w:rPr>
        <w:lastRenderedPageBreak/>
        <w:t>Set aside time for ideas to come back</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Sustained play gives the children opportunities to explore and develop ideas that they may not be able to do in a series of short activities. The railway station might return tomorrow with a map, fresh positions and a grumble that it's not their turn to drive! The changes provide opportunities for language, negotiation and mathematical thinking. A practitioner could just leave the blocks where they are and ask the children what they would like to add. This isn't a new resource that you have to buy. The team needs to agree that unfinished play is worth revisiting. Blewitt et al. (2018) found benefits from early childhood social-emotional learning programmes. This does not prove that extending this game produces similar outcomes.</w:t>
      </w:r>
    </w:p>
    <w:p w:rsidR="00AD63DB" w:rsidRPr="00366EB0" w:rsidRDefault="00AD63DB" w:rsidP="00366EB0">
      <w:pPr>
        <w:keepNext/>
        <w:keepLines/>
        <w:spacing w:before="240" w:after="160" w:line="360" w:lineRule="auto"/>
        <w:rPr>
          <w:rFonts w:ascii="Arial" w:hAnsi="Arial" w:cs="Arial"/>
          <w:sz w:val="24"/>
          <w:szCs w:val="24"/>
          <w:lang w:val="en-US"/>
        </w:rPr>
      </w:pPr>
      <w:r w:rsidRPr="00366EB0">
        <w:rPr>
          <w:rFonts w:ascii="Arial" w:hAnsi="Arial" w:cs="Arial"/>
          <w:sz w:val="24"/>
          <w:szCs w:val="24"/>
          <w:lang w:val="en-US"/>
        </w:rPr>
        <w:t>Understand when to enter the game</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An adult might see that one child is continually refused a role at the railway station. Is it appropriate for the adult to intervene? Ignoring the exclusion may leave the child outside the game, while taking control may stop the children’s negotiations. A question might suggest a possibility: Which jobs do stations need? Then observe to see if the children will follow through with the idea. Adult guidance can be helpful if it increases participation and children remain the focus of the story.</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There is some research to support guided play. Skene et al. (2022) noted some positive outcomes for some learning outcomes but not consistently in all areas. This evidence does not give any clear advice to a practitioner regarding an intervention time with this group. </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rPr>
        <w:t>Deciding when to join in depends on knowing the children, observing what changes after an intervention and being willing to step back. At the next team discussion, ask: Did my suggestion expand the children's choices or steer them towards my intended outcome? If the adult's question ended the children's story, try a less directive response next time.</w:t>
      </w:r>
    </w:p>
    <w:p w:rsidR="00AD63DB" w:rsidRPr="00366EB0" w:rsidRDefault="00AD63DB"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Inquire about belonging</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Child choice is meaningful if it is available to all children. The child watching the station may be taking time to understand the play. They also might not know how to get in, can't use materials and/or aren't communicating in a way that peers can </w:t>
      </w:r>
      <w:r w:rsidRPr="00366EB0">
        <w:rPr>
          <w:rFonts w:ascii="Arial" w:hAnsi="Arial" w:cs="Arial"/>
          <w:sz w:val="24"/>
          <w:szCs w:val="24"/>
          <w:lang w:val="en-US"/>
        </w:rPr>
        <w:lastRenderedPageBreak/>
        <w:t xml:space="preserve">recognise. Never make one observation the basis for labelling a child. Discuss with the family, observe over a variety of occasions and ask the child. Depending upon the needs of the child, the visual ticket, accessible train, quiet environment and/or adult support to receive peer invitations may change participation. Through observations and interviews with eight teachers in Ontario, proactive support and environmental strategies for inclusion were identified (Danniels and Pyle, 2023). This qualitative study does not allow for the determination of their effectiveness in Welsh settings.  </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rPr>
        <w:t>For example, the team could ask whether a picture card helps the child request a role, whether a peer responds, and whether the child chooses to return to the game. If the answer is no, adults should reconsider the environment and their own support rather than conclude that the child is uninterested.</w:t>
      </w:r>
    </w:p>
    <w:p w:rsidR="00AD63DB" w:rsidRPr="00366EB0" w:rsidRDefault="003F4264"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Making</w:t>
      </w:r>
      <w:r w:rsidR="00AD63DB" w:rsidRPr="00366EB0">
        <w:rPr>
          <w:rFonts w:ascii="Arial" w:hAnsi="Arial" w:cs="Arial"/>
          <w:b/>
          <w:sz w:val="24"/>
          <w:szCs w:val="24"/>
          <w:lang w:val="en-US"/>
        </w:rPr>
        <w:t xml:space="preserve"> Observation Change something</w:t>
      </w:r>
    </w:p>
    <w:p w:rsidR="00AD63DB" w:rsidRPr="00366EB0" w:rsidRDefault="00AD63DB" w:rsidP="00366EB0">
      <w:pPr>
        <w:spacing w:line="360" w:lineRule="auto"/>
        <w:rPr>
          <w:rFonts w:ascii="Arial" w:hAnsi="Arial" w:cs="Arial"/>
          <w:sz w:val="24"/>
          <w:szCs w:val="24"/>
          <w:lang w:val="en-US"/>
        </w:rPr>
      </w:pPr>
      <w:r w:rsidRPr="00366EB0">
        <w:rPr>
          <w:rFonts w:ascii="Arial" w:hAnsi="Arial" w:cs="Arial"/>
          <w:sz w:val="24"/>
          <w:szCs w:val="24"/>
          <w:lang w:val="en-US"/>
        </w:rPr>
        <w:t xml:space="preserve">Photographs and notes can also be helpful in making practitioners aware of children's ideas, but they do not ensure that this information is used to inform practice. In Finland, pedagogical documentation is assumed to be used to inform the upcoming decision on activities and </w:t>
      </w:r>
      <w:r w:rsidR="003F4264" w:rsidRPr="00366EB0">
        <w:rPr>
          <w:rFonts w:ascii="Arial" w:hAnsi="Arial" w:cs="Arial"/>
          <w:sz w:val="24"/>
          <w:szCs w:val="24"/>
          <w:lang w:val="en-US"/>
        </w:rPr>
        <w:t>environments,</w:t>
      </w:r>
      <w:r w:rsidRPr="00366EB0">
        <w:rPr>
          <w:rFonts w:ascii="Arial" w:hAnsi="Arial" w:cs="Arial"/>
          <w:sz w:val="24"/>
          <w:szCs w:val="24"/>
          <w:lang w:val="en-US"/>
        </w:rPr>
        <w:t xml:space="preserve"> and individual plans are focused on the pedagogical support provided by adults (Finnish National Agency for Education, 2022). In a Finnish study, practitioners were found to document in varying </w:t>
      </w:r>
      <w:r w:rsidR="003F4264" w:rsidRPr="00366EB0">
        <w:rPr>
          <w:rFonts w:ascii="Arial" w:hAnsi="Arial" w:cs="Arial"/>
          <w:sz w:val="24"/>
          <w:szCs w:val="24"/>
          <w:lang w:val="en-US"/>
        </w:rPr>
        <w:t>ways and</w:t>
      </w:r>
      <w:r w:rsidRPr="00366EB0">
        <w:rPr>
          <w:rFonts w:ascii="Arial" w:hAnsi="Arial" w:cs="Arial"/>
          <w:sz w:val="24"/>
          <w:szCs w:val="24"/>
          <w:lang w:val="en-US"/>
        </w:rPr>
        <w:t xml:space="preserve"> yet have a shared curriculum (Lindh and Mansikka, 2023). For each record we should ask: What did the child show me? What else could it be due to? What will we do differently and was it helpful? </w:t>
      </w:r>
    </w:p>
    <w:p w:rsidR="00AD63DB" w:rsidRPr="00366EB0" w:rsidRDefault="00AD63DB" w:rsidP="00366EB0">
      <w:pPr>
        <w:keepNext/>
        <w:keepLines/>
        <w:spacing w:before="240" w:after="160" w:line="360" w:lineRule="auto"/>
        <w:rPr>
          <w:rFonts w:ascii="Arial" w:hAnsi="Arial" w:cs="Arial"/>
          <w:b/>
          <w:sz w:val="24"/>
          <w:szCs w:val="24"/>
          <w:lang w:val="en-US"/>
        </w:rPr>
      </w:pPr>
      <w:r w:rsidRPr="00366EB0">
        <w:rPr>
          <w:rFonts w:ascii="Arial" w:hAnsi="Arial" w:cs="Arial"/>
          <w:b/>
          <w:sz w:val="24"/>
          <w:szCs w:val="24"/>
          <w:lang w:val="en-US"/>
        </w:rPr>
        <w:t>A realistic commitment</w:t>
      </w:r>
    </w:p>
    <w:p w:rsidR="002200D9" w:rsidRPr="00366EB0" w:rsidRDefault="002200D9" w:rsidP="00366EB0">
      <w:pPr>
        <w:spacing w:line="360" w:lineRule="auto"/>
        <w:rPr>
          <w:rFonts w:ascii="Arial" w:hAnsi="Arial" w:cs="Arial"/>
          <w:sz w:val="24"/>
          <w:szCs w:val="24"/>
          <w:lang w:val="en-US"/>
        </w:rPr>
      </w:pPr>
      <w:r w:rsidRPr="00366EB0">
        <w:rPr>
          <w:rFonts w:ascii="Arial" w:hAnsi="Arial" w:cs="Arial"/>
          <w:sz w:val="24"/>
          <w:szCs w:val="24"/>
          <w:lang w:val="en-US"/>
        </w:rPr>
        <w:t xml:space="preserve">While it is not possible to stop all interruptions from playing, teams can ensure a block of time for the continuity of play and talk about it at staff meetings. Leaders need to think about how practices, staffing and resources enable all children to access play. Observations to be made would be what ideas are affecting play and who would benefit from extra support. Families can also assist staff in understanding children's interests and ways of communicating that may not be evident. This should then be checked to see if children's participation has increased or not. OECD (2019) </w:t>
      </w:r>
      <w:r w:rsidRPr="00366EB0">
        <w:rPr>
          <w:rFonts w:ascii="Arial" w:hAnsi="Arial" w:cs="Arial"/>
          <w:sz w:val="24"/>
          <w:szCs w:val="24"/>
          <w:lang w:val="en-US"/>
        </w:rPr>
        <w:lastRenderedPageBreak/>
        <w:t>examines staff reports about working conditions and training. Staff reports cannot directly measure children’s learning.</w:t>
      </w:r>
    </w:p>
    <w:p w:rsidR="002200D9" w:rsidRPr="00366EB0" w:rsidRDefault="002200D9" w:rsidP="00366EB0">
      <w:pPr>
        <w:spacing w:line="360" w:lineRule="auto"/>
        <w:rPr>
          <w:rFonts w:ascii="Arial" w:hAnsi="Arial" w:cs="Arial"/>
          <w:sz w:val="24"/>
          <w:szCs w:val="24"/>
          <w:lang w:val="en-US"/>
        </w:rPr>
      </w:pPr>
      <w:r w:rsidRPr="00366EB0">
        <w:rPr>
          <w:rFonts w:ascii="Arial" w:hAnsi="Arial" w:cs="Arial"/>
          <w:sz w:val="24"/>
          <w:szCs w:val="24"/>
        </w:rPr>
        <w:t>At the next meeting, the team could look at which children returned to the railway station, who shaped the next episode and who remained on the margins. Children's responses, including a decision to play elsewhere, matter more than the number of photographs collected. If the changes have not widened participation, adapt the timetable, materials or adult roles and review the result again.</w:t>
      </w:r>
    </w:p>
    <w:p w:rsidR="0029611E" w:rsidRPr="00366EB0" w:rsidRDefault="002200D9" w:rsidP="00366EB0">
      <w:pPr>
        <w:spacing w:line="360" w:lineRule="auto"/>
        <w:rPr>
          <w:rFonts w:ascii="Arial" w:hAnsi="Arial" w:cs="Arial"/>
          <w:sz w:val="24"/>
          <w:szCs w:val="24"/>
          <w:lang w:val="en-US"/>
        </w:rPr>
      </w:pPr>
      <w:r w:rsidRPr="00366EB0">
        <w:rPr>
          <w:rFonts w:ascii="Arial" w:hAnsi="Arial" w:cs="Arial"/>
          <w:sz w:val="24"/>
          <w:szCs w:val="24"/>
          <w:lang w:val="en-US"/>
        </w:rPr>
        <w:t>In these decisions, play-based curriculum change is reflected. Play based learning is powerful when children can revisit their own concepts, can have an impact on the activities and feel a sense of belonging.</w:t>
      </w:r>
    </w:p>
    <w:p w:rsidR="002669A7" w:rsidRPr="00366EB0" w:rsidRDefault="008343D1" w:rsidP="00366EB0">
      <w:pPr>
        <w:keepNext/>
        <w:keepLines/>
        <w:pageBreakBefore/>
        <w:spacing w:before="240" w:after="160" w:line="360" w:lineRule="auto"/>
        <w:rPr>
          <w:rFonts w:ascii="Arial" w:hAnsi="Arial" w:cs="Arial"/>
          <w:b/>
          <w:sz w:val="24"/>
          <w:szCs w:val="24"/>
          <w:lang w:val="en-US"/>
        </w:rPr>
      </w:pPr>
      <w:bookmarkStart w:id="0" w:name="_GoBack"/>
      <w:bookmarkEnd w:id="0"/>
      <w:proofErr w:type="spellStart"/>
      <w:r w:rsidRPr="00366EB0">
        <w:rPr>
          <w:rFonts w:ascii="Arial" w:hAnsi="Arial" w:cs="Arial"/>
          <w:b/>
          <w:sz w:val="24"/>
          <w:szCs w:val="24"/>
        </w:rPr>
        <w:lastRenderedPageBreak/>
        <w:t>References</w:t>
      </w:r>
      <w:proofErr w:type="spellEnd"/>
      <w:r w:rsidR="0029611E" w:rsidRPr="00366EB0">
        <w:rPr>
          <w:rFonts w:ascii="Arial" w:hAnsi="Arial" w:cs="Arial"/>
          <w:b/>
          <w:sz w:val="24"/>
          <w:szCs w:val="24"/>
          <w:lang w:val="en-US"/>
        </w:rPr>
        <w:t xml:space="preserve">: </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Aras, S. (2019) ‘Improving early childhood teachers’ formative assessment practices: Transformative role of collaborative action research’, </w:t>
      </w:r>
      <w:r w:rsidRPr="00366EB0">
        <w:rPr>
          <w:rFonts w:ascii="Arial" w:hAnsi="Arial" w:cs="Arial"/>
          <w:i/>
          <w:sz w:val="24"/>
          <w:szCs w:val="24"/>
        </w:rPr>
        <w:t>International Journal of Curriculum and Instructional Studies</w:t>
      </w:r>
      <w:r w:rsidRPr="00366EB0">
        <w:rPr>
          <w:rFonts w:ascii="Arial" w:hAnsi="Arial" w:cs="Arial"/>
          <w:sz w:val="24"/>
          <w:szCs w:val="24"/>
        </w:rPr>
        <w:t>, 9(2), pp. 221–240. Available at: https://doi.org/10.31704/ijocis.2019.010</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Blewitt, C., Fuller-Tyszkiewicz, M., Nolan, A., Bergmeier, H., Vicary, D., Huang, T., McCabe, P., McKay, T. and Skouteris, H. (2018) ‘Social and emotional learning associated with universal curriculum-based interventions in early childhood education and care centers: A systematic review and meta-analysis’, </w:t>
      </w:r>
      <w:r w:rsidRPr="00366EB0">
        <w:rPr>
          <w:rFonts w:ascii="Arial" w:hAnsi="Arial" w:cs="Arial"/>
          <w:i/>
          <w:sz w:val="24"/>
          <w:szCs w:val="24"/>
        </w:rPr>
        <w:t>JAMA Network Open</w:t>
      </w:r>
      <w:r w:rsidRPr="00366EB0">
        <w:rPr>
          <w:rFonts w:ascii="Arial" w:hAnsi="Arial" w:cs="Arial"/>
          <w:sz w:val="24"/>
          <w:szCs w:val="24"/>
        </w:rPr>
        <w:t>, 1(8), e185727. Available at: https://doi.org/10.1001/jamanetworkopen.2018.5727</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Bubikova-Moan, J., Hjetland, H.N. and Wollscheid, S. (2019) ‘ECE teachers’ views on play-based learning: a systematic review’, European Early Childhood Education Research Journal, 27(6), pp. 776–800. https://doi.org/10.1080/1350293X.2019.1678717</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Carr, M. and Lee, W. (2019) Learning Stories in Practice. London: SAGE. https://us2.sagepub.com/en-us/nam/learning-stories-in-practice/book257126</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CAST (2024) </w:t>
      </w:r>
      <w:r w:rsidRPr="00366EB0">
        <w:rPr>
          <w:rFonts w:ascii="Arial" w:hAnsi="Arial" w:cs="Arial"/>
          <w:i/>
          <w:sz w:val="24"/>
          <w:szCs w:val="24"/>
        </w:rPr>
        <w:t>CAST Universal Design for Learning Guidelines version 3.0</w:t>
      </w:r>
      <w:r w:rsidRPr="00366EB0">
        <w:rPr>
          <w:rFonts w:ascii="Arial" w:hAnsi="Arial" w:cs="Arial"/>
          <w:sz w:val="24"/>
          <w:szCs w:val="24"/>
        </w:rPr>
        <w:t>. Wakefield, MA: CAST.  Available at: https://udlguidelines.cast.org/</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Clark, A. (2017) </w:t>
      </w:r>
      <w:r w:rsidRPr="00366EB0">
        <w:rPr>
          <w:rFonts w:ascii="Arial" w:hAnsi="Arial" w:cs="Arial"/>
          <w:i/>
          <w:sz w:val="24"/>
          <w:szCs w:val="24"/>
        </w:rPr>
        <w:t>Listening to Young Children: A Guide to Understanding and Using the Mosaic Approach</w:t>
      </w:r>
      <w:r w:rsidRPr="00366EB0">
        <w:rPr>
          <w:rFonts w:ascii="Arial" w:hAnsi="Arial" w:cs="Arial"/>
          <w:sz w:val="24"/>
          <w:szCs w:val="24"/>
        </w:rPr>
        <w:t>. London: Jessica Kingsley Publishers. 3rd expanded edn. Available at: https://uk.jkp.com/products/listening-to-young-children-expanded-third-edition</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Danniels, E. and Pyle, A. (2023) ‘Teacher perspectives and approaches toward promoting inclusion in play-based learning for children with developmental disabilities’, Journal of Early Childhood Research, 21(3), pp. 288–302. https://doi.org/10.1177/1476718X221149376</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Duggan, B., Jones, M., Morris, F. and Egan, D. (2026) Foundation Learning in the Curriculum for Wales: a qualitative study. Social Research Number 54/2026. Cardiff: Welsh Government. https://www.gov.wales/foundation-learning-curriculum-wales-qualitative-study</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lastRenderedPageBreak/>
        <w:t xml:space="preserve">Egert, F., Fukkink, R.G. and Eckhardt, A.G. (2018) ‘Impact of in-service professional development programs for early childhood teachers on quality ratings and child outcomes: A meta-analysis’, </w:t>
      </w:r>
      <w:r w:rsidRPr="00366EB0">
        <w:rPr>
          <w:rFonts w:ascii="Arial" w:hAnsi="Arial" w:cs="Arial"/>
          <w:i/>
          <w:sz w:val="24"/>
          <w:szCs w:val="24"/>
        </w:rPr>
        <w:t>Review of Educational Research</w:t>
      </w:r>
      <w:r w:rsidRPr="00366EB0">
        <w:rPr>
          <w:rFonts w:ascii="Arial" w:hAnsi="Arial" w:cs="Arial"/>
          <w:sz w:val="24"/>
          <w:szCs w:val="24"/>
        </w:rPr>
        <w:t>, 88(3), pp. 401–433. Available at: https://doi.org/10.3102/0034654317751918</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Estyn (2024) Impact of poverty on educational attainment, support, provision and transition for early education. Cardiff: Estyn. https://estyn.gov.wales/improvement-resources/thematic-report-impact-of-poverty-on-educational-attainment-support-provision-and-transition-for-early-education/</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Finnish Education Evaluation Centre (2025) Play in early childhood education and care: The 2025 summary of the evaluations conducted using the Valssi self-evaluation form. https://www.karvi.fi/sites/default/files/sites/default/files/documents/Leikki_2025_ENG_web.pdf</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Finnish National Agency for Education (2022) National core curriculum for early childhood education and care 2022. Helsinki: Finnish National Agency for Education. https://www.oph.fi/sites/default/files/documents/Varhaiskasvatussuunnitelman%20perusteet%202022_EN_final_23%20.pdf</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Lindh, C. and Mansikka, J.-E. (2023) ‘Adoption of Pedagogical Documentation in Finnish ECEC Settings’, Early Childhood Education Journal, 51, pp. 393–405. https://doi.org/10.1007/s10643-022-01321-6</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Murray, J. (2019) ‘Hearing young children’s voices’, </w:t>
      </w:r>
      <w:r w:rsidRPr="00366EB0">
        <w:rPr>
          <w:rFonts w:ascii="Arial" w:hAnsi="Arial" w:cs="Arial"/>
          <w:i/>
          <w:sz w:val="24"/>
          <w:szCs w:val="24"/>
        </w:rPr>
        <w:t>International Journal of Early Years Education</w:t>
      </w:r>
      <w:r w:rsidRPr="00366EB0">
        <w:rPr>
          <w:rFonts w:ascii="Arial" w:hAnsi="Arial" w:cs="Arial"/>
          <w:sz w:val="24"/>
          <w:szCs w:val="24"/>
        </w:rPr>
        <w:t>, 27(1), pp. 1–5. Available at: https://doi.org/10.1080/09669760.2018.1563352</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National Association for the Education of Young Children (NAEYC) (2020) </w:t>
      </w:r>
      <w:r w:rsidRPr="00366EB0">
        <w:rPr>
          <w:rFonts w:ascii="Arial" w:hAnsi="Arial" w:cs="Arial"/>
          <w:i/>
          <w:sz w:val="24"/>
          <w:szCs w:val="24"/>
        </w:rPr>
        <w:t>Developmentally Appropriate Practice</w:t>
      </w:r>
      <w:r w:rsidRPr="00366EB0">
        <w:rPr>
          <w:rFonts w:ascii="Arial" w:hAnsi="Arial" w:cs="Arial"/>
          <w:sz w:val="24"/>
          <w:szCs w:val="24"/>
        </w:rPr>
        <w:t>. Washington, DC: NAEYC. Position statement. Available at: https://www.naeyc.org/resources/position-statements/dap/contents</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OECD (2018) </w:t>
      </w:r>
      <w:r w:rsidRPr="00366EB0">
        <w:rPr>
          <w:rFonts w:ascii="Arial" w:hAnsi="Arial" w:cs="Arial"/>
          <w:i/>
          <w:sz w:val="24"/>
          <w:szCs w:val="24"/>
        </w:rPr>
        <w:t>Engaging Young Children: Lessons from Research about Quality in Early Childhood Education and Care</w:t>
      </w:r>
      <w:r w:rsidRPr="00366EB0">
        <w:rPr>
          <w:rFonts w:ascii="Arial" w:hAnsi="Arial" w:cs="Arial"/>
          <w:sz w:val="24"/>
          <w:szCs w:val="24"/>
        </w:rPr>
        <w:t>. Paris: OECD Publishing.  Available at: https://doi.org/10.1787/9789264085145-en</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lastRenderedPageBreak/>
        <w:t xml:space="preserve">OECD (2019) </w:t>
      </w:r>
      <w:r w:rsidRPr="00366EB0">
        <w:rPr>
          <w:rFonts w:ascii="Arial" w:hAnsi="Arial" w:cs="Arial"/>
          <w:i/>
          <w:sz w:val="24"/>
          <w:szCs w:val="24"/>
        </w:rPr>
        <w:t>Providing Quality Early Childhood Education and Care: Results from the Starting Strong Survey 2018</w:t>
      </w:r>
      <w:r w:rsidRPr="00366EB0">
        <w:rPr>
          <w:rFonts w:ascii="Arial" w:hAnsi="Arial" w:cs="Arial"/>
          <w:sz w:val="24"/>
          <w:szCs w:val="24"/>
        </w:rPr>
        <w:t>. Paris: OECD Publishing.  Available at: https://doi.org/10.1787/301005d1-en</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OECD (2021) </w:t>
      </w:r>
      <w:r w:rsidRPr="00366EB0">
        <w:rPr>
          <w:rFonts w:ascii="Arial" w:hAnsi="Arial" w:cs="Arial"/>
          <w:i/>
          <w:sz w:val="24"/>
          <w:szCs w:val="24"/>
        </w:rPr>
        <w:t>Starting Strong VI: Supporting Meaningful Interactions in Early Childhood Education and Care</w:t>
      </w:r>
      <w:r w:rsidRPr="00366EB0">
        <w:rPr>
          <w:rFonts w:ascii="Arial" w:hAnsi="Arial" w:cs="Arial"/>
          <w:sz w:val="24"/>
          <w:szCs w:val="24"/>
        </w:rPr>
        <w:t>. Paris: OECD Publishing.  Available at: https://doi.org/10.1787/f47a06ae-en</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Paananen, M. and Lipponen, L. (2018) ‘Pedagogical documentation as a lens for examining equality in early childhood education’, Early Child Development and Care, 188(2), pp. 77–87. https://doi.org/10.1080/03004430.2016.1241777</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Pyle, A. and Danniels, E. (2017) ‘A continuum of play-based learning: The role of the teacher in play-based pedagogy and the fear of hijacking play’, </w:t>
      </w:r>
      <w:r w:rsidRPr="00366EB0">
        <w:rPr>
          <w:rFonts w:ascii="Arial" w:hAnsi="Arial" w:cs="Arial"/>
          <w:i/>
          <w:sz w:val="24"/>
          <w:szCs w:val="24"/>
        </w:rPr>
        <w:t>Early Education and Development</w:t>
      </w:r>
      <w:r w:rsidRPr="00366EB0">
        <w:rPr>
          <w:rFonts w:ascii="Arial" w:hAnsi="Arial" w:cs="Arial"/>
          <w:sz w:val="24"/>
          <w:szCs w:val="24"/>
        </w:rPr>
        <w:t>, 28(3), pp. 274–289. Available at: https://doi.org/10.1080/10409289.2016.1220771</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Pyle, A. and DeLuca, C. (2017) ‘Assessment in play-based kindergarten classrooms: An empirical study of teacher perspectives and practices’, </w:t>
      </w:r>
      <w:r w:rsidRPr="00366EB0">
        <w:rPr>
          <w:rFonts w:ascii="Arial" w:hAnsi="Arial" w:cs="Arial"/>
          <w:i/>
          <w:sz w:val="24"/>
          <w:szCs w:val="24"/>
        </w:rPr>
        <w:t>The Journal of Educational Research</w:t>
      </w:r>
      <w:r w:rsidRPr="00366EB0">
        <w:rPr>
          <w:rFonts w:ascii="Arial" w:hAnsi="Arial" w:cs="Arial"/>
          <w:sz w:val="24"/>
          <w:szCs w:val="24"/>
        </w:rPr>
        <w:t>, 110(5), pp. 457–466. Available at: https://doi.org/10.1080/00220671.2015.1118005</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Pyle, A., DeLuca, C. and Danniels, E. (2017) ‘A scoping review of research on play-based pedagogies in kindergarten education’, </w:t>
      </w:r>
      <w:r w:rsidRPr="00366EB0">
        <w:rPr>
          <w:rFonts w:ascii="Arial" w:hAnsi="Arial" w:cs="Arial"/>
          <w:i/>
          <w:sz w:val="24"/>
          <w:szCs w:val="24"/>
        </w:rPr>
        <w:t>Review of Education</w:t>
      </w:r>
      <w:r w:rsidRPr="00366EB0">
        <w:rPr>
          <w:rFonts w:ascii="Arial" w:hAnsi="Arial" w:cs="Arial"/>
          <w:sz w:val="24"/>
          <w:szCs w:val="24"/>
        </w:rPr>
        <w:t>, 5(3), pp. 311–351. Available at: https://doi.org/10.1002/rev3.3097</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Rinaldi, C. (2021) </w:t>
      </w:r>
      <w:r w:rsidRPr="00366EB0">
        <w:rPr>
          <w:rFonts w:ascii="Arial" w:hAnsi="Arial" w:cs="Arial"/>
          <w:i/>
          <w:sz w:val="24"/>
          <w:szCs w:val="24"/>
        </w:rPr>
        <w:t>In Dialogue with Reggio Emilia: Listening, Researching and Learning</w:t>
      </w:r>
      <w:r w:rsidRPr="00366EB0">
        <w:rPr>
          <w:rFonts w:ascii="Arial" w:hAnsi="Arial" w:cs="Arial"/>
          <w:sz w:val="24"/>
          <w:szCs w:val="24"/>
        </w:rPr>
        <w:t>. Abingdon: Routledge. 2nd edn. Available at: https://www.routledge.com/In-Dialogue-with-Reggio-Emilia-Listening-Researching-and-Learning/Rinaldi/p/book/9780367854539</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Skene, K., O’Farrelly, C.M., Byrne, E.M., Kirby, N., Stevens, E.C. and Ramchandani, P.G. (2022) ‘Can guidance during play enhance children’s learning and development in educational contexts? A systematic review and meta-analysis’, Child Development, 93(4), pp. 1162–1180. https://doi.org/10.1111/cdev.13730</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lastRenderedPageBreak/>
        <w:t xml:space="preserve">Slot, P. (2018) </w:t>
      </w:r>
      <w:r w:rsidRPr="00366EB0">
        <w:rPr>
          <w:rFonts w:ascii="Arial" w:hAnsi="Arial" w:cs="Arial"/>
          <w:i/>
          <w:sz w:val="24"/>
          <w:szCs w:val="24"/>
        </w:rPr>
        <w:t>Structural characteristics and process quality in early childhood education and care: A literature review</w:t>
      </w:r>
      <w:r w:rsidRPr="00366EB0">
        <w:rPr>
          <w:rFonts w:ascii="Arial" w:hAnsi="Arial" w:cs="Arial"/>
          <w:sz w:val="24"/>
          <w:szCs w:val="24"/>
        </w:rPr>
        <w:t>. Paris: OECD Publishing. OECD Education Working Papers, 176. Available at: https://doi.org/10.1787/edaf3793-en</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Smolucha, L. and Smolucha, F. (2021) ‘Vygotsky’s theory in-play: early childhood education’, </w:t>
      </w:r>
      <w:r w:rsidRPr="00366EB0">
        <w:rPr>
          <w:rFonts w:ascii="Arial" w:hAnsi="Arial" w:cs="Arial"/>
          <w:i/>
          <w:sz w:val="24"/>
          <w:szCs w:val="24"/>
        </w:rPr>
        <w:t>Early Child Development and Care</w:t>
      </w:r>
      <w:r w:rsidRPr="00366EB0">
        <w:rPr>
          <w:rFonts w:ascii="Arial" w:hAnsi="Arial" w:cs="Arial"/>
          <w:sz w:val="24"/>
          <w:szCs w:val="24"/>
        </w:rPr>
        <w:t>, 191(7–8), pp. 1041–1055. Available at: https://doi.org/10.1080/03004430.2020.1843451</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Sun, Y., Blewitt, C., Edwards, S., Fraser, A., Newman, S., Cornelius, J. and Skouteris, H. (2023) ‘Methods and Ethics in Qualitative Research Exploring Young Children’s Voice: A Systematic Review’, International Journal of Qualitative Methods, 22. https://doi.org/10.1177/16094069231152449</w:t>
      </w:r>
    </w:p>
    <w:p w:rsidR="0002299D" w:rsidRPr="00366EB0" w:rsidRDefault="0029611E" w:rsidP="00366EB0">
      <w:pPr>
        <w:spacing w:line="360" w:lineRule="auto"/>
        <w:rPr>
          <w:rFonts w:ascii="Arial" w:hAnsi="Arial" w:cs="Arial"/>
          <w:sz w:val="24"/>
          <w:szCs w:val="24"/>
        </w:rPr>
      </w:pPr>
      <w:r w:rsidRPr="00366EB0">
        <w:rPr>
          <w:rFonts w:ascii="Arial" w:hAnsi="Arial" w:cs="Arial"/>
          <w:sz w:val="24"/>
          <w:szCs w:val="24"/>
        </w:rPr>
        <w:t xml:space="preserve">UNICEF (2018) </w:t>
      </w:r>
      <w:r w:rsidRPr="00366EB0">
        <w:rPr>
          <w:rFonts w:ascii="Arial" w:hAnsi="Arial" w:cs="Arial"/>
          <w:i/>
          <w:sz w:val="24"/>
          <w:szCs w:val="24"/>
        </w:rPr>
        <w:t>Learning through Play: Strengthening Learning through Play in Early Childhood Education Programmes</w:t>
      </w:r>
      <w:r w:rsidRPr="00366EB0">
        <w:rPr>
          <w:rFonts w:ascii="Arial" w:hAnsi="Arial" w:cs="Arial"/>
          <w:sz w:val="24"/>
          <w:szCs w:val="24"/>
        </w:rPr>
        <w:t>. New York: UNICEF.  Available at: https://www.unicef.org/sites/default/files/2018-12/UNICEF-Lego-Foundation-Learning-through-Play.pdf</w:t>
      </w:r>
    </w:p>
    <w:p w:rsidR="002669A7" w:rsidRPr="00366EB0" w:rsidRDefault="008343D1" w:rsidP="00366EB0">
      <w:pPr>
        <w:spacing w:line="360" w:lineRule="auto"/>
        <w:ind w:left="360" w:hanging="360"/>
        <w:rPr>
          <w:rFonts w:ascii="Arial" w:hAnsi="Arial" w:cs="Arial"/>
          <w:sz w:val="24"/>
          <w:szCs w:val="24"/>
        </w:rPr>
      </w:pPr>
      <w:r w:rsidRPr="00366EB0">
        <w:rPr>
          <w:rFonts w:ascii="Arial" w:hAnsi="Arial" w:cs="Arial"/>
          <w:sz w:val="24"/>
          <w:szCs w:val="24"/>
        </w:rPr>
        <w:t>Welsh Government (2023) Enabling learning. Hwb. https://hwb.gov.wales/curriculum-for-wales/designing-your-curriculum/enabling-learning (Accessed: 9 October 2026).</w:t>
      </w:r>
    </w:p>
    <w:p w:rsidR="002669A7" w:rsidRPr="00DC1252" w:rsidRDefault="008343D1" w:rsidP="00366EB0">
      <w:pPr>
        <w:spacing w:line="360" w:lineRule="auto"/>
        <w:ind w:left="360" w:hanging="360"/>
        <w:rPr>
          <w:rFonts w:ascii="Arial" w:hAnsi="Arial" w:cs="Arial"/>
          <w:sz w:val="24"/>
          <w:szCs w:val="24"/>
        </w:rPr>
      </w:pPr>
      <w:r w:rsidRPr="00366EB0">
        <w:rPr>
          <w:rFonts w:ascii="Arial" w:hAnsi="Arial" w:cs="Arial"/>
          <w:sz w:val="24"/>
          <w:szCs w:val="24"/>
        </w:rPr>
        <w:t>Welsh Government (2024) What’s changing in assessment? Hwb. Updated 31 January 2024. https://hwb.gov.wales/curriculum-for-wales/assessment-arrangements/what-s-changing-in-assessment (Accessed: 9 October</w:t>
      </w:r>
      <w:r w:rsidRPr="00DC1252">
        <w:rPr>
          <w:rFonts w:ascii="Arial" w:hAnsi="Arial" w:cs="Arial"/>
          <w:sz w:val="24"/>
          <w:szCs w:val="24"/>
        </w:rPr>
        <w:t xml:space="preserve"> 2026).</w:t>
      </w:r>
    </w:p>
    <w:sectPr w:rsidR="002669A7" w:rsidRPr="00DC1252" w:rsidSect="00DC1252">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7D78" w:rsidRDefault="00567D78">
      <w:pPr>
        <w:spacing w:after="0" w:line="240" w:lineRule="auto"/>
      </w:pPr>
      <w:r>
        <w:separator/>
      </w:r>
    </w:p>
  </w:endnote>
  <w:endnote w:type="continuationSeparator" w:id="0">
    <w:p w:rsidR="00567D78" w:rsidRDefault="00567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B4B04" w:rsidRDefault="00567D78">
    <w:pPr>
      <w:jc w:val="right"/>
    </w:pPr>
    <w:r>
      <w:fldChar w:fldCharType="begin"/>
    </w:r>
    <w:r>
      <w:instrText>PAGE</w:instrText>
    </w:r>
    <w:r>
      <w:fldChar w:fldCharType="separate"/>
    </w:r>
    <w:r w:rsidR="00366EB0">
      <w:rPr>
        <w:noProof/>
      </w:rPr>
      <w:t>15</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7D78" w:rsidRDefault="00567D78">
      <w:pPr>
        <w:spacing w:after="0" w:line="240" w:lineRule="auto"/>
      </w:pPr>
      <w:r>
        <w:separator/>
      </w:r>
    </w:p>
  </w:footnote>
  <w:footnote w:type="continuationSeparator" w:id="0">
    <w:p w:rsidR="00567D78" w:rsidRDefault="00567D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hideSpellingErrors/>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50C1"/>
    <w:rsid w:val="0002299D"/>
    <w:rsid w:val="00061BDB"/>
    <w:rsid w:val="00063433"/>
    <w:rsid w:val="000718EB"/>
    <w:rsid w:val="00073CF7"/>
    <w:rsid w:val="00091A85"/>
    <w:rsid w:val="000C2FDE"/>
    <w:rsid w:val="000E1D39"/>
    <w:rsid w:val="001A15F3"/>
    <w:rsid w:val="001B3718"/>
    <w:rsid w:val="002133A1"/>
    <w:rsid w:val="002200D9"/>
    <w:rsid w:val="002669A7"/>
    <w:rsid w:val="0029611E"/>
    <w:rsid w:val="003609CD"/>
    <w:rsid w:val="00366EB0"/>
    <w:rsid w:val="00366FF1"/>
    <w:rsid w:val="00396A95"/>
    <w:rsid w:val="003971E3"/>
    <w:rsid w:val="003C6021"/>
    <w:rsid w:val="003C66AA"/>
    <w:rsid w:val="003F4264"/>
    <w:rsid w:val="0040138B"/>
    <w:rsid w:val="00412A83"/>
    <w:rsid w:val="00462305"/>
    <w:rsid w:val="004C1FF9"/>
    <w:rsid w:val="00522270"/>
    <w:rsid w:val="00527CD6"/>
    <w:rsid w:val="00567D78"/>
    <w:rsid w:val="006246E0"/>
    <w:rsid w:val="00656617"/>
    <w:rsid w:val="00664F26"/>
    <w:rsid w:val="006767DD"/>
    <w:rsid w:val="00681C4C"/>
    <w:rsid w:val="00703F4F"/>
    <w:rsid w:val="0076287A"/>
    <w:rsid w:val="007C09C8"/>
    <w:rsid w:val="007F3626"/>
    <w:rsid w:val="00816A7C"/>
    <w:rsid w:val="008343D1"/>
    <w:rsid w:val="00863575"/>
    <w:rsid w:val="008A2846"/>
    <w:rsid w:val="008C6164"/>
    <w:rsid w:val="008D7B7A"/>
    <w:rsid w:val="009516D1"/>
    <w:rsid w:val="0096740F"/>
    <w:rsid w:val="00A64552"/>
    <w:rsid w:val="00A836F7"/>
    <w:rsid w:val="00A847CB"/>
    <w:rsid w:val="00AA2616"/>
    <w:rsid w:val="00AB4B04"/>
    <w:rsid w:val="00AC1211"/>
    <w:rsid w:val="00AD63DB"/>
    <w:rsid w:val="00AE3725"/>
    <w:rsid w:val="00BA6CF8"/>
    <w:rsid w:val="00BC3A72"/>
    <w:rsid w:val="00C12B70"/>
    <w:rsid w:val="00CB6875"/>
    <w:rsid w:val="00D068C0"/>
    <w:rsid w:val="00D33BDF"/>
    <w:rsid w:val="00DC1252"/>
    <w:rsid w:val="00DC4E92"/>
    <w:rsid w:val="00E219C1"/>
    <w:rsid w:val="00E31661"/>
    <w:rsid w:val="00EC3233"/>
    <w:rsid w:val="00F14CD0"/>
    <w:rsid w:val="00F50AC7"/>
    <w:rsid w:val="00F5184A"/>
    <w:rsid w:val="00F550C1"/>
    <w:rsid w:val="00F9021A"/>
    <w:rsid w:val="00FA7C6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29611E"/>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29611E"/>
    <w:rPr>
      <w:rFonts w:ascii="Tahoma" w:hAnsi="Tahoma" w:cs="Tahoma"/>
      <w:sz w:val="16"/>
      <w:szCs w:val="16"/>
    </w:rPr>
  </w:style>
  <w:style w:type="paragraph" w:styleId="a5">
    <w:name w:val="Normal (Web)"/>
    <w:basedOn w:val="a"/>
    <w:uiPriority w:val="99"/>
    <w:unhideWhenUsed/>
    <w:rsid w:val="0029611E"/>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6">
    <w:name w:val="Strong"/>
    <w:basedOn w:val="a0"/>
    <w:uiPriority w:val="22"/>
    <w:qFormat/>
    <w:rsid w:val="0029611E"/>
    <w:rPr>
      <w:b/>
      <w:bCs/>
    </w:rPr>
  </w:style>
  <w:style w:type="character" w:styleId="a7">
    <w:name w:val="Emphasis"/>
    <w:basedOn w:val="a0"/>
    <w:uiPriority w:val="20"/>
    <w:qFormat/>
    <w:rsid w:val="004C1FF9"/>
    <w:rPr>
      <w:i/>
      <w:iCs/>
    </w:rPr>
  </w:style>
  <w:style w:type="character" w:styleId="a8">
    <w:name w:val="Hyperlink"/>
    <w:basedOn w:val="a0"/>
    <w:uiPriority w:val="99"/>
    <w:semiHidden/>
    <w:unhideWhenUsed/>
    <w:rsid w:val="004C1FF9"/>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29611E"/>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29611E"/>
    <w:rPr>
      <w:rFonts w:ascii="Tahoma" w:hAnsi="Tahoma" w:cs="Tahoma"/>
      <w:sz w:val="16"/>
      <w:szCs w:val="16"/>
    </w:rPr>
  </w:style>
  <w:style w:type="paragraph" w:styleId="a5">
    <w:name w:val="Normal (Web)"/>
    <w:basedOn w:val="a"/>
    <w:uiPriority w:val="99"/>
    <w:unhideWhenUsed/>
    <w:rsid w:val="0029611E"/>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6">
    <w:name w:val="Strong"/>
    <w:basedOn w:val="a0"/>
    <w:uiPriority w:val="22"/>
    <w:qFormat/>
    <w:rsid w:val="0029611E"/>
    <w:rPr>
      <w:b/>
      <w:bCs/>
    </w:rPr>
  </w:style>
  <w:style w:type="character" w:styleId="a7">
    <w:name w:val="Emphasis"/>
    <w:basedOn w:val="a0"/>
    <w:uiPriority w:val="20"/>
    <w:qFormat/>
    <w:rsid w:val="004C1FF9"/>
    <w:rPr>
      <w:i/>
      <w:iCs/>
    </w:rPr>
  </w:style>
  <w:style w:type="character" w:styleId="a8">
    <w:name w:val="Hyperlink"/>
    <w:basedOn w:val="a0"/>
    <w:uiPriority w:val="99"/>
    <w:semiHidden/>
    <w:unhideWhenUsed/>
    <w:rsid w:val="004C1FF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7947930">
      <w:bodyDiv w:val="1"/>
      <w:marLeft w:val="0"/>
      <w:marRight w:val="0"/>
      <w:marTop w:val="0"/>
      <w:marBottom w:val="0"/>
      <w:divBdr>
        <w:top w:val="none" w:sz="0" w:space="0" w:color="auto"/>
        <w:left w:val="none" w:sz="0" w:space="0" w:color="auto"/>
        <w:bottom w:val="none" w:sz="0" w:space="0" w:color="auto"/>
        <w:right w:val="none" w:sz="0" w:space="0" w:color="auto"/>
      </w:divBdr>
    </w:div>
    <w:div w:id="151441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ommons.wikimedia.org/wiki/File:Brio_train_tracks.jpg"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Pages>
  <Words>5539</Words>
  <Characters>31574</Characters>
  <Application>Microsoft Office Word</Application>
  <DocSecurity>0</DocSecurity>
  <Lines>263</Lines>
  <Paragraphs>74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37039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E L A N I E</dc:creator>
  <cp:keywords/>
  <dc:description/>
  <cp:lastModifiedBy>M E L A N I E</cp:lastModifiedBy>
  <cp:revision>9</cp:revision>
  <dcterms:created xsi:type="dcterms:W3CDTF">2026-10-24T11:27:00Z</dcterms:created>
  <dcterms:modified xsi:type="dcterms:W3CDTF">2026-10-24T12:16:00Z</dcterms:modified>
</cp:coreProperties>
</file>