
<file path=[Content_Types].xml><?xml version="1.0" encoding="utf-8"?>
<Types xmlns="http://schemas.openxmlformats.org/package/2006/content-types">
  <Default Extension="png" ContentType="image/png"/>
  <Default Extension="jpeg" ContentType="image/jpeg"/>
  <Default Extension="webp"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63217" w:rsidRPr="00563217" w:rsidRDefault="00563217" w:rsidP="00563217">
      <w:pPr>
        <w:spacing w:after="160"/>
        <w:jc w:val="center"/>
        <w:rPr>
          <w:rFonts w:ascii="Times New Roman" w:eastAsia="Calibri" w:hAnsi="Times New Roman" w:cs="Times New Roman"/>
        </w:rPr>
      </w:pPr>
      <w:r w:rsidRPr="00563217">
        <w:rPr>
          <w:rFonts w:ascii="Times New Roman" w:eastAsia="Calibri" w:hAnsi="Times New Roman" w:cs="Times New Roman"/>
          <w:b/>
          <w:bCs/>
          <w:noProof/>
          <w:lang w:eastAsia="en-GB"/>
        </w:rPr>
        <w:drawing>
          <wp:inline distT="0" distB="0" distL="0" distR="0" wp14:anchorId="6DDE8876" wp14:editId="0D25FF19">
            <wp:extent cx="2667000" cy="118796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85707" cy="1196300"/>
                    </a:xfrm>
                    <a:prstGeom prst="rect">
                      <a:avLst/>
                    </a:prstGeom>
                    <a:noFill/>
                  </pic:spPr>
                </pic:pic>
              </a:graphicData>
            </a:graphic>
          </wp:inline>
        </w:drawing>
      </w:r>
    </w:p>
    <w:p w:rsidR="00563217" w:rsidRPr="00563217" w:rsidRDefault="00563217" w:rsidP="00563217">
      <w:pPr>
        <w:spacing w:line="276" w:lineRule="auto"/>
        <w:jc w:val="left"/>
        <w:rPr>
          <w:rFonts w:ascii="Times New Roman" w:eastAsia="Calibri" w:hAnsi="Times New Roman" w:cs="Times New Roman"/>
          <w:b/>
          <w:bCs/>
        </w:rPr>
      </w:pPr>
      <w:r w:rsidRPr="00563217">
        <w:rPr>
          <w:rFonts w:ascii="Times New Roman" w:eastAsia="Calibri" w:hAnsi="Times New Roman" w:cs="Times New Roman"/>
          <w:b/>
          <w:bCs/>
        </w:rPr>
        <w:t>Programme: Master of Business Administration</w:t>
      </w:r>
    </w:p>
    <w:p w:rsidR="00563217" w:rsidRPr="00563217" w:rsidRDefault="00563217" w:rsidP="00563217">
      <w:pPr>
        <w:spacing w:line="276" w:lineRule="auto"/>
        <w:jc w:val="left"/>
        <w:rPr>
          <w:rFonts w:ascii="Times New Roman" w:eastAsia="Calibri" w:hAnsi="Times New Roman" w:cs="Times New Roman"/>
          <w:b/>
        </w:rPr>
      </w:pPr>
      <w:r w:rsidRPr="00563217">
        <w:rPr>
          <w:rFonts w:ascii="Times New Roman" w:eastAsia="Calibri" w:hAnsi="Times New Roman" w:cs="Times New Roman"/>
          <w:b/>
          <w:bCs/>
        </w:rPr>
        <w:t>Module Code:</w:t>
      </w:r>
      <w:r w:rsidRPr="00563217">
        <w:rPr>
          <w:rFonts w:ascii="Times New Roman" w:eastAsia="Calibri" w:hAnsi="Times New Roman" w:cs="Times New Roman"/>
        </w:rPr>
        <w:t xml:space="preserve"> </w:t>
      </w:r>
      <w:r>
        <w:rPr>
          <w:rFonts w:ascii="Times New Roman" w:eastAsia="Calibri" w:hAnsi="Times New Roman" w:cs="Times New Roman"/>
          <w:b/>
        </w:rPr>
        <w:t>LCMB7034</w:t>
      </w:r>
    </w:p>
    <w:p w:rsidR="00563217" w:rsidRPr="00563217" w:rsidRDefault="00563217" w:rsidP="00563217">
      <w:pPr>
        <w:spacing w:line="276" w:lineRule="auto"/>
        <w:jc w:val="left"/>
        <w:rPr>
          <w:rFonts w:ascii="Times New Roman" w:eastAsia="Calibri" w:hAnsi="Times New Roman" w:cs="Times New Roman"/>
          <w:b/>
        </w:rPr>
      </w:pPr>
      <w:r w:rsidRPr="00563217">
        <w:rPr>
          <w:rFonts w:ascii="Times New Roman" w:eastAsia="Calibri" w:hAnsi="Times New Roman" w:cs="Times New Roman"/>
          <w:b/>
        </w:rPr>
        <w:t>Module:  International Business Concepts</w:t>
      </w:r>
    </w:p>
    <w:p w:rsidR="00563217" w:rsidRPr="00563217" w:rsidRDefault="00563217" w:rsidP="00563217">
      <w:pPr>
        <w:spacing w:line="276" w:lineRule="auto"/>
        <w:jc w:val="left"/>
        <w:rPr>
          <w:rFonts w:ascii="Times New Roman" w:eastAsia="Calibri" w:hAnsi="Times New Roman" w:cs="Times New Roman"/>
          <w:b/>
        </w:rPr>
      </w:pPr>
      <w:r w:rsidRPr="00563217">
        <w:rPr>
          <w:rFonts w:ascii="Times New Roman" w:eastAsia="Calibri" w:hAnsi="Times New Roman" w:cs="Times New Roman"/>
          <w:b/>
        </w:rPr>
        <w:t xml:space="preserve">Lecturer: </w:t>
      </w:r>
      <w:r w:rsidR="00B96DB0" w:rsidRPr="00B96DB0">
        <w:rPr>
          <w:rFonts w:ascii="Times New Roman" w:eastAsia="Calibri" w:hAnsi="Times New Roman" w:cs="Times New Roman"/>
          <w:b/>
        </w:rPr>
        <w:t xml:space="preserve">Gladius </w:t>
      </w:r>
      <w:proofErr w:type="spellStart"/>
      <w:r w:rsidR="00B96DB0" w:rsidRPr="00B96DB0">
        <w:rPr>
          <w:rFonts w:ascii="Times New Roman" w:eastAsia="Calibri" w:hAnsi="Times New Roman" w:cs="Times New Roman"/>
          <w:b/>
        </w:rPr>
        <w:t>Kulothungan</w:t>
      </w:r>
      <w:proofErr w:type="spellEnd"/>
      <w:r w:rsidRPr="00563217">
        <w:rPr>
          <w:rFonts w:ascii="Times New Roman" w:eastAsia="Calibri" w:hAnsi="Times New Roman" w:cs="Times New Roman"/>
          <w:b/>
        </w:rPr>
        <w:t xml:space="preserve"> </w:t>
      </w:r>
    </w:p>
    <w:p w:rsidR="00563217" w:rsidRPr="00563217" w:rsidRDefault="00563217" w:rsidP="00563217">
      <w:pPr>
        <w:spacing w:after="160"/>
        <w:rPr>
          <w:rFonts w:ascii="Times New Roman" w:eastAsia="Calibri" w:hAnsi="Times New Roman" w:cs="Times New Roman"/>
          <w:b/>
        </w:rPr>
      </w:pPr>
      <w:r w:rsidRPr="00563217">
        <w:rPr>
          <w:rFonts w:ascii="Times New Roman" w:eastAsia="Calibri" w:hAnsi="Times New Roman" w:cs="Times New Roman"/>
          <w:b/>
        </w:rPr>
        <w:t>Assignment Title: Report</w:t>
      </w:r>
    </w:p>
    <w:p w:rsidR="00563217" w:rsidRPr="00563217" w:rsidRDefault="00563217" w:rsidP="00563217">
      <w:pPr>
        <w:spacing w:line="276" w:lineRule="auto"/>
        <w:jc w:val="left"/>
        <w:rPr>
          <w:rFonts w:ascii="Times New Roman" w:eastAsia="Calibri" w:hAnsi="Times New Roman" w:cs="Times New Roman"/>
        </w:rPr>
      </w:pPr>
      <w:r w:rsidRPr="00563217">
        <w:rPr>
          <w:rFonts w:ascii="Times New Roman" w:eastAsia="Calibri" w:hAnsi="Times New Roman" w:cs="Times New Roman"/>
          <w:b/>
          <w:bCs/>
        </w:rPr>
        <w:t xml:space="preserve">Student Name: </w:t>
      </w:r>
      <w:proofErr w:type="spellStart"/>
      <w:r w:rsidRPr="00563217">
        <w:rPr>
          <w:rFonts w:ascii="Times New Roman" w:eastAsia="Calibri" w:hAnsi="Times New Roman" w:cs="Times New Roman"/>
          <w:b/>
        </w:rPr>
        <w:t>Monjurul</w:t>
      </w:r>
      <w:proofErr w:type="spellEnd"/>
      <w:r w:rsidRPr="00563217">
        <w:rPr>
          <w:rFonts w:ascii="Times New Roman" w:eastAsia="Calibri" w:hAnsi="Times New Roman" w:cs="Times New Roman"/>
          <w:b/>
        </w:rPr>
        <w:t xml:space="preserve"> Hasan</w:t>
      </w:r>
    </w:p>
    <w:p w:rsidR="00563217" w:rsidRPr="00563217" w:rsidRDefault="00563217" w:rsidP="00563217">
      <w:pPr>
        <w:spacing w:line="276" w:lineRule="auto"/>
        <w:jc w:val="left"/>
        <w:rPr>
          <w:rFonts w:ascii="Times New Roman" w:eastAsia="Calibri" w:hAnsi="Times New Roman" w:cs="Times New Roman"/>
          <w:b/>
          <w:bCs/>
        </w:rPr>
      </w:pPr>
      <w:r w:rsidRPr="00563217">
        <w:rPr>
          <w:rFonts w:ascii="Times New Roman" w:eastAsia="Calibri" w:hAnsi="Times New Roman" w:cs="Times New Roman"/>
          <w:b/>
          <w:bCs/>
        </w:rPr>
        <w:t>Student ID:</w:t>
      </w:r>
      <w:r w:rsidRPr="00563217">
        <w:rPr>
          <w:rFonts w:ascii="Times New Roman" w:eastAsia="Calibri" w:hAnsi="Times New Roman" w:cs="Times New Roman"/>
        </w:rPr>
        <w:t xml:space="preserve"> </w:t>
      </w:r>
      <w:r w:rsidRPr="00563217">
        <w:rPr>
          <w:rFonts w:ascii="Times New Roman" w:eastAsia="Calibri" w:hAnsi="Times New Roman" w:cs="Times New Roman"/>
          <w:b/>
          <w:bCs/>
        </w:rPr>
        <w:t>2433829</w:t>
      </w:r>
    </w:p>
    <w:p w:rsidR="00181BB8" w:rsidRDefault="00563217" w:rsidP="00563217">
      <w:pPr>
        <w:rPr>
          <w:rFonts w:ascii="Times New Roman" w:eastAsia="Calibri" w:hAnsi="Times New Roman" w:cs="Times New Roman"/>
          <w:b/>
          <w:bCs/>
        </w:rPr>
      </w:pPr>
      <w:r w:rsidRPr="00563217">
        <w:rPr>
          <w:rFonts w:ascii="Times New Roman" w:eastAsia="Calibri" w:hAnsi="Times New Roman" w:cs="Times New Roman"/>
          <w:b/>
          <w:bCs/>
        </w:rPr>
        <w:t xml:space="preserve">Word Count: </w:t>
      </w:r>
      <w:r w:rsidR="00C31AC8">
        <w:rPr>
          <w:rFonts w:ascii="Times New Roman" w:eastAsia="Calibri" w:hAnsi="Times New Roman" w:cs="Times New Roman"/>
          <w:b/>
          <w:bCs/>
        </w:rPr>
        <w:t>5147</w:t>
      </w:r>
    </w:p>
    <w:p w:rsidR="00563217" w:rsidRDefault="00563217" w:rsidP="00563217">
      <w:pPr>
        <w:rPr>
          <w:rFonts w:ascii="Times New Roman" w:eastAsia="Calibri" w:hAnsi="Times New Roman" w:cs="Times New Roman"/>
          <w:b/>
          <w:bCs/>
        </w:rPr>
      </w:pPr>
    </w:p>
    <w:p w:rsidR="00563217" w:rsidRDefault="00563217" w:rsidP="00563217">
      <w:pPr>
        <w:rPr>
          <w:rFonts w:ascii="Times New Roman" w:eastAsia="Calibri" w:hAnsi="Times New Roman" w:cs="Times New Roman"/>
          <w:b/>
          <w:bCs/>
        </w:rPr>
      </w:pPr>
    </w:p>
    <w:p w:rsidR="00563217" w:rsidRDefault="00563217" w:rsidP="00563217">
      <w:pPr>
        <w:rPr>
          <w:rFonts w:ascii="Times New Roman" w:eastAsia="Calibri" w:hAnsi="Times New Roman" w:cs="Times New Roman"/>
          <w:b/>
          <w:bCs/>
        </w:rPr>
      </w:pPr>
    </w:p>
    <w:p w:rsidR="00452B13" w:rsidRDefault="00452B13">
      <w:pPr>
        <w:spacing w:line="276" w:lineRule="auto"/>
        <w:jc w:val="left"/>
        <w:rPr>
          <w:rFonts w:ascii="Times New Roman" w:eastAsia="Calibri" w:hAnsi="Times New Roman" w:cs="Times New Roman"/>
          <w:b/>
          <w:bCs/>
        </w:rPr>
      </w:pPr>
      <w:r>
        <w:rPr>
          <w:rFonts w:ascii="Times New Roman" w:eastAsia="Calibri" w:hAnsi="Times New Roman" w:cs="Times New Roman"/>
          <w:b/>
          <w:bCs/>
        </w:rPr>
        <w:br w:type="page"/>
      </w:r>
    </w:p>
    <w:sdt>
      <w:sdtPr>
        <w:rPr>
          <w:rFonts w:ascii="Arial" w:eastAsiaTheme="minorEastAsia" w:hAnsi="Arial" w:cstheme="minorBidi"/>
          <w:color w:val="auto"/>
          <w:sz w:val="24"/>
          <w:szCs w:val="22"/>
        </w:rPr>
        <w:id w:val="71479133"/>
        <w:docPartObj>
          <w:docPartGallery w:val="Table of Contents"/>
          <w:docPartUnique/>
        </w:docPartObj>
      </w:sdtPr>
      <w:sdtEndPr>
        <w:rPr>
          <w:b/>
          <w:bCs/>
          <w:noProof/>
        </w:rPr>
      </w:sdtEndPr>
      <w:sdtContent>
        <w:p w:rsidR="00452B13" w:rsidRDefault="00452B13">
          <w:pPr>
            <w:pStyle w:val="TOCHeading"/>
          </w:pPr>
          <w:r>
            <w:t>Table of Contents</w:t>
          </w:r>
        </w:p>
        <w:p w:rsidR="00A36690" w:rsidRDefault="00452B13">
          <w:pPr>
            <w:pStyle w:val="TOC1"/>
            <w:tabs>
              <w:tab w:val="right" w:leader="dot" w:pos="9350"/>
            </w:tabs>
            <w:rPr>
              <w:rFonts w:asciiTheme="minorHAnsi" w:hAnsiTheme="minorHAnsi"/>
              <w:noProof/>
              <w:sz w:val="22"/>
              <w:lang w:eastAsia="en-GB"/>
            </w:rPr>
          </w:pPr>
          <w:r>
            <w:fldChar w:fldCharType="begin"/>
          </w:r>
          <w:r>
            <w:instrText xml:space="preserve"> TOC \o "1-3" \h \z \u </w:instrText>
          </w:r>
          <w:r>
            <w:fldChar w:fldCharType="separate"/>
          </w:r>
          <w:hyperlink w:anchor="_Toc227941072" w:history="1">
            <w:r w:rsidR="00A36690" w:rsidRPr="008C51BD">
              <w:rPr>
                <w:rStyle w:val="Hyperlink"/>
                <w:noProof/>
              </w:rPr>
              <w:t>Introduction</w:t>
            </w:r>
            <w:r w:rsidR="00A36690">
              <w:rPr>
                <w:noProof/>
                <w:webHidden/>
              </w:rPr>
              <w:tab/>
            </w:r>
            <w:r w:rsidR="00A36690">
              <w:rPr>
                <w:noProof/>
                <w:webHidden/>
              </w:rPr>
              <w:fldChar w:fldCharType="begin"/>
            </w:r>
            <w:r w:rsidR="00A36690">
              <w:rPr>
                <w:noProof/>
                <w:webHidden/>
              </w:rPr>
              <w:instrText xml:space="preserve"> PAGEREF _Toc227941072 \h </w:instrText>
            </w:r>
            <w:r w:rsidR="00A36690">
              <w:rPr>
                <w:noProof/>
                <w:webHidden/>
              </w:rPr>
            </w:r>
            <w:r w:rsidR="00A36690">
              <w:rPr>
                <w:noProof/>
                <w:webHidden/>
              </w:rPr>
              <w:fldChar w:fldCharType="separate"/>
            </w:r>
            <w:r w:rsidR="00A36690">
              <w:rPr>
                <w:noProof/>
                <w:webHidden/>
              </w:rPr>
              <w:t>4</w:t>
            </w:r>
            <w:r w:rsidR="00A36690">
              <w:rPr>
                <w:noProof/>
                <w:webHidden/>
              </w:rPr>
              <w:fldChar w:fldCharType="end"/>
            </w:r>
          </w:hyperlink>
        </w:p>
        <w:p w:rsidR="00A36690" w:rsidRDefault="00A36690">
          <w:pPr>
            <w:pStyle w:val="TOC1"/>
            <w:tabs>
              <w:tab w:val="right" w:leader="dot" w:pos="9350"/>
            </w:tabs>
            <w:rPr>
              <w:rFonts w:asciiTheme="minorHAnsi" w:hAnsiTheme="minorHAnsi"/>
              <w:noProof/>
              <w:sz w:val="22"/>
              <w:lang w:eastAsia="en-GB"/>
            </w:rPr>
          </w:pPr>
          <w:hyperlink w:anchor="_Toc227941073" w:history="1">
            <w:r w:rsidRPr="008C51BD">
              <w:rPr>
                <w:rStyle w:val="Hyperlink"/>
                <w:noProof/>
              </w:rPr>
              <w:t>Industry and Country Overview</w:t>
            </w:r>
            <w:r>
              <w:rPr>
                <w:noProof/>
                <w:webHidden/>
              </w:rPr>
              <w:tab/>
            </w:r>
            <w:r>
              <w:rPr>
                <w:noProof/>
                <w:webHidden/>
              </w:rPr>
              <w:fldChar w:fldCharType="begin"/>
            </w:r>
            <w:r>
              <w:rPr>
                <w:noProof/>
                <w:webHidden/>
              </w:rPr>
              <w:instrText xml:space="preserve"> PAGEREF _Toc227941073 \h </w:instrText>
            </w:r>
            <w:r>
              <w:rPr>
                <w:noProof/>
                <w:webHidden/>
              </w:rPr>
            </w:r>
            <w:r>
              <w:rPr>
                <w:noProof/>
                <w:webHidden/>
              </w:rPr>
              <w:fldChar w:fldCharType="separate"/>
            </w:r>
            <w:r>
              <w:rPr>
                <w:noProof/>
                <w:webHidden/>
              </w:rPr>
              <w:t>4</w:t>
            </w:r>
            <w:r>
              <w:rPr>
                <w:noProof/>
                <w:webHidden/>
              </w:rPr>
              <w:fldChar w:fldCharType="end"/>
            </w:r>
          </w:hyperlink>
        </w:p>
        <w:p w:rsidR="00A36690" w:rsidRDefault="00A36690">
          <w:pPr>
            <w:pStyle w:val="TOC1"/>
            <w:tabs>
              <w:tab w:val="right" w:leader="dot" w:pos="9350"/>
            </w:tabs>
            <w:rPr>
              <w:rFonts w:asciiTheme="minorHAnsi" w:hAnsiTheme="minorHAnsi"/>
              <w:noProof/>
              <w:sz w:val="22"/>
              <w:lang w:eastAsia="en-GB"/>
            </w:rPr>
          </w:pPr>
          <w:hyperlink w:anchor="_Toc227941074" w:history="1">
            <w:r w:rsidRPr="008C51BD">
              <w:rPr>
                <w:rStyle w:val="Hyperlink"/>
                <w:noProof/>
              </w:rPr>
              <w:t>Diamond Model of National Advantage by Michael Porter</w:t>
            </w:r>
            <w:r>
              <w:rPr>
                <w:noProof/>
                <w:webHidden/>
              </w:rPr>
              <w:tab/>
            </w:r>
            <w:r>
              <w:rPr>
                <w:noProof/>
                <w:webHidden/>
              </w:rPr>
              <w:fldChar w:fldCharType="begin"/>
            </w:r>
            <w:r>
              <w:rPr>
                <w:noProof/>
                <w:webHidden/>
              </w:rPr>
              <w:instrText xml:space="preserve"> PAGEREF _Toc227941074 \h </w:instrText>
            </w:r>
            <w:r>
              <w:rPr>
                <w:noProof/>
                <w:webHidden/>
              </w:rPr>
            </w:r>
            <w:r>
              <w:rPr>
                <w:noProof/>
                <w:webHidden/>
              </w:rPr>
              <w:fldChar w:fldCharType="separate"/>
            </w:r>
            <w:r>
              <w:rPr>
                <w:noProof/>
                <w:webHidden/>
              </w:rPr>
              <w:t>7</w:t>
            </w:r>
            <w:r>
              <w:rPr>
                <w:noProof/>
                <w:webHidden/>
              </w:rPr>
              <w:fldChar w:fldCharType="end"/>
            </w:r>
          </w:hyperlink>
        </w:p>
        <w:p w:rsidR="00A36690" w:rsidRDefault="00A36690">
          <w:pPr>
            <w:pStyle w:val="TOC2"/>
            <w:tabs>
              <w:tab w:val="right" w:leader="dot" w:pos="9350"/>
            </w:tabs>
            <w:rPr>
              <w:rFonts w:asciiTheme="minorHAnsi" w:hAnsiTheme="minorHAnsi"/>
              <w:noProof/>
              <w:sz w:val="22"/>
              <w:lang w:eastAsia="en-GB"/>
            </w:rPr>
          </w:pPr>
          <w:hyperlink w:anchor="_Toc227941075" w:history="1">
            <w:r w:rsidRPr="008C51BD">
              <w:rPr>
                <w:rStyle w:val="Hyperlink"/>
                <w:noProof/>
              </w:rPr>
              <w:t>Factor Conditions</w:t>
            </w:r>
            <w:r>
              <w:rPr>
                <w:noProof/>
                <w:webHidden/>
              </w:rPr>
              <w:tab/>
            </w:r>
            <w:r>
              <w:rPr>
                <w:noProof/>
                <w:webHidden/>
              </w:rPr>
              <w:fldChar w:fldCharType="begin"/>
            </w:r>
            <w:r>
              <w:rPr>
                <w:noProof/>
                <w:webHidden/>
              </w:rPr>
              <w:instrText xml:space="preserve"> PAGEREF _Toc227941075 \h </w:instrText>
            </w:r>
            <w:r>
              <w:rPr>
                <w:noProof/>
                <w:webHidden/>
              </w:rPr>
            </w:r>
            <w:r>
              <w:rPr>
                <w:noProof/>
                <w:webHidden/>
              </w:rPr>
              <w:fldChar w:fldCharType="separate"/>
            </w:r>
            <w:r>
              <w:rPr>
                <w:noProof/>
                <w:webHidden/>
              </w:rPr>
              <w:t>8</w:t>
            </w:r>
            <w:r>
              <w:rPr>
                <w:noProof/>
                <w:webHidden/>
              </w:rPr>
              <w:fldChar w:fldCharType="end"/>
            </w:r>
          </w:hyperlink>
        </w:p>
        <w:p w:rsidR="00A36690" w:rsidRDefault="00A36690">
          <w:pPr>
            <w:pStyle w:val="TOC2"/>
            <w:tabs>
              <w:tab w:val="right" w:leader="dot" w:pos="9350"/>
            </w:tabs>
            <w:rPr>
              <w:rFonts w:asciiTheme="minorHAnsi" w:hAnsiTheme="minorHAnsi"/>
              <w:noProof/>
              <w:sz w:val="22"/>
              <w:lang w:eastAsia="en-GB"/>
            </w:rPr>
          </w:pPr>
          <w:hyperlink w:anchor="_Toc227941076" w:history="1">
            <w:r w:rsidRPr="008C51BD">
              <w:rPr>
                <w:rStyle w:val="Hyperlink"/>
                <w:noProof/>
              </w:rPr>
              <w:t>Demand Conditions</w:t>
            </w:r>
            <w:r>
              <w:rPr>
                <w:noProof/>
                <w:webHidden/>
              </w:rPr>
              <w:tab/>
            </w:r>
            <w:r>
              <w:rPr>
                <w:noProof/>
                <w:webHidden/>
              </w:rPr>
              <w:fldChar w:fldCharType="begin"/>
            </w:r>
            <w:r>
              <w:rPr>
                <w:noProof/>
                <w:webHidden/>
              </w:rPr>
              <w:instrText xml:space="preserve"> PAGEREF _Toc227941076 \h </w:instrText>
            </w:r>
            <w:r>
              <w:rPr>
                <w:noProof/>
                <w:webHidden/>
              </w:rPr>
            </w:r>
            <w:r>
              <w:rPr>
                <w:noProof/>
                <w:webHidden/>
              </w:rPr>
              <w:fldChar w:fldCharType="separate"/>
            </w:r>
            <w:r>
              <w:rPr>
                <w:noProof/>
                <w:webHidden/>
              </w:rPr>
              <w:t>8</w:t>
            </w:r>
            <w:r>
              <w:rPr>
                <w:noProof/>
                <w:webHidden/>
              </w:rPr>
              <w:fldChar w:fldCharType="end"/>
            </w:r>
          </w:hyperlink>
        </w:p>
        <w:p w:rsidR="00A36690" w:rsidRDefault="00A36690">
          <w:pPr>
            <w:pStyle w:val="TOC2"/>
            <w:tabs>
              <w:tab w:val="right" w:leader="dot" w:pos="9350"/>
            </w:tabs>
            <w:rPr>
              <w:rFonts w:asciiTheme="minorHAnsi" w:hAnsiTheme="minorHAnsi"/>
              <w:noProof/>
              <w:sz w:val="22"/>
              <w:lang w:eastAsia="en-GB"/>
            </w:rPr>
          </w:pPr>
          <w:hyperlink w:anchor="_Toc227941077" w:history="1">
            <w:r w:rsidRPr="008C51BD">
              <w:rPr>
                <w:rStyle w:val="Hyperlink"/>
                <w:noProof/>
              </w:rPr>
              <w:t>Related and Supporting Industries</w:t>
            </w:r>
            <w:r>
              <w:rPr>
                <w:noProof/>
                <w:webHidden/>
              </w:rPr>
              <w:tab/>
            </w:r>
            <w:r>
              <w:rPr>
                <w:noProof/>
                <w:webHidden/>
              </w:rPr>
              <w:fldChar w:fldCharType="begin"/>
            </w:r>
            <w:r>
              <w:rPr>
                <w:noProof/>
                <w:webHidden/>
              </w:rPr>
              <w:instrText xml:space="preserve"> PAGEREF _Toc227941077 \h </w:instrText>
            </w:r>
            <w:r>
              <w:rPr>
                <w:noProof/>
                <w:webHidden/>
              </w:rPr>
            </w:r>
            <w:r>
              <w:rPr>
                <w:noProof/>
                <w:webHidden/>
              </w:rPr>
              <w:fldChar w:fldCharType="separate"/>
            </w:r>
            <w:r>
              <w:rPr>
                <w:noProof/>
                <w:webHidden/>
              </w:rPr>
              <w:t>8</w:t>
            </w:r>
            <w:r>
              <w:rPr>
                <w:noProof/>
                <w:webHidden/>
              </w:rPr>
              <w:fldChar w:fldCharType="end"/>
            </w:r>
          </w:hyperlink>
        </w:p>
        <w:p w:rsidR="00A36690" w:rsidRDefault="00A36690">
          <w:pPr>
            <w:pStyle w:val="TOC2"/>
            <w:tabs>
              <w:tab w:val="right" w:leader="dot" w:pos="9350"/>
            </w:tabs>
            <w:rPr>
              <w:rFonts w:asciiTheme="minorHAnsi" w:hAnsiTheme="minorHAnsi"/>
              <w:noProof/>
              <w:sz w:val="22"/>
              <w:lang w:eastAsia="en-GB"/>
            </w:rPr>
          </w:pPr>
          <w:hyperlink w:anchor="_Toc227941078" w:history="1">
            <w:r w:rsidRPr="008C51BD">
              <w:rPr>
                <w:rStyle w:val="Hyperlink"/>
                <w:noProof/>
              </w:rPr>
              <w:t>Firm Strategy, Structure and Rivalry</w:t>
            </w:r>
            <w:r>
              <w:rPr>
                <w:noProof/>
                <w:webHidden/>
              </w:rPr>
              <w:tab/>
            </w:r>
            <w:r>
              <w:rPr>
                <w:noProof/>
                <w:webHidden/>
              </w:rPr>
              <w:fldChar w:fldCharType="begin"/>
            </w:r>
            <w:r>
              <w:rPr>
                <w:noProof/>
                <w:webHidden/>
              </w:rPr>
              <w:instrText xml:space="preserve"> PAGEREF _Toc227941078 \h </w:instrText>
            </w:r>
            <w:r>
              <w:rPr>
                <w:noProof/>
                <w:webHidden/>
              </w:rPr>
            </w:r>
            <w:r>
              <w:rPr>
                <w:noProof/>
                <w:webHidden/>
              </w:rPr>
              <w:fldChar w:fldCharType="separate"/>
            </w:r>
            <w:r>
              <w:rPr>
                <w:noProof/>
                <w:webHidden/>
              </w:rPr>
              <w:t>9</w:t>
            </w:r>
            <w:r>
              <w:rPr>
                <w:noProof/>
                <w:webHidden/>
              </w:rPr>
              <w:fldChar w:fldCharType="end"/>
            </w:r>
          </w:hyperlink>
        </w:p>
        <w:p w:rsidR="00A36690" w:rsidRDefault="00A36690">
          <w:pPr>
            <w:pStyle w:val="TOC2"/>
            <w:tabs>
              <w:tab w:val="right" w:leader="dot" w:pos="9350"/>
            </w:tabs>
            <w:rPr>
              <w:rFonts w:asciiTheme="minorHAnsi" w:hAnsiTheme="minorHAnsi"/>
              <w:noProof/>
              <w:sz w:val="22"/>
              <w:lang w:eastAsia="en-GB"/>
            </w:rPr>
          </w:pPr>
          <w:hyperlink w:anchor="_Toc227941079" w:history="1">
            <w:r w:rsidRPr="008C51BD">
              <w:rPr>
                <w:rStyle w:val="Hyperlink"/>
                <w:noProof/>
              </w:rPr>
              <w:t>Role of Government</w:t>
            </w:r>
            <w:r>
              <w:rPr>
                <w:noProof/>
                <w:webHidden/>
              </w:rPr>
              <w:tab/>
            </w:r>
            <w:r>
              <w:rPr>
                <w:noProof/>
                <w:webHidden/>
              </w:rPr>
              <w:fldChar w:fldCharType="begin"/>
            </w:r>
            <w:r>
              <w:rPr>
                <w:noProof/>
                <w:webHidden/>
              </w:rPr>
              <w:instrText xml:space="preserve"> PAGEREF _Toc227941079 \h </w:instrText>
            </w:r>
            <w:r>
              <w:rPr>
                <w:noProof/>
                <w:webHidden/>
              </w:rPr>
            </w:r>
            <w:r>
              <w:rPr>
                <w:noProof/>
                <w:webHidden/>
              </w:rPr>
              <w:fldChar w:fldCharType="separate"/>
            </w:r>
            <w:r>
              <w:rPr>
                <w:noProof/>
                <w:webHidden/>
              </w:rPr>
              <w:t>9</w:t>
            </w:r>
            <w:r>
              <w:rPr>
                <w:noProof/>
                <w:webHidden/>
              </w:rPr>
              <w:fldChar w:fldCharType="end"/>
            </w:r>
          </w:hyperlink>
        </w:p>
        <w:p w:rsidR="00A36690" w:rsidRDefault="00A36690">
          <w:pPr>
            <w:pStyle w:val="TOC2"/>
            <w:tabs>
              <w:tab w:val="right" w:leader="dot" w:pos="9350"/>
            </w:tabs>
            <w:rPr>
              <w:rFonts w:asciiTheme="minorHAnsi" w:hAnsiTheme="minorHAnsi"/>
              <w:noProof/>
              <w:sz w:val="22"/>
              <w:lang w:eastAsia="en-GB"/>
            </w:rPr>
          </w:pPr>
          <w:hyperlink w:anchor="_Toc227941080" w:history="1">
            <w:r w:rsidRPr="008C51BD">
              <w:rPr>
                <w:rStyle w:val="Hyperlink"/>
                <w:noProof/>
              </w:rPr>
              <w:t>Role of Chance and External Shocks</w:t>
            </w:r>
            <w:r>
              <w:rPr>
                <w:noProof/>
                <w:webHidden/>
              </w:rPr>
              <w:tab/>
            </w:r>
            <w:r>
              <w:rPr>
                <w:noProof/>
                <w:webHidden/>
              </w:rPr>
              <w:fldChar w:fldCharType="begin"/>
            </w:r>
            <w:r>
              <w:rPr>
                <w:noProof/>
                <w:webHidden/>
              </w:rPr>
              <w:instrText xml:space="preserve"> PAGEREF _Toc227941080 \h </w:instrText>
            </w:r>
            <w:r>
              <w:rPr>
                <w:noProof/>
                <w:webHidden/>
              </w:rPr>
            </w:r>
            <w:r>
              <w:rPr>
                <w:noProof/>
                <w:webHidden/>
              </w:rPr>
              <w:fldChar w:fldCharType="separate"/>
            </w:r>
            <w:r>
              <w:rPr>
                <w:noProof/>
                <w:webHidden/>
              </w:rPr>
              <w:t>10</w:t>
            </w:r>
            <w:r>
              <w:rPr>
                <w:noProof/>
                <w:webHidden/>
              </w:rPr>
              <w:fldChar w:fldCharType="end"/>
            </w:r>
          </w:hyperlink>
        </w:p>
        <w:p w:rsidR="00A36690" w:rsidRDefault="00A36690">
          <w:pPr>
            <w:pStyle w:val="TOC2"/>
            <w:tabs>
              <w:tab w:val="right" w:leader="dot" w:pos="9350"/>
            </w:tabs>
            <w:rPr>
              <w:rFonts w:asciiTheme="minorHAnsi" w:hAnsiTheme="minorHAnsi"/>
              <w:noProof/>
              <w:sz w:val="22"/>
              <w:lang w:eastAsia="en-GB"/>
            </w:rPr>
          </w:pPr>
          <w:hyperlink w:anchor="_Toc227941081" w:history="1">
            <w:r w:rsidRPr="008C51BD">
              <w:rPr>
                <w:rStyle w:val="Hyperlink"/>
                <w:noProof/>
              </w:rPr>
              <w:t>Global Competitiveness and Critical Analysis</w:t>
            </w:r>
            <w:r>
              <w:rPr>
                <w:noProof/>
                <w:webHidden/>
              </w:rPr>
              <w:tab/>
            </w:r>
            <w:r>
              <w:rPr>
                <w:noProof/>
                <w:webHidden/>
              </w:rPr>
              <w:fldChar w:fldCharType="begin"/>
            </w:r>
            <w:r>
              <w:rPr>
                <w:noProof/>
                <w:webHidden/>
              </w:rPr>
              <w:instrText xml:space="preserve"> PAGEREF _Toc227941081 \h </w:instrText>
            </w:r>
            <w:r>
              <w:rPr>
                <w:noProof/>
                <w:webHidden/>
              </w:rPr>
            </w:r>
            <w:r>
              <w:rPr>
                <w:noProof/>
                <w:webHidden/>
              </w:rPr>
              <w:fldChar w:fldCharType="separate"/>
            </w:r>
            <w:r>
              <w:rPr>
                <w:noProof/>
                <w:webHidden/>
              </w:rPr>
              <w:t>11</w:t>
            </w:r>
            <w:r>
              <w:rPr>
                <w:noProof/>
                <w:webHidden/>
              </w:rPr>
              <w:fldChar w:fldCharType="end"/>
            </w:r>
          </w:hyperlink>
        </w:p>
        <w:p w:rsidR="00A36690" w:rsidRDefault="00A36690">
          <w:pPr>
            <w:pStyle w:val="TOC1"/>
            <w:tabs>
              <w:tab w:val="right" w:leader="dot" w:pos="9350"/>
            </w:tabs>
            <w:rPr>
              <w:rFonts w:asciiTheme="minorHAnsi" w:hAnsiTheme="minorHAnsi"/>
              <w:noProof/>
              <w:sz w:val="22"/>
              <w:lang w:eastAsia="en-GB"/>
            </w:rPr>
          </w:pPr>
          <w:hyperlink w:anchor="_Toc227941082" w:history="1">
            <w:r w:rsidRPr="008C51BD">
              <w:rPr>
                <w:rStyle w:val="Hyperlink"/>
                <w:noProof/>
              </w:rPr>
              <w:t>Major Foreign MNC Analysis: H&amp;M in RMG industry of Bangladesh</w:t>
            </w:r>
            <w:r>
              <w:rPr>
                <w:noProof/>
                <w:webHidden/>
              </w:rPr>
              <w:tab/>
            </w:r>
            <w:r>
              <w:rPr>
                <w:noProof/>
                <w:webHidden/>
              </w:rPr>
              <w:fldChar w:fldCharType="begin"/>
            </w:r>
            <w:r>
              <w:rPr>
                <w:noProof/>
                <w:webHidden/>
              </w:rPr>
              <w:instrText xml:space="preserve"> PAGEREF _Toc227941082 \h </w:instrText>
            </w:r>
            <w:r>
              <w:rPr>
                <w:noProof/>
                <w:webHidden/>
              </w:rPr>
            </w:r>
            <w:r>
              <w:rPr>
                <w:noProof/>
                <w:webHidden/>
              </w:rPr>
              <w:fldChar w:fldCharType="separate"/>
            </w:r>
            <w:r>
              <w:rPr>
                <w:noProof/>
                <w:webHidden/>
              </w:rPr>
              <w:t>12</w:t>
            </w:r>
            <w:r>
              <w:rPr>
                <w:noProof/>
                <w:webHidden/>
              </w:rPr>
              <w:fldChar w:fldCharType="end"/>
            </w:r>
          </w:hyperlink>
        </w:p>
        <w:p w:rsidR="00A36690" w:rsidRDefault="00A36690">
          <w:pPr>
            <w:pStyle w:val="TOC1"/>
            <w:tabs>
              <w:tab w:val="right" w:leader="dot" w:pos="9350"/>
            </w:tabs>
            <w:rPr>
              <w:rFonts w:asciiTheme="minorHAnsi" w:hAnsiTheme="minorHAnsi"/>
              <w:noProof/>
              <w:sz w:val="22"/>
              <w:lang w:eastAsia="en-GB"/>
            </w:rPr>
          </w:pPr>
          <w:hyperlink w:anchor="_Toc227941083" w:history="1">
            <w:r w:rsidRPr="008C51BD">
              <w:rPr>
                <w:rStyle w:val="Hyperlink"/>
                <w:noProof/>
              </w:rPr>
              <w:t>PESTLE Analysis</w:t>
            </w:r>
            <w:r>
              <w:rPr>
                <w:noProof/>
                <w:webHidden/>
              </w:rPr>
              <w:tab/>
            </w:r>
            <w:r>
              <w:rPr>
                <w:noProof/>
                <w:webHidden/>
              </w:rPr>
              <w:fldChar w:fldCharType="begin"/>
            </w:r>
            <w:r>
              <w:rPr>
                <w:noProof/>
                <w:webHidden/>
              </w:rPr>
              <w:instrText xml:space="preserve"> PAGEREF _Toc227941083 \h </w:instrText>
            </w:r>
            <w:r>
              <w:rPr>
                <w:noProof/>
                <w:webHidden/>
              </w:rPr>
            </w:r>
            <w:r>
              <w:rPr>
                <w:noProof/>
                <w:webHidden/>
              </w:rPr>
              <w:fldChar w:fldCharType="separate"/>
            </w:r>
            <w:r>
              <w:rPr>
                <w:noProof/>
                <w:webHidden/>
              </w:rPr>
              <w:t>12</w:t>
            </w:r>
            <w:r>
              <w:rPr>
                <w:noProof/>
                <w:webHidden/>
              </w:rPr>
              <w:fldChar w:fldCharType="end"/>
            </w:r>
          </w:hyperlink>
        </w:p>
        <w:p w:rsidR="00A36690" w:rsidRDefault="00A36690">
          <w:pPr>
            <w:pStyle w:val="TOC2"/>
            <w:tabs>
              <w:tab w:val="right" w:leader="dot" w:pos="9350"/>
            </w:tabs>
            <w:rPr>
              <w:rFonts w:asciiTheme="minorHAnsi" w:hAnsiTheme="minorHAnsi"/>
              <w:noProof/>
              <w:sz w:val="22"/>
              <w:lang w:eastAsia="en-GB"/>
            </w:rPr>
          </w:pPr>
          <w:hyperlink w:anchor="_Toc227941084" w:history="1">
            <w:r w:rsidRPr="008C51BD">
              <w:rPr>
                <w:rStyle w:val="Hyperlink"/>
                <w:noProof/>
              </w:rPr>
              <w:t>Political Factors</w:t>
            </w:r>
            <w:r>
              <w:rPr>
                <w:noProof/>
                <w:webHidden/>
              </w:rPr>
              <w:tab/>
            </w:r>
            <w:r>
              <w:rPr>
                <w:noProof/>
                <w:webHidden/>
              </w:rPr>
              <w:fldChar w:fldCharType="begin"/>
            </w:r>
            <w:r>
              <w:rPr>
                <w:noProof/>
                <w:webHidden/>
              </w:rPr>
              <w:instrText xml:space="preserve"> PAGEREF _Toc227941084 \h </w:instrText>
            </w:r>
            <w:r>
              <w:rPr>
                <w:noProof/>
                <w:webHidden/>
              </w:rPr>
            </w:r>
            <w:r>
              <w:rPr>
                <w:noProof/>
                <w:webHidden/>
              </w:rPr>
              <w:fldChar w:fldCharType="separate"/>
            </w:r>
            <w:r>
              <w:rPr>
                <w:noProof/>
                <w:webHidden/>
              </w:rPr>
              <w:t>12</w:t>
            </w:r>
            <w:r>
              <w:rPr>
                <w:noProof/>
                <w:webHidden/>
              </w:rPr>
              <w:fldChar w:fldCharType="end"/>
            </w:r>
          </w:hyperlink>
        </w:p>
        <w:p w:rsidR="00A36690" w:rsidRDefault="00A36690">
          <w:pPr>
            <w:pStyle w:val="TOC2"/>
            <w:tabs>
              <w:tab w:val="right" w:leader="dot" w:pos="9350"/>
            </w:tabs>
            <w:rPr>
              <w:rFonts w:asciiTheme="minorHAnsi" w:hAnsiTheme="minorHAnsi"/>
              <w:noProof/>
              <w:sz w:val="22"/>
              <w:lang w:eastAsia="en-GB"/>
            </w:rPr>
          </w:pPr>
          <w:hyperlink w:anchor="_Toc227941085" w:history="1">
            <w:r w:rsidRPr="008C51BD">
              <w:rPr>
                <w:rStyle w:val="Hyperlink"/>
                <w:noProof/>
              </w:rPr>
              <w:t>Economic Factors</w:t>
            </w:r>
            <w:r>
              <w:rPr>
                <w:noProof/>
                <w:webHidden/>
              </w:rPr>
              <w:tab/>
            </w:r>
            <w:r>
              <w:rPr>
                <w:noProof/>
                <w:webHidden/>
              </w:rPr>
              <w:fldChar w:fldCharType="begin"/>
            </w:r>
            <w:r>
              <w:rPr>
                <w:noProof/>
                <w:webHidden/>
              </w:rPr>
              <w:instrText xml:space="preserve"> PAGEREF _Toc227941085 \h </w:instrText>
            </w:r>
            <w:r>
              <w:rPr>
                <w:noProof/>
                <w:webHidden/>
              </w:rPr>
            </w:r>
            <w:r>
              <w:rPr>
                <w:noProof/>
                <w:webHidden/>
              </w:rPr>
              <w:fldChar w:fldCharType="separate"/>
            </w:r>
            <w:r>
              <w:rPr>
                <w:noProof/>
                <w:webHidden/>
              </w:rPr>
              <w:t>13</w:t>
            </w:r>
            <w:r>
              <w:rPr>
                <w:noProof/>
                <w:webHidden/>
              </w:rPr>
              <w:fldChar w:fldCharType="end"/>
            </w:r>
          </w:hyperlink>
        </w:p>
        <w:p w:rsidR="00A36690" w:rsidRDefault="00A36690">
          <w:pPr>
            <w:pStyle w:val="TOC2"/>
            <w:tabs>
              <w:tab w:val="right" w:leader="dot" w:pos="9350"/>
            </w:tabs>
            <w:rPr>
              <w:rFonts w:asciiTheme="minorHAnsi" w:hAnsiTheme="minorHAnsi"/>
              <w:noProof/>
              <w:sz w:val="22"/>
              <w:lang w:eastAsia="en-GB"/>
            </w:rPr>
          </w:pPr>
          <w:hyperlink w:anchor="_Toc227941086" w:history="1">
            <w:r w:rsidRPr="008C51BD">
              <w:rPr>
                <w:rStyle w:val="Hyperlink"/>
                <w:noProof/>
              </w:rPr>
              <w:t>Social Factors</w:t>
            </w:r>
            <w:r>
              <w:rPr>
                <w:noProof/>
                <w:webHidden/>
              </w:rPr>
              <w:tab/>
            </w:r>
            <w:r>
              <w:rPr>
                <w:noProof/>
                <w:webHidden/>
              </w:rPr>
              <w:fldChar w:fldCharType="begin"/>
            </w:r>
            <w:r>
              <w:rPr>
                <w:noProof/>
                <w:webHidden/>
              </w:rPr>
              <w:instrText xml:space="preserve"> PAGEREF _Toc227941086 \h </w:instrText>
            </w:r>
            <w:r>
              <w:rPr>
                <w:noProof/>
                <w:webHidden/>
              </w:rPr>
            </w:r>
            <w:r>
              <w:rPr>
                <w:noProof/>
                <w:webHidden/>
              </w:rPr>
              <w:fldChar w:fldCharType="separate"/>
            </w:r>
            <w:r>
              <w:rPr>
                <w:noProof/>
                <w:webHidden/>
              </w:rPr>
              <w:t>13</w:t>
            </w:r>
            <w:r>
              <w:rPr>
                <w:noProof/>
                <w:webHidden/>
              </w:rPr>
              <w:fldChar w:fldCharType="end"/>
            </w:r>
          </w:hyperlink>
        </w:p>
        <w:p w:rsidR="00A36690" w:rsidRDefault="00A36690">
          <w:pPr>
            <w:pStyle w:val="TOC2"/>
            <w:tabs>
              <w:tab w:val="right" w:leader="dot" w:pos="9350"/>
            </w:tabs>
            <w:rPr>
              <w:rFonts w:asciiTheme="minorHAnsi" w:hAnsiTheme="minorHAnsi"/>
              <w:noProof/>
              <w:sz w:val="22"/>
              <w:lang w:eastAsia="en-GB"/>
            </w:rPr>
          </w:pPr>
          <w:hyperlink w:anchor="_Toc227941087" w:history="1">
            <w:r w:rsidRPr="008C51BD">
              <w:rPr>
                <w:rStyle w:val="Hyperlink"/>
                <w:noProof/>
              </w:rPr>
              <w:t>Technological Factors</w:t>
            </w:r>
            <w:r>
              <w:rPr>
                <w:noProof/>
                <w:webHidden/>
              </w:rPr>
              <w:tab/>
            </w:r>
            <w:r>
              <w:rPr>
                <w:noProof/>
                <w:webHidden/>
              </w:rPr>
              <w:fldChar w:fldCharType="begin"/>
            </w:r>
            <w:r>
              <w:rPr>
                <w:noProof/>
                <w:webHidden/>
              </w:rPr>
              <w:instrText xml:space="preserve"> PAGEREF _Toc227941087 \h </w:instrText>
            </w:r>
            <w:r>
              <w:rPr>
                <w:noProof/>
                <w:webHidden/>
              </w:rPr>
            </w:r>
            <w:r>
              <w:rPr>
                <w:noProof/>
                <w:webHidden/>
              </w:rPr>
              <w:fldChar w:fldCharType="separate"/>
            </w:r>
            <w:r>
              <w:rPr>
                <w:noProof/>
                <w:webHidden/>
              </w:rPr>
              <w:t>13</w:t>
            </w:r>
            <w:r>
              <w:rPr>
                <w:noProof/>
                <w:webHidden/>
              </w:rPr>
              <w:fldChar w:fldCharType="end"/>
            </w:r>
          </w:hyperlink>
        </w:p>
        <w:p w:rsidR="00A36690" w:rsidRDefault="00A36690">
          <w:pPr>
            <w:pStyle w:val="TOC2"/>
            <w:tabs>
              <w:tab w:val="right" w:leader="dot" w:pos="9350"/>
            </w:tabs>
            <w:rPr>
              <w:rFonts w:asciiTheme="minorHAnsi" w:hAnsiTheme="minorHAnsi"/>
              <w:noProof/>
              <w:sz w:val="22"/>
              <w:lang w:eastAsia="en-GB"/>
            </w:rPr>
          </w:pPr>
          <w:hyperlink w:anchor="_Toc227941088" w:history="1">
            <w:r w:rsidRPr="008C51BD">
              <w:rPr>
                <w:rStyle w:val="Hyperlink"/>
                <w:noProof/>
              </w:rPr>
              <w:t>Legal Factors</w:t>
            </w:r>
            <w:r>
              <w:rPr>
                <w:noProof/>
                <w:webHidden/>
              </w:rPr>
              <w:tab/>
            </w:r>
            <w:r>
              <w:rPr>
                <w:noProof/>
                <w:webHidden/>
              </w:rPr>
              <w:fldChar w:fldCharType="begin"/>
            </w:r>
            <w:r>
              <w:rPr>
                <w:noProof/>
                <w:webHidden/>
              </w:rPr>
              <w:instrText xml:space="preserve"> PAGEREF _Toc227941088 \h </w:instrText>
            </w:r>
            <w:r>
              <w:rPr>
                <w:noProof/>
                <w:webHidden/>
              </w:rPr>
            </w:r>
            <w:r>
              <w:rPr>
                <w:noProof/>
                <w:webHidden/>
              </w:rPr>
              <w:fldChar w:fldCharType="separate"/>
            </w:r>
            <w:r>
              <w:rPr>
                <w:noProof/>
                <w:webHidden/>
              </w:rPr>
              <w:t>14</w:t>
            </w:r>
            <w:r>
              <w:rPr>
                <w:noProof/>
                <w:webHidden/>
              </w:rPr>
              <w:fldChar w:fldCharType="end"/>
            </w:r>
          </w:hyperlink>
        </w:p>
        <w:p w:rsidR="00A36690" w:rsidRDefault="00A36690">
          <w:pPr>
            <w:pStyle w:val="TOC2"/>
            <w:tabs>
              <w:tab w:val="right" w:leader="dot" w:pos="9350"/>
            </w:tabs>
            <w:rPr>
              <w:rFonts w:asciiTheme="minorHAnsi" w:hAnsiTheme="minorHAnsi"/>
              <w:noProof/>
              <w:sz w:val="22"/>
              <w:lang w:eastAsia="en-GB"/>
            </w:rPr>
          </w:pPr>
          <w:hyperlink w:anchor="_Toc227941089" w:history="1">
            <w:r w:rsidRPr="008C51BD">
              <w:rPr>
                <w:rStyle w:val="Hyperlink"/>
                <w:noProof/>
              </w:rPr>
              <w:t>Environmental Factors</w:t>
            </w:r>
            <w:r>
              <w:rPr>
                <w:noProof/>
                <w:webHidden/>
              </w:rPr>
              <w:tab/>
            </w:r>
            <w:r>
              <w:rPr>
                <w:noProof/>
                <w:webHidden/>
              </w:rPr>
              <w:fldChar w:fldCharType="begin"/>
            </w:r>
            <w:r>
              <w:rPr>
                <w:noProof/>
                <w:webHidden/>
              </w:rPr>
              <w:instrText xml:space="preserve"> PAGEREF _Toc227941089 \h </w:instrText>
            </w:r>
            <w:r>
              <w:rPr>
                <w:noProof/>
                <w:webHidden/>
              </w:rPr>
            </w:r>
            <w:r>
              <w:rPr>
                <w:noProof/>
                <w:webHidden/>
              </w:rPr>
              <w:fldChar w:fldCharType="separate"/>
            </w:r>
            <w:r>
              <w:rPr>
                <w:noProof/>
                <w:webHidden/>
              </w:rPr>
              <w:t>14</w:t>
            </w:r>
            <w:r>
              <w:rPr>
                <w:noProof/>
                <w:webHidden/>
              </w:rPr>
              <w:fldChar w:fldCharType="end"/>
            </w:r>
          </w:hyperlink>
        </w:p>
        <w:p w:rsidR="00A36690" w:rsidRDefault="00A36690">
          <w:pPr>
            <w:pStyle w:val="TOC1"/>
            <w:tabs>
              <w:tab w:val="right" w:leader="dot" w:pos="9350"/>
            </w:tabs>
            <w:rPr>
              <w:rFonts w:asciiTheme="minorHAnsi" w:hAnsiTheme="minorHAnsi"/>
              <w:noProof/>
              <w:sz w:val="22"/>
              <w:lang w:eastAsia="en-GB"/>
            </w:rPr>
          </w:pPr>
          <w:hyperlink w:anchor="_Toc227941090" w:history="1">
            <w:r w:rsidRPr="008C51BD">
              <w:rPr>
                <w:rStyle w:val="Hyperlink"/>
                <w:noProof/>
              </w:rPr>
              <w:t>SWOT Analysis</w:t>
            </w:r>
            <w:r>
              <w:rPr>
                <w:noProof/>
                <w:webHidden/>
              </w:rPr>
              <w:tab/>
            </w:r>
            <w:r>
              <w:rPr>
                <w:noProof/>
                <w:webHidden/>
              </w:rPr>
              <w:fldChar w:fldCharType="begin"/>
            </w:r>
            <w:r>
              <w:rPr>
                <w:noProof/>
                <w:webHidden/>
              </w:rPr>
              <w:instrText xml:space="preserve"> PAGEREF _Toc227941090 \h </w:instrText>
            </w:r>
            <w:r>
              <w:rPr>
                <w:noProof/>
                <w:webHidden/>
              </w:rPr>
            </w:r>
            <w:r>
              <w:rPr>
                <w:noProof/>
                <w:webHidden/>
              </w:rPr>
              <w:fldChar w:fldCharType="separate"/>
            </w:r>
            <w:r>
              <w:rPr>
                <w:noProof/>
                <w:webHidden/>
              </w:rPr>
              <w:t>17</w:t>
            </w:r>
            <w:r>
              <w:rPr>
                <w:noProof/>
                <w:webHidden/>
              </w:rPr>
              <w:fldChar w:fldCharType="end"/>
            </w:r>
          </w:hyperlink>
        </w:p>
        <w:p w:rsidR="00A36690" w:rsidRDefault="00A36690">
          <w:pPr>
            <w:pStyle w:val="TOC1"/>
            <w:tabs>
              <w:tab w:val="right" w:leader="dot" w:pos="9350"/>
            </w:tabs>
            <w:rPr>
              <w:rFonts w:asciiTheme="minorHAnsi" w:hAnsiTheme="minorHAnsi"/>
              <w:noProof/>
              <w:sz w:val="22"/>
              <w:lang w:eastAsia="en-GB"/>
            </w:rPr>
          </w:pPr>
          <w:hyperlink w:anchor="_Toc227941091" w:history="1">
            <w:r w:rsidRPr="008C51BD">
              <w:rPr>
                <w:rStyle w:val="Hyperlink"/>
                <w:noProof/>
              </w:rPr>
              <w:t>Strategic Analysis Using OLI and CAGE Frameworks</w:t>
            </w:r>
            <w:r>
              <w:rPr>
                <w:noProof/>
                <w:webHidden/>
              </w:rPr>
              <w:tab/>
            </w:r>
            <w:r>
              <w:rPr>
                <w:noProof/>
                <w:webHidden/>
              </w:rPr>
              <w:fldChar w:fldCharType="begin"/>
            </w:r>
            <w:r>
              <w:rPr>
                <w:noProof/>
                <w:webHidden/>
              </w:rPr>
              <w:instrText xml:space="preserve"> PAGEREF _Toc227941091 \h </w:instrText>
            </w:r>
            <w:r>
              <w:rPr>
                <w:noProof/>
                <w:webHidden/>
              </w:rPr>
            </w:r>
            <w:r>
              <w:rPr>
                <w:noProof/>
                <w:webHidden/>
              </w:rPr>
              <w:fldChar w:fldCharType="separate"/>
            </w:r>
            <w:r>
              <w:rPr>
                <w:noProof/>
                <w:webHidden/>
              </w:rPr>
              <w:t>19</w:t>
            </w:r>
            <w:r>
              <w:rPr>
                <w:noProof/>
                <w:webHidden/>
              </w:rPr>
              <w:fldChar w:fldCharType="end"/>
            </w:r>
          </w:hyperlink>
        </w:p>
        <w:p w:rsidR="00A36690" w:rsidRDefault="00A36690">
          <w:pPr>
            <w:pStyle w:val="TOC2"/>
            <w:tabs>
              <w:tab w:val="right" w:leader="dot" w:pos="9350"/>
            </w:tabs>
            <w:rPr>
              <w:rFonts w:asciiTheme="minorHAnsi" w:hAnsiTheme="minorHAnsi"/>
              <w:noProof/>
              <w:sz w:val="22"/>
              <w:lang w:eastAsia="en-GB"/>
            </w:rPr>
          </w:pPr>
          <w:hyperlink w:anchor="_Toc227941092" w:history="1">
            <w:r w:rsidRPr="008C51BD">
              <w:rPr>
                <w:rStyle w:val="Hyperlink"/>
                <w:noProof/>
              </w:rPr>
              <w:t>OLI Model</w:t>
            </w:r>
            <w:r>
              <w:rPr>
                <w:noProof/>
                <w:webHidden/>
              </w:rPr>
              <w:tab/>
            </w:r>
            <w:r>
              <w:rPr>
                <w:noProof/>
                <w:webHidden/>
              </w:rPr>
              <w:fldChar w:fldCharType="begin"/>
            </w:r>
            <w:r>
              <w:rPr>
                <w:noProof/>
                <w:webHidden/>
              </w:rPr>
              <w:instrText xml:space="preserve"> PAGEREF _Toc227941092 \h </w:instrText>
            </w:r>
            <w:r>
              <w:rPr>
                <w:noProof/>
                <w:webHidden/>
              </w:rPr>
            </w:r>
            <w:r>
              <w:rPr>
                <w:noProof/>
                <w:webHidden/>
              </w:rPr>
              <w:fldChar w:fldCharType="separate"/>
            </w:r>
            <w:r>
              <w:rPr>
                <w:noProof/>
                <w:webHidden/>
              </w:rPr>
              <w:t>19</w:t>
            </w:r>
            <w:r>
              <w:rPr>
                <w:noProof/>
                <w:webHidden/>
              </w:rPr>
              <w:fldChar w:fldCharType="end"/>
            </w:r>
          </w:hyperlink>
        </w:p>
        <w:p w:rsidR="00A36690" w:rsidRDefault="00A36690">
          <w:pPr>
            <w:pStyle w:val="TOC2"/>
            <w:tabs>
              <w:tab w:val="right" w:leader="dot" w:pos="9350"/>
            </w:tabs>
            <w:rPr>
              <w:rFonts w:asciiTheme="minorHAnsi" w:hAnsiTheme="minorHAnsi"/>
              <w:noProof/>
              <w:sz w:val="22"/>
              <w:lang w:eastAsia="en-GB"/>
            </w:rPr>
          </w:pPr>
          <w:hyperlink w:anchor="_Toc227941093" w:history="1">
            <w:r w:rsidRPr="008C51BD">
              <w:rPr>
                <w:rStyle w:val="Hyperlink"/>
                <w:noProof/>
              </w:rPr>
              <w:t>CAGE Model</w:t>
            </w:r>
            <w:r>
              <w:rPr>
                <w:noProof/>
                <w:webHidden/>
              </w:rPr>
              <w:tab/>
            </w:r>
            <w:r>
              <w:rPr>
                <w:noProof/>
                <w:webHidden/>
              </w:rPr>
              <w:fldChar w:fldCharType="begin"/>
            </w:r>
            <w:r>
              <w:rPr>
                <w:noProof/>
                <w:webHidden/>
              </w:rPr>
              <w:instrText xml:space="preserve"> PAGEREF _Toc227941093 \h </w:instrText>
            </w:r>
            <w:r>
              <w:rPr>
                <w:noProof/>
                <w:webHidden/>
              </w:rPr>
            </w:r>
            <w:r>
              <w:rPr>
                <w:noProof/>
                <w:webHidden/>
              </w:rPr>
              <w:fldChar w:fldCharType="separate"/>
            </w:r>
            <w:r>
              <w:rPr>
                <w:noProof/>
                <w:webHidden/>
              </w:rPr>
              <w:t>21</w:t>
            </w:r>
            <w:r>
              <w:rPr>
                <w:noProof/>
                <w:webHidden/>
              </w:rPr>
              <w:fldChar w:fldCharType="end"/>
            </w:r>
          </w:hyperlink>
        </w:p>
        <w:p w:rsidR="00A36690" w:rsidRDefault="00A36690">
          <w:pPr>
            <w:pStyle w:val="TOC1"/>
            <w:tabs>
              <w:tab w:val="right" w:leader="dot" w:pos="9350"/>
            </w:tabs>
            <w:rPr>
              <w:rFonts w:asciiTheme="minorHAnsi" w:hAnsiTheme="minorHAnsi"/>
              <w:noProof/>
              <w:sz w:val="22"/>
              <w:lang w:eastAsia="en-GB"/>
            </w:rPr>
          </w:pPr>
          <w:hyperlink w:anchor="_Toc227941094" w:history="1">
            <w:r w:rsidRPr="008C51BD">
              <w:rPr>
                <w:rStyle w:val="Hyperlink"/>
                <w:noProof/>
              </w:rPr>
              <w:t>Conclusion</w:t>
            </w:r>
            <w:r>
              <w:rPr>
                <w:noProof/>
                <w:webHidden/>
              </w:rPr>
              <w:tab/>
            </w:r>
            <w:r>
              <w:rPr>
                <w:noProof/>
                <w:webHidden/>
              </w:rPr>
              <w:fldChar w:fldCharType="begin"/>
            </w:r>
            <w:r>
              <w:rPr>
                <w:noProof/>
                <w:webHidden/>
              </w:rPr>
              <w:instrText xml:space="preserve"> PAGEREF _Toc227941094 \h </w:instrText>
            </w:r>
            <w:r>
              <w:rPr>
                <w:noProof/>
                <w:webHidden/>
              </w:rPr>
            </w:r>
            <w:r>
              <w:rPr>
                <w:noProof/>
                <w:webHidden/>
              </w:rPr>
              <w:fldChar w:fldCharType="separate"/>
            </w:r>
            <w:r>
              <w:rPr>
                <w:noProof/>
                <w:webHidden/>
              </w:rPr>
              <w:t>23</w:t>
            </w:r>
            <w:r>
              <w:rPr>
                <w:noProof/>
                <w:webHidden/>
              </w:rPr>
              <w:fldChar w:fldCharType="end"/>
            </w:r>
          </w:hyperlink>
        </w:p>
        <w:p w:rsidR="00A36690" w:rsidRDefault="00A36690">
          <w:pPr>
            <w:pStyle w:val="TOC1"/>
            <w:tabs>
              <w:tab w:val="right" w:leader="dot" w:pos="9350"/>
            </w:tabs>
            <w:rPr>
              <w:rFonts w:asciiTheme="minorHAnsi" w:hAnsiTheme="minorHAnsi"/>
              <w:noProof/>
              <w:sz w:val="22"/>
              <w:lang w:eastAsia="en-GB"/>
            </w:rPr>
          </w:pPr>
          <w:hyperlink w:anchor="_Toc227941095" w:history="1">
            <w:r w:rsidRPr="008C51BD">
              <w:rPr>
                <w:rStyle w:val="Hyperlink"/>
                <w:noProof/>
              </w:rPr>
              <w:t>Section 2: Ref</w:t>
            </w:r>
            <w:r w:rsidRPr="008C51BD">
              <w:rPr>
                <w:rStyle w:val="Hyperlink"/>
                <w:noProof/>
              </w:rPr>
              <w:t>l</w:t>
            </w:r>
            <w:r w:rsidRPr="008C51BD">
              <w:rPr>
                <w:rStyle w:val="Hyperlink"/>
                <w:noProof/>
              </w:rPr>
              <w:t>ective Account</w:t>
            </w:r>
            <w:r>
              <w:rPr>
                <w:noProof/>
                <w:webHidden/>
              </w:rPr>
              <w:tab/>
            </w:r>
            <w:r>
              <w:rPr>
                <w:noProof/>
                <w:webHidden/>
              </w:rPr>
              <w:fldChar w:fldCharType="begin"/>
            </w:r>
            <w:r>
              <w:rPr>
                <w:noProof/>
                <w:webHidden/>
              </w:rPr>
              <w:instrText xml:space="preserve"> PAGEREF _Toc227941095 \h </w:instrText>
            </w:r>
            <w:r>
              <w:rPr>
                <w:noProof/>
                <w:webHidden/>
              </w:rPr>
            </w:r>
            <w:r>
              <w:rPr>
                <w:noProof/>
                <w:webHidden/>
              </w:rPr>
              <w:fldChar w:fldCharType="separate"/>
            </w:r>
            <w:r>
              <w:rPr>
                <w:noProof/>
                <w:webHidden/>
              </w:rPr>
              <w:t>25</w:t>
            </w:r>
            <w:r>
              <w:rPr>
                <w:noProof/>
                <w:webHidden/>
              </w:rPr>
              <w:fldChar w:fldCharType="end"/>
            </w:r>
          </w:hyperlink>
        </w:p>
        <w:p w:rsidR="00A36690" w:rsidRDefault="00A36690">
          <w:pPr>
            <w:pStyle w:val="TOC1"/>
            <w:tabs>
              <w:tab w:val="right" w:leader="dot" w:pos="9350"/>
            </w:tabs>
            <w:rPr>
              <w:rFonts w:asciiTheme="minorHAnsi" w:hAnsiTheme="minorHAnsi"/>
              <w:noProof/>
              <w:sz w:val="22"/>
              <w:lang w:eastAsia="en-GB"/>
            </w:rPr>
          </w:pPr>
          <w:hyperlink w:anchor="_Toc227941096" w:history="1">
            <w:r w:rsidRPr="008C51BD">
              <w:rPr>
                <w:rStyle w:val="Hyperlink"/>
                <w:noProof/>
              </w:rPr>
              <w:t>Reference List</w:t>
            </w:r>
            <w:r>
              <w:rPr>
                <w:noProof/>
                <w:webHidden/>
              </w:rPr>
              <w:tab/>
            </w:r>
            <w:r>
              <w:rPr>
                <w:noProof/>
                <w:webHidden/>
              </w:rPr>
              <w:fldChar w:fldCharType="begin"/>
            </w:r>
            <w:r>
              <w:rPr>
                <w:noProof/>
                <w:webHidden/>
              </w:rPr>
              <w:instrText xml:space="preserve"> PAGEREF _Toc227941096 \h </w:instrText>
            </w:r>
            <w:r>
              <w:rPr>
                <w:noProof/>
                <w:webHidden/>
              </w:rPr>
            </w:r>
            <w:r>
              <w:rPr>
                <w:noProof/>
                <w:webHidden/>
              </w:rPr>
              <w:fldChar w:fldCharType="separate"/>
            </w:r>
            <w:r>
              <w:rPr>
                <w:noProof/>
                <w:webHidden/>
              </w:rPr>
              <w:t>29</w:t>
            </w:r>
            <w:r>
              <w:rPr>
                <w:noProof/>
                <w:webHidden/>
              </w:rPr>
              <w:fldChar w:fldCharType="end"/>
            </w:r>
          </w:hyperlink>
        </w:p>
        <w:p w:rsidR="00A36690" w:rsidRDefault="00A36690">
          <w:pPr>
            <w:pStyle w:val="TOC1"/>
            <w:tabs>
              <w:tab w:val="right" w:leader="dot" w:pos="9350"/>
            </w:tabs>
            <w:rPr>
              <w:rFonts w:asciiTheme="minorHAnsi" w:hAnsiTheme="minorHAnsi"/>
              <w:noProof/>
              <w:sz w:val="22"/>
              <w:lang w:eastAsia="en-GB"/>
            </w:rPr>
          </w:pPr>
          <w:hyperlink w:anchor="_Toc227941097" w:history="1">
            <w:r w:rsidRPr="008C51BD">
              <w:rPr>
                <w:rStyle w:val="Hyperlink"/>
                <w:noProof/>
              </w:rPr>
              <w:t>Appendix</w:t>
            </w:r>
            <w:r>
              <w:rPr>
                <w:noProof/>
                <w:webHidden/>
              </w:rPr>
              <w:tab/>
            </w:r>
            <w:r>
              <w:rPr>
                <w:noProof/>
                <w:webHidden/>
              </w:rPr>
              <w:fldChar w:fldCharType="begin"/>
            </w:r>
            <w:r>
              <w:rPr>
                <w:noProof/>
                <w:webHidden/>
              </w:rPr>
              <w:instrText xml:space="preserve"> PAGEREF _Toc227941097 \h </w:instrText>
            </w:r>
            <w:r>
              <w:rPr>
                <w:noProof/>
                <w:webHidden/>
              </w:rPr>
            </w:r>
            <w:r>
              <w:rPr>
                <w:noProof/>
                <w:webHidden/>
              </w:rPr>
              <w:fldChar w:fldCharType="separate"/>
            </w:r>
            <w:r>
              <w:rPr>
                <w:noProof/>
                <w:webHidden/>
              </w:rPr>
              <w:t>31</w:t>
            </w:r>
            <w:r>
              <w:rPr>
                <w:noProof/>
                <w:webHidden/>
              </w:rPr>
              <w:fldChar w:fldCharType="end"/>
            </w:r>
          </w:hyperlink>
        </w:p>
        <w:p w:rsidR="00563217" w:rsidRPr="009267F3" w:rsidRDefault="00452B13" w:rsidP="009267F3">
          <w:r>
            <w:rPr>
              <w:b/>
              <w:bCs/>
              <w:noProof/>
            </w:rPr>
            <w:fldChar w:fldCharType="end"/>
          </w:r>
        </w:p>
      </w:sdtContent>
    </w:sdt>
    <w:p w:rsidR="00A36690" w:rsidRDefault="00A36690">
      <w:pPr>
        <w:spacing w:line="276" w:lineRule="auto"/>
        <w:jc w:val="left"/>
        <w:rPr>
          <w:rStyle w:val="Heading1Char"/>
        </w:rPr>
      </w:pPr>
      <w:r>
        <w:rPr>
          <w:rStyle w:val="Heading1Char"/>
        </w:rPr>
        <w:br w:type="page"/>
      </w:r>
    </w:p>
    <w:p w:rsidR="00452B13" w:rsidRDefault="00563217" w:rsidP="00563217">
      <w:bookmarkStart w:id="0" w:name="_Toc227941072"/>
      <w:r w:rsidRPr="00452B13">
        <w:rPr>
          <w:rStyle w:val="Heading1Char"/>
        </w:rPr>
        <w:lastRenderedPageBreak/>
        <w:t>Introduction</w:t>
      </w:r>
      <w:bookmarkEnd w:id="0"/>
      <w:r>
        <w:br/>
      </w:r>
      <w:r w:rsidR="00452B13" w:rsidRPr="00452B13">
        <w:t>The report is a critical analysis of the ready-made garments (RMG) sector in Bangladesh to determine its global competitiveness and its suitability to foreign multinational companies. With a quick overview of the country-industry background, the report examines the size, scope and economic importance of the sector, and then compares key domestic and multinational companies that work in the field. It then uses the Diamond Model of Porter to assess the sources of competitive advantage and the structural situation defining the position of the industry in the world (Porter, 1990). Lastly, the report will address a single large foreign multinational company and critically discuss the political, economic, legal and cultural forces that could affect its success in Bangladesh. The report then provides a conclusion by summarising the key findings and the strategic implications.</w:t>
      </w:r>
    </w:p>
    <w:p w:rsidR="00452B13" w:rsidRDefault="00452B13" w:rsidP="00452B13">
      <w:pPr>
        <w:pStyle w:val="Heading1"/>
      </w:pPr>
      <w:bookmarkStart w:id="1" w:name="_Toc227941073"/>
      <w:r w:rsidRPr="00452B13">
        <w:t>Industry and Country Overview</w:t>
      </w:r>
      <w:bookmarkEnd w:id="1"/>
    </w:p>
    <w:p w:rsidR="00452B13" w:rsidRDefault="00452B13" w:rsidP="00452B13">
      <w:r>
        <w:t>Bangladesh offers an excellent environment to study the ready-made garments (RMG) sector since the greater development path of the country has gone hand in hand with the export-based manufacturing processes. Despite recent slower growth, inflationary and reform issues, Bangladesh is among the largest exporters of manufacturing in South Asia and continues to have ambitions of reaching upper-middle-income status and adjusting to the impact the departure of the least developed country label. In this regard, RMG is not a single sector among many others; it is the core sector whereby Bangladesh is incorporated into the global value chains. (World Bank, 2025; IMF, 2026).</w:t>
      </w:r>
    </w:p>
    <w:p w:rsidR="00452B13" w:rsidRDefault="00452B13" w:rsidP="00452B13">
      <w:r>
        <w:t xml:space="preserve">In Bangladesh, RMG sector is associated mainly with manufacturing knitwear and woven garments that are export-oriented. Its scale is substantial. BGMEA states that there are over 4,000 apparel factories in Bangladesh and the export of apparel is estimated to have been around US 38.8 billion in 2025, after US 38.5 billion in 2024. The macroeconomic significance of the sector is even more distinct in the context of exports: the World Bank reports that RMG contributes to about 82 per cent of the exports of Bangladesh. The market orientation of the industry is also highly international, with WTO recording that as of 2024 approximately 40 per cent of Bangladeshi RMGs were exported to the European </w:t>
      </w:r>
      <w:r>
        <w:lastRenderedPageBreak/>
        <w:t>Union and 18 per cent to the United States. This export concentration demonstrates the strength of the sector as well as its susceptibility to the demands shocks, the changes in trade policies, and the buyer power of the Western markets. (BGMEA, 2025; World Bank, 2026; WTO, 2024).</w:t>
      </w:r>
    </w:p>
    <w:p w:rsidR="00F521F9" w:rsidRDefault="00F521F9" w:rsidP="00F521F9">
      <w:pPr>
        <w:keepNext/>
      </w:pPr>
      <w:r>
        <w:rPr>
          <w:noProof/>
          <w:lang w:eastAsia="en-GB"/>
        </w:rPr>
        <w:drawing>
          <wp:inline distT="0" distB="0" distL="0" distR="0" wp14:anchorId="5DB68FC6" wp14:editId="3FB693BE">
            <wp:extent cx="5943600" cy="3049810"/>
            <wp:effectExtent l="0" t="0" r="0" b="0"/>
            <wp:docPr id="9" name="Picture 9" descr="https://www.tbsnews.net/sites/default/files/styles/infograph/public/images/2023/02/11/infograph_bangladesh-garments-exports-and-gd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www.tbsnews.net/sites/default/files/styles/infograph/public/images/2023/02/11/infograph_bangladesh-garments-exports-and-gdp.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3049810"/>
                    </a:xfrm>
                    <a:prstGeom prst="rect">
                      <a:avLst/>
                    </a:prstGeom>
                    <a:noFill/>
                    <a:ln>
                      <a:noFill/>
                    </a:ln>
                  </pic:spPr>
                </pic:pic>
              </a:graphicData>
            </a:graphic>
          </wp:inline>
        </w:drawing>
      </w:r>
    </w:p>
    <w:p w:rsidR="00F521F9" w:rsidRPr="00F521F9" w:rsidRDefault="00F521F9" w:rsidP="00F521F9">
      <w:pPr>
        <w:pStyle w:val="Caption"/>
        <w:rPr>
          <w:sz w:val="22"/>
        </w:rPr>
      </w:pPr>
      <w:r w:rsidRPr="00F521F9">
        <w:rPr>
          <w:sz w:val="22"/>
        </w:rPr>
        <w:t xml:space="preserve">Figure </w:t>
      </w:r>
      <w:r w:rsidRPr="00F521F9">
        <w:rPr>
          <w:sz w:val="22"/>
        </w:rPr>
        <w:fldChar w:fldCharType="begin"/>
      </w:r>
      <w:r w:rsidRPr="00F521F9">
        <w:rPr>
          <w:sz w:val="22"/>
        </w:rPr>
        <w:instrText xml:space="preserve"> SEQ Figure \* ARABIC </w:instrText>
      </w:r>
      <w:r w:rsidRPr="00F521F9">
        <w:rPr>
          <w:sz w:val="22"/>
        </w:rPr>
        <w:fldChar w:fldCharType="separate"/>
      </w:r>
      <w:r w:rsidR="006B20EE">
        <w:rPr>
          <w:noProof/>
          <w:sz w:val="22"/>
        </w:rPr>
        <w:t>1</w:t>
      </w:r>
      <w:r w:rsidRPr="00F521F9">
        <w:rPr>
          <w:sz w:val="22"/>
        </w:rPr>
        <w:fldChar w:fldCharType="end"/>
      </w:r>
      <w:r w:rsidRPr="00F521F9">
        <w:rPr>
          <w:sz w:val="22"/>
        </w:rPr>
        <w:t>: Bangladesh Garments exports and GDP (The Business Standard, 2023)</w:t>
      </w:r>
    </w:p>
    <w:p w:rsidR="00452B13" w:rsidRDefault="00452B13" w:rsidP="00452B13">
      <w:r>
        <w:t xml:space="preserve">Industry is also very significant in terms of labour and social perspective. Both the World Bank and ILO emphasize that the garment industry has been the primary provider of formal wage </w:t>
      </w:r>
      <w:proofErr w:type="spellStart"/>
      <w:r>
        <w:t>labor</w:t>
      </w:r>
      <w:proofErr w:type="spellEnd"/>
      <w:r>
        <w:t xml:space="preserve"> to the women in Bangladesh, and approximately 80 per cent of people working in the production lines of garments are women. This has added something meaningful to the industry other than the trade statistics, in that it has also added up to the female labour-force participation, household income and broader social change. Nevertheless, the very sources report that the quality of employment, labour rights, safety and upgrading opportunities in the workplace are not even, that is, the significance of the industry should be evaluated both the developmental and ethical aspects instead of solely the export revenues. (World Bank, 2017; World Bank, 2023; ILO, 2022).</w:t>
      </w:r>
    </w:p>
    <w:p w:rsidR="00452B13" w:rsidRDefault="00452B13" w:rsidP="00452B13">
      <w:r>
        <w:t xml:space="preserve">Regarding the firm structure, the RMG industry in Bangladesh is characterized on the production side by large domestic producers, whereas foreign firms have concentrated on the branding, retailing and sourcing coordination. The prominent Bangladeshi </w:t>
      </w:r>
      <w:r>
        <w:lastRenderedPageBreak/>
        <w:t>organizations are Ha-</w:t>
      </w:r>
      <w:proofErr w:type="spellStart"/>
      <w:r>
        <w:t>Meem</w:t>
      </w:r>
      <w:proofErr w:type="spellEnd"/>
      <w:r>
        <w:t xml:space="preserve"> Group, DBL Group, </w:t>
      </w:r>
      <w:proofErr w:type="spellStart"/>
      <w:r>
        <w:t>Beximco</w:t>
      </w:r>
      <w:proofErr w:type="spellEnd"/>
      <w:r>
        <w:t xml:space="preserve"> and vertically integrated textile companies like Square and Envoy Textiles. They are placed differently relative to one another. Ha-</w:t>
      </w:r>
      <w:proofErr w:type="spellStart"/>
      <w:r>
        <w:t>Meem</w:t>
      </w:r>
      <w:proofErr w:type="spellEnd"/>
      <w:r>
        <w:t xml:space="preserve"> and DBL are large-scale producers of exports with wide apparel, whereas Square and Envoy hold a better position in upstream textiles and yarn or denim, thus having more control over inputs and quality</w:t>
      </w:r>
      <w:r w:rsidR="00860D84">
        <w:t xml:space="preserve"> </w:t>
      </w:r>
      <w:r w:rsidR="00860D84" w:rsidRPr="00860D84">
        <w:rPr>
          <w:i/>
        </w:rPr>
        <w:t>(See Appendix A)</w:t>
      </w:r>
      <w:r>
        <w:t xml:space="preserve">. In the past, </w:t>
      </w:r>
      <w:proofErr w:type="spellStart"/>
      <w:r>
        <w:t>Beximco</w:t>
      </w:r>
      <w:proofErr w:type="spellEnd"/>
      <w:r>
        <w:t xml:space="preserve"> has matched the scale of manufacturing with diversified corporate structure, but with the wider group profile it is not as </w:t>
      </w:r>
      <w:r w:rsidR="00672C74">
        <w:t>specialized</w:t>
      </w:r>
      <w:r>
        <w:t xml:space="preserve"> as are some of the more focused apparel exporters. This implies that there is no homogeneous competitive advantage in Bangladesh: there are those firms that compete mainly on the basis of size and relationship with buyers, whereas others compete on the basis of vertical integration, textile competence </w:t>
      </w:r>
      <w:r w:rsidR="00397CD0">
        <w:t>and sustainability positioning.</w:t>
      </w:r>
    </w:p>
    <w:p w:rsidR="00452B13" w:rsidRDefault="00452B13" w:rsidP="00452B13">
      <w:r>
        <w:t xml:space="preserve">Foreign multinational corporations are very influential yet do not tend to dominate manufacturing ownership in Bangladesh as they tend to influence the industry by sourcing power, compliance requirements and purchasing decisions. The H&amp;M Group, </w:t>
      </w:r>
      <w:proofErr w:type="spellStart"/>
      <w:r>
        <w:t>Inditex</w:t>
      </w:r>
      <w:proofErr w:type="spellEnd"/>
      <w:r>
        <w:t xml:space="preserve"> and Fast Retailing companies publicly report global supplier’s networks that encompass Bangladesh, which validates the fact that the country is a key sourcing destination in global clothing supply chains. Their positioning also differs with domestic firms: Bangladeshi firms create value by being efficient in production and having the capacity to manufacture whereas foreign MNCs manage branding, design, retail distribution and the final consumer relationships. This disparity is the key to the industry structure and the reason why Bangladesh has reached the level of export without taking the top value-added steps of the apparel chain. (H&amp;M Group, 2025; </w:t>
      </w:r>
      <w:proofErr w:type="spellStart"/>
      <w:r>
        <w:t>Inditex</w:t>
      </w:r>
      <w:proofErr w:type="spellEnd"/>
      <w:r>
        <w:t>, 2025; Fast Retailing, 2024).</w:t>
      </w:r>
    </w:p>
    <w:p w:rsidR="00672C74" w:rsidRDefault="00DF077C" w:rsidP="00452B13">
      <w:r>
        <w:t>T</w:t>
      </w:r>
      <w:r w:rsidR="00452B13">
        <w:t xml:space="preserve">he RMG sector of Bangladesh is an extremely </w:t>
      </w:r>
      <w:r w:rsidR="00672C74">
        <w:t>favourable</w:t>
      </w:r>
      <w:r w:rsidR="00452B13">
        <w:t xml:space="preserve"> international business study area due to its national economic significance, high global integration, and large-scale local manufacturing organizations, and influential foreign customers. It is a strategic industry to Bangladesh because of its size and export value, although its reliance on external markets, imported inputs and buy-led value chains also presents some evident competitive and governance issues. These characteristics render the industry particularly suitable to the further analysis using Porters Diamond and to assess the opportunities </w:t>
      </w:r>
      <w:r w:rsidR="00452B13">
        <w:lastRenderedPageBreak/>
        <w:t>and threats of a foreign MNC that operates in this country-industry combination. (World Bank, 2026; WTO, 2024).</w:t>
      </w:r>
    </w:p>
    <w:p w:rsidR="00672C74" w:rsidRDefault="00672C74" w:rsidP="008346F8">
      <w:pPr>
        <w:pStyle w:val="Heading1"/>
      </w:pPr>
      <w:bookmarkStart w:id="2" w:name="_Toc227941074"/>
      <w:r w:rsidRPr="00672C74">
        <w:t>Diamond Model of National Advantage</w:t>
      </w:r>
      <w:r>
        <w:t xml:space="preserve"> by Michael Porter</w:t>
      </w:r>
      <w:bookmarkEnd w:id="2"/>
    </w:p>
    <w:p w:rsidR="008346F8" w:rsidRDefault="008346F8" w:rsidP="008346F8">
      <w:r>
        <w:t>Porters Diamond Model describes national competitive advantage in four interrelated determinants which include factor conditions, demand conditions, related and supporting industries, and firm strategy, structure and rivalry and government and chance determine how these forces change over time (Porter, 1990). This model is very appropriate to the analysis of the ready-made garments (RMG) industry in Bangladesh since the industry has emerged as one of the largest apparel export hubs in the world, but its competitive advantage is still based in its production, but not in its design, branding or retail leadership. The model thus assists in explaining not only the success but also the structural constraints of the success of Bangladesh in the global competition.</w:t>
      </w:r>
    </w:p>
    <w:p w:rsidR="00070189" w:rsidRDefault="003D1CE0" w:rsidP="00070189">
      <w:pPr>
        <w:keepNext/>
        <w:jc w:val="center"/>
      </w:pPr>
      <w:r w:rsidRPr="003D1CE0">
        <w:rPr>
          <w:noProof/>
          <w:lang w:eastAsia="en-GB"/>
        </w:rPr>
        <w:drawing>
          <wp:inline distT="0" distB="0" distL="0" distR="0" wp14:anchorId="042C6370" wp14:editId="35EF64B5">
            <wp:extent cx="4572000" cy="3819525"/>
            <wp:effectExtent l="0" t="0" r="0" b="9525"/>
            <wp:docPr id="2" name="Picture 2" descr="https://i0.wp.com/www.business-to-you.com/wp-content/uploads/2018/06/Porters-Diamond-Model.png?resize=480%2C401&amp;ssl=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0.wp.com/www.business-to-you.com/wp-content/uploads/2018/06/Porters-Diamond-Model.png?resize=480%2C401&amp;ssl=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72000" cy="3819525"/>
                    </a:xfrm>
                    <a:prstGeom prst="rect">
                      <a:avLst/>
                    </a:prstGeom>
                    <a:noFill/>
                    <a:ln>
                      <a:noFill/>
                    </a:ln>
                  </pic:spPr>
                </pic:pic>
              </a:graphicData>
            </a:graphic>
          </wp:inline>
        </w:drawing>
      </w:r>
    </w:p>
    <w:p w:rsidR="003D1CE0" w:rsidRPr="00070189" w:rsidRDefault="00070189" w:rsidP="00070189">
      <w:pPr>
        <w:pStyle w:val="Caption"/>
        <w:jc w:val="center"/>
        <w:rPr>
          <w:sz w:val="22"/>
        </w:rPr>
      </w:pPr>
      <w:r w:rsidRPr="00070189">
        <w:rPr>
          <w:sz w:val="22"/>
        </w:rPr>
        <w:t xml:space="preserve">Figure </w:t>
      </w:r>
      <w:r w:rsidRPr="00070189">
        <w:rPr>
          <w:sz w:val="22"/>
        </w:rPr>
        <w:fldChar w:fldCharType="begin"/>
      </w:r>
      <w:r w:rsidRPr="00070189">
        <w:rPr>
          <w:sz w:val="22"/>
        </w:rPr>
        <w:instrText xml:space="preserve"> SEQ Figure \* ARABIC </w:instrText>
      </w:r>
      <w:r w:rsidRPr="00070189">
        <w:rPr>
          <w:sz w:val="22"/>
        </w:rPr>
        <w:fldChar w:fldCharType="separate"/>
      </w:r>
      <w:r w:rsidR="006B20EE">
        <w:rPr>
          <w:noProof/>
          <w:sz w:val="22"/>
        </w:rPr>
        <w:t>2</w:t>
      </w:r>
      <w:r w:rsidRPr="00070189">
        <w:rPr>
          <w:sz w:val="22"/>
        </w:rPr>
        <w:fldChar w:fldCharType="end"/>
      </w:r>
      <w:r w:rsidRPr="00070189">
        <w:rPr>
          <w:sz w:val="22"/>
        </w:rPr>
        <w:t>: Porter's Diamond Analysis Framework</w:t>
      </w:r>
    </w:p>
    <w:p w:rsidR="008346F8" w:rsidRDefault="008346F8" w:rsidP="008346F8">
      <w:pPr>
        <w:pStyle w:val="Heading2"/>
      </w:pPr>
      <w:bookmarkStart w:id="3" w:name="_Toc227941075"/>
      <w:r>
        <w:lastRenderedPageBreak/>
        <w:t>Factor C</w:t>
      </w:r>
      <w:r w:rsidRPr="008346F8">
        <w:t>onditions</w:t>
      </w:r>
      <w:bookmarkEnd w:id="3"/>
    </w:p>
    <w:p w:rsidR="0016440C" w:rsidRDefault="0016440C" w:rsidP="0016440C">
      <w:pPr>
        <w:rPr>
          <w:b/>
          <w:bCs/>
          <w:i/>
        </w:rPr>
      </w:pPr>
      <w:r w:rsidRPr="0016440C">
        <w:t xml:space="preserve">The ready-made garments (RMG) sector of Bangladesh has developed its global market presence primarily on the basis of favourable factor endowments, notably the plague of low-cost labour and extensive experience in the manufacture of labour-intensive garments. It has helped the nation to rank as one of the major garment exporters in the world despite having rather poor industrial infrastructure in comparison to the more progressive manufacturing economies (Porter, 1990; </w:t>
      </w:r>
      <w:proofErr w:type="spellStart"/>
      <w:r w:rsidRPr="0016440C">
        <w:t>Moazzem</w:t>
      </w:r>
      <w:proofErr w:type="spellEnd"/>
      <w:r w:rsidRPr="0016440C">
        <w:t xml:space="preserve"> and </w:t>
      </w:r>
      <w:proofErr w:type="spellStart"/>
      <w:r w:rsidRPr="0016440C">
        <w:t>Sehrin</w:t>
      </w:r>
      <w:proofErr w:type="spellEnd"/>
      <w:r w:rsidRPr="0016440C">
        <w:t xml:space="preserve">, 2016). Porter however differentiates between basic and advanced factors, and Bangladesh continues to be stronger in terms of basic factors as compared to advanced factors. Although one of the key strengths is labour availability and scale of production, the industry also has weaknesses in productivity, technological upgrading, logistics efficiency, energy reliability and high-level design capability, which an industry might not be competitive in the future when global competition moves more towards speed than cost, innovation and flexibility (ADB, 2023; </w:t>
      </w:r>
      <w:proofErr w:type="spellStart"/>
      <w:r w:rsidRPr="0016440C">
        <w:t>Khatun</w:t>
      </w:r>
      <w:proofErr w:type="spellEnd"/>
      <w:r w:rsidRPr="0016440C">
        <w:t xml:space="preserve">, </w:t>
      </w:r>
      <w:proofErr w:type="spellStart"/>
      <w:r w:rsidRPr="0016440C">
        <w:t>Saadat</w:t>
      </w:r>
      <w:proofErr w:type="spellEnd"/>
      <w:r w:rsidRPr="0016440C">
        <w:t xml:space="preserve"> and </w:t>
      </w:r>
      <w:proofErr w:type="spellStart"/>
      <w:r w:rsidRPr="0016440C">
        <w:t>Mahbub</w:t>
      </w:r>
      <w:proofErr w:type="spellEnd"/>
      <w:r w:rsidRPr="0016440C">
        <w:t>, 2024).</w:t>
      </w:r>
    </w:p>
    <w:p w:rsidR="008346F8" w:rsidRDefault="008346F8" w:rsidP="008346F8">
      <w:pPr>
        <w:pStyle w:val="Heading2"/>
      </w:pPr>
      <w:bookmarkStart w:id="4" w:name="_Toc227941076"/>
      <w:r>
        <w:t>Demand C</w:t>
      </w:r>
      <w:r w:rsidRPr="008346F8">
        <w:t>onditions</w:t>
      </w:r>
      <w:bookmarkEnd w:id="4"/>
    </w:p>
    <w:p w:rsidR="008346F8" w:rsidRDefault="0016440C" w:rsidP="008346F8">
      <w:r w:rsidRPr="0016440C">
        <w:t>Demand conditions are further complicated by the fact that the RMG sector in Bangladesh is not being propelled by an advanced local demand but rather by an export demand. Porter suggests that high demand in the home-market can drive companies to innovate, yet in Bangladesh foreign consumers in the European Union and North America have influenced quality, compliance and delivery performance standards (Porter, 1990; ADB, 2023). This has assisted the Bangladeshi suppliers to enhance their process efficiency and responsiveness to buyers. Simultaneously, reliance on foreign demand implies that local companies tend to respond to foreign specifications instead of developing their own brands, fashion knowledge or consumer-driven innovation. Hence, the demand conditions favour the growth of exports but do not entirely promote the higher-value strategic upgrading in the industry (</w:t>
      </w:r>
      <w:proofErr w:type="spellStart"/>
      <w:r w:rsidRPr="0016440C">
        <w:t>Moazzem</w:t>
      </w:r>
      <w:proofErr w:type="spellEnd"/>
      <w:r w:rsidRPr="0016440C">
        <w:t xml:space="preserve"> and </w:t>
      </w:r>
      <w:proofErr w:type="spellStart"/>
      <w:r w:rsidRPr="0016440C">
        <w:t>Sehrin</w:t>
      </w:r>
      <w:proofErr w:type="spellEnd"/>
      <w:r w:rsidRPr="0016440C">
        <w:t xml:space="preserve">, 2016; </w:t>
      </w:r>
      <w:proofErr w:type="spellStart"/>
      <w:r w:rsidRPr="0016440C">
        <w:t>Khatun</w:t>
      </w:r>
      <w:proofErr w:type="spellEnd"/>
      <w:r w:rsidRPr="0016440C">
        <w:t xml:space="preserve">, </w:t>
      </w:r>
      <w:proofErr w:type="spellStart"/>
      <w:r w:rsidRPr="0016440C">
        <w:t>Saadat</w:t>
      </w:r>
      <w:proofErr w:type="spellEnd"/>
      <w:r w:rsidRPr="0016440C">
        <w:t xml:space="preserve"> and </w:t>
      </w:r>
      <w:proofErr w:type="spellStart"/>
      <w:r w:rsidRPr="0016440C">
        <w:t>Mahbub</w:t>
      </w:r>
      <w:proofErr w:type="spellEnd"/>
      <w:r w:rsidRPr="0016440C">
        <w:t>, 2024).</w:t>
      </w:r>
    </w:p>
    <w:p w:rsidR="008346F8" w:rsidRDefault="008346F8" w:rsidP="009267F3">
      <w:pPr>
        <w:pStyle w:val="Heading2"/>
      </w:pPr>
      <w:bookmarkStart w:id="5" w:name="_Toc227941077"/>
      <w:r w:rsidRPr="008346F8">
        <w:t>Related and Supporting Industries</w:t>
      </w:r>
      <w:bookmarkEnd w:id="5"/>
    </w:p>
    <w:p w:rsidR="008346F8" w:rsidRDefault="0016440C" w:rsidP="008346F8">
      <w:r w:rsidRPr="0016440C">
        <w:t xml:space="preserve">Bangladesh has built a comprehensive supporting system with garments, such as accessories, packaging, transport, port links and textile and spinning base. The related </w:t>
      </w:r>
      <w:r w:rsidRPr="0016440C">
        <w:lastRenderedPageBreak/>
        <w:t>industries have empowered the RMG sector, decreasing some lead-time strains and facilitating mass production of exports (</w:t>
      </w:r>
      <w:proofErr w:type="spellStart"/>
      <w:r w:rsidRPr="0016440C">
        <w:t>Khatun</w:t>
      </w:r>
      <w:proofErr w:type="spellEnd"/>
      <w:r w:rsidRPr="0016440C">
        <w:t xml:space="preserve">, </w:t>
      </w:r>
      <w:proofErr w:type="spellStart"/>
      <w:r w:rsidRPr="0016440C">
        <w:t>Saadat</w:t>
      </w:r>
      <w:proofErr w:type="spellEnd"/>
      <w:r w:rsidRPr="0016440C">
        <w:t xml:space="preserve"> and </w:t>
      </w:r>
      <w:proofErr w:type="spellStart"/>
      <w:r w:rsidRPr="0016440C">
        <w:t>Mahbub</w:t>
      </w:r>
      <w:proofErr w:type="spellEnd"/>
      <w:r w:rsidRPr="0016440C">
        <w:t>, 2024; Rahman and Anwar, 2016). However, the cluster is still not complete. Other value-added functions like high-level textile inputs, fashion design, international branding and retail distribution continue to be located outside Bangladesh, with certain sections of the industry relying on imported raw materials and intermediate goods. This constrains the value capture within the country and renders the sector less resilient than a completely integrated system of apparel would be (ADB, 2023; WTO, 2024).</w:t>
      </w:r>
    </w:p>
    <w:p w:rsidR="008346F8" w:rsidRDefault="008346F8" w:rsidP="008346F8">
      <w:pPr>
        <w:pStyle w:val="Heading2"/>
      </w:pPr>
      <w:bookmarkStart w:id="6" w:name="_Toc227941078"/>
      <w:r w:rsidRPr="008346F8">
        <w:t>Firm Strategy, Structure and Rivalry</w:t>
      </w:r>
      <w:bookmarkEnd w:id="6"/>
    </w:p>
    <w:p w:rsidR="008346F8" w:rsidRDefault="0016440C" w:rsidP="008346F8">
      <w:r w:rsidRPr="0016440C">
        <w:t>The industry structure also helps in manufacturing level competitiveness. Bangladesh is home to numerous domestic players which are large and operating at fierce price, scale, compliance, speed of delivery and long term buyer relationships. This competition has enhanced efficiency and process upgrading throughout the industry (</w:t>
      </w:r>
      <w:proofErr w:type="spellStart"/>
      <w:r w:rsidRPr="0016440C">
        <w:t>Moazzem</w:t>
      </w:r>
      <w:proofErr w:type="spellEnd"/>
      <w:r w:rsidRPr="0016440C">
        <w:t xml:space="preserve"> and </w:t>
      </w:r>
      <w:proofErr w:type="spellStart"/>
      <w:r w:rsidRPr="0016440C">
        <w:t>Sehrin</w:t>
      </w:r>
      <w:proofErr w:type="spellEnd"/>
      <w:r w:rsidRPr="0016440C">
        <w:t>, 2016; Porter, 1990). Nevertheless, competition occurs mostly in a buyer-oriented global value chain, where foreign retailers and brands keep the design, branding, marketing, and access to customers. Consequently, Bangladeshi companies compete intensely in the production sector, albeit predominantly in the lower end of the chain. This implies competition within the industry encourages efficiency in operations, but does not necessarily imply strategic control of the most lucrative aspects of the apparel sector (</w:t>
      </w:r>
      <w:proofErr w:type="spellStart"/>
      <w:r w:rsidRPr="0016440C">
        <w:t>Gereffi</w:t>
      </w:r>
      <w:proofErr w:type="spellEnd"/>
      <w:r w:rsidRPr="0016440C">
        <w:t xml:space="preserve"> and Frederick, 2010; </w:t>
      </w:r>
      <w:proofErr w:type="spellStart"/>
      <w:r w:rsidRPr="0016440C">
        <w:t>Khatun</w:t>
      </w:r>
      <w:proofErr w:type="spellEnd"/>
      <w:r w:rsidRPr="0016440C">
        <w:t xml:space="preserve">, </w:t>
      </w:r>
      <w:proofErr w:type="spellStart"/>
      <w:r w:rsidRPr="0016440C">
        <w:t>Saadat</w:t>
      </w:r>
      <w:proofErr w:type="spellEnd"/>
      <w:r w:rsidRPr="0016440C">
        <w:t xml:space="preserve"> and </w:t>
      </w:r>
      <w:proofErr w:type="spellStart"/>
      <w:r w:rsidRPr="0016440C">
        <w:t>Mahbub</w:t>
      </w:r>
      <w:proofErr w:type="spellEnd"/>
      <w:r w:rsidRPr="0016440C">
        <w:t>, 2024).</w:t>
      </w:r>
    </w:p>
    <w:p w:rsidR="003D1CE0" w:rsidRDefault="00070189" w:rsidP="003D1CE0">
      <w:pPr>
        <w:pStyle w:val="Heading2"/>
      </w:pPr>
      <w:bookmarkStart w:id="7" w:name="_Toc227941079"/>
      <w:r>
        <w:t xml:space="preserve">Role of </w:t>
      </w:r>
      <w:r w:rsidR="003D1CE0" w:rsidRPr="003D1CE0">
        <w:t>Government</w:t>
      </w:r>
      <w:bookmarkEnd w:id="7"/>
    </w:p>
    <w:p w:rsidR="008346F8" w:rsidRDefault="0016440C" w:rsidP="008346F8">
      <w:r w:rsidRPr="0016440C">
        <w:t xml:space="preserve">The government has been a big facilitator in the growth of the RMG sector. The fast-growth of garment manufacturing in Bangladesh has been supported by export incentives, bonded warehouse and wider support of export-led industrialisation (ADB, 2023; </w:t>
      </w:r>
      <w:proofErr w:type="spellStart"/>
      <w:r w:rsidRPr="0016440C">
        <w:t>Khatun</w:t>
      </w:r>
      <w:proofErr w:type="spellEnd"/>
      <w:r w:rsidRPr="0016440C">
        <w:t xml:space="preserve">, </w:t>
      </w:r>
      <w:proofErr w:type="spellStart"/>
      <w:r w:rsidRPr="0016440C">
        <w:t>Saadat</w:t>
      </w:r>
      <w:proofErr w:type="spellEnd"/>
      <w:r w:rsidRPr="0016440C">
        <w:t xml:space="preserve"> and </w:t>
      </w:r>
      <w:proofErr w:type="spellStart"/>
      <w:r w:rsidRPr="0016440C">
        <w:t>Mahbub</w:t>
      </w:r>
      <w:proofErr w:type="spellEnd"/>
      <w:r w:rsidRPr="0016440C">
        <w:t xml:space="preserve">, 2024). Concurrently, the role of government has been ambivalent since the institutional weaknesses still persist in influencing the business environment. The industry continues to face productivity loss and reputational risk due to infrastructure bottlenecks, inconsistency in regulations, labour-governance issues and skills deficiency. The safety regulation and monitoring post-Rana Plaza reinforced trust in the industry, yet, to be successful in the long-run, the state needs to be capable of </w:t>
      </w:r>
      <w:r w:rsidRPr="0016440C">
        <w:lastRenderedPageBreak/>
        <w:t>facilitating more profound upgrading, not another cheap expansion (Chakraborty, 2023; Porter, 1990).</w:t>
      </w:r>
    </w:p>
    <w:p w:rsidR="008346F8" w:rsidRDefault="00070189" w:rsidP="003D1CE0">
      <w:pPr>
        <w:pStyle w:val="Heading2"/>
      </w:pPr>
      <w:bookmarkStart w:id="8" w:name="_Toc227941080"/>
      <w:r>
        <w:t xml:space="preserve">Role of </w:t>
      </w:r>
      <w:r w:rsidR="003D1CE0" w:rsidRPr="003D1CE0">
        <w:t>Chance and External Shocks</w:t>
      </w:r>
      <w:bookmarkEnd w:id="8"/>
      <w:r w:rsidR="003D1CE0">
        <w:tab/>
      </w:r>
    </w:p>
    <w:p w:rsidR="00672C74" w:rsidRDefault="0016440C" w:rsidP="008346F8">
      <w:r w:rsidRPr="0016440C">
        <w:t>The element of chance has also been significant in the direction of the sector. The removal of the Multi-Fibre Arrangement provided Bangladesh with a chance to grow rapidly in terms of global garment exports, and subsequent shocks like Rana Plaza and the COVID-19 pandemic and shifting sourcing trends revealed the fragility of an export-based model (</w:t>
      </w:r>
      <w:proofErr w:type="spellStart"/>
      <w:r w:rsidRPr="0016440C">
        <w:t>Moazzem</w:t>
      </w:r>
      <w:proofErr w:type="spellEnd"/>
      <w:r w:rsidRPr="0016440C">
        <w:t xml:space="preserve"> and </w:t>
      </w:r>
      <w:proofErr w:type="spellStart"/>
      <w:r w:rsidRPr="0016440C">
        <w:t>Sehrin</w:t>
      </w:r>
      <w:proofErr w:type="spellEnd"/>
      <w:r w:rsidRPr="0016440C">
        <w:t xml:space="preserve">, 2016; </w:t>
      </w:r>
      <w:proofErr w:type="spellStart"/>
      <w:r w:rsidRPr="0016440C">
        <w:t>Mostafiz</w:t>
      </w:r>
      <w:proofErr w:type="spellEnd"/>
      <w:r w:rsidRPr="0016440C">
        <w:t xml:space="preserve"> et al., 2022). The industry had little to do with the creation of these events, which, however, had a great impact on buyer behaviour, compliance expectations and structural adjustment pace. The model by Porter implies that the chance may enhance or undermine national advantage, which has been the case in Bangladesh: both providing major growth potentials and exposing the fragility of cost-led competitiveness to external pressures (Porter, 1990; </w:t>
      </w:r>
      <w:proofErr w:type="spellStart"/>
      <w:r w:rsidRPr="0016440C">
        <w:t>Mostafiz</w:t>
      </w:r>
      <w:proofErr w:type="spellEnd"/>
      <w:r w:rsidRPr="0016440C">
        <w:t xml:space="preserve"> et al., 2022).</w:t>
      </w:r>
    </w:p>
    <w:p w:rsidR="00070189" w:rsidRPr="00070189" w:rsidRDefault="00070189" w:rsidP="00070189">
      <w:pPr>
        <w:pStyle w:val="Caption"/>
        <w:keepNext/>
        <w:rPr>
          <w:sz w:val="22"/>
        </w:rPr>
      </w:pPr>
      <w:r w:rsidRPr="00070189">
        <w:rPr>
          <w:sz w:val="22"/>
        </w:rPr>
        <w:t xml:space="preserve">Table </w:t>
      </w:r>
      <w:r w:rsidRPr="00070189">
        <w:rPr>
          <w:sz w:val="22"/>
        </w:rPr>
        <w:fldChar w:fldCharType="begin"/>
      </w:r>
      <w:r w:rsidRPr="00070189">
        <w:rPr>
          <w:sz w:val="22"/>
        </w:rPr>
        <w:instrText xml:space="preserve"> SEQ Table \* ARABIC </w:instrText>
      </w:r>
      <w:r w:rsidRPr="00070189">
        <w:rPr>
          <w:sz w:val="22"/>
        </w:rPr>
        <w:fldChar w:fldCharType="separate"/>
      </w:r>
      <w:r w:rsidRPr="00070189">
        <w:rPr>
          <w:noProof/>
          <w:sz w:val="22"/>
        </w:rPr>
        <w:t>1</w:t>
      </w:r>
      <w:r w:rsidRPr="00070189">
        <w:rPr>
          <w:sz w:val="22"/>
        </w:rPr>
        <w:fldChar w:fldCharType="end"/>
      </w:r>
      <w:r w:rsidRPr="00070189">
        <w:rPr>
          <w:sz w:val="22"/>
        </w:rPr>
        <w:t>: Porter's Diamond Analysis of Bangladesh RMG Industry</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306"/>
        <w:gridCol w:w="7044"/>
      </w:tblGrid>
      <w:tr w:rsidR="00070189" w:rsidRPr="00070189" w:rsidTr="00070189">
        <w:trPr>
          <w:tblHeader/>
          <w:tblCellSpacing w:w="15" w:type="dxa"/>
        </w:trPr>
        <w:tc>
          <w:tcPr>
            <w:tcW w:w="0" w:type="auto"/>
            <w:vAlign w:val="center"/>
            <w:hideMark/>
          </w:tcPr>
          <w:p w:rsidR="00070189" w:rsidRPr="00070189" w:rsidRDefault="00070189" w:rsidP="00070189">
            <w:pPr>
              <w:spacing w:after="0"/>
              <w:jc w:val="center"/>
              <w:rPr>
                <w:rFonts w:asciiTheme="minorHAnsi" w:eastAsia="Times New Roman" w:hAnsiTheme="minorHAnsi" w:cstheme="minorHAnsi"/>
                <w:b/>
                <w:bCs/>
                <w:szCs w:val="24"/>
                <w:lang w:eastAsia="en-GB"/>
              </w:rPr>
            </w:pPr>
            <w:r w:rsidRPr="00070189">
              <w:rPr>
                <w:rFonts w:asciiTheme="minorHAnsi" w:eastAsia="Times New Roman" w:hAnsiTheme="minorHAnsi" w:cstheme="minorHAnsi"/>
                <w:b/>
                <w:bCs/>
                <w:szCs w:val="24"/>
                <w:lang w:eastAsia="en-GB"/>
              </w:rPr>
              <w:t>Element</w:t>
            </w:r>
          </w:p>
        </w:tc>
        <w:tc>
          <w:tcPr>
            <w:tcW w:w="0" w:type="auto"/>
            <w:vAlign w:val="center"/>
            <w:hideMark/>
          </w:tcPr>
          <w:p w:rsidR="00070189" w:rsidRPr="00070189" w:rsidRDefault="00070189" w:rsidP="00070189">
            <w:pPr>
              <w:spacing w:after="0"/>
              <w:jc w:val="center"/>
              <w:rPr>
                <w:rFonts w:asciiTheme="minorHAnsi" w:eastAsia="Times New Roman" w:hAnsiTheme="minorHAnsi" w:cstheme="minorHAnsi"/>
                <w:b/>
                <w:bCs/>
                <w:szCs w:val="24"/>
                <w:lang w:eastAsia="en-GB"/>
              </w:rPr>
            </w:pPr>
            <w:r w:rsidRPr="00070189">
              <w:rPr>
                <w:rFonts w:asciiTheme="minorHAnsi" w:eastAsia="Times New Roman" w:hAnsiTheme="minorHAnsi" w:cstheme="minorHAnsi"/>
                <w:b/>
                <w:bCs/>
                <w:szCs w:val="24"/>
                <w:lang w:eastAsia="en-GB"/>
              </w:rPr>
              <w:t>Summary for Bangladesh RMG Industry</w:t>
            </w:r>
          </w:p>
        </w:tc>
      </w:tr>
      <w:tr w:rsidR="00070189" w:rsidRPr="00070189" w:rsidTr="00070189">
        <w:trPr>
          <w:tblCellSpacing w:w="15" w:type="dxa"/>
        </w:trPr>
        <w:tc>
          <w:tcPr>
            <w:tcW w:w="0" w:type="auto"/>
            <w:vAlign w:val="center"/>
            <w:hideMark/>
          </w:tcPr>
          <w:p w:rsidR="00070189" w:rsidRPr="00070189" w:rsidRDefault="00070189" w:rsidP="00070189">
            <w:pPr>
              <w:spacing w:after="0"/>
              <w:jc w:val="left"/>
              <w:rPr>
                <w:rFonts w:asciiTheme="minorHAnsi" w:eastAsia="Times New Roman" w:hAnsiTheme="minorHAnsi" w:cstheme="minorHAnsi"/>
                <w:szCs w:val="24"/>
                <w:lang w:eastAsia="en-GB"/>
              </w:rPr>
            </w:pPr>
            <w:r w:rsidRPr="00070189">
              <w:rPr>
                <w:rFonts w:asciiTheme="minorHAnsi" w:eastAsia="Times New Roman" w:hAnsiTheme="minorHAnsi" w:cstheme="minorHAnsi"/>
                <w:b/>
                <w:bCs/>
                <w:szCs w:val="24"/>
                <w:lang w:eastAsia="en-GB"/>
              </w:rPr>
              <w:t>Factor Conditions</w:t>
            </w:r>
          </w:p>
        </w:tc>
        <w:tc>
          <w:tcPr>
            <w:tcW w:w="0" w:type="auto"/>
            <w:vAlign w:val="center"/>
            <w:hideMark/>
          </w:tcPr>
          <w:p w:rsidR="00070189" w:rsidRPr="00070189" w:rsidRDefault="00070189" w:rsidP="00070189">
            <w:pPr>
              <w:spacing w:after="0"/>
              <w:jc w:val="left"/>
              <w:rPr>
                <w:rFonts w:asciiTheme="minorHAnsi" w:eastAsia="Times New Roman" w:hAnsiTheme="minorHAnsi" w:cstheme="minorHAnsi"/>
                <w:szCs w:val="24"/>
                <w:lang w:eastAsia="en-GB"/>
              </w:rPr>
            </w:pPr>
            <w:r w:rsidRPr="00070189">
              <w:rPr>
                <w:rFonts w:asciiTheme="minorHAnsi" w:eastAsia="Times New Roman" w:hAnsiTheme="minorHAnsi" w:cstheme="minorHAnsi"/>
                <w:szCs w:val="24"/>
                <w:lang w:eastAsia="en-GB"/>
              </w:rPr>
              <w:t xml:space="preserve">Strong in low-cost labour, production scale and labour-intensive manufacturing, but weaker in advanced capabilities such as innovation, logistics and technological depth (Porter, 1990; </w:t>
            </w:r>
            <w:proofErr w:type="spellStart"/>
            <w:r w:rsidRPr="00070189">
              <w:rPr>
                <w:rFonts w:asciiTheme="minorHAnsi" w:eastAsia="Times New Roman" w:hAnsiTheme="minorHAnsi" w:cstheme="minorHAnsi"/>
                <w:szCs w:val="24"/>
                <w:lang w:eastAsia="en-GB"/>
              </w:rPr>
              <w:t>Khatun</w:t>
            </w:r>
            <w:proofErr w:type="spellEnd"/>
            <w:r w:rsidRPr="00070189">
              <w:rPr>
                <w:rFonts w:asciiTheme="minorHAnsi" w:eastAsia="Times New Roman" w:hAnsiTheme="minorHAnsi" w:cstheme="minorHAnsi"/>
                <w:szCs w:val="24"/>
                <w:lang w:eastAsia="en-GB"/>
              </w:rPr>
              <w:t xml:space="preserve">, </w:t>
            </w:r>
            <w:proofErr w:type="spellStart"/>
            <w:r w:rsidRPr="00070189">
              <w:rPr>
                <w:rFonts w:asciiTheme="minorHAnsi" w:eastAsia="Times New Roman" w:hAnsiTheme="minorHAnsi" w:cstheme="minorHAnsi"/>
                <w:szCs w:val="24"/>
                <w:lang w:eastAsia="en-GB"/>
              </w:rPr>
              <w:t>Saadat</w:t>
            </w:r>
            <w:proofErr w:type="spellEnd"/>
            <w:r w:rsidRPr="00070189">
              <w:rPr>
                <w:rFonts w:asciiTheme="minorHAnsi" w:eastAsia="Times New Roman" w:hAnsiTheme="minorHAnsi" w:cstheme="minorHAnsi"/>
                <w:szCs w:val="24"/>
                <w:lang w:eastAsia="en-GB"/>
              </w:rPr>
              <w:t xml:space="preserve"> and </w:t>
            </w:r>
            <w:proofErr w:type="spellStart"/>
            <w:r w:rsidRPr="00070189">
              <w:rPr>
                <w:rFonts w:asciiTheme="minorHAnsi" w:eastAsia="Times New Roman" w:hAnsiTheme="minorHAnsi" w:cstheme="minorHAnsi"/>
                <w:szCs w:val="24"/>
                <w:lang w:eastAsia="en-GB"/>
              </w:rPr>
              <w:t>Mahbub</w:t>
            </w:r>
            <w:proofErr w:type="spellEnd"/>
            <w:r w:rsidRPr="00070189">
              <w:rPr>
                <w:rFonts w:asciiTheme="minorHAnsi" w:eastAsia="Times New Roman" w:hAnsiTheme="minorHAnsi" w:cstheme="minorHAnsi"/>
                <w:szCs w:val="24"/>
                <w:lang w:eastAsia="en-GB"/>
              </w:rPr>
              <w:t>, 2024).</w:t>
            </w:r>
          </w:p>
        </w:tc>
      </w:tr>
      <w:tr w:rsidR="00070189" w:rsidRPr="00070189" w:rsidTr="00070189">
        <w:trPr>
          <w:tblCellSpacing w:w="15" w:type="dxa"/>
        </w:trPr>
        <w:tc>
          <w:tcPr>
            <w:tcW w:w="0" w:type="auto"/>
            <w:vAlign w:val="center"/>
            <w:hideMark/>
          </w:tcPr>
          <w:p w:rsidR="00070189" w:rsidRPr="00070189" w:rsidRDefault="00070189" w:rsidP="00070189">
            <w:pPr>
              <w:spacing w:after="0"/>
              <w:jc w:val="left"/>
              <w:rPr>
                <w:rFonts w:asciiTheme="minorHAnsi" w:eastAsia="Times New Roman" w:hAnsiTheme="minorHAnsi" w:cstheme="minorHAnsi"/>
                <w:szCs w:val="24"/>
                <w:lang w:eastAsia="en-GB"/>
              </w:rPr>
            </w:pPr>
            <w:r w:rsidRPr="00070189">
              <w:rPr>
                <w:rFonts w:asciiTheme="minorHAnsi" w:eastAsia="Times New Roman" w:hAnsiTheme="minorHAnsi" w:cstheme="minorHAnsi"/>
                <w:b/>
                <w:bCs/>
                <w:szCs w:val="24"/>
                <w:lang w:eastAsia="en-GB"/>
              </w:rPr>
              <w:t>Demand Conditions</w:t>
            </w:r>
          </w:p>
        </w:tc>
        <w:tc>
          <w:tcPr>
            <w:tcW w:w="0" w:type="auto"/>
            <w:vAlign w:val="center"/>
            <w:hideMark/>
          </w:tcPr>
          <w:p w:rsidR="00070189" w:rsidRPr="00070189" w:rsidRDefault="00070189" w:rsidP="00070189">
            <w:pPr>
              <w:spacing w:after="0"/>
              <w:jc w:val="left"/>
              <w:rPr>
                <w:rFonts w:asciiTheme="minorHAnsi" w:eastAsia="Times New Roman" w:hAnsiTheme="minorHAnsi" w:cstheme="minorHAnsi"/>
                <w:szCs w:val="24"/>
                <w:lang w:eastAsia="en-GB"/>
              </w:rPr>
            </w:pPr>
            <w:r w:rsidRPr="00070189">
              <w:rPr>
                <w:rFonts w:asciiTheme="minorHAnsi" w:eastAsia="Times New Roman" w:hAnsiTheme="minorHAnsi" w:cstheme="minorHAnsi"/>
                <w:szCs w:val="24"/>
                <w:lang w:eastAsia="en-GB"/>
              </w:rPr>
              <w:t>Growth is mainly driven by foreign demand from EU and US buyers, which supports quality and compliance upgrading, but limits local strategic autonomy and brand development (</w:t>
            </w:r>
            <w:proofErr w:type="spellStart"/>
            <w:r w:rsidRPr="00070189">
              <w:rPr>
                <w:rFonts w:asciiTheme="minorHAnsi" w:eastAsia="Times New Roman" w:hAnsiTheme="minorHAnsi" w:cstheme="minorHAnsi"/>
                <w:szCs w:val="24"/>
                <w:lang w:eastAsia="en-GB"/>
              </w:rPr>
              <w:t>Moazzem</w:t>
            </w:r>
            <w:proofErr w:type="spellEnd"/>
            <w:r w:rsidRPr="00070189">
              <w:rPr>
                <w:rFonts w:asciiTheme="minorHAnsi" w:eastAsia="Times New Roman" w:hAnsiTheme="minorHAnsi" w:cstheme="minorHAnsi"/>
                <w:szCs w:val="24"/>
                <w:lang w:eastAsia="en-GB"/>
              </w:rPr>
              <w:t xml:space="preserve"> and </w:t>
            </w:r>
            <w:proofErr w:type="spellStart"/>
            <w:r w:rsidRPr="00070189">
              <w:rPr>
                <w:rFonts w:asciiTheme="minorHAnsi" w:eastAsia="Times New Roman" w:hAnsiTheme="minorHAnsi" w:cstheme="minorHAnsi"/>
                <w:szCs w:val="24"/>
                <w:lang w:eastAsia="en-GB"/>
              </w:rPr>
              <w:t>Sehrin</w:t>
            </w:r>
            <w:proofErr w:type="spellEnd"/>
            <w:r w:rsidRPr="00070189">
              <w:rPr>
                <w:rFonts w:asciiTheme="minorHAnsi" w:eastAsia="Times New Roman" w:hAnsiTheme="minorHAnsi" w:cstheme="minorHAnsi"/>
                <w:szCs w:val="24"/>
                <w:lang w:eastAsia="en-GB"/>
              </w:rPr>
              <w:t>, 2016).</w:t>
            </w:r>
          </w:p>
        </w:tc>
      </w:tr>
      <w:tr w:rsidR="00070189" w:rsidRPr="00070189" w:rsidTr="00070189">
        <w:trPr>
          <w:tblCellSpacing w:w="15" w:type="dxa"/>
        </w:trPr>
        <w:tc>
          <w:tcPr>
            <w:tcW w:w="0" w:type="auto"/>
            <w:vAlign w:val="center"/>
            <w:hideMark/>
          </w:tcPr>
          <w:p w:rsidR="00070189" w:rsidRPr="00070189" w:rsidRDefault="00070189" w:rsidP="00070189">
            <w:pPr>
              <w:spacing w:after="0"/>
              <w:jc w:val="left"/>
              <w:rPr>
                <w:rFonts w:asciiTheme="minorHAnsi" w:eastAsia="Times New Roman" w:hAnsiTheme="minorHAnsi" w:cstheme="minorHAnsi"/>
                <w:szCs w:val="24"/>
                <w:lang w:eastAsia="en-GB"/>
              </w:rPr>
            </w:pPr>
            <w:r w:rsidRPr="00070189">
              <w:rPr>
                <w:rFonts w:asciiTheme="minorHAnsi" w:eastAsia="Times New Roman" w:hAnsiTheme="minorHAnsi" w:cstheme="minorHAnsi"/>
                <w:b/>
                <w:bCs/>
                <w:szCs w:val="24"/>
                <w:lang w:eastAsia="en-GB"/>
              </w:rPr>
              <w:t>Associated and Supporting Industries</w:t>
            </w:r>
          </w:p>
        </w:tc>
        <w:tc>
          <w:tcPr>
            <w:tcW w:w="0" w:type="auto"/>
            <w:vAlign w:val="center"/>
            <w:hideMark/>
          </w:tcPr>
          <w:p w:rsidR="00070189" w:rsidRPr="00070189" w:rsidRDefault="00070189" w:rsidP="00070189">
            <w:pPr>
              <w:spacing w:after="0"/>
              <w:jc w:val="left"/>
              <w:rPr>
                <w:rFonts w:asciiTheme="minorHAnsi" w:eastAsia="Times New Roman" w:hAnsiTheme="minorHAnsi" w:cstheme="minorHAnsi"/>
                <w:szCs w:val="24"/>
                <w:lang w:eastAsia="en-GB"/>
              </w:rPr>
            </w:pPr>
            <w:r w:rsidRPr="00070189">
              <w:rPr>
                <w:rFonts w:asciiTheme="minorHAnsi" w:eastAsia="Times New Roman" w:hAnsiTheme="minorHAnsi" w:cstheme="minorHAnsi"/>
                <w:szCs w:val="24"/>
                <w:lang w:eastAsia="en-GB"/>
              </w:rPr>
              <w:t>Bangladesh has built a broad garment-related ecosystem, including textiles, accessories and logistics, but higher-value functions such as design and branding remain largely outside the country (</w:t>
            </w:r>
            <w:proofErr w:type="spellStart"/>
            <w:r w:rsidRPr="00070189">
              <w:rPr>
                <w:rFonts w:asciiTheme="minorHAnsi" w:eastAsia="Times New Roman" w:hAnsiTheme="minorHAnsi" w:cstheme="minorHAnsi"/>
                <w:szCs w:val="24"/>
                <w:lang w:eastAsia="en-GB"/>
              </w:rPr>
              <w:t>Gereffi</w:t>
            </w:r>
            <w:proofErr w:type="spellEnd"/>
            <w:r w:rsidRPr="00070189">
              <w:rPr>
                <w:rFonts w:asciiTheme="minorHAnsi" w:eastAsia="Times New Roman" w:hAnsiTheme="minorHAnsi" w:cstheme="minorHAnsi"/>
                <w:szCs w:val="24"/>
                <w:lang w:eastAsia="en-GB"/>
              </w:rPr>
              <w:t xml:space="preserve"> and Frederick, 2010).</w:t>
            </w:r>
          </w:p>
        </w:tc>
      </w:tr>
      <w:tr w:rsidR="00070189" w:rsidRPr="00070189" w:rsidTr="00070189">
        <w:trPr>
          <w:tblCellSpacing w:w="15" w:type="dxa"/>
        </w:trPr>
        <w:tc>
          <w:tcPr>
            <w:tcW w:w="0" w:type="auto"/>
            <w:vAlign w:val="center"/>
            <w:hideMark/>
          </w:tcPr>
          <w:p w:rsidR="00070189" w:rsidRPr="00070189" w:rsidRDefault="00070189" w:rsidP="00070189">
            <w:pPr>
              <w:spacing w:after="0"/>
              <w:jc w:val="left"/>
              <w:rPr>
                <w:rFonts w:asciiTheme="minorHAnsi" w:eastAsia="Times New Roman" w:hAnsiTheme="minorHAnsi" w:cstheme="minorHAnsi"/>
                <w:szCs w:val="24"/>
                <w:lang w:eastAsia="en-GB"/>
              </w:rPr>
            </w:pPr>
            <w:r w:rsidRPr="00070189">
              <w:rPr>
                <w:rFonts w:asciiTheme="minorHAnsi" w:eastAsia="Times New Roman" w:hAnsiTheme="minorHAnsi" w:cstheme="minorHAnsi"/>
                <w:b/>
                <w:bCs/>
                <w:szCs w:val="24"/>
                <w:lang w:eastAsia="en-GB"/>
              </w:rPr>
              <w:lastRenderedPageBreak/>
              <w:t>Strategy, Structure and Competition</w:t>
            </w:r>
          </w:p>
        </w:tc>
        <w:tc>
          <w:tcPr>
            <w:tcW w:w="0" w:type="auto"/>
            <w:vAlign w:val="center"/>
            <w:hideMark/>
          </w:tcPr>
          <w:p w:rsidR="00070189" w:rsidRPr="00070189" w:rsidRDefault="00070189" w:rsidP="00070189">
            <w:pPr>
              <w:spacing w:after="0"/>
              <w:jc w:val="left"/>
              <w:rPr>
                <w:rFonts w:asciiTheme="minorHAnsi" w:eastAsia="Times New Roman" w:hAnsiTheme="minorHAnsi" w:cstheme="minorHAnsi"/>
                <w:szCs w:val="24"/>
                <w:lang w:eastAsia="en-GB"/>
              </w:rPr>
            </w:pPr>
            <w:r w:rsidRPr="00070189">
              <w:rPr>
                <w:rFonts w:asciiTheme="minorHAnsi" w:eastAsia="Times New Roman" w:hAnsiTheme="minorHAnsi" w:cstheme="minorHAnsi"/>
                <w:szCs w:val="24"/>
                <w:lang w:eastAsia="en-GB"/>
              </w:rPr>
              <w:t xml:space="preserve">Strong rivalry among domestic manufacturers improves efficiency and export responsiveness, but competition is mostly within buyer-driven, lower-value manufacturing segments (Porter, 1990; </w:t>
            </w:r>
            <w:proofErr w:type="spellStart"/>
            <w:r w:rsidRPr="00070189">
              <w:rPr>
                <w:rFonts w:asciiTheme="minorHAnsi" w:eastAsia="Times New Roman" w:hAnsiTheme="minorHAnsi" w:cstheme="minorHAnsi"/>
                <w:szCs w:val="24"/>
                <w:lang w:eastAsia="en-GB"/>
              </w:rPr>
              <w:t>Moazzem</w:t>
            </w:r>
            <w:proofErr w:type="spellEnd"/>
            <w:r w:rsidRPr="00070189">
              <w:rPr>
                <w:rFonts w:asciiTheme="minorHAnsi" w:eastAsia="Times New Roman" w:hAnsiTheme="minorHAnsi" w:cstheme="minorHAnsi"/>
                <w:szCs w:val="24"/>
                <w:lang w:eastAsia="en-GB"/>
              </w:rPr>
              <w:t xml:space="preserve"> and </w:t>
            </w:r>
            <w:proofErr w:type="spellStart"/>
            <w:r w:rsidRPr="00070189">
              <w:rPr>
                <w:rFonts w:asciiTheme="minorHAnsi" w:eastAsia="Times New Roman" w:hAnsiTheme="minorHAnsi" w:cstheme="minorHAnsi"/>
                <w:szCs w:val="24"/>
                <w:lang w:eastAsia="en-GB"/>
              </w:rPr>
              <w:t>Sehrin</w:t>
            </w:r>
            <w:proofErr w:type="spellEnd"/>
            <w:r w:rsidRPr="00070189">
              <w:rPr>
                <w:rFonts w:asciiTheme="minorHAnsi" w:eastAsia="Times New Roman" w:hAnsiTheme="minorHAnsi" w:cstheme="minorHAnsi"/>
                <w:szCs w:val="24"/>
                <w:lang w:eastAsia="en-GB"/>
              </w:rPr>
              <w:t>, 2016).</w:t>
            </w:r>
          </w:p>
        </w:tc>
      </w:tr>
      <w:tr w:rsidR="00070189" w:rsidRPr="00070189" w:rsidTr="00070189">
        <w:trPr>
          <w:tblCellSpacing w:w="15" w:type="dxa"/>
        </w:trPr>
        <w:tc>
          <w:tcPr>
            <w:tcW w:w="0" w:type="auto"/>
            <w:vAlign w:val="center"/>
            <w:hideMark/>
          </w:tcPr>
          <w:p w:rsidR="00070189" w:rsidRPr="00070189" w:rsidRDefault="00070189" w:rsidP="00070189">
            <w:pPr>
              <w:spacing w:after="0"/>
              <w:jc w:val="left"/>
              <w:rPr>
                <w:rFonts w:asciiTheme="minorHAnsi" w:eastAsia="Times New Roman" w:hAnsiTheme="minorHAnsi" w:cstheme="minorHAnsi"/>
                <w:szCs w:val="24"/>
                <w:lang w:eastAsia="en-GB"/>
              </w:rPr>
            </w:pPr>
            <w:r w:rsidRPr="00070189">
              <w:rPr>
                <w:rFonts w:asciiTheme="minorHAnsi" w:eastAsia="Times New Roman" w:hAnsiTheme="minorHAnsi" w:cstheme="minorHAnsi"/>
                <w:b/>
                <w:bCs/>
                <w:szCs w:val="24"/>
                <w:lang w:eastAsia="en-GB"/>
              </w:rPr>
              <w:t>Role of Government</w:t>
            </w:r>
          </w:p>
        </w:tc>
        <w:tc>
          <w:tcPr>
            <w:tcW w:w="0" w:type="auto"/>
            <w:vAlign w:val="center"/>
            <w:hideMark/>
          </w:tcPr>
          <w:p w:rsidR="00070189" w:rsidRPr="00070189" w:rsidRDefault="00070189" w:rsidP="00070189">
            <w:pPr>
              <w:spacing w:after="0"/>
              <w:jc w:val="left"/>
              <w:rPr>
                <w:rFonts w:asciiTheme="minorHAnsi" w:eastAsia="Times New Roman" w:hAnsiTheme="minorHAnsi" w:cstheme="minorHAnsi"/>
                <w:szCs w:val="24"/>
                <w:lang w:eastAsia="en-GB"/>
              </w:rPr>
            </w:pPr>
            <w:r w:rsidRPr="00070189">
              <w:rPr>
                <w:rFonts w:asciiTheme="minorHAnsi" w:eastAsia="Times New Roman" w:hAnsiTheme="minorHAnsi" w:cstheme="minorHAnsi"/>
                <w:szCs w:val="24"/>
                <w:lang w:eastAsia="en-GB"/>
              </w:rPr>
              <w:t>Government support through export incentives and policy focus has helped sector growth, though infrastructure, labour governance and regulatory weaknesses still constrain upgrading (ADB, 2023).</w:t>
            </w:r>
          </w:p>
        </w:tc>
      </w:tr>
      <w:tr w:rsidR="00070189" w:rsidRPr="00070189" w:rsidTr="00070189">
        <w:trPr>
          <w:tblCellSpacing w:w="15" w:type="dxa"/>
        </w:trPr>
        <w:tc>
          <w:tcPr>
            <w:tcW w:w="0" w:type="auto"/>
            <w:vAlign w:val="center"/>
            <w:hideMark/>
          </w:tcPr>
          <w:p w:rsidR="00070189" w:rsidRPr="00070189" w:rsidRDefault="00070189" w:rsidP="00070189">
            <w:pPr>
              <w:spacing w:after="0"/>
              <w:jc w:val="left"/>
              <w:rPr>
                <w:rFonts w:asciiTheme="minorHAnsi" w:eastAsia="Times New Roman" w:hAnsiTheme="minorHAnsi" w:cstheme="minorHAnsi"/>
                <w:szCs w:val="24"/>
                <w:lang w:eastAsia="en-GB"/>
              </w:rPr>
            </w:pPr>
            <w:r w:rsidRPr="00070189">
              <w:rPr>
                <w:rFonts w:asciiTheme="minorHAnsi" w:eastAsia="Times New Roman" w:hAnsiTheme="minorHAnsi" w:cstheme="minorHAnsi"/>
                <w:b/>
                <w:bCs/>
                <w:szCs w:val="24"/>
                <w:lang w:eastAsia="en-GB"/>
              </w:rPr>
              <w:t>Role of Chance</w:t>
            </w:r>
          </w:p>
        </w:tc>
        <w:tc>
          <w:tcPr>
            <w:tcW w:w="0" w:type="auto"/>
            <w:vAlign w:val="center"/>
            <w:hideMark/>
          </w:tcPr>
          <w:p w:rsidR="00070189" w:rsidRPr="00070189" w:rsidRDefault="00070189" w:rsidP="00070189">
            <w:pPr>
              <w:spacing w:after="0"/>
              <w:jc w:val="left"/>
              <w:rPr>
                <w:rFonts w:asciiTheme="minorHAnsi" w:eastAsia="Times New Roman" w:hAnsiTheme="minorHAnsi" w:cstheme="minorHAnsi"/>
                <w:szCs w:val="24"/>
                <w:lang w:eastAsia="en-GB"/>
              </w:rPr>
            </w:pPr>
            <w:r w:rsidRPr="00070189">
              <w:rPr>
                <w:rFonts w:asciiTheme="minorHAnsi" w:eastAsia="Times New Roman" w:hAnsiTheme="minorHAnsi" w:cstheme="minorHAnsi"/>
                <w:szCs w:val="24"/>
                <w:lang w:eastAsia="en-GB"/>
              </w:rPr>
              <w:t>External events such as post-MFA changes, Rana Plaza and COVID-19 created both growth opportunities and vulnerabilities, showing the industry’s dependence on global conditions (</w:t>
            </w:r>
            <w:proofErr w:type="spellStart"/>
            <w:r w:rsidRPr="00070189">
              <w:rPr>
                <w:rFonts w:asciiTheme="minorHAnsi" w:eastAsia="Times New Roman" w:hAnsiTheme="minorHAnsi" w:cstheme="minorHAnsi"/>
                <w:szCs w:val="24"/>
                <w:lang w:eastAsia="en-GB"/>
              </w:rPr>
              <w:t>Mostafiz</w:t>
            </w:r>
            <w:proofErr w:type="spellEnd"/>
            <w:r w:rsidRPr="00070189">
              <w:rPr>
                <w:rFonts w:asciiTheme="minorHAnsi" w:eastAsia="Times New Roman" w:hAnsiTheme="minorHAnsi" w:cstheme="minorHAnsi"/>
                <w:szCs w:val="24"/>
                <w:lang w:eastAsia="en-GB"/>
              </w:rPr>
              <w:t xml:space="preserve"> et al., 2022).</w:t>
            </w:r>
          </w:p>
        </w:tc>
      </w:tr>
      <w:tr w:rsidR="00070189" w:rsidRPr="00070189" w:rsidTr="00070189">
        <w:trPr>
          <w:tblCellSpacing w:w="15" w:type="dxa"/>
        </w:trPr>
        <w:tc>
          <w:tcPr>
            <w:tcW w:w="0" w:type="auto"/>
            <w:vAlign w:val="center"/>
            <w:hideMark/>
          </w:tcPr>
          <w:p w:rsidR="00070189" w:rsidRPr="00070189" w:rsidRDefault="00070189" w:rsidP="00070189">
            <w:pPr>
              <w:spacing w:after="0"/>
              <w:jc w:val="left"/>
              <w:rPr>
                <w:rFonts w:asciiTheme="minorHAnsi" w:eastAsia="Times New Roman" w:hAnsiTheme="minorHAnsi" w:cstheme="minorHAnsi"/>
                <w:szCs w:val="24"/>
                <w:lang w:eastAsia="en-GB"/>
              </w:rPr>
            </w:pPr>
            <w:r w:rsidRPr="00070189">
              <w:rPr>
                <w:rFonts w:asciiTheme="minorHAnsi" w:eastAsia="Times New Roman" w:hAnsiTheme="minorHAnsi" w:cstheme="minorHAnsi"/>
                <w:b/>
                <w:bCs/>
                <w:szCs w:val="24"/>
                <w:lang w:eastAsia="en-GB"/>
              </w:rPr>
              <w:t>Overall Competitiveness</w:t>
            </w:r>
          </w:p>
        </w:tc>
        <w:tc>
          <w:tcPr>
            <w:tcW w:w="0" w:type="auto"/>
            <w:vAlign w:val="center"/>
            <w:hideMark/>
          </w:tcPr>
          <w:p w:rsidR="00070189" w:rsidRPr="00070189" w:rsidRDefault="00070189" w:rsidP="00070189">
            <w:pPr>
              <w:spacing w:after="0"/>
              <w:jc w:val="left"/>
              <w:rPr>
                <w:rFonts w:asciiTheme="minorHAnsi" w:eastAsia="Times New Roman" w:hAnsiTheme="minorHAnsi" w:cstheme="minorHAnsi"/>
                <w:szCs w:val="24"/>
                <w:lang w:eastAsia="en-GB"/>
              </w:rPr>
            </w:pPr>
            <w:r w:rsidRPr="00070189">
              <w:rPr>
                <w:rFonts w:asciiTheme="minorHAnsi" w:eastAsia="Times New Roman" w:hAnsiTheme="minorHAnsi" w:cstheme="minorHAnsi"/>
                <w:szCs w:val="24"/>
                <w:lang w:eastAsia="en-GB"/>
              </w:rPr>
              <w:t xml:space="preserve">Bangladesh is globally competitive in apparel manufacturing, but its advantage remains largely cost-based and buyer-dependent rather than innovation-led or brand-led (Porter, 1990; </w:t>
            </w:r>
            <w:proofErr w:type="spellStart"/>
            <w:r w:rsidRPr="00070189">
              <w:rPr>
                <w:rFonts w:asciiTheme="minorHAnsi" w:eastAsia="Times New Roman" w:hAnsiTheme="minorHAnsi" w:cstheme="minorHAnsi"/>
                <w:szCs w:val="24"/>
                <w:lang w:eastAsia="en-GB"/>
              </w:rPr>
              <w:t>Gereffi</w:t>
            </w:r>
            <w:proofErr w:type="spellEnd"/>
            <w:r w:rsidRPr="00070189">
              <w:rPr>
                <w:rFonts w:asciiTheme="minorHAnsi" w:eastAsia="Times New Roman" w:hAnsiTheme="minorHAnsi" w:cstheme="minorHAnsi"/>
                <w:szCs w:val="24"/>
                <w:lang w:eastAsia="en-GB"/>
              </w:rPr>
              <w:t xml:space="preserve"> and Frederick, 2010).</w:t>
            </w:r>
          </w:p>
        </w:tc>
      </w:tr>
    </w:tbl>
    <w:p w:rsidR="00070189" w:rsidRDefault="00070189" w:rsidP="008346F8"/>
    <w:p w:rsidR="0016440C" w:rsidRDefault="0016440C" w:rsidP="0016440C">
      <w:pPr>
        <w:pStyle w:val="Heading2"/>
      </w:pPr>
      <w:bookmarkStart w:id="9" w:name="_Toc227941081"/>
      <w:r w:rsidRPr="0016440C">
        <w:t>Global Competitiveness</w:t>
      </w:r>
      <w:r>
        <w:t xml:space="preserve"> and</w:t>
      </w:r>
      <w:r w:rsidRPr="0016440C">
        <w:t xml:space="preserve"> Critical Analysis</w:t>
      </w:r>
      <w:bookmarkEnd w:id="9"/>
    </w:p>
    <w:p w:rsidR="00070189" w:rsidRPr="00F521F9" w:rsidRDefault="0016440C" w:rsidP="00F521F9">
      <w:r w:rsidRPr="0016440C">
        <w:t xml:space="preserve">In general, the RMG sector in Bangladesh is very competitive on the international level, as it is characterized by low-cost labour, high manufacturing scale, high export orientation and a thick production ecosystem. These characteristics have enabled the nation to occupy a strong stance in global clothing business and draw large global consumers over the decades (ADB, 2023; WTO, 2024). But a critical examination reveals that this competitiveness is mostly cost-based and buyer-dependent and not innovation-led or brand-led. The apparel sector has scored highly in assemblies and export-based production, and it takes lesser value in high-end operations like design, technology, branding and international distribution. It is thus structurally constrained in its competitiveness. The future success will be determined by the ability of Bangladesh to build on advanced skills, decrease the reliance on inputs, enhance logistics and </w:t>
      </w:r>
      <w:r w:rsidRPr="0016440C">
        <w:lastRenderedPageBreak/>
        <w:t>governance, and ascend up the value chain instead of staying largely dependent on the labour cost advantage (</w:t>
      </w:r>
      <w:proofErr w:type="spellStart"/>
      <w:r w:rsidRPr="0016440C">
        <w:t>Gereffi</w:t>
      </w:r>
      <w:proofErr w:type="spellEnd"/>
      <w:r w:rsidRPr="0016440C">
        <w:t xml:space="preserve"> and Frederick, 2010; </w:t>
      </w:r>
      <w:proofErr w:type="spellStart"/>
      <w:r w:rsidRPr="0016440C">
        <w:t>Khatun</w:t>
      </w:r>
      <w:proofErr w:type="spellEnd"/>
      <w:r w:rsidRPr="0016440C">
        <w:t xml:space="preserve">, </w:t>
      </w:r>
      <w:proofErr w:type="spellStart"/>
      <w:r w:rsidRPr="0016440C">
        <w:t>Saadat</w:t>
      </w:r>
      <w:proofErr w:type="spellEnd"/>
      <w:r w:rsidRPr="0016440C">
        <w:t xml:space="preserve"> and </w:t>
      </w:r>
      <w:proofErr w:type="spellStart"/>
      <w:r w:rsidRPr="0016440C">
        <w:t>Mahbub</w:t>
      </w:r>
      <w:proofErr w:type="spellEnd"/>
      <w:r w:rsidRPr="0016440C">
        <w:t>, 2024).</w:t>
      </w:r>
    </w:p>
    <w:p w:rsidR="00291F72" w:rsidRDefault="00291F72" w:rsidP="00080EBC">
      <w:pPr>
        <w:pStyle w:val="Heading1"/>
        <w:jc w:val="left"/>
      </w:pPr>
      <w:bookmarkStart w:id="10" w:name="_Toc227941082"/>
      <w:r w:rsidRPr="00291F72">
        <w:t>Major Foreign MNC Analysis: H&amp;M in RMG industry of Bangladesh</w:t>
      </w:r>
      <w:bookmarkEnd w:id="10"/>
    </w:p>
    <w:p w:rsidR="00291F72" w:rsidRDefault="00291F72" w:rsidP="00291F72">
      <w:pPr>
        <w:pStyle w:val="Heading1"/>
      </w:pPr>
      <w:bookmarkStart w:id="11" w:name="_Toc227941083"/>
      <w:r>
        <w:t>PESTLE Analysis</w:t>
      </w:r>
      <w:bookmarkEnd w:id="11"/>
    </w:p>
    <w:p w:rsidR="00070189" w:rsidRPr="00070189" w:rsidRDefault="00070189" w:rsidP="00070189">
      <w:r>
        <w:t>PESTLE analysis is commonly used to analysis the external environment elements and its impact on the overall business conditions of a country or industry.</w:t>
      </w:r>
    </w:p>
    <w:p w:rsidR="00070189" w:rsidRDefault="00070189" w:rsidP="00070189">
      <w:pPr>
        <w:keepNext/>
        <w:jc w:val="center"/>
      </w:pPr>
      <w:r>
        <w:rPr>
          <w:noProof/>
          <w:lang w:eastAsia="en-GB"/>
        </w:rPr>
        <w:drawing>
          <wp:inline distT="0" distB="0" distL="0" distR="0" wp14:anchorId="0DB55000" wp14:editId="7FCAC412">
            <wp:extent cx="3924300" cy="3181350"/>
            <wp:effectExtent l="0" t="0" r="0" b="0"/>
            <wp:docPr id="5" name="Picture 5" descr="https://blog.waalaxy.com/wp-content/uploads/2024/08/image-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blog.waalaxy.com/wp-content/uploads/2024/08/image-21.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24300" cy="3181350"/>
                    </a:xfrm>
                    <a:prstGeom prst="rect">
                      <a:avLst/>
                    </a:prstGeom>
                    <a:noFill/>
                    <a:ln>
                      <a:noFill/>
                    </a:ln>
                  </pic:spPr>
                </pic:pic>
              </a:graphicData>
            </a:graphic>
          </wp:inline>
        </w:drawing>
      </w:r>
    </w:p>
    <w:p w:rsidR="00070189" w:rsidRPr="00070189" w:rsidRDefault="00070189" w:rsidP="00070189">
      <w:pPr>
        <w:pStyle w:val="Caption"/>
        <w:jc w:val="center"/>
        <w:rPr>
          <w:sz w:val="22"/>
        </w:rPr>
      </w:pPr>
      <w:r w:rsidRPr="00070189">
        <w:rPr>
          <w:sz w:val="22"/>
        </w:rPr>
        <w:t xml:space="preserve">Figure </w:t>
      </w:r>
      <w:r w:rsidRPr="00070189">
        <w:rPr>
          <w:sz w:val="22"/>
        </w:rPr>
        <w:fldChar w:fldCharType="begin"/>
      </w:r>
      <w:r w:rsidRPr="00070189">
        <w:rPr>
          <w:sz w:val="22"/>
        </w:rPr>
        <w:instrText xml:space="preserve"> SEQ Figure \* ARABIC </w:instrText>
      </w:r>
      <w:r w:rsidRPr="00070189">
        <w:rPr>
          <w:sz w:val="22"/>
        </w:rPr>
        <w:fldChar w:fldCharType="separate"/>
      </w:r>
      <w:r w:rsidR="006B20EE">
        <w:rPr>
          <w:noProof/>
          <w:sz w:val="22"/>
        </w:rPr>
        <w:t>3</w:t>
      </w:r>
      <w:r w:rsidRPr="00070189">
        <w:rPr>
          <w:sz w:val="22"/>
        </w:rPr>
        <w:fldChar w:fldCharType="end"/>
      </w:r>
      <w:r w:rsidRPr="00070189">
        <w:rPr>
          <w:sz w:val="22"/>
        </w:rPr>
        <w:t>: PESTLE Framework</w:t>
      </w:r>
    </w:p>
    <w:p w:rsidR="00291F72" w:rsidRDefault="00291F72" w:rsidP="00291F72">
      <w:pPr>
        <w:pStyle w:val="Heading2"/>
      </w:pPr>
      <w:bookmarkStart w:id="12" w:name="_Toc227941084"/>
      <w:r>
        <w:t>Political Factors</w:t>
      </w:r>
      <w:bookmarkEnd w:id="12"/>
    </w:p>
    <w:p w:rsidR="00291F72" w:rsidRDefault="00291F72" w:rsidP="00291F72">
      <w:r>
        <w:t xml:space="preserve">Bangladesh continues to be politically viable to H&amp;M since the government considers garments as a strategic export industry and the government relies significantly on the industry to provide employment, export earnings and foreign exchange. This provides continuity of policies and great interest by states to ensure that apparel production continues running. Nonetheless, the issue of political stability still exists. The recent </w:t>
      </w:r>
      <w:r>
        <w:lastRenderedPageBreak/>
        <w:t>unrest and uncertainty in governance has impacted the investor confidence and disrupted economic activity, which may have an effect on the factory output, reliability of logistics and shipments. In the case of H&amp;M, Bangladesh is thus politically conducive at the sector level, but remains vulnerable to broader instabilities that can disrupt sourcing efficiency and supply-chain predictability (World Bank, 2026; Porter, 1990).</w:t>
      </w:r>
    </w:p>
    <w:p w:rsidR="00291F72" w:rsidRDefault="00291F72" w:rsidP="00291F72">
      <w:pPr>
        <w:pStyle w:val="Heading2"/>
      </w:pPr>
      <w:bookmarkStart w:id="13" w:name="_Toc227941085"/>
      <w:r>
        <w:t>Economic Factors</w:t>
      </w:r>
      <w:bookmarkEnd w:id="13"/>
    </w:p>
    <w:p w:rsidR="00291F72" w:rsidRDefault="00291F72" w:rsidP="00291F72">
      <w:r>
        <w:t>Bangladesh remains to be one of the most significant sourcing destinations of fashion outlets worldwide economically. In 2025, BGMEA declared US$38.82 billion of exports of RMG, and it indicates the size of the industry. Nonetheless, there has been an increase in macroeconomic pressure. According to the IMF, the GDP growth has slowed to 3.7% in FY2025, and the inflation was 8.2% in October 2025. The World Bank, also reported an average of 10% inflation in FY2025, and weaknesses in the banking-sector persisted. In the case of H&amp;M, this implies that Bangladesh is no longer as cost-competitive, supplier financing, wage pressure, energy costs, and overall business resilience are more vulnerable than</w:t>
      </w:r>
      <w:r w:rsidR="00080EBC">
        <w:t xml:space="preserve"> ever (BGMEA, 2025; IMF, 2026).</w:t>
      </w:r>
    </w:p>
    <w:p w:rsidR="00080EBC" w:rsidRDefault="00080EBC" w:rsidP="00080EBC">
      <w:pPr>
        <w:pStyle w:val="Heading2"/>
      </w:pPr>
      <w:bookmarkStart w:id="14" w:name="_Toc227941086"/>
      <w:r>
        <w:t>Social Factors</w:t>
      </w:r>
      <w:bookmarkEnd w:id="14"/>
    </w:p>
    <w:p w:rsidR="00291F72" w:rsidRDefault="00291F72" w:rsidP="00291F72">
      <w:r>
        <w:t xml:space="preserve">Social factors play a crucial role since the image of H&amp;M is strongly pegged on labour standards within its supplier factories. The RMG sector of Bangladesh has in place millions of workers and it has significantly contributed to the employment of female wage and social mobility. This provides the nation with experienced industrial workforce that facilitates mass sourcing. Concurrently wages, worker treatment, labour rights and working conditions have been delicate matters in the global apparel supply chains. H&amp;M thus leverages the labour base in Bangladesh, yet it has to grapple with high levels of scrutiny of its sourcing practices by its stakeholders which includes consumers, labour organisations and international organisations who closely monitor the sourcing practice within the country (ILO, 2022; </w:t>
      </w:r>
      <w:proofErr w:type="spellStart"/>
      <w:r>
        <w:t>Huq</w:t>
      </w:r>
      <w:proofErr w:type="spellEnd"/>
      <w:r w:rsidR="00080EBC">
        <w:t>, Chowdhury and Klassen, 2016).</w:t>
      </w:r>
    </w:p>
    <w:p w:rsidR="00080EBC" w:rsidRDefault="00080EBC" w:rsidP="00080EBC">
      <w:pPr>
        <w:pStyle w:val="Heading2"/>
      </w:pPr>
      <w:bookmarkStart w:id="15" w:name="_Toc227941087"/>
      <w:r>
        <w:t>Technological Factors</w:t>
      </w:r>
      <w:bookmarkEnd w:id="15"/>
    </w:p>
    <w:p w:rsidR="00291F72" w:rsidRDefault="00291F72" w:rsidP="00291F72">
      <w:r>
        <w:t xml:space="preserve">Bangladesh provides H&amp;M with a strong, but lopsided sourcing base technologically. The nation has developed a lot of experience in mass production of garments, and it has </w:t>
      </w:r>
      <w:r>
        <w:lastRenderedPageBreak/>
        <w:t>enhanced the factory compliance systems, process discipline and components of the textile support net. Nonetheless, the industry has not yet adopted highly automated production, incorporating digital design or highly adaptable smart production as much as it is based on labour-intensive production. In the case of H&amp;M, it implies that Bangladesh is most effective in volume sourcing, but not necessarily when it comes to quick product response or the utmost traceability. Technological disparities can make Bangladesh less attractive in comparison to its competitors, unless suppliers keep improving, as fashion supply chains increasingly rely on data and become sensitive to speed (</w:t>
      </w:r>
      <w:proofErr w:type="spellStart"/>
      <w:r>
        <w:t>Gereffi</w:t>
      </w:r>
      <w:proofErr w:type="spellEnd"/>
      <w:r>
        <w:t xml:space="preserve"> and Frederick, 2010; </w:t>
      </w:r>
      <w:proofErr w:type="spellStart"/>
      <w:r>
        <w:t>Kh</w:t>
      </w:r>
      <w:r w:rsidR="00080EBC">
        <w:t>atun</w:t>
      </w:r>
      <w:proofErr w:type="spellEnd"/>
      <w:r w:rsidR="00080EBC">
        <w:t xml:space="preserve">, </w:t>
      </w:r>
      <w:proofErr w:type="spellStart"/>
      <w:r w:rsidR="00080EBC">
        <w:t>Saadat</w:t>
      </w:r>
      <w:proofErr w:type="spellEnd"/>
      <w:r w:rsidR="00080EBC">
        <w:t xml:space="preserve"> and </w:t>
      </w:r>
      <w:proofErr w:type="spellStart"/>
      <w:r w:rsidR="00080EBC">
        <w:t>Mahbub</w:t>
      </w:r>
      <w:proofErr w:type="spellEnd"/>
      <w:r w:rsidR="00080EBC">
        <w:t>, 2024).</w:t>
      </w:r>
    </w:p>
    <w:p w:rsidR="00080EBC" w:rsidRDefault="00080EBC" w:rsidP="00080EBC">
      <w:pPr>
        <w:pStyle w:val="Heading2"/>
      </w:pPr>
      <w:bookmarkStart w:id="16" w:name="_Toc227941088"/>
      <w:r>
        <w:t>Legal Factors</w:t>
      </w:r>
      <w:bookmarkEnd w:id="16"/>
    </w:p>
    <w:p w:rsidR="00291F72" w:rsidRDefault="00291F72" w:rsidP="00291F72">
      <w:r>
        <w:t>The legal environment is core to H&amp;M success since the company is directly exposed to the labour law, safety standards of factories and international due-diligence standards. Bangladesh has initiated significant workplace safety and labour governance reforms since Rana Plaza, and the 20222026 programme of the ILO still focuses on labour administration and decent work. Bangladesh has been adjusting the law as well, presenting the Labour (Amendment) Ordinance 2025. In the case of H&amp;M, the increased regulation will enhance the legitimacy and decrease the reputational risk, yet will raise compliance expenses and reveal the loopholes in the enforcement of regulations throughout suppliers. Opportunity is thus created by legal reform but only in the circumstance that it is implemented in a consistent, credible way (ILO, 2022; G</w:t>
      </w:r>
      <w:r w:rsidR="00080EBC">
        <w:t>overnment of Bangladesh, 2025).</w:t>
      </w:r>
    </w:p>
    <w:p w:rsidR="00080EBC" w:rsidRDefault="00080EBC" w:rsidP="00080EBC">
      <w:pPr>
        <w:pStyle w:val="Heading2"/>
      </w:pPr>
      <w:bookmarkStart w:id="17" w:name="_Toc227941089"/>
      <w:r>
        <w:t>Environmental Factors</w:t>
      </w:r>
      <w:bookmarkEnd w:id="17"/>
    </w:p>
    <w:p w:rsidR="00291F72" w:rsidRDefault="00291F72" w:rsidP="00291F72">
      <w:r>
        <w:t xml:space="preserve">The environmental aspects are getting more significant due to the fact that sustainability has become the key aspect of H&amp;M strategy. The company claimed that 91 percent of its materials were recycled or sourced in a more sustainable manner, and greenhouse gas emissions were 35 percent reduced compared to 2019. Bangladesh has retaliated with building a </w:t>
      </w:r>
      <w:r w:rsidR="00080EBC">
        <w:t>greener</w:t>
      </w:r>
      <w:r>
        <w:t xml:space="preserve"> factory base, by the early 2026, 275 LEED-certified garment factories will be built in Bangladesh, the largest in the world. Nevertheless, environmental issues are still an important concern, such as energy consumption, wastewater treatment, pollution and climate susceptibility. In the case of H&amp;M, the only way that the country can </w:t>
      </w:r>
      <w:r>
        <w:lastRenderedPageBreak/>
        <w:t>be environmentally appealing is by ensuring that the suppliers enhance resource-efficiency and environmental-compliance according to the global sustainability demands (H&amp;M Group, 2026; The Financial Express, 2026).</w:t>
      </w:r>
    </w:p>
    <w:p w:rsidR="00A14132" w:rsidRPr="00070189" w:rsidRDefault="00A14132" w:rsidP="00A14132">
      <w:pPr>
        <w:pStyle w:val="Caption"/>
        <w:keepNext/>
        <w:rPr>
          <w:sz w:val="22"/>
        </w:rPr>
      </w:pPr>
      <w:r w:rsidRPr="00070189">
        <w:rPr>
          <w:sz w:val="22"/>
        </w:rPr>
        <w:t xml:space="preserve">Table </w:t>
      </w:r>
      <w:r w:rsidRPr="00070189">
        <w:rPr>
          <w:sz w:val="22"/>
        </w:rPr>
        <w:fldChar w:fldCharType="begin"/>
      </w:r>
      <w:r w:rsidRPr="00070189">
        <w:rPr>
          <w:sz w:val="22"/>
        </w:rPr>
        <w:instrText xml:space="preserve"> SEQ Table \* ARABIC </w:instrText>
      </w:r>
      <w:r w:rsidRPr="00070189">
        <w:rPr>
          <w:sz w:val="22"/>
        </w:rPr>
        <w:fldChar w:fldCharType="separate"/>
      </w:r>
      <w:r w:rsidR="00070189">
        <w:rPr>
          <w:noProof/>
          <w:sz w:val="22"/>
        </w:rPr>
        <w:t>2</w:t>
      </w:r>
      <w:r w:rsidRPr="00070189">
        <w:rPr>
          <w:sz w:val="22"/>
        </w:rPr>
        <w:fldChar w:fldCharType="end"/>
      </w:r>
      <w:r w:rsidRPr="00070189">
        <w:rPr>
          <w:sz w:val="22"/>
        </w:rPr>
        <w:t>: PESTLE Analysis Summary</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30"/>
        <w:gridCol w:w="3141"/>
        <w:gridCol w:w="2470"/>
        <w:gridCol w:w="2109"/>
      </w:tblGrid>
      <w:tr w:rsidR="00080EBC" w:rsidRPr="00080EBC" w:rsidTr="00080EBC">
        <w:trPr>
          <w:tblHeader/>
          <w:tblCellSpacing w:w="15" w:type="dxa"/>
        </w:trPr>
        <w:tc>
          <w:tcPr>
            <w:tcW w:w="0" w:type="auto"/>
            <w:vAlign w:val="center"/>
            <w:hideMark/>
          </w:tcPr>
          <w:p w:rsidR="00080EBC" w:rsidRPr="00080EBC" w:rsidRDefault="00080EBC" w:rsidP="00080EBC">
            <w:pPr>
              <w:rPr>
                <w:rFonts w:eastAsia="Times New Roman"/>
                <w:lang w:eastAsia="en-GB"/>
              </w:rPr>
            </w:pPr>
            <w:r w:rsidRPr="00080EBC">
              <w:rPr>
                <w:rFonts w:eastAsia="Times New Roman"/>
                <w:lang w:eastAsia="en-GB"/>
              </w:rPr>
              <w:t>Factor</w:t>
            </w:r>
          </w:p>
        </w:tc>
        <w:tc>
          <w:tcPr>
            <w:tcW w:w="0" w:type="auto"/>
            <w:vAlign w:val="center"/>
            <w:hideMark/>
          </w:tcPr>
          <w:p w:rsidR="00080EBC" w:rsidRPr="00080EBC" w:rsidRDefault="00080EBC" w:rsidP="00080EBC">
            <w:pPr>
              <w:rPr>
                <w:rFonts w:eastAsia="Times New Roman"/>
                <w:lang w:eastAsia="en-GB"/>
              </w:rPr>
            </w:pPr>
            <w:r w:rsidRPr="00080EBC">
              <w:rPr>
                <w:rFonts w:eastAsia="Times New Roman"/>
                <w:lang w:eastAsia="en-GB"/>
              </w:rPr>
              <w:t>Key issue for H&amp;M</w:t>
            </w:r>
          </w:p>
        </w:tc>
        <w:tc>
          <w:tcPr>
            <w:tcW w:w="0" w:type="auto"/>
            <w:vAlign w:val="center"/>
            <w:hideMark/>
          </w:tcPr>
          <w:p w:rsidR="00080EBC" w:rsidRPr="00080EBC" w:rsidRDefault="00080EBC" w:rsidP="00080EBC">
            <w:pPr>
              <w:rPr>
                <w:rFonts w:eastAsia="Times New Roman"/>
                <w:lang w:eastAsia="en-GB"/>
              </w:rPr>
            </w:pPr>
            <w:r w:rsidRPr="00080EBC">
              <w:rPr>
                <w:rFonts w:eastAsia="Times New Roman"/>
                <w:lang w:eastAsia="en-GB"/>
              </w:rPr>
              <w:t>Opportunity</w:t>
            </w:r>
          </w:p>
        </w:tc>
        <w:tc>
          <w:tcPr>
            <w:tcW w:w="0" w:type="auto"/>
            <w:vAlign w:val="center"/>
            <w:hideMark/>
          </w:tcPr>
          <w:p w:rsidR="00080EBC" w:rsidRPr="00080EBC" w:rsidRDefault="00080EBC" w:rsidP="00080EBC">
            <w:pPr>
              <w:rPr>
                <w:rFonts w:eastAsia="Times New Roman"/>
                <w:lang w:eastAsia="en-GB"/>
              </w:rPr>
            </w:pPr>
            <w:r w:rsidRPr="00080EBC">
              <w:rPr>
                <w:rFonts w:eastAsia="Times New Roman"/>
                <w:lang w:eastAsia="en-GB"/>
              </w:rPr>
              <w:t>Risk</w:t>
            </w:r>
          </w:p>
        </w:tc>
      </w:tr>
      <w:tr w:rsidR="00080EBC" w:rsidRPr="00080EBC" w:rsidTr="00080EBC">
        <w:trPr>
          <w:tblCellSpacing w:w="15" w:type="dxa"/>
        </w:trPr>
        <w:tc>
          <w:tcPr>
            <w:tcW w:w="0" w:type="auto"/>
            <w:vAlign w:val="center"/>
            <w:hideMark/>
          </w:tcPr>
          <w:p w:rsidR="00080EBC" w:rsidRPr="00080EBC" w:rsidRDefault="00080EBC" w:rsidP="00080EBC">
            <w:pPr>
              <w:rPr>
                <w:rFonts w:eastAsia="Times New Roman"/>
                <w:lang w:eastAsia="en-GB"/>
              </w:rPr>
            </w:pPr>
            <w:r w:rsidRPr="00080EBC">
              <w:rPr>
                <w:rFonts w:eastAsia="Times New Roman"/>
                <w:lang w:eastAsia="en-GB"/>
              </w:rPr>
              <w:t>Political</w:t>
            </w:r>
          </w:p>
        </w:tc>
        <w:tc>
          <w:tcPr>
            <w:tcW w:w="0" w:type="auto"/>
            <w:vAlign w:val="center"/>
            <w:hideMark/>
          </w:tcPr>
          <w:p w:rsidR="00080EBC" w:rsidRPr="00080EBC" w:rsidRDefault="00080EBC" w:rsidP="00080EBC">
            <w:pPr>
              <w:jc w:val="center"/>
              <w:rPr>
                <w:rFonts w:eastAsia="Times New Roman"/>
                <w:lang w:eastAsia="en-GB"/>
              </w:rPr>
            </w:pPr>
            <w:r w:rsidRPr="00080EBC">
              <w:rPr>
                <w:rFonts w:eastAsia="Times New Roman"/>
                <w:lang w:eastAsia="en-GB"/>
              </w:rPr>
              <w:t>Bangladesh treats RMG as a strategic export sector, so the industry receives strong policy attention and support (World Bank, 2026; Porter, 1990).</w:t>
            </w:r>
          </w:p>
        </w:tc>
        <w:tc>
          <w:tcPr>
            <w:tcW w:w="0" w:type="auto"/>
            <w:vAlign w:val="center"/>
            <w:hideMark/>
          </w:tcPr>
          <w:p w:rsidR="00080EBC" w:rsidRPr="00080EBC" w:rsidRDefault="00080EBC" w:rsidP="00080EBC">
            <w:pPr>
              <w:jc w:val="center"/>
              <w:rPr>
                <w:rFonts w:eastAsia="Times New Roman"/>
                <w:lang w:eastAsia="en-GB"/>
              </w:rPr>
            </w:pPr>
            <w:r w:rsidRPr="00080EBC">
              <w:rPr>
                <w:rFonts w:eastAsia="Times New Roman"/>
                <w:lang w:eastAsia="en-GB"/>
              </w:rPr>
              <w:t>Stable government interest in protecting garment exports, employment and foreign buyer relationships.</w:t>
            </w:r>
          </w:p>
        </w:tc>
        <w:tc>
          <w:tcPr>
            <w:tcW w:w="0" w:type="auto"/>
            <w:vAlign w:val="center"/>
            <w:hideMark/>
          </w:tcPr>
          <w:p w:rsidR="00080EBC" w:rsidRPr="00080EBC" w:rsidRDefault="00080EBC" w:rsidP="00080EBC">
            <w:pPr>
              <w:jc w:val="center"/>
              <w:rPr>
                <w:rFonts w:eastAsia="Times New Roman"/>
                <w:lang w:eastAsia="en-GB"/>
              </w:rPr>
            </w:pPr>
            <w:r w:rsidRPr="00080EBC">
              <w:rPr>
                <w:rFonts w:eastAsia="Times New Roman"/>
                <w:lang w:eastAsia="en-GB"/>
              </w:rPr>
              <w:t>Political unrest and governance instability can disrupt production, transport and shipment reliability.</w:t>
            </w:r>
          </w:p>
        </w:tc>
      </w:tr>
      <w:tr w:rsidR="00080EBC" w:rsidRPr="00080EBC" w:rsidTr="00080EBC">
        <w:trPr>
          <w:tblCellSpacing w:w="15" w:type="dxa"/>
        </w:trPr>
        <w:tc>
          <w:tcPr>
            <w:tcW w:w="0" w:type="auto"/>
            <w:vAlign w:val="center"/>
            <w:hideMark/>
          </w:tcPr>
          <w:p w:rsidR="00080EBC" w:rsidRPr="00080EBC" w:rsidRDefault="00080EBC" w:rsidP="00080EBC">
            <w:pPr>
              <w:rPr>
                <w:rFonts w:eastAsia="Times New Roman"/>
                <w:lang w:eastAsia="en-GB"/>
              </w:rPr>
            </w:pPr>
            <w:r w:rsidRPr="00080EBC">
              <w:rPr>
                <w:rFonts w:eastAsia="Times New Roman"/>
                <w:lang w:eastAsia="en-GB"/>
              </w:rPr>
              <w:t>Economic</w:t>
            </w:r>
          </w:p>
        </w:tc>
        <w:tc>
          <w:tcPr>
            <w:tcW w:w="0" w:type="auto"/>
            <w:vAlign w:val="center"/>
            <w:hideMark/>
          </w:tcPr>
          <w:p w:rsidR="00080EBC" w:rsidRPr="00080EBC" w:rsidRDefault="00080EBC" w:rsidP="00080EBC">
            <w:pPr>
              <w:jc w:val="center"/>
              <w:rPr>
                <w:rFonts w:eastAsia="Times New Roman"/>
                <w:lang w:eastAsia="en-GB"/>
              </w:rPr>
            </w:pPr>
            <w:r w:rsidRPr="00080EBC">
              <w:rPr>
                <w:rFonts w:eastAsia="Times New Roman"/>
                <w:lang w:eastAsia="en-GB"/>
              </w:rPr>
              <w:t>Bangladesh remains a major sourcing base, with US$38.82 billion in RMG exports in 2025, but growth slowed and inflation remained high (BGMEA, 2025; IMF, 2026).</w:t>
            </w:r>
          </w:p>
        </w:tc>
        <w:tc>
          <w:tcPr>
            <w:tcW w:w="0" w:type="auto"/>
            <w:vAlign w:val="center"/>
            <w:hideMark/>
          </w:tcPr>
          <w:p w:rsidR="00080EBC" w:rsidRPr="00080EBC" w:rsidRDefault="00080EBC" w:rsidP="00080EBC">
            <w:pPr>
              <w:jc w:val="center"/>
              <w:rPr>
                <w:rFonts w:eastAsia="Times New Roman"/>
                <w:lang w:eastAsia="en-GB"/>
              </w:rPr>
            </w:pPr>
            <w:r w:rsidRPr="00080EBC">
              <w:rPr>
                <w:rFonts w:eastAsia="Times New Roman"/>
                <w:lang w:eastAsia="en-GB"/>
              </w:rPr>
              <w:t>Large supplier base, cost competitiveness and export scale support H&amp;M’s sourcing model.</w:t>
            </w:r>
          </w:p>
        </w:tc>
        <w:tc>
          <w:tcPr>
            <w:tcW w:w="0" w:type="auto"/>
            <w:vAlign w:val="center"/>
            <w:hideMark/>
          </w:tcPr>
          <w:p w:rsidR="00080EBC" w:rsidRPr="00080EBC" w:rsidRDefault="00080EBC" w:rsidP="00080EBC">
            <w:pPr>
              <w:jc w:val="center"/>
              <w:rPr>
                <w:rFonts w:eastAsia="Times New Roman"/>
                <w:lang w:eastAsia="en-GB"/>
              </w:rPr>
            </w:pPr>
            <w:r w:rsidRPr="00080EBC">
              <w:rPr>
                <w:rFonts w:eastAsia="Times New Roman"/>
                <w:lang w:eastAsia="en-GB"/>
              </w:rPr>
              <w:t>Inflation, wage pressure, banking weakness and supplier financial stress may reduce resilience.</w:t>
            </w:r>
          </w:p>
        </w:tc>
      </w:tr>
      <w:tr w:rsidR="00080EBC" w:rsidRPr="00080EBC" w:rsidTr="00080EBC">
        <w:trPr>
          <w:tblCellSpacing w:w="15" w:type="dxa"/>
        </w:trPr>
        <w:tc>
          <w:tcPr>
            <w:tcW w:w="0" w:type="auto"/>
            <w:vAlign w:val="center"/>
            <w:hideMark/>
          </w:tcPr>
          <w:p w:rsidR="00080EBC" w:rsidRPr="00080EBC" w:rsidRDefault="00080EBC" w:rsidP="00080EBC">
            <w:pPr>
              <w:rPr>
                <w:rFonts w:eastAsia="Times New Roman"/>
                <w:lang w:eastAsia="en-GB"/>
              </w:rPr>
            </w:pPr>
            <w:r w:rsidRPr="00080EBC">
              <w:rPr>
                <w:rFonts w:eastAsia="Times New Roman"/>
                <w:lang w:eastAsia="en-GB"/>
              </w:rPr>
              <w:t>Social</w:t>
            </w:r>
          </w:p>
        </w:tc>
        <w:tc>
          <w:tcPr>
            <w:tcW w:w="0" w:type="auto"/>
            <w:vAlign w:val="center"/>
            <w:hideMark/>
          </w:tcPr>
          <w:p w:rsidR="00080EBC" w:rsidRPr="00080EBC" w:rsidRDefault="00080EBC" w:rsidP="00080EBC">
            <w:pPr>
              <w:jc w:val="center"/>
              <w:rPr>
                <w:rFonts w:eastAsia="Times New Roman"/>
                <w:lang w:eastAsia="en-GB"/>
              </w:rPr>
            </w:pPr>
            <w:r w:rsidRPr="00080EBC">
              <w:rPr>
                <w:rFonts w:eastAsia="Times New Roman"/>
                <w:lang w:eastAsia="en-GB"/>
              </w:rPr>
              <w:t xml:space="preserve">The RMG sector employs millions and is especially important for women’s employment, but labour conditions remain highly sensitive (ILO, 2022; </w:t>
            </w:r>
            <w:proofErr w:type="spellStart"/>
            <w:r w:rsidRPr="00080EBC">
              <w:rPr>
                <w:rFonts w:eastAsia="Times New Roman"/>
                <w:lang w:eastAsia="en-GB"/>
              </w:rPr>
              <w:t>Huq</w:t>
            </w:r>
            <w:proofErr w:type="spellEnd"/>
            <w:r w:rsidRPr="00080EBC">
              <w:rPr>
                <w:rFonts w:eastAsia="Times New Roman"/>
                <w:lang w:eastAsia="en-GB"/>
              </w:rPr>
              <w:t>, Chowdhury and Klassen, 2016).</w:t>
            </w:r>
          </w:p>
        </w:tc>
        <w:tc>
          <w:tcPr>
            <w:tcW w:w="0" w:type="auto"/>
            <w:vAlign w:val="center"/>
            <w:hideMark/>
          </w:tcPr>
          <w:p w:rsidR="00080EBC" w:rsidRPr="00080EBC" w:rsidRDefault="00080EBC" w:rsidP="00080EBC">
            <w:pPr>
              <w:jc w:val="center"/>
              <w:rPr>
                <w:rFonts w:eastAsia="Times New Roman"/>
                <w:lang w:eastAsia="en-GB"/>
              </w:rPr>
            </w:pPr>
            <w:r w:rsidRPr="00080EBC">
              <w:rPr>
                <w:rFonts w:eastAsia="Times New Roman"/>
                <w:lang w:eastAsia="en-GB"/>
              </w:rPr>
              <w:t>Experienced workforce and strong industrial labour base.</w:t>
            </w:r>
          </w:p>
        </w:tc>
        <w:tc>
          <w:tcPr>
            <w:tcW w:w="0" w:type="auto"/>
            <w:vAlign w:val="center"/>
            <w:hideMark/>
          </w:tcPr>
          <w:p w:rsidR="00080EBC" w:rsidRPr="00080EBC" w:rsidRDefault="00080EBC" w:rsidP="00080EBC">
            <w:pPr>
              <w:jc w:val="center"/>
              <w:rPr>
                <w:rFonts w:eastAsia="Times New Roman"/>
                <w:lang w:eastAsia="en-GB"/>
              </w:rPr>
            </w:pPr>
            <w:r w:rsidRPr="00080EBC">
              <w:rPr>
                <w:rFonts w:eastAsia="Times New Roman"/>
                <w:lang w:eastAsia="en-GB"/>
              </w:rPr>
              <w:t>Reputational risk from labour-rights concerns, wages and workplace treatment.</w:t>
            </w:r>
          </w:p>
        </w:tc>
      </w:tr>
      <w:tr w:rsidR="00080EBC" w:rsidRPr="00080EBC" w:rsidTr="00080EBC">
        <w:trPr>
          <w:tblCellSpacing w:w="15" w:type="dxa"/>
        </w:trPr>
        <w:tc>
          <w:tcPr>
            <w:tcW w:w="0" w:type="auto"/>
            <w:vAlign w:val="center"/>
            <w:hideMark/>
          </w:tcPr>
          <w:p w:rsidR="00080EBC" w:rsidRPr="00080EBC" w:rsidRDefault="00080EBC" w:rsidP="00080EBC">
            <w:pPr>
              <w:rPr>
                <w:rFonts w:eastAsia="Times New Roman"/>
                <w:lang w:eastAsia="en-GB"/>
              </w:rPr>
            </w:pPr>
            <w:r w:rsidRPr="00080EBC">
              <w:rPr>
                <w:rFonts w:eastAsia="Times New Roman"/>
                <w:lang w:eastAsia="en-GB"/>
              </w:rPr>
              <w:lastRenderedPageBreak/>
              <w:t>Technological</w:t>
            </w:r>
          </w:p>
        </w:tc>
        <w:tc>
          <w:tcPr>
            <w:tcW w:w="0" w:type="auto"/>
            <w:vAlign w:val="center"/>
            <w:hideMark/>
          </w:tcPr>
          <w:p w:rsidR="00080EBC" w:rsidRPr="00080EBC" w:rsidRDefault="00080EBC" w:rsidP="00080EBC">
            <w:pPr>
              <w:jc w:val="center"/>
              <w:rPr>
                <w:rFonts w:eastAsia="Times New Roman"/>
                <w:lang w:eastAsia="en-GB"/>
              </w:rPr>
            </w:pPr>
            <w:r w:rsidRPr="00080EBC">
              <w:rPr>
                <w:rFonts w:eastAsia="Times New Roman"/>
                <w:lang w:eastAsia="en-GB"/>
              </w:rPr>
              <w:t>Bangladesh has strong manufacturing capability, but much of the industry is still labour-intensive rather than highly automated or digitally advanced (</w:t>
            </w:r>
            <w:proofErr w:type="spellStart"/>
            <w:r w:rsidRPr="00080EBC">
              <w:rPr>
                <w:rFonts w:eastAsia="Times New Roman"/>
                <w:lang w:eastAsia="en-GB"/>
              </w:rPr>
              <w:t>Gereffi</w:t>
            </w:r>
            <w:proofErr w:type="spellEnd"/>
            <w:r w:rsidRPr="00080EBC">
              <w:rPr>
                <w:rFonts w:eastAsia="Times New Roman"/>
                <w:lang w:eastAsia="en-GB"/>
              </w:rPr>
              <w:t xml:space="preserve"> and Frederick, 2010; </w:t>
            </w:r>
            <w:proofErr w:type="spellStart"/>
            <w:r w:rsidRPr="00080EBC">
              <w:rPr>
                <w:rFonts w:eastAsia="Times New Roman"/>
                <w:lang w:eastAsia="en-GB"/>
              </w:rPr>
              <w:t>Khatun</w:t>
            </w:r>
            <w:proofErr w:type="spellEnd"/>
            <w:r w:rsidRPr="00080EBC">
              <w:rPr>
                <w:rFonts w:eastAsia="Times New Roman"/>
                <w:lang w:eastAsia="en-GB"/>
              </w:rPr>
              <w:t xml:space="preserve">, </w:t>
            </w:r>
            <w:proofErr w:type="spellStart"/>
            <w:r w:rsidRPr="00080EBC">
              <w:rPr>
                <w:rFonts w:eastAsia="Times New Roman"/>
                <w:lang w:eastAsia="en-GB"/>
              </w:rPr>
              <w:t>Saadat</w:t>
            </w:r>
            <w:proofErr w:type="spellEnd"/>
            <w:r w:rsidRPr="00080EBC">
              <w:rPr>
                <w:rFonts w:eastAsia="Times New Roman"/>
                <w:lang w:eastAsia="en-GB"/>
              </w:rPr>
              <w:t xml:space="preserve"> and </w:t>
            </w:r>
            <w:proofErr w:type="spellStart"/>
            <w:r w:rsidRPr="00080EBC">
              <w:rPr>
                <w:rFonts w:eastAsia="Times New Roman"/>
                <w:lang w:eastAsia="en-GB"/>
              </w:rPr>
              <w:t>Mahbub</w:t>
            </w:r>
            <w:proofErr w:type="spellEnd"/>
            <w:r w:rsidRPr="00080EBC">
              <w:rPr>
                <w:rFonts w:eastAsia="Times New Roman"/>
                <w:lang w:eastAsia="en-GB"/>
              </w:rPr>
              <w:t>, 2024).</w:t>
            </w:r>
          </w:p>
        </w:tc>
        <w:tc>
          <w:tcPr>
            <w:tcW w:w="0" w:type="auto"/>
            <w:vAlign w:val="center"/>
            <w:hideMark/>
          </w:tcPr>
          <w:p w:rsidR="00080EBC" w:rsidRPr="00080EBC" w:rsidRDefault="00080EBC" w:rsidP="00080EBC">
            <w:pPr>
              <w:jc w:val="center"/>
              <w:rPr>
                <w:rFonts w:eastAsia="Times New Roman"/>
                <w:lang w:eastAsia="en-GB"/>
              </w:rPr>
            </w:pPr>
            <w:r w:rsidRPr="00080EBC">
              <w:rPr>
                <w:rFonts w:eastAsia="Times New Roman"/>
                <w:lang w:eastAsia="en-GB"/>
              </w:rPr>
              <w:t>Efficient for large-volume apparel production.</w:t>
            </w:r>
          </w:p>
        </w:tc>
        <w:tc>
          <w:tcPr>
            <w:tcW w:w="0" w:type="auto"/>
            <w:vAlign w:val="center"/>
            <w:hideMark/>
          </w:tcPr>
          <w:p w:rsidR="00080EBC" w:rsidRPr="00080EBC" w:rsidRDefault="00080EBC" w:rsidP="00080EBC">
            <w:pPr>
              <w:jc w:val="center"/>
              <w:rPr>
                <w:rFonts w:eastAsia="Times New Roman"/>
                <w:lang w:eastAsia="en-GB"/>
              </w:rPr>
            </w:pPr>
            <w:r w:rsidRPr="00080EBC">
              <w:rPr>
                <w:rFonts w:eastAsia="Times New Roman"/>
                <w:lang w:eastAsia="en-GB"/>
              </w:rPr>
              <w:t>Uneven technology can reduce speed, flexibility and traceability.</w:t>
            </w:r>
          </w:p>
        </w:tc>
      </w:tr>
      <w:tr w:rsidR="00080EBC" w:rsidRPr="00080EBC" w:rsidTr="00080EBC">
        <w:trPr>
          <w:tblCellSpacing w:w="15" w:type="dxa"/>
        </w:trPr>
        <w:tc>
          <w:tcPr>
            <w:tcW w:w="0" w:type="auto"/>
            <w:vAlign w:val="center"/>
            <w:hideMark/>
          </w:tcPr>
          <w:p w:rsidR="00080EBC" w:rsidRPr="00080EBC" w:rsidRDefault="00080EBC" w:rsidP="00080EBC">
            <w:pPr>
              <w:rPr>
                <w:rFonts w:eastAsia="Times New Roman"/>
                <w:lang w:eastAsia="en-GB"/>
              </w:rPr>
            </w:pPr>
            <w:r w:rsidRPr="00080EBC">
              <w:rPr>
                <w:rFonts w:eastAsia="Times New Roman"/>
                <w:lang w:eastAsia="en-GB"/>
              </w:rPr>
              <w:t>Legal</w:t>
            </w:r>
          </w:p>
        </w:tc>
        <w:tc>
          <w:tcPr>
            <w:tcW w:w="0" w:type="auto"/>
            <w:vAlign w:val="center"/>
            <w:hideMark/>
          </w:tcPr>
          <w:p w:rsidR="00080EBC" w:rsidRPr="00080EBC" w:rsidRDefault="00080EBC" w:rsidP="00080EBC">
            <w:pPr>
              <w:jc w:val="center"/>
              <w:rPr>
                <w:rFonts w:eastAsia="Times New Roman"/>
                <w:lang w:eastAsia="en-GB"/>
              </w:rPr>
            </w:pPr>
            <w:r w:rsidRPr="00080EBC">
              <w:rPr>
                <w:rFonts w:eastAsia="Times New Roman"/>
                <w:lang w:eastAsia="en-GB"/>
              </w:rPr>
              <w:t>Labour law, safety compliance and due-diligence requirements are increasingly important, especially after post-Rana Plaza reforms and the 2025 labour amendment (ILO, 2022; Government of Bangladesh, 2025).</w:t>
            </w:r>
          </w:p>
        </w:tc>
        <w:tc>
          <w:tcPr>
            <w:tcW w:w="0" w:type="auto"/>
            <w:vAlign w:val="center"/>
            <w:hideMark/>
          </w:tcPr>
          <w:p w:rsidR="00080EBC" w:rsidRPr="00080EBC" w:rsidRDefault="00080EBC" w:rsidP="00080EBC">
            <w:pPr>
              <w:jc w:val="center"/>
              <w:rPr>
                <w:rFonts w:eastAsia="Times New Roman"/>
                <w:lang w:eastAsia="en-GB"/>
              </w:rPr>
            </w:pPr>
            <w:r w:rsidRPr="00080EBC">
              <w:rPr>
                <w:rFonts w:eastAsia="Times New Roman"/>
                <w:lang w:eastAsia="en-GB"/>
              </w:rPr>
              <w:t>Stronger regulation can improve legitimacy and buyer confidence.</w:t>
            </w:r>
          </w:p>
        </w:tc>
        <w:tc>
          <w:tcPr>
            <w:tcW w:w="0" w:type="auto"/>
            <w:vAlign w:val="center"/>
            <w:hideMark/>
          </w:tcPr>
          <w:p w:rsidR="00080EBC" w:rsidRPr="00080EBC" w:rsidRDefault="00080EBC" w:rsidP="00080EBC">
            <w:pPr>
              <w:jc w:val="center"/>
              <w:rPr>
                <w:rFonts w:eastAsia="Times New Roman"/>
                <w:lang w:eastAsia="en-GB"/>
              </w:rPr>
            </w:pPr>
            <w:r w:rsidRPr="00080EBC">
              <w:rPr>
                <w:rFonts w:eastAsia="Times New Roman"/>
                <w:lang w:eastAsia="en-GB"/>
              </w:rPr>
              <w:t>Compliance costs may rise, and enforcement may remain inconsistent across suppliers.</w:t>
            </w:r>
          </w:p>
        </w:tc>
      </w:tr>
      <w:tr w:rsidR="00080EBC" w:rsidRPr="00080EBC" w:rsidTr="00080EBC">
        <w:trPr>
          <w:tblCellSpacing w:w="15" w:type="dxa"/>
        </w:trPr>
        <w:tc>
          <w:tcPr>
            <w:tcW w:w="0" w:type="auto"/>
            <w:vAlign w:val="center"/>
            <w:hideMark/>
          </w:tcPr>
          <w:p w:rsidR="00080EBC" w:rsidRPr="00080EBC" w:rsidRDefault="00080EBC" w:rsidP="00080EBC">
            <w:pPr>
              <w:rPr>
                <w:rFonts w:eastAsia="Times New Roman"/>
                <w:lang w:eastAsia="en-GB"/>
              </w:rPr>
            </w:pPr>
            <w:r w:rsidRPr="00080EBC">
              <w:rPr>
                <w:rFonts w:eastAsia="Times New Roman"/>
                <w:lang w:eastAsia="en-GB"/>
              </w:rPr>
              <w:t>Environmental</w:t>
            </w:r>
          </w:p>
        </w:tc>
        <w:tc>
          <w:tcPr>
            <w:tcW w:w="0" w:type="auto"/>
            <w:vAlign w:val="center"/>
            <w:hideMark/>
          </w:tcPr>
          <w:p w:rsidR="00080EBC" w:rsidRPr="00080EBC" w:rsidRDefault="00080EBC" w:rsidP="00080EBC">
            <w:pPr>
              <w:jc w:val="center"/>
              <w:rPr>
                <w:rFonts w:eastAsia="Times New Roman"/>
                <w:lang w:eastAsia="en-GB"/>
              </w:rPr>
            </w:pPr>
            <w:r w:rsidRPr="00080EBC">
              <w:rPr>
                <w:rFonts w:eastAsia="Times New Roman"/>
                <w:lang w:eastAsia="en-GB"/>
              </w:rPr>
              <w:t>H&amp;M has strong sustainability targets, while Bangladesh has 275 LEED-certified garment factories, the highest globally by early 2026 (H&amp;M Group, 2026; The Financial Express, 2026).</w:t>
            </w:r>
          </w:p>
        </w:tc>
        <w:tc>
          <w:tcPr>
            <w:tcW w:w="0" w:type="auto"/>
            <w:vAlign w:val="center"/>
            <w:hideMark/>
          </w:tcPr>
          <w:p w:rsidR="00080EBC" w:rsidRPr="00080EBC" w:rsidRDefault="00080EBC" w:rsidP="00080EBC">
            <w:pPr>
              <w:jc w:val="center"/>
              <w:rPr>
                <w:rFonts w:eastAsia="Times New Roman"/>
                <w:lang w:eastAsia="en-GB"/>
              </w:rPr>
            </w:pPr>
            <w:r w:rsidRPr="00080EBC">
              <w:rPr>
                <w:rFonts w:eastAsia="Times New Roman"/>
                <w:lang w:eastAsia="en-GB"/>
              </w:rPr>
              <w:t>Growing green-factory base supports sustainable sourcing.</w:t>
            </w:r>
          </w:p>
        </w:tc>
        <w:tc>
          <w:tcPr>
            <w:tcW w:w="0" w:type="auto"/>
            <w:vAlign w:val="center"/>
            <w:hideMark/>
          </w:tcPr>
          <w:p w:rsidR="00080EBC" w:rsidRPr="00080EBC" w:rsidRDefault="00080EBC" w:rsidP="00080EBC">
            <w:pPr>
              <w:jc w:val="center"/>
              <w:rPr>
                <w:rFonts w:eastAsia="Times New Roman"/>
                <w:lang w:eastAsia="en-GB"/>
              </w:rPr>
            </w:pPr>
            <w:r w:rsidRPr="00080EBC">
              <w:rPr>
                <w:rFonts w:eastAsia="Times New Roman"/>
                <w:lang w:eastAsia="en-GB"/>
              </w:rPr>
              <w:t>Energy use, wastewater, pollution and climate vulnerability remain major challenges.</w:t>
            </w:r>
          </w:p>
        </w:tc>
      </w:tr>
    </w:tbl>
    <w:p w:rsidR="00291F72" w:rsidRDefault="00291F72" w:rsidP="00291F72"/>
    <w:p w:rsidR="00291F72" w:rsidRDefault="00291F72" w:rsidP="00291F72">
      <w:r>
        <w:lastRenderedPageBreak/>
        <w:t>All in all, Bangladesh is a promising yet challenging sourcing destination to H&amp;M. Its size, export and labour foundation favour the business model of H&amp;M, yet political instability, inflation, labour inspection, uneven technological enhancement, legal compliance requirement and environmental demands heightens the complexity of management. H&amp;M would not be defeated in Bangladesh, but only with an active supplier governance, building resilience, and further investment in responsible sourcing instead of only focusing on the low production costs (Peng, 2021; World Bank, 2026).</w:t>
      </w:r>
    </w:p>
    <w:p w:rsidR="003D1CE0" w:rsidRDefault="00080EBC" w:rsidP="00080EBC">
      <w:pPr>
        <w:pStyle w:val="Heading1"/>
      </w:pPr>
      <w:bookmarkStart w:id="18" w:name="_Toc227941090"/>
      <w:r>
        <w:t>SWOT Analysis</w:t>
      </w:r>
      <w:bookmarkEnd w:id="18"/>
    </w:p>
    <w:p w:rsidR="00080EBC" w:rsidRDefault="00080EBC" w:rsidP="00080EBC">
      <w:r>
        <w:t>The sourcing benefits and the institutional risks of the country are reflected in the operations of H&amp;M in Bangladesh. H&amp;M being a global apparel retailer will enjoy the large-scale, export-oriented garment industry of Bangladesh; however, its success in the long term will be determined by its ability to handle the complexity of its supply chain, compliance pressures and cost dynamics.</w:t>
      </w:r>
    </w:p>
    <w:p w:rsidR="00A14132" w:rsidRDefault="00A14132" w:rsidP="00A14132">
      <w:pPr>
        <w:keepNext/>
        <w:jc w:val="center"/>
      </w:pPr>
      <w:r>
        <w:rPr>
          <w:noProof/>
          <w:lang w:eastAsia="en-GB"/>
        </w:rPr>
        <w:drawing>
          <wp:inline distT="0" distB="0" distL="0" distR="0" wp14:anchorId="409D1CED" wp14:editId="666B79C0">
            <wp:extent cx="4448175" cy="2502098"/>
            <wp:effectExtent l="0" t="0" r="0" b="0"/>
            <wp:docPr id="3" name="Picture 3" descr="https://cdn.prod.website-files.com/66d613d0cdd5c6fce8bb3005/67ee374ce543c9bb6558d71b_Co%20je%20to%20SWOT%20analy%CC%81za%20a%20jak%20ji%20prove%CC%81s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dn.prod.website-files.com/66d613d0cdd5c6fce8bb3005/67ee374ce543c9bb6558d71b_Co%20je%20to%20SWOT%20analy%CC%81za%20a%20jak%20ji%20prove%CC%81st.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450408" cy="2503354"/>
                    </a:xfrm>
                    <a:prstGeom prst="rect">
                      <a:avLst/>
                    </a:prstGeom>
                    <a:noFill/>
                    <a:ln>
                      <a:noFill/>
                    </a:ln>
                  </pic:spPr>
                </pic:pic>
              </a:graphicData>
            </a:graphic>
          </wp:inline>
        </w:drawing>
      </w:r>
    </w:p>
    <w:p w:rsidR="00A14132" w:rsidRPr="00A14132" w:rsidRDefault="00A14132" w:rsidP="00A14132">
      <w:pPr>
        <w:pStyle w:val="Caption"/>
        <w:jc w:val="center"/>
        <w:rPr>
          <w:sz w:val="22"/>
        </w:rPr>
      </w:pPr>
      <w:r w:rsidRPr="00A14132">
        <w:rPr>
          <w:sz w:val="22"/>
        </w:rPr>
        <w:t xml:space="preserve">Figure </w:t>
      </w:r>
      <w:r w:rsidRPr="00A14132">
        <w:rPr>
          <w:sz w:val="22"/>
        </w:rPr>
        <w:fldChar w:fldCharType="begin"/>
      </w:r>
      <w:r w:rsidRPr="00A14132">
        <w:rPr>
          <w:sz w:val="22"/>
        </w:rPr>
        <w:instrText xml:space="preserve"> SEQ Figure \* ARABIC </w:instrText>
      </w:r>
      <w:r w:rsidRPr="00A14132">
        <w:rPr>
          <w:sz w:val="22"/>
        </w:rPr>
        <w:fldChar w:fldCharType="separate"/>
      </w:r>
      <w:r w:rsidR="006B20EE">
        <w:rPr>
          <w:noProof/>
          <w:sz w:val="22"/>
        </w:rPr>
        <w:t>4</w:t>
      </w:r>
      <w:r w:rsidRPr="00A14132">
        <w:rPr>
          <w:sz w:val="22"/>
        </w:rPr>
        <w:fldChar w:fldCharType="end"/>
      </w:r>
      <w:r w:rsidRPr="00A14132">
        <w:rPr>
          <w:sz w:val="22"/>
        </w:rPr>
        <w:t>: SWOT Framework</w:t>
      </w:r>
    </w:p>
    <w:p w:rsidR="00080EBC" w:rsidRPr="00080EBC" w:rsidRDefault="00080EBC" w:rsidP="00080EBC">
      <w:pPr>
        <w:rPr>
          <w:b/>
        </w:rPr>
      </w:pPr>
      <w:r w:rsidRPr="00080EBC">
        <w:rPr>
          <w:b/>
        </w:rPr>
        <w:t>Strengths</w:t>
      </w:r>
    </w:p>
    <w:p w:rsidR="00080EBC" w:rsidRDefault="00080EBC" w:rsidP="00080EBC">
      <w:r>
        <w:t xml:space="preserve">The established sourcing network throughout the world and a long-term presence in Bangladesh is one of the key advantages of H&amp;M because it provides the opportunity to access a high-density supplier base and a high volume of production. The focus on the </w:t>
      </w:r>
      <w:r>
        <w:lastRenderedPageBreak/>
        <w:t>supply-chain transparency and the sustainability reporting, including 99% of its products, also reinforces the legitimacy of the company and the trust of its stakeholders (H&amp;M Group, 2026). Moreover, the size of Bangladesh, which has more than US$38 billion of RMG exports per year, contributes to the efficiency-based sourcing strategy and capacity of H&amp;M to keep prices competitive (BGMEA, 2025).</w:t>
      </w:r>
    </w:p>
    <w:p w:rsidR="00080EBC" w:rsidRPr="00A14132" w:rsidRDefault="00080EBC" w:rsidP="00080EBC">
      <w:pPr>
        <w:rPr>
          <w:b/>
        </w:rPr>
      </w:pPr>
      <w:r w:rsidRPr="00A14132">
        <w:rPr>
          <w:b/>
        </w:rPr>
        <w:t>Weaknesses</w:t>
      </w:r>
    </w:p>
    <w:p w:rsidR="00080EBC" w:rsidRPr="00A14132" w:rsidRDefault="00080EBC" w:rsidP="00080EBC">
      <w:r>
        <w:t>Nevertheless, H&amp;M has significant weaknesses as well. The company depends on external suppliers and lacks its production facilities, which restricts the possibilities of direct control over labour conditions, quality consistency and disruption of operations. The location of Bangladesh in low-value manufacturing segments implies that suppliers tend to work with small margins, and it is challenging to reconcile the cost-efficiency and sustainability pledges (</w:t>
      </w:r>
      <w:proofErr w:type="spellStart"/>
      <w:r>
        <w:t>Gereffi</w:t>
      </w:r>
      <w:proofErr w:type="spellEnd"/>
      <w:r>
        <w:t xml:space="preserve"> and Frederick, 2010). Such reliance on a cost-based supply chain can lead to the conflict between profitability and</w:t>
      </w:r>
      <w:r w:rsidR="00A14132">
        <w:t xml:space="preserve"> ethical sourcing expectations.</w:t>
      </w:r>
    </w:p>
    <w:p w:rsidR="00080EBC" w:rsidRPr="00080EBC" w:rsidRDefault="00080EBC" w:rsidP="00080EBC">
      <w:pPr>
        <w:rPr>
          <w:b/>
        </w:rPr>
      </w:pPr>
      <w:r w:rsidRPr="00080EBC">
        <w:rPr>
          <w:b/>
        </w:rPr>
        <w:t>Opportunities</w:t>
      </w:r>
    </w:p>
    <w:p w:rsidR="00080EBC" w:rsidRDefault="00080EBC" w:rsidP="00080EBC">
      <w:r>
        <w:t>Opportunities are also evident. Bangladesh is also continually modernizing its garment industry, such as green manufacturing, with more than 275 LEED-certified factories (the largest worldwide), it resides in Bangladesh (The Financial Express, 2026). This is in line with the sustainability plan of H&amp;M, which involves a 35% decrease in greenhouse gas emissions by 2019 (H&amp;M Group, 2026). Also, the sustained incorporation into global value chains, and export policy support offers H&amp;M the opportunity to enhance long-term sourcing relationships and increase sustainable production capacity.</w:t>
      </w:r>
    </w:p>
    <w:p w:rsidR="00080EBC" w:rsidRPr="00080EBC" w:rsidRDefault="00080EBC" w:rsidP="00080EBC">
      <w:pPr>
        <w:rPr>
          <w:b/>
        </w:rPr>
      </w:pPr>
      <w:r w:rsidRPr="00080EBC">
        <w:rPr>
          <w:b/>
        </w:rPr>
        <w:t>Threats</w:t>
      </w:r>
    </w:p>
    <w:p w:rsidR="00080EBC" w:rsidRDefault="00080EBC" w:rsidP="00080EBC">
      <w:r>
        <w:t xml:space="preserve">Meanwhile, some threats have an impact on the operations of H&amp;M. Supplier resilience can be undermined by political instability and macroeconomic pressure and inflation that are reported to be 810% in 2025, which leads to higher costs of production (IMF, 2026; World Bank, 2026). The problem of labour rights and lack of compliance is still a major reputational risk, especially in such a visible consumer market. Moreover, the growing </w:t>
      </w:r>
      <w:r>
        <w:lastRenderedPageBreak/>
        <w:t>demand on environmental and social compliance worldwide can lead to higher costs and diminished flexibility of low-cost sourcing strategies.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23"/>
        <w:gridCol w:w="7827"/>
      </w:tblGrid>
      <w:tr w:rsidR="00A14132" w:rsidRPr="00A14132" w:rsidTr="00A14132">
        <w:trPr>
          <w:tblHeader/>
          <w:tblCellSpacing w:w="15" w:type="dxa"/>
        </w:trPr>
        <w:tc>
          <w:tcPr>
            <w:tcW w:w="0" w:type="auto"/>
            <w:vAlign w:val="center"/>
            <w:hideMark/>
          </w:tcPr>
          <w:p w:rsidR="00A14132" w:rsidRPr="00A14132" w:rsidRDefault="00A14132" w:rsidP="00A14132">
            <w:pPr>
              <w:rPr>
                <w:rFonts w:eastAsia="Times New Roman"/>
                <w:b/>
                <w:lang w:eastAsia="en-GB"/>
              </w:rPr>
            </w:pPr>
            <w:r w:rsidRPr="00A14132">
              <w:rPr>
                <w:rFonts w:eastAsia="Times New Roman"/>
                <w:b/>
                <w:lang w:eastAsia="en-GB"/>
              </w:rPr>
              <w:t>Factor</w:t>
            </w:r>
          </w:p>
        </w:tc>
        <w:tc>
          <w:tcPr>
            <w:tcW w:w="0" w:type="auto"/>
            <w:vAlign w:val="center"/>
            <w:hideMark/>
          </w:tcPr>
          <w:p w:rsidR="00A14132" w:rsidRPr="00A14132" w:rsidRDefault="00A14132" w:rsidP="00A14132">
            <w:pPr>
              <w:rPr>
                <w:rFonts w:eastAsia="Times New Roman"/>
                <w:b/>
                <w:lang w:eastAsia="en-GB"/>
              </w:rPr>
            </w:pPr>
            <w:r w:rsidRPr="00A14132">
              <w:rPr>
                <w:rFonts w:eastAsia="Times New Roman"/>
                <w:b/>
                <w:lang w:eastAsia="en-GB"/>
              </w:rPr>
              <w:t>Key Points</w:t>
            </w:r>
          </w:p>
        </w:tc>
      </w:tr>
      <w:tr w:rsidR="00A14132" w:rsidRPr="00A14132" w:rsidTr="00A14132">
        <w:trPr>
          <w:tblCellSpacing w:w="15" w:type="dxa"/>
        </w:trPr>
        <w:tc>
          <w:tcPr>
            <w:tcW w:w="0" w:type="auto"/>
            <w:vAlign w:val="center"/>
            <w:hideMark/>
          </w:tcPr>
          <w:p w:rsidR="00A14132" w:rsidRPr="00A14132" w:rsidRDefault="00A14132" w:rsidP="00A14132">
            <w:pPr>
              <w:rPr>
                <w:rFonts w:eastAsia="Times New Roman"/>
                <w:lang w:eastAsia="en-GB"/>
              </w:rPr>
            </w:pPr>
            <w:r w:rsidRPr="00A14132">
              <w:rPr>
                <w:rFonts w:eastAsia="Times New Roman"/>
                <w:lang w:eastAsia="en-GB"/>
              </w:rPr>
              <w:t>Strengths</w:t>
            </w:r>
          </w:p>
        </w:tc>
        <w:tc>
          <w:tcPr>
            <w:tcW w:w="0" w:type="auto"/>
            <w:vAlign w:val="center"/>
            <w:hideMark/>
          </w:tcPr>
          <w:p w:rsidR="00A14132" w:rsidRPr="00A14132" w:rsidRDefault="00A14132" w:rsidP="00A14132">
            <w:pPr>
              <w:rPr>
                <w:rFonts w:eastAsia="Times New Roman"/>
                <w:lang w:eastAsia="en-GB"/>
              </w:rPr>
            </w:pPr>
            <w:r w:rsidRPr="00A14132">
              <w:rPr>
                <w:rFonts w:eastAsia="Times New Roman"/>
                <w:lang w:eastAsia="en-GB"/>
              </w:rPr>
              <w:t>Strong global sourcing network; access to large supplier base; high transparency (99% product coverage); cost efficiency from Bangladesh’s scale</w:t>
            </w:r>
          </w:p>
        </w:tc>
      </w:tr>
      <w:tr w:rsidR="00A14132" w:rsidRPr="00A14132" w:rsidTr="00A14132">
        <w:trPr>
          <w:tblCellSpacing w:w="15" w:type="dxa"/>
        </w:trPr>
        <w:tc>
          <w:tcPr>
            <w:tcW w:w="0" w:type="auto"/>
            <w:vAlign w:val="center"/>
            <w:hideMark/>
          </w:tcPr>
          <w:p w:rsidR="00A14132" w:rsidRPr="00A14132" w:rsidRDefault="00A14132" w:rsidP="00A14132">
            <w:pPr>
              <w:rPr>
                <w:rFonts w:eastAsia="Times New Roman"/>
                <w:lang w:eastAsia="en-GB"/>
              </w:rPr>
            </w:pPr>
            <w:r w:rsidRPr="00A14132">
              <w:rPr>
                <w:rFonts w:eastAsia="Times New Roman"/>
                <w:lang w:eastAsia="en-GB"/>
              </w:rPr>
              <w:t>Weaknesses</w:t>
            </w:r>
          </w:p>
        </w:tc>
        <w:tc>
          <w:tcPr>
            <w:tcW w:w="0" w:type="auto"/>
            <w:vAlign w:val="center"/>
            <w:hideMark/>
          </w:tcPr>
          <w:p w:rsidR="00A14132" w:rsidRPr="00A14132" w:rsidRDefault="00A14132" w:rsidP="00A14132">
            <w:pPr>
              <w:rPr>
                <w:rFonts w:eastAsia="Times New Roman"/>
                <w:lang w:eastAsia="en-GB"/>
              </w:rPr>
            </w:pPr>
            <w:r w:rsidRPr="00A14132">
              <w:rPr>
                <w:rFonts w:eastAsia="Times New Roman"/>
                <w:lang w:eastAsia="en-GB"/>
              </w:rPr>
              <w:t>Limited direct control over suppliers; dependence on low-margin manufacturing; tension between cost and sustainability</w:t>
            </w:r>
          </w:p>
        </w:tc>
      </w:tr>
      <w:tr w:rsidR="00A14132" w:rsidRPr="00A14132" w:rsidTr="00A14132">
        <w:trPr>
          <w:tblCellSpacing w:w="15" w:type="dxa"/>
        </w:trPr>
        <w:tc>
          <w:tcPr>
            <w:tcW w:w="0" w:type="auto"/>
            <w:vAlign w:val="center"/>
            <w:hideMark/>
          </w:tcPr>
          <w:p w:rsidR="00A14132" w:rsidRPr="00A14132" w:rsidRDefault="00A14132" w:rsidP="00A14132">
            <w:pPr>
              <w:rPr>
                <w:rFonts w:eastAsia="Times New Roman"/>
                <w:lang w:eastAsia="en-GB"/>
              </w:rPr>
            </w:pPr>
            <w:r w:rsidRPr="00A14132">
              <w:rPr>
                <w:rFonts w:eastAsia="Times New Roman"/>
                <w:lang w:eastAsia="en-GB"/>
              </w:rPr>
              <w:t>Opportunities</w:t>
            </w:r>
          </w:p>
        </w:tc>
        <w:tc>
          <w:tcPr>
            <w:tcW w:w="0" w:type="auto"/>
            <w:vAlign w:val="center"/>
            <w:hideMark/>
          </w:tcPr>
          <w:p w:rsidR="00A14132" w:rsidRPr="00A14132" w:rsidRDefault="00A14132" w:rsidP="00A14132">
            <w:pPr>
              <w:rPr>
                <w:rFonts w:eastAsia="Times New Roman"/>
                <w:lang w:eastAsia="en-GB"/>
              </w:rPr>
            </w:pPr>
            <w:r w:rsidRPr="00A14132">
              <w:rPr>
                <w:rFonts w:eastAsia="Times New Roman"/>
                <w:lang w:eastAsia="en-GB"/>
              </w:rPr>
              <w:t>Growth in green factories (275+ LEED); alignment with sustainability goals; export expansion and supplier upgrading</w:t>
            </w:r>
          </w:p>
        </w:tc>
      </w:tr>
      <w:tr w:rsidR="00A14132" w:rsidRPr="00A14132" w:rsidTr="00A14132">
        <w:trPr>
          <w:tblCellSpacing w:w="15" w:type="dxa"/>
        </w:trPr>
        <w:tc>
          <w:tcPr>
            <w:tcW w:w="0" w:type="auto"/>
            <w:vAlign w:val="center"/>
            <w:hideMark/>
          </w:tcPr>
          <w:p w:rsidR="00A14132" w:rsidRPr="00A14132" w:rsidRDefault="00A14132" w:rsidP="00A14132">
            <w:pPr>
              <w:rPr>
                <w:rFonts w:eastAsia="Times New Roman"/>
                <w:lang w:eastAsia="en-GB"/>
              </w:rPr>
            </w:pPr>
            <w:r w:rsidRPr="00A14132">
              <w:rPr>
                <w:rFonts w:eastAsia="Times New Roman"/>
                <w:lang w:eastAsia="en-GB"/>
              </w:rPr>
              <w:t>Threats</w:t>
            </w:r>
          </w:p>
        </w:tc>
        <w:tc>
          <w:tcPr>
            <w:tcW w:w="0" w:type="auto"/>
            <w:vAlign w:val="center"/>
            <w:hideMark/>
          </w:tcPr>
          <w:p w:rsidR="00A14132" w:rsidRPr="00A14132" w:rsidRDefault="00A14132" w:rsidP="00A14132">
            <w:pPr>
              <w:rPr>
                <w:rFonts w:eastAsia="Times New Roman"/>
                <w:lang w:eastAsia="en-GB"/>
              </w:rPr>
            </w:pPr>
            <w:r w:rsidRPr="00A14132">
              <w:rPr>
                <w:rFonts w:eastAsia="Times New Roman"/>
                <w:lang w:eastAsia="en-GB"/>
              </w:rPr>
              <w:t>Political instability; inflation (8–10%); labour compliance risks; rising sustainability and regulatory pressure</w:t>
            </w:r>
          </w:p>
        </w:tc>
      </w:tr>
    </w:tbl>
    <w:p w:rsidR="00A14132" w:rsidRDefault="00A14132" w:rsidP="00080EBC"/>
    <w:p w:rsidR="00080EBC" w:rsidRDefault="00080EBC" w:rsidP="00080EBC">
      <w:r>
        <w:t>Altogether, the presence of H&amp;M in Bangladesh is characterized by a high level of operational benefits and possibilities as well as vulnerability to external risks, which entails the necessity to conduct constant cost, compliance and sustainability trade-offs.</w:t>
      </w:r>
    </w:p>
    <w:p w:rsidR="003D1CE0" w:rsidRDefault="00A14132" w:rsidP="00A14132">
      <w:pPr>
        <w:pStyle w:val="Heading1"/>
      </w:pPr>
      <w:bookmarkStart w:id="19" w:name="_Toc227941091"/>
      <w:r>
        <w:t>Strategic Analysis Using OLI and CAGE Frameworks</w:t>
      </w:r>
      <w:bookmarkEnd w:id="19"/>
    </w:p>
    <w:p w:rsidR="00A14132" w:rsidRDefault="00A14132" w:rsidP="00F521F9">
      <w:pPr>
        <w:pStyle w:val="Heading2"/>
      </w:pPr>
      <w:bookmarkStart w:id="20" w:name="_Toc227941092"/>
      <w:r w:rsidRPr="00A14132">
        <w:t>OLI Model</w:t>
      </w:r>
      <w:bookmarkEnd w:id="20"/>
    </w:p>
    <w:p w:rsidR="00A14132" w:rsidRDefault="00A14132" w:rsidP="00A14132">
      <w:r>
        <w:t>The OLI (Ownership-Location-Internalisation) model by Dunning describes the reason why multinationals select particular countries and entry modes (Dunning, 1988). With H&amp;M in the RMG industry in Bangladesh, all the three factors contribute to the rationale of its international strategy based on sourcing.</w:t>
      </w:r>
    </w:p>
    <w:p w:rsidR="00A14132" w:rsidRPr="00A14132" w:rsidRDefault="00A14132" w:rsidP="00A14132">
      <w:pPr>
        <w:rPr>
          <w:b/>
        </w:rPr>
      </w:pPr>
      <w:r w:rsidRPr="00A14132">
        <w:rPr>
          <w:b/>
        </w:rPr>
        <w:t>Ownership Advantages</w:t>
      </w:r>
    </w:p>
    <w:p w:rsidR="00A14132" w:rsidRDefault="00A14132" w:rsidP="00A14132">
      <w:r>
        <w:lastRenderedPageBreak/>
        <w:t>To begin with, there are ownership advantages that are firm-specific. H&amp;M has a good brand identity, international design capacity, supply-chain integration skills and sophisticated sustainability and compliance platform. This enables the company to organize extensive supplier networks without compromising product quality and reputational levels at markets (H&amp;M Group, 2026; Peng, 2021). In contrast to local manufacturers, H&amp;M has a higher degree of control over higher-value activities like branding, marketing and customer relationships that are the most profitable segments of the apparel value chain. This ownership advantage assists H&amp;M to realize value despite outsourced production.</w:t>
      </w:r>
    </w:p>
    <w:p w:rsidR="00A14132" w:rsidRPr="00070189" w:rsidRDefault="00A14132" w:rsidP="00A14132">
      <w:pPr>
        <w:rPr>
          <w:b/>
        </w:rPr>
      </w:pPr>
      <w:r w:rsidRPr="00070189">
        <w:rPr>
          <w:b/>
        </w:rPr>
        <w:t>Location Advantages</w:t>
      </w:r>
    </w:p>
    <w:p w:rsidR="00A14132" w:rsidRDefault="00A14132" w:rsidP="00A14132">
      <w:r>
        <w:t>Second, location benefits describe the attractiveness of Bangladesh. There is a mix of low labour costs, large and experienced workforce and dense network of suppliers who can manage high volume garment manufacturing in the country. Bangladesh has over US 38 billion of RMG exports annually, which offers a scale and production specialisation that can hardly be matched by other countries (BGMEA, 2025). Moreover, the government facilitation of export-driven sectors and enhancement of compliance and green production make it more appealing. Nevertheless, these benefits are partly countered by threats like political instability, infrastructure constraints and regulatory hurdles implying that the place is good but not free (World Bank, 2026).</w:t>
      </w:r>
    </w:p>
    <w:p w:rsidR="00A14132" w:rsidRPr="00A14132" w:rsidRDefault="00A14132" w:rsidP="00A14132">
      <w:pPr>
        <w:rPr>
          <w:b/>
        </w:rPr>
      </w:pPr>
      <w:r w:rsidRPr="00A14132">
        <w:rPr>
          <w:b/>
        </w:rPr>
        <w:t>Internalisation Advantages</w:t>
      </w:r>
    </w:p>
    <w:p w:rsidR="00A14132" w:rsidRDefault="00A14132" w:rsidP="00A14132">
      <w:r>
        <w:t xml:space="preserve">Third, internalisation benefits can be used to understand why H&amp;M prefers to arrange production using long-term supplier contracts as opposed to spot-market deals or owning suppliers. H&amp;M can lower the expenses associated with transactions by internalising major functions, including supplier selection, quality control, compliance monitoring and sustainability standards, which will provide the company with control over brand reputation (Dunning, 1988; </w:t>
      </w:r>
      <w:proofErr w:type="spellStart"/>
      <w:r>
        <w:t>Huq</w:t>
      </w:r>
      <w:proofErr w:type="spellEnd"/>
      <w:r>
        <w:t>, Chowdhury and Klassen, 2016). Nevertheless, manufacturing is not internalised in H&amp;M since outsourcing is more cost-effective and versatile. This external production/high internal governance model suits the industry structure of Bangladesh that is labour intensive.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88"/>
        <w:gridCol w:w="7262"/>
      </w:tblGrid>
      <w:tr w:rsidR="00070189" w:rsidRPr="00070189" w:rsidTr="00070189">
        <w:trPr>
          <w:tblHeader/>
          <w:tblCellSpacing w:w="15" w:type="dxa"/>
        </w:trPr>
        <w:tc>
          <w:tcPr>
            <w:tcW w:w="0" w:type="auto"/>
            <w:vAlign w:val="center"/>
            <w:hideMark/>
          </w:tcPr>
          <w:p w:rsidR="00070189" w:rsidRPr="00070189" w:rsidRDefault="00070189" w:rsidP="00070189">
            <w:pPr>
              <w:spacing w:after="0"/>
              <w:jc w:val="center"/>
              <w:rPr>
                <w:rFonts w:eastAsia="Times New Roman" w:cs="Arial"/>
                <w:b/>
                <w:bCs/>
                <w:szCs w:val="24"/>
                <w:lang w:eastAsia="en-GB"/>
              </w:rPr>
            </w:pPr>
            <w:r w:rsidRPr="00070189">
              <w:rPr>
                <w:rFonts w:eastAsia="Times New Roman" w:cs="Arial"/>
                <w:b/>
                <w:bCs/>
                <w:szCs w:val="24"/>
                <w:lang w:eastAsia="en-GB"/>
              </w:rPr>
              <w:lastRenderedPageBreak/>
              <w:t>OLI Element</w:t>
            </w:r>
          </w:p>
        </w:tc>
        <w:tc>
          <w:tcPr>
            <w:tcW w:w="0" w:type="auto"/>
            <w:vAlign w:val="center"/>
            <w:hideMark/>
          </w:tcPr>
          <w:p w:rsidR="00070189" w:rsidRPr="00070189" w:rsidRDefault="00070189" w:rsidP="00070189">
            <w:pPr>
              <w:spacing w:after="0"/>
              <w:jc w:val="center"/>
              <w:rPr>
                <w:rFonts w:eastAsia="Times New Roman" w:cs="Arial"/>
                <w:b/>
                <w:bCs/>
                <w:szCs w:val="24"/>
                <w:lang w:eastAsia="en-GB"/>
              </w:rPr>
            </w:pPr>
            <w:r w:rsidRPr="00070189">
              <w:rPr>
                <w:rFonts w:eastAsia="Times New Roman" w:cs="Arial"/>
                <w:b/>
                <w:bCs/>
                <w:szCs w:val="24"/>
                <w:lang w:eastAsia="en-GB"/>
              </w:rPr>
              <w:t>Summary for H&amp;M in Bangladesh</w:t>
            </w:r>
          </w:p>
        </w:tc>
      </w:tr>
      <w:tr w:rsidR="00070189" w:rsidRPr="00070189" w:rsidTr="00070189">
        <w:trPr>
          <w:tblCellSpacing w:w="15" w:type="dxa"/>
        </w:trPr>
        <w:tc>
          <w:tcPr>
            <w:tcW w:w="0" w:type="auto"/>
            <w:vAlign w:val="center"/>
            <w:hideMark/>
          </w:tcPr>
          <w:p w:rsidR="00070189" w:rsidRPr="00070189" w:rsidRDefault="00070189" w:rsidP="00070189">
            <w:pPr>
              <w:spacing w:after="0"/>
              <w:jc w:val="left"/>
              <w:rPr>
                <w:rFonts w:eastAsia="Times New Roman" w:cs="Arial"/>
                <w:szCs w:val="24"/>
                <w:lang w:eastAsia="en-GB"/>
              </w:rPr>
            </w:pPr>
            <w:r w:rsidRPr="00070189">
              <w:rPr>
                <w:rFonts w:eastAsia="Times New Roman" w:cs="Arial"/>
                <w:b/>
                <w:bCs/>
                <w:szCs w:val="24"/>
                <w:lang w:eastAsia="en-GB"/>
              </w:rPr>
              <w:t>Ownership Advantages</w:t>
            </w:r>
          </w:p>
        </w:tc>
        <w:tc>
          <w:tcPr>
            <w:tcW w:w="0" w:type="auto"/>
            <w:vAlign w:val="center"/>
            <w:hideMark/>
          </w:tcPr>
          <w:p w:rsidR="00070189" w:rsidRPr="00070189" w:rsidRDefault="00070189" w:rsidP="00070189">
            <w:pPr>
              <w:spacing w:after="0"/>
              <w:jc w:val="left"/>
              <w:rPr>
                <w:rFonts w:eastAsia="Times New Roman" w:cs="Arial"/>
                <w:szCs w:val="24"/>
                <w:lang w:eastAsia="en-GB"/>
              </w:rPr>
            </w:pPr>
            <w:r w:rsidRPr="00070189">
              <w:rPr>
                <w:rFonts w:eastAsia="Times New Roman" w:cs="Arial"/>
                <w:szCs w:val="24"/>
                <w:lang w:eastAsia="en-GB"/>
              </w:rPr>
              <w:t>H&amp;M benefits from strong brand power, global design capability, supply-chain coordination and sustainability systems, which allow it to control high-value activities while outsourcing production (H&amp;M Group, 2026; Peng, 2021).</w:t>
            </w:r>
          </w:p>
        </w:tc>
      </w:tr>
      <w:tr w:rsidR="00070189" w:rsidRPr="00070189" w:rsidTr="00070189">
        <w:trPr>
          <w:tblCellSpacing w:w="15" w:type="dxa"/>
        </w:trPr>
        <w:tc>
          <w:tcPr>
            <w:tcW w:w="0" w:type="auto"/>
            <w:vAlign w:val="center"/>
            <w:hideMark/>
          </w:tcPr>
          <w:p w:rsidR="00070189" w:rsidRPr="00070189" w:rsidRDefault="00070189" w:rsidP="00070189">
            <w:pPr>
              <w:spacing w:after="0"/>
              <w:jc w:val="left"/>
              <w:rPr>
                <w:rFonts w:eastAsia="Times New Roman" w:cs="Arial"/>
                <w:szCs w:val="24"/>
                <w:lang w:eastAsia="en-GB"/>
              </w:rPr>
            </w:pPr>
            <w:r w:rsidRPr="00070189">
              <w:rPr>
                <w:rFonts w:eastAsia="Times New Roman" w:cs="Arial"/>
                <w:b/>
                <w:bCs/>
                <w:szCs w:val="24"/>
                <w:lang w:eastAsia="en-GB"/>
              </w:rPr>
              <w:t>Location Advantages</w:t>
            </w:r>
          </w:p>
        </w:tc>
        <w:tc>
          <w:tcPr>
            <w:tcW w:w="0" w:type="auto"/>
            <w:vAlign w:val="center"/>
            <w:hideMark/>
          </w:tcPr>
          <w:p w:rsidR="00070189" w:rsidRPr="00070189" w:rsidRDefault="00070189" w:rsidP="00070189">
            <w:pPr>
              <w:spacing w:after="0"/>
              <w:jc w:val="left"/>
              <w:rPr>
                <w:rFonts w:eastAsia="Times New Roman" w:cs="Arial"/>
                <w:szCs w:val="24"/>
                <w:lang w:eastAsia="en-GB"/>
              </w:rPr>
            </w:pPr>
            <w:r w:rsidRPr="00070189">
              <w:rPr>
                <w:rFonts w:eastAsia="Times New Roman" w:cs="Arial"/>
                <w:szCs w:val="24"/>
                <w:lang w:eastAsia="en-GB"/>
              </w:rPr>
              <w:t>Bangladesh offers low labour costs, a large supplier base, export scale and strong apparel specialisation, making it attractive for sourcing, despite political and regulatory risks (BGMEA, 2025; World Bank, 2026).</w:t>
            </w:r>
          </w:p>
        </w:tc>
      </w:tr>
      <w:tr w:rsidR="00070189" w:rsidRPr="00070189" w:rsidTr="00070189">
        <w:trPr>
          <w:tblCellSpacing w:w="15" w:type="dxa"/>
        </w:trPr>
        <w:tc>
          <w:tcPr>
            <w:tcW w:w="0" w:type="auto"/>
            <w:vAlign w:val="center"/>
            <w:hideMark/>
          </w:tcPr>
          <w:p w:rsidR="00070189" w:rsidRPr="00070189" w:rsidRDefault="00070189" w:rsidP="00070189">
            <w:pPr>
              <w:spacing w:after="0"/>
              <w:jc w:val="left"/>
              <w:rPr>
                <w:rFonts w:eastAsia="Times New Roman" w:cs="Arial"/>
                <w:szCs w:val="24"/>
                <w:lang w:eastAsia="en-GB"/>
              </w:rPr>
            </w:pPr>
            <w:r w:rsidRPr="00070189">
              <w:rPr>
                <w:rFonts w:eastAsia="Times New Roman" w:cs="Arial"/>
                <w:b/>
                <w:bCs/>
                <w:szCs w:val="24"/>
                <w:lang w:eastAsia="en-GB"/>
              </w:rPr>
              <w:t>Internalisation Advantages</w:t>
            </w:r>
          </w:p>
        </w:tc>
        <w:tc>
          <w:tcPr>
            <w:tcW w:w="0" w:type="auto"/>
            <w:vAlign w:val="center"/>
            <w:hideMark/>
          </w:tcPr>
          <w:p w:rsidR="00070189" w:rsidRPr="00070189" w:rsidRDefault="00070189" w:rsidP="00070189">
            <w:pPr>
              <w:spacing w:after="0"/>
              <w:jc w:val="left"/>
              <w:rPr>
                <w:rFonts w:eastAsia="Times New Roman" w:cs="Arial"/>
                <w:szCs w:val="24"/>
                <w:lang w:eastAsia="en-GB"/>
              </w:rPr>
            </w:pPr>
            <w:r w:rsidRPr="00070189">
              <w:rPr>
                <w:rFonts w:eastAsia="Times New Roman" w:cs="Arial"/>
                <w:szCs w:val="24"/>
                <w:lang w:eastAsia="en-GB"/>
              </w:rPr>
              <w:t xml:space="preserve">H&amp;M internalises supplier governance, compliance, quality control and sourcing coordination rather than owning factories directly, allowing flexibility with tighter strategic control (Dunning, 1988; </w:t>
            </w:r>
            <w:proofErr w:type="spellStart"/>
            <w:r w:rsidRPr="00070189">
              <w:rPr>
                <w:rFonts w:eastAsia="Times New Roman" w:cs="Arial"/>
                <w:szCs w:val="24"/>
                <w:lang w:eastAsia="en-GB"/>
              </w:rPr>
              <w:t>Huq</w:t>
            </w:r>
            <w:proofErr w:type="spellEnd"/>
            <w:r w:rsidRPr="00070189">
              <w:rPr>
                <w:rFonts w:eastAsia="Times New Roman" w:cs="Arial"/>
                <w:szCs w:val="24"/>
                <w:lang w:eastAsia="en-GB"/>
              </w:rPr>
              <w:t>, Chowdhury and Klassen, 2016).</w:t>
            </w:r>
          </w:p>
        </w:tc>
      </w:tr>
      <w:tr w:rsidR="00070189" w:rsidRPr="00070189" w:rsidTr="00070189">
        <w:trPr>
          <w:tblCellSpacing w:w="15" w:type="dxa"/>
        </w:trPr>
        <w:tc>
          <w:tcPr>
            <w:tcW w:w="0" w:type="auto"/>
            <w:vAlign w:val="center"/>
            <w:hideMark/>
          </w:tcPr>
          <w:p w:rsidR="00070189" w:rsidRPr="00070189" w:rsidRDefault="00070189" w:rsidP="00070189">
            <w:pPr>
              <w:spacing w:after="0"/>
              <w:jc w:val="left"/>
              <w:rPr>
                <w:rFonts w:eastAsia="Times New Roman" w:cs="Arial"/>
                <w:szCs w:val="24"/>
                <w:lang w:eastAsia="en-GB"/>
              </w:rPr>
            </w:pPr>
            <w:r w:rsidRPr="00070189">
              <w:rPr>
                <w:rFonts w:eastAsia="Times New Roman" w:cs="Arial"/>
                <w:b/>
                <w:bCs/>
                <w:szCs w:val="24"/>
                <w:lang w:eastAsia="en-GB"/>
              </w:rPr>
              <w:t>Overall OLI Insight</w:t>
            </w:r>
          </w:p>
        </w:tc>
        <w:tc>
          <w:tcPr>
            <w:tcW w:w="0" w:type="auto"/>
            <w:vAlign w:val="center"/>
            <w:hideMark/>
          </w:tcPr>
          <w:p w:rsidR="00070189" w:rsidRPr="00070189" w:rsidRDefault="00070189" w:rsidP="00070189">
            <w:pPr>
              <w:spacing w:after="0"/>
              <w:jc w:val="left"/>
              <w:rPr>
                <w:rFonts w:eastAsia="Times New Roman" w:cs="Arial"/>
                <w:szCs w:val="24"/>
                <w:lang w:eastAsia="en-GB"/>
              </w:rPr>
            </w:pPr>
            <w:r w:rsidRPr="00070189">
              <w:rPr>
                <w:rFonts w:eastAsia="Times New Roman" w:cs="Arial"/>
                <w:szCs w:val="24"/>
                <w:lang w:eastAsia="en-GB"/>
              </w:rPr>
              <w:t>Bangladesh fits H&amp;M’s sourcing model because the company can combine its ownership strengths with Bangladesh’s location benefits while managing risks through internal coordination.</w:t>
            </w:r>
          </w:p>
        </w:tc>
      </w:tr>
    </w:tbl>
    <w:p w:rsidR="00070189" w:rsidRDefault="00070189" w:rsidP="00A14132"/>
    <w:p w:rsidR="00A14132" w:rsidRDefault="00A14132" w:rsidP="00A14132">
      <w:r>
        <w:t>On the whole, the OLI framework demonstrates that the success of the H&amp;M in Bangladesh is conditioned by the opportunities to use the global advantages of ownership and avoid the location-specific threats with the help of the on-location coordination mechanisms.</w:t>
      </w:r>
    </w:p>
    <w:p w:rsidR="00A14132" w:rsidRDefault="00A14132" w:rsidP="00F521F9">
      <w:pPr>
        <w:pStyle w:val="Heading2"/>
      </w:pPr>
      <w:bookmarkStart w:id="21" w:name="_Toc227941093"/>
      <w:r w:rsidRPr="00A14132">
        <w:t>CAGE Model</w:t>
      </w:r>
      <w:bookmarkEnd w:id="21"/>
    </w:p>
    <w:p w:rsidR="00A14132" w:rsidRDefault="00A14132" w:rsidP="00A14132">
      <w:r>
        <w:t>The CAGE framework (Cultural, Administrative, Geographic and Economic distance) describes what happens to international operations when there is a difference between the home and host countries (</w:t>
      </w:r>
      <w:proofErr w:type="spellStart"/>
      <w:r>
        <w:t>Ghemawat</w:t>
      </w:r>
      <w:proofErr w:type="spellEnd"/>
      <w:r>
        <w:t>, 2001). In the case of H&amp;M, the opportunities and challenges in Bangladesh are determined by these distances.</w:t>
      </w:r>
    </w:p>
    <w:p w:rsidR="00A14132" w:rsidRPr="00A14132" w:rsidRDefault="00A14132" w:rsidP="00A14132">
      <w:pPr>
        <w:rPr>
          <w:b/>
        </w:rPr>
      </w:pPr>
      <w:r w:rsidRPr="00A14132">
        <w:rPr>
          <w:b/>
        </w:rPr>
        <w:t>Cultural Distance</w:t>
      </w:r>
    </w:p>
    <w:p w:rsidR="00A14132" w:rsidRDefault="00A14132" w:rsidP="00A14132">
      <w:r>
        <w:lastRenderedPageBreak/>
        <w:t>The cultural distance between Sweden (home country of H&amp;M) and Bangladesh on the aspect of language, business norms and labour relations. This may generate communication and management issues, but H&amp;M is countering these with the help of local sourcing offices and long-term supplier relationships. Nevertheless, labour expectations and workplace culture may still cause tensions, especially regarding wages and working conditions (</w:t>
      </w:r>
      <w:proofErr w:type="spellStart"/>
      <w:r>
        <w:t>Huq</w:t>
      </w:r>
      <w:proofErr w:type="spellEnd"/>
      <w:r>
        <w:t>, Chowdhury and Klassen, 2016).</w:t>
      </w:r>
    </w:p>
    <w:p w:rsidR="00A14132" w:rsidRPr="00A14132" w:rsidRDefault="00A14132" w:rsidP="00A14132">
      <w:pPr>
        <w:rPr>
          <w:b/>
        </w:rPr>
      </w:pPr>
      <w:r w:rsidRPr="00A14132">
        <w:rPr>
          <w:b/>
        </w:rPr>
        <w:t>Administrative Distance</w:t>
      </w:r>
    </w:p>
    <w:p w:rsidR="00A14132" w:rsidRDefault="00A14132" w:rsidP="00A14132">
      <w:r>
        <w:t>The administration distance is crucial because the legal systems, the quality of labour regulation and government, are different. Since Rana Plaza, Bangladesh has seen some progress in labour law reform, although enforcement is still patchy. This raises compliance risk in H&amp;M that needs to attain international standards that are not limited to local regulations (ILO, 2022; World Bank, 2026).</w:t>
      </w:r>
    </w:p>
    <w:p w:rsidR="00A14132" w:rsidRPr="00A14132" w:rsidRDefault="00A14132" w:rsidP="00A14132">
      <w:pPr>
        <w:rPr>
          <w:b/>
        </w:rPr>
      </w:pPr>
      <w:r w:rsidRPr="00A14132">
        <w:rPr>
          <w:b/>
        </w:rPr>
        <w:t>Geographic Distance</w:t>
      </w:r>
    </w:p>
    <w:p w:rsidR="00A14132" w:rsidRDefault="00A14132" w:rsidP="00A14132">
      <w:r>
        <w:t>The geographic distance between Europe and Bangladesh contributes to the transportation time, complexity of logistics, and coordination of supply chains. This may impact lead times and responsiveness, particularly in quick-fashion segments. Nonetheless, the developed export infrastructure and shipping routes in Bangladesh partially mitigates this drawback (</w:t>
      </w:r>
      <w:proofErr w:type="spellStart"/>
      <w:r>
        <w:t>Ghemawat</w:t>
      </w:r>
      <w:proofErr w:type="spellEnd"/>
      <w:r>
        <w:t>, 2001).</w:t>
      </w:r>
    </w:p>
    <w:p w:rsidR="00A14132" w:rsidRPr="00A14132" w:rsidRDefault="00A14132" w:rsidP="00A14132">
      <w:pPr>
        <w:rPr>
          <w:b/>
        </w:rPr>
      </w:pPr>
      <w:r w:rsidRPr="00A14132">
        <w:rPr>
          <w:b/>
        </w:rPr>
        <w:t>Economic Distance</w:t>
      </w:r>
    </w:p>
    <w:p w:rsidR="00A14132" w:rsidRDefault="00A14132" w:rsidP="00A14132">
      <w:r>
        <w:t>Lastly, the economic distance indicates income disparities, price frameworks and productivity. The wage differentials in Bangladesh give H&amp;M a good cost advantage, yet reduced productivity and less technological capability can dilute some of the benefits. Moreover, macroeconomic instability, such as inflation, financial-sector weakness, and other similar factors, also heightens the operational risk of suppliers (IMF, 2026).</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38"/>
        <w:gridCol w:w="7312"/>
      </w:tblGrid>
      <w:tr w:rsidR="00070189" w:rsidRPr="00070189" w:rsidTr="00070189">
        <w:trPr>
          <w:tblHeader/>
          <w:tblCellSpacing w:w="15" w:type="dxa"/>
        </w:trPr>
        <w:tc>
          <w:tcPr>
            <w:tcW w:w="0" w:type="auto"/>
            <w:vAlign w:val="center"/>
            <w:hideMark/>
          </w:tcPr>
          <w:p w:rsidR="00070189" w:rsidRPr="00070189" w:rsidRDefault="00070189" w:rsidP="00070189">
            <w:pPr>
              <w:spacing w:after="0"/>
              <w:jc w:val="center"/>
              <w:rPr>
                <w:rFonts w:eastAsia="Times New Roman" w:cs="Arial"/>
                <w:b/>
                <w:bCs/>
                <w:szCs w:val="24"/>
                <w:lang w:eastAsia="en-GB"/>
              </w:rPr>
            </w:pPr>
            <w:r w:rsidRPr="00070189">
              <w:rPr>
                <w:rFonts w:eastAsia="Times New Roman" w:cs="Arial"/>
                <w:b/>
                <w:bCs/>
                <w:szCs w:val="24"/>
                <w:lang w:eastAsia="en-GB"/>
              </w:rPr>
              <w:lastRenderedPageBreak/>
              <w:t>CAGE Dimension</w:t>
            </w:r>
          </w:p>
        </w:tc>
        <w:tc>
          <w:tcPr>
            <w:tcW w:w="0" w:type="auto"/>
            <w:vAlign w:val="center"/>
            <w:hideMark/>
          </w:tcPr>
          <w:p w:rsidR="00070189" w:rsidRPr="00070189" w:rsidRDefault="00070189" w:rsidP="00070189">
            <w:pPr>
              <w:spacing w:after="0"/>
              <w:jc w:val="center"/>
              <w:rPr>
                <w:rFonts w:eastAsia="Times New Roman" w:cs="Arial"/>
                <w:b/>
                <w:bCs/>
                <w:szCs w:val="24"/>
                <w:lang w:eastAsia="en-GB"/>
              </w:rPr>
            </w:pPr>
            <w:r w:rsidRPr="00070189">
              <w:rPr>
                <w:rFonts w:eastAsia="Times New Roman" w:cs="Arial"/>
                <w:b/>
                <w:bCs/>
                <w:szCs w:val="24"/>
                <w:lang w:eastAsia="en-GB"/>
              </w:rPr>
              <w:t>Summary for H&amp;M in Bangladesh</w:t>
            </w:r>
          </w:p>
        </w:tc>
      </w:tr>
      <w:tr w:rsidR="00070189" w:rsidRPr="00070189" w:rsidTr="00070189">
        <w:trPr>
          <w:tblCellSpacing w:w="15" w:type="dxa"/>
        </w:trPr>
        <w:tc>
          <w:tcPr>
            <w:tcW w:w="0" w:type="auto"/>
            <w:vAlign w:val="center"/>
            <w:hideMark/>
          </w:tcPr>
          <w:p w:rsidR="00070189" w:rsidRPr="00070189" w:rsidRDefault="00070189" w:rsidP="00070189">
            <w:pPr>
              <w:spacing w:after="0"/>
              <w:jc w:val="left"/>
              <w:rPr>
                <w:rFonts w:eastAsia="Times New Roman" w:cs="Arial"/>
                <w:szCs w:val="24"/>
                <w:lang w:eastAsia="en-GB"/>
              </w:rPr>
            </w:pPr>
            <w:r w:rsidRPr="00070189">
              <w:rPr>
                <w:rFonts w:eastAsia="Times New Roman" w:cs="Arial"/>
                <w:b/>
                <w:bCs/>
                <w:szCs w:val="24"/>
                <w:lang w:eastAsia="en-GB"/>
              </w:rPr>
              <w:t>Cultural Distance</w:t>
            </w:r>
          </w:p>
        </w:tc>
        <w:tc>
          <w:tcPr>
            <w:tcW w:w="0" w:type="auto"/>
            <w:vAlign w:val="center"/>
            <w:hideMark/>
          </w:tcPr>
          <w:p w:rsidR="00070189" w:rsidRPr="00070189" w:rsidRDefault="00070189" w:rsidP="00070189">
            <w:pPr>
              <w:spacing w:after="0"/>
              <w:jc w:val="left"/>
              <w:rPr>
                <w:rFonts w:eastAsia="Times New Roman" w:cs="Arial"/>
                <w:szCs w:val="24"/>
                <w:lang w:eastAsia="en-GB"/>
              </w:rPr>
            </w:pPr>
            <w:r w:rsidRPr="00070189">
              <w:rPr>
                <w:rFonts w:eastAsia="Times New Roman" w:cs="Arial"/>
                <w:szCs w:val="24"/>
                <w:lang w:eastAsia="en-GB"/>
              </w:rPr>
              <w:t>Differences in language, business culture and labour expectations can create coordination challenges, especially around worker treatment and management practices (</w:t>
            </w:r>
            <w:proofErr w:type="spellStart"/>
            <w:r w:rsidRPr="00070189">
              <w:rPr>
                <w:rFonts w:eastAsia="Times New Roman" w:cs="Arial"/>
                <w:szCs w:val="24"/>
                <w:lang w:eastAsia="en-GB"/>
              </w:rPr>
              <w:t>Ghemawat</w:t>
            </w:r>
            <w:proofErr w:type="spellEnd"/>
            <w:r w:rsidRPr="00070189">
              <w:rPr>
                <w:rFonts w:eastAsia="Times New Roman" w:cs="Arial"/>
                <w:szCs w:val="24"/>
                <w:lang w:eastAsia="en-GB"/>
              </w:rPr>
              <w:t xml:space="preserve">, 2001; </w:t>
            </w:r>
            <w:proofErr w:type="spellStart"/>
            <w:r w:rsidRPr="00070189">
              <w:rPr>
                <w:rFonts w:eastAsia="Times New Roman" w:cs="Arial"/>
                <w:szCs w:val="24"/>
                <w:lang w:eastAsia="en-GB"/>
              </w:rPr>
              <w:t>Huq</w:t>
            </w:r>
            <w:proofErr w:type="spellEnd"/>
            <w:r w:rsidRPr="00070189">
              <w:rPr>
                <w:rFonts w:eastAsia="Times New Roman" w:cs="Arial"/>
                <w:szCs w:val="24"/>
                <w:lang w:eastAsia="en-GB"/>
              </w:rPr>
              <w:t>, Chowdhury and Klassen, 2016).</w:t>
            </w:r>
          </w:p>
        </w:tc>
      </w:tr>
      <w:tr w:rsidR="00070189" w:rsidRPr="00070189" w:rsidTr="00070189">
        <w:trPr>
          <w:tblCellSpacing w:w="15" w:type="dxa"/>
        </w:trPr>
        <w:tc>
          <w:tcPr>
            <w:tcW w:w="0" w:type="auto"/>
            <w:vAlign w:val="center"/>
            <w:hideMark/>
          </w:tcPr>
          <w:p w:rsidR="00070189" w:rsidRPr="00070189" w:rsidRDefault="00070189" w:rsidP="00070189">
            <w:pPr>
              <w:spacing w:after="0"/>
              <w:jc w:val="left"/>
              <w:rPr>
                <w:rFonts w:eastAsia="Times New Roman" w:cs="Arial"/>
                <w:szCs w:val="24"/>
                <w:lang w:eastAsia="en-GB"/>
              </w:rPr>
            </w:pPr>
            <w:r w:rsidRPr="00070189">
              <w:rPr>
                <w:rFonts w:eastAsia="Times New Roman" w:cs="Arial"/>
                <w:b/>
                <w:bCs/>
                <w:szCs w:val="24"/>
                <w:lang w:eastAsia="en-GB"/>
              </w:rPr>
              <w:t>Administrative Distance</w:t>
            </w:r>
          </w:p>
        </w:tc>
        <w:tc>
          <w:tcPr>
            <w:tcW w:w="0" w:type="auto"/>
            <w:vAlign w:val="center"/>
            <w:hideMark/>
          </w:tcPr>
          <w:p w:rsidR="00070189" w:rsidRPr="00070189" w:rsidRDefault="00070189" w:rsidP="00070189">
            <w:pPr>
              <w:spacing w:after="0"/>
              <w:jc w:val="left"/>
              <w:rPr>
                <w:rFonts w:eastAsia="Times New Roman" w:cs="Arial"/>
                <w:szCs w:val="24"/>
                <w:lang w:eastAsia="en-GB"/>
              </w:rPr>
            </w:pPr>
            <w:r w:rsidRPr="00070189">
              <w:rPr>
                <w:rFonts w:eastAsia="Times New Roman" w:cs="Arial"/>
                <w:szCs w:val="24"/>
                <w:lang w:eastAsia="en-GB"/>
              </w:rPr>
              <w:t>Differences in governance quality, legal enforcement and labour regulation increase compliance and reputational risk for H&amp;M (ILO, 2022; World Bank, 2026).</w:t>
            </w:r>
          </w:p>
        </w:tc>
      </w:tr>
      <w:tr w:rsidR="00070189" w:rsidRPr="00070189" w:rsidTr="00070189">
        <w:trPr>
          <w:tblCellSpacing w:w="15" w:type="dxa"/>
        </w:trPr>
        <w:tc>
          <w:tcPr>
            <w:tcW w:w="0" w:type="auto"/>
            <w:vAlign w:val="center"/>
            <w:hideMark/>
          </w:tcPr>
          <w:p w:rsidR="00070189" w:rsidRPr="00070189" w:rsidRDefault="00070189" w:rsidP="00070189">
            <w:pPr>
              <w:spacing w:after="0"/>
              <w:jc w:val="left"/>
              <w:rPr>
                <w:rFonts w:eastAsia="Times New Roman" w:cs="Arial"/>
                <w:szCs w:val="24"/>
                <w:lang w:eastAsia="en-GB"/>
              </w:rPr>
            </w:pPr>
            <w:r w:rsidRPr="00070189">
              <w:rPr>
                <w:rFonts w:eastAsia="Times New Roman" w:cs="Arial"/>
                <w:b/>
                <w:bCs/>
                <w:szCs w:val="24"/>
                <w:lang w:eastAsia="en-GB"/>
              </w:rPr>
              <w:t>Geographic Distance</w:t>
            </w:r>
          </w:p>
        </w:tc>
        <w:tc>
          <w:tcPr>
            <w:tcW w:w="0" w:type="auto"/>
            <w:vAlign w:val="center"/>
            <w:hideMark/>
          </w:tcPr>
          <w:p w:rsidR="00070189" w:rsidRPr="00070189" w:rsidRDefault="00070189" w:rsidP="00070189">
            <w:pPr>
              <w:spacing w:after="0"/>
              <w:jc w:val="left"/>
              <w:rPr>
                <w:rFonts w:eastAsia="Times New Roman" w:cs="Arial"/>
                <w:szCs w:val="24"/>
                <w:lang w:eastAsia="en-GB"/>
              </w:rPr>
            </w:pPr>
            <w:r w:rsidRPr="00070189">
              <w:rPr>
                <w:rFonts w:eastAsia="Times New Roman" w:cs="Arial"/>
                <w:szCs w:val="24"/>
                <w:lang w:eastAsia="en-GB"/>
              </w:rPr>
              <w:t>Distance from Europe increases transport time and coordination complexity, although Bangladesh’s established export network partly reduces this disadvantage (</w:t>
            </w:r>
            <w:proofErr w:type="spellStart"/>
            <w:r w:rsidRPr="00070189">
              <w:rPr>
                <w:rFonts w:eastAsia="Times New Roman" w:cs="Arial"/>
                <w:szCs w:val="24"/>
                <w:lang w:eastAsia="en-GB"/>
              </w:rPr>
              <w:t>Ghemawat</w:t>
            </w:r>
            <w:proofErr w:type="spellEnd"/>
            <w:r w:rsidRPr="00070189">
              <w:rPr>
                <w:rFonts w:eastAsia="Times New Roman" w:cs="Arial"/>
                <w:szCs w:val="24"/>
                <w:lang w:eastAsia="en-GB"/>
              </w:rPr>
              <w:t>, 2001).</w:t>
            </w:r>
          </w:p>
        </w:tc>
      </w:tr>
      <w:tr w:rsidR="00070189" w:rsidRPr="00070189" w:rsidTr="00070189">
        <w:trPr>
          <w:tblCellSpacing w:w="15" w:type="dxa"/>
        </w:trPr>
        <w:tc>
          <w:tcPr>
            <w:tcW w:w="0" w:type="auto"/>
            <w:vAlign w:val="center"/>
            <w:hideMark/>
          </w:tcPr>
          <w:p w:rsidR="00070189" w:rsidRPr="00070189" w:rsidRDefault="00070189" w:rsidP="00070189">
            <w:pPr>
              <w:spacing w:after="0"/>
              <w:jc w:val="left"/>
              <w:rPr>
                <w:rFonts w:eastAsia="Times New Roman" w:cs="Arial"/>
                <w:szCs w:val="24"/>
                <w:lang w:eastAsia="en-GB"/>
              </w:rPr>
            </w:pPr>
            <w:r w:rsidRPr="00070189">
              <w:rPr>
                <w:rFonts w:eastAsia="Times New Roman" w:cs="Arial"/>
                <w:b/>
                <w:bCs/>
                <w:szCs w:val="24"/>
                <w:lang w:eastAsia="en-GB"/>
              </w:rPr>
              <w:t>Economic Distance</w:t>
            </w:r>
          </w:p>
        </w:tc>
        <w:tc>
          <w:tcPr>
            <w:tcW w:w="0" w:type="auto"/>
            <w:vAlign w:val="center"/>
            <w:hideMark/>
          </w:tcPr>
          <w:p w:rsidR="00070189" w:rsidRPr="00070189" w:rsidRDefault="00070189" w:rsidP="00070189">
            <w:pPr>
              <w:spacing w:after="0"/>
              <w:jc w:val="left"/>
              <w:rPr>
                <w:rFonts w:eastAsia="Times New Roman" w:cs="Arial"/>
                <w:szCs w:val="24"/>
                <w:lang w:eastAsia="en-GB"/>
              </w:rPr>
            </w:pPr>
            <w:r w:rsidRPr="00070189">
              <w:rPr>
                <w:rFonts w:eastAsia="Times New Roman" w:cs="Arial"/>
                <w:szCs w:val="24"/>
                <w:lang w:eastAsia="en-GB"/>
              </w:rPr>
              <w:t>Bangladesh’s lower wages create clear cost advantages, but lower productivity, inflation and supplier financial weakness can reduce some of these gains (IMF, 2026).</w:t>
            </w:r>
          </w:p>
        </w:tc>
      </w:tr>
      <w:tr w:rsidR="00070189" w:rsidRPr="00070189" w:rsidTr="00070189">
        <w:trPr>
          <w:tblCellSpacing w:w="15" w:type="dxa"/>
        </w:trPr>
        <w:tc>
          <w:tcPr>
            <w:tcW w:w="0" w:type="auto"/>
            <w:vAlign w:val="center"/>
            <w:hideMark/>
          </w:tcPr>
          <w:p w:rsidR="00070189" w:rsidRPr="00070189" w:rsidRDefault="00070189" w:rsidP="00070189">
            <w:pPr>
              <w:spacing w:after="0"/>
              <w:jc w:val="left"/>
              <w:rPr>
                <w:rFonts w:eastAsia="Times New Roman" w:cs="Arial"/>
                <w:szCs w:val="24"/>
                <w:lang w:eastAsia="en-GB"/>
              </w:rPr>
            </w:pPr>
            <w:r w:rsidRPr="00070189">
              <w:rPr>
                <w:rFonts w:eastAsia="Times New Roman" w:cs="Arial"/>
                <w:b/>
                <w:bCs/>
                <w:szCs w:val="24"/>
                <w:lang w:eastAsia="en-GB"/>
              </w:rPr>
              <w:t>Overall CAGE Insight</w:t>
            </w:r>
          </w:p>
        </w:tc>
        <w:tc>
          <w:tcPr>
            <w:tcW w:w="0" w:type="auto"/>
            <w:vAlign w:val="center"/>
            <w:hideMark/>
          </w:tcPr>
          <w:p w:rsidR="00070189" w:rsidRPr="00070189" w:rsidRDefault="00070189" w:rsidP="00070189">
            <w:pPr>
              <w:spacing w:after="0"/>
              <w:jc w:val="left"/>
              <w:rPr>
                <w:rFonts w:eastAsia="Times New Roman" w:cs="Arial"/>
                <w:szCs w:val="24"/>
                <w:lang w:eastAsia="en-GB"/>
              </w:rPr>
            </w:pPr>
            <w:r w:rsidRPr="00070189">
              <w:rPr>
                <w:rFonts w:eastAsia="Times New Roman" w:cs="Arial"/>
                <w:szCs w:val="24"/>
                <w:lang w:eastAsia="en-GB"/>
              </w:rPr>
              <w:t>Bangladesh offers strong economic benefits, but H&amp;M must actively manage cultural, administrative and geographic distance to maintain reliable and responsible sourcing.</w:t>
            </w:r>
          </w:p>
        </w:tc>
      </w:tr>
    </w:tbl>
    <w:p w:rsidR="00A14132" w:rsidRDefault="00A14132" w:rsidP="00A14132"/>
    <w:p w:rsidR="00A14132" w:rsidRDefault="00A14132" w:rsidP="00A14132">
      <w:r>
        <w:t>In general, the CAGE framework points to the fact that, although Bangladesh provides great economic benefits, there are still persistent coordination and compliance issues due to cultural, administrative and geographic distance. The competitiveness of H&amp;M lies in its capacity to control these distances successfully still at being cost-effective and reliable in its supply-chain.</w:t>
      </w:r>
    </w:p>
    <w:p w:rsidR="00070189" w:rsidRDefault="00070189" w:rsidP="00070189">
      <w:pPr>
        <w:pStyle w:val="Heading1"/>
      </w:pPr>
      <w:bookmarkStart w:id="22" w:name="_Toc227941094"/>
      <w:r>
        <w:t>Conclusion</w:t>
      </w:r>
      <w:bookmarkEnd w:id="22"/>
    </w:p>
    <w:p w:rsidR="00632C4A" w:rsidRDefault="00070189" w:rsidP="00A14132">
      <w:r>
        <w:t xml:space="preserve">This </w:t>
      </w:r>
      <w:r w:rsidRPr="00070189">
        <w:t xml:space="preserve">report </w:t>
      </w:r>
      <w:r>
        <w:t>demonstrates</w:t>
      </w:r>
      <w:r w:rsidRPr="00070189">
        <w:t xml:space="preserve"> that Bangladesh’s RMG industry has strong global competitiveness, mainly because of low-cost labour, export scale, supplier concentration and government support, although its advantage remains more cost-led than innovation-</w:t>
      </w:r>
      <w:r w:rsidRPr="00070189">
        <w:lastRenderedPageBreak/>
        <w:t>led . The H&amp;M analysis further shows that Bangladesh is attractive as a sourcing location because of clear location advantages, but political instability, legal compliance pressure, labour scrutiny and sustainability demands continue to shape operational risk . Therefore, long-term success depends not only on cost efficiency, but also on upgrading, stronger institutions and effective management of cross-border distance and supply-chain complexity.</w:t>
      </w:r>
    </w:p>
    <w:p w:rsidR="00632C4A" w:rsidRDefault="00632C4A">
      <w:pPr>
        <w:spacing w:line="276" w:lineRule="auto"/>
        <w:jc w:val="left"/>
      </w:pPr>
      <w:r>
        <w:br w:type="page"/>
      </w:r>
    </w:p>
    <w:p w:rsidR="006B20EE" w:rsidRDefault="006B20EE" w:rsidP="006B20EE">
      <w:pPr>
        <w:pStyle w:val="Heading1"/>
      </w:pPr>
      <w:bookmarkStart w:id="23" w:name="_Toc227941095"/>
      <w:bookmarkStart w:id="24" w:name="_GoBack"/>
      <w:bookmarkEnd w:id="24"/>
      <w:r w:rsidRPr="006B20EE">
        <w:lastRenderedPageBreak/>
        <w:t>Section 2: Reflective Account</w:t>
      </w:r>
      <w:bookmarkEnd w:id="23"/>
      <w:r w:rsidRPr="006B20EE">
        <w:t xml:space="preserve"> </w:t>
      </w:r>
    </w:p>
    <w:p w:rsidR="006B20EE" w:rsidRPr="006B20EE" w:rsidRDefault="006B20EE" w:rsidP="006B20EE">
      <w:pPr>
        <w:rPr>
          <w:b/>
          <w:color w:val="4F81BD" w:themeColor="accent1"/>
        </w:rPr>
      </w:pPr>
      <w:r w:rsidRPr="006B20EE">
        <w:rPr>
          <w:b/>
          <w:color w:val="4F81BD" w:themeColor="accent1"/>
        </w:rPr>
        <w:t>(Using Gibbs’ Reflective Cycle and Kolb’s Learning Theory)</w:t>
      </w:r>
    </w:p>
    <w:p w:rsidR="006B20EE" w:rsidRDefault="006B20EE" w:rsidP="006B20EE">
      <w:r w:rsidRPr="006B20EE">
        <w:t>The assessment brief requires a reflective account of the process followed in researching, analysing and preparing the previous report section, using Gibbs’ or Kolb’s reflective cycle. The brief also expects informed research, theoretical application and critical evaluation of the international business environment. Therefore, this reflection uses Gibbs’ six-stage cycle as the main structure, while Kolb’s learning theory is integrated where relevant.</w:t>
      </w:r>
    </w:p>
    <w:p w:rsidR="006B20EE" w:rsidRDefault="006B20EE" w:rsidP="006B20EE">
      <w:pPr>
        <w:keepNext/>
        <w:jc w:val="center"/>
      </w:pPr>
      <w:r>
        <w:rPr>
          <w:noProof/>
          <w:lang w:eastAsia="en-GB"/>
        </w:rPr>
        <w:drawing>
          <wp:inline distT="0" distB="0" distL="0" distR="0" wp14:anchorId="5B337A1E" wp14:editId="60E0BC1E">
            <wp:extent cx="3991211" cy="29908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1_Oz69nNK_ohY6l6GwxQyhpQ.webp"/>
                    <pic:cNvPicPr/>
                  </pic:nvPicPr>
                  <pic:blipFill>
                    <a:blip r:embed="rId13">
                      <a:extLst>
                        <a:ext uri="{28A0092B-C50C-407E-A947-70E740481C1C}">
                          <a14:useLocalDpi xmlns:a14="http://schemas.microsoft.com/office/drawing/2010/main" val="0"/>
                        </a:ext>
                      </a:extLst>
                    </a:blip>
                    <a:stretch>
                      <a:fillRect/>
                    </a:stretch>
                  </pic:blipFill>
                  <pic:spPr>
                    <a:xfrm>
                      <a:off x="0" y="0"/>
                      <a:ext cx="3992682" cy="2991952"/>
                    </a:xfrm>
                    <a:prstGeom prst="rect">
                      <a:avLst/>
                    </a:prstGeom>
                  </pic:spPr>
                </pic:pic>
              </a:graphicData>
            </a:graphic>
          </wp:inline>
        </w:drawing>
      </w:r>
    </w:p>
    <w:p w:rsidR="006B20EE" w:rsidRPr="006B20EE" w:rsidRDefault="006B20EE" w:rsidP="006B20EE">
      <w:pPr>
        <w:pStyle w:val="Caption"/>
        <w:jc w:val="center"/>
        <w:rPr>
          <w:sz w:val="22"/>
        </w:rPr>
      </w:pPr>
      <w:r w:rsidRPr="006B20EE">
        <w:rPr>
          <w:sz w:val="22"/>
        </w:rPr>
        <w:t xml:space="preserve">Figure </w:t>
      </w:r>
      <w:r w:rsidRPr="006B20EE">
        <w:rPr>
          <w:sz w:val="22"/>
        </w:rPr>
        <w:fldChar w:fldCharType="begin"/>
      </w:r>
      <w:r w:rsidRPr="006B20EE">
        <w:rPr>
          <w:sz w:val="22"/>
        </w:rPr>
        <w:instrText xml:space="preserve"> SEQ Figure \* ARABIC </w:instrText>
      </w:r>
      <w:r w:rsidRPr="006B20EE">
        <w:rPr>
          <w:sz w:val="22"/>
        </w:rPr>
        <w:fldChar w:fldCharType="separate"/>
      </w:r>
      <w:r w:rsidRPr="006B20EE">
        <w:rPr>
          <w:noProof/>
          <w:sz w:val="22"/>
        </w:rPr>
        <w:t>5</w:t>
      </w:r>
      <w:r w:rsidRPr="006B20EE">
        <w:rPr>
          <w:sz w:val="22"/>
        </w:rPr>
        <w:fldChar w:fldCharType="end"/>
      </w:r>
      <w:r w:rsidRPr="006B20EE">
        <w:rPr>
          <w:sz w:val="22"/>
        </w:rPr>
        <w:t>: Gibbs’ Reflective Cycle</w:t>
      </w:r>
    </w:p>
    <w:p w:rsidR="006B20EE" w:rsidRPr="006B20EE" w:rsidRDefault="006B20EE" w:rsidP="006B20EE">
      <w:pPr>
        <w:rPr>
          <w:b/>
          <w:bCs/>
        </w:rPr>
      </w:pPr>
      <w:r w:rsidRPr="006B20EE">
        <w:rPr>
          <w:b/>
          <w:bCs/>
        </w:rPr>
        <w:t>Description</w:t>
      </w:r>
    </w:p>
    <w:p w:rsidR="006B20EE" w:rsidRPr="006B20EE" w:rsidRDefault="006B20EE" w:rsidP="006B20EE">
      <w:r w:rsidRPr="006B20EE">
        <w:t xml:space="preserve">The process began with selecting a country-industry pair for an international business report. I chose the ready-made garments industry in Bangladesh because it had strong public data, clear global relevance and direct links with multinational companies such as H&amp;M. I then researched the industry’s scale, export importance, domestic and foreign firms, and its position in global value chains. After that, I applied Porter’s Diamond Model to evaluate national competitiveness and used PESTLE, SWOT, OLI and CAGE to analyse H&amp;M’s operations in Bangladesh. In Kolb’s terms, this stage represented the </w:t>
      </w:r>
      <w:r w:rsidRPr="006B20EE">
        <w:lastRenderedPageBreak/>
        <w:t>“concrete experience” because I was actively engaging with the task, collecting evidence and applying international business frameworks to a real industry context.</w:t>
      </w:r>
    </w:p>
    <w:p w:rsidR="006B20EE" w:rsidRPr="006B20EE" w:rsidRDefault="006B20EE" w:rsidP="006B20EE">
      <w:pPr>
        <w:rPr>
          <w:b/>
          <w:bCs/>
        </w:rPr>
      </w:pPr>
      <w:r w:rsidRPr="006B20EE">
        <w:rPr>
          <w:b/>
          <w:bCs/>
        </w:rPr>
        <w:t>2. Feelings</w:t>
      </w:r>
    </w:p>
    <w:p w:rsidR="006B20EE" w:rsidRPr="006B20EE" w:rsidRDefault="006B20EE" w:rsidP="006B20EE">
      <w:r w:rsidRPr="006B20EE">
        <w:t>At the beginning, I felt uncertain because the assignment was broad and required both industry-level and company-level analysis. I was also concerned about balancing description, theory and critical evaluation within the word count. However, as I reviewed the task requirements more carefully, I became more confident because the Bangladesh RMG industry provided enough evidence from sources such as BGMEA, World Bank, IMF, ILO and H&amp;M’s own reports. I also felt more focused when I understood that each framework had a specific purpose. Porter’s Diamond helped explain national competitiveness, while PESTLE, SWOT, OLI and CAGE helped evaluate H&amp;M’s strategic position. This connects with Kolb’s “reflective observation” stage, where I began to think about what was working and what needed improvement.</w:t>
      </w:r>
    </w:p>
    <w:p w:rsidR="006B20EE" w:rsidRPr="006B20EE" w:rsidRDefault="006B20EE" w:rsidP="006B20EE">
      <w:pPr>
        <w:rPr>
          <w:b/>
          <w:bCs/>
        </w:rPr>
      </w:pPr>
      <w:r w:rsidRPr="006B20EE">
        <w:rPr>
          <w:b/>
          <w:bCs/>
        </w:rPr>
        <w:t>3. Evaluation</w:t>
      </w:r>
    </w:p>
    <w:p w:rsidR="006B20EE" w:rsidRPr="006B20EE" w:rsidRDefault="006B20EE" w:rsidP="006B20EE">
      <w:r w:rsidRPr="006B20EE">
        <w:t>The strongest part of the process was the availability of relevant data and frameworks. The selected topic allowed me to connect theory with real-world international business issues such as labour costs, export dependency, supplier relationships, legal compliance and sustainability. This helped me move beyond simple description and build a more analytical discussion. The use of multiple frameworks also made the report more structured. However, one weakness was that I initially found it difficult to control the word count. Some sections became too long because I tried to include too much evidence and explanation. This showed me that good academic work requires selection, not just information gathering. Another challenge was avoiding repetition between PESTLE, SWOT, OLI and CAGE because several themes, such as labour conditions and cost competitiveness, appeared in more than one framework.</w:t>
      </w:r>
    </w:p>
    <w:p w:rsidR="006B20EE" w:rsidRPr="006B20EE" w:rsidRDefault="006B20EE" w:rsidP="006B20EE">
      <w:pPr>
        <w:rPr>
          <w:b/>
          <w:bCs/>
        </w:rPr>
      </w:pPr>
      <w:r w:rsidRPr="006B20EE">
        <w:rPr>
          <w:b/>
          <w:bCs/>
        </w:rPr>
        <w:t>4. Analysis</w:t>
      </w:r>
    </w:p>
    <w:p w:rsidR="006B20EE" w:rsidRPr="006B20EE" w:rsidRDefault="006B20EE" w:rsidP="006B20EE">
      <w:r w:rsidRPr="006B20EE">
        <w:t xml:space="preserve">On deeper analysis, I realised that the main learning from this assessment was not only about Bangladesh’s RMG industry, but also about how international business theory </w:t>
      </w:r>
      <w:r w:rsidRPr="006B20EE">
        <w:lastRenderedPageBreak/>
        <w:t>helps organise complex information. Porter’s Diamond showed that Bangladesh’s competitiveness is based on labour, scale, supporting industries and government support, but also limited by weak advanced capabilities. PESTLE helped me understand how H&amp;M’s success is affected by political instability, inflation, labour regulation, technology gaps and environmental expectations. OLI explained why H&amp;M uses Bangladesh as a sourcing location, while CAGE showed the distance-related challenges between Sweden and Bangladesh. This reflects Kolb’s “abstract conceptualisation” stage because I was converting research findings into theoretical understanding. I learned that frameworks are useful only when they are applied critically, not when they are used as headings without analysis.</w:t>
      </w:r>
    </w:p>
    <w:p w:rsidR="006B20EE" w:rsidRPr="006B20EE" w:rsidRDefault="006B20EE" w:rsidP="006B20EE">
      <w:pPr>
        <w:rPr>
          <w:b/>
          <w:bCs/>
        </w:rPr>
      </w:pPr>
      <w:r w:rsidRPr="006B20EE">
        <w:rPr>
          <w:b/>
          <w:bCs/>
        </w:rPr>
        <w:t>5. Conclusion</w:t>
      </w:r>
    </w:p>
    <w:p w:rsidR="006B20EE" w:rsidRPr="006B20EE" w:rsidRDefault="006B20EE" w:rsidP="006B20EE">
      <w:r w:rsidRPr="006B20EE">
        <w:t>Overall, the process improved my ability to research, organise and critically evaluate an international business case. I learned that a strong report should not only present facts, but also explain why those facts matter for business strategy. I also understood the importance of using credible sources and linking them directly to the argument. The main limitation in my process was time and word-count management. I spent a lot of effort gathering information, but I should have planned section word limits more carefully before writing. I also learned that reflection is not a summary of the report content; it is an evaluation of the learning process, decisions, challenges and improvements made while preparing the work.</w:t>
      </w:r>
    </w:p>
    <w:p w:rsidR="006B20EE" w:rsidRPr="006B20EE" w:rsidRDefault="006B20EE" w:rsidP="006B20EE">
      <w:pPr>
        <w:rPr>
          <w:b/>
          <w:bCs/>
        </w:rPr>
      </w:pPr>
      <w:r w:rsidRPr="006B20EE">
        <w:rPr>
          <w:b/>
          <w:bCs/>
        </w:rPr>
        <w:t>6. Action Plan</w:t>
      </w:r>
    </w:p>
    <w:p w:rsidR="006B20EE" w:rsidRPr="006B20EE" w:rsidRDefault="006B20EE" w:rsidP="006B20EE">
      <w:r w:rsidRPr="006B20EE">
        <w:t xml:space="preserve">In future assignments, I will begin by reading the assessment brief more carefully and creating a detailed plan before writing. I will set a target word count for each subsection and check it regularly to avoid overwriting. I will also create a source map at the beginning, separating academic sources, industry reports and company reports, so that evidence can be used more efficiently. Following Kolb’s “active experimentation” stage, I will apply what I learned by using frameworks more selectively and linking them more directly to the research question. I will also improve my drafting process by writing shorter analytical paragraphs, checking whether each paragraph answers the task, and removing repeated </w:t>
      </w:r>
      <w:r w:rsidRPr="006B20EE">
        <w:lastRenderedPageBreak/>
        <w:t>ideas earlier. This will help me produce clearer, more concise and more professional academic work in future international business assessments.</w:t>
      </w:r>
    </w:p>
    <w:p w:rsidR="00070189" w:rsidRDefault="00070189" w:rsidP="00A14132"/>
    <w:p w:rsidR="00070189" w:rsidRDefault="00070189">
      <w:pPr>
        <w:spacing w:line="276" w:lineRule="auto"/>
        <w:jc w:val="left"/>
      </w:pPr>
      <w:r>
        <w:br w:type="page"/>
      </w:r>
    </w:p>
    <w:p w:rsidR="00070189" w:rsidRDefault="00070189" w:rsidP="00070189">
      <w:pPr>
        <w:pStyle w:val="Heading1"/>
      </w:pPr>
      <w:bookmarkStart w:id="25" w:name="_Toc227941096"/>
      <w:r>
        <w:lastRenderedPageBreak/>
        <w:t>Reference List</w:t>
      </w:r>
      <w:bookmarkEnd w:id="25"/>
    </w:p>
    <w:p w:rsidR="00F521F9" w:rsidRPr="00F521F9" w:rsidRDefault="00F521F9" w:rsidP="00F521F9">
      <w:r w:rsidRPr="00F521F9">
        <w:t xml:space="preserve">Asian Development Bank (2023) </w:t>
      </w:r>
      <w:r w:rsidRPr="00F521F9">
        <w:rPr>
          <w:i/>
          <w:iCs/>
        </w:rPr>
        <w:t>Transforming Bangladesh’s participation in trade and global value chains</w:t>
      </w:r>
      <w:r w:rsidRPr="00F521F9">
        <w:t>. Manila: Asian Development Bank.</w:t>
      </w:r>
    </w:p>
    <w:p w:rsidR="00F521F9" w:rsidRPr="00F521F9" w:rsidRDefault="00F521F9" w:rsidP="00F521F9">
      <w:r w:rsidRPr="00F521F9">
        <w:t xml:space="preserve">Bangladesh Garment Manufacturers and Exporters Association (2025) </w:t>
      </w:r>
      <w:proofErr w:type="gramStart"/>
      <w:r w:rsidRPr="00F521F9">
        <w:rPr>
          <w:i/>
          <w:iCs/>
        </w:rPr>
        <w:t>The</w:t>
      </w:r>
      <w:proofErr w:type="gramEnd"/>
      <w:r w:rsidRPr="00F521F9">
        <w:rPr>
          <w:i/>
          <w:iCs/>
        </w:rPr>
        <w:t xml:space="preserve"> Apparel Story: November–December 2025</w:t>
      </w:r>
      <w:r w:rsidRPr="00F521F9">
        <w:t>. Dhaka: BGMEA.</w:t>
      </w:r>
    </w:p>
    <w:p w:rsidR="00F521F9" w:rsidRPr="00F521F9" w:rsidRDefault="00F521F9" w:rsidP="00F521F9">
      <w:r w:rsidRPr="00F521F9">
        <w:t>Dunning, J.H. (1988) ‘</w:t>
      </w:r>
      <w:proofErr w:type="gramStart"/>
      <w:r w:rsidRPr="00F521F9">
        <w:t>The</w:t>
      </w:r>
      <w:proofErr w:type="gramEnd"/>
      <w:r w:rsidRPr="00F521F9">
        <w:t xml:space="preserve"> eclectic paradigm of international production: A restatement and some possible extensions’, </w:t>
      </w:r>
      <w:r w:rsidRPr="00F521F9">
        <w:rPr>
          <w:i/>
          <w:iCs/>
        </w:rPr>
        <w:t>Journal of International Business Studies</w:t>
      </w:r>
      <w:r w:rsidRPr="00F521F9">
        <w:t>, 19(1), pp. 1–31.</w:t>
      </w:r>
    </w:p>
    <w:p w:rsidR="00F521F9" w:rsidRPr="00F521F9" w:rsidRDefault="00F521F9" w:rsidP="00F521F9">
      <w:proofErr w:type="spellStart"/>
      <w:r w:rsidRPr="00F521F9">
        <w:t>Gereffi</w:t>
      </w:r>
      <w:proofErr w:type="spellEnd"/>
      <w:r w:rsidRPr="00F521F9">
        <w:t xml:space="preserve">, G. and Frederick, S. (2010) </w:t>
      </w:r>
      <w:proofErr w:type="gramStart"/>
      <w:r w:rsidRPr="00F521F9">
        <w:rPr>
          <w:i/>
          <w:iCs/>
        </w:rPr>
        <w:t>The</w:t>
      </w:r>
      <w:proofErr w:type="gramEnd"/>
      <w:r w:rsidRPr="00F521F9">
        <w:rPr>
          <w:i/>
          <w:iCs/>
        </w:rPr>
        <w:t xml:space="preserve"> global apparel value chain, trade and the crisis: Challenges and opportunities for developing countries</w:t>
      </w:r>
      <w:r w:rsidRPr="00F521F9">
        <w:t>. Washington, DC: World Bank.</w:t>
      </w:r>
    </w:p>
    <w:p w:rsidR="00F521F9" w:rsidRPr="00F521F9" w:rsidRDefault="00F521F9" w:rsidP="00F521F9">
      <w:proofErr w:type="spellStart"/>
      <w:r w:rsidRPr="00F521F9">
        <w:t>Ghemawat</w:t>
      </w:r>
      <w:proofErr w:type="spellEnd"/>
      <w:r w:rsidRPr="00F521F9">
        <w:t xml:space="preserve">, P. (2001) ‘Distance still matters: The hard reality of global expansion’, </w:t>
      </w:r>
      <w:r w:rsidRPr="00F521F9">
        <w:rPr>
          <w:i/>
          <w:iCs/>
        </w:rPr>
        <w:t>Harvard Business Review</w:t>
      </w:r>
      <w:r w:rsidRPr="00F521F9">
        <w:t>, 79(8), pp. 137–147.</w:t>
      </w:r>
    </w:p>
    <w:p w:rsidR="00F521F9" w:rsidRPr="00F521F9" w:rsidRDefault="00F521F9" w:rsidP="00F521F9">
      <w:r w:rsidRPr="00F521F9">
        <w:t xml:space="preserve">Government of Bangladesh (2025) </w:t>
      </w:r>
      <w:r w:rsidRPr="00F521F9">
        <w:rPr>
          <w:i/>
          <w:iCs/>
        </w:rPr>
        <w:t>Bangladesh Labour (Amendment) Ordinance, 2025</w:t>
      </w:r>
      <w:r w:rsidRPr="00F521F9">
        <w:t>. Dhaka: Ministry of Law, Justice and Parliamentary Affairs.</w:t>
      </w:r>
    </w:p>
    <w:p w:rsidR="00F521F9" w:rsidRPr="00F521F9" w:rsidRDefault="00F521F9" w:rsidP="00F521F9">
      <w:r w:rsidRPr="00F521F9">
        <w:t xml:space="preserve">H&amp;M Group (2026) </w:t>
      </w:r>
      <w:r w:rsidRPr="00F521F9">
        <w:rPr>
          <w:i/>
          <w:iCs/>
        </w:rPr>
        <w:t>Annual and sustainability report 2025</w:t>
      </w:r>
      <w:r w:rsidRPr="00F521F9">
        <w:t xml:space="preserve">. Stockholm: H &amp; M </w:t>
      </w:r>
      <w:proofErr w:type="spellStart"/>
      <w:r w:rsidRPr="00F521F9">
        <w:t>Hennes</w:t>
      </w:r>
      <w:proofErr w:type="spellEnd"/>
      <w:r w:rsidRPr="00F521F9">
        <w:t xml:space="preserve"> &amp; </w:t>
      </w:r>
      <w:proofErr w:type="spellStart"/>
      <w:r w:rsidRPr="00F521F9">
        <w:t>Mauritz</w:t>
      </w:r>
      <w:proofErr w:type="spellEnd"/>
      <w:r w:rsidRPr="00F521F9">
        <w:t xml:space="preserve"> AB. </w:t>
      </w:r>
    </w:p>
    <w:p w:rsidR="00F521F9" w:rsidRPr="00F521F9" w:rsidRDefault="00F521F9" w:rsidP="00F521F9">
      <w:proofErr w:type="spellStart"/>
      <w:r w:rsidRPr="00F521F9">
        <w:t>Huq</w:t>
      </w:r>
      <w:proofErr w:type="spellEnd"/>
      <w:r w:rsidRPr="00F521F9">
        <w:t xml:space="preserve">, F.A., Chowdhury, I.N. and Klassen, R.D. (2016) ‘Social management capabilities of multinational buying firms and their emerging market suppliers: An exploratory study of the clothing industry’, </w:t>
      </w:r>
      <w:r w:rsidRPr="00F521F9">
        <w:rPr>
          <w:i/>
          <w:iCs/>
        </w:rPr>
        <w:t>Journal of Operations Management</w:t>
      </w:r>
      <w:r w:rsidRPr="00F521F9">
        <w:t>, 46, pp. 19–37.</w:t>
      </w:r>
    </w:p>
    <w:p w:rsidR="00F521F9" w:rsidRPr="00F521F9" w:rsidRDefault="00F521F9" w:rsidP="00F521F9">
      <w:r w:rsidRPr="00F521F9">
        <w:t xml:space="preserve">International Labour Organization (2022) </w:t>
      </w:r>
      <w:r w:rsidRPr="00F521F9">
        <w:rPr>
          <w:i/>
          <w:iCs/>
        </w:rPr>
        <w:t>Decent Work Country Programme for Bangladesh 2022–2026</w:t>
      </w:r>
      <w:r w:rsidRPr="00F521F9">
        <w:t xml:space="preserve">. Dhaka: International Labour Organization. </w:t>
      </w:r>
    </w:p>
    <w:p w:rsidR="00F521F9" w:rsidRPr="00F521F9" w:rsidRDefault="00F521F9" w:rsidP="00F521F9">
      <w:r w:rsidRPr="00F521F9">
        <w:t xml:space="preserve">International Monetary Fund (2026) </w:t>
      </w:r>
      <w:r w:rsidRPr="00F521F9">
        <w:rPr>
          <w:i/>
          <w:iCs/>
        </w:rPr>
        <w:t>Bangladesh: 2025 Article IV Consultation—Press release; staff report; and statement by the Executive Director for Bangladesh</w:t>
      </w:r>
      <w:r w:rsidRPr="00F521F9">
        <w:t xml:space="preserve">. Washington, DC: International Monetary Fund. </w:t>
      </w:r>
    </w:p>
    <w:p w:rsidR="00F521F9" w:rsidRPr="00F521F9" w:rsidRDefault="00F521F9" w:rsidP="00F521F9">
      <w:r w:rsidRPr="00F521F9">
        <w:t xml:space="preserve">Johnson, G., Scholes, K. and Whittington, R. (2020) </w:t>
      </w:r>
      <w:r w:rsidRPr="00F521F9">
        <w:rPr>
          <w:i/>
          <w:iCs/>
        </w:rPr>
        <w:t>Exploring strategy</w:t>
      </w:r>
      <w:r w:rsidRPr="00F521F9">
        <w:t xml:space="preserve">. 12th </w:t>
      </w:r>
      <w:proofErr w:type="spellStart"/>
      <w:r w:rsidRPr="00F521F9">
        <w:t>edn</w:t>
      </w:r>
      <w:proofErr w:type="spellEnd"/>
      <w:r w:rsidRPr="00F521F9">
        <w:t>. Harlow: Pearson.</w:t>
      </w:r>
    </w:p>
    <w:p w:rsidR="00F521F9" w:rsidRPr="00F521F9" w:rsidRDefault="00F521F9" w:rsidP="00F521F9">
      <w:proofErr w:type="spellStart"/>
      <w:r w:rsidRPr="00F521F9">
        <w:lastRenderedPageBreak/>
        <w:t>Khatun</w:t>
      </w:r>
      <w:proofErr w:type="spellEnd"/>
      <w:r w:rsidRPr="00F521F9">
        <w:t xml:space="preserve">, F., </w:t>
      </w:r>
      <w:proofErr w:type="spellStart"/>
      <w:r w:rsidRPr="00F521F9">
        <w:t>Saadat</w:t>
      </w:r>
      <w:proofErr w:type="spellEnd"/>
      <w:r w:rsidRPr="00F521F9">
        <w:t xml:space="preserve">, S.Y. and </w:t>
      </w:r>
      <w:proofErr w:type="spellStart"/>
      <w:r w:rsidRPr="00F521F9">
        <w:t>Mahbub</w:t>
      </w:r>
      <w:proofErr w:type="spellEnd"/>
      <w:r w:rsidRPr="00F521F9">
        <w:t xml:space="preserve">, A. (2024) </w:t>
      </w:r>
      <w:r w:rsidRPr="00F521F9">
        <w:rPr>
          <w:i/>
          <w:iCs/>
        </w:rPr>
        <w:t>Readymade garments industry in Bangladesh: An analysis of the value chain</w:t>
      </w:r>
      <w:r w:rsidRPr="00F521F9">
        <w:t xml:space="preserve">. Dhaka: Centre for Policy Dialogue. </w:t>
      </w:r>
    </w:p>
    <w:p w:rsidR="00F521F9" w:rsidRPr="00F521F9" w:rsidRDefault="00F521F9" w:rsidP="00F521F9">
      <w:proofErr w:type="spellStart"/>
      <w:r w:rsidRPr="00F521F9">
        <w:t>Moazzem</w:t>
      </w:r>
      <w:proofErr w:type="spellEnd"/>
      <w:r w:rsidRPr="00F521F9">
        <w:t xml:space="preserve">, K.G. and </w:t>
      </w:r>
      <w:proofErr w:type="spellStart"/>
      <w:r w:rsidRPr="00F521F9">
        <w:t>Sehrin</w:t>
      </w:r>
      <w:proofErr w:type="spellEnd"/>
      <w:r w:rsidRPr="00F521F9">
        <w:t xml:space="preserve">, F. (2016) ‘Economic upgrading in Bangladesh’s apparel value chain during the post-MFA period: An exploratory analysis’, </w:t>
      </w:r>
      <w:r w:rsidRPr="00F521F9">
        <w:rPr>
          <w:i/>
          <w:iCs/>
        </w:rPr>
        <w:t>South Asia Economic Journal</w:t>
      </w:r>
      <w:r w:rsidRPr="00F521F9">
        <w:t xml:space="preserve">, 17(1), pp. 73–93. </w:t>
      </w:r>
    </w:p>
    <w:p w:rsidR="00F521F9" w:rsidRPr="00F521F9" w:rsidRDefault="00F521F9" w:rsidP="00F521F9">
      <w:proofErr w:type="spellStart"/>
      <w:r w:rsidRPr="00F521F9">
        <w:t>Mostafiz</w:t>
      </w:r>
      <w:proofErr w:type="spellEnd"/>
      <w:r w:rsidRPr="00F521F9">
        <w:t xml:space="preserve">, M.I., Hughes, M., </w:t>
      </w:r>
      <w:proofErr w:type="spellStart"/>
      <w:r w:rsidRPr="00F521F9">
        <w:t>Sambasivan</w:t>
      </w:r>
      <w:proofErr w:type="spellEnd"/>
      <w:r w:rsidRPr="00F521F9">
        <w:t xml:space="preserve">, M. and Goh, S.K. (2022) ‘COVID-19 and the global value chain: Immediate dynamics and long-term restructuring in the garment industry’, </w:t>
      </w:r>
      <w:r w:rsidRPr="00F521F9">
        <w:rPr>
          <w:i/>
          <w:iCs/>
        </w:rPr>
        <w:t>Industrial Marketing Management</w:t>
      </w:r>
      <w:r w:rsidRPr="00F521F9">
        <w:t>, 104, pp. 338–355.</w:t>
      </w:r>
    </w:p>
    <w:p w:rsidR="00F521F9" w:rsidRPr="00F521F9" w:rsidRDefault="00F521F9" w:rsidP="00F521F9">
      <w:r w:rsidRPr="00F521F9">
        <w:t xml:space="preserve">Peng, M.W. (2021) </w:t>
      </w:r>
      <w:r w:rsidRPr="00F521F9">
        <w:rPr>
          <w:i/>
          <w:iCs/>
        </w:rPr>
        <w:t>Global business</w:t>
      </w:r>
      <w:r w:rsidRPr="00F521F9">
        <w:t xml:space="preserve">. 5th </w:t>
      </w:r>
      <w:proofErr w:type="spellStart"/>
      <w:r w:rsidRPr="00F521F9">
        <w:t>edn</w:t>
      </w:r>
      <w:proofErr w:type="spellEnd"/>
      <w:r w:rsidRPr="00F521F9">
        <w:t>. Boston, MA: Cengage.</w:t>
      </w:r>
    </w:p>
    <w:p w:rsidR="00F521F9" w:rsidRPr="00F521F9" w:rsidRDefault="00F521F9" w:rsidP="00F521F9">
      <w:r w:rsidRPr="00F521F9">
        <w:t xml:space="preserve">Porter, M.E. (1990) </w:t>
      </w:r>
      <w:proofErr w:type="gramStart"/>
      <w:r w:rsidRPr="00F521F9">
        <w:rPr>
          <w:i/>
          <w:iCs/>
        </w:rPr>
        <w:t>The</w:t>
      </w:r>
      <w:proofErr w:type="gramEnd"/>
      <w:r w:rsidRPr="00F521F9">
        <w:rPr>
          <w:i/>
          <w:iCs/>
        </w:rPr>
        <w:t xml:space="preserve"> competitive advantage of nations</w:t>
      </w:r>
      <w:r w:rsidRPr="00F521F9">
        <w:t>. New York: Free Press.</w:t>
      </w:r>
    </w:p>
    <w:p w:rsidR="00F521F9" w:rsidRDefault="00F521F9" w:rsidP="00F521F9">
      <w:r w:rsidRPr="00F521F9">
        <w:t xml:space="preserve">Shukla, A. (2023). </w:t>
      </w:r>
      <w:r w:rsidRPr="00F521F9">
        <w:rPr>
          <w:i/>
          <w:iCs/>
        </w:rPr>
        <w:t>Garments Industry Slowdown Is Key 2023 Risk for Bangladesh</w:t>
      </w:r>
      <w:r w:rsidRPr="00F521F9">
        <w:t>. [</w:t>
      </w:r>
      <w:proofErr w:type="gramStart"/>
      <w:r w:rsidRPr="00F521F9">
        <w:t>online</w:t>
      </w:r>
      <w:proofErr w:type="gramEnd"/>
      <w:r w:rsidRPr="00F521F9">
        <w:t>] The Business Standard. Available at: https://www.tbsnews.net/economy/rmg/garments-industry-slowdown-key-2023-risk-bangladesh-583206.</w:t>
      </w:r>
    </w:p>
    <w:p w:rsidR="00F521F9" w:rsidRPr="00F521F9" w:rsidRDefault="00F521F9" w:rsidP="00F521F9">
      <w:r w:rsidRPr="00F521F9">
        <w:t xml:space="preserve">The Financial Express (2026) ‘Two more Bangladeshi garment factories achieve prestigious green certification’, </w:t>
      </w:r>
      <w:r w:rsidRPr="00F521F9">
        <w:rPr>
          <w:i/>
          <w:iCs/>
        </w:rPr>
        <w:t>The Financial Express</w:t>
      </w:r>
      <w:r w:rsidRPr="00F521F9">
        <w:t>, 17 March.</w:t>
      </w:r>
    </w:p>
    <w:p w:rsidR="00860D84" w:rsidRDefault="00F521F9" w:rsidP="00F521F9">
      <w:r w:rsidRPr="00F521F9">
        <w:t xml:space="preserve">World Bank (2026) </w:t>
      </w:r>
      <w:r w:rsidRPr="00F521F9">
        <w:rPr>
          <w:i/>
          <w:iCs/>
        </w:rPr>
        <w:t>Bangladesh Macro Poverty Outlook, April 2026</w:t>
      </w:r>
      <w:r w:rsidRPr="00F521F9">
        <w:t>. Washington, DC: World Bank.</w:t>
      </w:r>
    </w:p>
    <w:p w:rsidR="00860D84" w:rsidRDefault="00860D84">
      <w:pPr>
        <w:spacing w:line="276" w:lineRule="auto"/>
        <w:jc w:val="left"/>
      </w:pPr>
      <w:r>
        <w:br w:type="page"/>
      </w:r>
    </w:p>
    <w:p w:rsidR="00860D84" w:rsidRPr="00860D84" w:rsidRDefault="00860D84" w:rsidP="00860D84">
      <w:pPr>
        <w:pStyle w:val="Heading1"/>
      </w:pPr>
      <w:bookmarkStart w:id="26" w:name="_Toc227941097"/>
      <w:r w:rsidRPr="00860D84">
        <w:lastRenderedPageBreak/>
        <w:t>Appendix</w:t>
      </w:r>
      <w:bookmarkEnd w:id="26"/>
      <w:r w:rsidRPr="00860D84">
        <w:t xml:space="preserve"> </w:t>
      </w:r>
    </w:p>
    <w:p w:rsidR="00F521F9" w:rsidRDefault="00860D84" w:rsidP="00F521F9">
      <w:pPr>
        <w:rPr>
          <w:b/>
          <w:color w:val="4F81BD" w:themeColor="accent1"/>
          <w:sz w:val="28"/>
        </w:rPr>
      </w:pPr>
      <w:r w:rsidRPr="00860D84">
        <w:rPr>
          <w:b/>
          <w:color w:val="4F81BD" w:themeColor="accent1"/>
          <w:sz w:val="28"/>
        </w:rPr>
        <w:t>Appendix A</w:t>
      </w:r>
    </w:p>
    <w:tbl>
      <w:tblPr>
        <w:tblStyle w:val="TableGrid"/>
        <w:tblW w:w="8860" w:type="dxa"/>
        <w:tblLook w:val="04A0" w:firstRow="1" w:lastRow="0" w:firstColumn="1" w:lastColumn="0" w:noHBand="0" w:noVBand="1"/>
      </w:tblPr>
      <w:tblGrid>
        <w:gridCol w:w="1654"/>
        <w:gridCol w:w="1518"/>
        <w:gridCol w:w="1452"/>
        <w:gridCol w:w="1732"/>
        <w:gridCol w:w="1174"/>
        <w:gridCol w:w="1330"/>
      </w:tblGrid>
      <w:tr w:rsidR="00860D84" w:rsidRPr="00860D84" w:rsidTr="00860D84">
        <w:trPr>
          <w:trHeight w:val="1200"/>
        </w:trPr>
        <w:tc>
          <w:tcPr>
            <w:tcW w:w="1680" w:type="dxa"/>
            <w:hideMark/>
          </w:tcPr>
          <w:p w:rsidR="00860D84" w:rsidRPr="00860D84" w:rsidRDefault="00860D84" w:rsidP="00860D84">
            <w:pPr>
              <w:spacing w:line="240" w:lineRule="auto"/>
              <w:jc w:val="center"/>
              <w:rPr>
                <w:rFonts w:ascii="Calibri" w:eastAsia="Times New Roman" w:hAnsi="Calibri" w:cs="Calibri"/>
                <w:b/>
                <w:bCs/>
                <w:color w:val="000000"/>
                <w:lang w:eastAsia="en-GB"/>
              </w:rPr>
            </w:pPr>
            <w:r w:rsidRPr="00860D84">
              <w:rPr>
                <w:rFonts w:ascii="Calibri" w:eastAsia="Times New Roman" w:hAnsi="Calibri" w:cs="Calibri"/>
                <w:b/>
                <w:bCs/>
                <w:color w:val="000000"/>
                <w:lang w:eastAsia="en-GB"/>
              </w:rPr>
              <w:t>Company Name</w:t>
            </w:r>
          </w:p>
        </w:tc>
        <w:tc>
          <w:tcPr>
            <w:tcW w:w="1460" w:type="dxa"/>
            <w:hideMark/>
          </w:tcPr>
          <w:p w:rsidR="00860D84" w:rsidRPr="00860D84" w:rsidRDefault="00860D84" w:rsidP="00860D84">
            <w:pPr>
              <w:spacing w:line="240" w:lineRule="auto"/>
              <w:jc w:val="center"/>
              <w:rPr>
                <w:rFonts w:ascii="Calibri" w:eastAsia="Times New Roman" w:hAnsi="Calibri" w:cs="Calibri"/>
                <w:b/>
                <w:bCs/>
                <w:color w:val="000000"/>
                <w:lang w:eastAsia="en-GB"/>
              </w:rPr>
            </w:pPr>
            <w:r w:rsidRPr="00860D84">
              <w:rPr>
                <w:rFonts w:ascii="Calibri" w:eastAsia="Times New Roman" w:hAnsi="Calibri" w:cs="Calibri"/>
                <w:b/>
                <w:bCs/>
                <w:color w:val="000000"/>
                <w:lang w:eastAsia="en-GB"/>
              </w:rPr>
              <w:t>Incorporated Year</w:t>
            </w:r>
          </w:p>
        </w:tc>
        <w:tc>
          <w:tcPr>
            <w:tcW w:w="1460" w:type="dxa"/>
            <w:hideMark/>
          </w:tcPr>
          <w:p w:rsidR="00860D84" w:rsidRPr="00860D84" w:rsidRDefault="00860D84" w:rsidP="00860D84">
            <w:pPr>
              <w:spacing w:line="240" w:lineRule="auto"/>
              <w:jc w:val="center"/>
              <w:rPr>
                <w:rFonts w:ascii="Calibri" w:eastAsia="Times New Roman" w:hAnsi="Calibri" w:cs="Calibri"/>
                <w:b/>
                <w:bCs/>
                <w:color w:val="000000"/>
                <w:lang w:eastAsia="en-GB"/>
              </w:rPr>
            </w:pPr>
            <w:r w:rsidRPr="00860D84">
              <w:rPr>
                <w:rFonts w:ascii="Calibri" w:eastAsia="Times New Roman" w:hAnsi="Calibri" w:cs="Calibri"/>
                <w:b/>
                <w:bCs/>
                <w:color w:val="000000"/>
                <w:lang w:eastAsia="en-GB"/>
              </w:rPr>
              <w:t>Number of Employees ()</w:t>
            </w:r>
          </w:p>
        </w:tc>
        <w:tc>
          <w:tcPr>
            <w:tcW w:w="1760" w:type="dxa"/>
            <w:hideMark/>
          </w:tcPr>
          <w:p w:rsidR="00860D84" w:rsidRPr="00860D84" w:rsidRDefault="00860D84" w:rsidP="00860D84">
            <w:pPr>
              <w:spacing w:line="240" w:lineRule="auto"/>
              <w:jc w:val="center"/>
              <w:rPr>
                <w:rFonts w:ascii="Calibri" w:eastAsia="Times New Roman" w:hAnsi="Calibri" w:cs="Calibri"/>
                <w:b/>
                <w:bCs/>
                <w:color w:val="000000"/>
                <w:lang w:eastAsia="en-GB"/>
              </w:rPr>
            </w:pPr>
            <w:r w:rsidRPr="00860D84">
              <w:rPr>
                <w:rFonts w:ascii="Calibri" w:eastAsia="Times New Roman" w:hAnsi="Calibri" w:cs="Calibri"/>
                <w:b/>
                <w:bCs/>
                <w:color w:val="000000"/>
                <w:lang w:eastAsia="en-GB"/>
              </w:rPr>
              <w:t>Product Type</w:t>
            </w:r>
          </w:p>
        </w:tc>
        <w:tc>
          <w:tcPr>
            <w:tcW w:w="1160" w:type="dxa"/>
            <w:hideMark/>
          </w:tcPr>
          <w:p w:rsidR="00860D84" w:rsidRPr="00860D84" w:rsidRDefault="00860D84" w:rsidP="00860D84">
            <w:pPr>
              <w:spacing w:line="240" w:lineRule="auto"/>
              <w:jc w:val="center"/>
              <w:rPr>
                <w:rFonts w:ascii="Calibri" w:eastAsia="Times New Roman" w:hAnsi="Calibri" w:cs="Calibri"/>
                <w:b/>
                <w:bCs/>
                <w:color w:val="000000"/>
                <w:lang w:eastAsia="en-GB"/>
              </w:rPr>
            </w:pPr>
            <w:r w:rsidRPr="00860D84">
              <w:rPr>
                <w:rFonts w:ascii="Calibri" w:eastAsia="Times New Roman" w:hAnsi="Calibri" w:cs="Calibri"/>
                <w:b/>
                <w:bCs/>
                <w:color w:val="000000"/>
                <w:lang w:eastAsia="en-GB"/>
              </w:rPr>
              <w:t>Export Countries (Approx.)</w:t>
            </w:r>
          </w:p>
        </w:tc>
        <w:tc>
          <w:tcPr>
            <w:tcW w:w="1340" w:type="dxa"/>
            <w:hideMark/>
          </w:tcPr>
          <w:p w:rsidR="00860D84" w:rsidRPr="00860D84" w:rsidRDefault="00860D84" w:rsidP="00860D84">
            <w:pPr>
              <w:spacing w:line="240" w:lineRule="auto"/>
              <w:jc w:val="center"/>
              <w:rPr>
                <w:rFonts w:ascii="Calibri" w:eastAsia="Times New Roman" w:hAnsi="Calibri" w:cs="Calibri"/>
                <w:b/>
                <w:bCs/>
                <w:color w:val="000000"/>
                <w:lang w:eastAsia="en-GB"/>
              </w:rPr>
            </w:pPr>
            <w:r w:rsidRPr="00860D84">
              <w:rPr>
                <w:rFonts w:ascii="Calibri" w:eastAsia="Times New Roman" w:hAnsi="Calibri" w:cs="Calibri"/>
                <w:b/>
                <w:bCs/>
                <w:color w:val="000000"/>
                <w:lang w:eastAsia="en-GB"/>
              </w:rPr>
              <w:t>Major Export Markets</w:t>
            </w:r>
          </w:p>
        </w:tc>
      </w:tr>
      <w:tr w:rsidR="00860D84" w:rsidRPr="00860D84" w:rsidTr="00860D84">
        <w:trPr>
          <w:trHeight w:val="900"/>
        </w:trPr>
        <w:tc>
          <w:tcPr>
            <w:tcW w:w="1680" w:type="dxa"/>
            <w:hideMark/>
          </w:tcPr>
          <w:p w:rsidR="00860D84" w:rsidRPr="00860D84" w:rsidRDefault="00860D84" w:rsidP="00860D84">
            <w:pPr>
              <w:spacing w:line="240" w:lineRule="auto"/>
              <w:jc w:val="left"/>
              <w:rPr>
                <w:rFonts w:ascii="Calibri" w:eastAsia="Times New Roman" w:hAnsi="Calibri" w:cs="Calibri"/>
                <w:b/>
                <w:color w:val="000000"/>
                <w:lang w:eastAsia="en-GB"/>
              </w:rPr>
            </w:pPr>
            <w:r w:rsidRPr="00860D84">
              <w:rPr>
                <w:rFonts w:ascii="Calibri" w:eastAsia="Times New Roman" w:hAnsi="Calibri" w:cs="Calibri"/>
                <w:b/>
                <w:color w:val="000000"/>
                <w:lang w:eastAsia="en-GB"/>
              </w:rPr>
              <w:t>Ha-</w:t>
            </w:r>
            <w:proofErr w:type="spellStart"/>
            <w:r w:rsidRPr="00860D84">
              <w:rPr>
                <w:rFonts w:ascii="Calibri" w:eastAsia="Times New Roman" w:hAnsi="Calibri" w:cs="Calibri"/>
                <w:b/>
                <w:color w:val="000000"/>
                <w:lang w:eastAsia="en-GB"/>
              </w:rPr>
              <w:t>Meem</w:t>
            </w:r>
            <w:proofErr w:type="spellEnd"/>
            <w:r w:rsidRPr="00860D84">
              <w:rPr>
                <w:rFonts w:ascii="Calibri" w:eastAsia="Times New Roman" w:hAnsi="Calibri" w:cs="Calibri"/>
                <w:b/>
                <w:color w:val="000000"/>
                <w:lang w:eastAsia="en-GB"/>
              </w:rPr>
              <w:t xml:space="preserve"> Group</w:t>
            </w:r>
          </w:p>
        </w:tc>
        <w:tc>
          <w:tcPr>
            <w:tcW w:w="1460" w:type="dxa"/>
            <w:hideMark/>
          </w:tcPr>
          <w:p w:rsidR="00860D84" w:rsidRPr="00860D84" w:rsidRDefault="00860D84" w:rsidP="00860D84">
            <w:pPr>
              <w:spacing w:line="240" w:lineRule="auto"/>
              <w:jc w:val="center"/>
              <w:rPr>
                <w:rFonts w:ascii="Calibri" w:eastAsia="Times New Roman" w:hAnsi="Calibri" w:cs="Calibri"/>
                <w:color w:val="000000"/>
                <w:lang w:eastAsia="en-GB"/>
              </w:rPr>
            </w:pPr>
            <w:r w:rsidRPr="00860D84">
              <w:rPr>
                <w:rFonts w:ascii="Calibri" w:eastAsia="Times New Roman" w:hAnsi="Calibri" w:cs="Calibri"/>
                <w:color w:val="000000"/>
                <w:lang w:eastAsia="en-GB"/>
              </w:rPr>
              <w:t>1984</w:t>
            </w:r>
          </w:p>
        </w:tc>
        <w:tc>
          <w:tcPr>
            <w:tcW w:w="1460" w:type="dxa"/>
            <w:hideMark/>
          </w:tcPr>
          <w:p w:rsidR="00860D84" w:rsidRPr="00860D84" w:rsidRDefault="00860D84" w:rsidP="00860D84">
            <w:pPr>
              <w:spacing w:line="240" w:lineRule="auto"/>
              <w:jc w:val="center"/>
              <w:rPr>
                <w:rFonts w:ascii="Calibri" w:eastAsia="Times New Roman" w:hAnsi="Calibri" w:cs="Calibri"/>
                <w:color w:val="000000"/>
                <w:lang w:eastAsia="en-GB"/>
              </w:rPr>
            </w:pPr>
            <w:r w:rsidRPr="00860D84">
              <w:rPr>
                <w:rFonts w:ascii="Calibri" w:eastAsia="Times New Roman" w:hAnsi="Calibri" w:cs="Calibri"/>
                <w:color w:val="000000"/>
                <w:lang w:eastAsia="en-GB"/>
              </w:rPr>
              <w:t>50,000–75,000</w:t>
            </w:r>
          </w:p>
        </w:tc>
        <w:tc>
          <w:tcPr>
            <w:tcW w:w="1760" w:type="dxa"/>
            <w:hideMark/>
          </w:tcPr>
          <w:p w:rsidR="00860D84" w:rsidRPr="00860D84" w:rsidRDefault="00860D84" w:rsidP="00860D84">
            <w:pPr>
              <w:spacing w:line="240" w:lineRule="auto"/>
              <w:jc w:val="center"/>
              <w:rPr>
                <w:rFonts w:ascii="Calibri" w:eastAsia="Times New Roman" w:hAnsi="Calibri" w:cs="Calibri"/>
                <w:color w:val="000000"/>
                <w:lang w:eastAsia="en-GB"/>
              </w:rPr>
            </w:pPr>
            <w:r w:rsidRPr="00860D84">
              <w:rPr>
                <w:rFonts w:ascii="Calibri" w:eastAsia="Times New Roman" w:hAnsi="Calibri" w:cs="Calibri"/>
                <w:color w:val="000000"/>
                <w:lang w:eastAsia="en-GB"/>
              </w:rPr>
              <w:t>Denim, woven garments, knitwear</w:t>
            </w:r>
          </w:p>
        </w:tc>
        <w:tc>
          <w:tcPr>
            <w:tcW w:w="1160" w:type="dxa"/>
            <w:hideMark/>
          </w:tcPr>
          <w:p w:rsidR="00860D84" w:rsidRPr="00860D84" w:rsidRDefault="00860D84" w:rsidP="00860D84">
            <w:pPr>
              <w:spacing w:line="240" w:lineRule="auto"/>
              <w:jc w:val="center"/>
              <w:rPr>
                <w:rFonts w:ascii="Calibri" w:eastAsia="Times New Roman" w:hAnsi="Calibri" w:cs="Calibri"/>
                <w:color w:val="000000"/>
                <w:lang w:eastAsia="en-GB"/>
              </w:rPr>
            </w:pPr>
            <w:r w:rsidRPr="00860D84">
              <w:rPr>
                <w:rFonts w:ascii="Calibri" w:eastAsia="Times New Roman" w:hAnsi="Calibri" w:cs="Calibri"/>
                <w:color w:val="000000"/>
                <w:lang w:eastAsia="en-GB"/>
              </w:rPr>
              <w:t>50+</w:t>
            </w:r>
          </w:p>
        </w:tc>
        <w:tc>
          <w:tcPr>
            <w:tcW w:w="1340" w:type="dxa"/>
            <w:hideMark/>
          </w:tcPr>
          <w:p w:rsidR="00860D84" w:rsidRPr="00860D84" w:rsidRDefault="00860D84" w:rsidP="00860D84">
            <w:pPr>
              <w:spacing w:line="240" w:lineRule="auto"/>
              <w:jc w:val="center"/>
              <w:rPr>
                <w:rFonts w:ascii="Calibri" w:eastAsia="Times New Roman" w:hAnsi="Calibri" w:cs="Calibri"/>
                <w:color w:val="000000"/>
                <w:lang w:eastAsia="en-GB"/>
              </w:rPr>
            </w:pPr>
            <w:r w:rsidRPr="00860D84">
              <w:rPr>
                <w:rFonts w:ascii="Calibri" w:eastAsia="Times New Roman" w:hAnsi="Calibri" w:cs="Calibri"/>
                <w:color w:val="000000"/>
                <w:lang w:eastAsia="en-GB"/>
              </w:rPr>
              <w:t>USA, Germany</w:t>
            </w:r>
          </w:p>
        </w:tc>
      </w:tr>
      <w:tr w:rsidR="00860D84" w:rsidRPr="00860D84" w:rsidTr="00860D84">
        <w:trPr>
          <w:trHeight w:val="600"/>
        </w:trPr>
        <w:tc>
          <w:tcPr>
            <w:tcW w:w="1680" w:type="dxa"/>
            <w:hideMark/>
          </w:tcPr>
          <w:p w:rsidR="00860D84" w:rsidRPr="00860D84" w:rsidRDefault="00860D84" w:rsidP="00860D84">
            <w:pPr>
              <w:spacing w:line="240" w:lineRule="auto"/>
              <w:jc w:val="left"/>
              <w:rPr>
                <w:rFonts w:ascii="Calibri" w:eastAsia="Times New Roman" w:hAnsi="Calibri" w:cs="Calibri"/>
                <w:b/>
                <w:color w:val="000000"/>
                <w:lang w:eastAsia="en-GB"/>
              </w:rPr>
            </w:pPr>
            <w:r w:rsidRPr="00860D84">
              <w:rPr>
                <w:rFonts w:ascii="Calibri" w:eastAsia="Times New Roman" w:hAnsi="Calibri" w:cs="Calibri"/>
                <w:b/>
                <w:color w:val="000000"/>
                <w:lang w:eastAsia="en-GB"/>
              </w:rPr>
              <w:t>DBL Group</w:t>
            </w:r>
          </w:p>
        </w:tc>
        <w:tc>
          <w:tcPr>
            <w:tcW w:w="1460" w:type="dxa"/>
            <w:hideMark/>
          </w:tcPr>
          <w:p w:rsidR="00860D84" w:rsidRPr="00860D84" w:rsidRDefault="00860D84" w:rsidP="00860D84">
            <w:pPr>
              <w:spacing w:line="240" w:lineRule="auto"/>
              <w:jc w:val="center"/>
              <w:rPr>
                <w:rFonts w:ascii="Calibri" w:eastAsia="Times New Roman" w:hAnsi="Calibri" w:cs="Calibri"/>
                <w:color w:val="000000"/>
                <w:lang w:eastAsia="en-GB"/>
              </w:rPr>
            </w:pPr>
            <w:r w:rsidRPr="00860D84">
              <w:rPr>
                <w:rFonts w:ascii="Calibri" w:eastAsia="Times New Roman" w:hAnsi="Calibri" w:cs="Calibri"/>
                <w:color w:val="000000"/>
                <w:lang w:eastAsia="en-GB"/>
              </w:rPr>
              <w:t>1991</w:t>
            </w:r>
          </w:p>
        </w:tc>
        <w:tc>
          <w:tcPr>
            <w:tcW w:w="1460" w:type="dxa"/>
            <w:hideMark/>
          </w:tcPr>
          <w:p w:rsidR="00860D84" w:rsidRPr="00860D84" w:rsidRDefault="00860D84" w:rsidP="00860D84">
            <w:pPr>
              <w:spacing w:line="240" w:lineRule="auto"/>
              <w:jc w:val="center"/>
              <w:rPr>
                <w:rFonts w:ascii="Calibri" w:eastAsia="Times New Roman" w:hAnsi="Calibri" w:cs="Calibri"/>
                <w:color w:val="000000"/>
                <w:lang w:eastAsia="en-GB"/>
              </w:rPr>
            </w:pPr>
            <w:r w:rsidRPr="00860D84">
              <w:rPr>
                <w:rFonts w:ascii="Calibri" w:eastAsia="Times New Roman" w:hAnsi="Calibri" w:cs="Calibri"/>
                <w:color w:val="000000"/>
                <w:lang w:eastAsia="en-GB"/>
              </w:rPr>
              <w:t>47,000 (around)</w:t>
            </w:r>
          </w:p>
        </w:tc>
        <w:tc>
          <w:tcPr>
            <w:tcW w:w="1760" w:type="dxa"/>
            <w:hideMark/>
          </w:tcPr>
          <w:p w:rsidR="00860D84" w:rsidRPr="00860D84" w:rsidRDefault="00860D84" w:rsidP="00860D84">
            <w:pPr>
              <w:spacing w:line="240" w:lineRule="auto"/>
              <w:jc w:val="center"/>
              <w:rPr>
                <w:rFonts w:ascii="Calibri" w:eastAsia="Times New Roman" w:hAnsi="Calibri" w:cs="Calibri"/>
                <w:color w:val="000000"/>
                <w:lang w:eastAsia="en-GB"/>
              </w:rPr>
            </w:pPr>
            <w:r w:rsidRPr="00860D84">
              <w:rPr>
                <w:rFonts w:ascii="Calibri" w:eastAsia="Times New Roman" w:hAnsi="Calibri" w:cs="Calibri"/>
                <w:color w:val="000000"/>
                <w:lang w:eastAsia="en-GB"/>
              </w:rPr>
              <w:t>Knitwear, textiles, apparel</w:t>
            </w:r>
          </w:p>
        </w:tc>
        <w:tc>
          <w:tcPr>
            <w:tcW w:w="1160" w:type="dxa"/>
            <w:hideMark/>
          </w:tcPr>
          <w:p w:rsidR="00860D84" w:rsidRPr="00860D84" w:rsidRDefault="00860D84" w:rsidP="00860D84">
            <w:pPr>
              <w:spacing w:line="240" w:lineRule="auto"/>
              <w:jc w:val="center"/>
              <w:rPr>
                <w:rFonts w:ascii="Calibri" w:eastAsia="Times New Roman" w:hAnsi="Calibri" w:cs="Calibri"/>
                <w:color w:val="000000"/>
                <w:lang w:eastAsia="en-GB"/>
              </w:rPr>
            </w:pPr>
            <w:r w:rsidRPr="00860D84">
              <w:rPr>
                <w:rFonts w:ascii="Calibri" w:eastAsia="Times New Roman" w:hAnsi="Calibri" w:cs="Calibri"/>
                <w:color w:val="000000"/>
                <w:lang w:eastAsia="en-GB"/>
              </w:rPr>
              <w:t>40+</w:t>
            </w:r>
          </w:p>
        </w:tc>
        <w:tc>
          <w:tcPr>
            <w:tcW w:w="1340" w:type="dxa"/>
            <w:hideMark/>
          </w:tcPr>
          <w:p w:rsidR="00860D84" w:rsidRPr="00860D84" w:rsidRDefault="00860D84" w:rsidP="00860D84">
            <w:pPr>
              <w:spacing w:line="240" w:lineRule="auto"/>
              <w:jc w:val="center"/>
              <w:rPr>
                <w:rFonts w:ascii="Calibri" w:eastAsia="Times New Roman" w:hAnsi="Calibri" w:cs="Calibri"/>
                <w:color w:val="000000"/>
                <w:lang w:eastAsia="en-GB"/>
              </w:rPr>
            </w:pPr>
            <w:r w:rsidRPr="00860D84">
              <w:rPr>
                <w:rFonts w:ascii="Calibri" w:eastAsia="Times New Roman" w:hAnsi="Calibri" w:cs="Calibri"/>
                <w:color w:val="000000"/>
                <w:lang w:eastAsia="en-GB"/>
              </w:rPr>
              <w:t>USA, UK</w:t>
            </w:r>
          </w:p>
        </w:tc>
      </w:tr>
      <w:tr w:rsidR="00860D84" w:rsidRPr="00860D84" w:rsidTr="00860D84">
        <w:trPr>
          <w:trHeight w:val="900"/>
        </w:trPr>
        <w:tc>
          <w:tcPr>
            <w:tcW w:w="1680" w:type="dxa"/>
            <w:hideMark/>
          </w:tcPr>
          <w:p w:rsidR="00860D84" w:rsidRPr="00860D84" w:rsidRDefault="00860D84" w:rsidP="00860D84">
            <w:pPr>
              <w:spacing w:line="240" w:lineRule="auto"/>
              <w:jc w:val="left"/>
              <w:rPr>
                <w:rFonts w:ascii="Calibri" w:eastAsia="Times New Roman" w:hAnsi="Calibri" w:cs="Calibri"/>
                <w:b/>
                <w:color w:val="000000"/>
                <w:lang w:eastAsia="en-GB"/>
              </w:rPr>
            </w:pPr>
            <w:proofErr w:type="spellStart"/>
            <w:r w:rsidRPr="00860D84">
              <w:rPr>
                <w:rFonts w:ascii="Calibri" w:eastAsia="Times New Roman" w:hAnsi="Calibri" w:cs="Calibri"/>
                <w:b/>
                <w:color w:val="000000"/>
                <w:lang w:eastAsia="en-GB"/>
              </w:rPr>
              <w:t>Beximco</w:t>
            </w:r>
            <w:proofErr w:type="spellEnd"/>
            <w:r w:rsidRPr="00860D84">
              <w:rPr>
                <w:rFonts w:ascii="Calibri" w:eastAsia="Times New Roman" w:hAnsi="Calibri" w:cs="Calibri"/>
                <w:b/>
                <w:color w:val="000000"/>
                <w:lang w:eastAsia="en-GB"/>
              </w:rPr>
              <w:t xml:space="preserve"> Group</w:t>
            </w:r>
          </w:p>
        </w:tc>
        <w:tc>
          <w:tcPr>
            <w:tcW w:w="1460" w:type="dxa"/>
            <w:hideMark/>
          </w:tcPr>
          <w:p w:rsidR="00860D84" w:rsidRPr="00860D84" w:rsidRDefault="00860D84" w:rsidP="00860D84">
            <w:pPr>
              <w:spacing w:line="240" w:lineRule="auto"/>
              <w:jc w:val="center"/>
              <w:rPr>
                <w:rFonts w:ascii="Calibri" w:eastAsia="Times New Roman" w:hAnsi="Calibri" w:cs="Calibri"/>
                <w:color w:val="000000"/>
                <w:lang w:eastAsia="en-GB"/>
              </w:rPr>
            </w:pPr>
            <w:r w:rsidRPr="00860D84">
              <w:rPr>
                <w:rFonts w:ascii="Calibri" w:eastAsia="Times New Roman" w:hAnsi="Calibri" w:cs="Calibri"/>
                <w:color w:val="000000"/>
                <w:lang w:eastAsia="en-GB"/>
              </w:rPr>
              <w:t>1972</w:t>
            </w:r>
          </w:p>
        </w:tc>
        <w:tc>
          <w:tcPr>
            <w:tcW w:w="1460" w:type="dxa"/>
            <w:hideMark/>
          </w:tcPr>
          <w:p w:rsidR="00860D84" w:rsidRPr="00860D84" w:rsidRDefault="00860D84" w:rsidP="00860D84">
            <w:pPr>
              <w:spacing w:line="240" w:lineRule="auto"/>
              <w:jc w:val="center"/>
              <w:rPr>
                <w:rFonts w:ascii="Calibri" w:eastAsia="Times New Roman" w:hAnsi="Calibri" w:cs="Calibri"/>
                <w:color w:val="000000"/>
                <w:lang w:eastAsia="en-GB"/>
              </w:rPr>
            </w:pPr>
            <w:r w:rsidRPr="00860D84">
              <w:rPr>
                <w:rFonts w:ascii="Calibri" w:eastAsia="Times New Roman" w:hAnsi="Calibri" w:cs="Calibri"/>
                <w:color w:val="000000"/>
                <w:lang w:eastAsia="en-GB"/>
              </w:rPr>
              <w:t>33,000</w:t>
            </w:r>
          </w:p>
        </w:tc>
        <w:tc>
          <w:tcPr>
            <w:tcW w:w="1760" w:type="dxa"/>
            <w:hideMark/>
          </w:tcPr>
          <w:p w:rsidR="00860D84" w:rsidRPr="00860D84" w:rsidRDefault="00860D84" w:rsidP="00860D84">
            <w:pPr>
              <w:spacing w:line="240" w:lineRule="auto"/>
              <w:jc w:val="center"/>
              <w:rPr>
                <w:rFonts w:ascii="Calibri" w:eastAsia="Times New Roman" w:hAnsi="Calibri" w:cs="Calibri"/>
                <w:color w:val="000000"/>
                <w:lang w:eastAsia="en-GB"/>
              </w:rPr>
            </w:pPr>
            <w:r w:rsidRPr="00860D84">
              <w:rPr>
                <w:rFonts w:ascii="Calibri" w:eastAsia="Times New Roman" w:hAnsi="Calibri" w:cs="Calibri"/>
                <w:color w:val="000000"/>
                <w:lang w:eastAsia="en-GB"/>
              </w:rPr>
              <w:t>Textiles, garments, PPE, fabrics</w:t>
            </w:r>
          </w:p>
        </w:tc>
        <w:tc>
          <w:tcPr>
            <w:tcW w:w="1160" w:type="dxa"/>
            <w:hideMark/>
          </w:tcPr>
          <w:p w:rsidR="00860D84" w:rsidRPr="00860D84" w:rsidRDefault="00860D84" w:rsidP="00860D84">
            <w:pPr>
              <w:spacing w:line="240" w:lineRule="auto"/>
              <w:jc w:val="center"/>
              <w:rPr>
                <w:rFonts w:ascii="Calibri" w:eastAsia="Times New Roman" w:hAnsi="Calibri" w:cs="Calibri"/>
                <w:color w:val="000000"/>
                <w:lang w:eastAsia="en-GB"/>
              </w:rPr>
            </w:pPr>
            <w:r w:rsidRPr="00860D84">
              <w:rPr>
                <w:rFonts w:ascii="Calibri" w:eastAsia="Times New Roman" w:hAnsi="Calibri" w:cs="Calibri"/>
                <w:color w:val="000000"/>
                <w:lang w:eastAsia="en-GB"/>
              </w:rPr>
              <w:t>50+</w:t>
            </w:r>
          </w:p>
        </w:tc>
        <w:tc>
          <w:tcPr>
            <w:tcW w:w="1340" w:type="dxa"/>
            <w:hideMark/>
          </w:tcPr>
          <w:p w:rsidR="00860D84" w:rsidRPr="00860D84" w:rsidRDefault="00860D84" w:rsidP="00860D84">
            <w:pPr>
              <w:spacing w:line="240" w:lineRule="auto"/>
              <w:jc w:val="center"/>
              <w:rPr>
                <w:rFonts w:ascii="Calibri" w:eastAsia="Times New Roman" w:hAnsi="Calibri" w:cs="Calibri"/>
                <w:color w:val="000000"/>
                <w:lang w:eastAsia="en-GB"/>
              </w:rPr>
            </w:pPr>
            <w:r w:rsidRPr="00860D84">
              <w:rPr>
                <w:rFonts w:ascii="Calibri" w:eastAsia="Times New Roman" w:hAnsi="Calibri" w:cs="Calibri"/>
                <w:color w:val="000000"/>
                <w:lang w:eastAsia="en-GB"/>
              </w:rPr>
              <w:t>USA, EU countries</w:t>
            </w:r>
          </w:p>
        </w:tc>
      </w:tr>
      <w:tr w:rsidR="00860D84" w:rsidRPr="00860D84" w:rsidTr="00860D84">
        <w:trPr>
          <w:trHeight w:val="600"/>
        </w:trPr>
        <w:tc>
          <w:tcPr>
            <w:tcW w:w="1680" w:type="dxa"/>
            <w:hideMark/>
          </w:tcPr>
          <w:p w:rsidR="00860D84" w:rsidRPr="00860D84" w:rsidRDefault="00860D84" w:rsidP="00860D84">
            <w:pPr>
              <w:spacing w:line="240" w:lineRule="auto"/>
              <w:jc w:val="left"/>
              <w:rPr>
                <w:rFonts w:ascii="Calibri" w:eastAsia="Times New Roman" w:hAnsi="Calibri" w:cs="Calibri"/>
                <w:b/>
                <w:color w:val="000000"/>
                <w:lang w:eastAsia="en-GB"/>
              </w:rPr>
            </w:pPr>
            <w:r w:rsidRPr="00860D84">
              <w:rPr>
                <w:rFonts w:ascii="Calibri" w:eastAsia="Times New Roman" w:hAnsi="Calibri" w:cs="Calibri"/>
                <w:b/>
                <w:color w:val="000000"/>
                <w:lang w:eastAsia="en-GB"/>
              </w:rPr>
              <w:t>Square Group (Textiles)</w:t>
            </w:r>
          </w:p>
        </w:tc>
        <w:tc>
          <w:tcPr>
            <w:tcW w:w="1460" w:type="dxa"/>
            <w:hideMark/>
          </w:tcPr>
          <w:p w:rsidR="00860D84" w:rsidRPr="00860D84" w:rsidRDefault="00860D84" w:rsidP="00860D84">
            <w:pPr>
              <w:spacing w:line="240" w:lineRule="auto"/>
              <w:jc w:val="center"/>
              <w:rPr>
                <w:rFonts w:ascii="Calibri" w:eastAsia="Times New Roman" w:hAnsi="Calibri" w:cs="Calibri"/>
                <w:color w:val="000000"/>
                <w:lang w:eastAsia="en-GB"/>
              </w:rPr>
            </w:pPr>
            <w:r w:rsidRPr="00860D84">
              <w:rPr>
                <w:rFonts w:ascii="Calibri" w:eastAsia="Times New Roman" w:hAnsi="Calibri" w:cs="Calibri"/>
                <w:color w:val="000000"/>
                <w:lang w:eastAsia="en-GB"/>
              </w:rPr>
              <w:t>1958</w:t>
            </w:r>
          </w:p>
        </w:tc>
        <w:tc>
          <w:tcPr>
            <w:tcW w:w="1460" w:type="dxa"/>
            <w:hideMark/>
          </w:tcPr>
          <w:p w:rsidR="00860D84" w:rsidRPr="00860D84" w:rsidRDefault="00860D84" w:rsidP="00860D84">
            <w:pPr>
              <w:spacing w:line="240" w:lineRule="auto"/>
              <w:jc w:val="center"/>
              <w:rPr>
                <w:rFonts w:ascii="Calibri" w:eastAsia="Times New Roman" w:hAnsi="Calibri" w:cs="Calibri"/>
                <w:color w:val="000000"/>
                <w:lang w:eastAsia="en-GB"/>
              </w:rPr>
            </w:pPr>
            <w:r w:rsidRPr="00860D84">
              <w:rPr>
                <w:rFonts w:ascii="Calibri" w:eastAsia="Times New Roman" w:hAnsi="Calibri" w:cs="Calibri"/>
                <w:color w:val="000000"/>
                <w:lang w:eastAsia="en-GB"/>
              </w:rPr>
              <w:t>80,000 (Group)</w:t>
            </w:r>
          </w:p>
        </w:tc>
        <w:tc>
          <w:tcPr>
            <w:tcW w:w="1760" w:type="dxa"/>
            <w:hideMark/>
          </w:tcPr>
          <w:p w:rsidR="00860D84" w:rsidRPr="00860D84" w:rsidRDefault="00860D84" w:rsidP="00860D84">
            <w:pPr>
              <w:spacing w:line="240" w:lineRule="auto"/>
              <w:jc w:val="center"/>
              <w:rPr>
                <w:rFonts w:ascii="Calibri" w:eastAsia="Times New Roman" w:hAnsi="Calibri" w:cs="Calibri"/>
                <w:color w:val="000000"/>
                <w:lang w:eastAsia="en-GB"/>
              </w:rPr>
            </w:pPr>
            <w:r w:rsidRPr="00860D84">
              <w:rPr>
                <w:rFonts w:ascii="Calibri" w:eastAsia="Times New Roman" w:hAnsi="Calibri" w:cs="Calibri"/>
                <w:color w:val="000000"/>
                <w:lang w:eastAsia="en-GB"/>
              </w:rPr>
              <w:t>Yarn, fabrics, knit garments</w:t>
            </w:r>
          </w:p>
        </w:tc>
        <w:tc>
          <w:tcPr>
            <w:tcW w:w="1160" w:type="dxa"/>
            <w:hideMark/>
          </w:tcPr>
          <w:p w:rsidR="00860D84" w:rsidRPr="00860D84" w:rsidRDefault="00860D84" w:rsidP="00860D84">
            <w:pPr>
              <w:spacing w:line="240" w:lineRule="auto"/>
              <w:jc w:val="center"/>
              <w:rPr>
                <w:rFonts w:ascii="Calibri" w:eastAsia="Times New Roman" w:hAnsi="Calibri" w:cs="Calibri"/>
                <w:color w:val="000000"/>
                <w:lang w:eastAsia="en-GB"/>
              </w:rPr>
            </w:pPr>
            <w:r w:rsidRPr="00860D84">
              <w:rPr>
                <w:rFonts w:ascii="Calibri" w:eastAsia="Times New Roman" w:hAnsi="Calibri" w:cs="Calibri"/>
                <w:color w:val="000000"/>
                <w:lang w:eastAsia="en-GB"/>
              </w:rPr>
              <w:t>30+</w:t>
            </w:r>
          </w:p>
        </w:tc>
        <w:tc>
          <w:tcPr>
            <w:tcW w:w="1340" w:type="dxa"/>
            <w:hideMark/>
          </w:tcPr>
          <w:p w:rsidR="00860D84" w:rsidRPr="00860D84" w:rsidRDefault="00860D84" w:rsidP="00860D84">
            <w:pPr>
              <w:spacing w:line="240" w:lineRule="auto"/>
              <w:jc w:val="center"/>
              <w:rPr>
                <w:rFonts w:ascii="Calibri" w:eastAsia="Times New Roman" w:hAnsi="Calibri" w:cs="Calibri"/>
                <w:color w:val="000000"/>
                <w:lang w:eastAsia="en-GB"/>
              </w:rPr>
            </w:pPr>
            <w:r w:rsidRPr="00860D84">
              <w:rPr>
                <w:rFonts w:ascii="Calibri" w:eastAsia="Times New Roman" w:hAnsi="Calibri" w:cs="Calibri"/>
                <w:color w:val="000000"/>
                <w:lang w:eastAsia="en-GB"/>
              </w:rPr>
              <w:t>USA, Germany</w:t>
            </w:r>
          </w:p>
        </w:tc>
      </w:tr>
      <w:tr w:rsidR="00860D84" w:rsidRPr="00860D84" w:rsidTr="00860D84">
        <w:trPr>
          <w:trHeight w:val="600"/>
        </w:trPr>
        <w:tc>
          <w:tcPr>
            <w:tcW w:w="1680" w:type="dxa"/>
            <w:hideMark/>
          </w:tcPr>
          <w:p w:rsidR="00860D84" w:rsidRPr="00860D84" w:rsidRDefault="00860D84" w:rsidP="00860D84">
            <w:pPr>
              <w:spacing w:line="240" w:lineRule="auto"/>
              <w:jc w:val="left"/>
              <w:rPr>
                <w:rFonts w:ascii="Calibri" w:eastAsia="Times New Roman" w:hAnsi="Calibri" w:cs="Calibri"/>
                <w:b/>
                <w:color w:val="000000"/>
                <w:lang w:eastAsia="en-GB"/>
              </w:rPr>
            </w:pPr>
            <w:r w:rsidRPr="00860D84">
              <w:rPr>
                <w:rFonts w:ascii="Calibri" w:eastAsia="Times New Roman" w:hAnsi="Calibri" w:cs="Calibri"/>
                <w:b/>
                <w:color w:val="000000"/>
                <w:lang w:eastAsia="en-GB"/>
              </w:rPr>
              <w:t>Envoy Group</w:t>
            </w:r>
          </w:p>
        </w:tc>
        <w:tc>
          <w:tcPr>
            <w:tcW w:w="1460" w:type="dxa"/>
            <w:hideMark/>
          </w:tcPr>
          <w:p w:rsidR="00860D84" w:rsidRPr="00860D84" w:rsidRDefault="00860D84" w:rsidP="00860D84">
            <w:pPr>
              <w:spacing w:line="240" w:lineRule="auto"/>
              <w:jc w:val="center"/>
              <w:rPr>
                <w:rFonts w:ascii="Calibri" w:eastAsia="Times New Roman" w:hAnsi="Calibri" w:cs="Calibri"/>
                <w:color w:val="000000"/>
                <w:lang w:eastAsia="en-GB"/>
              </w:rPr>
            </w:pPr>
            <w:r w:rsidRPr="00860D84">
              <w:rPr>
                <w:rFonts w:ascii="Calibri" w:eastAsia="Times New Roman" w:hAnsi="Calibri" w:cs="Calibri"/>
                <w:color w:val="000000"/>
                <w:lang w:eastAsia="en-GB"/>
              </w:rPr>
              <w:t>1983</w:t>
            </w:r>
          </w:p>
        </w:tc>
        <w:tc>
          <w:tcPr>
            <w:tcW w:w="1460" w:type="dxa"/>
            <w:hideMark/>
          </w:tcPr>
          <w:p w:rsidR="00860D84" w:rsidRPr="00860D84" w:rsidRDefault="00860D84" w:rsidP="00860D84">
            <w:pPr>
              <w:spacing w:line="240" w:lineRule="auto"/>
              <w:jc w:val="center"/>
              <w:rPr>
                <w:rFonts w:ascii="Calibri" w:eastAsia="Times New Roman" w:hAnsi="Calibri" w:cs="Calibri"/>
                <w:color w:val="000000"/>
                <w:lang w:eastAsia="en-GB"/>
              </w:rPr>
            </w:pPr>
            <w:r w:rsidRPr="00860D84">
              <w:rPr>
                <w:rFonts w:ascii="Calibri" w:eastAsia="Times New Roman" w:hAnsi="Calibri" w:cs="Calibri"/>
                <w:color w:val="000000"/>
                <w:lang w:eastAsia="en-GB"/>
              </w:rPr>
              <w:t>15,000-21,000</w:t>
            </w:r>
          </w:p>
        </w:tc>
        <w:tc>
          <w:tcPr>
            <w:tcW w:w="1760" w:type="dxa"/>
            <w:hideMark/>
          </w:tcPr>
          <w:p w:rsidR="00860D84" w:rsidRPr="00860D84" w:rsidRDefault="00860D84" w:rsidP="00860D84">
            <w:pPr>
              <w:spacing w:line="240" w:lineRule="auto"/>
              <w:jc w:val="center"/>
              <w:rPr>
                <w:rFonts w:ascii="Calibri" w:eastAsia="Times New Roman" w:hAnsi="Calibri" w:cs="Calibri"/>
                <w:color w:val="000000"/>
                <w:lang w:eastAsia="en-GB"/>
              </w:rPr>
            </w:pPr>
            <w:r w:rsidRPr="00860D84">
              <w:rPr>
                <w:rFonts w:ascii="Calibri" w:eastAsia="Times New Roman" w:hAnsi="Calibri" w:cs="Calibri"/>
                <w:color w:val="000000"/>
                <w:lang w:eastAsia="en-GB"/>
              </w:rPr>
              <w:t>Denim fabric, garments</w:t>
            </w:r>
          </w:p>
        </w:tc>
        <w:tc>
          <w:tcPr>
            <w:tcW w:w="1160" w:type="dxa"/>
            <w:hideMark/>
          </w:tcPr>
          <w:p w:rsidR="00860D84" w:rsidRPr="00860D84" w:rsidRDefault="00860D84" w:rsidP="00860D84">
            <w:pPr>
              <w:spacing w:line="240" w:lineRule="auto"/>
              <w:jc w:val="center"/>
              <w:rPr>
                <w:rFonts w:ascii="Calibri" w:eastAsia="Times New Roman" w:hAnsi="Calibri" w:cs="Calibri"/>
                <w:color w:val="000000"/>
                <w:lang w:eastAsia="en-GB"/>
              </w:rPr>
            </w:pPr>
            <w:r w:rsidRPr="00860D84">
              <w:rPr>
                <w:rFonts w:ascii="Calibri" w:eastAsia="Times New Roman" w:hAnsi="Calibri" w:cs="Calibri"/>
                <w:color w:val="000000"/>
                <w:lang w:eastAsia="en-GB"/>
              </w:rPr>
              <w:t>20+</w:t>
            </w:r>
          </w:p>
        </w:tc>
        <w:tc>
          <w:tcPr>
            <w:tcW w:w="1340" w:type="dxa"/>
            <w:hideMark/>
          </w:tcPr>
          <w:p w:rsidR="00860D84" w:rsidRPr="00860D84" w:rsidRDefault="00860D84" w:rsidP="00860D84">
            <w:pPr>
              <w:spacing w:line="240" w:lineRule="auto"/>
              <w:jc w:val="center"/>
              <w:rPr>
                <w:rFonts w:ascii="Calibri" w:eastAsia="Times New Roman" w:hAnsi="Calibri" w:cs="Calibri"/>
                <w:color w:val="000000"/>
                <w:lang w:eastAsia="en-GB"/>
              </w:rPr>
            </w:pPr>
            <w:r w:rsidRPr="00860D84">
              <w:rPr>
                <w:rFonts w:ascii="Calibri" w:eastAsia="Times New Roman" w:hAnsi="Calibri" w:cs="Calibri"/>
                <w:color w:val="000000"/>
                <w:lang w:eastAsia="en-GB"/>
              </w:rPr>
              <w:t>USA, Spain</w:t>
            </w:r>
          </w:p>
        </w:tc>
      </w:tr>
    </w:tbl>
    <w:p w:rsidR="00860D84" w:rsidRDefault="00860D84" w:rsidP="00F521F9">
      <w:pPr>
        <w:rPr>
          <w:b/>
          <w:color w:val="4F81BD" w:themeColor="accent1"/>
          <w:sz w:val="28"/>
        </w:rPr>
      </w:pPr>
    </w:p>
    <w:p w:rsidR="00860D84" w:rsidRPr="00860D84" w:rsidRDefault="00860D84" w:rsidP="00860D84">
      <w:pPr>
        <w:rPr>
          <w:b/>
        </w:rPr>
      </w:pPr>
      <w:r w:rsidRPr="00860D84">
        <w:rPr>
          <w:b/>
        </w:rPr>
        <w:t>Source: Based on the industry report and newspaper data</w:t>
      </w:r>
    </w:p>
    <w:p w:rsidR="00860D84" w:rsidRPr="00860D84" w:rsidRDefault="00860D84" w:rsidP="00860D84">
      <w:pPr>
        <w:rPr>
          <w:b/>
          <w:color w:val="C0504D" w:themeColor="accent2"/>
        </w:rPr>
      </w:pPr>
      <w:r w:rsidRPr="00860D84">
        <w:rPr>
          <w:b/>
          <w:color w:val="C0504D" w:themeColor="accent2"/>
        </w:rPr>
        <w:t>(The number of employee is approximate)</w:t>
      </w:r>
    </w:p>
    <w:p w:rsidR="00860D84" w:rsidRPr="00F521F9" w:rsidRDefault="00860D84" w:rsidP="00F521F9"/>
    <w:p w:rsidR="00070189" w:rsidRPr="00A14132" w:rsidRDefault="00070189" w:rsidP="00A14132"/>
    <w:sectPr w:rsidR="00070189" w:rsidRPr="00A14132" w:rsidSect="00A76FD4">
      <w:foot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267CE" w:rsidRDefault="00A267CE" w:rsidP="00A76FD4">
      <w:pPr>
        <w:spacing w:after="0" w:line="240" w:lineRule="auto"/>
      </w:pPr>
      <w:r>
        <w:separator/>
      </w:r>
    </w:p>
  </w:endnote>
  <w:endnote w:type="continuationSeparator" w:id="0">
    <w:p w:rsidR="00A267CE" w:rsidRDefault="00A267CE" w:rsidP="00A76F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58017594"/>
      <w:docPartObj>
        <w:docPartGallery w:val="Page Numbers (Bottom of Page)"/>
        <w:docPartUnique/>
      </w:docPartObj>
    </w:sdtPr>
    <w:sdtEndPr/>
    <w:sdtContent>
      <w:p w:rsidR="00632C4A" w:rsidRDefault="00632C4A">
        <w:pPr>
          <w:pStyle w:val="Footer"/>
          <w:jc w:val="right"/>
        </w:pPr>
        <w:r>
          <w:fldChar w:fldCharType="begin"/>
        </w:r>
        <w:r>
          <w:instrText xml:space="preserve"> PAGE   \* MERGEFORMAT </w:instrText>
        </w:r>
        <w:r>
          <w:fldChar w:fldCharType="separate"/>
        </w:r>
        <w:r w:rsidR="00A36690">
          <w:rPr>
            <w:noProof/>
          </w:rPr>
          <w:t>21</w:t>
        </w:r>
        <w:r>
          <w:rPr>
            <w:noProof/>
          </w:rPr>
          <w:fldChar w:fldCharType="end"/>
        </w:r>
      </w:p>
    </w:sdtContent>
  </w:sdt>
  <w:p w:rsidR="00632C4A" w:rsidRDefault="00632C4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267CE" w:rsidRDefault="00A267CE" w:rsidP="00A76FD4">
      <w:pPr>
        <w:spacing w:after="0" w:line="240" w:lineRule="auto"/>
      </w:pPr>
      <w:r>
        <w:separator/>
      </w:r>
    </w:p>
  </w:footnote>
  <w:footnote w:type="continuationSeparator" w:id="0">
    <w:p w:rsidR="00A267CE" w:rsidRDefault="00A267CE" w:rsidP="00A76FD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CEA19CA"/>
    <w:multiLevelType w:val="hybridMultilevel"/>
    <w:tmpl w:val="FDF079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6346"/>
    <w:rsid w:val="00002A05"/>
    <w:rsid w:val="0003701C"/>
    <w:rsid w:val="00070189"/>
    <w:rsid w:val="00080EBC"/>
    <w:rsid w:val="000E5D76"/>
    <w:rsid w:val="001503BB"/>
    <w:rsid w:val="0016440C"/>
    <w:rsid w:val="00181BB8"/>
    <w:rsid w:val="001C32CC"/>
    <w:rsid w:val="00291F72"/>
    <w:rsid w:val="002A3101"/>
    <w:rsid w:val="002F7E3B"/>
    <w:rsid w:val="003703C4"/>
    <w:rsid w:val="00384477"/>
    <w:rsid w:val="00397CD0"/>
    <w:rsid w:val="003D1CE0"/>
    <w:rsid w:val="00452B13"/>
    <w:rsid w:val="00477AA7"/>
    <w:rsid w:val="00563217"/>
    <w:rsid w:val="00632C4A"/>
    <w:rsid w:val="00672C74"/>
    <w:rsid w:val="006B20EE"/>
    <w:rsid w:val="008346F8"/>
    <w:rsid w:val="00835858"/>
    <w:rsid w:val="00860D84"/>
    <w:rsid w:val="008D4889"/>
    <w:rsid w:val="009267F3"/>
    <w:rsid w:val="00942086"/>
    <w:rsid w:val="00A14132"/>
    <w:rsid w:val="00A267CE"/>
    <w:rsid w:val="00A36690"/>
    <w:rsid w:val="00A76FD4"/>
    <w:rsid w:val="00B637D1"/>
    <w:rsid w:val="00B96DB0"/>
    <w:rsid w:val="00BE6346"/>
    <w:rsid w:val="00C31AC8"/>
    <w:rsid w:val="00CB61F7"/>
    <w:rsid w:val="00DF077C"/>
    <w:rsid w:val="00EA2256"/>
    <w:rsid w:val="00F521F9"/>
    <w:rsid w:val="00F95B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CF729BE-5744-4F37-A5AE-DD9901B105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81BB8"/>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181BB8"/>
    <w:pPr>
      <w:keepNext/>
      <w:keepLines/>
      <w:spacing w:before="480" w:after="0"/>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uiPriority w:val="9"/>
    <w:unhideWhenUsed/>
    <w:qFormat/>
    <w:rsid w:val="00BE6346"/>
    <w:pPr>
      <w:keepNext/>
      <w:keepLines/>
      <w:spacing w:before="200" w:after="0"/>
      <w:outlineLvl w:val="1"/>
    </w:pPr>
    <w:rPr>
      <w:rFonts w:eastAsiaTheme="majorEastAsia" w:cstheme="majorBidi"/>
      <w:b/>
      <w:bCs/>
      <w:i/>
      <w:color w:val="000000" w:themeColor="text1"/>
      <w:sz w:val="28"/>
      <w:szCs w:val="26"/>
    </w:rPr>
  </w:style>
  <w:style w:type="paragraph" w:styleId="Heading3">
    <w:name w:val="heading 3"/>
    <w:basedOn w:val="Normal"/>
    <w:next w:val="Normal"/>
    <w:link w:val="Heading3Char"/>
    <w:uiPriority w:val="9"/>
    <w:semiHidden/>
    <w:unhideWhenUsed/>
    <w:qFormat/>
    <w:rsid w:val="00BE6346"/>
    <w:pPr>
      <w:keepNext/>
      <w:keepLines/>
      <w:spacing w:before="200" w:after="0"/>
      <w:outlineLvl w:val="2"/>
    </w:pPr>
    <w:rPr>
      <w:rFonts w:eastAsiaTheme="majorEastAsia" w:cstheme="majorBidi"/>
      <w:b/>
      <w:bCs/>
      <w:color w:val="4F81BD" w:themeColor="accent1"/>
      <w:sz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1BB8"/>
    <w:rPr>
      <w:rFonts w:ascii="Arial" w:eastAsiaTheme="majorEastAsia" w:hAnsi="Arial" w:cstheme="majorBidi"/>
      <w:b/>
      <w:bCs/>
      <w:color w:val="000000" w:themeColor="text1"/>
      <w:sz w:val="32"/>
      <w:szCs w:val="28"/>
    </w:rPr>
  </w:style>
  <w:style w:type="character" w:customStyle="1" w:styleId="Heading2Char">
    <w:name w:val="Heading 2 Char"/>
    <w:basedOn w:val="DefaultParagraphFont"/>
    <w:link w:val="Heading2"/>
    <w:uiPriority w:val="9"/>
    <w:rsid w:val="00BE6346"/>
    <w:rPr>
      <w:rFonts w:ascii="Times New Roman" w:eastAsiaTheme="majorEastAsia" w:hAnsi="Times New Roman" w:cstheme="majorBidi"/>
      <w:b/>
      <w:bCs/>
      <w:i/>
      <w:color w:val="000000" w:themeColor="text1"/>
      <w:sz w:val="28"/>
      <w:szCs w:val="26"/>
    </w:rPr>
  </w:style>
  <w:style w:type="character" w:customStyle="1" w:styleId="Heading3Char">
    <w:name w:val="Heading 3 Char"/>
    <w:basedOn w:val="DefaultParagraphFont"/>
    <w:link w:val="Heading3"/>
    <w:uiPriority w:val="9"/>
    <w:semiHidden/>
    <w:rsid w:val="00BE6346"/>
    <w:rPr>
      <w:rFonts w:ascii="Times New Roman" w:eastAsiaTheme="majorEastAsia" w:hAnsi="Times New Roman" w:cstheme="majorBidi"/>
      <w:b/>
      <w:bCs/>
      <w:color w:val="4F81BD" w:themeColor="accent1"/>
      <w:sz w:val="26"/>
    </w:rPr>
  </w:style>
  <w:style w:type="paragraph" w:styleId="Header">
    <w:name w:val="header"/>
    <w:basedOn w:val="Normal"/>
    <w:link w:val="HeaderChar"/>
    <w:uiPriority w:val="99"/>
    <w:unhideWhenUsed/>
    <w:rsid w:val="00A76FD4"/>
    <w:pPr>
      <w:tabs>
        <w:tab w:val="center" w:pos="4680"/>
        <w:tab w:val="right" w:pos="9360"/>
      </w:tabs>
      <w:spacing w:after="0" w:line="240" w:lineRule="auto"/>
    </w:pPr>
  </w:style>
  <w:style w:type="character" w:customStyle="1" w:styleId="HeaderChar">
    <w:name w:val="Header Char"/>
    <w:basedOn w:val="DefaultParagraphFont"/>
    <w:link w:val="Header"/>
    <w:uiPriority w:val="99"/>
    <w:rsid w:val="00A76FD4"/>
    <w:rPr>
      <w:rFonts w:ascii="Times New Roman" w:hAnsi="Times New Roman"/>
      <w:sz w:val="24"/>
    </w:rPr>
  </w:style>
  <w:style w:type="paragraph" w:styleId="Footer">
    <w:name w:val="footer"/>
    <w:basedOn w:val="Normal"/>
    <w:link w:val="FooterChar"/>
    <w:uiPriority w:val="99"/>
    <w:unhideWhenUsed/>
    <w:rsid w:val="00A76F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76FD4"/>
    <w:rPr>
      <w:rFonts w:ascii="Times New Roman" w:hAnsi="Times New Roman"/>
      <w:sz w:val="24"/>
    </w:rPr>
  </w:style>
  <w:style w:type="paragraph" w:styleId="TOCHeading">
    <w:name w:val="TOC Heading"/>
    <w:basedOn w:val="Heading1"/>
    <w:next w:val="Normal"/>
    <w:uiPriority w:val="39"/>
    <w:unhideWhenUsed/>
    <w:qFormat/>
    <w:rsid w:val="00452B13"/>
    <w:pPr>
      <w:spacing w:before="240" w:line="259" w:lineRule="auto"/>
      <w:jc w:val="left"/>
      <w:outlineLvl w:val="9"/>
    </w:pPr>
    <w:rPr>
      <w:rFonts w:asciiTheme="majorHAnsi" w:hAnsiTheme="majorHAnsi"/>
      <w:b w:val="0"/>
      <w:bCs w:val="0"/>
      <w:color w:val="365F91" w:themeColor="accent1" w:themeShade="BF"/>
      <w:szCs w:val="32"/>
    </w:rPr>
  </w:style>
  <w:style w:type="paragraph" w:styleId="TOC1">
    <w:name w:val="toc 1"/>
    <w:basedOn w:val="Normal"/>
    <w:next w:val="Normal"/>
    <w:autoRedefine/>
    <w:uiPriority w:val="39"/>
    <w:unhideWhenUsed/>
    <w:rsid w:val="00452B13"/>
    <w:pPr>
      <w:spacing w:after="100"/>
    </w:pPr>
  </w:style>
  <w:style w:type="character" w:styleId="Hyperlink">
    <w:name w:val="Hyperlink"/>
    <w:basedOn w:val="DefaultParagraphFont"/>
    <w:uiPriority w:val="99"/>
    <w:unhideWhenUsed/>
    <w:rsid w:val="00452B13"/>
    <w:rPr>
      <w:color w:val="0000FF" w:themeColor="hyperlink"/>
      <w:u w:val="single"/>
    </w:rPr>
  </w:style>
  <w:style w:type="paragraph" w:styleId="NoSpacing">
    <w:name w:val="No Spacing"/>
    <w:uiPriority w:val="1"/>
    <w:qFormat/>
    <w:rsid w:val="0016440C"/>
    <w:pPr>
      <w:spacing w:after="0" w:line="240" w:lineRule="auto"/>
      <w:jc w:val="both"/>
    </w:pPr>
    <w:rPr>
      <w:rFonts w:ascii="Arial" w:hAnsi="Arial"/>
      <w:sz w:val="24"/>
      <w:lang w:val="en-GB"/>
    </w:rPr>
  </w:style>
  <w:style w:type="paragraph" w:styleId="Caption">
    <w:name w:val="caption"/>
    <w:basedOn w:val="Normal"/>
    <w:next w:val="Normal"/>
    <w:uiPriority w:val="35"/>
    <w:unhideWhenUsed/>
    <w:qFormat/>
    <w:rsid w:val="00A14132"/>
    <w:pPr>
      <w:spacing w:line="240" w:lineRule="auto"/>
    </w:pPr>
    <w:rPr>
      <w:i/>
      <w:iCs/>
      <w:color w:val="1F497D" w:themeColor="text2"/>
      <w:sz w:val="18"/>
      <w:szCs w:val="18"/>
    </w:rPr>
  </w:style>
  <w:style w:type="paragraph" w:styleId="TOC2">
    <w:name w:val="toc 2"/>
    <w:basedOn w:val="Normal"/>
    <w:next w:val="Normal"/>
    <w:autoRedefine/>
    <w:uiPriority w:val="39"/>
    <w:unhideWhenUsed/>
    <w:rsid w:val="00070189"/>
    <w:pPr>
      <w:spacing w:after="100"/>
      <w:ind w:left="240"/>
    </w:pPr>
  </w:style>
  <w:style w:type="paragraph" w:styleId="ListParagraph">
    <w:name w:val="List Paragraph"/>
    <w:basedOn w:val="Normal"/>
    <w:uiPriority w:val="34"/>
    <w:qFormat/>
    <w:rsid w:val="00F521F9"/>
    <w:pPr>
      <w:ind w:left="720"/>
      <w:contextualSpacing/>
    </w:pPr>
  </w:style>
  <w:style w:type="table" w:styleId="TableGrid">
    <w:name w:val="Table Grid"/>
    <w:basedOn w:val="TableNormal"/>
    <w:uiPriority w:val="59"/>
    <w:rsid w:val="00860D8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9972925">
      <w:bodyDiv w:val="1"/>
      <w:marLeft w:val="0"/>
      <w:marRight w:val="0"/>
      <w:marTop w:val="0"/>
      <w:marBottom w:val="0"/>
      <w:divBdr>
        <w:top w:val="none" w:sz="0" w:space="0" w:color="auto"/>
        <w:left w:val="none" w:sz="0" w:space="0" w:color="auto"/>
        <w:bottom w:val="none" w:sz="0" w:space="0" w:color="auto"/>
        <w:right w:val="none" w:sz="0" w:space="0" w:color="auto"/>
      </w:divBdr>
    </w:div>
    <w:div w:id="449056453">
      <w:bodyDiv w:val="1"/>
      <w:marLeft w:val="0"/>
      <w:marRight w:val="0"/>
      <w:marTop w:val="0"/>
      <w:marBottom w:val="0"/>
      <w:divBdr>
        <w:top w:val="none" w:sz="0" w:space="0" w:color="auto"/>
        <w:left w:val="none" w:sz="0" w:space="0" w:color="auto"/>
        <w:bottom w:val="none" w:sz="0" w:space="0" w:color="auto"/>
        <w:right w:val="none" w:sz="0" w:space="0" w:color="auto"/>
      </w:divBdr>
      <w:divsChild>
        <w:div w:id="1405033077">
          <w:marLeft w:val="0"/>
          <w:marRight w:val="0"/>
          <w:marTop w:val="0"/>
          <w:marBottom w:val="0"/>
          <w:divBdr>
            <w:top w:val="none" w:sz="0" w:space="0" w:color="auto"/>
            <w:left w:val="none" w:sz="0" w:space="0" w:color="auto"/>
            <w:bottom w:val="none" w:sz="0" w:space="0" w:color="auto"/>
            <w:right w:val="none" w:sz="0" w:space="0" w:color="auto"/>
          </w:divBdr>
        </w:div>
      </w:divsChild>
    </w:div>
    <w:div w:id="678194303">
      <w:bodyDiv w:val="1"/>
      <w:marLeft w:val="0"/>
      <w:marRight w:val="0"/>
      <w:marTop w:val="0"/>
      <w:marBottom w:val="0"/>
      <w:divBdr>
        <w:top w:val="none" w:sz="0" w:space="0" w:color="auto"/>
        <w:left w:val="none" w:sz="0" w:space="0" w:color="auto"/>
        <w:bottom w:val="none" w:sz="0" w:space="0" w:color="auto"/>
        <w:right w:val="none" w:sz="0" w:space="0" w:color="auto"/>
      </w:divBdr>
    </w:div>
    <w:div w:id="937446630">
      <w:bodyDiv w:val="1"/>
      <w:marLeft w:val="0"/>
      <w:marRight w:val="0"/>
      <w:marTop w:val="0"/>
      <w:marBottom w:val="0"/>
      <w:divBdr>
        <w:top w:val="none" w:sz="0" w:space="0" w:color="auto"/>
        <w:left w:val="none" w:sz="0" w:space="0" w:color="auto"/>
        <w:bottom w:val="none" w:sz="0" w:space="0" w:color="auto"/>
        <w:right w:val="none" w:sz="0" w:space="0" w:color="auto"/>
      </w:divBdr>
    </w:div>
    <w:div w:id="1096246495">
      <w:bodyDiv w:val="1"/>
      <w:marLeft w:val="0"/>
      <w:marRight w:val="0"/>
      <w:marTop w:val="0"/>
      <w:marBottom w:val="0"/>
      <w:divBdr>
        <w:top w:val="none" w:sz="0" w:space="0" w:color="auto"/>
        <w:left w:val="none" w:sz="0" w:space="0" w:color="auto"/>
        <w:bottom w:val="none" w:sz="0" w:space="0" w:color="auto"/>
        <w:right w:val="none" w:sz="0" w:space="0" w:color="auto"/>
      </w:divBdr>
    </w:div>
    <w:div w:id="1126511171">
      <w:bodyDiv w:val="1"/>
      <w:marLeft w:val="0"/>
      <w:marRight w:val="0"/>
      <w:marTop w:val="0"/>
      <w:marBottom w:val="0"/>
      <w:divBdr>
        <w:top w:val="none" w:sz="0" w:space="0" w:color="auto"/>
        <w:left w:val="none" w:sz="0" w:space="0" w:color="auto"/>
        <w:bottom w:val="none" w:sz="0" w:space="0" w:color="auto"/>
        <w:right w:val="none" w:sz="0" w:space="0" w:color="auto"/>
      </w:divBdr>
    </w:div>
    <w:div w:id="1236279821">
      <w:bodyDiv w:val="1"/>
      <w:marLeft w:val="0"/>
      <w:marRight w:val="0"/>
      <w:marTop w:val="0"/>
      <w:marBottom w:val="0"/>
      <w:divBdr>
        <w:top w:val="none" w:sz="0" w:space="0" w:color="auto"/>
        <w:left w:val="none" w:sz="0" w:space="0" w:color="auto"/>
        <w:bottom w:val="none" w:sz="0" w:space="0" w:color="auto"/>
        <w:right w:val="none" w:sz="0" w:space="0" w:color="auto"/>
      </w:divBdr>
    </w:div>
    <w:div w:id="1555769925">
      <w:bodyDiv w:val="1"/>
      <w:marLeft w:val="0"/>
      <w:marRight w:val="0"/>
      <w:marTop w:val="0"/>
      <w:marBottom w:val="0"/>
      <w:divBdr>
        <w:top w:val="none" w:sz="0" w:space="0" w:color="auto"/>
        <w:left w:val="none" w:sz="0" w:space="0" w:color="auto"/>
        <w:bottom w:val="none" w:sz="0" w:space="0" w:color="auto"/>
        <w:right w:val="none" w:sz="0" w:space="0" w:color="auto"/>
      </w:divBdr>
    </w:div>
    <w:div w:id="1584727025">
      <w:bodyDiv w:val="1"/>
      <w:marLeft w:val="0"/>
      <w:marRight w:val="0"/>
      <w:marTop w:val="0"/>
      <w:marBottom w:val="0"/>
      <w:divBdr>
        <w:top w:val="none" w:sz="0" w:space="0" w:color="auto"/>
        <w:left w:val="none" w:sz="0" w:space="0" w:color="auto"/>
        <w:bottom w:val="none" w:sz="0" w:space="0" w:color="auto"/>
        <w:right w:val="none" w:sz="0" w:space="0" w:color="auto"/>
      </w:divBdr>
    </w:div>
    <w:div w:id="1652557874">
      <w:bodyDiv w:val="1"/>
      <w:marLeft w:val="0"/>
      <w:marRight w:val="0"/>
      <w:marTop w:val="0"/>
      <w:marBottom w:val="0"/>
      <w:divBdr>
        <w:top w:val="none" w:sz="0" w:space="0" w:color="auto"/>
        <w:left w:val="none" w:sz="0" w:space="0" w:color="auto"/>
        <w:bottom w:val="none" w:sz="0" w:space="0" w:color="auto"/>
        <w:right w:val="none" w:sz="0" w:space="0" w:color="auto"/>
      </w:divBdr>
    </w:div>
    <w:div w:id="1767386894">
      <w:bodyDiv w:val="1"/>
      <w:marLeft w:val="0"/>
      <w:marRight w:val="0"/>
      <w:marTop w:val="0"/>
      <w:marBottom w:val="0"/>
      <w:divBdr>
        <w:top w:val="none" w:sz="0" w:space="0" w:color="auto"/>
        <w:left w:val="none" w:sz="0" w:space="0" w:color="auto"/>
        <w:bottom w:val="none" w:sz="0" w:space="0" w:color="auto"/>
        <w:right w:val="none" w:sz="0" w:space="0" w:color="auto"/>
      </w:divBdr>
    </w:div>
    <w:div w:id="1861233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webp"/><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19D82A-FDB7-482D-863B-0A7194B061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TotalTime>
  <Pages>31</Pages>
  <Words>7135</Words>
  <Characters>40675</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account</cp:lastModifiedBy>
  <cp:revision>14</cp:revision>
  <dcterms:created xsi:type="dcterms:W3CDTF">2026-03-25T12:04:00Z</dcterms:created>
  <dcterms:modified xsi:type="dcterms:W3CDTF">2026-04-24T10:38:00Z</dcterms:modified>
</cp:coreProperties>
</file>