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4E6FB" w14:textId="77777777" w:rsidR="00231837" w:rsidRPr="00231837" w:rsidRDefault="00231837" w:rsidP="00231837">
      <w:pPr>
        <w:rPr>
          <w:rFonts w:ascii="Arial" w:hAnsi="Arial" w:cs="Arial"/>
          <w:b/>
          <w:bCs/>
          <w:sz w:val="22"/>
          <w:szCs w:val="22"/>
        </w:rPr>
      </w:pPr>
      <w:r>
        <w:rPr>
          <w:rFonts w:ascii="Arial" w:hAnsi="Arial" w:cs="Arial"/>
          <w:b/>
          <w:bCs/>
          <w:noProof/>
          <w:sz w:val="22"/>
          <w:szCs w:val="22"/>
        </w:rPr>
        <w:drawing>
          <wp:inline distT="0" distB="0" distL="0" distR="0" wp14:anchorId="43C2B19D" wp14:editId="1F24A5C9">
            <wp:extent cx="5623560" cy="1706880"/>
            <wp:effectExtent l="0" t="0" r="0" b="7620"/>
            <wp:docPr id="17751824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3560" cy="1706880"/>
                    </a:xfrm>
                    <a:prstGeom prst="rect">
                      <a:avLst/>
                    </a:prstGeom>
                    <a:noFill/>
                    <a:ln>
                      <a:noFill/>
                    </a:ln>
                  </pic:spPr>
                </pic:pic>
              </a:graphicData>
            </a:graphic>
          </wp:inline>
        </w:drawing>
      </w:r>
      <w:r>
        <w:rPr>
          <w:rFonts w:ascii="Arial" w:hAnsi="Arial" w:cs="Arial"/>
          <w:b/>
          <w:bCs/>
          <w:sz w:val="22"/>
          <w:szCs w:val="22"/>
        </w:rPr>
        <w:t> </w:t>
      </w:r>
    </w:p>
    <w:p w14:paraId="4FCE2EAF" w14:textId="77777777" w:rsidR="00231837" w:rsidRPr="00231837" w:rsidRDefault="00231837" w:rsidP="00231837">
      <w:pPr>
        <w:rPr>
          <w:rFonts w:ascii="Arial" w:hAnsi="Arial" w:cs="Arial"/>
          <w:b/>
          <w:bCs/>
          <w:sz w:val="22"/>
          <w:szCs w:val="22"/>
        </w:rPr>
      </w:pPr>
      <w:r>
        <w:rPr>
          <w:rFonts w:ascii="Arial" w:hAnsi="Arial" w:cs="Arial"/>
          <w:b/>
          <w:bCs/>
          <w:sz w:val="22"/>
          <w:szCs w:val="22"/>
        </w:rPr>
        <w:t> </w:t>
      </w:r>
    </w:p>
    <w:p w14:paraId="47EBE409" w14:textId="6EE48AD5" w:rsidR="00231837" w:rsidRPr="00231837" w:rsidRDefault="00231837" w:rsidP="00231837">
      <w:pPr>
        <w:rPr>
          <w:rFonts w:ascii="Arial" w:hAnsi="Arial" w:cs="Arial"/>
          <w:b/>
          <w:bCs/>
          <w:sz w:val="22"/>
          <w:szCs w:val="22"/>
        </w:rPr>
      </w:pPr>
      <w:r>
        <w:rPr>
          <w:rFonts w:ascii="Arial" w:hAnsi="Arial" w:cs="Arial"/>
          <w:b/>
          <w:bCs/>
          <w:sz w:val="22"/>
          <w:szCs w:val="22"/>
        </w:rPr>
        <w:t> </w:t>
      </w:r>
    </w:p>
    <w:p w14:paraId="3F980AC8" w14:textId="77777777" w:rsidR="00231837" w:rsidRPr="00231837" w:rsidRDefault="00231837" w:rsidP="00231837">
      <w:pPr>
        <w:rPr>
          <w:rFonts w:ascii="Arial" w:hAnsi="Arial" w:cs="Arial"/>
          <w:b/>
          <w:bCs/>
          <w:sz w:val="22"/>
          <w:szCs w:val="22"/>
        </w:rPr>
      </w:pPr>
    </w:p>
    <w:p w14:paraId="46E26882" w14:textId="77777777" w:rsidR="00231837" w:rsidRPr="00231837" w:rsidRDefault="00231837" w:rsidP="00231837">
      <w:pPr>
        <w:rPr>
          <w:rFonts w:ascii="Arial" w:hAnsi="Arial" w:cs="Arial"/>
          <w:b/>
          <w:bCs/>
          <w:sz w:val="22"/>
          <w:szCs w:val="22"/>
        </w:rPr>
      </w:pPr>
      <w:r>
        <w:rPr>
          <w:rFonts w:ascii="Arial" w:hAnsi="Arial" w:cs="Arial"/>
          <w:b/>
          <w:bCs/>
          <w:sz w:val="22"/>
          <w:szCs w:val="22"/>
        </w:rPr>
        <w:t> </w:t>
      </w:r>
    </w:p>
    <w:p w14:paraId="76D0127F" w14:textId="77777777" w:rsidR="00231837" w:rsidRPr="00231837" w:rsidRDefault="00231837" w:rsidP="00231837">
      <w:pPr>
        <w:jc w:val="center"/>
        <w:rPr>
          <w:rFonts w:ascii="Arial" w:hAnsi="Arial" w:cs="Arial"/>
          <w:b/>
          <w:bCs/>
          <w:sz w:val="32"/>
          <w:szCs w:val="32"/>
        </w:rPr>
      </w:pPr>
      <w:r>
        <w:rPr>
          <w:rFonts w:ascii="Arial" w:hAnsi="Arial" w:cs="Arial"/>
          <w:b/>
          <w:bCs/>
          <w:sz w:val="32"/>
          <w:szCs w:val="32"/>
        </w:rPr>
        <w:t xml:space="preserve">Changemakers: Creativity and Value Creation </w:t>
      </w:r>
    </w:p>
    <w:p w14:paraId="27629916" w14:textId="77777777" w:rsidR="00231837" w:rsidRPr="00231837" w:rsidRDefault="00231837" w:rsidP="00231837">
      <w:pPr>
        <w:jc w:val="center"/>
        <w:rPr>
          <w:rFonts w:ascii="Arial" w:hAnsi="Arial" w:cs="Arial"/>
          <w:b/>
          <w:bCs/>
          <w:sz w:val="32"/>
          <w:szCs w:val="32"/>
        </w:rPr>
      </w:pPr>
      <w:r>
        <w:rPr>
          <w:rFonts w:ascii="Arial" w:hAnsi="Arial" w:cs="Arial"/>
          <w:b/>
          <w:bCs/>
          <w:sz w:val="32"/>
          <w:szCs w:val="32"/>
        </w:rPr>
        <w:t>(BMHP5014)</w:t>
      </w:r>
    </w:p>
    <w:p w14:paraId="0C9799B7" w14:textId="77777777" w:rsidR="00231837" w:rsidRPr="00231837" w:rsidRDefault="00231837" w:rsidP="00231837">
      <w:pPr>
        <w:jc w:val="center"/>
        <w:rPr>
          <w:rFonts w:ascii="Arial" w:hAnsi="Arial" w:cs="Arial"/>
          <w:b/>
          <w:bCs/>
          <w:sz w:val="32"/>
          <w:szCs w:val="32"/>
        </w:rPr>
      </w:pPr>
      <w:r>
        <w:rPr>
          <w:rFonts w:ascii="Arial" w:hAnsi="Arial" w:cs="Arial"/>
          <w:b/>
          <w:bCs/>
          <w:sz w:val="32"/>
          <w:szCs w:val="32"/>
        </w:rPr>
        <w:t>Assignment-1</w:t>
      </w:r>
    </w:p>
    <w:p w14:paraId="794692C6" w14:textId="23221DF8" w:rsidR="00231837" w:rsidRPr="00231837" w:rsidRDefault="00231837" w:rsidP="00231837">
      <w:pPr>
        <w:rPr>
          <w:rFonts w:ascii="Arial" w:hAnsi="Arial" w:cs="Arial"/>
          <w:b/>
          <w:bCs/>
          <w:sz w:val="32"/>
          <w:szCs w:val="32"/>
        </w:rPr>
      </w:pPr>
      <w:r>
        <w:rPr>
          <w:rFonts w:ascii="Arial" w:hAnsi="Arial" w:cs="Arial"/>
          <w:b/>
          <w:bCs/>
          <w:sz w:val="32"/>
          <w:szCs w:val="32"/>
        </w:rPr>
        <w:t>  </w:t>
      </w:r>
    </w:p>
    <w:p w14:paraId="2379ABDE" w14:textId="77777777" w:rsidR="00231837" w:rsidRPr="00231837" w:rsidRDefault="00231837" w:rsidP="00231837">
      <w:pPr>
        <w:spacing w:line="360" w:lineRule="auto"/>
        <w:rPr>
          <w:rFonts w:ascii="Arial" w:hAnsi="Arial" w:cs="Arial"/>
          <w:b/>
          <w:bCs/>
          <w:sz w:val="32"/>
          <w:szCs w:val="32"/>
        </w:rPr>
      </w:pPr>
      <w:r>
        <w:rPr>
          <w:rFonts w:ascii="Arial" w:hAnsi="Arial" w:cs="Arial"/>
          <w:b/>
          <w:bCs/>
          <w:sz w:val="32"/>
          <w:szCs w:val="32"/>
        </w:rPr>
        <w:t>Name</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 Busra Akter Rusi </w:t>
      </w:r>
    </w:p>
    <w:p w14:paraId="0DC339E5" w14:textId="77777777" w:rsidR="00231837" w:rsidRPr="00231837" w:rsidRDefault="00231837" w:rsidP="00231837">
      <w:pPr>
        <w:spacing w:line="360" w:lineRule="auto"/>
        <w:rPr>
          <w:rFonts w:ascii="Arial" w:hAnsi="Arial" w:cs="Arial"/>
          <w:b/>
          <w:bCs/>
          <w:sz w:val="32"/>
          <w:szCs w:val="32"/>
        </w:rPr>
      </w:pPr>
      <w:r>
        <w:rPr>
          <w:rFonts w:ascii="Arial" w:hAnsi="Arial" w:cs="Arial"/>
          <w:b/>
          <w:bCs/>
          <w:sz w:val="32"/>
          <w:szCs w:val="32"/>
        </w:rPr>
        <w:t>Student ID</w:t>
      </w:r>
      <w:r>
        <w:rPr>
          <w:rFonts w:ascii="Arial" w:hAnsi="Arial" w:cs="Arial"/>
          <w:b/>
          <w:bCs/>
          <w:sz w:val="32"/>
          <w:szCs w:val="32"/>
        </w:rPr>
        <w:tab/>
      </w:r>
      <w:r>
        <w:rPr>
          <w:rFonts w:ascii="Arial" w:hAnsi="Arial" w:cs="Arial"/>
          <w:b/>
          <w:bCs/>
          <w:sz w:val="32"/>
          <w:szCs w:val="32"/>
        </w:rPr>
        <w:tab/>
        <w:t>: 2413161 </w:t>
      </w:r>
    </w:p>
    <w:p w14:paraId="1590BC4B" w14:textId="77777777" w:rsidR="00231837" w:rsidRPr="00231837" w:rsidRDefault="00231837" w:rsidP="00231837">
      <w:pPr>
        <w:spacing w:line="360" w:lineRule="auto"/>
        <w:rPr>
          <w:rFonts w:ascii="Arial" w:hAnsi="Arial" w:cs="Arial"/>
          <w:b/>
          <w:bCs/>
          <w:sz w:val="32"/>
          <w:szCs w:val="32"/>
        </w:rPr>
      </w:pPr>
      <w:r>
        <w:rPr>
          <w:rFonts w:ascii="Arial" w:hAnsi="Arial" w:cs="Arial"/>
          <w:b/>
          <w:bCs/>
          <w:sz w:val="32"/>
          <w:szCs w:val="32"/>
        </w:rPr>
        <w:t>Lecturer Name</w:t>
      </w:r>
      <w:r>
        <w:rPr>
          <w:rFonts w:ascii="Arial" w:hAnsi="Arial" w:cs="Arial"/>
          <w:b/>
          <w:bCs/>
          <w:sz w:val="32"/>
          <w:szCs w:val="32"/>
        </w:rPr>
        <w:tab/>
        <w:t xml:space="preserve">: G1 Laila Surani </w:t>
      </w:r>
    </w:p>
    <w:p w14:paraId="6C944244" w14:textId="77777777" w:rsidR="00231837" w:rsidRPr="00231837" w:rsidRDefault="00231837" w:rsidP="00231837">
      <w:pPr>
        <w:spacing w:line="360" w:lineRule="auto"/>
        <w:ind w:left="2160" w:firstLine="720"/>
        <w:rPr>
          <w:rFonts w:ascii="Arial" w:hAnsi="Arial" w:cs="Arial"/>
          <w:b/>
          <w:bCs/>
          <w:sz w:val="32"/>
          <w:szCs w:val="32"/>
        </w:rPr>
      </w:pPr>
      <w:r>
        <w:rPr>
          <w:rFonts w:ascii="Arial" w:hAnsi="Arial" w:cs="Arial"/>
          <w:b/>
          <w:bCs/>
          <w:sz w:val="32"/>
          <w:szCs w:val="32"/>
        </w:rPr>
        <w:t xml:space="preserve">  G2 Caroline Salami</w:t>
      </w:r>
    </w:p>
    <w:p w14:paraId="0EBF0D50" w14:textId="77777777" w:rsidR="00231837" w:rsidRPr="00231837" w:rsidRDefault="00231837" w:rsidP="00231837">
      <w:pPr>
        <w:rPr>
          <w:rFonts w:ascii="Arial" w:hAnsi="Arial" w:cs="Arial"/>
          <w:b/>
          <w:bCs/>
          <w:sz w:val="32"/>
          <w:szCs w:val="32"/>
        </w:rPr>
      </w:pPr>
      <w:r>
        <w:rPr>
          <w:rFonts w:ascii="Arial" w:hAnsi="Arial" w:cs="Arial"/>
          <w:b/>
          <w:bCs/>
          <w:sz w:val="32"/>
          <w:szCs w:val="32"/>
        </w:rPr>
        <w:t> </w:t>
      </w:r>
    </w:p>
    <w:p w14:paraId="526E6B09" w14:textId="5D0421E5" w:rsidR="00231837" w:rsidRPr="00231837" w:rsidRDefault="00231837" w:rsidP="00231837">
      <w:pPr>
        <w:rPr>
          <w:rFonts w:ascii="Arial" w:hAnsi="Arial" w:cs="Arial"/>
          <w:b/>
          <w:bCs/>
          <w:sz w:val="32"/>
          <w:szCs w:val="32"/>
        </w:rPr>
      </w:pPr>
    </w:p>
    <w:p w14:paraId="710D2237" w14:textId="77777777" w:rsidR="00231837" w:rsidRPr="00231837" w:rsidRDefault="00231837" w:rsidP="00231837">
      <w:pPr>
        <w:rPr>
          <w:rFonts w:ascii="Arial" w:hAnsi="Arial" w:cs="Arial"/>
          <w:b/>
          <w:bCs/>
          <w:sz w:val="32"/>
          <w:szCs w:val="32"/>
        </w:rPr>
      </w:pPr>
      <w:r>
        <w:rPr>
          <w:rFonts w:ascii="Arial" w:hAnsi="Arial" w:cs="Arial"/>
          <w:b/>
          <w:bCs/>
          <w:sz w:val="32"/>
          <w:szCs w:val="32"/>
        </w:rPr>
        <w:t> </w:t>
      </w:r>
    </w:p>
    <w:p w14:paraId="1FE6920A" w14:textId="711E3762" w:rsidR="00231837" w:rsidRPr="00231837" w:rsidRDefault="00231837" w:rsidP="00231837">
      <w:pPr>
        <w:rPr>
          <w:rFonts w:ascii="Arial" w:hAnsi="Arial" w:cs="Arial"/>
          <w:b/>
          <w:bCs/>
          <w:sz w:val="32"/>
          <w:szCs w:val="32"/>
        </w:rPr>
      </w:pPr>
      <w:r>
        <w:rPr>
          <w:rFonts w:ascii="Arial" w:hAnsi="Arial" w:cs="Arial"/>
          <w:b/>
          <w:bCs/>
          <w:sz w:val="32"/>
          <w:szCs w:val="32"/>
        </w:rPr>
        <w:t>Submitted on</w:t>
      </w:r>
      <w:r>
        <w:rPr>
          <w:rFonts w:ascii="Arial" w:hAnsi="Arial" w:cs="Arial"/>
          <w:b/>
          <w:bCs/>
          <w:sz w:val="32"/>
          <w:szCs w:val="32"/>
        </w:rPr>
        <w:tab/>
      </w:r>
      <w:r>
        <w:rPr>
          <w:rFonts w:ascii="Arial" w:hAnsi="Arial" w:cs="Arial"/>
          <w:b/>
          <w:bCs/>
          <w:sz w:val="32"/>
          <w:szCs w:val="32"/>
        </w:rPr>
        <w:tab/>
        <w:t>: </w:t>
      </w:r>
      <w:r w:rsidR="006A65A7">
        <w:rPr>
          <w:rFonts w:ascii="Arial" w:hAnsi="Arial" w:cs="Arial"/>
          <w:b/>
          <w:bCs/>
          <w:sz w:val="32"/>
          <w:szCs w:val="32"/>
        </w:rPr>
        <w:t>1</w:t>
      </w:r>
      <w:r>
        <w:rPr>
          <w:rFonts w:ascii="Arial" w:hAnsi="Arial" w:cs="Arial"/>
          <w:b/>
          <w:bCs/>
          <w:sz w:val="32"/>
          <w:szCs w:val="32"/>
        </w:rPr>
        <w:t>3/04/2026 </w:t>
      </w:r>
    </w:p>
    <w:p w14:paraId="6B7D5F6C" w14:textId="77777777" w:rsidR="00231837" w:rsidRPr="00231837" w:rsidRDefault="00231837" w:rsidP="00231837">
      <w:pPr>
        <w:rPr>
          <w:rFonts w:ascii="Arial" w:hAnsi="Arial" w:cs="Arial"/>
          <w:sz w:val="22"/>
          <w:szCs w:val="22"/>
        </w:rPr>
      </w:pPr>
      <w:r>
        <w:rPr>
          <w:rFonts w:ascii="Arial" w:hAnsi="Arial" w:cs="Arial"/>
          <w:sz w:val="22"/>
          <w:szCs w:val="22"/>
        </w:rPr>
        <w:br w:type="page"/>
      </w:r>
    </w:p>
    <w:p w14:paraId="53039551" w14:textId="77777777" w:rsidR="00C63A68" w:rsidRDefault="00C63A68" w:rsidP="00C63A68">
      <w:pPr>
        <w:pStyle w:val="Heading1"/>
        <w:sectPr w:rsidR="00C63A68">
          <w:pgSz w:w="12240" w:h="15840"/>
          <w:pgMar w:top="1440" w:right="1440" w:bottom="1440" w:left="1440" w:header="720" w:footer="720" w:gutter="0"/>
          <w:cols w:space="720"/>
          <w:docGrid w:linePitch="360"/>
        </w:sectPr>
      </w:pPr>
    </w:p>
    <w:sdt>
      <w:sdtPr>
        <w:rPr>
          <w:rFonts w:asciiTheme="minorHAnsi" w:eastAsiaTheme="minorEastAsia" w:hAnsiTheme="minorHAnsi" w:cstheme="minorBidi"/>
          <w:color w:val="auto"/>
          <w:sz w:val="24"/>
          <w:szCs w:val="24"/>
          <w:lang w:val="en-US" w:eastAsia="ja-JP"/>
        </w:rPr>
        <w:id w:val="-381091153"/>
        <w:docPartObj>
          <w:docPartGallery w:val="Table of Contents"/>
          <w:docPartUnique/>
        </w:docPartObj>
      </w:sdtPr>
      <w:sdtEndPr>
        <w:rPr>
          <w:b/>
          <w:bCs/>
        </w:rPr>
      </w:sdtEndPr>
      <w:sdtContent>
        <w:p w14:paraId="4E5016A9" w14:textId="2C131F51" w:rsidR="00C63A68" w:rsidRDefault="00C63A68" w:rsidP="00C63A68">
          <w:pPr>
            <w:pStyle w:val="TOCHeading"/>
            <w:jc w:val="center"/>
          </w:pPr>
          <w:r>
            <w:t>Table of Contents</w:t>
          </w:r>
        </w:p>
        <w:p w14:paraId="7CCF8DC2" w14:textId="0D7C1B96" w:rsidR="00C63A68" w:rsidRDefault="00C63A68">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27012448" w:history="1">
            <w:r>
              <w:rPr>
                <w:rStyle w:val="Hyperlink"/>
                <w:noProof/>
              </w:rPr>
              <w:t>Introduction</w:t>
            </w:r>
            <w:r>
              <w:rPr>
                <w:noProof/>
                <w:webHidden/>
              </w:rPr>
              <w:tab/>
            </w:r>
            <w:r>
              <w:rPr>
                <w:noProof/>
                <w:webHidden/>
              </w:rPr>
              <w:fldChar w:fldCharType="begin"/>
            </w:r>
            <w:r>
              <w:rPr>
                <w:noProof/>
                <w:webHidden/>
              </w:rPr>
              <w:instrText xml:space="preserve"> PAGEREF _Toc227012448 \h </w:instrText>
            </w:r>
            <w:r>
              <w:rPr>
                <w:noProof/>
                <w:webHidden/>
              </w:rPr>
            </w:r>
            <w:r>
              <w:rPr>
                <w:noProof/>
                <w:webHidden/>
              </w:rPr>
              <w:fldChar w:fldCharType="separate"/>
            </w:r>
            <w:r>
              <w:rPr>
                <w:noProof/>
                <w:webHidden/>
              </w:rPr>
              <w:t>2</w:t>
            </w:r>
            <w:r>
              <w:rPr>
                <w:noProof/>
                <w:webHidden/>
              </w:rPr>
              <w:fldChar w:fldCharType="end"/>
            </w:r>
          </w:hyperlink>
        </w:p>
        <w:p w14:paraId="417E502D" w14:textId="0C7A5716" w:rsidR="00C63A68" w:rsidRDefault="00C63A68">
          <w:pPr>
            <w:pStyle w:val="TOC1"/>
            <w:tabs>
              <w:tab w:val="right" w:leader="dot" w:pos="9350"/>
            </w:tabs>
            <w:rPr>
              <w:noProof/>
              <w:kern w:val="2"/>
              <w:lang w:val="en-GB" w:eastAsia="en-GB"/>
              <w14:ligatures w14:val="standardContextual"/>
            </w:rPr>
          </w:pPr>
          <w:hyperlink w:anchor="_Toc227012449" w:history="1">
            <w:r>
              <w:rPr>
                <w:rStyle w:val="Hyperlink"/>
                <w:noProof/>
              </w:rPr>
              <w:t>Defining Key Concepts in Practice</w:t>
            </w:r>
            <w:r>
              <w:rPr>
                <w:noProof/>
                <w:webHidden/>
              </w:rPr>
              <w:tab/>
            </w:r>
            <w:r>
              <w:rPr>
                <w:noProof/>
                <w:webHidden/>
              </w:rPr>
              <w:fldChar w:fldCharType="begin"/>
            </w:r>
            <w:r>
              <w:rPr>
                <w:noProof/>
                <w:webHidden/>
              </w:rPr>
              <w:instrText xml:space="preserve"> PAGEREF _Toc227012449 \h </w:instrText>
            </w:r>
            <w:r>
              <w:rPr>
                <w:noProof/>
                <w:webHidden/>
              </w:rPr>
            </w:r>
            <w:r>
              <w:rPr>
                <w:noProof/>
                <w:webHidden/>
              </w:rPr>
              <w:fldChar w:fldCharType="separate"/>
            </w:r>
            <w:r>
              <w:rPr>
                <w:noProof/>
                <w:webHidden/>
              </w:rPr>
              <w:t>3</w:t>
            </w:r>
            <w:r>
              <w:rPr>
                <w:noProof/>
                <w:webHidden/>
              </w:rPr>
              <w:fldChar w:fldCharType="end"/>
            </w:r>
          </w:hyperlink>
        </w:p>
        <w:p w14:paraId="25D6B321" w14:textId="57D53678" w:rsidR="00C63A68" w:rsidRDefault="00C63A68">
          <w:pPr>
            <w:pStyle w:val="TOC1"/>
            <w:tabs>
              <w:tab w:val="right" w:leader="dot" w:pos="9350"/>
            </w:tabs>
            <w:rPr>
              <w:noProof/>
              <w:kern w:val="2"/>
              <w:lang w:val="en-GB" w:eastAsia="en-GB"/>
              <w14:ligatures w14:val="standardContextual"/>
            </w:rPr>
          </w:pPr>
          <w:hyperlink w:anchor="_Toc227012450" w:history="1">
            <w:r>
              <w:rPr>
                <w:rStyle w:val="Hyperlink"/>
                <w:noProof/>
              </w:rPr>
              <w:t>Mind Map Explanation</w:t>
            </w:r>
            <w:r>
              <w:rPr>
                <w:noProof/>
                <w:webHidden/>
              </w:rPr>
              <w:tab/>
            </w:r>
            <w:r>
              <w:rPr>
                <w:noProof/>
                <w:webHidden/>
              </w:rPr>
              <w:fldChar w:fldCharType="begin"/>
            </w:r>
            <w:r>
              <w:rPr>
                <w:noProof/>
                <w:webHidden/>
              </w:rPr>
              <w:instrText xml:space="preserve"> PAGEREF _Toc227012450 \h </w:instrText>
            </w:r>
            <w:r>
              <w:rPr>
                <w:noProof/>
                <w:webHidden/>
              </w:rPr>
            </w:r>
            <w:r>
              <w:rPr>
                <w:noProof/>
                <w:webHidden/>
              </w:rPr>
              <w:fldChar w:fldCharType="separate"/>
            </w:r>
            <w:r>
              <w:rPr>
                <w:noProof/>
                <w:webHidden/>
              </w:rPr>
              <w:t>5</w:t>
            </w:r>
            <w:r>
              <w:rPr>
                <w:noProof/>
                <w:webHidden/>
              </w:rPr>
              <w:fldChar w:fldCharType="end"/>
            </w:r>
          </w:hyperlink>
        </w:p>
        <w:p w14:paraId="38A2B83B" w14:textId="36224DBC" w:rsidR="00C63A68" w:rsidRDefault="00C63A68">
          <w:pPr>
            <w:pStyle w:val="TOC1"/>
            <w:tabs>
              <w:tab w:val="right" w:leader="dot" w:pos="9350"/>
            </w:tabs>
            <w:rPr>
              <w:noProof/>
              <w:kern w:val="2"/>
              <w:lang w:val="en-GB" w:eastAsia="en-GB"/>
              <w14:ligatures w14:val="standardContextual"/>
            </w:rPr>
          </w:pPr>
          <w:hyperlink w:anchor="_Toc227012451" w:history="1">
            <w:r>
              <w:rPr>
                <w:rStyle w:val="Hyperlink"/>
                <w:noProof/>
              </w:rPr>
              <w:t>Self Reflection</w:t>
            </w:r>
            <w:r>
              <w:rPr>
                <w:noProof/>
                <w:webHidden/>
              </w:rPr>
              <w:tab/>
            </w:r>
            <w:r>
              <w:rPr>
                <w:noProof/>
                <w:webHidden/>
              </w:rPr>
              <w:fldChar w:fldCharType="begin"/>
            </w:r>
            <w:r>
              <w:rPr>
                <w:noProof/>
                <w:webHidden/>
              </w:rPr>
              <w:instrText xml:space="preserve"> PAGEREF _Toc227012451 \h </w:instrText>
            </w:r>
            <w:r>
              <w:rPr>
                <w:noProof/>
                <w:webHidden/>
              </w:rPr>
            </w:r>
            <w:r>
              <w:rPr>
                <w:noProof/>
                <w:webHidden/>
              </w:rPr>
              <w:fldChar w:fldCharType="separate"/>
            </w:r>
            <w:r>
              <w:rPr>
                <w:noProof/>
                <w:webHidden/>
              </w:rPr>
              <w:t>6</w:t>
            </w:r>
            <w:r>
              <w:rPr>
                <w:noProof/>
                <w:webHidden/>
              </w:rPr>
              <w:fldChar w:fldCharType="end"/>
            </w:r>
          </w:hyperlink>
        </w:p>
        <w:p w14:paraId="55826E99" w14:textId="5323DBBC" w:rsidR="00C63A68" w:rsidRDefault="00C63A68">
          <w:pPr>
            <w:pStyle w:val="TOC1"/>
            <w:tabs>
              <w:tab w:val="right" w:leader="dot" w:pos="9350"/>
            </w:tabs>
            <w:rPr>
              <w:noProof/>
              <w:kern w:val="2"/>
              <w:lang w:val="en-GB" w:eastAsia="en-GB"/>
              <w14:ligatures w14:val="standardContextual"/>
            </w:rPr>
          </w:pPr>
          <w:hyperlink w:anchor="_Toc227012452" w:history="1">
            <w:r>
              <w:rPr>
                <w:rStyle w:val="Hyperlink"/>
                <w:noProof/>
              </w:rPr>
              <w:t>Case Study</w:t>
            </w:r>
            <w:r>
              <w:rPr>
                <w:noProof/>
                <w:webHidden/>
              </w:rPr>
              <w:tab/>
            </w:r>
            <w:r>
              <w:rPr>
                <w:noProof/>
                <w:webHidden/>
              </w:rPr>
              <w:fldChar w:fldCharType="begin"/>
            </w:r>
            <w:r>
              <w:rPr>
                <w:noProof/>
                <w:webHidden/>
              </w:rPr>
              <w:instrText xml:space="preserve"> PAGEREF _Toc227012452 \h </w:instrText>
            </w:r>
            <w:r>
              <w:rPr>
                <w:noProof/>
                <w:webHidden/>
              </w:rPr>
            </w:r>
            <w:r>
              <w:rPr>
                <w:noProof/>
                <w:webHidden/>
              </w:rPr>
              <w:fldChar w:fldCharType="separate"/>
            </w:r>
            <w:r>
              <w:rPr>
                <w:noProof/>
                <w:webHidden/>
              </w:rPr>
              <w:t>7</w:t>
            </w:r>
            <w:r>
              <w:rPr>
                <w:noProof/>
                <w:webHidden/>
              </w:rPr>
              <w:fldChar w:fldCharType="end"/>
            </w:r>
          </w:hyperlink>
        </w:p>
        <w:p w14:paraId="07D9C225" w14:textId="3798D005" w:rsidR="00C63A68" w:rsidRDefault="00C63A68">
          <w:pPr>
            <w:pStyle w:val="TOC1"/>
            <w:tabs>
              <w:tab w:val="right" w:leader="dot" w:pos="9350"/>
            </w:tabs>
            <w:rPr>
              <w:noProof/>
              <w:kern w:val="2"/>
              <w:lang w:val="en-GB" w:eastAsia="en-GB"/>
              <w14:ligatures w14:val="standardContextual"/>
            </w:rPr>
          </w:pPr>
          <w:hyperlink w:anchor="_Toc227012453" w:history="1">
            <w:r>
              <w:rPr>
                <w:rStyle w:val="Hyperlink"/>
                <w:noProof/>
              </w:rPr>
              <w:t>Research Task</w:t>
            </w:r>
            <w:r>
              <w:rPr>
                <w:noProof/>
                <w:webHidden/>
              </w:rPr>
              <w:tab/>
            </w:r>
            <w:r>
              <w:rPr>
                <w:noProof/>
                <w:webHidden/>
              </w:rPr>
              <w:fldChar w:fldCharType="begin"/>
            </w:r>
            <w:r>
              <w:rPr>
                <w:noProof/>
                <w:webHidden/>
              </w:rPr>
              <w:instrText xml:space="preserve"> PAGEREF _Toc227012453 \h </w:instrText>
            </w:r>
            <w:r>
              <w:rPr>
                <w:noProof/>
                <w:webHidden/>
              </w:rPr>
            </w:r>
            <w:r>
              <w:rPr>
                <w:noProof/>
                <w:webHidden/>
              </w:rPr>
              <w:fldChar w:fldCharType="separate"/>
            </w:r>
            <w:r>
              <w:rPr>
                <w:noProof/>
                <w:webHidden/>
              </w:rPr>
              <w:t>7</w:t>
            </w:r>
            <w:r>
              <w:rPr>
                <w:noProof/>
                <w:webHidden/>
              </w:rPr>
              <w:fldChar w:fldCharType="end"/>
            </w:r>
          </w:hyperlink>
        </w:p>
        <w:p w14:paraId="47F9C1C2" w14:textId="1DEA519A" w:rsidR="00C63A68" w:rsidRDefault="00C63A68">
          <w:pPr>
            <w:pStyle w:val="TOC1"/>
            <w:tabs>
              <w:tab w:val="right" w:leader="dot" w:pos="9350"/>
            </w:tabs>
            <w:rPr>
              <w:noProof/>
              <w:kern w:val="2"/>
              <w:lang w:val="en-GB" w:eastAsia="en-GB"/>
              <w14:ligatures w14:val="standardContextual"/>
            </w:rPr>
          </w:pPr>
          <w:hyperlink w:anchor="_Toc227012454" w:history="1">
            <w:r>
              <w:rPr>
                <w:rStyle w:val="Hyperlink"/>
                <w:noProof/>
              </w:rPr>
              <w:t>Digital Innovation</w:t>
            </w:r>
            <w:r>
              <w:rPr>
                <w:noProof/>
                <w:webHidden/>
              </w:rPr>
              <w:tab/>
            </w:r>
            <w:r>
              <w:rPr>
                <w:noProof/>
                <w:webHidden/>
              </w:rPr>
              <w:fldChar w:fldCharType="begin"/>
            </w:r>
            <w:r>
              <w:rPr>
                <w:noProof/>
                <w:webHidden/>
              </w:rPr>
              <w:instrText xml:space="preserve"> PAGEREF _Toc227012454 \h </w:instrText>
            </w:r>
            <w:r>
              <w:rPr>
                <w:noProof/>
                <w:webHidden/>
              </w:rPr>
            </w:r>
            <w:r>
              <w:rPr>
                <w:noProof/>
                <w:webHidden/>
              </w:rPr>
              <w:fldChar w:fldCharType="separate"/>
            </w:r>
            <w:r>
              <w:rPr>
                <w:noProof/>
                <w:webHidden/>
              </w:rPr>
              <w:t>8</w:t>
            </w:r>
            <w:r>
              <w:rPr>
                <w:noProof/>
                <w:webHidden/>
              </w:rPr>
              <w:fldChar w:fldCharType="end"/>
            </w:r>
          </w:hyperlink>
        </w:p>
        <w:p w14:paraId="538B11C8" w14:textId="3027E803" w:rsidR="00C63A68" w:rsidRDefault="00C63A68">
          <w:pPr>
            <w:pStyle w:val="TOC3"/>
            <w:tabs>
              <w:tab w:val="right" w:leader="dot" w:pos="9350"/>
            </w:tabs>
            <w:rPr>
              <w:noProof/>
              <w:kern w:val="2"/>
              <w:lang w:val="en-GB" w:eastAsia="en-GB"/>
              <w14:ligatures w14:val="standardContextual"/>
            </w:rPr>
          </w:pPr>
          <w:hyperlink w:anchor="_Toc227012455" w:history="1">
            <w:r>
              <w:rPr>
                <w:rStyle w:val="Hyperlink"/>
                <w:rFonts w:ascii="Aptos" w:eastAsia="Aptos" w:hAnsi="Aptos" w:cs="Aptos"/>
                <w:b/>
                <w:bCs/>
                <w:noProof/>
              </w:rPr>
              <w:t>1. Wearable Technology</w:t>
            </w:r>
            <w:r>
              <w:rPr>
                <w:noProof/>
                <w:webHidden/>
              </w:rPr>
              <w:tab/>
            </w:r>
            <w:r>
              <w:rPr>
                <w:noProof/>
                <w:webHidden/>
              </w:rPr>
              <w:fldChar w:fldCharType="begin"/>
            </w:r>
            <w:r>
              <w:rPr>
                <w:noProof/>
                <w:webHidden/>
              </w:rPr>
              <w:instrText xml:space="preserve"> PAGEREF _Toc227012455 \h </w:instrText>
            </w:r>
            <w:r>
              <w:rPr>
                <w:noProof/>
                <w:webHidden/>
              </w:rPr>
            </w:r>
            <w:r>
              <w:rPr>
                <w:noProof/>
                <w:webHidden/>
              </w:rPr>
              <w:fldChar w:fldCharType="separate"/>
            </w:r>
            <w:r>
              <w:rPr>
                <w:noProof/>
                <w:webHidden/>
              </w:rPr>
              <w:t>8</w:t>
            </w:r>
            <w:r>
              <w:rPr>
                <w:noProof/>
                <w:webHidden/>
              </w:rPr>
              <w:fldChar w:fldCharType="end"/>
            </w:r>
          </w:hyperlink>
        </w:p>
        <w:p w14:paraId="19360B7D" w14:textId="436C1CD8" w:rsidR="00C63A68" w:rsidRDefault="00C63A68">
          <w:pPr>
            <w:pStyle w:val="TOC3"/>
            <w:tabs>
              <w:tab w:val="right" w:leader="dot" w:pos="9350"/>
            </w:tabs>
            <w:rPr>
              <w:noProof/>
              <w:kern w:val="2"/>
              <w:lang w:val="en-GB" w:eastAsia="en-GB"/>
              <w14:ligatures w14:val="standardContextual"/>
            </w:rPr>
          </w:pPr>
          <w:hyperlink w:anchor="_Toc227012456" w:history="1">
            <w:r>
              <w:rPr>
                <w:rStyle w:val="Hyperlink"/>
                <w:rFonts w:ascii="Aptos" w:eastAsia="Aptos" w:hAnsi="Aptos" w:cs="Aptos"/>
                <w:b/>
                <w:bCs/>
                <w:noProof/>
              </w:rPr>
              <w:t>2. Electronic Health Records (EHRs)</w:t>
            </w:r>
            <w:r>
              <w:rPr>
                <w:noProof/>
                <w:webHidden/>
              </w:rPr>
              <w:tab/>
            </w:r>
            <w:r>
              <w:rPr>
                <w:noProof/>
                <w:webHidden/>
              </w:rPr>
              <w:fldChar w:fldCharType="begin"/>
            </w:r>
            <w:r>
              <w:rPr>
                <w:noProof/>
                <w:webHidden/>
              </w:rPr>
              <w:instrText xml:space="preserve"> PAGEREF _Toc227012456 \h </w:instrText>
            </w:r>
            <w:r>
              <w:rPr>
                <w:noProof/>
                <w:webHidden/>
              </w:rPr>
            </w:r>
            <w:r>
              <w:rPr>
                <w:noProof/>
                <w:webHidden/>
              </w:rPr>
              <w:fldChar w:fldCharType="separate"/>
            </w:r>
            <w:r>
              <w:rPr>
                <w:noProof/>
                <w:webHidden/>
              </w:rPr>
              <w:t>8</w:t>
            </w:r>
            <w:r>
              <w:rPr>
                <w:noProof/>
                <w:webHidden/>
              </w:rPr>
              <w:fldChar w:fldCharType="end"/>
            </w:r>
          </w:hyperlink>
        </w:p>
        <w:p w14:paraId="4963681E" w14:textId="5472873C" w:rsidR="00C63A68" w:rsidRDefault="00C63A68">
          <w:pPr>
            <w:pStyle w:val="TOC3"/>
            <w:tabs>
              <w:tab w:val="right" w:leader="dot" w:pos="9350"/>
            </w:tabs>
            <w:rPr>
              <w:noProof/>
              <w:kern w:val="2"/>
              <w:lang w:val="en-GB" w:eastAsia="en-GB"/>
              <w14:ligatures w14:val="standardContextual"/>
            </w:rPr>
          </w:pPr>
          <w:hyperlink w:anchor="_Toc227012457" w:history="1">
            <w:r>
              <w:rPr>
                <w:rStyle w:val="Hyperlink"/>
                <w:rFonts w:ascii="Aptos" w:eastAsia="Aptos" w:hAnsi="Aptos" w:cs="Aptos"/>
                <w:b/>
                <w:bCs/>
                <w:noProof/>
              </w:rPr>
              <w:t>3. Preventative Care</w:t>
            </w:r>
            <w:r>
              <w:rPr>
                <w:noProof/>
                <w:webHidden/>
              </w:rPr>
              <w:tab/>
            </w:r>
            <w:r>
              <w:rPr>
                <w:noProof/>
                <w:webHidden/>
              </w:rPr>
              <w:fldChar w:fldCharType="begin"/>
            </w:r>
            <w:r>
              <w:rPr>
                <w:noProof/>
                <w:webHidden/>
              </w:rPr>
              <w:instrText xml:space="preserve"> PAGEREF _Toc227012457 \h </w:instrText>
            </w:r>
            <w:r>
              <w:rPr>
                <w:noProof/>
                <w:webHidden/>
              </w:rPr>
            </w:r>
            <w:r>
              <w:rPr>
                <w:noProof/>
                <w:webHidden/>
              </w:rPr>
              <w:fldChar w:fldCharType="separate"/>
            </w:r>
            <w:r>
              <w:rPr>
                <w:noProof/>
                <w:webHidden/>
              </w:rPr>
              <w:t>8</w:t>
            </w:r>
            <w:r>
              <w:rPr>
                <w:noProof/>
                <w:webHidden/>
              </w:rPr>
              <w:fldChar w:fldCharType="end"/>
            </w:r>
          </w:hyperlink>
        </w:p>
        <w:p w14:paraId="059E1919" w14:textId="44A6981C" w:rsidR="00C63A68" w:rsidRDefault="00C63A68">
          <w:pPr>
            <w:pStyle w:val="TOC1"/>
            <w:tabs>
              <w:tab w:val="right" w:leader="dot" w:pos="9350"/>
            </w:tabs>
            <w:rPr>
              <w:noProof/>
              <w:kern w:val="2"/>
              <w:lang w:val="en-GB" w:eastAsia="en-GB"/>
              <w14:ligatures w14:val="standardContextual"/>
            </w:rPr>
          </w:pPr>
          <w:hyperlink w:anchor="_Toc227012458" w:history="1">
            <w:r>
              <w:rPr>
                <w:rStyle w:val="Hyperlink"/>
                <w:noProof/>
              </w:rPr>
              <w:t>NHS Leadership Framework</w:t>
            </w:r>
            <w:r>
              <w:rPr>
                <w:noProof/>
                <w:webHidden/>
              </w:rPr>
              <w:tab/>
            </w:r>
            <w:r>
              <w:rPr>
                <w:noProof/>
                <w:webHidden/>
              </w:rPr>
              <w:fldChar w:fldCharType="begin"/>
            </w:r>
            <w:r>
              <w:rPr>
                <w:noProof/>
                <w:webHidden/>
              </w:rPr>
              <w:instrText xml:space="preserve"> PAGEREF _Toc227012458 \h </w:instrText>
            </w:r>
            <w:r>
              <w:rPr>
                <w:noProof/>
                <w:webHidden/>
              </w:rPr>
            </w:r>
            <w:r>
              <w:rPr>
                <w:noProof/>
                <w:webHidden/>
              </w:rPr>
              <w:fldChar w:fldCharType="separate"/>
            </w:r>
            <w:r>
              <w:rPr>
                <w:noProof/>
                <w:webHidden/>
              </w:rPr>
              <w:t>9</w:t>
            </w:r>
            <w:r>
              <w:rPr>
                <w:noProof/>
                <w:webHidden/>
              </w:rPr>
              <w:fldChar w:fldCharType="end"/>
            </w:r>
          </w:hyperlink>
        </w:p>
        <w:p w14:paraId="1D359187" w14:textId="4705E200" w:rsidR="00C63A68" w:rsidRDefault="00C63A68">
          <w:pPr>
            <w:pStyle w:val="TOC1"/>
            <w:tabs>
              <w:tab w:val="right" w:leader="dot" w:pos="9350"/>
            </w:tabs>
            <w:rPr>
              <w:noProof/>
              <w:kern w:val="2"/>
              <w:lang w:val="en-GB" w:eastAsia="en-GB"/>
              <w14:ligatures w14:val="standardContextual"/>
            </w:rPr>
          </w:pPr>
          <w:hyperlink w:anchor="_Toc227012459" w:history="1">
            <w:r>
              <w:rPr>
                <w:rStyle w:val="Hyperlink"/>
                <w:noProof/>
              </w:rPr>
              <w:t>Reflection Journal</w:t>
            </w:r>
            <w:r>
              <w:rPr>
                <w:noProof/>
                <w:webHidden/>
              </w:rPr>
              <w:tab/>
            </w:r>
            <w:r>
              <w:rPr>
                <w:noProof/>
                <w:webHidden/>
              </w:rPr>
              <w:fldChar w:fldCharType="begin"/>
            </w:r>
            <w:r>
              <w:rPr>
                <w:noProof/>
                <w:webHidden/>
              </w:rPr>
              <w:instrText xml:space="preserve"> PAGEREF _Toc227012459 \h </w:instrText>
            </w:r>
            <w:r>
              <w:rPr>
                <w:noProof/>
                <w:webHidden/>
              </w:rPr>
            </w:r>
            <w:r>
              <w:rPr>
                <w:noProof/>
                <w:webHidden/>
              </w:rPr>
              <w:fldChar w:fldCharType="separate"/>
            </w:r>
            <w:r>
              <w:rPr>
                <w:noProof/>
                <w:webHidden/>
              </w:rPr>
              <w:t>9</w:t>
            </w:r>
            <w:r>
              <w:rPr>
                <w:noProof/>
                <w:webHidden/>
              </w:rPr>
              <w:fldChar w:fldCharType="end"/>
            </w:r>
          </w:hyperlink>
        </w:p>
        <w:p w14:paraId="2B1C996C" w14:textId="10FF0B59" w:rsidR="00C63A68" w:rsidRDefault="00C63A68">
          <w:pPr>
            <w:pStyle w:val="TOC1"/>
            <w:tabs>
              <w:tab w:val="right" w:leader="dot" w:pos="9350"/>
            </w:tabs>
            <w:rPr>
              <w:noProof/>
              <w:kern w:val="2"/>
              <w:lang w:val="en-GB" w:eastAsia="en-GB"/>
              <w14:ligatures w14:val="standardContextual"/>
            </w:rPr>
          </w:pPr>
          <w:hyperlink w:anchor="_Toc227012460" w:history="1">
            <w:r>
              <w:rPr>
                <w:rStyle w:val="Hyperlink"/>
                <w:rFonts w:eastAsia="Aptos"/>
                <w:noProof/>
              </w:rPr>
              <w:t>Reference</w:t>
            </w:r>
            <w:r>
              <w:rPr>
                <w:noProof/>
                <w:webHidden/>
              </w:rPr>
              <w:tab/>
            </w:r>
            <w:r>
              <w:rPr>
                <w:noProof/>
                <w:webHidden/>
              </w:rPr>
              <w:fldChar w:fldCharType="begin"/>
            </w:r>
            <w:r>
              <w:rPr>
                <w:noProof/>
                <w:webHidden/>
              </w:rPr>
              <w:instrText xml:space="preserve"> PAGEREF _Toc227012460 \h </w:instrText>
            </w:r>
            <w:r>
              <w:rPr>
                <w:noProof/>
                <w:webHidden/>
              </w:rPr>
            </w:r>
            <w:r>
              <w:rPr>
                <w:noProof/>
                <w:webHidden/>
              </w:rPr>
              <w:fldChar w:fldCharType="separate"/>
            </w:r>
            <w:r>
              <w:rPr>
                <w:noProof/>
                <w:webHidden/>
              </w:rPr>
              <w:t>11</w:t>
            </w:r>
            <w:r>
              <w:rPr>
                <w:noProof/>
                <w:webHidden/>
              </w:rPr>
              <w:fldChar w:fldCharType="end"/>
            </w:r>
          </w:hyperlink>
        </w:p>
        <w:p w14:paraId="7182283C" w14:textId="23631B18" w:rsidR="00C63A68" w:rsidRDefault="00C63A68">
          <w:r>
            <w:rPr>
              <w:b/>
              <w:bCs/>
            </w:rPr>
            <w:fldChar w:fldCharType="end"/>
          </w:r>
        </w:p>
      </w:sdtContent>
    </w:sdt>
    <w:p w14:paraId="3C38BCEE" w14:textId="17670EBB" w:rsidR="00C63A68" w:rsidRDefault="00C63A68">
      <w:pPr>
        <w:rPr>
          <w:rFonts w:asciiTheme="majorHAnsi" w:eastAsiaTheme="majorEastAsia" w:hAnsiTheme="majorHAnsi" w:cstheme="majorBidi"/>
          <w:color w:val="0F4761" w:themeColor="accent1" w:themeShade="BF"/>
          <w:sz w:val="40"/>
          <w:szCs w:val="40"/>
        </w:rPr>
      </w:pPr>
      <w:r>
        <w:br w:type="page"/>
      </w:r>
    </w:p>
    <w:p w14:paraId="0F88F856" w14:textId="6C5CB92C" w:rsidR="0046583C" w:rsidRPr="00C63A68" w:rsidRDefault="0046583C" w:rsidP="00C63A68">
      <w:pPr>
        <w:pStyle w:val="Heading1"/>
      </w:pPr>
      <w:bookmarkStart w:id="0" w:name="_Toc227012448"/>
      <w:r>
        <w:lastRenderedPageBreak/>
        <w:t>Introduction</w:t>
      </w:r>
      <w:bookmarkEnd w:id="0"/>
    </w:p>
    <w:p w14:paraId="4DA46806" w14:textId="77777777" w:rsidR="00AB7C5F" w:rsidRPr="00AB7C5F" w:rsidRDefault="00AB7C5F" w:rsidP="00AB7C5F">
      <w:pPr>
        <w:pStyle w:val="Heading2"/>
        <w:spacing w:before="299" w:after="299"/>
        <w:jc w:val="both"/>
        <w:rPr>
          <w:rFonts w:asciiTheme="minorHAnsi" w:eastAsiaTheme="minorEastAsia" w:hAnsiTheme="minorHAnsi" w:cstheme="minorBidi"/>
          <w:color w:val="auto"/>
          <w:sz w:val="24"/>
          <w:szCs w:val="24"/>
        </w:rPr>
      </w:pPr>
      <w:r w:rsidRPr="00AB7C5F">
        <w:rPr>
          <w:rFonts w:asciiTheme="minorHAnsi" w:eastAsiaTheme="minorEastAsia" w:hAnsiTheme="minorHAnsi" w:cstheme="minorBidi"/>
          <w:color w:val="auto"/>
          <w:sz w:val="24"/>
          <w:szCs w:val="24"/>
        </w:rPr>
        <w:t>The present portfolio has been developed as a part of BMHP5014 Changemakers: Creativity and Value Creation module. It encompasses a number of assignments related to the issues of innovation, creativity, value creation, change, and digital technologies in terms of health and social care. Each assignment illustrates the results of interaction with the material provided by the module during the week.</w:t>
      </w:r>
    </w:p>
    <w:p w14:paraId="216DE222" w14:textId="37379FEC" w:rsidR="0046583C" w:rsidRDefault="00AB7C5F" w:rsidP="00AB7C5F">
      <w:pPr>
        <w:pStyle w:val="Heading2"/>
        <w:spacing w:before="299" w:after="299"/>
        <w:jc w:val="both"/>
        <w:rPr>
          <w:b/>
          <w:bCs/>
          <w:color w:val="auto"/>
          <w:sz w:val="36"/>
          <w:szCs w:val="36"/>
        </w:rPr>
      </w:pPr>
      <w:r w:rsidRPr="00AB7C5F">
        <w:rPr>
          <w:rFonts w:asciiTheme="minorHAnsi" w:eastAsiaTheme="minorEastAsia" w:hAnsiTheme="minorHAnsi" w:cstheme="minorBidi"/>
          <w:color w:val="auto"/>
          <w:sz w:val="24"/>
          <w:szCs w:val="24"/>
        </w:rPr>
        <w:t>The UK health and social care sector experiences great pressure due to growing demand, workforce shortage, and the need to enhance performance while minimizing resources. The ability to understand how creativity and innovation lead to value creation in such a challenging situation is not just important for academic purposes; it is crucial in professional terms. Thus, the aim of this portfolio is to prove that I am able to apply theoretical knowledge to practical situations.</w:t>
      </w:r>
    </w:p>
    <w:p w14:paraId="0128B4B7" w14:textId="0C61DD27" w:rsidR="002B6382" w:rsidRPr="00231837" w:rsidRDefault="0712C945" w:rsidP="00C63A68">
      <w:pPr>
        <w:pStyle w:val="Heading1"/>
      </w:pPr>
      <w:bookmarkStart w:id="1" w:name="_Toc227012449"/>
      <w:r>
        <w:t>Defining Key Concepts in Practice</w:t>
      </w:r>
      <w:bookmarkEnd w:id="1"/>
      <w:r>
        <w:t xml:space="preserve"> </w:t>
      </w:r>
    </w:p>
    <w:p w14:paraId="1D4FE2B6" w14:textId="77777777" w:rsidR="00AB7C5F" w:rsidRPr="00AB7C5F" w:rsidRDefault="00AB7C5F" w:rsidP="00AB7C5F">
      <w:pPr>
        <w:spacing w:before="240" w:after="240"/>
        <w:jc w:val="both"/>
        <w:rPr>
          <w:b/>
          <w:bCs/>
        </w:rPr>
      </w:pPr>
      <w:r w:rsidRPr="00AB7C5F">
        <w:rPr>
          <w:b/>
          <w:bCs/>
        </w:rPr>
        <w:t>Innovation</w:t>
      </w:r>
    </w:p>
    <w:p w14:paraId="1CB92ECB" w14:textId="77777777" w:rsidR="00AB7C5F" w:rsidRPr="00AB7C5F" w:rsidRDefault="00AB7C5F" w:rsidP="00AB7C5F">
      <w:pPr>
        <w:spacing w:before="240" w:after="240"/>
        <w:jc w:val="both"/>
      </w:pPr>
      <w:r w:rsidRPr="00AB7C5F">
        <w:t>Innovation is defined as the process by which new ideas, services or approaches are developed and implemented to achieve better results (Rogers, 2003). Innovation is a necessary process in health and social care that addresses issues such as rising demands and scarce resources. For example, the adoption of online consultations within the NHS has improved access to health services. Rogers’ Diffusion of Innovations Theory explains the process through which innovations are adopted (Rogers, 2003).</w:t>
      </w:r>
    </w:p>
    <w:p w14:paraId="0744F0F3" w14:textId="77777777" w:rsidR="00AB7C5F" w:rsidRPr="00AB7C5F" w:rsidRDefault="00AB7C5F" w:rsidP="00AB7C5F">
      <w:pPr>
        <w:spacing w:before="240" w:after="240"/>
        <w:jc w:val="both"/>
        <w:rPr>
          <w:b/>
          <w:bCs/>
        </w:rPr>
      </w:pPr>
      <w:r w:rsidRPr="00AB7C5F">
        <w:rPr>
          <w:b/>
          <w:bCs/>
        </w:rPr>
        <w:t>Creativity</w:t>
      </w:r>
    </w:p>
    <w:p w14:paraId="7ADC4D86" w14:textId="77777777" w:rsidR="00AB7C5F" w:rsidRPr="00AB7C5F" w:rsidRDefault="00AB7C5F" w:rsidP="00AB7C5F">
      <w:pPr>
        <w:spacing w:before="240" w:after="240"/>
        <w:jc w:val="both"/>
      </w:pPr>
      <w:r w:rsidRPr="00AB7C5F">
        <w:t>Creativity is concerned with the generation of new and creative ideas that solve problems and/or enhance services (Amabile, 1996). In the field of health and social care, creativity is used to develop effective solutions that benefit patients. For instance, care workers create personalized care plans for different clients. Amabile suggests that creativity arises from one's knowledge, abilities and motivation (Amabile, 1996).</w:t>
      </w:r>
    </w:p>
    <w:p w14:paraId="7097172C" w14:textId="77777777" w:rsidR="00AB7C5F" w:rsidRPr="00AB7C5F" w:rsidRDefault="00AB7C5F" w:rsidP="00AB7C5F">
      <w:pPr>
        <w:spacing w:before="240" w:after="240"/>
        <w:jc w:val="both"/>
        <w:rPr>
          <w:b/>
          <w:bCs/>
        </w:rPr>
      </w:pPr>
    </w:p>
    <w:p w14:paraId="56FA7E00" w14:textId="77777777" w:rsidR="00AB7C5F" w:rsidRDefault="00AB7C5F" w:rsidP="00AB7C5F">
      <w:pPr>
        <w:spacing w:before="240" w:after="240"/>
        <w:jc w:val="both"/>
        <w:rPr>
          <w:b/>
          <w:bCs/>
        </w:rPr>
      </w:pPr>
    </w:p>
    <w:p w14:paraId="12EBEAD7" w14:textId="77777777" w:rsidR="00AB7C5F" w:rsidRDefault="00AB7C5F" w:rsidP="00AB7C5F">
      <w:pPr>
        <w:spacing w:before="240" w:after="240"/>
        <w:jc w:val="both"/>
        <w:rPr>
          <w:b/>
          <w:bCs/>
        </w:rPr>
      </w:pPr>
    </w:p>
    <w:p w14:paraId="6F60D8CF" w14:textId="62C0A0F6" w:rsidR="00AB7C5F" w:rsidRPr="00AB7C5F" w:rsidRDefault="00AB7C5F" w:rsidP="00AB7C5F">
      <w:pPr>
        <w:spacing w:before="240" w:after="240"/>
        <w:jc w:val="both"/>
        <w:rPr>
          <w:b/>
          <w:bCs/>
        </w:rPr>
      </w:pPr>
      <w:r w:rsidRPr="00AB7C5F">
        <w:rPr>
          <w:b/>
          <w:bCs/>
        </w:rPr>
        <w:lastRenderedPageBreak/>
        <w:t>Value Creation</w:t>
      </w:r>
    </w:p>
    <w:p w14:paraId="06F5ED61" w14:textId="716A77B4" w:rsidR="002B6382" w:rsidRPr="00AB7C5F" w:rsidRDefault="00AB7C5F" w:rsidP="00AB7C5F">
      <w:pPr>
        <w:spacing w:before="240" w:after="240"/>
        <w:jc w:val="both"/>
      </w:pPr>
      <w:r w:rsidRPr="00AB7C5F">
        <w:t>Value creation means improvement of results while making efficient use of resources (Porter, 2010). In healthcare, value creation is achieved when the quality of results is greater than the cost. For example, preventative care leads to less admissions to hospitals and promotes better health results. The value-based model of healthcare developed by Porter stresses the importance of patient results (Porter, 2010).</w:t>
      </w:r>
    </w:p>
    <w:p w14:paraId="1011B363" w14:textId="648D390A" w:rsidR="002B6382" w:rsidRPr="00231837" w:rsidRDefault="0712C945" w:rsidP="00E215A1">
      <w:pPr>
        <w:spacing w:before="240" w:after="240"/>
        <w:jc w:val="both"/>
      </w:pPr>
      <w:r>
        <w:rPr>
          <w:b/>
          <w:bCs/>
        </w:rPr>
        <w:t>Change</w:t>
      </w:r>
      <w:r>
        <w:br/>
        <w:t xml:space="preserve"> Change involves transitioning from current practices to improved ways of working (Burnes, 2017). In health and social care, change is necessary to improve service quality and adapt to new challenges. For example, implementing electronic health records requires organisational change. Lewin’s Change Management Model explains this through stages of unfreezing, changing, and refreezing (Burnes, 2017).</w:t>
      </w:r>
    </w:p>
    <w:p w14:paraId="2F39F5A7" w14:textId="7EB1385B" w:rsidR="002B6382" w:rsidRPr="00231837" w:rsidRDefault="002B6382" w:rsidP="00E215A1">
      <w:pPr>
        <w:jc w:val="both"/>
      </w:pPr>
    </w:p>
    <w:p w14:paraId="095F3035" w14:textId="61F094B7" w:rsidR="002B6382" w:rsidRPr="00231837" w:rsidRDefault="00000000" w:rsidP="00E215A1">
      <w:pPr>
        <w:spacing w:before="322" w:after="322"/>
        <w:jc w:val="both"/>
      </w:pPr>
      <w:r>
        <w:br w:type="page"/>
      </w:r>
    </w:p>
    <w:p w14:paraId="6008A749" w14:textId="6F094A8B" w:rsidR="002B6382" w:rsidRPr="00C63A68" w:rsidRDefault="20380906" w:rsidP="00C63A68">
      <w:pPr>
        <w:pStyle w:val="Heading1"/>
      </w:pPr>
      <w:r>
        <w:lastRenderedPageBreak/>
        <w:t xml:space="preserve"> </w:t>
      </w:r>
      <w:bookmarkStart w:id="2" w:name="_Toc227012450"/>
      <w:r>
        <w:t>Mind Map Explanation</w:t>
      </w:r>
      <w:bookmarkEnd w:id="2"/>
      <w:r>
        <w:t xml:space="preserve"> </w:t>
      </w:r>
    </w:p>
    <w:p w14:paraId="122A2AD8" w14:textId="5F73714C" w:rsidR="002B6382" w:rsidRPr="00231837" w:rsidRDefault="3C458001" w:rsidP="00E215A1">
      <w:pPr>
        <w:spacing w:before="240" w:after="240"/>
        <w:jc w:val="both"/>
        <w:rPr>
          <w:rFonts w:ascii="Aptos" w:eastAsia="Aptos" w:hAnsi="Aptos" w:cs="Aptos"/>
        </w:rPr>
      </w:pPr>
      <w:r>
        <w:rPr>
          <w:rFonts w:ascii="Aptos" w:eastAsia="Aptos" w:hAnsi="Aptos" w:cs="Aptos"/>
        </w:rPr>
        <w:t xml:space="preserve">The identified problem is </w:t>
      </w:r>
      <w:r>
        <w:rPr>
          <w:rFonts w:ascii="Aptos" w:eastAsia="Aptos" w:hAnsi="Aptos" w:cs="Aptos"/>
          <w:b/>
          <w:bCs/>
        </w:rPr>
        <w:t>long waiting times in NHS services</w:t>
      </w:r>
      <w:r>
        <w:rPr>
          <w:rFonts w:ascii="Aptos" w:eastAsia="Aptos" w:hAnsi="Aptos" w:cs="Aptos"/>
        </w:rPr>
        <w:t>, which significantly affect patient outcomes and satisfaction. Delays in treatment can lead to worsening health conditions and increased pressure on emergency services.</w:t>
      </w:r>
    </w:p>
    <w:p w14:paraId="6415261E" w14:textId="0B0B5A60" w:rsidR="00E215A1" w:rsidRPr="00231837" w:rsidRDefault="00E215A1" w:rsidP="00E215A1">
      <w:pPr>
        <w:spacing w:before="240" w:after="240"/>
        <w:jc w:val="both"/>
        <w:rPr>
          <w:rFonts w:ascii="Aptos" w:eastAsia="Aptos" w:hAnsi="Aptos" w:cs="Aptos"/>
          <w:b/>
          <w:bCs/>
        </w:rPr>
      </w:pPr>
      <w:r>
        <w:rPr>
          <w:rFonts w:ascii="Aptos" w:eastAsia="Aptos" w:hAnsi="Aptos" w:cs="Aptos"/>
          <w:b/>
          <w:bCs/>
          <w:noProof/>
        </w:rPr>
        <w:drawing>
          <wp:inline distT="0" distB="0" distL="0" distR="0" wp14:anchorId="4D96C953" wp14:editId="361DF8AA">
            <wp:extent cx="5943600" cy="3962400"/>
            <wp:effectExtent l="0" t="0" r="0" b="0"/>
            <wp:docPr id="65569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697031" name="Picture 65569703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3C20BA85" w14:textId="3DABD752" w:rsidR="002B6382" w:rsidRPr="00231837" w:rsidRDefault="007C6E59" w:rsidP="00E215A1">
      <w:pPr>
        <w:spacing w:before="240" w:after="240"/>
        <w:jc w:val="both"/>
      </w:pPr>
      <w:r w:rsidRPr="007C6E59">
        <w:rPr>
          <w:rFonts w:ascii="Aptos" w:eastAsia="Aptos" w:hAnsi="Aptos" w:cs="Aptos"/>
        </w:rPr>
        <w:t>The chosen problem is the long waiting time for health and social care, which directly affects patient outcomes. This problem is important due to its significant influence on patients’ outcomes, increasing health risks, and placing more pressure on emergency services. The mind map indicates the main factors contributing to this problem. They involve shortage of the staff, high demands of the patients, and lack of effective administrative process.</w:t>
      </w:r>
      <w:r w:rsidRPr="007C6E59">
        <w:rPr>
          <w:rFonts w:ascii="Aptos" w:eastAsia="Aptos" w:hAnsi="Aptos" w:cs="Aptos"/>
        </w:rPr>
        <w:br/>
        <w:t>In addition, this problem will have negative consequences for both parties, including patient dissatisfaction, stress and burnout among staff members, and lower quality of healthcare services. The solution to this problem includes introducing effective digital triaging system and telemedicine services. Systems thinking refers to understanding of how these factors interconnect in the context of the healthcare system. (Meadows, 2008; NHS England, 2023a).</w:t>
      </w:r>
      <w:r w:rsidRPr="007C6E59">
        <w:rPr>
          <w:rFonts w:ascii="Aptos" w:eastAsia="Aptos" w:hAnsi="Aptos" w:cs="Aptos"/>
        </w:rPr>
        <w:br/>
      </w:r>
      <w:r w:rsidRPr="007C6E59">
        <w:rPr>
          <w:rFonts w:ascii="Aptos" w:eastAsia="Aptos" w:hAnsi="Aptos" w:cs="Aptos"/>
        </w:rPr>
        <w:br/>
      </w:r>
      <w:r w:rsidRPr="007C6E59">
        <w:rPr>
          <w:rFonts w:ascii="Aptos" w:eastAsia="Aptos" w:hAnsi="Aptos" w:cs="Aptos"/>
        </w:rPr>
        <w:lastRenderedPageBreak/>
        <w:t>Causes highlighted in the mind map include insufficient staffing, patient volume, and inefficiencies in the administration process. All of these are interlinked, creating a vicious cycle. Consequences of these problems include patients’ dissatisfaction, burnout among medical professionals, and rising expenses in healthcare. Potential solutions to be implemented include digital triaging technology, effective workforce management, and utilizing telehealth services. Systems thinking theory helps us understand why these problems occur from an interconnected point of view, which means that there is no one specific cause for them (Meadows, 2008).</w:t>
      </w:r>
    </w:p>
    <w:p w14:paraId="1F19911F" w14:textId="32A6180D" w:rsidR="002B6382" w:rsidRPr="00C63A68" w:rsidRDefault="20380906" w:rsidP="00C63A68">
      <w:pPr>
        <w:pStyle w:val="Heading1"/>
      </w:pPr>
      <w:r>
        <w:t xml:space="preserve"> </w:t>
      </w:r>
      <w:bookmarkStart w:id="3" w:name="_Toc227012451"/>
      <w:r>
        <w:t>Self Reflection</w:t>
      </w:r>
      <w:bookmarkEnd w:id="3"/>
      <w:r>
        <w:t xml:space="preserve"> </w:t>
      </w:r>
    </w:p>
    <w:p w14:paraId="38E4737F" w14:textId="77777777" w:rsidR="00AB7C5F" w:rsidRPr="00AB7C5F" w:rsidRDefault="00AB7C5F" w:rsidP="00AB7C5F">
      <w:pPr>
        <w:spacing w:before="240" w:after="240"/>
        <w:jc w:val="both"/>
        <w:rPr>
          <w:rFonts w:ascii="Aptos" w:eastAsia="Aptos" w:hAnsi="Aptos" w:cs="Aptos"/>
        </w:rPr>
      </w:pPr>
      <w:r w:rsidRPr="00AB7C5F">
        <w:rPr>
          <w:rFonts w:ascii="Aptos" w:eastAsia="Aptos" w:hAnsi="Aptos" w:cs="Aptos"/>
        </w:rPr>
        <w:t>The current reflective journal is guided by Gibbs’ Reflective Cycle (1988). The cycle consists of description, feelings, evaluation, analysis, conclusion, and action plan stages. Divergent thinking is defined as generating various options for solving problems, while convergent thinking is defined as selecting the best option from the generated ideas (Amabile, 1996). Gibbs’ Reflective Cycle is derived from the Experiential Learning Cycle introduced by Kolb (1984). According to Kolb, experiential learning occurs through reflection and concrete experience.</w:t>
      </w:r>
    </w:p>
    <w:p w14:paraId="2F2FA1EF" w14:textId="77777777" w:rsidR="00AB7C5F" w:rsidRPr="00AB7C5F" w:rsidRDefault="00AB7C5F" w:rsidP="00AB7C5F">
      <w:pPr>
        <w:spacing w:before="240" w:after="240"/>
        <w:jc w:val="both"/>
        <w:rPr>
          <w:rFonts w:ascii="Aptos" w:eastAsia="Aptos" w:hAnsi="Aptos" w:cs="Aptos"/>
        </w:rPr>
      </w:pPr>
      <w:r w:rsidRPr="00AB7C5F">
        <w:rPr>
          <w:rFonts w:ascii="Aptos" w:eastAsia="Aptos" w:hAnsi="Aptos" w:cs="Aptos"/>
        </w:rPr>
        <w:t>While working in a group in the exercise, I facilitated the process of idea generation. Nevertheless, I found it difficult to proceed to the stage of decision-making in convergent thinking. I have come to understand that I am biased towards divergent thinking.</w:t>
      </w:r>
    </w:p>
    <w:p w14:paraId="76E7260D" w14:textId="51641CA6" w:rsidR="002B6382" w:rsidRPr="00231837" w:rsidRDefault="00AB7C5F" w:rsidP="00AB7C5F">
      <w:pPr>
        <w:spacing w:before="240" w:after="240"/>
        <w:jc w:val="both"/>
      </w:pPr>
      <w:r w:rsidRPr="00AB7C5F">
        <w:rPr>
          <w:rFonts w:ascii="Aptos" w:eastAsia="Aptos" w:hAnsi="Aptos" w:cs="Aptos"/>
        </w:rPr>
        <w:t>Through the activity, I gained an insight into the importance of combining both divergent and convergent thinking when working in teams. Divergent thinking promotes creativity and idea generation, while convergent thinking facilitates making sound decisions.</w:t>
      </w:r>
    </w:p>
    <w:p w14:paraId="60A7EDD6" w14:textId="7CDBB1FA" w:rsidR="002B6382" w:rsidRPr="00231837" w:rsidRDefault="3A1EA3E8" w:rsidP="00E215A1">
      <w:pPr>
        <w:spacing w:before="240" w:after="240"/>
        <w:jc w:val="both"/>
      </w:pPr>
      <w:r>
        <w:rPr>
          <w:rFonts w:ascii="Aptos" w:eastAsia="Aptos" w:hAnsi="Aptos" w:cs="Aptos"/>
        </w:rPr>
        <w:t>One strength was my ability to contribute creative ideas, but a limitation was my hesitation in decision-making. In future, I would aim to participate more actively in evaluating ideas and support group consensus. This experience has improved my awareness of teamwork and decision-making skills in professional practice (Gibbs, 1988).</w:t>
      </w:r>
    </w:p>
    <w:p w14:paraId="053AB6E6" w14:textId="58DB13C3" w:rsidR="002B6382" w:rsidRPr="00C63A68" w:rsidRDefault="20380906" w:rsidP="00C63A68">
      <w:pPr>
        <w:pStyle w:val="Heading1"/>
      </w:pPr>
      <w:r>
        <w:lastRenderedPageBreak/>
        <w:t xml:space="preserve"> </w:t>
      </w:r>
      <w:bookmarkStart w:id="4" w:name="_Toc227012452"/>
      <w:r>
        <w:t>Case Study</w:t>
      </w:r>
      <w:bookmarkEnd w:id="4"/>
      <w:r>
        <w:t xml:space="preserve"> </w:t>
      </w:r>
    </w:p>
    <w:p w14:paraId="3AB82F1E" w14:textId="77777777" w:rsidR="007C6E59" w:rsidRPr="007C6E59" w:rsidRDefault="007C6E59" w:rsidP="007C6E59">
      <w:pPr>
        <w:pStyle w:val="Heading1"/>
        <w:rPr>
          <w:rFonts w:ascii="Aptos" w:eastAsia="Aptos" w:hAnsi="Aptos" w:cs="Aptos"/>
          <w:color w:val="auto"/>
          <w:sz w:val="24"/>
          <w:szCs w:val="24"/>
        </w:rPr>
      </w:pPr>
      <w:r w:rsidRPr="007C6E59">
        <w:rPr>
          <w:rFonts w:ascii="Aptos" w:eastAsia="Aptos" w:hAnsi="Aptos" w:cs="Aptos"/>
          <w:color w:val="auto"/>
          <w:sz w:val="24"/>
          <w:szCs w:val="24"/>
        </w:rPr>
        <w:t>One innovation used in the UK is that of virtual wards in the NHS. They aimed to reduce pressure in hospitals by delivering better care to patients.</w:t>
      </w:r>
    </w:p>
    <w:p w14:paraId="46F45675" w14:textId="77777777" w:rsidR="007C6E59" w:rsidRPr="007C6E59" w:rsidRDefault="007C6E59" w:rsidP="007C6E59">
      <w:pPr>
        <w:pStyle w:val="Heading1"/>
        <w:rPr>
          <w:rFonts w:ascii="Aptos" w:eastAsia="Aptos" w:hAnsi="Aptos" w:cs="Aptos"/>
          <w:color w:val="auto"/>
          <w:sz w:val="24"/>
          <w:szCs w:val="24"/>
        </w:rPr>
      </w:pPr>
      <w:r w:rsidRPr="007C6E59">
        <w:rPr>
          <w:rFonts w:ascii="Aptos" w:eastAsia="Aptos" w:hAnsi="Aptos" w:cs="Aptos"/>
          <w:color w:val="auto"/>
          <w:sz w:val="24"/>
          <w:szCs w:val="24"/>
        </w:rPr>
        <w:t>Creativity was an essential component of this innovative idea since it used technology to keep tabs on patients while they are outside of the hospital. Herein, creativity involves combining health care services with technology.</w:t>
      </w:r>
    </w:p>
    <w:p w14:paraId="26A5A810" w14:textId="77777777" w:rsidR="007C6E59" w:rsidRPr="007C6E59" w:rsidRDefault="007C6E59" w:rsidP="007C6E59">
      <w:pPr>
        <w:pStyle w:val="Heading1"/>
        <w:rPr>
          <w:rFonts w:ascii="Aptos" w:eastAsia="Aptos" w:hAnsi="Aptos" w:cs="Aptos"/>
          <w:color w:val="auto"/>
          <w:sz w:val="24"/>
          <w:szCs w:val="24"/>
        </w:rPr>
      </w:pPr>
      <w:r w:rsidRPr="007C6E59">
        <w:rPr>
          <w:rFonts w:ascii="Aptos" w:eastAsia="Aptos" w:hAnsi="Aptos" w:cs="Aptos"/>
          <w:color w:val="auto"/>
          <w:sz w:val="24"/>
          <w:szCs w:val="24"/>
        </w:rPr>
        <w:t>There are several values added through this innovation. First, it ensures the patient’s comfort while providing better healthcare services. Additionally, it allows for better resource management by the NHS since fewer people require hospital admission.</w:t>
      </w:r>
    </w:p>
    <w:p w14:paraId="18EA6235" w14:textId="77777777" w:rsidR="007C6E59" w:rsidRDefault="007C6E59" w:rsidP="007C6E59">
      <w:pPr>
        <w:pStyle w:val="Heading1"/>
        <w:rPr>
          <w:rFonts w:ascii="Aptos" w:eastAsia="Aptos" w:hAnsi="Aptos" w:cs="Aptos"/>
          <w:color w:val="auto"/>
          <w:sz w:val="24"/>
          <w:szCs w:val="24"/>
        </w:rPr>
      </w:pPr>
      <w:r w:rsidRPr="007C6E59">
        <w:rPr>
          <w:rFonts w:ascii="Aptos" w:eastAsia="Aptos" w:hAnsi="Aptos" w:cs="Aptos"/>
          <w:color w:val="auto"/>
          <w:sz w:val="24"/>
          <w:szCs w:val="24"/>
        </w:rPr>
        <w:t>According to the Diffusion of Innovation Theory, innovations need to provide evidence that they are beneficial and easy to adopt (Rogers, 2003). In this case, virtual wards have been successful in improving patient experiences, reducing hospital stays, and ensuring patients receive better quality services. According to NHS England (2023a), virtual wards have resulted in shorter stays and satisfied patients.</w:t>
      </w:r>
    </w:p>
    <w:p w14:paraId="71F02BAD" w14:textId="2D3D04B5" w:rsidR="002B6382" w:rsidRPr="00C63A68" w:rsidRDefault="20380906" w:rsidP="007C6E59">
      <w:pPr>
        <w:pStyle w:val="Heading1"/>
      </w:pPr>
      <w:r>
        <w:t xml:space="preserve"> </w:t>
      </w:r>
      <w:bookmarkStart w:id="5" w:name="_Toc227012453"/>
      <w:r>
        <w:t>Research Task</w:t>
      </w:r>
      <w:bookmarkEnd w:id="5"/>
    </w:p>
    <w:p w14:paraId="1F18AFAD" w14:textId="77777777" w:rsidR="00A302CD" w:rsidRPr="00A302CD" w:rsidRDefault="00A302CD" w:rsidP="00A302CD">
      <w:pPr>
        <w:spacing w:before="240" w:after="240"/>
        <w:jc w:val="both"/>
        <w:rPr>
          <w:rFonts w:ascii="Aptos" w:eastAsia="Aptos" w:hAnsi="Aptos" w:cs="Aptos"/>
        </w:rPr>
      </w:pPr>
      <w:r w:rsidRPr="00A302CD">
        <w:rPr>
          <w:rFonts w:ascii="Aptos" w:eastAsia="Aptos" w:hAnsi="Aptos" w:cs="Aptos"/>
        </w:rPr>
        <w:t xml:space="preserve">Another problem currently plaguing health and social care is employee burnout. According to Maslach &amp; Leiter (2016), some of the main drivers of employee burnout include overwork, emotional exhaustion, and inadequate </w:t>
      </w:r>
      <w:proofErr w:type="spellStart"/>
      <w:r w:rsidRPr="00A302CD">
        <w:rPr>
          <w:rFonts w:ascii="Aptos" w:eastAsia="Aptos" w:hAnsi="Aptos" w:cs="Aptos"/>
        </w:rPr>
        <w:t>organisational</w:t>
      </w:r>
      <w:proofErr w:type="spellEnd"/>
      <w:r w:rsidRPr="00A302CD">
        <w:rPr>
          <w:rFonts w:ascii="Aptos" w:eastAsia="Aptos" w:hAnsi="Aptos" w:cs="Aptos"/>
        </w:rPr>
        <w:t xml:space="preserve"> support. From their research, it is evident that burnout results in decreased employee efficiency and increased turnover rates.</w:t>
      </w:r>
    </w:p>
    <w:p w14:paraId="11184D8D" w14:textId="77777777" w:rsidR="00A302CD" w:rsidRPr="00A302CD" w:rsidRDefault="00A302CD" w:rsidP="00A302CD">
      <w:pPr>
        <w:spacing w:before="240" w:after="240"/>
        <w:jc w:val="both"/>
        <w:rPr>
          <w:rFonts w:ascii="Aptos" w:eastAsia="Aptos" w:hAnsi="Aptos" w:cs="Aptos"/>
        </w:rPr>
      </w:pPr>
      <w:r w:rsidRPr="00A302CD">
        <w:rPr>
          <w:rFonts w:ascii="Aptos" w:eastAsia="Aptos" w:hAnsi="Aptos" w:cs="Aptos"/>
        </w:rPr>
        <w:t xml:space="preserve">In the same way, West et al. (2015) assert that inefficient leadership and inadequate staffing levels are major contributors to workplace stress for healthcare practitioners. According to their findings, </w:t>
      </w:r>
      <w:proofErr w:type="spellStart"/>
      <w:r w:rsidRPr="00A302CD">
        <w:rPr>
          <w:rFonts w:ascii="Aptos" w:eastAsia="Aptos" w:hAnsi="Aptos" w:cs="Aptos"/>
        </w:rPr>
        <w:t>organisational</w:t>
      </w:r>
      <w:proofErr w:type="spellEnd"/>
      <w:r w:rsidRPr="00A302CD">
        <w:rPr>
          <w:rFonts w:ascii="Aptos" w:eastAsia="Aptos" w:hAnsi="Aptos" w:cs="Aptos"/>
        </w:rPr>
        <w:t xml:space="preserve"> culture and leadership are vital aspects that affect employee satisfaction.</w:t>
      </w:r>
    </w:p>
    <w:p w14:paraId="6C63DB8F" w14:textId="77777777" w:rsidR="00A302CD" w:rsidRPr="00A302CD" w:rsidRDefault="00A302CD" w:rsidP="00A302CD">
      <w:pPr>
        <w:spacing w:before="240" w:after="240"/>
        <w:jc w:val="both"/>
        <w:rPr>
          <w:rFonts w:ascii="Aptos" w:eastAsia="Aptos" w:hAnsi="Aptos" w:cs="Aptos"/>
        </w:rPr>
      </w:pPr>
      <w:r w:rsidRPr="00A302CD">
        <w:rPr>
          <w:rFonts w:ascii="Aptos" w:eastAsia="Aptos" w:hAnsi="Aptos" w:cs="Aptos"/>
        </w:rPr>
        <w:t xml:space="preserve">Both Maslach &amp; Leiter and West et al. agree that employee burnout is a function of systemic factors rather than personal incompetence. Nonetheless, Maslach &amp; Leiter concentrate more on psychological factors, while West et al. emphasize </w:t>
      </w:r>
      <w:proofErr w:type="spellStart"/>
      <w:r w:rsidRPr="00A302CD">
        <w:rPr>
          <w:rFonts w:ascii="Aptos" w:eastAsia="Aptos" w:hAnsi="Aptos" w:cs="Aptos"/>
        </w:rPr>
        <w:t>organisational</w:t>
      </w:r>
      <w:proofErr w:type="spellEnd"/>
      <w:r w:rsidRPr="00A302CD">
        <w:rPr>
          <w:rFonts w:ascii="Aptos" w:eastAsia="Aptos" w:hAnsi="Aptos" w:cs="Aptos"/>
        </w:rPr>
        <w:t xml:space="preserve"> and leadership variables.</w:t>
      </w:r>
    </w:p>
    <w:p w14:paraId="1F5AFBC6" w14:textId="4DEAE5C6" w:rsidR="002B6382" w:rsidRPr="00231837" w:rsidRDefault="00A302CD" w:rsidP="00A302CD">
      <w:pPr>
        <w:spacing w:before="240" w:after="240"/>
        <w:jc w:val="both"/>
      </w:pPr>
      <w:r w:rsidRPr="00A302CD">
        <w:rPr>
          <w:rFonts w:ascii="Aptos" w:eastAsia="Aptos" w:hAnsi="Aptos" w:cs="Aptos"/>
        </w:rPr>
        <w:lastRenderedPageBreak/>
        <w:t>The causes of burnout are essential to consider when dealing with actual healthcare environments since employee shortages and high demands are widespread. Employee burnout can be effectively addressed through positive leadership and enhanced work environment.</w:t>
      </w:r>
    </w:p>
    <w:p w14:paraId="5AE06E08" w14:textId="442D1E0D" w:rsidR="002B6382" w:rsidRPr="00231837" w:rsidRDefault="002B6382" w:rsidP="00E215A1">
      <w:pPr>
        <w:jc w:val="both"/>
      </w:pPr>
    </w:p>
    <w:p w14:paraId="52E78776" w14:textId="1F6DA9C6" w:rsidR="002B6382" w:rsidRPr="00C63A68" w:rsidRDefault="20380906" w:rsidP="00C63A68">
      <w:pPr>
        <w:pStyle w:val="Heading1"/>
      </w:pPr>
      <w:r>
        <w:t xml:space="preserve"> </w:t>
      </w:r>
      <w:bookmarkStart w:id="6" w:name="_Toc227012454"/>
      <w:r>
        <w:t>Digital Innovation</w:t>
      </w:r>
      <w:bookmarkEnd w:id="6"/>
      <w:r>
        <w:t xml:space="preserve"> </w:t>
      </w:r>
    </w:p>
    <w:p w14:paraId="05D86DC7" w14:textId="3FDBE3FF" w:rsidR="002B6382" w:rsidRPr="00231837" w:rsidRDefault="3A1EA3E8" w:rsidP="00E215A1">
      <w:pPr>
        <w:pStyle w:val="Heading3"/>
        <w:spacing w:before="281" w:after="281"/>
        <w:jc w:val="both"/>
        <w:rPr>
          <w:color w:val="auto"/>
        </w:rPr>
      </w:pPr>
      <w:bookmarkStart w:id="7" w:name="_Toc227012455"/>
      <w:r>
        <w:rPr>
          <w:rFonts w:ascii="Aptos" w:eastAsia="Aptos" w:hAnsi="Aptos" w:cs="Aptos"/>
          <w:b/>
          <w:bCs/>
          <w:color w:val="auto"/>
        </w:rPr>
        <w:t>1. Wearable Technology</w:t>
      </w:r>
      <w:bookmarkEnd w:id="7"/>
    </w:p>
    <w:p w14:paraId="0EA6C916" w14:textId="1BEAE4C0" w:rsidR="002B6382" w:rsidRPr="00231837" w:rsidRDefault="007C6E59" w:rsidP="00E215A1">
      <w:pPr>
        <w:jc w:val="both"/>
      </w:pPr>
      <w:r w:rsidRPr="007C6E59">
        <w:rPr>
          <w:rFonts w:ascii="Aptos" w:eastAsia="Aptos" w:hAnsi="Aptos" w:cs="Aptos"/>
        </w:rPr>
        <w:t>The use of wearable health technology, including smartwatches, enables continual tracking of physiological health states such as heart rate and exercise levels. This is very useful especially in managing chronic health problems such as diabetes or heart conditions. The individual can monitor his health status at all times. It can detect abnormalities that may arise and inform him about the issue to be addressed early. Based on the Theory of Technology Acceptance, people will adopt new technologies only if they perceive them as useful and easy to use (Davis, 1989).</w:t>
      </w:r>
    </w:p>
    <w:p w14:paraId="6CA9A820" w14:textId="515E2DA4" w:rsidR="002B6382" w:rsidRPr="00231837" w:rsidRDefault="3A1EA3E8" w:rsidP="00E215A1">
      <w:pPr>
        <w:pStyle w:val="Heading3"/>
        <w:spacing w:before="281" w:after="281"/>
        <w:jc w:val="both"/>
        <w:rPr>
          <w:color w:val="auto"/>
        </w:rPr>
      </w:pPr>
      <w:bookmarkStart w:id="8" w:name="_Toc227012456"/>
      <w:r>
        <w:rPr>
          <w:rFonts w:ascii="Aptos" w:eastAsia="Aptos" w:hAnsi="Aptos" w:cs="Aptos"/>
          <w:b/>
          <w:bCs/>
          <w:color w:val="auto"/>
        </w:rPr>
        <w:t>2. Electronic Health Records (EHRs)</w:t>
      </w:r>
      <w:bookmarkEnd w:id="8"/>
    </w:p>
    <w:p w14:paraId="4680C548" w14:textId="3113576D" w:rsidR="002B6382" w:rsidRPr="00231837" w:rsidRDefault="007C6E59" w:rsidP="00E215A1">
      <w:pPr>
        <w:jc w:val="both"/>
      </w:pPr>
      <w:r w:rsidRPr="007C6E59">
        <w:rPr>
          <w:rFonts w:ascii="Aptos" w:eastAsia="Aptos" w:hAnsi="Aptos" w:cs="Aptos"/>
        </w:rPr>
        <w:t>Electronic Health Records facilitate better communication and cooperation among healthcare practitioners through immediate access to patient records. It eliminates any mistake and guarantees that patients receive continuous care irrespective of the service offered. In other words, physicians and nurses can easily access patient data. NHS digitalization has greatly improved communication within the health sector (NHS England, 2023b).</w:t>
      </w:r>
    </w:p>
    <w:p w14:paraId="24162310" w14:textId="0AE5A471" w:rsidR="002B6382" w:rsidRPr="00231837" w:rsidRDefault="3A1EA3E8" w:rsidP="00E215A1">
      <w:pPr>
        <w:pStyle w:val="Heading3"/>
        <w:spacing w:before="281" w:after="281"/>
        <w:jc w:val="both"/>
        <w:rPr>
          <w:color w:val="auto"/>
        </w:rPr>
      </w:pPr>
      <w:bookmarkStart w:id="9" w:name="_Toc227012457"/>
      <w:r>
        <w:rPr>
          <w:rFonts w:ascii="Aptos" w:eastAsia="Aptos" w:hAnsi="Aptos" w:cs="Aptos"/>
          <w:b/>
          <w:bCs/>
          <w:color w:val="auto"/>
        </w:rPr>
        <w:t>3. Preventative Care</w:t>
      </w:r>
      <w:bookmarkEnd w:id="9"/>
    </w:p>
    <w:p w14:paraId="245FB5F7" w14:textId="6F45600D" w:rsidR="002B6382" w:rsidRPr="00231837" w:rsidRDefault="007C6E59" w:rsidP="00E215A1">
      <w:pPr>
        <w:jc w:val="both"/>
      </w:pPr>
      <w:r w:rsidRPr="007C6E59">
        <w:rPr>
          <w:rFonts w:ascii="Aptos" w:eastAsia="Aptos" w:hAnsi="Aptos" w:cs="Aptos"/>
        </w:rPr>
        <w:t>The use of digital technology for preventive healthcare encourages healthy living through interventions to encourage good behavior. This is because digital health technologies allow people to take charge of their health proactively and thereby avoid contracting illnesses. According to the World Health Organization (2022), the use of digital technologies could promote good health and prevent diseases. Some examples of technologies used in this regard include mobile health applications, which encourage exercise and proper nutrition.</w:t>
      </w:r>
    </w:p>
    <w:p w14:paraId="11E7BBC0" w14:textId="06478473" w:rsidR="002B6382" w:rsidRPr="00C63A68" w:rsidRDefault="20380906" w:rsidP="00C63A68">
      <w:pPr>
        <w:pStyle w:val="Heading1"/>
      </w:pPr>
      <w:r>
        <w:lastRenderedPageBreak/>
        <w:t xml:space="preserve"> </w:t>
      </w:r>
      <w:bookmarkStart w:id="10" w:name="_Toc227012458"/>
      <w:r>
        <w:t>NHS Leadership Framework</w:t>
      </w:r>
      <w:bookmarkEnd w:id="10"/>
      <w:r>
        <w:t xml:space="preserve"> </w:t>
      </w:r>
    </w:p>
    <w:p w14:paraId="301E2228" w14:textId="77777777" w:rsidR="007C6E59" w:rsidRPr="007C6E59" w:rsidRDefault="007C6E59" w:rsidP="007C6E59">
      <w:pPr>
        <w:spacing w:before="240" w:after="240"/>
        <w:jc w:val="both"/>
        <w:rPr>
          <w:rFonts w:ascii="Aptos" w:eastAsia="Aptos" w:hAnsi="Aptos" w:cs="Aptos"/>
        </w:rPr>
      </w:pPr>
      <w:r w:rsidRPr="007C6E59">
        <w:rPr>
          <w:rFonts w:ascii="Aptos" w:eastAsia="Aptos" w:hAnsi="Aptos" w:cs="Aptos"/>
        </w:rPr>
        <w:t xml:space="preserve">NHS Leadership Framework provides some key leadership </w:t>
      </w:r>
      <w:proofErr w:type="spellStart"/>
      <w:r w:rsidRPr="007C6E59">
        <w:rPr>
          <w:rFonts w:ascii="Aptos" w:eastAsia="Aptos" w:hAnsi="Aptos" w:cs="Aptos"/>
        </w:rPr>
        <w:t>behaviours</w:t>
      </w:r>
      <w:proofErr w:type="spellEnd"/>
      <w:r w:rsidRPr="007C6E59">
        <w:rPr>
          <w:rFonts w:ascii="Aptos" w:eastAsia="Aptos" w:hAnsi="Aptos" w:cs="Aptos"/>
        </w:rPr>
        <w:t xml:space="preserve"> that are needed for effective leadership within healthcare. It includes such spheres as Inspiring Shared Purpose, Leading with Care, Evaluating Information, and Service Improvement. The importance of this framework lies in the fact that it facilitates quality care, collaboration, and constant development of health and social care organizations (NHS Leadership Academy, 2013).</w:t>
      </w:r>
    </w:p>
    <w:p w14:paraId="0F112B7B" w14:textId="77777777" w:rsidR="007C6E59" w:rsidRPr="007C6E59" w:rsidRDefault="007C6E59" w:rsidP="007C6E59">
      <w:pPr>
        <w:spacing w:before="240" w:after="240"/>
        <w:jc w:val="both"/>
        <w:rPr>
          <w:rFonts w:ascii="Aptos" w:eastAsia="Aptos" w:hAnsi="Aptos" w:cs="Aptos"/>
        </w:rPr>
      </w:pPr>
      <w:r w:rsidRPr="007C6E59">
        <w:rPr>
          <w:rFonts w:ascii="Aptos" w:eastAsia="Aptos" w:hAnsi="Aptos" w:cs="Aptos"/>
        </w:rPr>
        <w:t>Leadership is crucial for managing complex environment and guaranteeing patients' safety. In addition, they need to inspire their employees to be creative, innovative and support evidence-based practice. Such requirements are characteristic of transformational leadership style. Transformational leaders seek to motivate and inspire people to initiate change and improvement of the organization's situation (Bass and Avolio, 1994). Transformational leadership is extremely relevant for the sphere of health and social care as it facilitates creation of an atmosphere of innovation and improvement.</w:t>
      </w:r>
    </w:p>
    <w:p w14:paraId="661F75B2" w14:textId="20BDC415" w:rsidR="002B6382" w:rsidRPr="00231837" w:rsidRDefault="007C6E59" w:rsidP="007C6E59">
      <w:pPr>
        <w:spacing w:before="240" w:after="240"/>
        <w:jc w:val="both"/>
      </w:pPr>
      <w:r w:rsidRPr="007C6E59">
        <w:rPr>
          <w:rFonts w:ascii="Aptos" w:eastAsia="Aptos" w:hAnsi="Aptos" w:cs="Aptos"/>
        </w:rPr>
        <w:t>Leading with inspiration refers to encouraging one's staff through clear and consistent communication and sharing a vision with them. This means that a leader needs to engage people in the process of work and encourage them to participate actively. It can involve the participation of employees in various discussions and decision-making processes.</w:t>
      </w:r>
    </w:p>
    <w:p w14:paraId="4C115207" w14:textId="4279153F" w:rsidR="002B6382" w:rsidRPr="00231837" w:rsidRDefault="3A1EA3E8" w:rsidP="00E215A1">
      <w:pPr>
        <w:spacing w:before="240" w:after="240"/>
        <w:jc w:val="both"/>
      </w:pPr>
      <w:r>
        <w:rPr>
          <w:rFonts w:ascii="Aptos" w:eastAsia="Aptos" w:hAnsi="Aptos" w:cs="Aptos"/>
        </w:rPr>
        <w:t>Through this module, I have learned that leadership plays a crucial role in fostering creativity and innovation. Understanding leadership behaviours can help improve both staff performance and patient outcomes.</w:t>
      </w:r>
    </w:p>
    <w:p w14:paraId="4ED86096" w14:textId="4BBCE586" w:rsidR="002B6382" w:rsidRPr="00231837" w:rsidRDefault="002B6382" w:rsidP="00E215A1">
      <w:pPr>
        <w:jc w:val="both"/>
      </w:pPr>
    </w:p>
    <w:p w14:paraId="326EEB86" w14:textId="6AE00FA9" w:rsidR="002B6382" w:rsidRPr="00C63A68" w:rsidRDefault="20380906" w:rsidP="00C63A68">
      <w:pPr>
        <w:pStyle w:val="Heading1"/>
      </w:pPr>
      <w:r>
        <w:t xml:space="preserve"> </w:t>
      </w:r>
      <w:bookmarkStart w:id="11" w:name="_Toc227012459"/>
      <w:r>
        <w:t>Reflection Journal</w:t>
      </w:r>
      <w:bookmarkEnd w:id="11"/>
      <w:r>
        <w:t xml:space="preserve"> </w:t>
      </w:r>
    </w:p>
    <w:p w14:paraId="1E9E14F1" w14:textId="77777777" w:rsidR="007C6E59" w:rsidRPr="007C6E59" w:rsidRDefault="007C6E59" w:rsidP="007C6E59">
      <w:pPr>
        <w:spacing w:before="240" w:after="240"/>
        <w:jc w:val="both"/>
        <w:rPr>
          <w:rFonts w:ascii="Aptos" w:eastAsia="Aptos" w:hAnsi="Aptos" w:cs="Aptos"/>
        </w:rPr>
      </w:pPr>
      <w:r w:rsidRPr="007C6E59">
        <w:rPr>
          <w:rFonts w:ascii="Aptos" w:eastAsia="Aptos" w:hAnsi="Aptos" w:cs="Aptos"/>
        </w:rPr>
        <w:t>From this module, I have gained a deeper appreciation of creativity, innovation, and value creation within the domain of health and social care. Creativity used to appear to me as just the production of ideas, yet in this module I have learned how essential it is in problem solving and value creation.</w:t>
      </w:r>
    </w:p>
    <w:p w14:paraId="319615C7" w14:textId="77777777" w:rsidR="007C6E59" w:rsidRPr="007C6E59" w:rsidRDefault="007C6E59" w:rsidP="007C6E59">
      <w:pPr>
        <w:spacing w:before="240" w:after="240"/>
        <w:jc w:val="both"/>
        <w:rPr>
          <w:rFonts w:ascii="Aptos" w:eastAsia="Aptos" w:hAnsi="Aptos" w:cs="Aptos"/>
        </w:rPr>
      </w:pPr>
      <w:r w:rsidRPr="007C6E59">
        <w:rPr>
          <w:rFonts w:ascii="Aptos" w:eastAsia="Aptos" w:hAnsi="Aptos" w:cs="Aptos"/>
        </w:rPr>
        <w:t>The group activity we did on divergent thinking and convergent thinking provided me with one of the most insightful experiences. This demonstrates the usefulness of creativity theories which focus on the process of idea generation and evaluation.</w:t>
      </w:r>
    </w:p>
    <w:p w14:paraId="6633A21C" w14:textId="65CE3DEB" w:rsidR="002B6382" w:rsidRPr="00231837" w:rsidRDefault="007C6E59" w:rsidP="007C6E59">
      <w:pPr>
        <w:spacing w:before="240" w:after="240"/>
        <w:jc w:val="both"/>
      </w:pPr>
      <w:r w:rsidRPr="007C6E59">
        <w:rPr>
          <w:rFonts w:ascii="Aptos" w:eastAsia="Aptos" w:hAnsi="Aptos" w:cs="Aptos"/>
        </w:rPr>
        <w:lastRenderedPageBreak/>
        <w:t>In the future, I plan to use these theoretical insights to my advantage in practical applications through active participation in problem solving and improvement processes at work. This module will be beneficial in allowing me to grow as a reflective practitioner who constantly engages in innovative activities within health care settings. Also, I have found the models like Rogers’ Diffusion of Innovation and Porter’s value-based approach to health care useful for a broader view of systemic changes. In my view, creativity is an essential component in any health care provider.</w:t>
      </w:r>
    </w:p>
    <w:p w14:paraId="681196F5" w14:textId="48C74915" w:rsidR="002B6382" w:rsidRPr="00231837" w:rsidRDefault="002B6382" w:rsidP="00E215A1">
      <w:pPr>
        <w:jc w:val="both"/>
      </w:pPr>
    </w:p>
    <w:p w14:paraId="07C515A3" w14:textId="36665178" w:rsidR="002B6382" w:rsidRPr="00231837" w:rsidRDefault="002B6382" w:rsidP="00E215A1">
      <w:pPr>
        <w:pStyle w:val="Heading2"/>
        <w:spacing w:before="299" w:after="299"/>
        <w:jc w:val="both"/>
        <w:rPr>
          <w:rFonts w:ascii="Aptos" w:eastAsia="Aptos" w:hAnsi="Aptos" w:cs="Aptos"/>
          <w:b/>
          <w:bCs/>
          <w:color w:val="auto"/>
          <w:sz w:val="36"/>
          <w:szCs w:val="36"/>
        </w:rPr>
      </w:pPr>
    </w:p>
    <w:p w14:paraId="2C078E63" w14:textId="6C24FA05" w:rsidR="002B6382" w:rsidRPr="00231837" w:rsidRDefault="002B6382" w:rsidP="00E215A1">
      <w:pPr>
        <w:jc w:val="both"/>
      </w:pPr>
    </w:p>
    <w:p w14:paraId="64F112BC" w14:textId="77777777" w:rsidR="00231837" w:rsidRPr="00231837" w:rsidRDefault="00231837">
      <w:pPr>
        <w:rPr>
          <w:rFonts w:ascii="Aptos" w:eastAsia="Aptos" w:hAnsi="Aptos" w:cs="Aptos"/>
          <w:b/>
          <w:bCs/>
          <w:sz w:val="36"/>
          <w:szCs w:val="36"/>
        </w:rPr>
      </w:pPr>
      <w:r>
        <w:rPr>
          <w:rFonts w:ascii="Aptos" w:eastAsia="Aptos" w:hAnsi="Aptos" w:cs="Aptos"/>
          <w:b/>
          <w:bCs/>
          <w:sz w:val="36"/>
          <w:szCs w:val="36"/>
        </w:rPr>
        <w:br w:type="page"/>
      </w:r>
    </w:p>
    <w:p w14:paraId="2BDCD5B4" w14:textId="50AF021E" w:rsidR="34D91826" w:rsidRPr="00231837" w:rsidRDefault="34D91826" w:rsidP="00C63A68">
      <w:pPr>
        <w:pStyle w:val="Heading1"/>
      </w:pPr>
      <w:bookmarkStart w:id="12" w:name="_Toc227012460"/>
      <w:r>
        <w:rPr>
          <w:rFonts w:eastAsia="Aptos"/>
        </w:rPr>
        <w:lastRenderedPageBreak/>
        <w:t>Reference</w:t>
      </w:r>
      <w:bookmarkEnd w:id="12"/>
      <w:r>
        <w:rPr>
          <w:rFonts w:eastAsia="Aptos"/>
        </w:rPr>
        <w:t xml:space="preserve"> </w:t>
      </w:r>
    </w:p>
    <w:p w14:paraId="37A132F7"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Amabile, T. (1996) </w:t>
      </w:r>
      <w:r>
        <w:rPr>
          <w:rFonts w:ascii="Aptos" w:eastAsia="Aptos" w:hAnsi="Aptos" w:cs="Aptos"/>
          <w:i/>
          <w:iCs/>
          <w:lang w:val="en-GB"/>
        </w:rPr>
        <w:t>Creativity in Context</w:t>
      </w:r>
      <w:r>
        <w:rPr>
          <w:rFonts w:ascii="Aptos" w:eastAsia="Aptos" w:hAnsi="Aptos" w:cs="Aptos"/>
          <w:lang w:val="en-GB"/>
        </w:rPr>
        <w:t>. Boulder: Westview Press.</w:t>
      </w:r>
    </w:p>
    <w:p w14:paraId="3E2CFFB4"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Bass, B.M. and Avolio, B.J. (1994) </w:t>
      </w:r>
      <w:r>
        <w:rPr>
          <w:rFonts w:ascii="Aptos" w:eastAsia="Aptos" w:hAnsi="Aptos" w:cs="Aptos"/>
          <w:i/>
          <w:iCs/>
          <w:lang w:val="en-GB"/>
        </w:rPr>
        <w:t>Improving Organizational Effectiveness through Transformational Leadership</w:t>
      </w:r>
      <w:r>
        <w:rPr>
          <w:rFonts w:ascii="Aptos" w:eastAsia="Aptos" w:hAnsi="Aptos" w:cs="Aptos"/>
          <w:lang w:val="en-GB"/>
        </w:rPr>
        <w:t>. Thousand Oaks: Sage.</w:t>
      </w:r>
    </w:p>
    <w:p w14:paraId="5F5A6B4A" w14:textId="3F8659E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Burnes, B. (2017) ‘Kurt Lewin and the Harwood studies’, </w:t>
      </w:r>
      <w:r>
        <w:rPr>
          <w:rFonts w:ascii="Aptos" w:eastAsia="Aptos" w:hAnsi="Aptos" w:cs="Aptos"/>
          <w:i/>
          <w:iCs/>
          <w:lang w:val="en-GB"/>
        </w:rPr>
        <w:t>Journal of Change Management</w:t>
      </w:r>
      <w:r>
        <w:rPr>
          <w:rFonts w:ascii="Aptos" w:eastAsia="Aptos" w:hAnsi="Aptos" w:cs="Aptos"/>
          <w:lang w:val="en-GB"/>
        </w:rPr>
        <w:t xml:space="preserve">, 17(2), pp. 91–100. Available at: </w:t>
      </w:r>
      <w:hyperlink r:id="rId8" w:tgtFrame="_new" w:history="1">
        <w:r>
          <w:rPr>
            <w:rStyle w:val="Hyperlink"/>
            <w:rFonts w:ascii="Aptos" w:eastAsia="Aptos" w:hAnsi="Aptos" w:cs="Aptos"/>
            <w:color w:val="auto"/>
            <w:lang w:val="en-GB"/>
          </w:rPr>
          <w:t>https://doi.org/10.1080/14697017.2017.1289285</w:t>
        </w:r>
      </w:hyperlink>
      <w:r w:rsidR="006A65A7">
        <w:t xml:space="preserve"> </w:t>
      </w:r>
    </w:p>
    <w:p w14:paraId="2AD2D9FD" w14:textId="2033D4DA"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Davis, F.D. (1989) ‘Perceived usefulness, perceived ease of use, and user acceptance of information technology’, </w:t>
      </w:r>
      <w:r>
        <w:rPr>
          <w:rFonts w:ascii="Aptos" w:eastAsia="Aptos" w:hAnsi="Aptos" w:cs="Aptos"/>
          <w:i/>
          <w:iCs/>
          <w:lang w:val="en-GB"/>
        </w:rPr>
        <w:t>MIS Quarterly</w:t>
      </w:r>
      <w:r>
        <w:rPr>
          <w:rFonts w:ascii="Aptos" w:eastAsia="Aptos" w:hAnsi="Aptos" w:cs="Aptos"/>
          <w:lang w:val="en-GB"/>
        </w:rPr>
        <w:t xml:space="preserve">, 13(3), pp. 319–340. Available at: </w:t>
      </w:r>
      <w:hyperlink r:id="rId9" w:tgtFrame="_new" w:history="1">
        <w:r>
          <w:rPr>
            <w:rStyle w:val="Hyperlink"/>
            <w:rFonts w:ascii="Aptos" w:eastAsia="Aptos" w:hAnsi="Aptos" w:cs="Aptos"/>
            <w:color w:val="auto"/>
            <w:lang w:val="en-GB"/>
          </w:rPr>
          <w:t>https://www.jstor.org/stable/249008</w:t>
        </w:r>
      </w:hyperlink>
      <w:r w:rsidR="006A65A7">
        <w:t xml:space="preserve"> </w:t>
      </w:r>
    </w:p>
    <w:p w14:paraId="76018C29"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Gibbs, G. (1988) </w:t>
      </w:r>
      <w:r>
        <w:rPr>
          <w:rFonts w:ascii="Aptos" w:eastAsia="Aptos" w:hAnsi="Aptos" w:cs="Aptos"/>
          <w:i/>
          <w:iCs/>
          <w:lang w:val="en-GB"/>
        </w:rPr>
        <w:t>Learning by Doing: A Guide to Teaching and Learning Methods</w:t>
      </w:r>
      <w:r>
        <w:rPr>
          <w:rFonts w:ascii="Aptos" w:eastAsia="Aptos" w:hAnsi="Aptos" w:cs="Aptos"/>
          <w:lang w:val="en-GB"/>
        </w:rPr>
        <w:t>. Oxford: Oxford Polytechnic.</w:t>
      </w:r>
    </w:p>
    <w:p w14:paraId="346AE526"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Kolb, D.A. (1984) </w:t>
      </w:r>
      <w:r>
        <w:rPr>
          <w:rFonts w:ascii="Aptos" w:eastAsia="Aptos" w:hAnsi="Aptos" w:cs="Aptos"/>
          <w:i/>
          <w:iCs/>
          <w:lang w:val="en-GB"/>
        </w:rPr>
        <w:t>Experiential Learning: Experience as the Source of Learning and Development</w:t>
      </w:r>
      <w:r>
        <w:rPr>
          <w:rFonts w:ascii="Aptos" w:eastAsia="Aptos" w:hAnsi="Aptos" w:cs="Aptos"/>
          <w:lang w:val="en-GB"/>
        </w:rPr>
        <w:t>. New Jersey: Prentice Hall.</w:t>
      </w:r>
    </w:p>
    <w:p w14:paraId="03E5BE25"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Maslach, C. and Leiter, M.P. (2016) ‘Understanding burnout: New models’, </w:t>
      </w:r>
      <w:r>
        <w:rPr>
          <w:rFonts w:ascii="Aptos" w:eastAsia="Aptos" w:hAnsi="Aptos" w:cs="Aptos"/>
          <w:i/>
          <w:iCs/>
          <w:lang w:val="en-GB"/>
        </w:rPr>
        <w:t>Annual Review of Psychology</w:t>
      </w:r>
      <w:r>
        <w:rPr>
          <w:rFonts w:ascii="Aptos" w:eastAsia="Aptos" w:hAnsi="Aptos" w:cs="Aptos"/>
          <w:lang w:val="en-GB"/>
        </w:rPr>
        <w:t xml:space="preserve">, 67, pp. 397–422. Available at: </w:t>
      </w:r>
      <w:hyperlink r:id="rId10" w:tgtFrame="_new" w:history="1">
        <w:r>
          <w:rPr>
            <w:rStyle w:val="Hyperlink"/>
            <w:rFonts w:ascii="Aptos" w:eastAsia="Aptos" w:hAnsi="Aptos" w:cs="Aptos"/>
            <w:color w:val="auto"/>
            <w:lang w:val="en-GB"/>
          </w:rPr>
          <w:t>https://doi.org/10.1146/annurev-psych-122414-033537</w:t>
        </w:r>
      </w:hyperlink>
    </w:p>
    <w:p w14:paraId="1FBC5507"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Meadows, D.H. (2008) </w:t>
      </w:r>
      <w:r>
        <w:rPr>
          <w:rFonts w:ascii="Aptos" w:eastAsia="Aptos" w:hAnsi="Aptos" w:cs="Aptos"/>
          <w:i/>
          <w:iCs/>
          <w:lang w:val="en-GB"/>
        </w:rPr>
        <w:t>Thinking in Systems: A Primer</w:t>
      </w:r>
      <w:r>
        <w:rPr>
          <w:rFonts w:ascii="Aptos" w:eastAsia="Aptos" w:hAnsi="Aptos" w:cs="Aptos"/>
          <w:lang w:val="en-GB"/>
        </w:rPr>
        <w:t xml:space="preserve">. White River Junction: Chelsea Green Publishing. Available at: </w:t>
      </w:r>
      <w:hyperlink r:id="rId11" w:tgtFrame="_new" w:history="1">
        <w:r>
          <w:rPr>
            <w:rStyle w:val="Hyperlink"/>
            <w:rFonts w:ascii="Aptos" w:eastAsia="Aptos" w:hAnsi="Aptos" w:cs="Aptos"/>
            <w:color w:val="auto"/>
            <w:lang w:val="en-GB"/>
          </w:rPr>
          <w:t>https://www.chelseagreen.com/product/thinking-in-systems/</w:t>
        </w:r>
      </w:hyperlink>
      <w:r>
        <w:rPr>
          <w:rFonts w:ascii="Aptos" w:eastAsia="Aptos" w:hAnsi="Aptos" w:cs="Aptos"/>
          <w:lang w:val="en-GB"/>
        </w:rPr>
        <w:t xml:space="preserve"> (Accessed: 10 April 2026).</w:t>
      </w:r>
    </w:p>
    <w:p w14:paraId="1716C13E"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NHS England (2023a) </w:t>
      </w:r>
      <w:r>
        <w:rPr>
          <w:rFonts w:ascii="Aptos" w:eastAsia="Aptos" w:hAnsi="Aptos" w:cs="Aptos"/>
          <w:i/>
          <w:iCs/>
          <w:lang w:val="en-GB"/>
        </w:rPr>
        <w:t>Delivery plan for tackling the COVID-19 backlog of elective care</w:t>
      </w:r>
      <w:r>
        <w:rPr>
          <w:rFonts w:ascii="Aptos" w:eastAsia="Aptos" w:hAnsi="Aptos" w:cs="Aptos"/>
          <w:lang w:val="en-GB"/>
        </w:rPr>
        <w:t xml:space="preserve">. Available at: </w:t>
      </w:r>
      <w:hyperlink r:id="rId12" w:tgtFrame="_new" w:history="1">
        <w:r>
          <w:rPr>
            <w:rStyle w:val="Hyperlink"/>
            <w:rFonts w:ascii="Aptos" w:eastAsia="Aptos" w:hAnsi="Aptos" w:cs="Aptos"/>
            <w:color w:val="auto"/>
            <w:lang w:val="en-GB"/>
          </w:rPr>
          <w:t>https://www.england.nhs.uk</w:t>
        </w:r>
      </w:hyperlink>
      <w:r>
        <w:rPr>
          <w:rFonts w:ascii="Aptos" w:eastAsia="Aptos" w:hAnsi="Aptos" w:cs="Aptos"/>
          <w:lang w:val="en-GB"/>
        </w:rPr>
        <w:t xml:space="preserve"> (Accessed: 10 April 2026).</w:t>
      </w:r>
    </w:p>
    <w:p w14:paraId="5F0016E0"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NHS England (2023b) </w:t>
      </w:r>
      <w:r>
        <w:rPr>
          <w:rFonts w:ascii="Aptos" w:eastAsia="Aptos" w:hAnsi="Aptos" w:cs="Aptos"/>
          <w:i/>
          <w:iCs/>
          <w:lang w:val="en-GB"/>
        </w:rPr>
        <w:t>Digital transformation in the NHS</w:t>
      </w:r>
      <w:r>
        <w:rPr>
          <w:rFonts w:ascii="Aptos" w:eastAsia="Aptos" w:hAnsi="Aptos" w:cs="Aptos"/>
          <w:lang w:val="en-GB"/>
        </w:rPr>
        <w:t xml:space="preserve">. Available at: </w:t>
      </w:r>
      <w:hyperlink r:id="rId13" w:tgtFrame="_new" w:history="1">
        <w:r>
          <w:rPr>
            <w:rStyle w:val="Hyperlink"/>
            <w:rFonts w:ascii="Aptos" w:eastAsia="Aptos" w:hAnsi="Aptos" w:cs="Aptos"/>
            <w:color w:val="auto"/>
            <w:lang w:val="en-GB"/>
          </w:rPr>
          <w:t>https://www.england.nhs.uk</w:t>
        </w:r>
      </w:hyperlink>
      <w:r>
        <w:rPr>
          <w:rFonts w:ascii="Aptos" w:eastAsia="Aptos" w:hAnsi="Aptos" w:cs="Aptos"/>
          <w:lang w:val="en-GB"/>
        </w:rPr>
        <w:t xml:space="preserve"> (Accessed: 10 April 2026).</w:t>
      </w:r>
    </w:p>
    <w:p w14:paraId="217A87C9"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NHS Leadership Academy (2013) </w:t>
      </w:r>
      <w:r>
        <w:rPr>
          <w:rFonts w:ascii="Aptos" w:eastAsia="Aptos" w:hAnsi="Aptos" w:cs="Aptos"/>
          <w:i/>
          <w:iCs/>
          <w:lang w:val="en-GB"/>
        </w:rPr>
        <w:t>Healthcare Leadership Model</w:t>
      </w:r>
      <w:r>
        <w:rPr>
          <w:rFonts w:ascii="Aptos" w:eastAsia="Aptos" w:hAnsi="Aptos" w:cs="Aptos"/>
          <w:lang w:val="en-GB"/>
        </w:rPr>
        <w:t xml:space="preserve">. Available at: </w:t>
      </w:r>
      <w:hyperlink r:id="rId14" w:tgtFrame="_new" w:history="1">
        <w:r>
          <w:rPr>
            <w:rStyle w:val="Hyperlink"/>
            <w:rFonts w:ascii="Aptos" w:eastAsia="Aptos" w:hAnsi="Aptos" w:cs="Aptos"/>
            <w:color w:val="auto"/>
            <w:lang w:val="en-GB"/>
          </w:rPr>
          <w:t>https://www.leadershipacademy.nhs.uk</w:t>
        </w:r>
      </w:hyperlink>
      <w:r>
        <w:rPr>
          <w:rFonts w:ascii="Aptos" w:eastAsia="Aptos" w:hAnsi="Aptos" w:cs="Aptos"/>
          <w:lang w:val="en-GB"/>
        </w:rPr>
        <w:t xml:space="preserve"> (Accessed: 10 April 2026).</w:t>
      </w:r>
    </w:p>
    <w:p w14:paraId="74B7FFE2"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Porter, M.E. (2010) ‘What is value in healthcare?’, </w:t>
      </w:r>
      <w:r>
        <w:rPr>
          <w:rFonts w:ascii="Aptos" w:eastAsia="Aptos" w:hAnsi="Aptos" w:cs="Aptos"/>
          <w:i/>
          <w:iCs/>
          <w:lang w:val="en-GB"/>
        </w:rPr>
        <w:t>New England Journal of Medicine</w:t>
      </w:r>
      <w:r>
        <w:rPr>
          <w:rFonts w:ascii="Aptos" w:eastAsia="Aptos" w:hAnsi="Aptos" w:cs="Aptos"/>
          <w:lang w:val="en-GB"/>
        </w:rPr>
        <w:t xml:space="preserve">, 363(26), pp. 2477–2481. Available at: </w:t>
      </w:r>
      <w:hyperlink r:id="rId15" w:tgtFrame="_new" w:history="1">
        <w:r>
          <w:rPr>
            <w:rStyle w:val="Hyperlink"/>
            <w:rFonts w:ascii="Aptos" w:eastAsia="Aptos" w:hAnsi="Aptos" w:cs="Aptos"/>
            <w:color w:val="auto"/>
            <w:lang w:val="en-GB"/>
          </w:rPr>
          <w:t>https://www.nejm.org/doi/full/10.1056/NEJMp1011024</w:t>
        </w:r>
      </w:hyperlink>
    </w:p>
    <w:p w14:paraId="51E08772"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lastRenderedPageBreak/>
        <w:t xml:space="preserve">Rogers, E.M. (2003) </w:t>
      </w:r>
      <w:r>
        <w:rPr>
          <w:rFonts w:ascii="Aptos" w:eastAsia="Aptos" w:hAnsi="Aptos" w:cs="Aptos"/>
          <w:i/>
          <w:iCs/>
          <w:lang w:val="en-GB"/>
        </w:rPr>
        <w:t>Diffusion of Innovations</w:t>
      </w:r>
      <w:r>
        <w:rPr>
          <w:rFonts w:ascii="Aptos" w:eastAsia="Aptos" w:hAnsi="Aptos" w:cs="Aptos"/>
          <w:lang w:val="en-GB"/>
        </w:rPr>
        <w:t>. 5th edn. New York: Free Press.</w:t>
      </w:r>
    </w:p>
    <w:p w14:paraId="30537406"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West, M., Eckert, R., Steward, K. and Pasmore, B. (2015) </w:t>
      </w:r>
      <w:r>
        <w:rPr>
          <w:rFonts w:ascii="Aptos" w:eastAsia="Aptos" w:hAnsi="Aptos" w:cs="Aptos"/>
          <w:i/>
          <w:iCs/>
          <w:lang w:val="en-GB"/>
        </w:rPr>
        <w:t>Leadership and Leadership Development in Healthcare</w:t>
      </w:r>
      <w:r>
        <w:rPr>
          <w:rFonts w:ascii="Aptos" w:eastAsia="Aptos" w:hAnsi="Aptos" w:cs="Aptos"/>
          <w:lang w:val="en-GB"/>
        </w:rPr>
        <w:t xml:space="preserve">. London: The King’s Fund. Available at: </w:t>
      </w:r>
      <w:hyperlink r:id="rId16" w:tgtFrame="_new" w:history="1">
        <w:r>
          <w:rPr>
            <w:rStyle w:val="Hyperlink"/>
            <w:rFonts w:ascii="Aptos" w:eastAsia="Aptos" w:hAnsi="Aptos" w:cs="Aptos"/>
            <w:color w:val="auto"/>
            <w:lang w:val="en-GB"/>
          </w:rPr>
          <w:t>https://www.kingsfund.org.uk</w:t>
        </w:r>
      </w:hyperlink>
      <w:r>
        <w:rPr>
          <w:rFonts w:ascii="Aptos" w:eastAsia="Aptos" w:hAnsi="Aptos" w:cs="Aptos"/>
          <w:lang w:val="en-GB"/>
        </w:rPr>
        <w:t xml:space="preserve"> (Accessed: 10 April 2026).</w:t>
      </w:r>
    </w:p>
    <w:p w14:paraId="0C96CCA5" w14:textId="77777777" w:rsidR="00E215A1" w:rsidRPr="00E215A1" w:rsidRDefault="00E215A1" w:rsidP="00E215A1">
      <w:pPr>
        <w:spacing w:before="240" w:after="240"/>
        <w:rPr>
          <w:rFonts w:ascii="Aptos" w:eastAsia="Aptos" w:hAnsi="Aptos" w:cs="Aptos"/>
          <w:lang w:val="en-GB"/>
        </w:rPr>
      </w:pPr>
      <w:r>
        <w:rPr>
          <w:rFonts w:ascii="Aptos" w:eastAsia="Aptos" w:hAnsi="Aptos" w:cs="Aptos"/>
          <w:lang w:val="en-GB"/>
        </w:rPr>
        <w:t xml:space="preserve">World Health Organization (2022) </w:t>
      </w:r>
      <w:r>
        <w:rPr>
          <w:rFonts w:ascii="Aptos" w:eastAsia="Aptos" w:hAnsi="Aptos" w:cs="Aptos"/>
          <w:i/>
          <w:iCs/>
          <w:lang w:val="en-GB"/>
        </w:rPr>
        <w:t>Digital health</w:t>
      </w:r>
      <w:r>
        <w:rPr>
          <w:rFonts w:ascii="Aptos" w:eastAsia="Aptos" w:hAnsi="Aptos" w:cs="Aptos"/>
          <w:lang w:val="en-GB"/>
        </w:rPr>
        <w:t xml:space="preserve">. Available at: </w:t>
      </w:r>
      <w:hyperlink r:id="rId17" w:tgtFrame="_new" w:history="1">
        <w:r>
          <w:rPr>
            <w:rStyle w:val="Hyperlink"/>
            <w:rFonts w:ascii="Aptos" w:eastAsia="Aptos" w:hAnsi="Aptos" w:cs="Aptos"/>
            <w:color w:val="auto"/>
            <w:lang w:val="en-GB"/>
          </w:rPr>
          <w:t>https://www.who.int</w:t>
        </w:r>
      </w:hyperlink>
      <w:r>
        <w:rPr>
          <w:rFonts w:ascii="Aptos" w:eastAsia="Aptos" w:hAnsi="Aptos" w:cs="Aptos"/>
          <w:lang w:val="en-GB"/>
        </w:rPr>
        <w:t xml:space="preserve"> (Accessed: 10 April 2026).</w:t>
      </w:r>
    </w:p>
    <w:p w14:paraId="03778C24" w14:textId="77777777" w:rsidR="00E215A1" w:rsidRPr="00231837" w:rsidRDefault="00E215A1" w:rsidP="00E215A1">
      <w:pPr>
        <w:spacing w:before="240" w:after="240"/>
      </w:pPr>
    </w:p>
    <w:sectPr w:rsidR="00E215A1" w:rsidRPr="002318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2AE09"/>
    <w:multiLevelType w:val="hybridMultilevel"/>
    <w:tmpl w:val="B2003782"/>
    <w:lvl w:ilvl="0" w:tplc="C248D508">
      <w:start w:val="1"/>
      <w:numFmt w:val="bullet"/>
      <w:lvlText w:val=""/>
      <w:lvlJc w:val="left"/>
      <w:pPr>
        <w:ind w:left="720" w:hanging="360"/>
      </w:pPr>
      <w:rPr>
        <w:rFonts w:ascii="Symbol" w:hAnsi="Symbol" w:hint="default"/>
      </w:rPr>
    </w:lvl>
    <w:lvl w:ilvl="1" w:tplc="48820D4E">
      <w:start w:val="1"/>
      <w:numFmt w:val="bullet"/>
      <w:lvlText w:val="o"/>
      <w:lvlJc w:val="left"/>
      <w:pPr>
        <w:ind w:left="1440" w:hanging="360"/>
      </w:pPr>
      <w:rPr>
        <w:rFonts w:ascii="Courier New" w:hAnsi="Courier New" w:hint="default"/>
      </w:rPr>
    </w:lvl>
    <w:lvl w:ilvl="2" w:tplc="EC54157C">
      <w:start w:val="1"/>
      <w:numFmt w:val="bullet"/>
      <w:lvlText w:val=""/>
      <w:lvlJc w:val="left"/>
      <w:pPr>
        <w:ind w:left="2160" w:hanging="360"/>
      </w:pPr>
      <w:rPr>
        <w:rFonts w:ascii="Wingdings" w:hAnsi="Wingdings" w:hint="default"/>
      </w:rPr>
    </w:lvl>
    <w:lvl w:ilvl="3" w:tplc="AB4893F6">
      <w:start w:val="1"/>
      <w:numFmt w:val="bullet"/>
      <w:lvlText w:val=""/>
      <w:lvlJc w:val="left"/>
      <w:pPr>
        <w:ind w:left="2880" w:hanging="360"/>
      </w:pPr>
      <w:rPr>
        <w:rFonts w:ascii="Symbol" w:hAnsi="Symbol" w:hint="default"/>
      </w:rPr>
    </w:lvl>
    <w:lvl w:ilvl="4" w:tplc="EB3015E0">
      <w:start w:val="1"/>
      <w:numFmt w:val="bullet"/>
      <w:lvlText w:val="o"/>
      <w:lvlJc w:val="left"/>
      <w:pPr>
        <w:ind w:left="3600" w:hanging="360"/>
      </w:pPr>
      <w:rPr>
        <w:rFonts w:ascii="Courier New" w:hAnsi="Courier New" w:hint="default"/>
      </w:rPr>
    </w:lvl>
    <w:lvl w:ilvl="5" w:tplc="75580ADC">
      <w:start w:val="1"/>
      <w:numFmt w:val="bullet"/>
      <w:lvlText w:val=""/>
      <w:lvlJc w:val="left"/>
      <w:pPr>
        <w:ind w:left="4320" w:hanging="360"/>
      </w:pPr>
      <w:rPr>
        <w:rFonts w:ascii="Wingdings" w:hAnsi="Wingdings" w:hint="default"/>
      </w:rPr>
    </w:lvl>
    <w:lvl w:ilvl="6" w:tplc="FD8A613E">
      <w:start w:val="1"/>
      <w:numFmt w:val="bullet"/>
      <w:lvlText w:val=""/>
      <w:lvlJc w:val="left"/>
      <w:pPr>
        <w:ind w:left="5040" w:hanging="360"/>
      </w:pPr>
      <w:rPr>
        <w:rFonts w:ascii="Symbol" w:hAnsi="Symbol" w:hint="default"/>
      </w:rPr>
    </w:lvl>
    <w:lvl w:ilvl="7" w:tplc="017C7354">
      <w:start w:val="1"/>
      <w:numFmt w:val="bullet"/>
      <w:lvlText w:val="o"/>
      <w:lvlJc w:val="left"/>
      <w:pPr>
        <w:ind w:left="5760" w:hanging="360"/>
      </w:pPr>
      <w:rPr>
        <w:rFonts w:ascii="Courier New" w:hAnsi="Courier New" w:hint="default"/>
      </w:rPr>
    </w:lvl>
    <w:lvl w:ilvl="8" w:tplc="DAAC98F2">
      <w:start w:val="1"/>
      <w:numFmt w:val="bullet"/>
      <w:lvlText w:val=""/>
      <w:lvlJc w:val="left"/>
      <w:pPr>
        <w:ind w:left="6480" w:hanging="360"/>
      </w:pPr>
      <w:rPr>
        <w:rFonts w:ascii="Wingdings" w:hAnsi="Wingdings" w:hint="default"/>
      </w:rPr>
    </w:lvl>
  </w:abstractNum>
  <w:abstractNum w:abstractNumId="1" w15:restartNumberingAfterBreak="0">
    <w:nsid w:val="421142B3"/>
    <w:multiLevelType w:val="hybridMultilevel"/>
    <w:tmpl w:val="395E1BD2"/>
    <w:lvl w:ilvl="0" w:tplc="CBB0A118">
      <w:start w:val="1"/>
      <w:numFmt w:val="bullet"/>
      <w:lvlText w:val=""/>
      <w:lvlJc w:val="left"/>
      <w:pPr>
        <w:ind w:left="720" w:hanging="360"/>
      </w:pPr>
      <w:rPr>
        <w:rFonts w:ascii="Symbol" w:hAnsi="Symbol" w:hint="default"/>
      </w:rPr>
    </w:lvl>
    <w:lvl w:ilvl="1" w:tplc="8D2C3374">
      <w:start w:val="1"/>
      <w:numFmt w:val="bullet"/>
      <w:lvlText w:val="o"/>
      <w:lvlJc w:val="left"/>
      <w:pPr>
        <w:ind w:left="1440" w:hanging="360"/>
      </w:pPr>
      <w:rPr>
        <w:rFonts w:ascii="Courier New" w:hAnsi="Courier New" w:hint="default"/>
      </w:rPr>
    </w:lvl>
    <w:lvl w:ilvl="2" w:tplc="356854C0">
      <w:start w:val="1"/>
      <w:numFmt w:val="bullet"/>
      <w:lvlText w:val=""/>
      <w:lvlJc w:val="left"/>
      <w:pPr>
        <w:ind w:left="2160" w:hanging="360"/>
      </w:pPr>
      <w:rPr>
        <w:rFonts w:ascii="Wingdings" w:hAnsi="Wingdings" w:hint="default"/>
      </w:rPr>
    </w:lvl>
    <w:lvl w:ilvl="3" w:tplc="B7444FEA">
      <w:start w:val="1"/>
      <w:numFmt w:val="bullet"/>
      <w:lvlText w:val=""/>
      <w:lvlJc w:val="left"/>
      <w:pPr>
        <w:ind w:left="2880" w:hanging="360"/>
      </w:pPr>
      <w:rPr>
        <w:rFonts w:ascii="Symbol" w:hAnsi="Symbol" w:hint="default"/>
      </w:rPr>
    </w:lvl>
    <w:lvl w:ilvl="4" w:tplc="35A671E8">
      <w:start w:val="1"/>
      <w:numFmt w:val="bullet"/>
      <w:lvlText w:val="o"/>
      <w:lvlJc w:val="left"/>
      <w:pPr>
        <w:ind w:left="3600" w:hanging="360"/>
      </w:pPr>
      <w:rPr>
        <w:rFonts w:ascii="Courier New" w:hAnsi="Courier New" w:hint="default"/>
      </w:rPr>
    </w:lvl>
    <w:lvl w:ilvl="5" w:tplc="5A562526">
      <w:start w:val="1"/>
      <w:numFmt w:val="bullet"/>
      <w:lvlText w:val=""/>
      <w:lvlJc w:val="left"/>
      <w:pPr>
        <w:ind w:left="4320" w:hanging="360"/>
      </w:pPr>
      <w:rPr>
        <w:rFonts w:ascii="Wingdings" w:hAnsi="Wingdings" w:hint="default"/>
      </w:rPr>
    </w:lvl>
    <w:lvl w:ilvl="6" w:tplc="86E20FDE">
      <w:start w:val="1"/>
      <w:numFmt w:val="bullet"/>
      <w:lvlText w:val=""/>
      <w:lvlJc w:val="left"/>
      <w:pPr>
        <w:ind w:left="5040" w:hanging="360"/>
      </w:pPr>
      <w:rPr>
        <w:rFonts w:ascii="Symbol" w:hAnsi="Symbol" w:hint="default"/>
      </w:rPr>
    </w:lvl>
    <w:lvl w:ilvl="7" w:tplc="27ECF35C">
      <w:start w:val="1"/>
      <w:numFmt w:val="bullet"/>
      <w:lvlText w:val="o"/>
      <w:lvlJc w:val="left"/>
      <w:pPr>
        <w:ind w:left="5760" w:hanging="360"/>
      </w:pPr>
      <w:rPr>
        <w:rFonts w:ascii="Courier New" w:hAnsi="Courier New" w:hint="default"/>
      </w:rPr>
    </w:lvl>
    <w:lvl w:ilvl="8" w:tplc="D03C08D2">
      <w:start w:val="1"/>
      <w:numFmt w:val="bullet"/>
      <w:lvlText w:val=""/>
      <w:lvlJc w:val="left"/>
      <w:pPr>
        <w:ind w:left="6480" w:hanging="360"/>
      </w:pPr>
      <w:rPr>
        <w:rFonts w:ascii="Wingdings" w:hAnsi="Wingdings" w:hint="default"/>
      </w:rPr>
    </w:lvl>
  </w:abstractNum>
  <w:abstractNum w:abstractNumId="2" w15:restartNumberingAfterBreak="0">
    <w:nsid w:val="788197D6"/>
    <w:multiLevelType w:val="hybridMultilevel"/>
    <w:tmpl w:val="3B2ED498"/>
    <w:lvl w:ilvl="0" w:tplc="89062AC6">
      <w:start w:val="1"/>
      <w:numFmt w:val="bullet"/>
      <w:lvlText w:val=""/>
      <w:lvlJc w:val="left"/>
      <w:pPr>
        <w:ind w:left="720" w:hanging="360"/>
      </w:pPr>
      <w:rPr>
        <w:rFonts w:ascii="Symbol" w:hAnsi="Symbol" w:hint="default"/>
      </w:rPr>
    </w:lvl>
    <w:lvl w:ilvl="1" w:tplc="3126C872">
      <w:start w:val="1"/>
      <w:numFmt w:val="bullet"/>
      <w:lvlText w:val="o"/>
      <w:lvlJc w:val="left"/>
      <w:pPr>
        <w:ind w:left="1440" w:hanging="360"/>
      </w:pPr>
      <w:rPr>
        <w:rFonts w:ascii="Courier New" w:hAnsi="Courier New" w:hint="default"/>
      </w:rPr>
    </w:lvl>
    <w:lvl w:ilvl="2" w:tplc="78026AD8">
      <w:start w:val="1"/>
      <w:numFmt w:val="bullet"/>
      <w:lvlText w:val=""/>
      <w:lvlJc w:val="left"/>
      <w:pPr>
        <w:ind w:left="2160" w:hanging="360"/>
      </w:pPr>
      <w:rPr>
        <w:rFonts w:ascii="Wingdings" w:hAnsi="Wingdings" w:hint="default"/>
      </w:rPr>
    </w:lvl>
    <w:lvl w:ilvl="3" w:tplc="5C3E4E8C">
      <w:start w:val="1"/>
      <w:numFmt w:val="bullet"/>
      <w:lvlText w:val=""/>
      <w:lvlJc w:val="left"/>
      <w:pPr>
        <w:ind w:left="2880" w:hanging="360"/>
      </w:pPr>
      <w:rPr>
        <w:rFonts w:ascii="Symbol" w:hAnsi="Symbol" w:hint="default"/>
      </w:rPr>
    </w:lvl>
    <w:lvl w:ilvl="4" w:tplc="D26E423E">
      <w:start w:val="1"/>
      <w:numFmt w:val="bullet"/>
      <w:lvlText w:val="o"/>
      <w:lvlJc w:val="left"/>
      <w:pPr>
        <w:ind w:left="3600" w:hanging="360"/>
      </w:pPr>
      <w:rPr>
        <w:rFonts w:ascii="Courier New" w:hAnsi="Courier New" w:hint="default"/>
      </w:rPr>
    </w:lvl>
    <w:lvl w:ilvl="5" w:tplc="ADF8968C">
      <w:start w:val="1"/>
      <w:numFmt w:val="bullet"/>
      <w:lvlText w:val=""/>
      <w:lvlJc w:val="left"/>
      <w:pPr>
        <w:ind w:left="4320" w:hanging="360"/>
      </w:pPr>
      <w:rPr>
        <w:rFonts w:ascii="Wingdings" w:hAnsi="Wingdings" w:hint="default"/>
      </w:rPr>
    </w:lvl>
    <w:lvl w:ilvl="6" w:tplc="EA265C14">
      <w:start w:val="1"/>
      <w:numFmt w:val="bullet"/>
      <w:lvlText w:val=""/>
      <w:lvlJc w:val="left"/>
      <w:pPr>
        <w:ind w:left="5040" w:hanging="360"/>
      </w:pPr>
      <w:rPr>
        <w:rFonts w:ascii="Symbol" w:hAnsi="Symbol" w:hint="default"/>
      </w:rPr>
    </w:lvl>
    <w:lvl w:ilvl="7" w:tplc="F9E2135E">
      <w:start w:val="1"/>
      <w:numFmt w:val="bullet"/>
      <w:lvlText w:val="o"/>
      <w:lvlJc w:val="left"/>
      <w:pPr>
        <w:ind w:left="5760" w:hanging="360"/>
      </w:pPr>
      <w:rPr>
        <w:rFonts w:ascii="Courier New" w:hAnsi="Courier New" w:hint="default"/>
      </w:rPr>
    </w:lvl>
    <w:lvl w:ilvl="8" w:tplc="7E4245A4">
      <w:start w:val="1"/>
      <w:numFmt w:val="bullet"/>
      <w:lvlText w:val=""/>
      <w:lvlJc w:val="left"/>
      <w:pPr>
        <w:ind w:left="6480" w:hanging="360"/>
      </w:pPr>
      <w:rPr>
        <w:rFonts w:ascii="Wingdings" w:hAnsi="Wingdings" w:hint="default"/>
      </w:rPr>
    </w:lvl>
  </w:abstractNum>
  <w:num w:numId="1" w16cid:durableId="672535714">
    <w:abstractNumId w:val="2"/>
  </w:num>
  <w:num w:numId="2" w16cid:durableId="1540510894">
    <w:abstractNumId w:val="1"/>
  </w:num>
  <w:num w:numId="3" w16cid:durableId="1333337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331200"/>
    <w:rsid w:val="00231837"/>
    <w:rsid w:val="002B6382"/>
    <w:rsid w:val="0046583C"/>
    <w:rsid w:val="006A65A7"/>
    <w:rsid w:val="007C6E59"/>
    <w:rsid w:val="00A302CD"/>
    <w:rsid w:val="00AB7C5F"/>
    <w:rsid w:val="00C63A68"/>
    <w:rsid w:val="00E215A1"/>
    <w:rsid w:val="00EE248D"/>
    <w:rsid w:val="00F22E57"/>
    <w:rsid w:val="052AB27D"/>
    <w:rsid w:val="066B1926"/>
    <w:rsid w:val="0712C945"/>
    <w:rsid w:val="0BC589BF"/>
    <w:rsid w:val="0F8F4DF0"/>
    <w:rsid w:val="1B33FF8D"/>
    <w:rsid w:val="1ED40415"/>
    <w:rsid w:val="20380906"/>
    <w:rsid w:val="246251B3"/>
    <w:rsid w:val="2C44EBD8"/>
    <w:rsid w:val="2CCA75E0"/>
    <w:rsid w:val="34D91826"/>
    <w:rsid w:val="35AA9EF7"/>
    <w:rsid w:val="3A1EA3E8"/>
    <w:rsid w:val="3C458001"/>
    <w:rsid w:val="452D73DC"/>
    <w:rsid w:val="4559ACA1"/>
    <w:rsid w:val="4A2469C0"/>
    <w:rsid w:val="4E7ADE75"/>
    <w:rsid w:val="4F90677A"/>
    <w:rsid w:val="5B5E51B1"/>
    <w:rsid w:val="5CE8DA11"/>
    <w:rsid w:val="61331200"/>
    <w:rsid w:val="61CC799D"/>
    <w:rsid w:val="65CF40D8"/>
    <w:rsid w:val="66F056FA"/>
    <w:rsid w:val="69BBB5B5"/>
    <w:rsid w:val="72C68C0D"/>
    <w:rsid w:val="73EE888F"/>
    <w:rsid w:val="78B8722A"/>
    <w:rsid w:val="7A5AC2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8D9AE"/>
  <w15:chartTrackingRefBased/>
  <w15:docId w15:val="{E2968329-8983-4669-A241-78D744538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2C68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2C68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2C68C0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F90677A"/>
    <w:rPr>
      <w:color w:val="467886"/>
      <w:u w:val="single"/>
    </w:rPr>
  </w:style>
  <w:style w:type="paragraph" w:styleId="ListParagraph">
    <w:name w:val="List Paragraph"/>
    <w:basedOn w:val="Normal"/>
    <w:uiPriority w:val="34"/>
    <w:qFormat/>
    <w:rsid w:val="4A2469C0"/>
    <w:pPr>
      <w:ind w:left="720"/>
      <w:contextualSpacing/>
    </w:pPr>
  </w:style>
  <w:style w:type="character" w:styleId="UnresolvedMention">
    <w:name w:val="Unresolved Mention"/>
    <w:basedOn w:val="DefaultParagraphFont"/>
    <w:uiPriority w:val="99"/>
    <w:semiHidden/>
    <w:unhideWhenUsed/>
    <w:rsid w:val="00E215A1"/>
    <w:rPr>
      <w:color w:val="605E5C"/>
      <w:shd w:val="clear" w:color="auto" w:fill="E1DFDD"/>
    </w:rPr>
  </w:style>
  <w:style w:type="paragraph" w:styleId="TOCHeading">
    <w:name w:val="TOC Heading"/>
    <w:basedOn w:val="Heading1"/>
    <w:next w:val="Normal"/>
    <w:uiPriority w:val="39"/>
    <w:unhideWhenUsed/>
    <w:qFormat/>
    <w:rsid w:val="00C63A68"/>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C63A68"/>
    <w:pPr>
      <w:spacing w:after="100"/>
    </w:pPr>
  </w:style>
  <w:style w:type="paragraph" w:styleId="TOC3">
    <w:name w:val="toc 3"/>
    <w:basedOn w:val="Normal"/>
    <w:next w:val="Normal"/>
    <w:autoRedefine/>
    <w:uiPriority w:val="39"/>
    <w:unhideWhenUsed/>
    <w:rsid w:val="00C63A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97017.2017.1289285" TargetMode="Externa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england.nhs.uk" TargetMode="External"/><Relationship Id="rId17"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helseagreen.com/product/thinking-in-systems/" TargetMode="External"/><Relationship Id="rId5" Type="http://schemas.openxmlformats.org/officeDocument/2006/relationships/webSettings" Target="webSettings.xml"/><Relationship Id="rId15" Type="http://schemas.openxmlformats.org/officeDocument/2006/relationships/hyperlink" Target="https://www.nejm.org/doi/full/10.1056/NEJMp1011024" TargetMode="External"/><Relationship Id="rId10" Type="http://schemas.openxmlformats.org/officeDocument/2006/relationships/hyperlink" Target="https://doi.org/10.1146/annurev-psych-122414-03353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stable/249008" TargetMode="External"/><Relationship Id="rId14" Type="http://schemas.openxmlformats.org/officeDocument/2006/relationships/hyperlink" Target="https://www.leadershipacademy.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CD780-9E6D-48C5-8211-A5A2ACC29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2512</Words>
  <Characters>14320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Busra Akter Rusi (2413161)</dc:creator>
  <cp:keywords/>
  <dc:description/>
  <cp:lastModifiedBy>Md Masum Ahmed</cp:lastModifiedBy>
  <cp:revision>12</cp:revision>
  <dcterms:created xsi:type="dcterms:W3CDTF">2026-04-01T15:34:00Z</dcterms:created>
  <dcterms:modified xsi:type="dcterms:W3CDTF">2026-04-13T22:17:00Z</dcterms:modified>
</cp:coreProperties>
</file>