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07BBFF5C" w14:textId="56BD26E0" w:rsidR="0085230E" w:rsidRPr="00486120"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3A361E32" w14:textId="77777777" w:rsidR="00DD44BA" w:rsidRDefault="00DD44BA" w:rsidP="33572C6E">
            <w:pPr>
              <w:ind w:right="237"/>
              <w:rPr>
                <w:b/>
                <w:bCs/>
                <w:color w:val="auto"/>
                <w:sz w:val="32"/>
                <w:szCs w:val="32"/>
              </w:rPr>
            </w:pPr>
          </w:p>
          <w:p w14:paraId="4F47683E" w14:textId="57C1A079" w:rsidR="7908378C" w:rsidRDefault="7908378C" w:rsidP="33572C6E">
            <w:pPr>
              <w:ind w:right="237"/>
              <w:rPr>
                <w:b/>
                <w:bCs/>
                <w:color w:val="auto"/>
                <w:sz w:val="32"/>
                <w:szCs w:val="32"/>
              </w:rPr>
            </w:pPr>
            <w:r w:rsidRPr="33572C6E">
              <w:rPr>
                <w:b/>
                <w:bCs/>
                <w:color w:val="auto"/>
                <w:sz w:val="32"/>
                <w:szCs w:val="32"/>
              </w:rPr>
              <w:t xml:space="preserve">Learner name: </w:t>
            </w:r>
            <w:r w:rsidR="00DD44BA">
              <w:rPr>
                <w:b/>
                <w:bCs/>
                <w:color w:val="auto"/>
                <w:sz w:val="32"/>
                <w:szCs w:val="32"/>
              </w:rPr>
              <w:t>Paige Thomas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DCDB5BA" w:rsidR="7908378C" w:rsidRDefault="00DD44BA" w:rsidP="33572C6E">
            <w:pPr>
              <w:ind w:right="237"/>
              <w:rPr>
                <w:b/>
                <w:bCs/>
                <w:color w:val="auto"/>
                <w:sz w:val="32"/>
                <w:szCs w:val="32"/>
              </w:rPr>
            </w:pPr>
            <w:r>
              <w:rPr>
                <w:b/>
                <w:bCs/>
                <w:color w:val="auto"/>
                <w:sz w:val="32"/>
                <w:szCs w:val="32"/>
              </w:rPr>
              <w:t>2031251</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C6580A"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FA27C16"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4961BCD8" w14:textId="45967F36" w:rsidR="00536676" w:rsidRDefault="00536676" w:rsidP="5B843AF0">
      <w:pPr>
        <w:ind w:right="237"/>
        <w:jc w:val="both"/>
        <w:rPr>
          <w:rFonts w:eastAsia="Arial"/>
          <w:b/>
          <w:bCs/>
          <w:color w:val="000000" w:themeColor="text1"/>
          <w:sz w:val="24"/>
          <w:szCs w:val="24"/>
        </w:rPr>
      </w:pPr>
    </w:p>
    <w:p w14:paraId="399B252A" w14:textId="3339344E" w:rsidR="00536676" w:rsidRDefault="00536676" w:rsidP="5B843AF0">
      <w:pPr>
        <w:ind w:right="237"/>
        <w:jc w:val="both"/>
        <w:rPr>
          <w:rFonts w:eastAsia="Arial"/>
          <w:color w:val="000000" w:themeColor="text1"/>
          <w:sz w:val="24"/>
          <w:szCs w:val="24"/>
        </w:rPr>
      </w:pPr>
      <w:r>
        <w:rPr>
          <w:rFonts w:eastAsia="Arial"/>
          <w:color w:val="000000" w:themeColor="text1"/>
          <w:sz w:val="24"/>
          <w:szCs w:val="24"/>
        </w:rPr>
        <w:t>I am writing this essay in relation to an incident I attended as a response officer which involved a young boy who was getting involved in criminal activit</w:t>
      </w:r>
      <w:r w:rsidR="00C6580A">
        <w:rPr>
          <w:rFonts w:eastAsia="Arial"/>
          <w:color w:val="000000" w:themeColor="text1"/>
          <w:sz w:val="24"/>
          <w:szCs w:val="24"/>
        </w:rPr>
        <w:t xml:space="preserve">y </w:t>
      </w:r>
      <w:proofErr w:type="gramStart"/>
      <w:r w:rsidR="00C6580A">
        <w:rPr>
          <w:rFonts w:eastAsia="Arial"/>
          <w:color w:val="000000" w:themeColor="text1"/>
          <w:sz w:val="24"/>
          <w:szCs w:val="24"/>
        </w:rPr>
        <w:t>and  antisocial</w:t>
      </w:r>
      <w:proofErr w:type="gramEnd"/>
      <w:r w:rsidR="00C6580A">
        <w:rPr>
          <w:rFonts w:eastAsia="Arial"/>
          <w:color w:val="000000" w:themeColor="text1"/>
          <w:sz w:val="24"/>
          <w:szCs w:val="24"/>
        </w:rPr>
        <w:t xml:space="preserve"> behaviour</w:t>
      </w:r>
      <w:r>
        <w:rPr>
          <w:rFonts w:eastAsia="Arial"/>
          <w:color w:val="000000" w:themeColor="text1"/>
          <w:sz w:val="24"/>
          <w:szCs w:val="24"/>
        </w:rPr>
        <w:t xml:space="preserve"> and </w:t>
      </w:r>
      <w:r w:rsidR="007177C8">
        <w:rPr>
          <w:rFonts w:eastAsia="Arial"/>
          <w:color w:val="000000" w:themeColor="text1"/>
          <w:sz w:val="24"/>
          <w:szCs w:val="24"/>
        </w:rPr>
        <w:t xml:space="preserve">his involvement in this was causing </w:t>
      </w:r>
      <w:r>
        <w:rPr>
          <w:rFonts w:eastAsia="Arial"/>
          <w:color w:val="000000" w:themeColor="text1"/>
          <w:sz w:val="24"/>
          <w:szCs w:val="24"/>
        </w:rPr>
        <w:t xml:space="preserve">conflict between him and his family. We attended this incident due to a report from the boy’s mother that she was having difficulty controlling him and he was becoming aggressive. The boy was </w:t>
      </w:r>
      <w:r w:rsidR="000B48CD">
        <w:rPr>
          <w:rFonts w:eastAsia="Arial"/>
          <w:color w:val="000000" w:themeColor="text1"/>
          <w:sz w:val="24"/>
          <w:szCs w:val="24"/>
        </w:rPr>
        <w:t>1</w:t>
      </w:r>
      <w:r w:rsidR="00247179">
        <w:rPr>
          <w:rFonts w:eastAsia="Arial"/>
          <w:color w:val="000000" w:themeColor="text1"/>
          <w:sz w:val="24"/>
          <w:szCs w:val="24"/>
        </w:rPr>
        <w:t>5</w:t>
      </w:r>
      <w:r w:rsidR="000B48CD">
        <w:rPr>
          <w:rFonts w:eastAsia="Arial"/>
          <w:color w:val="000000" w:themeColor="text1"/>
          <w:sz w:val="24"/>
          <w:szCs w:val="24"/>
        </w:rPr>
        <w:t xml:space="preserve"> </w:t>
      </w:r>
      <w:r>
        <w:rPr>
          <w:rFonts w:eastAsia="Arial"/>
          <w:color w:val="000000" w:themeColor="text1"/>
          <w:sz w:val="24"/>
          <w:szCs w:val="24"/>
        </w:rPr>
        <w:t xml:space="preserve">years </w:t>
      </w:r>
      <w:proofErr w:type="gramStart"/>
      <w:r>
        <w:rPr>
          <w:rFonts w:eastAsia="Arial"/>
          <w:color w:val="000000" w:themeColor="text1"/>
          <w:sz w:val="24"/>
          <w:szCs w:val="24"/>
        </w:rPr>
        <w:t>old</w:t>
      </w:r>
      <w:proofErr w:type="gramEnd"/>
      <w:r>
        <w:rPr>
          <w:rFonts w:eastAsia="Arial"/>
          <w:color w:val="000000" w:themeColor="text1"/>
          <w:sz w:val="24"/>
          <w:szCs w:val="24"/>
        </w:rPr>
        <w:t xml:space="preserve"> and he lived at home with his mother and younger sister. It was clear that the boy did not want to communicate with police or the support that was being offered to him initially and instead the boy just wished to leave the house. </w:t>
      </w:r>
      <w:r w:rsidR="00050105">
        <w:rPr>
          <w:rFonts w:eastAsia="Arial"/>
          <w:color w:val="000000" w:themeColor="text1"/>
          <w:sz w:val="24"/>
          <w:szCs w:val="24"/>
        </w:rPr>
        <w:t xml:space="preserve">However, by altering </w:t>
      </w:r>
      <w:r w:rsidR="002C13D0">
        <w:rPr>
          <w:rFonts w:eastAsia="Arial"/>
          <w:color w:val="000000" w:themeColor="text1"/>
          <w:sz w:val="24"/>
          <w:szCs w:val="24"/>
        </w:rPr>
        <w:t>our</w:t>
      </w:r>
      <w:r w:rsidR="00050105">
        <w:rPr>
          <w:rFonts w:eastAsia="Arial"/>
          <w:color w:val="000000" w:themeColor="text1"/>
          <w:sz w:val="24"/>
          <w:szCs w:val="24"/>
        </w:rPr>
        <w:t xml:space="preserve"> approach to the boy, </w:t>
      </w:r>
      <w:r w:rsidR="007177C8">
        <w:rPr>
          <w:rFonts w:eastAsia="Arial"/>
          <w:color w:val="000000" w:themeColor="text1"/>
          <w:sz w:val="24"/>
          <w:szCs w:val="24"/>
        </w:rPr>
        <w:t xml:space="preserve">and treating him as less of a </w:t>
      </w:r>
      <w:r w:rsidR="002C13D0">
        <w:rPr>
          <w:rFonts w:eastAsia="Arial"/>
          <w:color w:val="000000" w:themeColor="text1"/>
          <w:sz w:val="24"/>
          <w:szCs w:val="24"/>
        </w:rPr>
        <w:t>criminal</w:t>
      </w:r>
      <w:r w:rsidR="007177C8">
        <w:rPr>
          <w:rFonts w:eastAsia="Arial"/>
          <w:color w:val="000000" w:themeColor="text1"/>
          <w:sz w:val="24"/>
          <w:szCs w:val="24"/>
        </w:rPr>
        <w:t xml:space="preserve"> and more of a victim, </w:t>
      </w:r>
      <w:r w:rsidR="00050105">
        <w:rPr>
          <w:rFonts w:eastAsia="Arial"/>
          <w:color w:val="000000" w:themeColor="text1"/>
          <w:sz w:val="24"/>
          <w:szCs w:val="24"/>
        </w:rPr>
        <w:t xml:space="preserve">some co-operation was </w:t>
      </w:r>
      <w:r w:rsidR="0013235A">
        <w:rPr>
          <w:rFonts w:eastAsia="Arial"/>
          <w:color w:val="000000" w:themeColor="text1"/>
          <w:sz w:val="24"/>
          <w:szCs w:val="24"/>
        </w:rPr>
        <w:t>achieved,</w:t>
      </w:r>
      <w:r w:rsidR="00050105">
        <w:rPr>
          <w:rFonts w:eastAsia="Arial"/>
          <w:color w:val="000000" w:themeColor="text1"/>
          <w:sz w:val="24"/>
          <w:szCs w:val="24"/>
        </w:rPr>
        <w:t xml:space="preserve"> and support could be offered to him and his family. The boy was becoming involved in frequent incidents of anti-social behaviour as well as petty crimes such as shoplifting, however there were concerns for the boy due to other individuals that he was becoming involved with that he </w:t>
      </w:r>
      <w:r w:rsidR="002C13D0">
        <w:rPr>
          <w:rFonts w:eastAsia="Arial"/>
          <w:color w:val="000000" w:themeColor="text1"/>
          <w:sz w:val="24"/>
          <w:szCs w:val="24"/>
        </w:rPr>
        <w:t>was</w:t>
      </w:r>
      <w:r w:rsidR="00050105">
        <w:rPr>
          <w:rFonts w:eastAsia="Arial"/>
          <w:color w:val="000000" w:themeColor="text1"/>
          <w:sz w:val="24"/>
          <w:szCs w:val="24"/>
        </w:rPr>
        <w:t xml:space="preserve"> potentially be</w:t>
      </w:r>
      <w:r w:rsidR="002C13D0">
        <w:rPr>
          <w:rFonts w:eastAsia="Arial"/>
          <w:color w:val="000000" w:themeColor="text1"/>
          <w:sz w:val="24"/>
          <w:szCs w:val="24"/>
        </w:rPr>
        <w:t>ing</w:t>
      </w:r>
      <w:r w:rsidR="00050105">
        <w:rPr>
          <w:rFonts w:eastAsia="Arial"/>
          <w:color w:val="000000" w:themeColor="text1"/>
          <w:sz w:val="24"/>
          <w:szCs w:val="24"/>
        </w:rPr>
        <w:t xml:space="preserve"> manipulated into getting involved in much more serious crimes such as drug related </w:t>
      </w:r>
      <w:r w:rsidR="002C13D0">
        <w:rPr>
          <w:rFonts w:eastAsia="Arial"/>
          <w:color w:val="000000" w:themeColor="text1"/>
          <w:sz w:val="24"/>
          <w:szCs w:val="24"/>
        </w:rPr>
        <w:t>offences</w:t>
      </w:r>
      <w:r w:rsidR="000B48CD">
        <w:rPr>
          <w:rFonts w:eastAsia="Arial"/>
          <w:color w:val="000000" w:themeColor="text1"/>
          <w:sz w:val="24"/>
          <w:szCs w:val="24"/>
        </w:rPr>
        <w:t xml:space="preserve"> and his family were growing increasingly concerned with the more frequent violent </w:t>
      </w:r>
      <w:proofErr w:type="gramStart"/>
      <w:r w:rsidR="000B48CD">
        <w:rPr>
          <w:rFonts w:eastAsia="Arial"/>
          <w:color w:val="000000" w:themeColor="text1"/>
          <w:sz w:val="24"/>
          <w:szCs w:val="24"/>
        </w:rPr>
        <w:t>behaviour</w:t>
      </w:r>
      <w:proofErr w:type="gramEnd"/>
      <w:r w:rsidR="000B48CD">
        <w:rPr>
          <w:rFonts w:eastAsia="Arial"/>
          <w:color w:val="000000" w:themeColor="text1"/>
          <w:sz w:val="24"/>
          <w:szCs w:val="24"/>
        </w:rPr>
        <w:t xml:space="preserve"> he was showing towards them.</w:t>
      </w:r>
      <w:r w:rsidR="007177C8">
        <w:rPr>
          <w:rFonts w:eastAsia="Arial"/>
          <w:color w:val="000000" w:themeColor="text1"/>
          <w:sz w:val="24"/>
          <w:szCs w:val="24"/>
        </w:rPr>
        <w:t xml:space="preserve"> </w:t>
      </w:r>
      <w:r w:rsidR="002C13D0">
        <w:rPr>
          <w:rFonts w:eastAsia="Arial"/>
          <w:color w:val="000000" w:themeColor="text1"/>
          <w:sz w:val="24"/>
          <w:szCs w:val="24"/>
        </w:rPr>
        <w:t xml:space="preserve">During police attendance at the incident, a lot of different approaches were considered as well as a lot of work following our attendance </w:t>
      </w:r>
      <w:proofErr w:type="gramStart"/>
      <w:r w:rsidR="002C13D0">
        <w:rPr>
          <w:rFonts w:eastAsia="Arial"/>
          <w:color w:val="000000" w:themeColor="text1"/>
          <w:sz w:val="24"/>
          <w:szCs w:val="24"/>
        </w:rPr>
        <w:t>in order to</w:t>
      </w:r>
      <w:proofErr w:type="gramEnd"/>
      <w:r w:rsidR="002C13D0">
        <w:rPr>
          <w:rFonts w:eastAsia="Arial"/>
          <w:color w:val="000000" w:themeColor="text1"/>
          <w:sz w:val="24"/>
          <w:szCs w:val="24"/>
        </w:rPr>
        <w:t xml:space="preserve"> ensure that the best support and advice was being put in place for the young boy and his family. </w:t>
      </w:r>
      <w:r w:rsidR="007177C8">
        <w:rPr>
          <w:rFonts w:eastAsia="Arial"/>
          <w:color w:val="000000" w:themeColor="text1"/>
          <w:sz w:val="24"/>
          <w:szCs w:val="24"/>
        </w:rPr>
        <w:t xml:space="preserve"> </w:t>
      </w:r>
    </w:p>
    <w:p w14:paraId="7CDE1090" w14:textId="6E2E5501" w:rsidR="0013235A" w:rsidRDefault="0013235A" w:rsidP="5B843AF0">
      <w:pPr>
        <w:ind w:right="237"/>
        <w:jc w:val="both"/>
        <w:rPr>
          <w:rFonts w:eastAsia="Arial"/>
          <w:color w:val="000000" w:themeColor="text1"/>
          <w:sz w:val="24"/>
          <w:szCs w:val="24"/>
        </w:rPr>
      </w:pPr>
    </w:p>
    <w:p w14:paraId="7F5385FC" w14:textId="0C8986CE" w:rsidR="00536676" w:rsidRDefault="00387BA3" w:rsidP="5B843AF0">
      <w:pPr>
        <w:ind w:right="237"/>
        <w:jc w:val="both"/>
        <w:rPr>
          <w:rFonts w:eastAsia="Arial"/>
          <w:color w:val="000000" w:themeColor="text1"/>
          <w:sz w:val="24"/>
          <w:szCs w:val="24"/>
        </w:rPr>
      </w:pPr>
      <w:proofErr w:type="gramStart"/>
      <w:r>
        <w:rPr>
          <w:rFonts w:eastAsia="Arial"/>
          <w:color w:val="000000" w:themeColor="text1"/>
          <w:sz w:val="24"/>
          <w:szCs w:val="24"/>
        </w:rPr>
        <w:t>In order to</w:t>
      </w:r>
      <w:proofErr w:type="gramEnd"/>
      <w:r>
        <w:rPr>
          <w:rFonts w:eastAsia="Arial"/>
          <w:color w:val="000000" w:themeColor="text1"/>
          <w:sz w:val="24"/>
          <w:szCs w:val="24"/>
        </w:rPr>
        <w:t xml:space="preserve"> better support or manage those who may be vulnerable, the first step in doing this is being able to identify that someone is in fact vulnerable. There are a range of different definitions for the term “vulnerable” and what it might mean. </w:t>
      </w:r>
      <w:proofErr w:type="spellStart"/>
      <w:r w:rsidR="00312D02">
        <w:rPr>
          <w:rFonts w:eastAsia="Arial"/>
          <w:color w:val="000000" w:themeColor="text1"/>
          <w:sz w:val="24"/>
          <w:szCs w:val="24"/>
        </w:rPr>
        <w:t>Keay</w:t>
      </w:r>
      <w:proofErr w:type="spellEnd"/>
      <w:r w:rsidR="00312D02">
        <w:rPr>
          <w:rFonts w:eastAsia="Arial"/>
          <w:color w:val="000000" w:themeColor="text1"/>
          <w:sz w:val="24"/>
          <w:szCs w:val="24"/>
        </w:rPr>
        <w:t xml:space="preserve"> and Kirby (2017) have already identified the difficulties establishing a shared </w:t>
      </w:r>
      <w:r w:rsidR="00312D02">
        <w:rPr>
          <w:rFonts w:eastAsia="Arial"/>
          <w:color w:val="000000" w:themeColor="text1"/>
          <w:sz w:val="24"/>
          <w:szCs w:val="24"/>
        </w:rPr>
        <w:lastRenderedPageBreak/>
        <w:t xml:space="preserve">definition for the term ‘vulnerable’ and what may contribute to an individual being classed as vulnerable. Many academic researchers agree that the term ‘vulnerable’ cannot be defined as it can involve such wide and diverse characteristics. Harmon (2016) provides a simplistic definition of “Vulnerable people are at a higher risk of being harmed”. However, in </w:t>
      </w:r>
      <w:r>
        <w:rPr>
          <w:rFonts w:eastAsia="Arial"/>
          <w:color w:val="000000" w:themeColor="text1"/>
          <w:sz w:val="24"/>
          <w:szCs w:val="24"/>
        </w:rPr>
        <w:t>a policing context</w:t>
      </w:r>
      <w:r w:rsidR="00312D02">
        <w:rPr>
          <w:rFonts w:eastAsia="Arial"/>
          <w:color w:val="000000" w:themeColor="text1"/>
          <w:sz w:val="24"/>
          <w:szCs w:val="24"/>
        </w:rPr>
        <w:t>, the College of Policing</w:t>
      </w:r>
      <w:r>
        <w:rPr>
          <w:rFonts w:eastAsia="Arial"/>
          <w:color w:val="000000" w:themeColor="text1"/>
          <w:sz w:val="24"/>
          <w:szCs w:val="24"/>
        </w:rPr>
        <w:t xml:space="preserve"> (2021)</w:t>
      </w:r>
      <w:r w:rsidR="00312D02">
        <w:rPr>
          <w:rFonts w:eastAsia="Arial"/>
          <w:color w:val="000000" w:themeColor="text1"/>
          <w:sz w:val="24"/>
          <w:szCs w:val="24"/>
        </w:rPr>
        <w:t xml:space="preserve"> states that “a person is vulnerable if, as a result of their situation or circumstances, they are unable to take care of or protect themselves or others from harm or exploitation”. </w:t>
      </w:r>
      <w:r w:rsidR="00D54B2A">
        <w:rPr>
          <w:rFonts w:eastAsia="Arial"/>
          <w:color w:val="000000" w:themeColor="text1"/>
          <w:sz w:val="24"/>
          <w:szCs w:val="24"/>
        </w:rPr>
        <w:t>One of a variety of issues with the definition of vulnerability not being one universal definition is that because of a</w:t>
      </w:r>
      <w:r w:rsidR="004F57C6">
        <w:rPr>
          <w:rFonts w:eastAsia="Arial"/>
          <w:color w:val="000000" w:themeColor="text1"/>
          <w:sz w:val="24"/>
          <w:szCs w:val="24"/>
        </w:rPr>
        <w:t xml:space="preserve"> </w:t>
      </w:r>
      <w:r w:rsidR="00D54B2A">
        <w:rPr>
          <w:rFonts w:eastAsia="Arial"/>
          <w:color w:val="000000" w:themeColor="text1"/>
          <w:sz w:val="24"/>
          <w:szCs w:val="24"/>
        </w:rPr>
        <w:t xml:space="preserve">lack of agreed understanding surrounding vulnerability, there is a lack of understanding of </w:t>
      </w:r>
      <w:r w:rsidR="00C14F4A">
        <w:rPr>
          <w:rFonts w:eastAsia="Arial"/>
          <w:color w:val="000000" w:themeColor="text1"/>
          <w:sz w:val="24"/>
          <w:szCs w:val="24"/>
        </w:rPr>
        <w:t xml:space="preserve">how this may change policies and procedures in policing </w:t>
      </w:r>
      <w:proofErr w:type="gramStart"/>
      <w:r w:rsidR="00C14F4A">
        <w:rPr>
          <w:rFonts w:eastAsia="Arial"/>
          <w:color w:val="000000" w:themeColor="text1"/>
          <w:sz w:val="24"/>
          <w:szCs w:val="24"/>
        </w:rPr>
        <w:t>and also</w:t>
      </w:r>
      <w:proofErr w:type="gramEnd"/>
      <w:r w:rsidR="00C14F4A">
        <w:rPr>
          <w:rFonts w:eastAsia="Arial"/>
          <w:color w:val="000000" w:themeColor="text1"/>
          <w:sz w:val="24"/>
          <w:szCs w:val="24"/>
        </w:rPr>
        <w:t xml:space="preserve"> how this may have an impact on the criminal justice system as a whole (</w:t>
      </w:r>
      <w:proofErr w:type="spellStart"/>
      <w:r w:rsidR="00C14F4A">
        <w:rPr>
          <w:rFonts w:eastAsia="Arial"/>
          <w:color w:val="000000" w:themeColor="text1"/>
          <w:sz w:val="24"/>
          <w:szCs w:val="24"/>
        </w:rPr>
        <w:t>Bartkowiak</w:t>
      </w:r>
      <w:proofErr w:type="spellEnd"/>
      <w:r w:rsidR="00C14F4A">
        <w:rPr>
          <w:rFonts w:eastAsia="Arial"/>
          <w:color w:val="000000" w:themeColor="text1"/>
          <w:sz w:val="24"/>
          <w:szCs w:val="24"/>
        </w:rPr>
        <w:t xml:space="preserve">-Theron &amp; Asquith, 2012). </w:t>
      </w:r>
      <w:r w:rsidR="00312D02">
        <w:rPr>
          <w:rFonts w:eastAsia="Arial"/>
          <w:color w:val="000000" w:themeColor="text1"/>
          <w:sz w:val="24"/>
          <w:szCs w:val="24"/>
        </w:rPr>
        <w:t>Applying th</w:t>
      </w:r>
      <w:r w:rsidR="00C14F4A">
        <w:rPr>
          <w:rFonts w:eastAsia="Arial"/>
          <w:color w:val="000000" w:themeColor="text1"/>
          <w:sz w:val="24"/>
          <w:szCs w:val="24"/>
        </w:rPr>
        <w:t>e definition of ‘vulnerable’ that has been accepted by South Wales Police</w:t>
      </w:r>
      <w:r>
        <w:rPr>
          <w:rFonts w:eastAsia="Arial"/>
          <w:color w:val="000000" w:themeColor="text1"/>
          <w:sz w:val="24"/>
          <w:szCs w:val="24"/>
        </w:rPr>
        <w:t xml:space="preserve"> and the College of Policing</w:t>
      </w:r>
      <w:r w:rsidR="00312D02">
        <w:rPr>
          <w:rFonts w:eastAsia="Arial"/>
          <w:color w:val="000000" w:themeColor="text1"/>
          <w:sz w:val="24"/>
          <w:szCs w:val="24"/>
        </w:rPr>
        <w:t xml:space="preserve"> to the young boy that we spoke with</w:t>
      </w:r>
      <w:r w:rsidR="00C14F4A">
        <w:rPr>
          <w:rFonts w:eastAsia="Arial"/>
          <w:color w:val="000000" w:themeColor="text1"/>
          <w:sz w:val="24"/>
          <w:szCs w:val="24"/>
        </w:rPr>
        <w:t xml:space="preserve"> during this incident</w:t>
      </w:r>
      <w:r w:rsidR="00312D02">
        <w:rPr>
          <w:rFonts w:eastAsia="Arial"/>
          <w:color w:val="000000" w:themeColor="text1"/>
          <w:sz w:val="24"/>
          <w:szCs w:val="24"/>
        </w:rPr>
        <w:t>, myself and my colleague considered the boy to be vulnerable due to his age and the fact that the boy was going out late at night and not returning home until the early hours of the morning, meaning that him being 1</w:t>
      </w:r>
      <w:r w:rsidR="00247179">
        <w:rPr>
          <w:rFonts w:eastAsia="Arial"/>
          <w:color w:val="000000" w:themeColor="text1"/>
          <w:sz w:val="24"/>
          <w:szCs w:val="24"/>
        </w:rPr>
        <w:t>5</w:t>
      </w:r>
      <w:r w:rsidR="00312D02">
        <w:rPr>
          <w:rFonts w:eastAsia="Arial"/>
          <w:color w:val="000000" w:themeColor="text1"/>
          <w:sz w:val="24"/>
          <w:szCs w:val="24"/>
        </w:rPr>
        <w:t xml:space="preserve"> and being out at such a late hour without a guardian, he would</w:t>
      </w:r>
      <w:r w:rsidR="00D54B2A">
        <w:rPr>
          <w:rFonts w:eastAsia="Arial"/>
          <w:color w:val="000000" w:themeColor="text1"/>
          <w:sz w:val="24"/>
          <w:szCs w:val="24"/>
        </w:rPr>
        <w:t xml:space="preserve"> potentially</w:t>
      </w:r>
      <w:r w:rsidR="00312D02">
        <w:rPr>
          <w:rFonts w:eastAsia="Arial"/>
          <w:color w:val="000000" w:themeColor="text1"/>
          <w:sz w:val="24"/>
          <w:szCs w:val="24"/>
        </w:rPr>
        <w:t xml:space="preserve"> be unable to protect himself or others who he may be with from suffering harm or being exploited by others. </w:t>
      </w:r>
      <w:r w:rsidR="00D54B2A">
        <w:rPr>
          <w:rFonts w:eastAsia="Arial"/>
          <w:color w:val="000000" w:themeColor="text1"/>
          <w:sz w:val="24"/>
          <w:szCs w:val="24"/>
        </w:rPr>
        <w:t>Due to the increase of focus on vulnerability and how to police vulnerability in the UK, particularly in South Wales. Police officers have been required to adapt their approaches and methods in how to deal with these vulnerabilities to ensure that every victim is fairly treated and satisfied with the service that they received</w:t>
      </w:r>
      <w:r>
        <w:rPr>
          <w:rFonts w:eastAsia="Arial"/>
          <w:color w:val="000000" w:themeColor="text1"/>
          <w:sz w:val="24"/>
          <w:szCs w:val="24"/>
        </w:rPr>
        <w:t xml:space="preserve"> to ensure they are better protected and their risk of coming to harm is reduced. </w:t>
      </w:r>
      <w:r w:rsidR="00570C1D">
        <w:rPr>
          <w:rFonts w:eastAsia="Arial"/>
          <w:color w:val="000000" w:themeColor="text1"/>
          <w:sz w:val="24"/>
          <w:szCs w:val="24"/>
        </w:rPr>
        <w:t xml:space="preserve">It is important to note than regardless of the boy being the offender in the incident we attended, he is still </w:t>
      </w:r>
      <w:proofErr w:type="gramStart"/>
      <w:r w:rsidR="00570C1D">
        <w:rPr>
          <w:rFonts w:eastAsia="Arial"/>
          <w:color w:val="000000" w:themeColor="text1"/>
          <w:sz w:val="24"/>
          <w:szCs w:val="24"/>
        </w:rPr>
        <w:t>vulnerable</w:t>
      </w:r>
      <w:proofErr w:type="gramEnd"/>
      <w:r w:rsidR="00570C1D">
        <w:rPr>
          <w:rFonts w:eastAsia="Arial"/>
          <w:color w:val="000000" w:themeColor="text1"/>
          <w:sz w:val="24"/>
          <w:szCs w:val="24"/>
        </w:rPr>
        <w:t xml:space="preserve"> and this can very much be the case in many different scenarios. </w:t>
      </w:r>
    </w:p>
    <w:p w14:paraId="4A423515" w14:textId="68FB524C" w:rsidR="00C14F4A" w:rsidRDefault="00C14F4A" w:rsidP="5B843AF0">
      <w:pPr>
        <w:ind w:right="237"/>
        <w:jc w:val="both"/>
        <w:rPr>
          <w:rFonts w:eastAsia="Arial"/>
          <w:color w:val="000000" w:themeColor="text1"/>
          <w:sz w:val="24"/>
          <w:szCs w:val="24"/>
        </w:rPr>
      </w:pPr>
    </w:p>
    <w:p w14:paraId="0C912E7D" w14:textId="2EDF3E4D" w:rsidR="00C14F4A" w:rsidRDefault="00C14F4A" w:rsidP="5B843AF0">
      <w:pPr>
        <w:ind w:right="237"/>
        <w:jc w:val="both"/>
        <w:rPr>
          <w:rFonts w:eastAsia="Arial"/>
          <w:color w:val="000000" w:themeColor="text1"/>
          <w:sz w:val="24"/>
          <w:szCs w:val="24"/>
        </w:rPr>
      </w:pPr>
      <w:proofErr w:type="gramStart"/>
      <w:r>
        <w:rPr>
          <w:rFonts w:eastAsia="Arial"/>
          <w:color w:val="000000" w:themeColor="text1"/>
          <w:sz w:val="24"/>
          <w:szCs w:val="24"/>
        </w:rPr>
        <w:t>In order to</w:t>
      </w:r>
      <w:proofErr w:type="gramEnd"/>
      <w:r>
        <w:rPr>
          <w:rFonts w:eastAsia="Arial"/>
          <w:color w:val="000000" w:themeColor="text1"/>
          <w:sz w:val="24"/>
          <w:szCs w:val="24"/>
        </w:rPr>
        <w:t xml:space="preserve"> help police forces to better deal with vulnerable people, whether that be victims or offenders who turn out to be vulnerable, the National Police Chiefs’ Council (NPCC) established the National Vulnerability Action Plan to outline key themes that are important in assisting vulnerable people. These key themes include: (1) Early intervention &amp; prevention, (2) Protecting, supporting, </w:t>
      </w:r>
      <w:r w:rsidR="004F57C6">
        <w:rPr>
          <w:rFonts w:eastAsia="Arial"/>
          <w:color w:val="000000" w:themeColor="text1"/>
          <w:sz w:val="24"/>
          <w:szCs w:val="24"/>
        </w:rPr>
        <w:t>safeguarding,</w:t>
      </w:r>
      <w:r>
        <w:rPr>
          <w:rFonts w:eastAsia="Arial"/>
          <w:color w:val="000000" w:themeColor="text1"/>
          <w:sz w:val="24"/>
          <w:szCs w:val="24"/>
        </w:rPr>
        <w:t xml:space="preserve"> and managing risk, (3)</w:t>
      </w:r>
      <w:r w:rsidR="004F57C6">
        <w:rPr>
          <w:rFonts w:eastAsia="Arial"/>
          <w:color w:val="000000" w:themeColor="text1"/>
          <w:sz w:val="24"/>
          <w:szCs w:val="24"/>
        </w:rPr>
        <w:t xml:space="preserve"> </w:t>
      </w:r>
      <w:r>
        <w:rPr>
          <w:rFonts w:eastAsia="Arial"/>
          <w:color w:val="000000" w:themeColor="text1"/>
          <w:sz w:val="24"/>
          <w:szCs w:val="24"/>
        </w:rPr>
        <w:t>Information, intelligence, data collection &amp; management information (4)</w:t>
      </w:r>
      <w:r w:rsidR="004F57C6">
        <w:rPr>
          <w:rFonts w:eastAsia="Arial"/>
          <w:color w:val="000000" w:themeColor="text1"/>
          <w:sz w:val="24"/>
          <w:szCs w:val="24"/>
        </w:rPr>
        <w:t xml:space="preserve"> </w:t>
      </w:r>
      <w:r>
        <w:rPr>
          <w:rFonts w:eastAsia="Arial"/>
          <w:color w:val="000000" w:themeColor="text1"/>
          <w:sz w:val="24"/>
          <w:szCs w:val="24"/>
        </w:rPr>
        <w:t>Effective investigation &amp; outcomes, (5) Leadership, (6)</w:t>
      </w:r>
      <w:r w:rsidR="004F57C6">
        <w:rPr>
          <w:rFonts w:eastAsia="Arial"/>
          <w:color w:val="000000" w:themeColor="text1"/>
          <w:sz w:val="24"/>
          <w:szCs w:val="24"/>
        </w:rPr>
        <w:t xml:space="preserve"> </w:t>
      </w:r>
      <w:r>
        <w:rPr>
          <w:rFonts w:eastAsia="Arial"/>
          <w:color w:val="000000" w:themeColor="text1"/>
          <w:sz w:val="24"/>
          <w:szCs w:val="24"/>
        </w:rPr>
        <w:t xml:space="preserve">Learning &amp; Development, (7) Communications. </w:t>
      </w:r>
      <w:r w:rsidR="001E7F3B">
        <w:rPr>
          <w:rFonts w:eastAsia="Arial"/>
          <w:color w:val="000000" w:themeColor="text1"/>
          <w:sz w:val="24"/>
          <w:szCs w:val="24"/>
        </w:rPr>
        <w:t xml:space="preserve">Myself and my colleagues initial response to this incident, </w:t>
      </w:r>
      <w:r w:rsidR="00465861">
        <w:rPr>
          <w:rFonts w:eastAsia="Arial"/>
          <w:color w:val="000000" w:themeColor="text1"/>
          <w:sz w:val="24"/>
          <w:szCs w:val="24"/>
        </w:rPr>
        <w:t xml:space="preserve">easily linked in with the early intervention and prevention stage of the NPCC Action Plan as I felt it was important to get help for the family and for the boy as early as possible in order to have the best chance at helping them with the risks that the boy was potentially exposing himself to as well as the increasing issues it was causing for his family. </w:t>
      </w:r>
      <w:r w:rsidR="004F57C6">
        <w:rPr>
          <w:rFonts w:eastAsia="Arial"/>
          <w:color w:val="000000" w:themeColor="text1"/>
          <w:sz w:val="24"/>
          <w:szCs w:val="24"/>
        </w:rPr>
        <w:t>As well as this</w:t>
      </w:r>
      <w:r w:rsidR="00091CCB">
        <w:rPr>
          <w:rFonts w:eastAsia="Arial"/>
          <w:color w:val="000000" w:themeColor="text1"/>
          <w:sz w:val="24"/>
          <w:szCs w:val="24"/>
        </w:rPr>
        <w:t>,</w:t>
      </w:r>
      <w:r w:rsidR="004F57C6">
        <w:rPr>
          <w:rFonts w:eastAsia="Arial"/>
          <w:color w:val="000000" w:themeColor="text1"/>
          <w:sz w:val="24"/>
          <w:szCs w:val="24"/>
        </w:rPr>
        <w:t xml:space="preserve"> and </w:t>
      </w:r>
      <w:proofErr w:type="gramStart"/>
      <w:r w:rsidR="004F57C6">
        <w:rPr>
          <w:rFonts w:eastAsia="Arial"/>
          <w:color w:val="000000" w:themeColor="text1"/>
          <w:sz w:val="24"/>
          <w:szCs w:val="24"/>
        </w:rPr>
        <w:t>in order to</w:t>
      </w:r>
      <w:proofErr w:type="gramEnd"/>
      <w:r w:rsidR="004F57C6">
        <w:rPr>
          <w:rFonts w:eastAsia="Arial"/>
          <w:color w:val="000000" w:themeColor="text1"/>
          <w:sz w:val="24"/>
          <w:szCs w:val="24"/>
        </w:rPr>
        <w:t xml:space="preserve"> provide the young male’s family with better protection and support around his behaviour, I decided it would be appropriate to complete an Early Help Referral to the local children’s services in order to make them aware of the struggles that the family are having and that they </w:t>
      </w:r>
      <w:r w:rsidR="0060168B">
        <w:rPr>
          <w:rFonts w:eastAsia="Arial"/>
          <w:noProof/>
          <w:color w:val="000000" w:themeColor="text1"/>
          <w:sz w:val="24"/>
          <w:szCs w:val="24"/>
        </w:rPr>
        <mc:AlternateContent>
          <mc:Choice Requires="aink">
            <w:drawing>
              <wp:anchor distT="0" distB="0" distL="114300" distR="114300" simplePos="0" relativeHeight="251697152" behindDoc="0" locked="0" layoutInCell="1" allowOverlap="1" wp14:anchorId="74CCDD5C" wp14:editId="29A2DB71">
                <wp:simplePos x="0" y="0"/>
                <wp:positionH relativeFrom="column">
                  <wp:posOffset>1641475</wp:posOffset>
                </wp:positionH>
                <wp:positionV relativeFrom="paragraph">
                  <wp:posOffset>-647160</wp:posOffset>
                </wp:positionV>
                <wp:extent cx="986400" cy="479880"/>
                <wp:effectExtent l="0" t="0" r="0" b="0"/>
                <wp:wrapNone/>
                <wp:docPr id="61" name="Ink 61"/>
                <wp:cNvGraphicFramePr/>
                <a:graphic xmlns:a="http://schemas.openxmlformats.org/drawingml/2006/main">
                  <a:graphicData uri="http://schemas.microsoft.com/office/word/2010/wordprocessingInk">
                    <w14:contentPart bwMode="auto" r:id="rId15">
                      <w14:nvContentPartPr>
                        <w14:cNvContentPartPr/>
                      </w14:nvContentPartPr>
                      <w14:xfrm>
                        <a:off x="0" y="0"/>
                        <a:ext cx="986400" cy="479880"/>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97152" behindDoc="0" locked="0" layoutInCell="1" allowOverlap="1" wp14:anchorId="74CCDD5C" wp14:editId="29A2DB71">
                <wp:simplePos x="0" y="0"/>
                <wp:positionH relativeFrom="column">
                  <wp:posOffset>1641475</wp:posOffset>
                </wp:positionH>
                <wp:positionV relativeFrom="paragraph">
                  <wp:posOffset>-647160</wp:posOffset>
                </wp:positionV>
                <wp:extent cx="986400" cy="479880"/>
                <wp:effectExtent l="0" t="0" r="0" b="0"/>
                <wp:wrapNone/>
                <wp:docPr id="61" name="Ink 61"/>
                <wp:cNvGraphicFramePr/>
                <a:graphic xmlns:a="http://schemas.openxmlformats.org/drawingml/2006/main">
                  <a:graphicData uri="http://schemas.openxmlformats.org/drawingml/2006/picture">
                    <pic:pic xmlns:pic="http://schemas.openxmlformats.org/drawingml/2006/picture">
                      <pic:nvPicPr>
                        <pic:cNvPr id="61" name="Ink 61"/>
                        <pic:cNvPicPr/>
                      </pic:nvPicPr>
                      <pic:blipFill>
                        <a:blip r:embed="rId16"/>
                        <a:stretch>
                          <a:fillRect/>
                        </a:stretch>
                      </pic:blipFill>
                      <pic:spPr>
                        <a:xfrm>
                          <a:off x="0" y="0"/>
                          <a:ext cx="1004040" cy="49752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4F57C6">
        <w:rPr>
          <w:rFonts w:eastAsia="Arial"/>
          <w:color w:val="000000" w:themeColor="text1"/>
          <w:sz w:val="24"/>
          <w:szCs w:val="24"/>
        </w:rPr>
        <w:t xml:space="preserve">are open to further support from other agencies. I believe that taking this step means that both the young boy and the family can both receive support surrounding his behaviour and how it may be best to manage him when he may have outbursts of anger. </w:t>
      </w:r>
      <w:r w:rsidR="007177C8">
        <w:rPr>
          <w:rFonts w:eastAsia="Arial"/>
          <w:color w:val="000000" w:themeColor="text1"/>
          <w:sz w:val="24"/>
          <w:szCs w:val="24"/>
        </w:rPr>
        <w:t xml:space="preserve">In incidents such as this one, early intervention was pivotal </w:t>
      </w:r>
      <w:proofErr w:type="gramStart"/>
      <w:r w:rsidR="007177C8">
        <w:rPr>
          <w:rFonts w:eastAsia="Arial"/>
          <w:color w:val="000000" w:themeColor="text1"/>
          <w:sz w:val="24"/>
          <w:szCs w:val="24"/>
        </w:rPr>
        <w:t>in order to</w:t>
      </w:r>
      <w:proofErr w:type="gramEnd"/>
      <w:r w:rsidR="007177C8">
        <w:rPr>
          <w:rFonts w:eastAsia="Arial"/>
          <w:color w:val="000000" w:themeColor="text1"/>
          <w:sz w:val="24"/>
          <w:szCs w:val="24"/>
        </w:rPr>
        <w:t xml:space="preserve"> help the family and the boy and to keep him on the best path for him. His mother was trying continuously to keep her son away from criminal activity. </w:t>
      </w:r>
      <w:r w:rsidR="004F57C6">
        <w:rPr>
          <w:rFonts w:eastAsia="Arial"/>
          <w:color w:val="000000" w:themeColor="text1"/>
          <w:sz w:val="24"/>
          <w:szCs w:val="24"/>
        </w:rPr>
        <w:t xml:space="preserve">I felt as though providing the young boy and his family with these options enabled a good rapport </w:t>
      </w:r>
      <w:r w:rsidR="004F57C6">
        <w:rPr>
          <w:rFonts w:eastAsia="Arial"/>
          <w:color w:val="000000" w:themeColor="text1"/>
          <w:sz w:val="24"/>
          <w:szCs w:val="24"/>
        </w:rPr>
        <w:lastRenderedPageBreak/>
        <w:t xml:space="preserve">to be built between the family and police to potentially strengthen the relationship as well as make a positive impact on their lives. </w:t>
      </w:r>
    </w:p>
    <w:p w14:paraId="4699C018" w14:textId="136B3B7A" w:rsidR="004F57C6" w:rsidRDefault="004F57C6" w:rsidP="5B843AF0">
      <w:pPr>
        <w:ind w:right="237"/>
        <w:jc w:val="both"/>
        <w:rPr>
          <w:rFonts w:eastAsia="Arial"/>
          <w:color w:val="000000" w:themeColor="text1"/>
          <w:sz w:val="24"/>
          <w:szCs w:val="24"/>
        </w:rPr>
      </w:pPr>
    </w:p>
    <w:p w14:paraId="13D57A3C" w14:textId="3FB66E36" w:rsidR="004F57C6" w:rsidRDefault="0060168B" w:rsidP="5B843AF0">
      <w:pPr>
        <w:ind w:right="237"/>
        <w:jc w:val="both"/>
        <w:rPr>
          <w:rFonts w:eastAsia="Arial"/>
          <w:color w:val="000000" w:themeColor="text1"/>
          <w:sz w:val="24"/>
          <w:szCs w:val="24"/>
        </w:rPr>
      </w:pPr>
      <w:r>
        <w:rPr>
          <w:rFonts w:eastAsia="Arial"/>
          <w:noProof/>
          <w:color w:val="000000" w:themeColor="text1"/>
          <w:sz w:val="24"/>
          <w:szCs w:val="24"/>
        </w:rPr>
        <mc:AlternateContent>
          <mc:Choice Requires="aink">
            <w:drawing>
              <wp:anchor distT="0" distB="0" distL="114300" distR="114300" simplePos="0" relativeHeight="251662336" behindDoc="0" locked="0" layoutInCell="1" allowOverlap="1" wp14:anchorId="6311674C" wp14:editId="09AF03FD">
                <wp:simplePos x="0" y="0"/>
                <wp:positionH relativeFrom="column">
                  <wp:posOffset>5390723</wp:posOffset>
                </wp:positionH>
                <wp:positionV relativeFrom="paragraph">
                  <wp:posOffset>626917</wp:posOffset>
                </wp:positionV>
                <wp:extent cx="7920" cy="1440"/>
                <wp:effectExtent l="38100" t="57150" r="49530" b="36830"/>
                <wp:wrapNone/>
                <wp:docPr id="13" name="Ink 13"/>
                <wp:cNvGraphicFramePr/>
                <a:graphic xmlns:a="http://schemas.openxmlformats.org/drawingml/2006/main">
                  <a:graphicData uri="http://schemas.microsoft.com/office/word/2010/wordprocessingInk">
                    <w14:contentPart bwMode="auto" r:id="rId17">
                      <w14:nvContentPartPr>
                        <w14:cNvContentPartPr/>
                      </w14:nvContentPartPr>
                      <w14:xfrm>
                        <a:off x="0" y="0"/>
                        <a:ext cx="7920" cy="1440"/>
                      </w14:xfrm>
                    </w14:contentPart>
                  </a:graphicData>
                </a:graphic>
              </wp:anchor>
            </w:drawing>
          </mc:Choice>
          <mc:Fallback>
            <w:drawing>
              <wp:anchor distT="0" distB="0" distL="114300" distR="114300" simplePos="0" relativeHeight="251662336" behindDoc="0" locked="0" layoutInCell="1" allowOverlap="1" wp14:anchorId="6311674C" wp14:editId="09AF03FD">
                <wp:simplePos x="0" y="0"/>
                <wp:positionH relativeFrom="column">
                  <wp:posOffset>5390723</wp:posOffset>
                </wp:positionH>
                <wp:positionV relativeFrom="paragraph">
                  <wp:posOffset>626917</wp:posOffset>
                </wp:positionV>
                <wp:extent cx="7920" cy="1440"/>
                <wp:effectExtent l="38100" t="57150" r="49530" b="36830"/>
                <wp:wrapNone/>
                <wp:docPr id="13" name="Ink 13"/>
                <wp:cNvGraphicFramePr/>
                <a:graphic xmlns:a="http://schemas.openxmlformats.org/drawingml/2006/main">
                  <a:graphicData uri="http://schemas.openxmlformats.org/drawingml/2006/picture">
                    <pic:pic xmlns:pic="http://schemas.openxmlformats.org/drawingml/2006/picture">
                      <pic:nvPicPr>
                        <pic:cNvPr id="13" name="Ink 13"/>
                        <pic:cNvPicPr/>
                      </pic:nvPicPr>
                      <pic:blipFill>
                        <a:blip r:embed="rId18"/>
                        <a:stretch>
                          <a:fillRect/>
                        </a:stretch>
                      </pic:blipFill>
                      <pic:spPr>
                        <a:xfrm>
                          <a:off x="0" y="0"/>
                          <a:ext cx="25560" cy="19080"/>
                        </a:xfrm>
                        <a:prstGeom prst="rect">
                          <a:avLst/>
                        </a:prstGeom>
                      </pic:spPr>
                    </pic:pic>
                  </a:graphicData>
                </a:graphic>
              </wp:anchor>
            </w:drawing>
          </mc:Fallback>
        </mc:AlternateContent>
      </w:r>
      <w:r>
        <w:rPr>
          <w:rFonts w:eastAsia="Arial"/>
          <w:noProof/>
          <w:color w:val="000000" w:themeColor="text1"/>
          <w:sz w:val="24"/>
          <w:szCs w:val="24"/>
        </w:rPr>
        <mc:AlternateContent>
          <mc:Choice Requires="aink">
            <w:drawing>
              <wp:anchor distT="0" distB="0" distL="114300" distR="114300" simplePos="0" relativeHeight="251661312" behindDoc="0" locked="0" layoutInCell="1" allowOverlap="1" wp14:anchorId="7B20C521" wp14:editId="35D29D02">
                <wp:simplePos x="0" y="0"/>
                <wp:positionH relativeFrom="column">
                  <wp:posOffset>5502735</wp:posOffset>
                </wp:positionH>
                <wp:positionV relativeFrom="paragraph">
                  <wp:posOffset>583495</wp:posOffset>
                </wp:positionV>
                <wp:extent cx="39600" cy="23040"/>
                <wp:effectExtent l="57150" t="57150" r="36830" b="53340"/>
                <wp:wrapNone/>
                <wp:docPr id="12" name="Ink 12"/>
                <wp:cNvGraphicFramePr/>
                <a:graphic xmlns:a="http://schemas.openxmlformats.org/drawingml/2006/main">
                  <a:graphicData uri="http://schemas.microsoft.com/office/word/2010/wordprocessingInk">
                    <w14:contentPart bwMode="auto" r:id="rId19">
                      <w14:nvContentPartPr>
                        <w14:cNvContentPartPr/>
                      </w14:nvContentPartPr>
                      <w14:xfrm>
                        <a:off x="0" y="0"/>
                        <a:ext cx="39600" cy="23040"/>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1312" behindDoc="0" locked="0" layoutInCell="1" allowOverlap="1" wp14:anchorId="7B20C521" wp14:editId="35D29D02">
                <wp:simplePos x="0" y="0"/>
                <wp:positionH relativeFrom="column">
                  <wp:posOffset>5502735</wp:posOffset>
                </wp:positionH>
                <wp:positionV relativeFrom="paragraph">
                  <wp:posOffset>583495</wp:posOffset>
                </wp:positionV>
                <wp:extent cx="39600" cy="23040"/>
                <wp:effectExtent l="57150" t="57150" r="36830" b="53340"/>
                <wp:wrapNone/>
                <wp:docPr id="12" name="Ink 12"/>
                <wp:cNvGraphicFramePr/>
                <a:graphic xmlns:a="http://schemas.openxmlformats.org/drawingml/2006/main">
                  <a:graphicData uri="http://schemas.openxmlformats.org/drawingml/2006/picture">
                    <pic:pic xmlns:pic="http://schemas.openxmlformats.org/drawingml/2006/picture">
                      <pic:nvPicPr>
                        <pic:cNvPr id="12" name="Ink 12"/>
                        <pic:cNvPicPr/>
                      </pic:nvPicPr>
                      <pic:blipFill>
                        <a:blip r:embed="rId20"/>
                        <a:stretch>
                          <a:fillRect/>
                        </a:stretch>
                      </pic:blipFill>
                      <pic:spPr>
                        <a:xfrm>
                          <a:off x="0" y="0"/>
                          <a:ext cx="57240" cy="4068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B4494F">
        <w:rPr>
          <w:rFonts w:eastAsia="Arial"/>
          <w:color w:val="000000" w:themeColor="text1"/>
          <w:sz w:val="24"/>
          <w:szCs w:val="24"/>
        </w:rPr>
        <w:t>Some studies suggest a strong link between mental health and criminal behaviour in individuals (Flynn et al, 2014) as well as some suggesting that individuals who are involved in long term criminal lifestyles suffering from poorer mental health than members of society who do not</w:t>
      </w:r>
      <w:r>
        <w:rPr>
          <w:rFonts w:eastAsia="Arial"/>
          <w:color w:val="000000" w:themeColor="text1"/>
          <w:sz w:val="24"/>
          <w:szCs w:val="24"/>
        </w:rPr>
        <w:t xml:space="preserve"> engage in criminal activity</w:t>
      </w:r>
      <w:r w:rsidR="00B4494F">
        <w:rPr>
          <w:rFonts w:eastAsia="Arial"/>
          <w:color w:val="000000" w:themeColor="text1"/>
          <w:sz w:val="24"/>
          <w:szCs w:val="24"/>
        </w:rPr>
        <w:t xml:space="preserve"> (McGee et al, 2011)</w:t>
      </w:r>
      <w:r>
        <w:rPr>
          <w:rFonts w:eastAsia="Arial"/>
          <w:color w:val="000000" w:themeColor="text1"/>
          <w:sz w:val="24"/>
          <w:szCs w:val="24"/>
        </w:rPr>
        <w:t xml:space="preserve">. </w:t>
      </w:r>
      <w:r w:rsidR="00652B9B">
        <w:rPr>
          <w:rFonts w:eastAsia="Arial"/>
          <w:color w:val="000000" w:themeColor="text1"/>
          <w:sz w:val="24"/>
          <w:szCs w:val="24"/>
        </w:rPr>
        <w:t xml:space="preserve">Purcell and Harrigan (2017) also identified that some young people who suffer with mental health issues such as anxiety and depression can be more vulnerable to criminal victimisation, meaning that in this incident, the young boy’s mental health issues may lead to him being a victim of more serious crimes in the future by those who he may place his trust into. </w:t>
      </w:r>
      <w:r w:rsidR="000B48CD">
        <w:rPr>
          <w:rFonts w:eastAsia="Arial"/>
          <w:color w:val="000000" w:themeColor="text1"/>
          <w:sz w:val="24"/>
          <w:szCs w:val="24"/>
        </w:rPr>
        <w:t>Following an at length conversation with the young boy, he informed me that he believed he had been developing anxiety as well as some anger problems that he had not discussed with his parents. The young boy seemed willing to engage regarding getting some help for his mental health however was unsure of the route he could take or what he could do about it.</w:t>
      </w:r>
      <w:r w:rsidR="00E97B8C">
        <w:rPr>
          <w:rFonts w:eastAsia="Arial"/>
          <w:color w:val="000000" w:themeColor="text1"/>
          <w:sz w:val="24"/>
          <w:szCs w:val="24"/>
        </w:rPr>
        <w:t xml:space="preserve"> </w:t>
      </w:r>
      <w:proofErr w:type="gramStart"/>
      <w:r w:rsidR="00E97B8C">
        <w:rPr>
          <w:rFonts w:eastAsia="Arial"/>
          <w:color w:val="000000" w:themeColor="text1"/>
          <w:sz w:val="24"/>
          <w:szCs w:val="24"/>
        </w:rPr>
        <w:t>In regards to</w:t>
      </w:r>
      <w:proofErr w:type="gramEnd"/>
      <w:r w:rsidR="00E97B8C">
        <w:rPr>
          <w:rFonts w:eastAsia="Arial"/>
          <w:color w:val="000000" w:themeColor="text1"/>
          <w:sz w:val="24"/>
          <w:szCs w:val="24"/>
        </w:rPr>
        <w:t xml:space="preserve"> this, I identified the mental health issues that the young male was having as another potential contributing factor to his offending as well as his levels of vulnerability. The young </w:t>
      </w:r>
      <w:proofErr w:type="gramStart"/>
      <w:r w:rsidR="00E97B8C">
        <w:rPr>
          <w:rFonts w:eastAsia="Arial"/>
          <w:color w:val="000000" w:themeColor="text1"/>
          <w:sz w:val="24"/>
          <w:szCs w:val="24"/>
        </w:rPr>
        <w:t>boys</w:t>
      </w:r>
      <w:proofErr w:type="gramEnd"/>
      <w:r w:rsidR="00E97B8C">
        <w:rPr>
          <w:rFonts w:eastAsia="Arial"/>
          <w:color w:val="000000" w:themeColor="text1"/>
          <w:sz w:val="24"/>
          <w:szCs w:val="24"/>
        </w:rPr>
        <w:t xml:space="preserve"> issues with mental health could potentially contribute to the chances of him being taken advantage of or manipulated by </w:t>
      </w:r>
      <w:r w:rsidR="002479CC">
        <w:rPr>
          <w:rFonts w:eastAsia="Arial"/>
          <w:color w:val="000000" w:themeColor="text1"/>
          <w:sz w:val="24"/>
          <w:szCs w:val="24"/>
        </w:rPr>
        <w:t xml:space="preserve">individuals who are older than him. The young </w:t>
      </w:r>
      <w:proofErr w:type="gramStart"/>
      <w:r w:rsidR="002479CC">
        <w:rPr>
          <w:rFonts w:eastAsia="Arial"/>
          <w:color w:val="000000" w:themeColor="text1"/>
          <w:sz w:val="24"/>
          <w:szCs w:val="24"/>
        </w:rPr>
        <w:t>boys</w:t>
      </w:r>
      <w:proofErr w:type="gramEnd"/>
      <w:r w:rsidR="002479CC">
        <w:rPr>
          <w:rFonts w:eastAsia="Arial"/>
          <w:color w:val="000000" w:themeColor="text1"/>
          <w:sz w:val="24"/>
          <w:szCs w:val="24"/>
        </w:rPr>
        <w:t xml:space="preserve"> risk of victimisation is far more increased by not only his mental health, but also his age. Although in this incident, the young boy was seen as the offender, he is also a victim to socialisation and potentially being taken advantage of or being involved in ‘the wrong crowd’ as prior to him being involved with certain people, his mother disclosed that he was in very little trouble. </w:t>
      </w:r>
      <w:r w:rsidR="009E5558">
        <w:rPr>
          <w:rFonts w:eastAsia="Arial"/>
          <w:color w:val="000000" w:themeColor="text1"/>
          <w:sz w:val="24"/>
          <w:szCs w:val="24"/>
        </w:rPr>
        <w:t xml:space="preserve">It has been suggested by some that “if many of the people with mental illness received the services they needed, they would not end up under arrest, in jail, or facing charges in court” (Council of State Governments, 2002). This approach to young people, mental health and crime, meant it was important to potentially address the young boy’s mental health issues first and get him the support he may need in order to establish better </w:t>
      </w:r>
      <w:proofErr w:type="gramStart"/>
      <w:r w:rsidR="009E5558">
        <w:rPr>
          <w:rFonts w:eastAsia="Arial"/>
          <w:color w:val="000000" w:themeColor="text1"/>
          <w:sz w:val="24"/>
          <w:szCs w:val="24"/>
        </w:rPr>
        <w:t>help  and</w:t>
      </w:r>
      <w:proofErr w:type="gramEnd"/>
      <w:r w:rsidR="009E5558">
        <w:rPr>
          <w:rFonts w:eastAsia="Arial"/>
          <w:color w:val="000000" w:themeColor="text1"/>
          <w:sz w:val="24"/>
          <w:szCs w:val="24"/>
        </w:rPr>
        <w:t xml:space="preserve"> support for him, this may in turn mean he is less likely to turn to criminal behaviour in the future. </w:t>
      </w:r>
      <w:r w:rsidR="000A765A">
        <w:rPr>
          <w:rFonts w:eastAsia="Arial"/>
          <w:color w:val="000000" w:themeColor="text1"/>
          <w:sz w:val="24"/>
          <w:szCs w:val="24"/>
        </w:rPr>
        <w:t xml:space="preserve">Wolff (1998) noted the lack of communication between criminal justice systems and the mental health systems that are already in place, and how there has been a lack of communication between these parties over a substantial </w:t>
      </w:r>
      <w:proofErr w:type="gramStart"/>
      <w:r w:rsidR="000A765A">
        <w:rPr>
          <w:rFonts w:eastAsia="Arial"/>
          <w:color w:val="000000" w:themeColor="text1"/>
          <w:sz w:val="24"/>
          <w:szCs w:val="24"/>
        </w:rPr>
        <w:t>period of time</w:t>
      </w:r>
      <w:proofErr w:type="gramEnd"/>
      <w:r w:rsidR="000A765A">
        <w:rPr>
          <w:rFonts w:eastAsia="Arial"/>
          <w:color w:val="000000" w:themeColor="text1"/>
          <w:sz w:val="24"/>
          <w:szCs w:val="24"/>
        </w:rPr>
        <w:t xml:space="preserve"> without anything changing to attempt to help the issue. </w:t>
      </w:r>
      <w:r w:rsidR="009E5558">
        <w:rPr>
          <w:rFonts w:eastAsia="Arial"/>
          <w:color w:val="000000" w:themeColor="text1"/>
          <w:sz w:val="24"/>
          <w:szCs w:val="24"/>
        </w:rPr>
        <w:t xml:space="preserve">Cuellar, </w:t>
      </w:r>
      <w:proofErr w:type="gramStart"/>
      <w:r w:rsidR="009E5558">
        <w:rPr>
          <w:rFonts w:eastAsia="Arial"/>
          <w:color w:val="000000" w:themeColor="text1"/>
          <w:sz w:val="24"/>
          <w:szCs w:val="24"/>
        </w:rPr>
        <w:t>McReynolds</w:t>
      </w:r>
      <w:proofErr w:type="gramEnd"/>
      <w:r w:rsidR="009E5558">
        <w:rPr>
          <w:rFonts w:eastAsia="Arial"/>
          <w:color w:val="000000" w:themeColor="text1"/>
          <w:sz w:val="24"/>
          <w:szCs w:val="24"/>
        </w:rPr>
        <w:t xml:space="preserve"> and Wasserman (2006) focused their report on the importance of mental health diversion programmes and the effectiveness that may lie behind helping young people to access support for their mental health as a form of out of court disposal as opposed to being charged with the offences they have committed through a more criminal route. This has been identified as a relatively new </w:t>
      </w:r>
      <w:r w:rsidR="000A765A">
        <w:rPr>
          <w:rFonts w:eastAsia="Arial"/>
          <w:color w:val="000000" w:themeColor="text1"/>
          <w:sz w:val="24"/>
          <w:szCs w:val="24"/>
        </w:rPr>
        <w:t xml:space="preserve">programme and research into whether this works will take a substantial amount of time. </w:t>
      </w:r>
      <w:r w:rsidR="009E5558">
        <w:rPr>
          <w:rFonts w:eastAsia="Arial"/>
          <w:color w:val="000000" w:themeColor="text1"/>
          <w:sz w:val="24"/>
          <w:szCs w:val="24"/>
        </w:rPr>
        <w:t xml:space="preserve"> </w:t>
      </w:r>
    </w:p>
    <w:p w14:paraId="07B27C5A" w14:textId="2F399B91" w:rsidR="000B48CD" w:rsidRPr="00312D02" w:rsidRDefault="000B48CD" w:rsidP="5B843AF0">
      <w:pPr>
        <w:ind w:right="237"/>
        <w:jc w:val="both"/>
        <w:rPr>
          <w:rFonts w:eastAsia="Arial"/>
          <w:color w:val="000000" w:themeColor="text1"/>
          <w:sz w:val="24"/>
          <w:szCs w:val="24"/>
        </w:rPr>
      </w:pPr>
    </w:p>
    <w:p w14:paraId="629018A6" w14:textId="2BACC628" w:rsidR="00536676" w:rsidRPr="00E676F7" w:rsidRDefault="00536676" w:rsidP="5B843AF0">
      <w:pPr>
        <w:ind w:right="237"/>
        <w:jc w:val="both"/>
        <w:rPr>
          <w:rFonts w:eastAsia="Arial"/>
          <w:color w:val="000000" w:themeColor="text1"/>
          <w:sz w:val="24"/>
          <w:szCs w:val="24"/>
        </w:rPr>
      </w:pPr>
    </w:p>
    <w:p w14:paraId="4BBC525A" w14:textId="5AC42C28" w:rsidR="5B843AF0" w:rsidRDefault="00247179" w:rsidP="5B843AF0">
      <w:pPr>
        <w:ind w:right="237"/>
        <w:jc w:val="both"/>
        <w:rPr>
          <w:rFonts w:eastAsia="Arial"/>
          <w:color w:val="000000" w:themeColor="text1"/>
          <w:sz w:val="24"/>
          <w:szCs w:val="24"/>
        </w:rPr>
      </w:pPr>
      <w:r>
        <w:rPr>
          <w:rFonts w:eastAsia="Arial"/>
          <w:color w:val="000000" w:themeColor="text1"/>
          <w:sz w:val="24"/>
          <w:szCs w:val="24"/>
        </w:rPr>
        <w:t xml:space="preserve">When looking at young people and crime. The age-crime curve </w:t>
      </w:r>
      <w:r w:rsidR="006A4E0D">
        <w:rPr>
          <w:rFonts w:eastAsia="Arial"/>
          <w:color w:val="000000" w:themeColor="text1"/>
          <w:sz w:val="24"/>
          <w:szCs w:val="24"/>
        </w:rPr>
        <w:t xml:space="preserve">can help in establishing understanding and a pattern between young people and criminal behaviour (Farrington, 1986). Farrington (1986) states that “typically, the crime rate increases from the minimum age of criminal responsibility to reach a peak in the teenage years, it then declines”. This explanation of the age-crime curve is relatable to the young male in the incident we attended, that his criminal behaviour is </w:t>
      </w:r>
      <w:r w:rsidR="006A4E0D">
        <w:rPr>
          <w:rFonts w:eastAsia="Arial"/>
          <w:color w:val="000000" w:themeColor="text1"/>
          <w:sz w:val="24"/>
          <w:szCs w:val="24"/>
        </w:rPr>
        <w:lastRenderedPageBreak/>
        <w:t xml:space="preserve">beginning to increase and could potentially peak within the next few years. </w:t>
      </w:r>
      <w:proofErr w:type="gramStart"/>
      <w:r w:rsidR="006A4E0D">
        <w:rPr>
          <w:rFonts w:eastAsia="Arial"/>
          <w:color w:val="000000" w:themeColor="text1"/>
          <w:sz w:val="24"/>
          <w:szCs w:val="24"/>
        </w:rPr>
        <w:t>This explanation of the age-crime curve,</w:t>
      </w:r>
      <w:proofErr w:type="gramEnd"/>
      <w:r w:rsidR="006A4E0D">
        <w:rPr>
          <w:rFonts w:eastAsia="Arial"/>
          <w:color w:val="000000" w:themeColor="text1"/>
          <w:sz w:val="24"/>
          <w:szCs w:val="24"/>
        </w:rPr>
        <w:t xml:space="preserve"> again emphasises the importance of early intervention and prevention for young people involved in criminal activity in order to stop the curve continuing to peak</w:t>
      </w:r>
      <w:r w:rsidR="00E97B8C">
        <w:rPr>
          <w:rFonts w:eastAsia="Arial"/>
          <w:color w:val="000000" w:themeColor="text1"/>
          <w:sz w:val="24"/>
          <w:szCs w:val="24"/>
        </w:rPr>
        <w:t xml:space="preserve"> to potentially more violent and aggressive behaviour</w:t>
      </w:r>
      <w:r w:rsidR="006A4E0D">
        <w:rPr>
          <w:rFonts w:eastAsia="Arial"/>
          <w:color w:val="000000" w:themeColor="text1"/>
          <w:sz w:val="24"/>
          <w:szCs w:val="24"/>
        </w:rPr>
        <w:t xml:space="preserve">. This explanation of the link between age and crime is not always accepted due to many other influencing factors in criminal behaviour such as gender, race, social </w:t>
      </w:r>
      <w:r w:rsidR="0036582B">
        <w:rPr>
          <w:rFonts w:eastAsia="Arial"/>
          <w:color w:val="000000" w:themeColor="text1"/>
          <w:sz w:val="24"/>
          <w:szCs w:val="24"/>
        </w:rPr>
        <w:t>status,</w:t>
      </w:r>
      <w:r w:rsidR="006A4E0D">
        <w:rPr>
          <w:rFonts w:eastAsia="Arial"/>
          <w:color w:val="000000" w:themeColor="text1"/>
          <w:sz w:val="24"/>
          <w:szCs w:val="24"/>
        </w:rPr>
        <w:t xml:space="preserve"> and location. Although when looking at vulnerability along with age and crime. It is clear to see how much of an impact age can have on the way a response may be delivered to both suspects and victims of crime.</w:t>
      </w:r>
    </w:p>
    <w:p w14:paraId="32DEDAAA" w14:textId="2A778752" w:rsidR="000A765A" w:rsidRDefault="000A765A" w:rsidP="5B843AF0">
      <w:pPr>
        <w:ind w:right="237"/>
        <w:jc w:val="both"/>
        <w:rPr>
          <w:rFonts w:eastAsia="Arial"/>
          <w:color w:val="000000" w:themeColor="text1"/>
          <w:sz w:val="24"/>
          <w:szCs w:val="24"/>
        </w:rPr>
      </w:pPr>
    </w:p>
    <w:p w14:paraId="468F2D48" w14:textId="5315D091" w:rsidR="000A765A" w:rsidRPr="00F419DD" w:rsidRDefault="000A765A" w:rsidP="5B843AF0">
      <w:pPr>
        <w:ind w:right="237"/>
        <w:jc w:val="both"/>
        <w:rPr>
          <w:rFonts w:eastAsia="Arial"/>
          <w:b/>
          <w:bCs/>
          <w:color w:val="000000" w:themeColor="text1"/>
          <w:sz w:val="24"/>
          <w:szCs w:val="24"/>
        </w:rPr>
      </w:pPr>
      <w:r>
        <w:rPr>
          <w:rFonts w:eastAsia="Arial"/>
          <w:color w:val="000000" w:themeColor="text1"/>
          <w:sz w:val="24"/>
          <w:szCs w:val="24"/>
        </w:rPr>
        <w:t xml:space="preserve">To conclude, this incident provided a lot of positive outcomes </w:t>
      </w:r>
      <w:proofErr w:type="gramStart"/>
      <w:r>
        <w:rPr>
          <w:rFonts w:eastAsia="Arial"/>
          <w:color w:val="000000" w:themeColor="text1"/>
          <w:sz w:val="24"/>
          <w:szCs w:val="24"/>
        </w:rPr>
        <w:t>in regards to</w:t>
      </w:r>
      <w:proofErr w:type="gramEnd"/>
      <w:r>
        <w:rPr>
          <w:rFonts w:eastAsia="Arial"/>
          <w:color w:val="000000" w:themeColor="text1"/>
          <w:sz w:val="24"/>
          <w:szCs w:val="24"/>
        </w:rPr>
        <w:t xml:space="preserve"> my learning as well as the help and support that myself and my colleagues were able to provide to the boy and his family. Due to the factors identified by </w:t>
      </w:r>
      <w:proofErr w:type="gramStart"/>
      <w:r>
        <w:rPr>
          <w:rFonts w:eastAsia="Arial"/>
          <w:color w:val="000000" w:themeColor="text1"/>
          <w:sz w:val="24"/>
          <w:szCs w:val="24"/>
        </w:rPr>
        <w:t>myself</w:t>
      </w:r>
      <w:proofErr w:type="gramEnd"/>
      <w:r>
        <w:rPr>
          <w:rFonts w:eastAsia="Arial"/>
          <w:color w:val="000000" w:themeColor="text1"/>
          <w:sz w:val="24"/>
          <w:szCs w:val="24"/>
        </w:rPr>
        <w:t xml:space="preserve"> and other attending officers, we were able to quickly identify that the boy was vulnerable and dynamically risk assess the situation and our approach to dealing with the incident in order to provide a more effective response. Both the boy’s age and his mental health issues were shown to have been potentially playing a huge part in the boy’s behaviour as well as playing a part in the risk that the boy was putting himself into with others around him. Without being able to identify the boy as vulnerable and communicating these sorts of risks he may face with both him and his family, </w:t>
      </w:r>
      <w:r w:rsidR="00F419DD">
        <w:rPr>
          <w:rFonts w:eastAsia="Arial"/>
          <w:color w:val="000000" w:themeColor="text1"/>
          <w:sz w:val="24"/>
          <w:szCs w:val="24"/>
        </w:rPr>
        <w:t xml:space="preserve">the boy could have continued to get involved in more serious crime or being taken advantage of by people who he saw as friends. The family and the </w:t>
      </w:r>
      <w:proofErr w:type="gramStart"/>
      <w:r w:rsidR="00F419DD">
        <w:rPr>
          <w:rFonts w:eastAsia="Arial"/>
          <w:color w:val="000000" w:themeColor="text1"/>
          <w:sz w:val="24"/>
          <w:szCs w:val="24"/>
        </w:rPr>
        <w:t>boy in particular, felt</w:t>
      </w:r>
      <w:proofErr w:type="gramEnd"/>
      <w:r w:rsidR="00F419DD">
        <w:rPr>
          <w:rFonts w:eastAsia="Arial"/>
          <w:color w:val="000000" w:themeColor="text1"/>
          <w:sz w:val="24"/>
          <w:szCs w:val="24"/>
        </w:rPr>
        <w:t xml:space="preserve"> looked after and listened to and some trust in the police was built for them as they had had a positive experience.  </w:t>
      </w:r>
      <w:r w:rsidR="00F419DD">
        <w:rPr>
          <w:rFonts w:eastAsia="Arial"/>
          <w:b/>
          <w:bCs/>
          <w:color w:val="000000" w:themeColor="text1"/>
          <w:sz w:val="24"/>
          <w:szCs w:val="24"/>
        </w:rPr>
        <w:t>(196</w:t>
      </w:r>
      <w:r w:rsidR="00C6580A">
        <w:rPr>
          <w:rFonts w:eastAsia="Arial"/>
          <w:b/>
          <w:bCs/>
          <w:color w:val="000000" w:themeColor="text1"/>
          <w:sz w:val="24"/>
          <w:szCs w:val="24"/>
        </w:rPr>
        <w:t>7</w:t>
      </w:r>
      <w:r w:rsidR="00F419DD">
        <w:rPr>
          <w:rFonts w:eastAsia="Arial"/>
          <w:b/>
          <w:bCs/>
          <w:color w:val="000000" w:themeColor="text1"/>
          <w:sz w:val="24"/>
          <w:szCs w:val="24"/>
        </w:rPr>
        <w:t xml:space="preserve"> WORDS)</w:t>
      </w:r>
    </w:p>
    <w:p w14:paraId="53A4D42D" w14:textId="756CAD6B" w:rsidR="000A765A" w:rsidRDefault="000A765A" w:rsidP="5B843AF0">
      <w:pPr>
        <w:ind w:right="237"/>
        <w:jc w:val="both"/>
        <w:rPr>
          <w:rFonts w:eastAsia="Arial"/>
          <w:color w:val="000000" w:themeColor="text1"/>
          <w:sz w:val="24"/>
          <w:szCs w:val="24"/>
        </w:rPr>
      </w:pPr>
    </w:p>
    <w:p w14:paraId="5B5158B0" w14:textId="77777777" w:rsidR="000A765A" w:rsidRDefault="000A765A" w:rsidP="000A765A">
      <w:pPr>
        <w:pStyle w:val="paragraph"/>
        <w:spacing w:before="0" w:beforeAutospacing="0" w:after="0" w:afterAutospacing="0"/>
        <w:ind w:left="3600" w:right="225"/>
        <w:jc w:val="both"/>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0AFBF13F" w:rsidR="005C76DE" w:rsidRDefault="005C76DE" w:rsidP="5CE196A1">
      <w:pPr>
        <w:ind w:right="237"/>
        <w:jc w:val="both"/>
        <w:rPr>
          <w:b/>
          <w:bCs/>
          <w:sz w:val="24"/>
          <w:szCs w:val="24"/>
        </w:rPr>
      </w:pPr>
      <w:r w:rsidRPr="5CE196A1">
        <w:rPr>
          <w:b/>
          <w:bCs/>
          <w:sz w:val="24"/>
          <w:szCs w:val="24"/>
        </w:rPr>
        <w:t>ANSWER:</w:t>
      </w:r>
    </w:p>
    <w:p w14:paraId="7E62C211" w14:textId="2DBC119E" w:rsidR="00A12EF2" w:rsidRDefault="00A12EF2" w:rsidP="5CE196A1">
      <w:pPr>
        <w:ind w:right="237"/>
        <w:jc w:val="both"/>
        <w:rPr>
          <w:b/>
          <w:bCs/>
          <w:sz w:val="24"/>
          <w:szCs w:val="24"/>
        </w:rPr>
      </w:pPr>
    </w:p>
    <w:p w14:paraId="77C478B1" w14:textId="3B7DE9C2" w:rsidR="006A5213" w:rsidRDefault="00F523F6" w:rsidP="00C6580A">
      <w:pPr>
        <w:ind w:right="237"/>
        <w:jc w:val="both"/>
        <w:rPr>
          <w:sz w:val="24"/>
          <w:szCs w:val="24"/>
        </w:rPr>
      </w:pPr>
      <w:r>
        <w:rPr>
          <w:sz w:val="24"/>
          <w:szCs w:val="24"/>
        </w:rPr>
        <w:t xml:space="preserve">During this essay I will be discussing a domestic abuse incident that I played a significant role in. I was the arresting officer for this </w:t>
      </w:r>
      <w:proofErr w:type="gramStart"/>
      <w:r>
        <w:rPr>
          <w:sz w:val="24"/>
          <w:szCs w:val="24"/>
        </w:rPr>
        <w:t>particular domestic</w:t>
      </w:r>
      <w:proofErr w:type="gramEnd"/>
      <w:r>
        <w:rPr>
          <w:sz w:val="24"/>
          <w:szCs w:val="24"/>
        </w:rPr>
        <w:t xml:space="preserve"> incident and also provided the initial response to the incident along with my colleague. This domestic incident involved a male and a female who were in a romantic relationship with one another. The male and female both lived in the same flat together and had been together for approximately one year. Officers had received a phone call from the female through 999 </w:t>
      </w:r>
      <w:proofErr w:type="gramStart"/>
      <w:r>
        <w:rPr>
          <w:sz w:val="24"/>
          <w:szCs w:val="24"/>
        </w:rPr>
        <w:t>in order to</w:t>
      </w:r>
      <w:proofErr w:type="gramEnd"/>
      <w:r>
        <w:rPr>
          <w:sz w:val="24"/>
          <w:szCs w:val="24"/>
        </w:rPr>
        <w:t xml:space="preserve"> report her ex-partner for “being nasty”. This immediately did not seem right to officers and so we provided an emergency response to the females’ mother’s home where she had gone to be away from her ex-partner. Upon arrival, myself and my colleagues quickly identified that the female was </w:t>
      </w:r>
      <w:proofErr w:type="gramStart"/>
      <w:r>
        <w:rPr>
          <w:sz w:val="24"/>
          <w:szCs w:val="24"/>
        </w:rPr>
        <w:t>vulnerable</w:t>
      </w:r>
      <w:proofErr w:type="gramEnd"/>
      <w:r>
        <w:rPr>
          <w:sz w:val="24"/>
          <w:szCs w:val="24"/>
        </w:rPr>
        <w:t xml:space="preserve"> and </w:t>
      </w:r>
      <w:r w:rsidR="006A5213">
        <w:rPr>
          <w:sz w:val="24"/>
          <w:szCs w:val="24"/>
        </w:rPr>
        <w:t xml:space="preserve">the female confirmed that she suffered from severe learning difficulties. This meant that she required an appropriate adult to be with her. The female quickly informed officers that she had been enduring ongoing controlling and coercive behaviour by her ex-partner, violent abuse, sexual </w:t>
      </w:r>
      <w:proofErr w:type="gramStart"/>
      <w:r w:rsidR="006A5213">
        <w:rPr>
          <w:sz w:val="24"/>
          <w:szCs w:val="24"/>
        </w:rPr>
        <w:t>abuse</w:t>
      </w:r>
      <w:proofErr w:type="gramEnd"/>
      <w:r w:rsidR="006A5213">
        <w:rPr>
          <w:sz w:val="24"/>
          <w:szCs w:val="24"/>
        </w:rPr>
        <w:t xml:space="preserve"> and false imprisonment. She informed myself and my colleague that her ex-partner did not know she had called the police and that he was currently still at her flat which she owned. Due to the nature of the disclosure that had been given to officers, the female was incredibly upset and so were her family. This meant that me and my colleagues needed to approach the topics carefully and </w:t>
      </w:r>
      <w:proofErr w:type="gramStart"/>
      <w:r w:rsidR="006A5213">
        <w:rPr>
          <w:sz w:val="24"/>
          <w:szCs w:val="24"/>
        </w:rPr>
        <w:t>give consideration to</w:t>
      </w:r>
      <w:proofErr w:type="gramEnd"/>
      <w:r w:rsidR="006A5213">
        <w:rPr>
          <w:sz w:val="24"/>
          <w:szCs w:val="24"/>
        </w:rPr>
        <w:t xml:space="preserve"> the feelings of all those involved. However, we also needed to act quickly </w:t>
      </w:r>
      <w:proofErr w:type="gramStart"/>
      <w:r w:rsidR="006A5213">
        <w:rPr>
          <w:sz w:val="24"/>
          <w:szCs w:val="24"/>
        </w:rPr>
        <w:t>in order to</w:t>
      </w:r>
      <w:proofErr w:type="gramEnd"/>
      <w:r w:rsidR="006A5213">
        <w:rPr>
          <w:sz w:val="24"/>
          <w:szCs w:val="24"/>
        </w:rPr>
        <w:t xml:space="preserve"> obtain the facts of what had been happening in order to ensure that the subject was arrested as quickly as possible before he became suspicious of why his partner had not returned home. </w:t>
      </w:r>
      <w:r w:rsidR="00305805">
        <w:rPr>
          <w:sz w:val="24"/>
          <w:szCs w:val="24"/>
        </w:rPr>
        <w:t xml:space="preserve">Due to the nature of the offences that had been disclosed, the potential avenues were discussed between both the victim and her family, and our sergeant. It was then deemed that urgent arrest enquiries were to be conducted </w:t>
      </w:r>
      <w:proofErr w:type="gramStart"/>
      <w:r w:rsidR="00305805">
        <w:rPr>
          <w:sz w:val="24"/>
          <w:szCs w:val="24"/>
        </w:rPr>
        <w:t>in order to</w:t>
      </w:r>
      <w:proofErr w:type="gramEnd"/>
      <w:r w:rsidR="00305805">
        <w:rPr>
          <w:sz w:val="24"/>
          <w:szCs w:val="24"/>
        </w:rPr>
        <w:t xml:space="preserve"> ensure the safety and wellbeing of the victim and in order to best preserve evidence. The male was later arrested and interviewed by </w:t>
      </w:r>
      <w:proofErr w:type="gramStart"/>
      <w:r w:rsidR="00305805">
        <w:rPr>
          <w:sz w:val="24"/>
          <w:szCs w:val="24"/>
        </w:rPr>
        <w:t>myself</w:t>
      </w:r>
      <w:proofErr w:type="gramEnd"/>
      <w:r w:rsidR="00305805">
        <w:rPr>
          <w:sz w:val="24"/>
          <w:szCs w:val="24"/>
        </w:rPr>
        <w:t xml:space="preserve"> for the offences that he had been accused of. </w:t>
      </w:r>
    </w:p>
    <w:p w14:paraId="687D8028" w14:textId="31AA5FB7" w:rsidR="00B75C07" w:rsidRDefault="00B75C07" w:rsidP="00C6580A">
      <w:pPr>
        <w:ind w:right="237"/>
        <w:jc w:val="both"/>
        <w:rPr>
          <w:sz w:val="24"/>
          <w:szCs w:val="24"/>
        </w:rPr>
      </w:pPr>
    </w:p>
    <w:p w14:paraId="7026B982" w14:textId="18A79BC0" w:rsidR="00B75C07" w:rsidRDefault="00B75C07" w:rsidP="00C6580A">
      <w:pPr>
        <w:ind w:right="237"/>
        <w:jc w:val="both"/>
        <w:rPr>
          <w:sz w:val="24"/>
          <w:szCs w:val="24"/>
        </w:rPr>
      </w:pPr>
    </w:p>
    <w:p w14:paraId="710EE166" w14:textId="62F8B67F" w:rsidR="00B75C07" w:rsidRDefault="00B75C07" w:rsidP="00C6580A">
      <w:pPr>
        <w:ind w:right="237"/>
        <w:jc w:val="both"/>
        <w:rPr>
          <w:sz w:val="24"/>
          <w:szCs w:val="24"/>
        </w:rPr>
      </w:pPr>
      <w:r>
        <w:rPr>
          <w:sz w:val="24"/>
          <w:szCs w:val="24"/>
        </w:rPr>
        <w:t xml:space="preserve">Domestic abuse is not something that is new to society, it is something that has always happened however more modern perceptions of such behaviour has </w:t>
      </w:r>
      <w:r w:rsidR="00496FA3">
        <w:rPr>
          <w:sz w:val="24"/>
          <w:szCs w:val="24"/>
        </w:rPr>
        <w:t>begun</w:t>
      </w:r>
      <w:r>
        <w:rPr>
          <w:sz w:val="24"/>
          <w:szCs w:val="24"/>
        </w:rPr>
        <w:t xml:space="preserve"> to identify that domestic abuse behaviour is inappropriate and in some cases criminal (Barrow-Grint et al, 2022). There are a variety of different challenges that come along with responding to domestic incidents as well as policing domestic abuse. One of these is the close personal relationship that the victim will often have to the </w:t>
      </w:r>
      <w:proofErr w:type="gramStart"/>
      <w:r>
        <w:rPr>
          <w:sz w:val="24"/>
          <w:szCs w:val="24"/>
        </w:rPr>
        <w:t>subject</w:t>
      </w:r>
      <w:proofErr w:type="gramEnd"/>
      <w:r>
        <w:rPr>
          <w:sz w:val="24"/>
          <w:szCs w:val="24"/>
        </w:rPr>
        <w:t xml:space="preserve"> and this provides the subject often with an element of control over the victim, which may alter how they behave. </w:t>
      </w:r>
      <w:r w:rsidR="007510DB">
        <w:rPr>
          <w:sz w:val="24"/>
          <w:szCs w:val="24"/>
        </w:rPr>
        <w:t xml:space="preserve">Carson and Bain (2008) identified a three-step method to policing domestic abuse that apply to response officers. This includes predicting the likelihood of an event occurring, in this instance myself and my colleague risk-assessed the situation and from what we were told by the victim, the likelihood of her coming to harm was extremely high. The second stage is the impact that the event would have on the victim should it occur, we assessed that the </w:t>
      </w:r>
      <w:r w:rsidR="007510DB">
        <w:rPr>
          <w:sz w:val="24"/>
          <w:szCs w:val="24"/>
        </w:rPr>
        <w:lastRenderedPageBreak/>
        <w:t xml:space="preserve">male subject in this domestic incident could cause serious harm to the victim should she return to the home that he was staying in, meaning that we agreed we needed to act quickly. The final stage discussed by Carson and Bain was identifying measures to manage the risks posed. In the situation that myself and my colleague were responding to </w:t>
      </w:r>
      <w:r w:rsidR="00A373DE">
        <w:rPr>
          <w:sz w:val="24"/>
          <w:szCs w:val="24"/>
        </w:rPr>
        <w:t xml:space="preserve">the best way to safeguard the victim and manage the risks that were posed to her were by arresting the subject and following his interview, placing bail conditions on him upon his release from custody </w:t>
      </w:r>
      <w:proofErr w:type="gramStart"/>
      <w:r w:rsidR="00A373DE">
        <w:rPr>
          <w:sz w:val="24"/>
          <w:szCs w:val="24"/>
        </w:rPr>
        <w:t>in order to</w:t>
      </w:r>
      <w:proofErr w:type="gramEnd"/>
      <w:r w:rsidR="00A373DE">
        <w:rPr>
          <w:sz w:val="24"/>
          <w:szCs w:val="24"/>
        </w:rPr>
        <w:t xml:space="preserve"> provide the victim with some protection. Another risk that is posed to domestic abuse victims is that over a prolonged </w:t>
      </w:r>
      <w:proofErr w:type="gramStart"/>
      <w:r w:rsidR="00A373DE">
        <w:rPr>
          <w:sz w:val="24"/>
          <w:szCs w:val="24"/>
        </w:rPr>
        <w:t>period of time</w:t>
      </w:r>
      <w:proofErr w:type="gramEnd"/>
      <w:r w:rsidR="00A373DE">
        <w:rPr>
          <w:sz w:val="24"/>
          <w:szCs w:val="24"/>
        </w:rPr>
        <w:t xml:space="preserve">, they may feel unable to say no to the subject. </w:t>
      </w:r>
      <w:proofErr w:type="gramStart"/>
      <w:r w:rsidR="00A373DE">
        <w:rPr>
          <w:sz w:val="24"/>
          <w:szCs w:val="24"/>
        </w:rPr>
        <w:t>This is why</w:t>
      </w:r>
      <w:proofErr w:type="gramEnd"/>
      <w:r w:rsidR="00A373DE">
        <w:rPr>
          <w:sz w:val="24"/>
          <w:szCs w:val="24"/>
        </w:rPr>
        <w:t xml:space="preserve"> bail conditions were important to consider so that the subject could not contact the victim. </w:t>
      </w:r>
    </w:p>
    <w:p w14:paraId="1DAC7634" w14:textId="7C3F6129" w:rsidR="00AE013E" w:rsidRDefault="00AE013E" w:rsidP="00C6580A">
      <w:pPr>
        <w:ind w:right="237"/>
        <w:jc w:val="both"/>
        <w:rPr>
          <w:sz w:val="24"/>
          <w:szCs w:val="24"/>
        </w:rPr>
      </w:pPr>
    </w:p>
    <w:p w14:paraId="185E2957" w14:textId="1545E08A" w:rsidR="00AE013E" w:rsidRDefault="00AE013E" w:rsidP="00C6580A">
      <w:pPr>
        <w:ind w:right="237"/>
        <w:jc w:val="both"/>
        <w:rPr>
          <w:sz w:val="24"/>
          <w:szCs w:val="24"/>
        </w:rPr>
      </w:pPr>
      <w:r>
        <w:rPr>
          <w:sz w:val="24"/>
          <w:szCs w:val="24"/>
        </w:rPr>
        <w:t xml:space="preserve">One of the most important factors that we needed to consider with our victim was her severe learning difficulties. </w:t>
      </w:r>
      <w:proofErr w:type="gramStart"/>
      <w:r>
        <w:rPr>
          <w:sz w:val="24"/>
          <w:szCs w:val="24"/>
        </w:rPr>
        <w:t>In order to</w:t>
      </w:r>
      <w:proofErr w:type="gramEnd"/>
      <w:r>
        <w:rPr>
          <w:sz w:val="24"/>
          <w:szCs w:val="24"/>
        </w:rPr>
        <w:t xml:space="preserve"> ensure that our victim understood what was happening, her mother was with us and acted as her appropriate adult. Myself and my colleague discussed her learning difficulties with her and during this conversation her mother pointed out that the victim was disabled due to her severe learning difficulties and required a lot of extra assistance. This is also something that meant our approach had to differ slightly </w:t>
      </w:r>
      <w:proofErr w:type="gramStart"/>
      <w:r>
        <w:rPr>
          <w:sz w:val="24"/>
          <w:szCs w:val="24"/>
        </w:rPr>
        <w:t>in order to</w:t>
      </w:r>
      <w:proofErr w:type="gramEnd"/>
      <w:r>
        <w:rPr>
          <w:sz w:val="24"/>
          <w:szCs w:val="24"/>
        </w:rPr>
        <w:t xml:space="preserve"> provide the best support possible for the victim and to achieve the best possible outcome in terms of the investigation of the offences. Due to the victim in our incident having severe learning difficulties, I noticed immediately the importance for her to obtain support as well as identifying the importance for a multi-agency approach to the incident to ensure she was getting the help that she needed. However, as identified by Barrow Grint, et al (2022) and Weir (2020), there is a limit in the amount of shared information between different agencies involved in the dealing with and the support of domestic abuse and its victims, meaning that it is difficult to know if any other agencies involved with the female were aware of previous incidents of abuse that she may have suffered in the past. </w:t>
      </w:r>
      <w:proofErr w:type="gramStart"/>
      <w:r>
        <w:rPr>
          <w:sz w:val="24"/>
          <w:szCs w:val="24"/>
        </w:rPr>
        <w:t>In order to</w:t>
      </w:r>
      <w:proofErr w:type="gramEnd"/>
      <w:r>
        <w:rPr>
          <w:sz w:val="24"/>
          <w:szCs w:val="24"/>
        </w:rPr>
        <w:t xml:space="preserve"> negate this issue, I completed a Public Protection Notification (PPN) for the victim and shared it as high risk. This led to a </w:t>
      </w:r>
      <w:proofErr w:type="spellStart"/>
      <w:r>
        <w:rPr>
          <w:sz w:val="24"/>
          <w:szCs w:val="24"/>
        </w:rPr>
        <w:t>Multi Agency</w:t>
      </w:r>
      <w:proofErr w:type="spellEnd"/>
      <w:r>
        <w:rPr>
          <w:sz w:val="24"/>
          <w:szCs w:val="24"/>
        </w:rPr>
        <w:t xml:space="preserve"> Risk Assessment Conference (MARAC) being held for the victim. Barrow-Grint et al (2022) identified that one of the key issues with a police response to Domestic Abuse, is that although Police are in initial attendance to domestic incidents, it is often the responsibility of other organisations outside of the police to provide ongoing support, safeguarding and information to the victim. MARAC is one of the potential solutions to this </w:t>
      </w:r>
      <w:proofErr w:type="gramStart"/>
      <w:r>
        <w:rPr>
          <w:sz w:val="24"/>
          <w:szCs w:val="24"/>
        </w:rPr>
        <w:t>particular issue</w:t>
      </w:r>
      <w:proofErr w:type="gramEnd"/>
      <w:r>
        <w:rPr>
          <w:sz w:val="24"/>
          <w:szCs w:val="24"/>
        </w:rPr>
        <w:t xml:space="preserve"> as it aims to draw in a variety of different organisations to work together to provide the best possible outcome to the victim. </w:t>
      </w:r>
    </w:p>
    <w:p w14:paraId="34C3C236" w14:textId="54FE4E4F" w:rsidR="008544C8" w:rsidRDefault="008544C8" w:rsidP="00C6580A">
      <w:pPr>
        <w:ind w:right="237"/>
        <w:jc w:val="both"/>
        <w:rPr>
          <w:sz w:val="24"/>
          <w:szCs w:val="24"/>
        </w:rPr>
      </w:pPr>
    </w:p>
    <w:p w14:paraId="35645DA7" w14:textId="77777777" w:rsidR="00DB0EEA" w:rsidRDefault="00FF79AD" w:rsidP="00C6580A">
      <w:pPr>
        <w:ind w:left="720" w:right="237" w:hanging="720"/>
        <w:jc w:val="both"/>
        <w:rPr>
          <w:sz w:val="24"/>
          <w:szCs w:val="24"/>
        </w:rPr>
      </w:pPr>
      <w:r>
        <w:rPr>
          <w:sz w:val="24"/>
          <w:szCs w:val="24"/>
        </w:rPr>
        <w:t xml:space="preserve">Domestic abuse has been labelled by the College of Policing (2015) as a priority policing area, meaning that as response officers, domestic incidents are often placed ahead of others, they also regularly require that in every incident of domestic abuse that is reported, positive action must be taken by the officers who attend. </w:t>
      </w:r>
      <w:r w:rsidR="008544C8">
        <w:rPr>
          <w:sz w:val="24"/>
          <w:szCs w:val="24"/>
        </w:rPr>
        <w:t>When policing incidents that involve domestic abuse situations like the one discussed in this essay, it is important to remember</w:t>
      </w:r>
      <w:r w:rsidR="009426AB">
        <w:rPr>
          <w:sz w:val="24"/>
          <w:szCs w:val="24"/>
        </w:rPr>
        <w:t xml:space="preserve"> and use</w:t>
      </w:r>
      <w:r w:rsidR="008544C8">
        <w:rPr>
          <w:sz w:val="24"/>
          <w:szCs w:val="24"/>
        </w:rPr>
        <w:t xml:space="preserve"> policing models that help response officers to ensure that they are making justifiable decisions as well as ensuring that the best information is being gathered </w:t>
      </w:r>
      <w:proofErr w:type="gramStart"/>
      <w:r w:rsidR="008544C8">
        <w:rPr>
          <w:sz w:val="24"/>
          <w:szCs w:val="24"/>
        </w:rPr>
        <w:t>in an attempt to</w:t>
      </w:r>
      <w:proofErr w:type="gramEnd"/>
      <w:r w:rsidR="008544C8">
        <w:rPr>
          <w:sz w:val="24"/>
          <w:szCs w:val="24"/>
        </w:rPr>
        <w:t xml:space="preserve"> solve the problems at hand. One of these models is the National </w:t>
      </w:r>
      <w:proofErr w:type="gramStart"/>
      <w:r w:rsidR="008544C8">
        <w:rPr>
          <w:sz w:val="24"/>
          <w:szCs w:val="24"/>
        </w:rPr>
        <w:t>Decision Making</w:t>
      </w:r>
      <w:proofErr w:type="gramEnd"/>
      <w:r w:rsidR="008544C8">
        <w:rPr>
          <w:sz w:val="24"/>
          <w:szCs w:val="24"/>
        </w:rPr>
        <w:t xml:space="preserve"> Model (NDM). The College of Policing</w:t>
      </w:r>
      <w:r w:rsidR="009426AB">
        <w:rPr>
          <w:sz w:val="24"/>
          <w:szCs w:val="24"/>
        </w:rPr>
        <w:t xml:space="preserve"> (2013)</w:t>
      </w:r>
      <w:r w:rsidR="008544C8">
        <w:rPr>
          <w:sz w:val="24"/>
          <w:szCs w:val="24"/>
        </w:rPr>
        <w:t xml:space="preserve"> identified the NDM model as a way for officers to structure how and why they have responded in a particular way to an incident. However, the NDM model </w:t>
      </w:r>
      <w:r w:rsidR="008544C8">
        <w:rPr>
          <w:sz w:val="24"/>
          <w:szCs w:val="24"/>
        </w:rPr>
        <w:lastRenderedPageBreak/>
        <w:t xml:space="preserve">can also be used and spun continuously during an incident as a way for officers to assess risk, manage individuals and ensure the best possible outcome for those involved. </w:t>
      </w:r>
      <w:r w:rsidR="009426AB">
        <w:rPr>
          <w:sz w:val="24"/>
          <w:szCs w:val="24"/>
        </w:rPr>
        <w:t xml:space="preserve">The stages of the NDM Model </w:t>
      </w:r>
      <w:proofErr w:type="gramStart"/>
      <w:r w:rsidR="009426AB">
        <w:rPr>
          <w:sz w:val="24"/>
          <w:szCs w:val="24"/>
        </w:rPr>
        <w:t>include;</w:t>
      </w:r>
      <w:proofErr w:type="gramEnd"/>
      <w:r w:rsidR="009426AB">
        <w:rPr>
          <w:sz w:val="24"/>
          <w:szCs w:val="24"/>
        </w:rPr>
        <w:t xml:space="preserve"> gathering information and intelligence, assessing threat and risk and develop a working strategy, consider powers and policies, identify options and contingencies, take action and review what happened. </w:t>
      </w:r>
      <w:proofErr w:type="gramStart"/>
      <w:r w:rsidR="009426AB">
        <w:rPr>
          <w:sz w:val="24"/>
          <w:szCs w:val="24"/>
        </w:rPr>
        <w:t>In order to</w:t>
      </w:r>
      <w:proofErr w:type="gramEnd"/>
      <w:r w:rsidR="009426AB">
        <w:rPr>
          <w:sz w:val="24"/>
          <w:szCs w:val="24"/>
        </w:rPr>
        <w:t xml:space="preserve"> gather the information needed for this offence, we discussed at length what had happened with the female and noted down the parts that would be important to provide updates to investigating officers. Once we had gathered the information, myself and my colleague assessed the risk level of the victim and established that this was high due to her vulnerabilities. We considered our policing powers of arrest for domestic assault and established that our main option was to arrest the male in relation to the allegations that had been made. Finally, to take action, I attended the home address and arrested the male in relation to the allegations that had been made against him. Whilst dealing with this incident, the NDM model was continuously gone through </w:t>
      </w:r>
      <w:proofErr w:type="gramStart"/>
      <w:r w:rsidR="009426AB">
        <w:rPr>
          <w:sz w:val="24"/>
          <w:szCs w:val="24"/>
        </w:rPr>
        <w:t>in order to</w:t>
      </w:r>
      <w:proofErr w:type="gramEnd"/>
      <w:r w:rsidR="009426AB">
        <w:rPr>
          <w:sz w:val="24"/>
          <w:szCs w:val="24"/>
        </w:rPr>
        <w:t xml:space="preserve"> ascertain </w:t>
      </w:r>
      <w:r w:rsidR="00234256">
        <w:rPr>
          <w:sz w:val="24"/>
          <w:szCs w:val="24"/>
        </w:rPr>
        <w:t xml:space="preserve">and reassess any new information that was ascertained and establish if this identified any new risks or if anything else needed to be considered in relation to police response to the incident. </w:t>
      </w:r>
    </w:p>
    <w:p w14:paraId="7D81DE71" w14:textId="77777777" w:rsidR="00DB0EEA" w:rsidRDefault="00DB0EEA" w:rsidP="00C6580A">
      <w:pPr>
        <w:ind w:left="720" w:right="237" w:hanging="720"/>
        <w:jc w:val="both"/>
        <w:rPr>
          <w:sz w:val="24"/>
          <w:szCs w:val="24"/>
        </w:rPr>
      </w:pPr>
    </w:p>
    <w:p w14:paraId="70E6B778" w14:textId="77777777" w:rsidR="00DB0EEA" w:rsidRDefault="00DB0EEA" w:rsidP="00C6580A">
      <w:pPr>
        <w:ind w:left="720" w:right="237" w:hanging="720"/>
        <w:jc w:val="both"/>
        <w:rPr>
          <w:sz w:val="24"/>
          <w:szCs w:val="24"/>
        </w:rPr>
      </w:pPr>
    </w:p>
    <w:p w14:paraId="3B0F0B7C" w14:textId="578C77D0" w:rsidR="008544C8" w:rsidRDefault="00DB0EEA" w:rsidP="00C6580A">
      <w:pPr>
        <w:ind w:left="720" w:right="237" w:hanging="720"/>
        <w:jc w:val="both"/>
        <w:rPr>
          <w:sz w:val="24"/>
          <w:szCs w:val="24"/>
        </w:rPr>
      </w:pPr>
      <w:r>
        <w:rPr>
          <w:sz w:val="24"/>
          <w:szCs w:val="24"/>
        </w:rPr>
        <w:t xml:space="preserve">Despite the models and strategies in place to assist officers in responding to domestic abuse situations, there are still many challenges that police </w:t>
      </w:r>
      <w:proofErr w:type="gramStart"/>
      <w:r>
        <w:rPr>
          <w:sz w:val="24"/>
          <w:szCs w:val="24"/>
        </w:rPr>
        <w:t>officers</w:t>
      </w:r>
      <w:proofErr w:type="gramEnd"/>
      <w:r>
        <w:rPr>
          <w:sz w:val="24"/>
          <w:szCs w:val="24"/>
        </w:rPr>
        <w:t xml:space="preserve"> and many other involved organisations face as reporting of domestic abuse incidents continue to rise. Baldry and </w:t>
      </w:r>
      <w:proofErr w:type="spellStart"/>
      <w:r>
        <w:rPr>
          <w:sz w:val="24"/>
          <w:szCs w:val="24"/>
        </w:rPr>
        <w:t>Sebire</w:t>
      </w:r>
      <w:proofErr w:type="spellEnd"/>
      <w:r>
        <w:rPr>
          <w:sz w:val="24"/>
          <w:szCs w:val="24"/>
        </w:rPr>
        <w:t xml:space="preserve"> (2016) argue that despite the strategies such as the NDM Model assisting police in responding and investigating domestic abuse cases, the biggest fall according to them is the requirement of support services for victims, </w:t>
      </w:r>
      <w:proofErr w:type="gramStart"/>
      <w:r>
        <w:rPr>
          <w:sz w:val="24"/>
          <w:szCs w:val="24"/>
        </w:rPr>
        <w:t>police</w:t>
      </w:r>
      <w:proofErr w:type="gramEnd"/>
      <w:r>
        <w:rPr>
          <w:sz w:val="24"/>
          <w:szCs w:val="24"/>
        </w:rPr>
        <w:t xml:space="preserve"> and other involved parties, is far exceeded in comparison to the resources that are actually available. Connor-Smith et al (2011) also supported this argument and broadcasted the importance of accurate risk management of harm </w:t>
      </w:r>
      <w:proofErr w:type="gramStart"/>
      <w:r>
        <w:rPr>
          <w:sz w:val="24"/>
          <w:szCs w:val="24"/>
        </w:rPr>
        <w:t>in order to</w:t>
      </w:r>
      <w:proofErr w:type="gramEnd"/>
      <w:r>
        <w:rPr>
          <w:sz w:val="24"/>
          <w:szCs w:val="24"/>
        </w:rPr>
        <w:t xml:space="preserve"> best decide where the most support is required so that it can be effectively managed.</w:t>
      </w:r>
      <w:r w:rsidR="00613142">
        <w:rPr>
          <w:sz w:val="24"/>
          <w:szCs w:val="24"/>
        </w:rPr>
        <w:t xml:space="preserve"> Another challenge officers and other organisations face </w:t>
      </w:r>
      <w:proofErr w:type="gramStart"/>
      <w:r w:rsidR="00613142">
        <w:rPr>
          <w:sz w:val="24"/>
          <w:szCs w:val="24"/>
        </w:rPr>
        <w:t>in regards to</w:t>
      </w:r>
      <w:proofErr w:type="gramEnd"/>
      <w:r w:rsidR="00613142">
        <w:rPr>
          <w:sz w:val="24"/>
          <w:szCs w:val="24"/>
        </w:rPr>
        <w:t xml:space="preserve"> policing domestic abuse is that the risk assessment and therefore the level of risk decided that the victim may be in, is all in the hands of the individual who is conducting the risk assessment. Meaning that this can lead to inconsistency based on opinions of assessors and what one officer may see as a </w:t>
      </w:r>
      <w:proofErr w:type="gramStart"/>
      <w:r w:rsidR="00613142">
        <w:rPr>
          <w:sz w:val="24"/>
          <w:szCs w:val="24"/>
        </w:rPr>
        <w:t>high risk</w:t>
      </w:r>
      <w:proofErr w:type="gramEnd"/>
      <w:r w:rsidR="00613142">
        <w:rPr>
          <w:sz w:val="24"/>
          <w:szCs w:val="24"/>
        </w:rPr>
        <w:t xml:space="preserve"> victim could be seen as medium or standard risk to another. Leading to inconsistencies </w:t>
      </w:r>
      <w:proofErr w:type="gramStart"/>
      <w:r w:rsidR="00613142">
        <w:rPr>
          <w:sz w:val="24"/>
          <w:szCs w:val="24"/>
        </w:rPr>
        <w:t>in regards to</w:t>
      </w:r>
      <w:proofErr w:type="gramEnd"/>
      <w:r w:rsidR="00613142">
        <w:rPr>
          <w:sz w:val="24"/>
          <w:szCs w:val="24"/>
        </w:rPr>
        <w:t xml:space="preserve"> responses, support, as well as the amount of referrals and speed of such referrals being passed on. These sorts of differences can only mean that potential victims are put at greater risk if there is not some kind of structure in place to decide this. One kind of structure designed to assist police in risk assessing victims of domestic abuse is a Domestic Abuse Stalking and Harassment questionnaire (DASH). </w:t>
      </w:r>
      <w:r w:rsidR="00CA11A5">
        <w:rPr>
          <w:sz w:val="24"/>
          <w:szCs w:val="24"/>
        </w:rPr>
        <w:t xml:space="preserve">The DASH form is a risk assessment used across police forces in the UK and its intention is to assist a police officer’s professional judgement regarding the risk or likelihood that a victim may come to serious harm </w:t>
      </w:r>
      <w:proofErr w:type="gramStart"/>
      <w:r w:rsidR="00CA11A5">
        <w:rPr>
          <w:sz w:val="24"/>
          <w:szCs w:val="24"/>
        </w:rPr>
        <w:t>as a result of</w:t>
      </w:r>
      <w:proofErr w:type="gramEnd"/>
      <w:r w:rsidR="00CA11A5">
        <w:rPr>
          <w:sz w:val="24"/>
          <w:szCs w:val="24"/>
        </w:rPr>
        <w:t xml:space="preserve"> the subject (Turner, Medina and Brown, 2019). </w:t>
      </w:r>
      <w:r w:rsidR="00A00D2C">
        <w:rPr>
          <w:sz w:val="24"/>
          <w:szCs w:val="24"/>
        </w:rPr>
        <w:t xml:space="preserve">The DASH is designed to identify those victims at the highest risk </w:t>
      </w:r>
      <w:proofErr w:type="gramStart"/>
      <w:r w:rsidR="00A00D2C">
        <w:rPr>
          <w:sz w:val="24"/>
          <w:szCs w:val="24"/>
        </w:rPr>
        <w:t>in order to</w:t>
      </w:r>
      <w:proofErr w:type="gramEnd"/>
      <w:r w:rsidR="00A00D2C">
        <w:rPr>
          <w:sz w:val="24"/>
          <w:szCs w:val="24"/>
        </w:rPr>
        <w:t xml:space="preserve"> enable for them to be referred to Multi-Agency Risk Assessment Conferences to enable other services to get </w:t>
      </w:r>
      <w:r w:rsidR="00A00D2C">
        <w:rPr>
          <w:sz w:val="24"/>
          <w:szCs w:val="24"/>
        </w:rPr>
        <w:lastRenderedPageBreak/>
        <w:t xml:space="preserve">involved. CAADA (2012) suggests that out of approximately 24-27 questions, a score of around 14 is sufficient for the victim to be identified as high risk. Somebody being classed as high risk identifies the level of intervention required from other organisations. Despite this, it is still yet to be established how accurate the classifications of victims are that are made from the DASH and if they are good enough (Pease et al, 2014). </w:t>
      </w:r>
    </w:p>
    <w:p w14:paraId="5A54E141" w14:textId="05526C95" w:rsidR="008407EE" w:rsidRDefault="008407EE" w:rsidP="00C6580A">
      <w:pPr>
        <w:ind w:left="720" w:right="237" w:hanging="720"/>
        <w:jc w:val="both"/>
        <w:rPr>
          <w:sz w:val="24"/>
          <w:szCs w:val="24"/>
        </w:rPr>
      </w:pPr>
    </w:p>
    <w:p w14:paraId="4E348F93" w14:textId="1C5633F0" w:rsidR="008407EE" w:rsidRPr="008407EE" w:rsidRDefault="008407EE" w:rsidP="00C6580A">
      <w:pPr>
        <w:ind w:left="720" w:right="237" w:hanging="720"/>
        <w:jc w:val="both"/>
        <w:rPr>
          <w:b/>
          <w:bCs/>
          <w:sz w:val="24"/>
          <w:szCs w:val="24"/>
        </w:rPr>
      </w:pPr>
      <w:r>
        <w:rPr>
          <w:sz w:val="24"/>
          <w:szCs w:val="24"/>
        </w:rPr>
        <w:t xml:space="preserve">To conclude, the increase in domestic abuse reporting and the recognition of police forces across the UK in relation to domestic abuse appears to be improving however, the tools that have been developed to assist response officers when attending domestic abuse issues do have their issues that may lead to victims of domestic abuse potentially not getting the intervention they need. The key theme that appears to arise </w:t>
      </w:r>
      <w:proofErr w:type="gramStart"/>
      <w:r>
        <w:rPr>
          <w:sz w:val="24"/>
          <w:szCs w:val="24"/>
        </w:rPr>
        <w:t>in regards to</w:t>
      </w:r>
      <w:proofErr w:type="gramEnd"/>
      <w:r>
        <w:rPr>
          <w:sz w:val="24"/>
          <w:szCs w:val="24"/>
        </w:rPr>
        <w:t xml:space="preserve"> responses to domestic abuse is the lacking of support that victims received as well as the lack of resources available to victims due to the drastic rise in cases. Policing domestic abuse is something that continues to evolve and requires officers to alter their approach in each incident that they attend. In reflection to the incident that was discussed in this essay, it is clear to establish how many of the models designed to assist officers were used and how helpful they can be in assisting officers to identify options and how ‘positive action’ can be taken in a variety of different ways, </w:t>
      </w:r>
      <w:proofErr w:type="gramStart"/>
      <w:r>
        <w:rPr>
          <w:sz w:val="24"/>
          <w:szCs w:val="24"/>
        </w:rPr>
        <w:t>in regards to</w:t>
      </w:r>
      <w:proofErr w:type="gramEnd"/>
      <w:r>
        <w:rPr>
          <w:sz w:val="24"/>
          <w:szCs w:val="24"/>
        </w:rPr>
        <w:t xml:space="preserve"> this incident the positive action taken by officers was the decision to arrest the male. Domestic abuse is something that has the potential to have catastrophic outcomes to individuals and their families as well as having the potential to cover a variety of different crimes, which is something that can make responding and investigating some domestic abuse incidents so challenging. </w:t>
      </w:r>
      <w:r>
        <w:rPr>
          <w:b/>
          <w:bCs/>
          <w:sz w:val="24"/>
          <w:szCs w:val="24"/>
        </w:rPr>
        <w:t>(2110 WORDS)</w:t>
      </w:r>
    </w:p>
    <w:p w14:paraId="33F18890" w14:textId="77777777" w:rsidR="008407EE" w:rsidRDefault="008407EE" w:rsidP="008407EE">
      <w:pPr>
        <w:ind w:left="720" w:right="237" w:hanging="720"/>
        <w:rPr>
          <w:sz w:val="24"/>
          <w:szCs w:val="24"/>
        </w:rPr>
      </w:pPr>
    </w:p>
    <w:p w14:paraId="0DA2D482" w14:textId="3ABF33E7" w:rsidR="00FF79AD" w:rsidRDefault="00FF79AD" w:rsidP="00AE013E">
      <w:pPr>
        <w:ind w:right="237"/>
        <w:jc w:val="both"/>
        <w:rPr>
          <w:sz w:val="24"/>
          <w:szCs w:val="24"/>
        </w:rPr>
      </w:pPr>
    </w:p>
    <w:p w14:paraId="5436F2FE" w14:textId="77777777" w:rsidR="00FF79AD" w:rsidRDefault="00FF79AD" w:rsidP="00AE013E">
      <w:pPr>
        <w:ind w:right="237"/>
        <w:jc w:val="both"/>
        <w:rPr>
          <w:sz w:val="24"/>
          <w:szCs w:val="24"/>
        </w:rPr>
      </w:pPr>
    </w:p>
    <w:p w14:paraId="267F4B8C" w14:textId="6F64B2F0" w:rsidR="00AE013E" w:rsidRDefault="00AE013E" w:rsidP="5CE196A1">
      <w:pPr>
        <w:ind w:right="237"/>
        <w:jc w:val="both"/>
        <w:rPr>
          <w:sz w:val="24"/>
          <w:szCs w:val="24"/>
        </w:rPr>
      </w:pPr>
    </w:p>
    <w:p w14:paraId="3A3C92C0" w14:textId="40D69968" w:rsidR="00305805" w:rsidRDefault="00305805" w:rsidP="5CE196A1">
      <w:pPr>
        <w:ind w:right="237"/>
        <w:jc w:val="both"/>
        <w:rPr>
          <w:sz w:val="24"/>
          <w:szCs w:val="24"/>
        </w:rPr>
      </w:pPr>
    </w:p>
    <w:p w14:paraId="41381FDB" w14:textId="72BB363E" w:rsidR="00025650" w:rsidRPr="00234256" w:rsidRDefault="00025650" w:rsidP="0FF883D4">
      <w:pPr>
        <w:ind w:right="237"/>
        <w:jc w:val="both"/>
        <w:rPr>
          <w:sz w:val="24"/>
          <w:szCs w:val="24"/>
        </w:rPr>
      </w:pPr>
    </w:p>
    <w:p w14:paraId="5B0C1A0F" w14:textId="26DF1256" w:rsidR="00025650" w:rsidRDefault="00025650" w:rsidP="0FF883D4">
      <w:pPr>
        <w:ind w:right="237"/>
        <w:jc w:val="both"/>
        <w:rPr>
          <w:color w:val="000000" w:themeColor="text1"/>
          <w:sz w:val="24"/>
          <w:szCs w:val="24"/>
        </w:rPr>
      </w:pPr>
    </w:p>
    <w:p w14:paraId="76B6FAAC" w14:textId="78791342" w:rsidR="0FF883D4" w:rsidRDefault="0FF883D4" w:rsidP="00234256">
      <w:pPr>
        <w:ind w:right="225"/>
        <w:rPr>
          <w:b/>
          <w:bCs/>
          <w:sz w:val="24"/>
          <w:szCs w:val="24"/>
          <w:lang w:eastAsia="zh-TW"/>
        </w:rPr>
      </w:pPr>
    </w:p>
    <w:p w14:paraId="1ADEFAE5" w14:textId="20B0A689" w:rsidR="0FF883D4" w:rsidRDefault="5CE196A1" w:rsidP="5CE196A1">
      <w:r w:rsidRPr="5CE196A1">
        <w:rPr>
          <w:rFonts w:eastAsia="Arial"/>
          <w:b/>
          <w:bCs/>
          <w:color w:val="000000" w:themeColor="text1"/>
          <w:sz w:val="24"/>
          <w:szCs w:val="24"/>
        </w:rPr>
        <w:t xml:space="preserve">Authentication signature: </w:t>
      </w:r>
      <w:r w:rsidR="00A12EF2">
        <w:rPr>
          <w:rFonts w:eastAsia="Arial"/>
          <w:b/>
          <w:bCs/>
          <w:color w:val="000000" w:themeColor="text1"/>
          <w:sz w:val="24"/>
          <w:szCs w:val="24"/>
        </w:rPr>
        <w:t xml:space="preserve">PAIGE THOMAS (2031251)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0E225B5E" w:rsidR="0FF883D4" w:rsidRDefault="00A12EF2" w:rsidP="5CE196A1">
      <w:r>
        <w:rPr>
          <w:rFonts w:eastAsia="Arial"/>
          <w:b/>
          <w:bCs/>
          <w:noProof/>
          <w:color w:val="000000" w:themeColor="text1"/>
          <w:sz w:val="24"/>
          <w:szCs w:val="24"/>
        </w:rPr>
        <mc:AlternateContent>
          <mc:Choice Requires="wpi">
            <w:drawing>
              <wp:anchor distT="0" distB="0" distL="114300" distR="114300" simplePos="0" relativeHeight="251703296" behindDoc="0" locked="0" layoutInCell="1" allowOverlap="1" wp14:anchorId="0CA9B89F" wp14:editId="5E57AA05">
                <wp:simplePos x="0" y="0"/>
                <wp:positionH relativeFrom="column">
                  <wp:posOffset>655320</wp:posOffset>
                </wp:positionH>
                <wp:positionV relativeFrom="paragraph">
                  <wp:posOffset>-41910</wp:posOffset>
                </wp:positionV>
                <wp:extent cx="1049160" cy="181675"/>
                <wp:effectExtent l="38100" t="38100" r="0" b="46990"/>
                <wp:wrapNone/>
                <wp:docPr id="21" name="Ink 21"/>
                <wp:cNvGraphicFramePr/>
                <a:graphic xmlns:a="http://schemas.openxmlformats.org/drawingml/2006/main">
                  <a:graphicData uri="http://schemas.microsoft.com/office/word/2010/wordprocessingInk">
                    <w14:contentPart bwMode="auto" r:id="rId21">
                      <w14:nvContentPartPr>
                        <w14:cNvContentPartPr/>
                      </w14:nvContentPartPr>
                      <w14:xfrm>
                        <a:off x="0" y="0"/>
                        <a:ext cx="1049160" cy="181675"/>
                      </w14:xfrm>
                    </w14:contentPart>
                  </a:graphicData>
                </a:graphic>
              </wp:anchor>
            </w:drawing>
          </mc:Choice>
          <mc:Fallback>
            <w:pict>
              <v:shape w14:anchorId="006FA44A" id="Ink 21" o:spid="_x0000_s1026" type="#_x0000_t75" style="position:absolute;margin-left:50.9pt;margin-top:-4pt;width:84pt;height:15.7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">
                <v:imagedata r:id="rId24" o:title=""/>
              </v:shape>
            </w:pict>
          </mc:Fallback>
        </mc:AlternateContent>
      </w:r>
      <w:r w:rsidR="5CE196A1"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00AE378B" w:rsidR="0FF883D4" w:rsidRDefault="003A26FD" w:rsidP="003A26FD">
      <w:pPr>
        <w:ind w:right="225"/>
        <w:rPr>
          <w:b/>
          <w:bCs/>
          <w:sz w:val="24"/>
          <w:szCs w:val="24"/>
          <w:lang w:eastAsia="zh-TW"/>
        </w:rPr>
        <w:sectPr w:rsidR="0FF883D4" w:rsidSect="0022001B">
          <w:headerReference w:type="even" r:id="rId25"/>
          <w:headerReference w:type="default" r:id="rId26"/>
          <w:footerReference w:type="even" r:id="rId27"/>
          <w:footerReference w:type="default" r:id="rId28"/>
          <w:headerReference w:type="first" r:id="rId29"/>
          <w:footerReference w:type="first" r:id="rId30"/>
          <w:pgSz w:w="11906" w:h="16838" w:code="9"/>
          <w:pgMar w:top="1440" w:right="1440" w:bottom="1440" w:left="1440" w:header="720" w:footer="720" w:gutter="0"/>
          <w:cols w:space="720"/>
          <w:docGrid w:linePitch="272"/>
        </w:sectPr>
      </w:pPr>
      <w:r>
        <w:rPr>
          <w:b/>
          <w:bCs/>
          <w:sz w:val="24"/>
          <w:szCs w:val="24"/>
          <w:lang w:eastAsia="zh-TW"/>
        </w:rPr>
        <w:t>18/01/2023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D0443E8" w14:textId="77777777" w:rsidR="00C6580A" w:rsidRDefault="00C6580A" w:rsidP="00C6580A">
      <w:pPr>
        <w:shd w:val="clear" w:color="auto" w:fill="FFFFFF"/>
      </w:pPr>
    </w:p>
    <w:p w14:paraId="77ADC53D" w14:textId="77777777" w:rsidR="00C6580A" w:rsidRDefault="00C6580A" w:rsidP="00C6580A">
      <w:pPr>
        <w:shd w:val="clear" w:color="auto" w:fill="FFFFFF"/>
      </w:pPr>
      <w:r>
        <w:rPr>
          <w:rFonts w:ascii="Source Sans Pro" w:hAnsi="Source Sans Pro"/>
          <w:color w:val="2A2A2A"/>
          <w:sz w:val="23"/>
          <w:szCs w:val="23"/>
          <w:shd w:val="clear" w:color="auto" w:fill="FFFFFF"/>
        </w:rPr>
        <w:t xml:space="preserve">Baldry A., and </w:t>
      </w:r>
      <w:proofErr w:type="spellStart"/>
      <w:r>
        <w:rPr>
          <w:rFonts w:ascii="Source Sans Pro" w:hAnsi="Source Sans Pro"/>
          <w:color w:val="2A2A2A"/>
          <w:sz w:val="23"/>
          <w:szCs w:val="23"/>
          <w:shd w:val="clear" w:color="auto" w:fill="FFFFFF"/>
        </w:rPr>
        <w:t>Sebire</w:t>
      </w:r>
      <w:proofErr w:type="spellEnd"/>
      <w:r>
        <w:rPr>
          <w:rFonts w:ascii="Source Sans Pro" w:hAnsi="Source Sans Pro"/>
          <w:color w:val="2A2A2A"/>
          <w:sz w:val="23"/>
          <w:szCs w:val="23"/>
          <w:shd w:val="clear" w:color="auto" w:fill="FFFFFF"/>
        </w:rPr>
        <w:t xml:space="preserve"> J. (2016) ‘Policing and Domestic Abuse: Challenges and Ways to Go’, </w:t>
      </w:r>
      <w:r>
        <w:rPr>
          <w:rStyle w:val="Emphasis"/>
          <w:rFonts w:ascii="Source Sans Pro" w:hAnsi="Source Sans Pro"/>
          <w:color w:val="2A2A2A"/>
          <w:sz w:val="23"/>
          <w:szCs w:val="23"/>
          <w:bdr w:val="none" w:sz="0" w:space="0" w:color="auto" w:frame="1"/>
          <w:shd w:val="clear" w:color="auto" w:fill="FFFFFF"/>
        </w:rPr>
        <w:t>Policing: A Journal of Policy and Practice</w:t>
      </w:r>
      <w:r>
        <w:rPr>
          <w:rFonts w:ascii="Source Sans Pro" w:hAnsi="Source Sans Pro"/>
          <w:color w:val="2A2A2A"/>
          <w:sz w:val="23"/>
          <w:szCs w:val="23"/>
          <w:shd w:val="clear" w:color="auto" w:fill="FFFFFF"/>
        </w:rPr>
        <w:t>, 10(4), pp. 323-327, Available at: </w:t>
      </w:r>
      <w:hyperlink r:id="rId31" w:history="1">
        <w:r>
          <w:rPr>
            <w:rStyle w:val="Hyperlink"/>
            <w:rFonts w:ascii="Source Sans Pro" w:hAnsi="Source Sans Pro"/>
            <w:color w:val="006FB7"/>
            <w:sz w:val="23"/>
            <w:szCs w:val="23"/>
            <w:bdr w:val="none" w:sz="0" w:space="0" w:color="auto" w:frame="1"/>
            <w:shd w:val="clear" w:color="auto" w:fill="FFFFFF"/>
          </w:rPr>
          <w:t>https://doi.org/10.1093/police/paw038</w:t>
        </w:r>
      </w:hyperlink>
      <w:r>
        <w:rPr>
          <w:rStyle w:val="Hyperlink"/>
          <w:rFonts w:ascii="Source Sans Pro" w:hAnsi="Source Sans Pro"/>
          <w:color w:val="006FB7"/>
          <w:sz w:val="23"/>
          <w:szCs w:val="23"/>
          <w:bdr w:val="none" w:sz="0" w:space="0" w:color="auto" w:frame="1"/>
          <w:shd w:val="clear" w:color="auto" w:fill="FFFFFF"/>
        </w:rPr>
        <w:t xml:space="preserve"> .</w:t>
      </w:r>
      <w:r>
        <w:rPr>
          <w:rFonts w:ascii="Source Sans Pro" w:hAnsi="Source Sans Pro"/>
          <w:color w:val="2A2A2A"/>
          <w:sz w:val="23"/>
          <w:szCs w:val="23"/>
          <w:shd w:val="clear" w:color="auto" w:fill="FFFFFF"/>
        </w:rPr>
        <w:t xml:space="preserve"> [Accessed 13</w:t>
      </w:r>
      <w:r w:rsidRPr="00411E77">
        <w:rPr>
          <w:rFonts w:ascii="Source Sans Pro" w:hAnsi="Source Sans Pro"/>
          <w:color w:val="2A2A2A"/>
          <w:sz w:val="23"/>
          <w:szCs w:val="23"/>
          <w:shd w:val="clear" w:color="auto" w:fill="FFFFFF"/>
          <w:vertAlign w:val="superscript"/>
        </w:rPr>
        <w:t>th</w:t>
      </w:r>
      <w:r>
        <w:rPr>
          <w:rFonts w:ascii="Source Sans Pro" w:hAnsi="Source Sans Pro"/>
          <w:color w:val="2A2A2A"/>
          <w:sz w:val="23"/>
          <w:szCs w:val="23"/>
          <w:shd w:val="clear" w:color="auto" w:fill="FFFFFF"/>
        </w:rPr>
        <w:t xml:space="preserve"> December 2022]</w:t>
      </w:r>
    </w:p>
    <w:p w14:paraId="6074AA92" w14:textId="77777777" w:rsidR="00C6580A" w:rsidRDefault="00C6580A" w:rsidP="00C6580A">
      <w:pPr>
        <w:shd w:val="clear" w:color="auto" w:fill="FFFFFF"/>
        <w:rPr>
          <w:rFonts w:ascii="Open Sans" w:hAnsi="Open Sans" w:cs="Open Sans"/>
          <w:sz w:val="21"/>
          <w:szCs w:val="21"/>
          <w:shd w:val="clear" w:color="auto" w:fill="FFFFFF"/>
        </w:rPr>
      </w:pPr>
      <w:r>
        <w:rPr>
          <w:rFonts w:ascii="Open Sans" w:hAnsi="Open Sans" w:cs="Open Sans"/>
          <w:sz w:val="21"/>
          <w:szCs w:val="21"/>
          <w:shd w:val="clear" w:color="auto" w:fill="FFFFFF"/>
        </w:rPr>
        <w:br/>
      </w:r>
    </w:p>
    <w:p w14:paraId="76C09527" w14:textId="77777777" w:rsidR="00C6580A" w:rsidRDefault="00C6580A" w:rsidP="00C6580A">
      <w:pPr>
        <w:shd w:val="clear" w:color="auto" w:fill="FFFFFF"/>
        <w:rPr>
          <w:rFonts w:ascii="Open Sans" w:hAnsi="Open Sans" w:cs="Open Sans"/>
          <w:sz w:val="21"/>
          <w:szCs w:val="21"/>
          <w:shd w:val="clear" w:color="auto" w:fill="FFFFFF"/>
        </w:rPr>
      </w:pPr>
      <w:r>
        <w:rPr>
          <w:rFonts w:ascii="Open Sans" w:hAnsi="Open Sans" w:cs="Open Sans"/>
          <w:sz w:val="21"/>
          <w:szCs w:val="21"/>
          <w:shd w:val="clear" w:color="auto" w:fill="FFFFFF"/>
        </w:rPr>
        <w:t xml:space="preserve">Barrow-Grint K., </w:t>
      </w:r>
      <w:proofErr w:type="spellStart"/>
      <w:r>
        <w:rPr>
          <w:rFonts w:ascii="Open Sans" w:hAnsi="Open Sans" w:cs="Open Sans"/>
          <w:sz w:val="21"/>
          <w:szCs w:val="21"/>
          <w:shd w:val="clear" w:color="auto" w:fill="FFFFFF"/>
        </w:rPr>
        <w:t>Sebire</w:t>
      </w:r>
      <w:proofErr w:type="spellEnd"/>
      <w:r>
        <w:rPr>
          <w:rFonts w:ascii="Open Sans" w:hAnsi="Open Sans" w:cs="Open Sans"/>
          <w:sz w:val="21"/>
          <w:szCs w:val="21"/>
          <w:shd w:val="clear" w:color="auto" w:fill="FFFFFF"/>
        </w:rPr>
        <w:t xml:space="preserve"> J., Turton J., &amp; Weir R. (2022). Policing Domestic Abuse: Risk, Policy, and Practice (1st edition). Routledge. Available at: </w:t>
      </w:r>
      <w:hyperlink r:id="rId32" w:history="1">
        <w:r w:rsidRPr="00313F2E">
          <w:rPr>
            <w:rStyle w:val="Hyperlink"/>
            <w:rFonts w:ascii="Open Sans" w:hAnsi="Open Sans" w:cs="Open Sans"/>
            <w:sz w:val="21"/>
            <w:szCs w:val="21"/>
            <w:shd w:val="clear" w:color="auto" w:fill="FFFFFF"/>
          </w:rPr>
          <w:t>https://doi.org/10.4324/9781003137412</w:t>
        </w:r>
      </w:hyperlink>
    </w:p>
    <w:p w14:paraId="5526EB82" w14:textId="77777777" w:rsidR="00C6580A" w:rsidRDefault="00C6580A" w:rsidP="00C6580A">
      <w:pPr>
        <w:shd w:val="clear" w:color="auto" w:fill="FFFFFF"/>
        <w:rPr>
          <w:rFonts w:ascii="Source Sans Pro" w:hAnsi="Source Sans Pro" w:cs="Times New Roman"/>
          <w:color w:val="2A2A2A"/>
          <w:sz w:val="23"/>
          <w:szCs w:val="23"/>
        </w:rPr>
      </w:pPr>
    </w:p>
    <w:p w14:paraId="5125BB42" w14:textId="77777777" w:rsidR="00C6580A" w:rsidRPr="003C0234" w:rsidRDefault="00C6580A" w:rsidP="00C6580A">
      <w:pPr>
        <w:shd w:val="clear" w:color="auto" w:fill="FFFFFF"/>
        <w:rPr>
          <w:rFonts w:ascii="Source Sans Pro" w:hAnsi="Source Sans Pro" w:cs="Times New Roman"/>
          <w:color w:val="2A2A2A"/>
          <w:sz w:val="23"/>
          <w:szCs w:val="23"/>
        </w:rPr>
      </w:pPr>
      <w:proofErr w:type="spellStart"/>
      <w:r w:rsidRPr="003C0234">
        <w:rPr>
          <w:rFonts w:ascii="Source Sans Pro" w:hAnsi="Source Sans Pro" w:cs="Times New Roman"/>
          <w:color w:val="2A2A2A"/>
          <w:sz w:val="23"/>
          <w:szCs w:val="23"/>
        </w:rPr>
        <w:t>Bartkowiak-Théron</w:t>
      </w:r>
      <w:proofErr w:type="spellEnd"/>
      <w:r w:rsidRPr="003C0234">
        <w:rPr>
          <w:rFonts w:ascii="Source Sans Pro" w:hAnsi="Source Sans Pro" w:cs="Times New Roman"/>
          <w:color w:val="2A2A2A"/>
          <w:sz w:val="23"/>
          <w:szCs w:val="23"/>
        </w:rPr>
        <w:t xml:space="preserve">, I. </w:t>
      </w:r>
      <w:r>
        <w:rPr>
          <w:rFonts w:ascii="Source Sans Pro" w:hAnsi="Source Sans Pro" w:cs="Times New Roman"/>
          <w:color w:val="2A2A2A"/>
          <w:sz w:val="23"/>
          <w:szCs w:val="23"/>
        </w:rPr>
        <w:t>and</w:t>
      </w:r>
      <w:r w:rsidRPr="003C0234">
        <w:rPr>
          <w:rFonts w:ascii="Source Sans Pro" w:hAnsi="Source Sans Pro" w:cs="Times New Roman"/>
          <w:color w:val="2A2A2A"/>
          <w:sz w:val="23"/>
          <w:szCs w:val="23"/>
        </w:rPr>
        <w:t xml:space="preserve"> Asquith, L.  </w:t>
      </w:r>
      <w:r>
        <w:rPr>
          <w:rFonts w:ascii="Source Sans Pro" w:hAnsi="Source Sans Pro" w:cs="Times New Roman"/>
          <w:color w:val="2A2A2A"/>
          <w:sz w:val="23"/>
          <w:szCs w:val="23"/>
        </w:rPr>
        <w:t>(</w:t>
      </w:r>
      <w:r w:rsidRPr="003C0234">
        <w:rPr>
          <w:rFonts w:ascii="Source Sans Pro" w:hAnsi="Source Sans Pro" w:cs="Times New Roman"/>
          <w:color w:val="2A2A2A"/>
          <w:sz w:val="23"/>
          <w:szCs w:val="23"/>
        </w:rPr>
        <w:t>2012</w:t>
      </w:r>
      <w:r>
        <w:rPr>
          <w:rFonts w:ascii="Source Sans Pro" w:hAnsi="Source Sans Pro" w:cs="Times New Roman"/>
          <w:color w:val="2A2A2A"/>
          <w:sz w:val="23"/>
          <w:szCs w:val="23"/>
        </w:rPr>
        <w:t>)</w:t>
      </w:r>
      <w:r w:rsidRPr="003C0234">
        <w:rPr>
          <w:rFonts w:ascii="Source Sans Pro" w:hAnsi="Source Sans Pro" w:cs="Times New Roman"/>
          <w:i/>
          <w:iCs/>
          <w:color w:val="2A2A2A"/>
          <w:sz w:val="23"/>
          <w:szCs w:val="23"/>
        </w:rPr>
        <w:t xml:space="preserve">. </w:t>
      </w:r>
      <w:r w:rsidRPr="003C0234">
        <w:rPr>
          <w:rFonts w:ascii="Source Sans Pro" w:hAnsi="Source Sans Pro" w:cs="Times New Roman"/>
          <w:color w:val="2A2A2A"/>
          <w:sz w:val="23"/>
          <w:szCs w:val="23"/>
        </w:rPr>
        <w:t>‘The Extraordinary Intricacies of Policing Vulnerability’</w:t>
      </w:r>
      <w:r>
        <w:rPr>
          <w:rFonts w:ascii="Source Sans Pro" w:hAnsi="Source Sans Pro" w:cs="Times New Roman"/>
          <w:color w:val="2A2A2A"/>
          <w:sz w:val="23"/>
          <w:szCs w:val="23"/>
        </w:rPr>
        <w:t xml:space="preserve">, </w:t>
      </w:r>
      <w:r>
        <w:rPr>
          <w:rFonts w:ascii="Source Sans Pro" w:hAnsi="Source Sans Pro" w:cs="Times New Roman"/>
          <w:i/>
          <w:iCs/>
          <w:color w:val="2A2A2A"/>
          <w:sz w:val="23"/>
          <w:szCs w:val="23"/>
        </w:rPr>
        <w:t>Australasian Policing,</w:t>
      </w:r>
      <w:r>
        <w:rPr>
          <w:rFonts w:ascii="Source Sans Pro" w:hAnsi="Source Sans Pro" w:cs="Times New Roman"/>
          <w:color w:val="2A2A2A"/>
          <w:sz w:val="23"/>
          <w:szCs w:val="23"/>
        </w:rPr>
        <w:t xml:space="preserve"> 4(2)</w:t>
      </w:r>
      <w:r w:rsidRPr="003C0234">
        <w:rPr>
          <w:rFonts w:ascii="Source Sans Pro" w:hAnsi="Source Sans Pro" w:cs="Times New Roman"/>
          <w:color w:val="2A2A2A"/>
          <w:sz w:val="23"/>
          <w:szCs w:val="23"/>
        </w:rPr>
        <w:t xml:space="preserve"> Available at: </w:t>
      </w:r>
      <w:hyperlink r:id="rId33" w:history="1">
        <w:r w:rsidRPr="00313F2E">
          <w:rPr>
            <w:rStyle w:val="Hyperlink"/>
            <w:rFonts w:ascii="Source Sans Pro" w:hAnsi="Source Sans Pro" w:cs="Times New Roman"/>
            <w:sz w:val="23"/>
            <w:szCs w:val="23"/>
          </w:rPr>
          <w:t>https://search.informit.org/doi/abs/10.3316/informit.174053140537722</w:t>
        </w:r>
      </w:hyperlink>
      <w:r>
        <w:rPr>
          <w:rFonts w:ascii="Source Sans Pro" w:hAnsi="Source Sans Pro" w:cs="Times New Roman"/>
          <w:color w:val="2A2A2A"/>
          <w:sz w:val="23"/>
          <w:szCs w:val="23"/>
        </w:rPr>
        <w:t xml:space="preserve"> [Accessed on: 14</w:t>
      </w:r>
      <w:r w:rsidRPr="00F1296C">
        <w:rPr>
          <w:rFonts w:ascii="Source Sans Pro" w:hAnsi="Source Sans Pro" w:cs="Times New Roman"/>
          <w:color w:val="2A2A2A"/>
          <w:sz w:val="23"/>
          <w:szCs w:val="23"/>
          <w:vertAlign w:val="superscript"/>
        </w:rPr>
        <w:t>th</w:t>
      </w:r>
      <w:r>
        <w:rPr>
          <w:rFonts w:ascii="Source Sans Pro" w:hAnsi="Source Sans Pro" w:cs="Times New Roman"/>
          <w:color w:val="2A2A2A"/>
          <w:sz w:val="23"/>
          <w:szCs w:val="23"/>
        </w:rPr>
        <w:t xml:space="preserve"> November 2022]</w:t>
      </w:r>
    </w:p>
    <w:p w14:paraId="2F8DB56F" w14:textId="77777777" w:rsidR="00C6580A" w:rsidRDefault="00C6580A" w:rsidP="00C6580A">
      <w:pPr>
        <w:shd w:val="clear" w:color="auto" w:fill="FFFFFF"/>
        <w:rPr>
          <w:rFonts w:ascii="Source Sans Pro" w:hAnsi="Source Sans Pro" w:cs="Times New Roman"/>
          <w:color w:val="2A2A2A"/>
          <w:sz w:val="23"/>
          <w:szCs w:val="23"/>
        </w:rPr>
      </w:pPr>
    </w:p>
    <w:p w14:paraId="6A7630B9" w14:textId="77777777" w:rsidR="00C6580A" w:rsidRDefault="00C6580A" w:rsidP="00C6580A">
      <w:pPr>
        <w:shd w:val="clear" w:color="auto" w:fill="FFFFFF"/>
        <w:rPr>
          <w:rFonts w:ascii="Source Sans Pro" w:hAnsi="Source Sans Pro" w:cs="Times New Roman"/>
          <w:color w:val="2A2A2A"/>
          <w:sz w:val="23"/>
          <w:szCs w:val="23"/>
        </w:rPr>
      </w:pPr>
      <w:r w:rsidRPr="00BD0922">
        <w:rPr>
          <w:rFonts w:ascii="Source Sans Pro" w:hAnsi="Source Sans Pro" w:cs="Times New Roman"/>
          <w:color w:val="2A2A2A"/>
          <w:sz w:val="23"/>
          <w:szCs w:val="23"/>
        </w:rPr>
        <w:t xml:space="preserve">CAADA (2012), ‘CAADA-DASH Risk Identification Checklist (RIC) for MARAC Agencies’, </w:t>
      </w:r>
      <w:r w:rsidRPr="00D51548">
        <w:rPr>
          <w:rFonts w:ascii="Source Sans Pro" w:hAnsi="Source Sans Pro" w:cs="Times New Roman"/>
          <w:i/>
          <w:iCs/>
          <w:color w:val="2A2A2A"/>
          <w:sz w:val="23"/>
          <w:szCs w:val="23"/>
        </w:rPr>
        <w:t>Coordinated Action Against Domestic Abuse</w:t>
      </w:r>
      <w:r w:rsidRPr="00BD0922">
        <w:rPr>
          <w:rFonts w:ascii="Source Sans Pro" w:hAnsi="Source Sans Pro" w:cs="Times New Roman"/>
          <w:color w:val="2A2A2A"/>
          <w:sz w:val="23"/>
          <w:szCs w:val="23"/>
        </w:rPr>
        <w:t>.</w:t>
      </w:r>
      <w:r>
        <w:rPr>
          <w:rFonts w:ascii="Source Sans Pro" w:hAnsi="Source Sans Pro" w:cs="Times New Roman"/>
          <w:color w:val="2A2A2A"/>
          <w:sz w:val="23"/>
          <w:szCs w:val="23"/>
        </w:rPr>
        <w:t xml:space="preserve"> Available from: </w:t>
      </w:r>
      <w:hyperlink r:id="rId34" w:history="1">
        <w:r w:rsidRPr="00313F2E">
          <w:rPr>
            <w:rStyle w:val="Hyperlink"/>
          </w:rPr>
          <w:t>https://proceduresonline.com/trixcms1/media/6188/caada-dash-risk-assessment-for-marac-agencies.pdf)</w:t>
        </w:r>
      </w:hyperlink>
      <w:r w:rsidRPr="00343B3F">
        <w:rPr>
          <w:rFonts w:ascii="Source Sans Pro" w:hAnsi="Source Sans Pro" w:cs="Times New Roman"/>
          <w:color w:val="2A2A2A"/>
          <w:sz w:val="23"/>
          <w:szCs w:val="23"/>
        </w:rPr>
        <w:t xml:space="preserve"> </w:t>
      </w:r>
      <w:r>
        <w:rPr>
          <w:rFonts w:ascii="Source Sans Pro" w:hAnsi="Source Sans Pro" w:cs="Times New Roman"/>
          <w:color w:val="2A2A2A"/>
          <w:sz w:val="23"/>
          <w:szCs w:val="23"/>
        </w:rPr>
        <w:t>[Accessed 4</w:t>
      </w:r>
      <w:r w:rsidRPr="00D51548">
        <w:rPr>
          <w:rFonts w:ascii="Source Sans Pro" w:hAnsi="Source Sans Pro" w:cs="Times New Roman"/>
          <w:color w:val="2A2A2A"/>
          <w:sz w:val="23"/>
          <w:szCs w:val="23"/>
          <w:vertAlign w:val="superscript"/>
        </w:rPr>
        <w:t>th</w:t>
      </w:r>
      <w:r>
        <w:rPr>
          <w:rFonts w:ascii="Source Sans Pro" w:hAnsi="Source Sans Pro" w:cs="Times New Roman"/>
          <w:color w:val="2A2A2A"/>
          <w:sz w:val="23"/>
          <w:szCs w:val="23"/>
        </w:rPr>
        <w:t xml:space="preserve"> January 2023]</w:t>
      </w:r>
    </w:p>
    <w:p w14:paraId="53381B66" w14:textId="77777777" w:rsidR="00C6580A" w:rsidRDefault="00C6580A" w:rsidP="00C6580A">
      <w:pPr>
        <w:shd w:val="clear" w:color="auto" w:fill="FFFFFF"/>
        <w:rPr>
          <w:rFonts w:ascii="Source Sans Pro" w:hAnsi="Source Sans Pro" w:cs="Times New Roman"/>
          <w:color w:val="2A2A2A"/>
          <w:sz w:val="23"/>
          <w:szCs w:val="23"/>
        </w:rPr>
      </w:pPr>
    </w:p>
    <w:p w14:paraId="2A7FEB00" w14:textId="77777777" w:rsidR="00C6580A" w:rsidRPr="00594C3E" w:rsidRDefault="00C6580A" w:rsidP="00C6580A">
      <w:pPr>
        <w:shd w:val="clear" w:color="auto" w:fill="FFFFFF"/>
        <w:rPr>
          <w:rFonts w:ascii="Source Sans Pro" w:hAnsi="Source Sans Pro" w:cs="Times New Roman"/>
          <w:color w:val="2A2A2A"/>
          <w:sz w:val="23"/>
          <w:szCs w:val="23"/>
        </w:rPr>
      </w:pPr>
      <w:r w:rsidRPr="00594C3E">
        <w:rPr>
          <w:rFonts w:ascii="Source Sans Pro" w:hAnsi="Source Sans Pro" w:cs="Times New Roman"/>
          <w:color w:val="2A2A2A"/>
          <w:sz w:val="23"/>
          <w:szCs w:val="23"/>
        </w:rPr>
        <w:t>Carson</w:t>
      </w:r>
      <w:r>
        <w:rPr>
          <w:rFonts w:ascii="Source Sans Pro" w:hAnsi="Source Sans Pro" w:cs="Times New Roman"/>
          <w:color w:val="2A2A2A"/>
          <w:sz w:val="23"/>
          <w:szCs w:val="23"/>
        </w:rPr>
        <w:t xml:space="preserve"> </w:t>
      </w:r>
      <w:r w:rsidRPr="00594C3E">
        <w:rPr>
          <w:rFonts w:ascii="Source Sans Pro" w:hAnsi="Source Sans Pro" w:cs="Times New Roman"/>
          <w:color w:val="2A2A2A"/>
          <w:sz w:val="23"/>
          <w:szCs w:val="23"/>
        </w:rPr>
        <w:t xml:space="preserve">D., Bain A., </w:t>
      </w:r>
      <w:r>
        <w:rPr>
          <w:rFonts w:ascii="Source Sans Pro" w:hAnsi="Source Sans Pro" w:cs="Times New Roman"/>
          <w:color w:val="2A2A2A"/>
          <w:sz w:val="23"/>
          <w:szCs w:val="23"/>
        </w:rPr>
        <w:t>(</w:t>
      </w:r>
      <w:r w:rsidRPr="00594C3E">
        <w:rPr>
          <w:rFonts w:ascii="Source Sans Pro" w:hAnsi="Source Sans Pro" w:cs="Times New Roman"/>
          <w:color w:val="2A2A2A"/>
          <w:sz w:val="23"/>
          <w:szCs w:val="23"/>
        </w:rPr>
        <w:t>2008</w:t>
      </w:r>
      <w:r>
        <w:rPr>
          <w:rFonts w:ascii="Source Sans Pro" w:hAnsi="Source Sans Pro" w:cs="Times New Roman"/>
          <w:color w:val="2A2A2A"/>
          <w:sz w:val="23"/>
          <w:szCs w:val="23"/>
        </w:rPr>
        <w:t>).</w:t>
      </w:r>
      <w:r w:rsidRPr="00594C3E">
        <w:rPr>
          <w:rFonts w:ascii="Source Sans Pro" w:hAnsi="Source Sans Pro" w:cs="Times New Roman"/>
          <w:color w:val="2A2A2A"/>
          <w:sz w:val="23"/>
          <w:szCs w:val="23"/>
        </w:rPr>
        <w:t xml:space="preserve"> Professional risk and working with people: Decision-</w:t>
      </w:r>
    </w:p>
    <w:p w14:paraId="08673BC4" w14:textId="77777777" w:rsidR="00C6580A" w:rsidRDefault="00C6580A" w:rsidP="00C6580A">
      <w:pPr>
        <w:shd w:val="clear" w:color="auto" w:fill="FFFFFF"/>
        <w:rPr>
          <w:rFonts w:ascii="Source Sans Pro" w:hAnsi="Source Sans Pro" w:cs="Times New Roman"/>
          <w:color w:val="2A2A2A"/>
          <w:sz w:val="23"/>
          <w:szCs w:val="23"/>
        </w:rPr>
      </w:pPr>
      <w:r w:rsidRPr="00594C3E">
        <w:rPr>
          <w:rFonts w:ascii="Source Sans Pro" w:hAnsi="Source Sans Pro" w:cs="Times New Roman"/>
          <w:color w:val="2A2A2A"/>
          <w:sz w:val="23"/>
          <w:szCs w:val="23"/>
        </w:rPr>
        <w:t xml:space="preserve">making in health, social </w:t>
      </w:r>
      <w:proofErr w:type="gramStart"/>
      <w:r w:rsidRPr="00594C3E">
        <w:rPr>
          <w:rFonts w:ascii="Source Sans Pro" w:hAnsi="Source Sans Pro" w:cs="Times New Roman"/>
          <w:color w:val="2A2A2A"/>
          <w:sz w:val="23"/>
          <w:szCs w:val="23"/>
        </w:rPr>
        <w:t>care</w:t>
      </w:r>
      <w:proofErr w:type="gramEnd"/>
      <w:r w:rsidRPr="00594C3E">
        <w:rPr>
          <w:rFonts w:ascii="Source Sans Pro" w:hAnsi="Source Sans Pro" w:cs="Times New Roman"/>
          <w:color w:val="2A2A2A"/>
          <w:sz w:val="23"/>
          <w:szCs w:val="23"/>
        </w:rPr>
        <w:t xml:space="preserve"> and criminal justice. Jessica Kingsley Publishers.</w:t>
      </w:r>
    </w:p>
    <w:p w14:paraId="7B6C7CBB" w14:textId="77777777" w:rsidR="00C6580A" w:rsidRDefault="00C6580A" w:rsidP="00C6580A">
      <w:pPr>
        <w:shd w:val="clear" w:color="auto" w:fill="FFFFFF"/>
      </w:pPr>
    </w:p>
    <w:p w14:paraId="0BFA0A6C" w14:textId="77777777" w:rsidR="00C6580A" w:rsidRDefault="00C6580A" w:rsidP="00C6580A">
      <w:pPr>
        <w:shd w:val="clear" w:color="auto" w:fill="FFFFFF"/>
        <w:rPr>
          <w:rStyle w:val="Hyperlink"/>
        </w:rPr>
      </w:pPr>
      <w:r>
        <w:t xml:space="preserve">College of Policing (2014) </w:t>
      </w:r>
      <w:r>
        <w:rPr>
          <w:i/>
          <w:iCs/>
        </w:rPr>
        <w:t>National Decision Model.</w:t>
      </w:r>
      <w:r>
        <w:t xml:space="preserve"> Available at: </w:t>
      </w:r>
      <w:hyperlink r:id="rId35" w:history="1">
        <w:r w:rsidRPr="00313F2E">
          <w:rPr>
            <w:rStyle w:val="Hyperlink"/>
          </w:rPr>
          <w:t>https://www.college.police.uk/app/national-decision-model/national-decision-model</w:t>
        </w:r>
      </w:hyperlink>
      <w:r>
        <w:t xml:space="preserve"> [Accessed on: 13</w:t>
      </w:r>
      <w:r w:rsidRPr="00411E77">
        <w:rPr>
          <w:vertAlign w:val="superscript"/>
        </w:rPr>
        <w:t>th</w:t>
      </w:r>
      <w:r>
        <w:t xml:space="preserve"> December 2022]</w:t>
      </w:r>
    </w:p>
    <w:p w14:paraId="126E87B6" w14:textId="77777777" w:rsidR="00C6580A" w:rsidRDefault="00C6580A" w:rsidP="00C6580A">
      <w:pPr>
        <w:shd w:val="clear" w:color="auto" w:fill="FFFFFF"/>
        <w:rPr>
          <w:rFonts w:ascii="Source Sans Pro" w:hAnsi="Source Sans Pro" w:cs="Times New Roman"/>
          <w:color w:val="2A2A2A"/>
          <w:sz w:val="23"/>
          <w:szCs w:val="23"/>
        </w:rPr>
      </w:pPr>
    </w:p>
    <w:p w14:paraId="3559069E" w14:textId="77777777" w:rsidR="00C6580A" w:rsidRDefault="00C6580A" w:rsidP="00C6580A">
      <w:pPr>
        <w:shd w:val="clear" w:color="auto" w:fill="FFFFFF"/>
      </w:pPr>
      <w:r>
        <w:t xml:space="preserve">College of Policing (2020) </w:t>
      </w:r>
      <w:r>
        <w:rPr>
          <w:i/>
          <w:iCs/>
        </w:rPr>
        <w:t xml:space="preserve">Recognising and responding to vulnerability related risks. </w:t>
      </w:r>
      <w:r>
        <w:t xml:space="preserve">Available at: </w:t>
      </w:r>
      <w:hyperlink r:id="rId36" w:history="1">
        <w:r w:rsidRPr="00313F2E">
          <w:rPr>
            <w:rStyle w:val="Hyperlink"/>
          </w:rPr>
          <w:t>https://assets.college.police.uk/s3fs-public/Recognising-responding-vulnerability-related-risks-guidelines.pdf</w:t>
        </w:r>
      </w:hyperlink>
      <w:r>
        <w:t xml:space="preserve"> [Accessed on: 12</w:t>
      </w:r>
      <w:r w:rsidRPr="00F1296C">
        <w:rPr>
          <w:vertAlign w:val="superscript"/>
        </w:rPr>
        <w:t>th</w:t>
      </w:r>
      <w:r>
        <w:t xml:space="preserve"> November 2022]. </w:t>
      </w:r>
    </w:p>
    <w:p w14:paraId="335FA966" w14:textId="77777777" w:rsidR="00C6580A" w:rsidRPr="00343B3F" w:rsidRDefault="00C6580A" w:rsidP="00C6580A">
      <w:pPr>
        <w:shd w:val="clear" w:color="auto" w:fill="FFFFFF"/>
        <w:rPr>
          <w:rFonts w:ascii="Source Sans Pro" w:hAnsi="Source Sans Pro" w:cs="Times New Roman"/>
          <w:color w:val="2A2A2A"/>
          <w:sz w:val="23"/>
          <w:szCs w:val="23"/>
        </w:rPr>
      </w:pPr>
    </w:p>
    <w:p w14:paraId="77F28B43" w14:textId="77777777" w:rsidR="00C6580A" w:rsidRDefault="00C6580A" w:rsidP="00C6580A">
      <w:r>
        <w:t xml:space="preserve">College of Policing (2021) </w:t>
      </w:r>
      <w:r>
        <w:rPr>
          <w:i/>
          <w:iCs/>
        </w:rPr>
        <w:t xml:space="preserve">Introduction to vulnerability-related risk. </w:t>
      </w:r>
      <w:r>
        <w:t xml:space="preserve">Available at: </w:t>
      </w:r>
      <w:hyperlink r:id="rId37" w:history="1">
        <w:r>
          <w:rPr>
            <w:rStyle w:val="Hyperlink"/>
          </w:rPr>
          <w:t>https://www.college.police.uk/guidance/vulnerability-related-risks/introduction-vulnerability-related-risk</w:t>
        </w:r>
      </w:hyperlink>
      <w:r>
        <w:t xml:space="preserve">  [Accessed on: 12</w:t>
      </w:r>
      <w:r w:rsidRPr="00935A82">
        <w:rPr>
          <w:vertAlign w:val="superscript"/>
        </w:rPr>
        <w:t>th</w:t>
      </w:r>
      <w:r>
        <w:t xml:space="preserve"> November 2022]</w:t>
      </w:r>
    </w:p>
    <w:p w14:paraId="2ED5880C" w14:textId="77777777" w:rsidR="00C6580A" w:rsidRDefault="00C6580A" w:rsidP="00C6580A">
      <w:pPr>
        <w:shd w:val="clear" w:color="auto" w:fill="FFFFFF"/>
        <w:rPr>
          <w:rStyle w:val="Hyperlink"/>
        </w:rPr>
      </w:pPr>
    </w:p>
    <w:p w14:paraId="50D0EDD4" w14:textId="77777777" w:rsidR="00C6580A" w:rsidRDefault="00C6580A" w:rsidP="00C6580A">
      <w:pPr>
        <w:shd w:val="clear" w:color="auto" w:fill="FFFFFF"/>
      </w:pPr>
      <w:r>
        <w:t xml:space="preserve">College of Policing (2023) </w:t>
      </w:r>
      <w:r>
        <w:rPr>
          <w:i/>
          <w:iCs/>
        </w:rPr>
        <w:t>Domestic Abuse.</w:t>
      </w:r>
      <w:r>
        <w:t xml:space="preserve"> Available at:</w:t>
      </w:r>
      <w:r w:rsidRPr="00411E77">
        <w:t xml:space="preserve"> </w:t>
      </w:r>
      <w:hyperlink r:id="rId38" w:history="1">
        <w:r w:rsidRPr="00313F2E">
          <w:rPr>
            <w:rStyle w:val="Hyperlink"/>
          </w:rPr>
          <w:t>https://www.college.police.uk/app/major-investigation-and-public-protection/domestic-abuse</w:t>
        </w:r>
      </w:hyperlink>
      <w:r>
        <w:t xml:space="preserve"> [Accessed on: 13</w:t>
      </w:r>
      <w:r w:rsidRPr="00411E77">
        <w:rPr>
          <w:vertAlign w:val="superscript"/>
        </w:rPr>
        <w:t>th</w:t>
      </w:r>
      <w:r>
        <w:t xml:space="preserve"> December 2022] </w:t>
      </w:r>
    </w:p>
    <w:p w14:paraId="7A40C411" w14:textId="77777777" w:rsidR="00C6580A" w:rsidRDefault="00C6580A" w:rsidP="00C6580A">
      <w:pPr>
        <w:shd w:val="clear" w:color="auto" w:fill="FFFFFF"/>
      </w:pPr>
    </w:p>
    <w:p w14:paraId="21AEA927" w14:textId="77777777" w:rsidR="00C6580A" w:rsidRDefault="00C6580A" w:rsidP="00C6580A">
      <w:pPr>
        <w:shd w:val="clear" w:color="auto" w:fill="FFFFFF"/>
        <w:rPr>
          <w:rFonts w:ascii="Source Sans Pro" w:hAnsi="Source Sans Pro" w:cs="Times New Roman"/>
          <w:color w:val="2A2A2A"/>
          <w:sz w:val="23"/>
          <w:szCs w:val="23"/>
        </w:rPr>
      </w:pPr>
      <w:r w:rsidRPr="005972F3">
        <w:rPr>
          <w:rFonts w:ascii="Source Sans Pro" w:hAnsi="Source Sans Pro" w:cs="Times New Roman"/>
          <w:color w:val="2A2A2A"/>
          <w:sz w:val="23"/>
          <w:szCs w:val="23"/>
        </w:rPr>
        <w:t>Connor-Smith J.</w:t>
      </w:r>
      <w:r>
        <w:rPr>
          <w:rFonts w:ascii="Source Sans Pro" w:hAnsi="Source Sans Pro" w:cs="Times New Roman"/>
          <w:color w:val="2A2A2A"/>
          <w:sz w:val="23"/>
          <w:szCs w:val="23"/>
        </w:rPr>
        <w:t xml:space="preserve">, </w:t>
      </w:r>
      <w:r w:rsidRPr="005972F3">
        <w:rPr>
          <w:rFonts w:ascii="Source Sans Pro" w:hAnsi="Source Sans Pro" w:cs="Times New Roman"/>
          <w:color w:val="2A2A2A"/>
          <w:sz w:val="23"/>
          <w:szCs w:val="23"/>
        </w:rPr>
        <w:t>Henning K.</w:t>
      </w:r>
      <w:r>
        <w:rPr>
          <w:rFonts w:ascii="Source Sans Pro" w:hAnsi="Source Sans Pro" w:cs="Times New Roman"/>
          <w:color w:val="2A2A2A"/>
          <w:sz w:val="23"/>
          <w:szCs w:val="23"/>
        </w:rPr>
        <w:t xml:space="preserve">, </w:t>
      </w:r>
      <w:r w:rsidRPr="005972F3">
        <w:rPr>
          <w:rFonts w:ascii="Source Sans Pro" w:hAnsi="Source Sans Pro" w:cs="Times New Roman"/>
          <w:color w:val="2A2A2A"/>
          <w:sz w:val="23"/>
          <w:szCs w:val="23"/>
        </w:rPr>
        <w:t>Moore S.</w:t>
      </w:r>
      <w:r>
        <w:rPr>
          <w:rFonts w:ascii="Source Sans Pro" w:hAnsi="Source Sans Pro" w:cs="Times New Roman"/>
          <w:color w:val="2A2A2A"/>
          <w:sz w:val="23"/>
          <w:szCs w:val="23"/>
        </w:rPr>
        <w:t xml:space="preserve">, and </w:t>
      </w:r>
      <w:proofErr w:type="spellStart"/>
      <w:r w:rsidRPr="005972F3">
        <w:rPr>
          <w:rFonts w:ascii="Source Sans Pro" w:hAnsi="Source Sans Pro" w:cs="Times New Roman"/>
          <w:color w:val="2A2A2A"/>
          <w:sz w:val="23"/>
          <w:szCs w:val="23"/>
        </w:rPr>
        <w:t>Holdford</w:t>
      </w:r>
      <w:proofErr w:type="spellEnd"/>
      <w:r w:rsidRPr="005972F3">
        <w:rPr>
          <w:rFonts w:ascii="Source Sans Pro" w:hAnsi="Source Sans Pro" w:cs="Times New Roman"/>
          <w:color w:val="2A2A2A"/>
          <w:sz w:val="23"/>
          <w:szCs w:val="23"/>
        </w:rPr>
        <w:t xml:space="preserve"> R. (2011). ‘Risk Assessments by Female Victims of Intimate Partner Violence: Predictors of Risk Perceptions and Comparison to an Actuarial Measure.’ </w:t>
      </w:r>
      <w:r w:rsidRPr="00411E77">
        <w:rPr>
          <w:rFonts w:ascii="Source Sans Pro" w:hAnsi="Source Sans Pro" w:cs="Times New Roman"/>
          <w:i/>
          <w:iCs/>
          <w:color w:val="2A2A2A"/>
          <w:sz w:val="23"/>
          <w:szCs w:val="23"/>
        </w:rPr>
        <w:t>Journal of Interpersonal Violence</w:t>
      </w:r>
      <w:r>
        <w:rPr>
          <w:rFonts w:ascii="Source Sans Pro" w:hAnsi="Source Sans Pro" w:cs="Times New Roman"/>
          <w:color w:val="2A2A2A"/>
          <w:sz w:val="23"/>
          <w:szCs w:val="23"/>
        </w:rPr>
        <w:t>,</w:t>
      </w:r>
      <w:r w:rsidRPr="005972F3">
        <w:rPr>
          <w:rFonts w:ascii="Source Sans Pro" w:hAnsi="Source Sans Pro" w:cs="Times New Roman"/>
          <w:color w:val="2A2A2A"/>
          <w:sz w:val="23"/>
          <w:szCs w:val="23"/>
        </w:rPr>
        <w:t xml:space="preserve"> 26(12): </w:t>
      </w:r>
      <w:r>
        <w:rPr>
          <w:rFonts w:ascii="Source Sans Pro" w:hAnsi="Source Sans Pro" w:cs="Times New Roman"/>
          <w:color w:val="2A2A2A"/>
          <w:sz w:val="23"/>
          <w:szCs w:val="23"/>
        </w:rPr>
        <w:t xml:space="preserve">pp. </w:t>
      </w:r>
      <w:r w:rsidRPr="005972F3">
        <w:rPr>
          <w:rFonts w:ascii="Source Sans Pro" w:hAnsi="Source Sans Pro" w:cs="Times New Roman"/>
          <w:color w:val="2A2A2A"/>
          <w:sz w:val="23"/>
          <w:szCs w:val="23"/>
        </w:rPr>
        <w:t>2517–2550.</w:t>
      </w:r>
    </w:p>
    <w:p w14:paraId="449C0313" w14:textId="77777777" w:rsidR="00C6580A" w:rsidRDefault="00C6580A" w:rsidP="00C6580A">
      <w:pPr>
        <w:shd w:val="clear" w:color="auto" w:fill="FFFFFF"/>
        <w:rPr>
          <w:rFonts w:ascii="Source Sans Pro" w:hAnsi="Source Sans Pro" w:cs="Times New Roman"/>
          <w:color w:val="2A2A2A"/>
          <w:sz w:val="23"/>
          <w:szCs w:val="23"/>
        </w:rPr>
      </w:pPr>
    </w:p>
    <w:p w14:paraId="302EDBCD" w14:textId="77777777" w:rsidR="00C6580A" w:rsidRDefault="00C6580A" w:rsidP="00C6580A">
      <w:pPr>
        <w:shd w:val="clear" w:color="auto" w:fill="FFFFFF"/>
      </w:pPr>
      <w:r>
        <w:t>Council of State Governments (2002). ‘The criminal justice/mental health consensus project’. New York, NY: Council of State Governments</w:t>
      </w:r>
    </w:p>
    <w:p w14:paraId="10B31088" w14:textId="77777777" w:rsidR="00C6580A" w:rsidRDefault="00C6580A" w:rsidP="00C6580A">
      <w:pPr>
        <w:shd w:val="clear" w:color="auto" w:fill="FFFFFF"/>
        <w:rPr>
          <w:rFonts w:ascii="Source Sans Pro" w:hAnsi="Source Sans Pro" w:cs="Times New Roman"/>
          <w:color w:val="2A2A2A"/>
          <w:sz w:val="23"/>
          <w:szCs w:val="23"/>
        </w:rPr>
      </w:pPr>
    </w:p>
    <w:p w14:paraId="408DE8B4" w14:textId="77777777" w:rsidR="00C6580A" w:rsidRPr="00F412BF" w:rsidRDefault="00C6580A" w:rsidP="00C6580A">
      <w:pPr>
        <w:shd w:val="clear" w:color="auto" w:fill="FFFFFF"/>
        <w:rPr>
          <w:rFonts w:ascii="Source Sans Pro" w:hAnsi="Source Sans Pro" w:cs="Times New Roman"/>
          <w:color w:val="2A2A2A"/>
          <w:sz w:val="23"/>
          <w:szCs w:val="23"/>
        </w:rPr>
      </w:pPr>
      <w:r>
        <w:rPr>
          <w:rFonts w:ascii="Source Sans Pro" w:hAnsi="Source Sans Pro" w:cs="Times New Roman"/>
          <w:color w:val="2A2A2A"/>
          <w:sz w:val="23"/>
          <w:szCs w:val="23"/>
        </w:rPr>
        <w:t xml:space="preserve">Cuellar A.E., McReynolds L.S., and Wasserman G.A. (2006) ‘A cure for crime: Can mental health treatment diversion reduce crime among youth?’ </w:t>
      </w:r>
      <w:r>
        <w:rPr>
          <w:rFonts w:ascii="Source Sans Pro" w:hAnsi="Source Sans Pro" w:cs="Times New Roman"/>
          <w:i/>
          <w:iCs/>
          <w:color w:val="2A2A2A"/>
          <w:sz w:val="23"/>
          <w:szCs w:val="23"/>
        </w:rPr>
        <w:t>Journal of Policy Analysis &amp; Management,</w:t>
      </w:r>
      <w:r>
        <w:rPr>
          <w:rFonts w:ascii="Source Sans Pro" w:hAnsi="Source Sans Pro" w:cs="Times New Roman"/>
          <w:color w:val="2A2A2A"/>
          <w:sz w:val="23"/>
          <w:szCs w:val="23"/>
        </w:rPr>
        <w:t xml:space="preserve"> 25(1), pp. 197-214. Available at: </w:t>
      </w:r>
      <w:hyperlink r:id="rId39" w:history="1">
        <w:r w:rsidRPr="00313F2E">
          <w:rPr>
            <w:rStyle w:val="Hyperlink"/>
            <w:rFonts w:ascii="Source Sans Pro" w:hAnsi="Source Sans Pro"/>
            <w:sz w:val="23"/>
            <w:szCs w:val="23"/>
            <w:shd w:val="clear" w:color="auto" w:fill="FFFFFF"/>
          </w:rPr>
          <w:t>https://doi.org/10.1002/pam.20162</w:t>
        </w:r>
      </w:hyperlink>
      <w:r>
        <w:rPr>
          <w:rFonts w:ascii="Source Sans Pro" w:hAnsi="Source Sans Pro"/>
          <w:color w:val="3A3A3A"/>
          <w:sz w:val="23"/>
          <w:szCs w:val="23"/>
          <w:shd w:val="clear" w:color="auto" w:fill="FFFFFF"/>
        </w:rPr>
        <w:t xml:space="preserve">. </w:t>
      </w:r>
    </w:p>
    <w:p w14:paraId="1F251D2E" w14:textId="77777777" w:rsidR="00C6580A" w:rsidRDefault="00C6580A" w:rsidP="00C6580A">
      <w:pPr>
        <w:shd w:val="clear" w:color="auto" w:fill="FFFFFF"/>
        <w:rPr>
          <w:rFonts w:ascii="Source Sans Pro" w:hAnsi="Source Sans Pro" w:cs="Times New Roman"/>
          <w:color w:val="2A2A2A"/>
          <w:sz w:val="23"/>
          <w:szCs w:val="23"/>
        </w:rPr>
      </w:pPr>
    </w:p>
    <w:p w14:paraId="6DDD34BE" w14:textId="77777777" w:rsidR="00C6580A" w:rsidRDefault="00C6580A" w:rsidP="00C6580A">
      <w:pPr>
        <w:shd w:val="clear" w:color="auto" w:fill="FFFFFF"/>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Farrington, D.P. (1986) ‘Age and Crime’, </w:t>
      </w:r>
      <w:r>
        <w:rPr>
          <w:rFonts w:ascii="Source Sans Pro" w:hAnsi="Source Sans Pro"/>
          <w:i/>
          <w:iCs/>
          <w:color w:val="3A3A3A"/>
          <w:sz w:val="23"/>
          <w:szCs w:val="23"/>
          <w:shd w:val="clear" w:color="auto" w:fill="FFFFFF"/>
        </w:rPr>
        <w:t>Crime and justice (Chicago, Ill.)</w:t>
      </w:r>
      <w:r>
        <w:rPr>
          <w:rFonts w:ascii="Source Sans Pro" w:hAnsi="Source Sans Pro"/>
          <w:color w:val="3A3A3A"/>
          <w:sz w:val="23"/>
          <w:szCs w:val="23"/>
          <w:shd w:val="clear" w:color="auto" w:fill="FFFFFF"/>
        </w:rPr>
        <w:t xml:space="preserve">, 7, pp. 189–250. Available at: </w:t>
      </w:r>
      <w:hyperlink r:id="rId40" w:history="1">
        <w:r w:rsidRPr="00313F2E">
          <w:rPr>
            <w:rStyle w:val="Hyperlink"/>
            <w:rFonts w:ascii="Source Sans Pro" w:hAnsi="Source Sans Pro"/>
            <w:sz w:val="23"/>
            <w:szCs w:val="23"/>
            <w:shd w:val="clear" w:color="auto" w:fill="FFFFFF"/>
          </w:rPr>
          <w:t>https://doi.org/10.1086/449114</w:t>
        </w:r>
      </w:hyperlink>
      <w:r>
        <w:rPr>
          <w:rFonts w:ascii="Source Sans Pro" w:hAnsi="Source Sans Pro"/>
          <w:color w:val="3A3A3A"/>
          <w:sz w:val="23"/>
          <w:szCs w:val="23"/>
          <w:shd w:val="clear" w:color="auto" w:fill="FFFFFF"/>
        </w:rPr>
        <w:t>. [Accessed on: 14</w:t>
      </w:r>
      <w:r w:rsidRPr="00F412BF">
        <w:rPr>
          <w:rFonts w:ascii="Source Sans Pro" w:hAnsi="Source Sans Pro"/>
          <w:color w:val="3A3A3A"/>
          <w:sz w:val="23"/>
          <w:szCs w:val="23"/>
          <w:shd w:val="clear" w:color="auto" w:fill="FFFFFF"/>
          <w:vertAlign w:val="superscript"/>
        </w:rPr>
        <w:t>th</w:t>
      </w:r>
      <w:r>
        <w:rPr>
          <w:rFonts w:ascii="Source Sans Pro" w:hAnsi="Source Sans Pro"/>
          <w:color w:val="3A3A3A"/>
          <w:sz w:val="23"/>
          <w:szCs w:val="23"/>
          <w:shd w:val="clear" w:color="auto" w:fill="FFFFFF"/>
        </w:rPr>
        <w:t xml:space="preserve"> November 2022]</w:t>
      </w:r>
    </w:p>
    <w:p w14:paraId="5A3D3E5B" w14:textId="77777777" w:rsidR="00C6580A" w:rsidRDefault="00C6580A" w:rsidP="00C6580A">
      <w:pPr>
        <w:shd w:val="clear" w:color="auto" w:fill="FFFFFF"/>
        <w:rPr>
          <w:rFonts w:ascii="Source Sans Pro" w:hAnsi="Source Sans Pro"/>
          <w:color w:val="3A3A3A"/>
          <w:sz w:val="23"/>
          <w:szCs w:val="23"/>
          <w:shd w:val="clear" w:color="auto" w:fill="FFFFFF"/>
        </w:rPr>
      </w:pPr>
    </w:p>
    <w:p w14:paraId="7A8E0119" w14:textId="77777777" w:rsidR="00C6580A" w:rsidRDefault="00C6580A" w:rsidP="00C6580A">
      <w:pPr>
        <w:shd w:val="clear" w:color="auto" w:fill="FFFFFF"/>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Flynn S., Rodway C., Appleby L., Shaw J. (2014) ‘Serious Violence by people with mental illness: National Clinical Survey’, </w:t>
      </w:r>
      <w:r>
        <w:rPr>
          <w:rFonts w:ascii="Source Sans Pro" w:hAnsi="Source Sans Pro"/>
          <w:i/>
          <w:iCs/>
          <w:color w:val="3A3A3A"/>
          <w:sz w:val="23"/>
          <w:szCs w:val="23"/>
          <w:shd w:val="clear" w:color="auto" w:fill="FFFFFF"/>
        </w:rPr>
        <w:t>Journal of Interpersonal Violence,</w:t>
      </w:r>
      <w:r>
        <w:rPr>
          <w:rFonts w:ascii="Source Sans Pro" w:hAnsi="Source Sans Pro"/>
          <w:color w:val="3A3A3A"/>
          <w:sz w:val="23"/>
          <w:szCs w:val="23"/>
          <w:shd w:val="clear" w:color="auto" w:fill="FFFFFF"/>
        </w:rPr>
        <w:t xml:space="preserve"> 29, pp. 1438-1458. Available at: </w:t>
      </w:r>
      <w:hyperlink r:id="rId41" w:history="1">
        <w:r w:rsidRPr="00313F2E">
          <w:rPr>
            <w:rStyle w:val="Hyperlink"/>
            <w:rFonts w:ascii="Source Sans Pro" w:hAnsi="Source Sans Pro"/>
            <w:sz w:val="23"/>
            <w:szCs w:val="23"/>
            <w:shd w:val="clear" w:color="auto" w:fill="FFFFFF"/>
          </w:rPr>
          <w:t>https://doi.org/10.1177/0886260513507133</w:t>
        </w:r>
      </w:hyperlink>
      <w:r>
        <w:rPr>
          <w:rFonts w:ascii="Source Sans Pro" w:hAnsi="Source Sans Pro"/>
          <w:color w:val="3A3A3A"/>
          <w:sz w:val="23"/>
          <w:szCs w:val="23"/>
          <w:shd w:val="clear" w:color="auto" w:fill="FFFFFF"/>
        </w:rPr>
        <w:t>.</w:t>
      </w:r>
    </w:p>
    <w:p w14:paraId="34CD0655" w14:textId="77777777" w:rsidR="00C6580A" w:rsidRDefault="00C6580A" w:rsidP="00C6580A"/>
    <w:p w14:paraId="3878B43C" w14:textId="77777777" w:rsidR="00C6580A" w:rsidRDefault="00C6580A" w:rsidP="00C6580A">
      <w:pPr>
        <w:shd w:val="clear" w:color="auto" w:fill="FFFFFF"/>
        <w:rPr>
          <w:rFonts w:ascii="Source Sans Pro" w:hAnsi="Source Sans Pro" w:cs="Times New Roman"/>
          <w:color w:val="2A2A2A"/>
          <w:sz w:val="23"/>
          <w:szCs w:val="23"/>
          <w:shd w:val="clear" w:color="auto" w:fill="FFFFFF"/>
        </w:rPr>
      </w:pPr>
      <w:r w:rsidRPr="00343B3F">
        <w:rPr>
          <w:rFonts w:ascii="Source Sans Pro" w:hAnsi="Source Sans Pro" w:cs="Times New Roman"/>
          <w:color w:val="2A2A2A"/>
          <w:sz w:val="23"/>
          <w:szCs w:val="23"/>
        </w:rPr>
        <w:t>Harmon</w:t>
      </w:r>
      <w:r>
        <w:rPr>
          <w:rFonts w:ascii="Source Sans Pro" w:hAnsi="Source Sans Pro" w:cs="Times New Roman"/>
          <w:color w:val="2A2A2A"/>
          <w:sz w:val="23"/>
          <w:szCs w:val="23"/>
        </w:rPr>
        <w:t xml:space="preserve">, </w:t>
      </w:r>
      <w:r w:rsidRPr="00343B3F">
        <w:rPr>
          <w:rFonts w:ascii="Source Sans Pro" w:hAnsi="Source Sans Pro" w:cs="Times New Roman"/>
          <w:color w:val="2A2A2A"/>
          <w:sz w:val="23"/>
          <w:szCs w:val="23"/>
        </w:rPr>
        <w:t>A.</w:t>
      </w:r>
      <w:r w:rsidRPr="00343B3F">
        <w:rPr>
          <w:rFonts w:ascii="Source Sans Pro" w:hAnsi="Source Sans Pro" w:cs="Times New Roman"/>
          <w:color w:val="2A2A2A"/>
          <w:sz w:val="23"/>
          <w:szCs w:val="23"/>
          <w:shd w:val="clear" w:color="auto" w:fill="FFFFFF"/>
        </w:rPr>
        <w:t> (</w:t>
      </w:r>
      <w:r w:rsidRPr="00343B3F">
        <w:rPr>
          <w:rFonts w:ascii="Source Sans Pro" w:hAnsi="Source Sans Pro" w:cs="Times New Roman"/>
          <w:color w:val="2A2A2A"/>
          <w:sz w:val="23"/>
          <w:szCs w:val="23"/>
        </w:rPr>
        <w:t>2016</w:t>
      </w:r>
      <w:r w:rsidRPr="00343B3F">
        <w:rPr>
          <w:rFonts w:ascii="Source Sans Pro" w:hAnsi="Source Sans Pro" w:cs="Times New Roman"/>
          <w:color w:val="2A2A2A"/>
          <w:sz w:val="23"/>
          <w:szCs w:val="23"/>
          <w:shd w:val="clear" w:color="auto" w:fill="FFFFFF"/>
        </w:rPr>
        <w:t>). ‘</w:t>
      </w:r>
      <w:r w:rsidRPr="00F412BF">
        <w:rPr>
          <w:rFonts w:ascii="Source Sans Pro" w:hAnsi="Source Sans Pro" w:cs="Times New Roman"/>
          <w:color w:val="2A2A2A"/>
          <w:sz w:val="23"/>
          <w:szCs w:val="23"/>
        </w:rPr>
        <w:t xml:space="preserve">Vulnerable </w:t>
      </w:r>
      <w:proofErr w:type="gramStart"/>
      <w:r w:rsidRPr="00F412BF">
        <w:rPr>
          <w:rFonts w:ascii="Source Sans Pro" w:hAnsi="Source Sans Pro" w:cs="Times New Roman"/>
          <w:color w:val="2A2A2A"/>
          <w:sz w:val="23"/>
          <w:szCs w:val="23"/>
        </w:rPr>
        <w:t>populations</w:t>
      </w:r>
      <w:r w:rsidRPr="00F412BF">
        <w:rPr>
          <w:rFonts w:ascii="Source Sans Pro" w:hAnsi="Source Sans Pro" w:cs="Times New Roman"/>
          <w:color w:val="2A2A2A"/>
          <w:sz w:val="23"/>
          <w:szCs w:val="23"/>
          <w:shd w:val="clear" w:color="auto" w:fill="FFFFFF"/>
        </w:rPr>
        <w:t>’</w:t>
      </w:r>
      <w:proofErr w:type="gramEnd"/>
      <w:r w:rsidRPr="00343B3F">
        <w:rPr>
          <w:rFonts w:ascii="Source Sans Pro" w:hAnsi="Source Sans Pro" w:cs="Times New Roman"/>
          <w:color w:val="2A2A2A"/>
          <w:sz w:val="23"/>
          <w:szCs w:val="23"/>
          <w:shd w:val="clear" w:color="auto" w:fill="FFFFFF"/>
        </w:rPr>
        <w:t>. </w:t>
      </w:r>
      <w:r w:rsidRPr="00F412BF">
        <w:rPr>
          <w:rFonts w:ascii="Source Sans Pro" w:hAnsi="Source Sans Pro" w:cs="Times New Roman"/>
          <w:i/>
          <w:iCs/>
          <w:color w:val="2A2A2A"/>
          <w:sz w:val="23"/>
          <w:szCs w:val="23"/>
        </w:rPr>
        <w:t xml:space="preserve">Salem Press </w:t>
      </w:r>
      <w:proofErr w:type="spellStart"/>
      <w:r w:rsidRPr="00F412BF">
        <w:rPr>
          <w:rFonts w:ascii="Source Sans Pro" w:hAnsi="Source Sans Pro" w:cs="Times New Roman"/>
          <w:i/>
          <w:iCs/>
          <w:color w:val="2A2A2A"/>
          <w:sz w:val="23"/>
          <w:szCs w:val="23"/>
        </w:rPr>
        <w:t>Encyclopedia</w:t>
      </w:r>
      <w:proofErr w:type="spellEnd"/>
      <w:r w:rsidRPr="00F412BF">
        <w:rPr>
          <w:rFonts w:ascii="Source Sans Pro" w:hAnsi="Source Sans Pro" w:cs="Times New Roman"/>
          <w:i/>
          <w:iCs/>
          <w:color w:val="2A2A2A"/>
          <w:sz w:val="23"/>
          <w:szCs w:val="23"/>
          <w:shd w:val="clear" w:color="auto" w:fill="FFFFFF"/>
        </w:rPr>
        <w:t>,</w:t>
      </w:r>
      <w:r w:rsidRPr="00343B3F">
        <w:rPr>
          <w:rFonts w:ascii="Source Sans Pro" w:hAnsi="Source Sans Pro" w:cs="Times New Roman"/>
          <w:color w:val="2A2A2A"/>
          <w:sz w:val="23"/>
          <w:szCs w:val="23"/>
          <w:shd w:val="clear" w:color="auto" w:fill="FFFFFF"/>
        </w:rPr>
        <w:t xml:space="preserve"> Research Starters, EBSCOhost</w:t>
      </w:r>
      <w:r>
        <w:rPr>
          <w:rFonts w:ascii="Source Sans Pro" w:hAnsi="Source Sans Pro" w:cs="Times New Roman"/>
          <w:color w:val="2A2A2A"/>
          <w:sz w:val="23"/>
          <w:szCs w:val="23"/>
          <w:shd w:val="clear" w:color="auto" w:fill="FFFFFF"/>
        </w:rPr>
        <w:t>.</w:t>
      </w:r>
      <w:r w:rsidRPr="00343B3F">
        <w:rPr>
          <w:rFonts w:ascii="Source Sans Pro" w:hAnsi="Source Sans Pro" w:cs="Times New Roman"/>
          <w:color w:val="2A2A2A"/>
          <w:sz w:val="23"/>
          <w:szCs w:val="23"/>
          <w:shd w:val="clear" w:color="auto" w:fill="FFFFFF"/>
        </w:rPr>
        <w:t xml:space="preserve"> </w:t>
      </w:r>
      <w:r>
        <w:rPr>
          <w:rFonts w:ascii="Source Sans Pro" w:hAnsi="Source Sans Pro" w:cs="Times New Roman"/>
          <w:color w:val="2A2A2A"/>
          <w:sz w:val="23"/>
          <w:szCs w:val="23"/>
          <w:shd w:val="clear" w:color="auto" w:fill="FFFFFF"/>
        </w:rPr>
        <w:t>[Accessed on:  12</w:t>
      </w:r>
      <w:r w:rsidRPr="00F1296C">
        <w:rPr>
          <w:rFonts w:ascii="Source Sans Pro" w:hAnsi="Source Sans Pro" w:cs="Times New Roman"/>
          <w:color w:val="2A2A2A"/>
          <w:sz w:val="23"/>
          <w:szCs w:val="23"/>
          <w:shd w:val="clear" w:color="auto" w:fill="FFFFFF"/>
          <w:vertAlign w:val="superscript"/>
        </w:rPr>
        <w:t>th</w:t>
      </w:r>
      <w:r>
        <w:rPr>
          <w:rFonts w:ascii="Source Sans Pro" w:hAnsi="Source Sans Pro" w:cs="Times New Roman"/>
          <w:color w:val="2A2A2A"/>
          <w:sz w:val="23"/>
          <w:szCs w:val="23"/>
          <w:shd w:val="clear" w:color="auto" w:fill="FFFFFF"/>
        </w:rPr>
        <w:t xml:space="preserve"> November 2022]</w:t>
      </w:r>
      <w:r w:rsidRPr="00343B3F">
        <w:rPr>
          <w:rFonts w:ascii="Source Sans Pro" w:hAnsi="Source Sans Pro" w:cs="Times New Roman"/>
          <w:color w:val="2A2A2A"/>
          <w:sz w:val="23"/>
          <w:szCs w:val="23"/>
          <w:shd w:val="clear" w:color="auto" w:fill="FFFFFF"/>
        </w:rPr>
        <w:t>.</w:t>
      </w:r>
      <w:r>
        <w:rPr>
          <w:rFonts w:ascii="Source Sans Pro" w:hAnsi="Source Sans Pro" w:cs="Times New Roman"/>
          <w:color w:val="2A2A2A"/>
          <w:sz w:val="23"/>
          <w:szCs w:val="23"/>
          <w:shd w:val="clear" w:color="auto" w:fill="FFFFFF"/>
        </w:rPr>
        <w:t xml:space="preserve"> </w:t>
      </w:r>
    </w:p>
    <w:p w14:paraId="09A734F9" w14:textId="77777777" w:rsidR="00C6580A" w:rsidRDefault="00C6580A" w:rsidP="00C6580A"/>
    <w:p w14:paraId="6EA7D965" w14:textId="77777777" w:rsidR="00C6580A" w:rsidRDefault="00C6580A" w:rsidP="00C6580A">
      <w:proofErr w:type="spellStart"/>
      <w:r>
        <w:rPr>
          <w:rFonts w:ascii="Source Sans Pro" w:hAnsi="Source Sans Pro"/>
          <w:color w:val="2A2A2A"/>
          <w:sz w:val="23"/>
          <w:szCs w:val="23"/>
          <w:shd w:val="clear" w:color="auto" w:fill="FFFFFF"/>
        </w:rPr>
        <w:t>Keay</w:t>
      </w:r>
      <w:proofErr w:type="spellEnd"/>
      <w:r>
        <w:rPr>
          <w:rFonts w:ascii="Source Sans Pro" w:hAnsi="Source Sans Pro"/>
          <w:color w:val="2A2A2A"/>
          <w:sz w:val="23"/>
          <w:szCs w:val="23"/>
          <w:shd w:val="clear" w:color="auto" w:fill="FFFFFF"/>
        </w:rPr>
        <w:t xml:space="preserve"> S. and Kirby S. (2018) ‘Defining Vulnerability: From the Conceptual to the Operational’, </w:t>
      </w:r>
      <w:r>
        <w:rPr>
          <w:rStyle w:val="Emphasis"/>
          <w:rFonts w:ascii="Source Sans Pro" w:hAnsi="Source Sans Pro"/>
          <w:color w:val="2A2A2A"/>
          <w:sz w:val="23"/>
          <w:szCs w:val="23"/>
          <w:bdr w:val="none" w:sz="0" w:space="0" w:color="auto" w:frame="1"/>
          <w:shd w:val="clear" w:color="auto" w:fill="FFFFFF"/>
        </w:rPr>
        <w:t>Policing: A Journal of Policy and Practice</w:t>
      </w:r>
      <w:r>
        <w:rPr>
          <w:rFonts w:ascii="Source Sans Pro" w:hAnsi="Source Sans Pro"/>
          <w:color w:val="2A2A2A"/>
          <w:sz w:val="23"/>
          <w:szCs w:val="23"/>
          <w:shd w:val="clear" w:color="auto" w:fill="FFFFFF"/>
        </w:rPr>
        <w:t>, 12(4</w:t>
      </w:r>
      <w:proofErr w:type="gramStart"/>
      <w:r>
        <w:rPr>
          <w:rFonts w:ascii="Source Sans Pro" w:hAnsi="Source Sans Pro"/>
          <w:color w:val="2A2A2A"/>
          <w:sz w:val="23"/>
          <w:szCs w:val="23"/>
          <w:shd w:val="clear" w:color="auto" w:fill="FFFFFF"/>
        </w:rPr>
        <w:t>),  pp</w:t>
      </w:r>
      <w:proofErr w:type="gramEnd"/>
      <w:r>
        <w:rPr>
          <w:rFonts w:ascii="Source Sans Pro" w:hAnsi="Source Sans Pro"/>
          <w:color w:val="2A2A2A"/>
          <w:sz w:val="23"/>
          <w:szCs w:val="23"/>
          <w:shd w:val="clear" w:color="auto" w:fill="FFFFFF"/>
        </w:rPr>
        <w:t xml:space="preserve"> 428–438. Available at: </w:t>
      </w:r>
      <w:hyperlink r:id="rId42" w:history="1">
        <w:r>
          <w:rPr>
            <w:rStyle w:val="Hyperlink"/>
            <w:rFonts w:ascii="Source Sans Pro" w:hAnsi="Source Sans Pro"/>
            <w:color w:val="006FB7"/>
            <w:sz w:val="23"/>
            <w:szCs w:val="23"/>
            <w:bdr w:val="none" w:sz="0" w:space="0" w:color="auto" w:frame="1"/>
            <w:shd w:val="clear" w:color="auto" w:fill="FFFFFF"/>
          </w:rPr>
          <w:t>https://doi.org/10.1093/police/pax046</w:t>
        </w:r>
      </w:hyperlink>
      <w:r>
        <w:t xml:space="preserve"> [Accessed 12th November 2022].</w:t>
      </w:r>
    </w:p>
    <w:p w14:paraId="384BE696" w14:textId="77777777" w:rsidR="00C6580A" w:rsidRDefault="00C6580A" w:rsidP="00C6580A">
      <w:pPr>
        <w:shd w:val="clear" w:color="auto" w:fill="FFFFFF"/>
        <w:rPr>
          <w:rFonts w:ascii="Source Sans Pro" w:hAnsi="Source Sans Pro"/>
          <w:color w:val="3A3A3A"/>
          <w:sz w:val="23"/>
          <w:szCs w:val="23"/>
          <w:shd w:val="clear" w:color="auto" w:fill="FFFFFF"/>
        </w:rPr>
      </w:pPr>
    </w:p>
    <w:p w14:paraId="52D9DBBD" w14:textId="77777777" w:rsidR="00C6580A" w:rsidRPr="00D51548" w:rsidRDefault="00C6580A" w:rsidP="00C6580A">
      <w:pPr>
        <w:shd w:val="clear" w:color="auto" w:fill="FFFFFF"/>
        <w:rPr>
          <w:rFonts w:ascii="Source Sans Pro" w:eastAsiaTheme="minorHAnsi" w:hAnsi="Source Sans Pro" w:cstheme="minorBidi"/>
          <w:color w:val="3A3A3A"/>
          <w:sz w:val="23"/>
          <w:szCs w:val="23"/>
          <w:shd w:val="clear" w:color="auto" w:fill="FFFFFF"/>
          <w:lang w:eastAsia="en-US"/>
        </w:rPr>
      </w:pPr>
      <w:proofErr w:type="spellStart"/>
      <w:r>
        <w:rPr>
          <w:rFonts w:ascii="Source Sans Pro" w:hAnsi="Source Sans Pro"/>
          <w:color w:val="3A3A3A"/>
          <w:sz w:val="23"/>
          <w:szCs w:val="23"/>
          <w:shd w:val="clear" w:color="auto" w:fill="FFFFFF"/>
        </w:rPr>
        <w:t>Mcgee</w:t>
      </w:r>
      <w:proofErr w:type="spellEnd"/>
      <w:r>
        <w:rPr>
          <w:rFonts w:ascii="Source Sans Pro" w:hAnsi="Source Sans Pro"/>
          <w:color w:val="3A3A3A"/>
          <w:sz w:val="23"/>
          <w:szCs w:val="23"/>
          <w:shd w:val="clear" w:color="auto" w:fill="FFFFFF"/>
        </w:rPr>
        <w:t xml:space="preserve"> T.R., </w:t>
      </w:r>
      <w:proofErr w:type="spellStart"/>
      <w:r>
        <w:rPr>
          <w:rFonts w:ascii="Source Sans Pro" w:hAnsi="Source Sans Pro"/>
          <w:color w:val="3A3A3A"/>
          <w:sz w:val="23"/>
          <w:szCs w:val="23"/>
          <w:shd w:val="clear" w:color="auto" w:fill="FFFFFF"/>
        </w:rPr>
        <w:t>Hayatbakhsh</w:t>
      </w:r>
      <w:proofErr w:type="spellEnd"/>
      <w:r>
        <w:rPr>
          <w:rFonts w:ascii="Source Sans Pro" w:hAnsi="Source Sans Pro"/>
          <w:color w:val="3A3A3A"/>
          <w:sz w:val="23"/>
          <w:szCs w:val="23"/>
          <w:shd w:val="clear" w:color="auto" w:fill="FFFFFF"/>
        </w:rPr>
        <w:t xml:space="preserve"> M.R., </w:t>
      </w:r>
      <w:proofErr w:type="spellStart"/>
      <w:r>
        <w:rPr>
          <w:rFonts w:ascii="Source Sans Pro" w:hAnsi="Source Sans Pro"/>
          <w:color w:val="3A3A3A"/>
          <w:sz w:val="23"/>
          <w:szCs w:val="23"/>
          <w:shd w:val="clear" w:color="auto" w:fill="FFFFFF"/>
        </w:rPr>
        <w:t>Bor</w:t>
      </w:r>
      <w:proofErr w:type="spellEnd"/>
      <w:r>
        <w:rPr>
          <w:rFonts w:ascii="Source Sans Pro" w:hAnsi="Source Sans Pro"/>
          <w:color w:val="3A3A3A"/>
          <w:sz w:val="23"/>
          <w:szCs w:val="23"/>
          <w:shd w:val="clear" w:color="auto" w:fill="FFFFFF"/>
        </w:rPr>
        <w:t xml:space="preserve"> W., </w:t>
      </w:r>
      <w:proofErr w:type="spellStart"/>
      <w:r>
        <w:rPr>
          <w:rFonts w:ascii="Source Sans Pro" w:hAnsi="Source Sans Pro"/>
          <w:color w:val="3A3A3A"/>
          <w:sz w:val="23"/>
          <w:szCs w:val="23"/>
          <w:shd w:val="clear" w:color="auto" w:fill="FFFFFF"/>
        </w:rPr>
        <w:t>Cerruto</w:t>
      </w:r>
      <w:proofErr w:type="spellEnd"/>
      <w:r>
        <w:rPr>
          <w:rFonts w:ascii="Source Sans Pro" w:hAnsi="Source Sans Pro"/>
          <w:color w:val="3A3A3A"/>
          <w:sz w:val="23"/>
          <w:szCs w:val="23"/>
          <w:shd w:val="clear" w:color="auto" w:fill="FFFFFF"/>
        </w:rPr>
        <w:t xml:space="preserve">, M., Dean A., </w:t>
      </w:r>
      <w:proofErr w:type="spellStart"/>
      <w:r>
        <w:rPr>
          <w:rFonts w:ascii="Source Sans Pro" w:hAnsi="Source Sans Pro"/>
          <w:color w:val="3A3A3A"/>
          <w:sz w:val="23"/>
          <w:szCs w:val="23"/>
          <w:shd w:val="clear" w:color="auto" w:fill="FFFFFF"/>
        </w:rPr>
        <w:t>Alati</w:t>
      </w:r>
      <w:proofErr w:type="spellEnd"/>
      <w:r>
        <w:rPr>
          <w:rFonts w:ascii="Source Sans Pro" w:hAnsi="Source Sans Pro"/>
          <w:color w:val="3A3A3A"/>
          <w:sz w:val="23"/>
          <w:szCs w:val="23"/>
          <w:shd w:val="clear" w:color="auto" w:fill="FFFFFF"/>
        </w:rPr>
        <w:t xml:space="preserve"> </w:t>
      </w:r>
      <w:proofErr w:type="gramStart"/>
      <w:r>
        <w:rPr>
          <w:rFonts w:ascii="Source Sans Pro" w:hAnsi="Source Sans Pro"/>
          <w:color w:val="3A3A3A"/>
          <w:sz w:val="23"/>
          <w:szCs w:val="23"/>
          <w:shd w:val="clear" w:color="auto" w:fill="FFFFFF"/>
        </w:rPr>
        <w:t>R.</w:t>
      </w:r>
      <w:proofErr w:type="gramEnd"/>
      <w:r>
        <w:rPr>
          <w:rFonts w:ascii="Source Sans Pro" w:hAnsi="Source Sans Pro"/>
          <w:color w:val="3A3A3A"/>
          <w:sz w:val="23"/>
          <w:szCs w:val="23"/>
          <w:shd w:val="clear" w:color="auto" w:fill="FFFFFF"/>
        </w:rPr>
        <w:t xml:space="preserve"> and </w:t>
      </w:r>
      <w:proofErr w:type="spellStart"/>
      <w:r>
        <w:rPr>
          <w:rFonts w:ascii="Source Sans Pro" w:hAnsi="Source Sans Pro"/>
          <w:color w:val="3A3A3A"/>
          <w:sz w:val="23"/>
          <w:szCs w:val="23"/>
          <w:shd w:val="clear" w:color="auto" w:fill="FFFFFF"/>
        </w:rPr>
        <w:t>Najman</w:t>
      </w:r>
      <w:proofErr w:type="spellEnd"/>
      <w:r>
        <w:rPr>
          <w:rFonts w:ascii="Source Sans Pro" w:hAnsi="Source Sans Pro"/>
          <w:color w:val="3A3A3A"/>
          <w:sz w:val="23"/>
          <w:szCs w:val="23"/>
          <w:shd w:val="clear" w:color="auto" w:fill="FFFFFF"/>
        </w:rPr>
        <w:t xml:space="preserve"> J.M. (2011) ‘Antisocial behaviour across the life course: An examination of the effects of early onset desistance and early onset persistent antisocial behaviour in adulthood’, </w:t>
      </w:r>
      <w:r>
        <w:rPr>
          <w:rFonts w:ascii="Source Sans Pro" w:hAnsi="Source Sans Pro"/>
          <w:i/>
          <w:iCs/>
          <w:color w:val="3A3A3A"/>
          <w:sz w:val="23"/>
          <w:szCs w:val="23"/>
          <w:shd w:val="clear" w:color="auto" w:fill="FFFFFF"/>
        </w:rPr>
        <w:t>Australian Journal of Psychology,</w:t>
      </w:r>
      <w:r>
        <w:rPr>
          <w:rFonts w:ascii="Source Sans Pro" w:hAnsi="Source Sans Pro"/>
          <w:color w:val="3A3A3A"/>
          <w:sz w:val="23"/>
          <w:szCs w:val="23"/>
          <w:shd w:val="clear" w:color="auto" w:fill="FFFFFF"/>
        </w:rPr>
        <w:t xml:space="preserve"> 63(1), pp. 44-55. Available at: https://doi.org/10.1111/j.1742-9536.2011.00006.x.</w:t>
      </w:r>
    </w:p>
    <w:p w14:paraId="0ACFB3EF" w14:textId="77777777" w:rsidR="00C6580A" w:rsidRDefault="00C6580A" w:rsidP="00C6580A">
      <w:pPr>
        <w:shd w:val="clear" w:color="auto" w:fill="FFFFFF"/>
      </w:pPr>
    </w:p>
    <w:p w14:paraId="5D369C3B" w14:textId="77777777" w:rsidR="00C6580A" w:rsidRDefault="00C6580A" w:rsidP="00C6580A">
      <w:pPr>
        <w:shd w:val="clear" w:color="auto" w:fill="FFFFFF"/>
        <w:rPr>
          <w:rFonts w:ascii="Source Sans Pro" w:hAnsi="Source Sans Pro" w:cs="Times New Roman"/>
          <w:color w:val="2A2A2A"/>
          <w:sz w:val="23"/>
          <w:szCs w:val="23"/>
        </w:rPr>
      </w:pPr>
    </w:p>
    <w:p w14:paraId="13147D6B" w14:textId="77777777" w:rsidR="00C6580A" w:rsidRDefault="00C6580A" w:rsidP="00C6580A">
      <w:pPr>
        <w:shd w:val="clear" w:color="auto" w:fill="FFFFFF"/>
        <w:rPr>
          <w:rFonts w:ascii="Source Sans Pro" w:hAnsi="Source Sans Pro" w:cs="Times New Roman"/>
          <w:color w:val="2A2A2A"/>
          <w:sz w:val="23"/>
          <w:szCs w:val="23"/>
        </w:rPr>
      </w:pPr>
      <w:r w:rsidRPr="008A2803">
        <w:rPr>
          <w:rFonts w:ascii="Source Sans Pro" w:hAnsi="Source Sans Pro" w:cs="Times New Roman"/>
          <w:color w:val="2A2A2A"/>
          <w:sz w:val="23"/>
          <w:szCs w:val="23"/>
        </w:rPr>
        <w:t xml:space="preserve">Pease, K., Bowen, E. and Dixon, L. (2014). </w:t>
      </w:r>
      <w:r>
        <w:rPr>
          <w:rFonts w:ascii="Source Sans Pro" w:hAnsi="Source Sans Pro" w:cs="Times New Roman"/>
          <w:color w:val="2A2A2A"/>
          <w:sz w:val="23"/>
          <w:szCs w:val="23"/>
        </w:rPr>
        <w:t>‘</w:t>
      </w:r>
      <w:proofErr w:type="spellStart"/>
      <w:r w:rsidRPr="008A2803">
        <w:rPr>
          <w:rFonts w:ascii="Source Sans Pro" w:hAnsi="Source Sans Pro" w:cs="Times New Roman"/>
          <w:color w:val="2A2A2A"/>
          <w:sz w:val="23"/>
          <w:szCs w:val="23"/>
        </w:rPr>
        <w:t>DASHed</w:t>
      </w:r>
      <w:proofErr w:type="spellEnd"/>
      <w:r w:rsidRPr="008A2803">
        <w:rPr>
          <w:rFonts w:ascii="Source Sans Pro" w:hAnsi="Source Sans Pro" w:cs="Times New Roman"/>
          <w:color w:val="2A2A2A"/>
          <w:sz w:val="23"/>
          <w:szCs w:val="23"/>
        </w:rPr>
        <w:t xml:space="preserve"> on the </w:t>
      </w:r>
      <w:proofErr w:type="gramStart"/>
      <w:r w:rsidRPr="008A2803">
        <w:rPr>
          <w:rFonts w:ascii="Source Sans Pro" w:hAnsi="Source Sans Pro" w:cs="Times New Roman"/>
          <w:color w:val="2A2A2A"/>
          <w:sz w:val="23"/>
          <w:szCs w:val="23"/>
        </w:rPr>
        <w:t>rocks</w:t>
      </w:r>
      <w:r>
        <w:rPr>
          <w:rFonts w:ascii="Source Sans Pro" w:hAnsi="Source Sans Pro" w:cs="Times New Roman"/>
          <w:color w:val="2A2A2A"/>
          <w:sz w:val="23"/>
          <w:szCs w:val="23"/>
        </w:rPr>
        <w:t>’</w:t>
      </w:r>
      <w:proofErr w:type="gramEnd"/>
      <w:r w:rsidRPr="008A2803">
        <w:rPr>
          <w:rFonts w:ascii="Source Sans Pro" w:hAnsi="Source Sans Pro" w:cs="Times New Roman"/>
          <w:color w:val="2A2A2A"/>
          <w:sz w:val="23"/>
          <w:szCs w:val="23"/>
        </w:rPr>
        <w:t>. Available from http://www.policeprofessional.com/news.aspx?channel= 0&amp;keywords=dashed%20on%20the%20rocks</w:t>
      </w:r>
      <w:r>
        <w:rPr>
          <w:rFonts w:ascii="Source Sans Pro" w:hAnsi="Source Sans Pro" w:cs="Times New Roman"/>
          <w:color w:val="2A2A2A"/>
          <w:sz w:val="23"/>
          <w:szCs w:val="23"/>
        </w:rPr>
        <w:t xml:space="preserve"> </w:t>
      </w:r>
      <w:r w:rsidRPr="008A2803">
        <w:rPr>
          <w:rFonts w:ascii="Source Sans Pro" w:hAnsi="Source Sans Pro" w:cs="Times New Roman"/>
          <w:color w:val="2A2A2A"/>
          <w:sz w:val="23"/>
          <w:szCs w:val="23"/>
        </w:rPr>
        <w:t xml:space="preserve">[Online] </w:t>
      </w:r>
      <w:r>
        <w:rPr>
          <w:rFonts w:ascii="Source Sans Pro" w:hAnsi="Source Sans Pro" w:cs="Times New Roman"/>
          <w:color w:val="2A2A2A"/>
          <w:sz w:val="23"/>
          <w:szCs w:val="23"/>
        </w:rPr>
        <w:t>A</w:t>
      </w:r>
      <w:r w:rsidRPr="008A2803">
        <w:rPr>
          <w:rFonts w:ascii="Source Sans Pro" w:hAnsi="Source Sans Pro" w:cs="Times New Roman"/>
          <w:color w:val="2A2A2A"/>
          <w:sz w:val="23"/>
          <w:szCs w:val="23"/>
        </w:rPr>
        <w:t xml:space="preserve">ccessed 4th </w:t>
      </w:r>
      <w:r>
        <w:rPr>
          <w:rFonts w:ascii="Source Sans Pro" w:hAnsi="Source Sans Pro" w:cs="Times New Roman"/>
          <w:color w:val="2A2A2A"/>
          <w:sz w:val="23"/>
          <w:szCs w:val="23"/>
        </w:rPr>
        <w:t>January 2023</w:t>
      </w:r>
      <w:r w:rsidRPr="008A2803">
        <w:rPr>
          <w:rFonts w:ascii="Source Sans Pro" w:hAnsi="Source Sans Pro" w:cs="Times New Roman"/>
          <w:color w:val="2A2A2A"/>
          <w:sz w:val="23"/>
          <w:szCs w:val="23"/>
        </w:rPr>
        <w:t>.</w:t>
      </w:r>
    </w:p>
    <w:p w14:paraId="141C40A0" w14:textId="77777777" w:rsidR="00C6580A" w:rsidRDefault="00C6580A" w:rsidP="00C6580A">
      <w:pPr>
        <w:shd w:val="clear" w:color="auto" w:fill="FFFFFF"/>
        <w:rPr>
          <w:rFonts w:ascii="Source Sans Pro" w:hAnsi="Source Sans Pro" w:cs="Times New Roman"/>
          <w:color w:val="2A2A2A"/>
          <w:sz w:val="23"/>
          <w:szCs w:val="23"/>
        </w:rPr>
      </w:pPr>
    </w:p>
    <w:p w14:paraId="1AE7E9EF" w14:textId="77777777" w:rsidR="00C6580A" w:rsidRDefault="00C6580A" w:rsidP="00C6580A">
      <w:pPr>
        <w:shd w:val="clear" w:color="auto" w:fill="FFFFFF"/>
        <w:rPr>
          <w:rFonts w:ascii="Source Sans Pro" w:hAnsi="Source Sans Pro"/>
          <w:color w:val="3A3A3A"/>
          <w:sz w:val="23"/>
          <w:szCs w:val="23"/>
          <w:shd w:val="clear" w:color="auto" w:fill="FFFFFF"/>
        </w:rPr>
      </w:pPr>
    </w:p>
    <w:p w14:paraId="4E0624F4" w14:textId="77777777" w:rsidR="00C6580A" w:rsidRDefault="00C6580A" w:rsidP="00C6580A">
      <w:pPr>
        <w:shd w:val="clear" w:color="auto" w:fill="FFFFFF"/>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Purcell, R. and Harrigan, S. (2017) ‘Lifetime rates and correlates of crime victimisation in young people with mental ill-health’, </w:t>
      </w:r>
      <w:r>
        <w:rPr>
          <w:rFonts w:ascii="Source Sans Pro" w:hAnsi="Source Sans Pro"/>
          <w:i/>
          <w:iCs/>
          <w:color w:val="3A3A3A"/>
          <w:sz w:val="23"/>
          <w:szCs w:val="23"/>
          <w:shd w:val="clear" w:color="auto" w:fill="FFFFFF"/>
        </w:rPr>
        <w:t xml:space="preserve">Australasian </w:t>
      </w:r>
      <w:proofErr w:type="gramStart"/>
      <w:r>
        <w:rPr>
          <w:rFonts w:ascii="Source Sans Pro" w:hAnsi="Source Sans Pro"/>
          <w:i/>
          <w:iCs/>
          <w:color w:val="3A3A3A"/>
          <w:sz w:val="23"/>
          <w:szCs w:val="23"/>
          <w:shd w:val="clear" w:color="auto" w:fill="FFFFFF"/>
        </w:rPr>
        <w:t>psychiatry :</w:t>
      </w:r>
      <w:proofErr w:type="gramEnd"/>
      <w:r>
        <w:rPr>
          <w:rFonts w:ascii="Source Sans Pro" w:hAnsi="Source Sans Pro"/>
          <w:i/>
          <w:iCs/>
          <w:color w:val="3A3A3A"/>
          <w:sz w:val="23"/>
          <w:szCs w:val="23"/>
          <w:shd w:val="clear" w:color="auto" w:fill="FFFFFF"/>
        </w:rPr>
        <w:t xml:space="preserve"> bulletin of the Royal Australian and New Zealand College of Psychiatrists</w:t>
      </w:r>
      <w:r>
        <w:rPr>
          <w:rFonts w:ascii="Source Sans Pro" w:hAnsi="Source Sans Pro"/>
          <w:color w:val="3A3A3A"/>
          <w:sz w:val="23"/>
          <w:szCs w:val="23"/>
          <w:shd w:val="clear" w:color="auto" w:fill="FFFFFF"/>
        </w:rPr>
        <w:t xml:space="preserve">, 25(2), pp. 135–139. Available at: </w:t>
      </w:r>
      <w:hyperlink r:id="rId43" w:history="1">
        <w:r w:rsidRPr="00264F79">
          <w:rPr>
            <w:rStyle w:val="Hyperlink"/>
            <w:rFonts w:ascii="Source Sans Pro" w:hAnsi="Source Sans Pro"/>
            <w:sz w:val="23"/>
            <w:szCs w:val="23"/>
            <w:shd w:val="clear" w:color="auto" w:fill="FFFFFF"/>
          </w:rPr>
          <w:t>https://doi.org/10.1177/1039856216658826</w:t>
        </w:r>
      </w:hyperlink>
      <w:r>
        <w:rPr>
          <w:rFonts w:ascii="Source Sans Pro" w:hAnsi="Source Sans Pro"/>
          <w:color w:val="3A3A3A"/>
          <w:sz w:val="23"/>
          <w:szCs w:val="23"/>
          <w:shd w:val="clear" w:color="auto" w:fill="FFFFFF"/>
        </w:rPr>
        <w:t>.</w:t>
      </w:r>
    </w:p>
    <w:p w14:paraId="5CC48825" w14:textId="77777777" w:rsidR="00C6580A" w:rsidRDefault="00C6580A" w:rsidP="00C6580A">
      <w:pPr>
        <w:shd w:val="clear" w:color="auto" w:fill="FFFFFF"/>
        <w:rPr>
          <w:rFonts w:ascii="Source Sans Pro" w:hAnsi="Source Sans Pro"/>
          <w:color w:val="3A3A3A"/>
          <w:sz w:val="23"/>
          <w:szCs w:val="23"/>
          <w:shd w:val="clear" w:color="auto" w:fill="FFFFFF"/>
        </w:rPr>
      </w:pPr>
    </w:p>
    <w:p w14:paraId="7AA7D5AB" w14:textId="77777777" w:rsidR="00C6580A" w:rsidRDefault="00C6580A" w:rsidP="00C6580A">
      <w:pPr>
        <w:shd w:val="clear" w:color="auto" w:fill="FFFFFF"/>
        <w:rPr>
          <w:rFonts w:ascii="Source Sans Pro" w:hAnsi="Source Sans Pro" w:cs="Times New Roman"/>
          <w:color w:val="2A2A2A"/>
          <w:sz w:val="23"/>
          <w:szCs w:val="23"/>
        </w:rPr>
      </w:pPr>
    </w:p>
    <w:p w14:paraId="13BD0659" w14:textId="77777777" w:rsidR="00C6580A" w:rsidRPr="00D51548" w:rsidRDefault="00C6580A" w:rsidP="00C6580A">
      <w:pPr>
        <w:shd w:val="clear" w:color="auto" w:fill="FFFFFF"/>
        <w:rPr>
          <w:rFonts w:ascii="Source Sans Pro" w:eastAsiaTheme="minorHAnsi" w:hAnsi="Source Sans Pro" w:cstheme="minorBidi"/>
          <w:color w:val="006FB7"/>
          <w:sz w:val="23"/>
          <w:szCs w:val="23"/>
          <w:u w:val="single"/>
          <w:bdr w:val="none" w:sz="0" w:space="0" w:color="auto" w:frame="1"/>
          <w:shd w:val="clear" w:color="auto" w:fill="FFFFFF"/>
          <w:lang w:eastAsia="en-US"/>
        </w:rPr>
      </w:pPr>
      <w:r>
        <w:rPr>
          <w:rFonts w:ascii="Source Sans Pro" w:hAnsi="Source Sans Pro" w:cs="Times New Roman"/>
          <w:color w:val="2A2A2A"/>
          <w:sz w:val="23"/>
          <w:szCs w:val="23"/>
        </w:rPr>
        <w:t xml:space="preserve">Turner E., Medina J., and Brown G. (2019) ‘Dashing Hopes? The Predictive Accuracy of Domestic Abuse Risk Assessment by Police’. </w:t>
      </w:r>
      <w:r>
        <w:rPr>
          <w:rFonts w:ascii="Source Sans Pro" w:hAnsi="Source Sans Pro" w:cs="Times New Roman"/>
          <w:i/>
          <w:iCs/>
          <w:color w:val="2A2A2A"/>
          <w:sz w:val="23"/>
          <w:szCs w:val="23"/>
        </w:rPr>
        <w:t>The British Journal of Criminology</w:t>
      </w:r>
      <w:r>
        <w:rPr>
          <w:rFonts w:ascii="Source Sans Pro" w:hAnsi="Source Sans Pro" w:cs="Times New Roman"/>
          <w:color w:val="2A2A2A"/>
          <w:sz w:val="23"/>
          <w:szCs w:val="23"/>
        </w:rPr>
        <w:t xml:space="preserve">, 59(5), pp. 1013-1034. Available at: </w:t>
      </w:r>
      <w:hyperlink r:id="rId44" w:history="1">
        <w:r>
          <w:rPr>
            <w:rStyle w:val="Hyperlink"/>
            <w:rFonts w:ascii="Source Sans Pro" w:hAnsi="Source Sans Pro"/>
            <w:color w:val="006FB7"/>
            <w:sz w:val="23"/>
            <w:szCs w:val="23"/>
            <w:bdr w:val="none" w:sz="0" w:space="0" w:color="auto" w:frame="1"/>
            <w:shd w:val="clear" w:color="auto" w:fill="FFFFFF"/>
          </w:rPr>
          <w:t>https://doi.org/10.1093/bjc/azy074</w:t>
        </w:r>
      </w:hyperlink>
    </w:p>
    <w:p w14:paraId="55A9364F" w14:textId="77777777" w:rsidR="00C6580A" w:rsidRDefault="00C6580A" w:rsidP="00C6580A">
      <w:pPr>
        <w:shd w:val="clear" w:color="auto" w:fill="FFFFFF"/>
        <w:rPr>
          <w:rFonts w:ascii="Source Sans Pro" w:hAnsi="Source Sans Pro" w:cs="Times New Roman"/>
          <w:color w:val="2A2A2A"/>
          <w:sz w:val="23"/>
          <w:szCs w:val="23"/>
        </w:rPr>
      </w:pPr>
    </w:p>
    <w:p w14:paraId="57955475" w14:textId="77777777" w:rsidR="00C6580A" w:rsidRDefault="00C6580A" w:rsidP="00C6580A">
      <w:pPr>
        <w:shd w:val="clear" w:color="auto" w:fill="FFFFFF"/>
        <w:rPr>
          <w:rFonts w:ascii="Source Sans Pro" w:hAnsi="Source Sans Pro" w:cs="Times New Roman"/>
          <w:color w:val="2A2A2A"/>
          <w:sz w:val="23"/>
          <w:szCs w:val="23"/>
        </w:rPr>
      </w:pPr>
    </w:p>
    <w:p w14:paraId="16D5EB97" w14:textId="77777777" w:rsidR="00C6580A" w:rsidRPr="00F713C6" w:rsidRDefault="00C6580A" w:rsidP="00C6580A">
      <w:pPr>
        <w:shd w:val="clear" w:color="auto" w:fill="FFFFFF"/>
        <w:rPr>
          <w:rFonts w:ascii="Source Sans Pro" w:hAnsi="Source Sans Pro" w:cs="Times New Roman"/>
          <w:color w:val="2A2A2A"/>
          <w:sz w:val="23"/>
          <w:szCs w:val="23"/>
        </w:rPr>
      </w:pPr>
      <w:r w:rsidRPr="00F713C6">
        <w:rPr>
          <w:rFonts w:ascii="Source Sans Pro" w:hAnsi="Source Sans Pro" w:cs="Times New Roman"/>
          <w:color w:val="2A2A2A"/>
          <w:sz w:val="23"/>
          <w:szCs w:val="23"/>
        </w:rPr>
        <w:t>Weir</w:t>
      </w:r>
      <w:r>
        <w:rPr>
          <w:rFonts w:ascii="Source Sans Pro" w:hAnsi="Source Sans Pro" w:cs="Times New Roman"/>
          <w:color w:val="2A2A2A"/>
          <w:sz w:val="23"/>
          <w:szCs w:val="23"/>
        </w:rPr>
        <w:t xml:space="preserve"> </w:t>
      </w:r>
      <w:r w:rsidRPr="00F713C6">
        <w:rPr>
          <w:rFonts w:ascii="Source Sans Pro" w:hAnsi="Source Sans Pro" w:cs="Times New Roman"/>
          <w:color w:val="2A2A2A"/>
          <w:sz w:val="23"/>
          <w:szCs w:val="23"/>
        </w:rPr>
        <w:t xml:space="preserve">R., </w:t>
      </w:r>
      <w:r>
        <w:rPr>
          <w:rFonts w:ascii="Source Sans Pro" w:hAnsi="Source Sans Pro" w:cs="Times New Roman"/>
          <w:color w:val="2A2A2A"/>
          <w:sz w:val="23"/>
          <w:szCs w:val="23"/>
        </w:rPr>
        <w:t>(</w:t>
      </w:r>
      <w:r w:rsidRPr="00F713C6">
        <w:rPr>
          <w:rFonts w:ascii="Source Sans Pro" w:hAnsi="Source Sans Pro" w:cs="Times New Roman"/>
          <w:color w:val="2A2A2A"/>
          <w:sz w:val="23"/>
          <w:szCs w:val="23"/>
        </w:rPr>
        <w:t>2020</w:t>
      </w:r>
      <w:r>
        <w:rPr>
          <w:rFonts w:ascii="Source Sans Pro" w:hAnsi="Source Sans Pro" w:cs="Times New Roman"/>
          <w:color w:val="2A2A2A"/>
          <w:sz w:val="23"/>
          <w:szCs w:val="23"/>
        </w:rPr>
        <w:t>)</w:t>
      </w:r>
      <w:r w:rsidRPr="00F713C6">
        <w:rPr>
          <w:rFonts w:ascii="Source Sans Pro" w:hAnsi="Source Sans Pro" w:cs="Times New Roman"/>
          <w:color w:val="2A2A2A"/>
          <w:sz w:val="23"/>
          <w:szCs w:val="23"/>
        </w:rPr>
        <w:t xml:space="preserve">. Individuals, </w:t>
      </w:r>
      <w:proofErr w:type="gramStart"/>
      <w:r w:rsidRPr="00F713C6">
        <w:rPr>
          <w:rFonts w:ascii="Source Sans Pro" w:hAnsi="Source Sans Pro" w:cs="Times New Roman"/>
          <w:color w:val="2A2A2A"/>
          <w:sz w:val="23"/>
          <w:szCs w:val="23"/>
        </w:rPr>
        <w:t>families</w:t>
      </w:r>
      <w:proofErr w:type="gramEnd"/>
      <w:r>
        <w:rPr>
          <w:rFonts w:ascii="Source Sans Pro" w:hAnsi="Source Sans Pro" w:cs="Times New Roman"/>
          <w:color w:val="2A2A2A"/>
          <w:sz w:val="23"/>
          <w:szCs w:val="23"/>
        </w:rPr>
        <w:t xml:space="preserve"> </w:t>
      </w:r>
      <w:r w:rsidRPr="00F713C6">
        <w:rPr>
          <w:rFonts w:ascii="Source Sans Pro" w:hAnsi="Source Sans Pro" w:cs="Times New Roman"/>
          <w:color w:val="2A2A2A"/>
          <w:sz w:val="23"/>
          <w:szCs w:val="23"/>
        </w:rPr>
        <w:t>and neighbourhoods: Predictors of domestic</w:t>
      </w:r>
      <w:r>
        <w:rPr>
          <w:rFonts w:ascii="Source Sans Pro" w:hAnsi="Source Sans Pro" w:cs="Times New Roman"/>
          <w:color w:val="2A2A2A"/>
          <w:sz w:val="23"/>
          <w:szCs w:val="23"/>
        </w:rPr>
        <w:t xml:space="preserve"> </w:t>
      </w:r>
      <w:r w:rsidRPr="00F713C6">
        <w:rPr>
          <w:rFonts w:ascii="Source Sans Pro" w:hAnsi="Source Sans Pro" w:cs="Times New Roman"/>
          <w:color w:val="2A2A2A"/>
          <w:sz w:val="23"/>
          <w:szCs w:val="23"/>
        </w:rPr>
        <w:t>abuse</w:t>
      </w:r>
    </w:p>
    <w:p w14:paraId="27BBC697" w14:textId="77777777" w:rsidR="00C6580A" w:rsidRDefault="00C6580A" w:rsidP="00C6580A">
      <w:pPr>
        <w:shd w:val="clear" w:color="auto" w:fill="FFFFFF"/>
        <w:rPr>
          <w:rFonts w:ascii="Source Sans Pro" w:hAnsi="Source Sans Pro" w:cs="Times New Roman"/>
          <w:color w:val="2A2A2A"/>
          <w:sz w:val="23"/>
          <w:szCs w:val="23"/>
        </w:rPr>
      </w:pPr>
      <w:r w:rsidRPr="00F713C6">
        <w:rPr>
          <w:rFonts w:ascii="Source Sans Pro" w:hAnsi="Source Sans Pro" w:cs="Times New Roman"/>
          <w:color w:val="2A2A2A"/>
          <w:sz w:val="23"/>
          <w:szCs w:val="23"/>
        </w:rPr>
        <w:t>in Essex. University of Essex.</w:t>
      </w:r>
    </w:p>
    <w:p w14:paraId="69BE5450" w14:textId="77777777" w:rsidR="00C6580A" w:rsidRDefault="00C6580A" w:rsidP="00C6580A">
      <w:pPr>
        <w:shd w:val="clear" w:color="auto" w:fill="FFFFFF"/>
      </w:pPr>
    </w:p>
    <w:p w14:paraId="45B56983" w14:textId="77777777" w:rsidR="00C6580A" w:rsidRDefault="00C6580A" w:rsidP="00C6580A">
      <w:pPr>
        <w:shd w:val="clear" w:color="auto" w:fill="FFFFFF"/>
      </w:pPr>
    </w:p>
    <w:p w14:paraId="5B9DA85F" w14:textId="77777777" w:rsidR="00C6580A" w:rsidRDefault="00C6580A" w:rsidP="00C6580A">
      <w:pPr>
        <w:shd w:val="clear" w:color="auto" w:fill="FFFFFF"/>
      </w:pPr>
      <w:r>
        <w:t>Wolff N. (1998). ‘Interactions between mental health and law enforcement systems: Problems and prospects for cooperation’</w:t>
      </w:r>
      <w:r w:rsidRPr="00610216">
        <w:rPr>
          <w:i/>
          <w:iCs/>
        </w:rPr>
        <w:t>. Journal of Health Policy, Politics, and Law</w:t>
      </w:r>
      <w:r>
        <w:t>, 23(1), pp. 133–174.</w:t>
      </w:r>
    </w:p>
    <w:p w14:paraId="4A511FED" w14:textId="77777777" w:rsidR="00C6580A" w:rsidRDefault="00C6580A" w:rsidP="00C6580A">
      <w:pPr>
        <w:shd w:val="clear" w:color="auto" w:fill="FFFFFF"/>
      </w:pPr>
    </w:p>
    <w:p w14:paraId="254291A7" w14:textId="77777777" w:rsidR="00C6580A" w:rsidRDefault="00C6580A" w:rsidP="00C6580A">
      <w:pPr>
        <w:shd w:val="clear" w:color="auto" w:fill="FFFFFF"/>
        <w:rPr>
          <w:rFonts w:ascii="Open Sans" w:hAnsi="Open Sans" w:cs="Open Sans"/>
          <w:sz w:val="21"/>
          <w:szCs w:val="21"/>
          <w:shd w:val="clear" w:color="auto" w:fill="FFFFFF"/>
        </w:rPr>
      </w:pPr>
    </w:p>
    <w:p w14:paraId="0AB807FE" w14:textId="17756083" w:rsidR="1E8636EB" w:rsidRDefault="1E8636EB" w:rsidP="00C6580A">
      <w:pPr>
        <w:keepNext/>
        <w:spacing w:before="240" w:after="60"/>
        <w:ind w:right="237"/>
        <w:jc w:val="both"/>
      </w:pP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ource Sans Pro">
    <w:altName w:val="Source Sans Pro"/>
    <w:charset w:val="00"/>
    <w:family w:val="swiss"/>
    <w:pitch w:val="variable"/>
    <w:sig w:usb0="600002F7" w:usb1="02000001" w:usb2="0000000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D135C" w14:textId="77777777" w:rsidR="00BD64D2" w:rsidRDefault="00BD64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5274B" w14:textId="77777777" w:rsidR="00BD64D2" w:rsidRDefault="00BD64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8D07A" w14:textId="77777777" w:rsidR="00BD64D2" w:rsidRDefault="00BD64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EFAA2" w14:textId="77777777" w:rsidR="00BD64D2" w:rsidRDefault="00BD64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3A7F8" w14:textId="77777777" w:rsidR="00BD64D2" w:rsidRDefault="00BD64D2">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91D8A9E8"/>
    <w:lvl w:ilvl="0" w:tplc="95904982">
      <w:start w:val="1"/>
      <w:numFmt w:val="decimal"/>
      <w:lvlText w:val="%1."/>
      <w:lvlJc w:val="left"/>
      <w:pPr>
        <w:ind w:left="720" w:hanging="360"/>
      </w:pPr>
    </w:lvl>
    <w:lvl w:ilvl="1" w:tplc="770C654E">
      <w:start w:val="1"/>
      <w:numFmt w:val="lowerLetter"/>
      <w:lvlText w:val="%2."/>
      <w:lvlJc w:val="left"/>
      <w:pPr>
        <w:ind w:left="1440" w:hanging="360"/>
      </w:pPr>
    </w:lvl>
    <w:lvl w:ilvl="2" w:tplc="B9AC92C0">
      <w:start w:val="1"/>
      <w:numFmt w:val="lowerRoman"/>
      <w:lvlText w:val="%3."/>
      <w:lvlJc w:val="right"/>
      <w:pPr>
        <w:ind w:left="2160" w:hanging="180"/>
      </w:pPr>
    </w:lvl>
    <w:lvl w:ilvl="3" w:tplc="3EAA7972">
      <w:start w:val="1"/>
      <w:numFmt w:val="decimal"/>
      <w:lvlText w:val="%4."/>
      <w:lvlJc w:val="left"/>
      <w:pPr>
        <w:ind w:left="2880" w:hanging="360"/>
      </w:pPr>
    </w:lvl>
    <w:lvl w:ilvl="4" w:tplc="8F7E4478">
      <w:start w:val="1"/>
      <w:numFmt w:val="lowerLetter"/>
      <w:lvlText w:val="%5."/>
      <w:lvlJc w:val="left"/>
      <w:pPr>
        <w:ind w:left="3600" w:hanging="360"/>
      </w:pPr>
    </w:lvl>
    <w:lvl w:ilvl="5" w:tplc="00FABD28">
      <w:start w:val="1"/>
      <w:numFmt w:val="lowerRoman"/>
      <w:lvlText w:val="%6."/>
      <w:lvlJc w:val="right"/>
      <w:pPr>
        <w:ind w:left="4320" w:hanging="180"/>
      </w:pPr>
    </w:lvl>
    <w:lvl w:ilvl="6" w:tplc="2648E9E4">
      <w:start w:val="1"/>
      <w:numFmt w:val="decimal"/>
      <w:lvlText w:val="%7."/>
      <w:lvlJc w:val="left"/>
      <w:pPr>
        <w:ind w:left="5040" w:hanging="360"/>
      </w:pPr>
    </w:lvl>
    <w:lvl w:ilvl="7" w:tplc="830492EE">
      <w:start w:val="1"/>
      <w:numFmt w:val="lowerLetter"/>
      <w:lvlText w:val="%8."/>
      <w:lvlJc w:val="left"/>
      <w:pPr>
        <w:ind w:left="5760" w:hanging="360"/>
      </w:pPr>
    </w:lvl>
    <w:lvl w:ilvl="8" w:tplc="5A18B68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36445C64"/>
    <w:lvl w:ilvl="0" w:tplc="F72041C2">
      <w:start w:val="1"/>
      <w:numFmt w:val="decimal"/>
      <w:lvlText w:val="%1."/>
      <w:lvlJc w:val="left"/>
      <w:pPr>
        <w:ind w:left="720" w:hanging="360"/>
      </w:pPr>
    </w:lvl>
    <w:lvl w:ilvl="1" w:tplc="FA5096CC">
      <w:start w:val="1"/>
      <w:numFmt w:val="decimal"/>
      <w:lvlText w:val="%2."/>
      <w:lvlJc w:val="left"/>
      <w:pPr>
        <w:ind w:left="1440" w:hanging="360"/>
      </w:pPr>
    </w:lvl>
    <w:lvl w:ilvl="2" w:tplc="9664E2C0">
      <w:start w:val="1"/>
      <w:numFmt w:val="lowerRoman"/>
      <w:lvlText w:val="%3."/>
      <w:lvlJc w:val="right"/>
      <w:pPr>
        <w:ind w:left="2160" w:hanging="180"/>
      </w:pPr>
    </w:lvl>
    <w:lvl w:ilvl="3" w:tplc="8FE4BC00">
      <w:start w:val="1"/>
      <w:numFmt w:val="decimal"/>
      <w:lvlText w:val="%4."/>
      <w:lvlJc w:val="left"/>
      <w:pPr>
        <w:ind w:left="2880" w:hanging="360"/>
      </w:pPr>
    </w:lvl>
    <w:lvl w:ilvl="4" w:tplc="E1ECD510">
      <w:start w:val="1"/>
      <w:numFmt w:val="lowerLetter"/>
      <w:lvlText w:val="%5."/>
      <w:lvlJc w:val="left"/>
      <w:pPr>
        <w:ind w:left="3600" w:hanging="360"/>
      </w:pPr>
    </w:lvl>
    <w:lvl w:ilvl="5" w:tplc="577E07A0">
      <w:start w:val="1"/>
      <w:numFmt w:val="lowerRoman"/>
      <w:lvlText w:val="%6."/>
      <w:lvlJc w:val="right"/>
      <w:pPr>
        <w:ind w:left="4320" w:hanging="180"/>
      </w:pPr>
    </w:lvl>
    <w:lvl w:ilvl="6" w:tplc="0938FD10">
      <w:start w:val="1"/>
      <w:numFmt w:val="decimal"/>
      <w:lvlText w:val="%7."/>
      <w:lvlJc w:val="left"/>
      <w:pPr>
        <w:ind w:left="5040" w:hanging="360"/>
      </w:pPr>
    </w:lvl>
    <w:lvl w:ilvl="7" w:tplc="FE860428">
      <w:start w:val="1"/>
      <w:numFmt w:val="lowerLetter"/>
      <w:lvlText w:val="%8."/>
      <w:lvlJc w:val="left"/>
      <w:pPr>
        <w:ind w:left="5760" w:hanging="360"/>
      </w:pPr>
    </w:lvl>
    <w:lvl w:ilvl="8" w:tplc="B6069F02">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5384152">
    <w:abstractNumId w:val="47"/>
  </w:num>
  <w:num w:numId="2" w16cid:durableId="1946302814">
    <w:abstractNumId w:val="10"/>
  </w:num>
  <w:num w:numId="3" w16cid:durableId="1762994596">
    <w:abstractNumId w:val="1"/>
    <w:lvlOverride w:ilvl="0">
      <w:lvl w:ilvl="0">
        <w:start w:val="1"/>
        <w:numFmt w:val="bullet"/>
        <w:lvlText w:val=""/>
        <w:lvlJc w:val="left"/>
        <w:pPr>
          <w:ind w:left="720" w:hanging="360"/>
        </w:pPr>
        <w:rPr>
          <w:rFonts w:ascii="Symbol" w:hAnsi="Symbol" w:hint="default"/>
        </w:rPr>
      </w:lvl>
    </w:lvlOverride>
  </w:num>
  <w:num w:numId="4" w16cid:durableId="1597058914">
    <w:abstractNumId w:val="22"/>
  </w:num>
  <w:num w:numId="5" w16cid:durableId="1466317355">
    <w:abstractNumId w:val="44"/>
  </w:num>
  <w:num w:numId="6" w16cid:durableId="19552452">
    <w:abstractNumId w:val="46"/>
  </w:num>
  <w:num w:numId="7" w16cid:durableId="985015263">
    <w:abstractNumId w:val="34"/>
  </w:num>
  <w:num w:numId="8" w16cid:durableId="62068787">
    <w:abstractNumId w:val="32"/>
  </w:num>
  <w:num w:numId="9" w16cid:durableId="1975593884">
    <w:abstractNumId w:val="29"/>
  </w:num>
  <w:num w:numId="10" w16cid:durableId="2008165245">
    <w:abstractNumId w:val="30"/>
  </w:num>
  <w:num w:numId="11" w16cid:durableId="1785415619">
    <w:abstractNumId w:val="9"/>
  </w:num>
  <w:num w:numId="12" w16cid:durableId="595671948">
    <w:abstractNumId w:val="33"/>
  </w:num>
  <w:num w:numId="13" w16cid:durableId="1004161123">
    <w:abstractNumId w:val="17"/>
  </w:num>
  <w:num w:numId="14" w16cid:durableId="1110472581">
    <w:abstractNumId w:val="16"/>
  </w:num>
  <w:num w:numId="15" w16cid:durableId="1004092849">
    <w:abstractNumId w:val="26"/>
  </w:num>
  <w:num w:numId="16" w16cid:durableId="945894176">
    <w:abstractNumId w:val="7"/>
  </w:num>
  <w:num w:numId="17" w16cid:durableId="1435322934">
    <w:abstractNumId w:val="25"/>
  </w:num>
  <w:num w:numId="18" w16cid:durableId="325405943">
    <w:abstractNumId w:val="15"/>
  </w:num>
  <w:num w:numId="19" w16cid:durableId="1244414726">
    <w:abstractNumId w:val="13"/>
  </w:num>
  <w:num w:numId="20" w16cid:durableId="52436640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91931267">
    <w:abstractNumId w:val="23"/>
  </w:num>
  <w:num w:numId="22" w16cid:durableId="1987709194">
    <w:abstractNumId w:val="18"/>
  </w:num>
  <w:num w:numId="23" w16cid:durableId="1389260872">
    <w:abstractNumId w:val="14"/>
  </w:num>
  <w:num w:numId="24" w16cid:durableId="477501287">
    <w:abstractNumId w:val="11"/>
  </w:num>
  <w:num w:numId="25" w16cid:durableId="1852182672">
    <w:abstractNumId w:val="27"/>
  </w:num>
  <w:num w:numId="26" w16cid:durableId="1621255722">
    <w:abstractNumId w:val="19"/>
  </w:num>
  <w:num w:numId="27" w16cid:durableId="308634486">
    <w:abstractNumId w:val="40"/>
  </w:num>
  <w:num w:numId="28" w16cid:durableId="855265664">
    <w:abstractNumId w:val="35"/>
  </w:num>
  <w:num w:numId="29" w16cid:durableId="1127894074">
    <w:abstractNumId w:val="39"/>
  </w:num>
  <w:num w:numId="30" w16cid:durableId="1499954792">
    <w:abstractNumId w:val="20"/>
  </w:num>
  <w:num w:numId="31" w16cid:durableId="2110734422">
    <w:abstractNumId w:val="42"/>
  </w:num>
  <w:num w:numId="32" w16cid:durableId="296226152">
    <w:abstractNumId w:val="31"/>
  </w:num>
  <w:num w:numId="33" w16cid:durableId="2013293395">
    <w:abstractNumId w:val="12"/>
  </w:num>
  <w:num w:numId="34" w16cid:durableId="959411164">
    <w:abstractNumId w:val="43"/>
  </w:num>
  <w:num w:numId="35" w16cid:durableId="652295209">
    <w:abstractNumId w:val="38"/>
  </w:num>
  <w:num w:numId="36" w16cid:durableId="1288196883">
    <w:abstractNumId w:val="4"/>
  </w:num>
  <w:num w:numId="37" w16cid:durableId="1310936101">
    <w:abstractNumId w:val="45"/>
  </w:num>
  <w:num w:numId="38" w16cid:durableId="1215001254">
    <w:abstractNumId w:val="41"/>
  </w:num>
  <w:num w:numId="39" w16cid:durableId="1191407852">
    <w:abstractNumId w:val="36"/>
  </w:num>
  <w:num w:numId="40" w16cid:durableId="225652533">
    <w:abstractNumId w:val="37"/>
  </w:num>
  <w:num w:numId="41" w16cid:durableId="64180935">
    <w:abstractNumId w:val="3"/>
  </w:num>
  <w:num w:numId="42" w16cid:durableId="1269118938">
    <w:abstractNumId w:val="5"/>
  </w:num>
  <w:num w:numId="43" w16cid:durableId="45108618">
    <w:abstractNumId w:val="24"/>
  </w:num>
  <w:num w:numId="44" w16cid:durableId="1228225318">
    <w:abstractNumId w:val="6"/>
  </w:num>
  <w:num w:numId="45" w16cid:durableId="593562237">
    <w:abstractNumId w:val="2"/>
  </w:num>
  <w:num w:numId="46" w16cid:durableId="358510470">
    <w:abstractNumId w:val="0"/>
  </w:num>
  <w:num w:numId="47" w16cid:durableId="1118332023">
    <w:abstractNumId w:val="21"/>
  </w:num>
  <w:num w:numId="48" w16cid:durableId="1189955259">
    <w:abstractNumId w:val="28"/>
  </w:num>
  <w:num w:numId="49" w16cid:durableId="1296761650">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0105"/>
    <w:rsid w:val="00055D43"/>
    <w:rsid w:val="00056FAC"/>
    <w:rsid w:val="00057751"/>
    <w:rsid w:val="00062E39"/>
    <w:rsid w:val="0006580E"/>
    <w:rsid w:val="00080E58"/>
    <w:rsid w:val="00083D99"/>
    <w:rsid w:val="00084EA6"/>
    <w:rsid w:val="00085699"/>
    <w:rsid w:val="00087891"/>
    <w:rsid w:val="00091CCB"/>
    <w:rsid w:val="00091F52"/>
    <w:rsid w:val="00092970"/>
    <w:rsid w:val="00092BC7"/>
    <w:rsid w:val="00093720"/>
    <w:rsid w:val="000938E6"/>
    <w:rsid w:val="00093B3C"/>
    <w:rsid w:val="0009488C"/>
    <w:rsid w:val="00095C1B"/>
    <w:rsid w:val="00096DEA"/>
    <w:rsid w:val="000A4240"/>
    <w:rsid w:val="000A469A"/>
    <w:rsid w:val="000A765A"/>
    <w:rsid w:val="000B1E96"/>
    <w:rsid w:val="000B48CD"/>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235A"/>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E7F3B"/>
    <w:rsid w:val="001F3878"/>
    <w:rsid w:val="001F4552"/>
    <w:rsid w:val="002019EB"/>
    <w:rsid w:val="002030F2"/>
    <w:rsid w:val="00205051"/>
    <w:rsid w:val="00211F65"/>
    <w:rsid w:val="00213A97"/>
    <w:rsid w:val="0022001B"/>
    <w:rsid w:val="00220D06"/>
    <w:rsid w:val="002219BA"/>
    <w:rsid w:val="002246A0"/>
    <w:rsid w:val="00224AF9"/>
    <w:rsid w:val="00230439"/>
    <w:rsid w:val="00234256"/>
    <w:rsid w:val="00235176"/>
    <w:rsid w:val="00236061"/>
    <w:rsid w:val="0024100E"/>
    <w:rsid w:val="00241C1B"/>
    <w:rsid w:val="002423B2"/>
    <w:rsid w:val="0024288B"/>
    <w:rsid w:val="00247179"/>
    <w:rsid w:val="002479CC"/>
    <w:rsid w:val="00255D8E"/>
    <w:rsid w:val="002657E9"/>
    <w:rsid w:val="0026665E"/>
    <w:rsid w:val="00270EEB"/>
    <w:rsid w:val="0027147E"/>
    <w:rsid w:val="00274DE8"/>
    <w:rsid w:val="002761F4"/>
    <w:rsid w:val="002775E1"/>
    <w:rsid w:val="00277979"/>
    <w:rsid w:val="002808EB"/>
    <w:rsid w:val="0028095D"/>
    <w:rsid w:val="002863C6"/>
    <w:rsid w:val="00291ADD"/>
    <w:rsid w:val="00294868"/>
    <w:rsid w:val="00295CA1"/>
    <w:rsid w:val="002A291A"/>
    <w:rsid w:val="002A5604"/>
    <w:rsid w:val="002B1701"/>
    <w:rsid w:val="002B23C3"/>
    <w:rsid w:val="002B443A"/>
    <w:rsid w:val="002B5B35"/>
    <w:rsid w:val="002C13D0"/>
    <w:rsid w:val="002C256A"/>
    <w:rsid w:val="002C496D"/>
    <w:rsid w:val="002D05EB"/>
    <w:rsid w:val="002D2F29"/>
    <w:rsid w:val="002D2FD3"/>
    <w:rsid w:val="002E7017"/>
    <w:rsid w:val="002F4F6E"/>
    <w:rsid w:val="003015C3"/>
    <w:rsid w:val="00305805"/>
    <w:rsid w:val="0030698D"/>
    <w:rsid w:val="00312D02"/>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82B"/>
    <w:rsid w:val="00365DF9"/>
    <w:rsid w:val="0036668D"/>
    <w:rsid w:val="00372DB4"/>
    <w:rsid w:val="0037490C"/>
    <w:rsid w:val="00375AF5"/>
    <w:rsid w:val="003761BD"/>
    <w:rsid w:val="003769F6"/>
    <w:rsid w:val="00385414"/>
    <w:rsid w:val="00387BA3"/>
    <w:rsid w:val="00390074"/>
    <w:rsid w:val="00394EC2"/>
    <w:rsid w:val="0039762B"/>
    <w:rsid w:val="003A0C37"/>
    <w:rsid w:val="003A1B6B"/>
    <w:rsid w:val="003A26FD"/>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861"/>
    <w:rsid w:val="00465947"/>
    <w:rsid w:val="004672C1"/>
    <w:rsid w:val="00470BB1"/>
    <w:rsid w:val="004718F7"/>
    <w:rsid w:val="00473153"/>
    <w:rsid w:val="004743AF"/>
    <w:rsid w:val="00482C17"/>
    <w:rsid w:val="00486120"/>
    <w:rsid w:val="004911B4"/>
    <w:rsid w:val="0049196A"/>
    <w:rsid w:val="004923DA"/>
    <w:rsid w:val="00493434"/>
    <w:rsid w:val="004962F9"/>
    <w:rsid w:val="004968E2"/>
    <w:rsid w:val="00496FA3"/>
    <w:rsid w:val="004A07F1"/>
    <w:rsid w:val="004A14C4"/>
    <w:rsid w:val="004A2A49"/>
    <w:rsid w:val="004B600B"/>
    <w:rsid w:val="004B6822"/>
    <w:rsid w:val="004B69F6"/>
    <w:rsid w:val="004B7C3F"/>
    <w:rsid w:val="004C2D3A"/>
    <w:rsid w:val="004D03C4"/>
    <w:rsid w:val="004D0BF1"/>
    <w:rsid w:val="004D24D2"/>
    <w:rsid w:val="004D35A4"/>
    <w:rsid w:val="004D445F"/>
    <w:rsid w:val="004E087B"/>
    <w:rsid w:val="004E44A4"/>
    <w:rsid w:val="004E7B8B"/>
    <w:rsid w:val="004E7BDD"/>
    <w:rsid w:val="004F1E21"/>
    <w:rsid w:val="004F57C6"/>
    <w:rsid w:val="004F740D"/>
    <w:rsid w:val="004F7B8F"/>
    <w:rsid w:val="00500748"/>
    <w:rsid w:val="005011D6"/>
    <w:rsid w:val="0050167A"/>
    <w:rsid w:val="005042F1"/>
    <w:rsid w:val="00510D6A"/>
    <w:rsid w:val="00513C7D"/>
    <w:rsid w:val="005169D1"/>
    <w:rsid w:val="00521123"/>
    <w:rsid w:val="00521221"/>
    <w:rsid w:val="00536676"/>
    <w:rsid w:val="00536FA9"/>
    <w:rsid w:val="005414F4"/>
    <w:rsid w:val="00546187"/>
    <w:rsid w:val="005463F1"/>
    <w:rsid w:val="00552D74"/>
    <w:rsid w:val="00557D77"/>
    <w:rsid w:val="00562EAA"/>
    <w:rsid w:val="00563B58"/>
    <w:rsid w:val="005640C4"/>
    <w:rsid w:val="00564C53"/>
    <w:rsid w:val="0056684C"/>
    <w:rsid w:val="00570C1D"/>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5F2A51"/>
    <w:rsid w:val="0060168B"/>
    <w:rsid w:val="00606E27"/>
    <w:rsid w:val="006108C9"/>
    <w:rsid w:val="00613142"/>
    <w:rsid w:val="00615C7E"/>
    <w:rsid w:val="0062158D"/>
    <w:rsid w:val="00630F39"/>
    <w:rsid w:val="006326D1"/>
    <w:rsid w:val="00632E0A"/>
    <w:rsid w:val="00633165"/>
    <w:rsid w:val="00636B6C"/>
    <w:rsid w:val="006447DE"/>
    <w:rsid w:val="006505D3"/>
    <w:rsid w:val="0065276E"/>
    <w:rsid w:val="00652B9B"/>
    <w:rsid w:val="00654329"/>
    <w:rsid w:val="00654CEC"/>
    <w:rsid w:val="00655507"/>
    <w:rsid w:val="006712A7"/>
    <w:rsid w:val="006733CC"/>
    <w:rsid w:val="00674FC2"/>
    <w:rsid w:val="00677E42"/>
    <w:rsid w:val="00682334"/>
    <w:rsid w:val="00684B16"/>
    <w:rsid w:val="00694C00"/>
    <w:rsid w:val="00696F65"/>
    <w:rsid w:val="006A4E0D"/>
    <w:rsid w:val="006A5213"/>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177C8"/>
    <w:rsid w:val="007203DA"/>
    <w:rsid w:val="007204AE"/>
    <w:rsid w:val="0072678F"/>
    <w:rsid w:val="00727C4C"/>
    <w:rsid w:val="00734809"/>
    <w:rsid w:val="0073644B"/>
    <w:rsid w:val="007406E1"/>
    <w:rsid w:val="00743E40"/>
    <w:rsid w:val="007510DB"/>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7EE"/>
    <w:rsid w:val="00841F9D"/>
    <w:rsid w:val="008420E1"/>
    <w:rsid w:val="00843D58"/>
    <w:rsid w:val="00843EBA"/>
    <w:rsid w:val="00844D98"/>
    <w:rsid w:val="00846D84"/>
    <w:rsid w:val="0085230E"/>
    <w:rsid w:val="0085355E"/>
    <w:rsid w:val="008544C8"/>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426AB"/>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C7ED3"/>
    <w:rsid w:val="009D4365"/>
    <w:rsid w:val="009D4E3B"/>
    <w:rsid w:val="009D7BC9"/>
    <w:rsid w:val="009E0C5A"/>
    <w:rsid w:val="009E1982"/>
    <w:rsid w:val="009E4D2C"/>
    <w:rsid w:val="009E5558"/>
    <w:rsid w:val="009F0978"/>
    <w:rsid w:val="009F3AEC"/>
    <w:rsid w:val="00A00081"/>
    <w:rsid w:val="00A00D2C"/>
    <w:rsid w:val="00A015F7"/>
    <w:rsid w:val="00A10D56"/>
    <w:rsid w:val="00A12AAE"/>
    <w:rsid w:val="00A12EF2"/>
    <w:rsid w:val="00A16DD1"/>
    <w:rsid w:val="00A221AB"/>
    <w:rsid w:val="00A22441"/>
    <w:rsid w:val="00A23F3B"/>
    <w:rsid w:val="00A24406"/>
    <w:rsid w:val="00A25F64"/>
    <w:rsid w:val="00A27CC2"/>
    <w:rsid w:val="00A3273B"/>
    <w:rsid w:val="00A373DE"/>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013E"/>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494F"/>
    <w:rsid w:val="00B47734"/>
    <w:rsid w:val="00B50FBA"/>
    <w:rsid w:val="00B558EB"/>
    <w:rsid w:val="00B577D3"/>
    <w:rsid w:val="00B60466"/>
    <w:rsid w:val="00B6548F"/>
    <w:rsid w:val="00B7502A"/>
    <w:rsid w:val="00B75C07"/>
    <w:rsid w:val="00B77305"/>
    <w:rsid w:val="00B82CC2"/>
    <w:rsid w:val="00B84A89"/>
    <w:rsid w:val="00B912FF"/>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64D2"/>
    <w:rsid w:val="00BE0F7B"/>
    <w:rsid w:val="00BE10C2"/>
    <w:rsid w:val="00BE4C0E"/>
    <w:rsid w:val="00C01D14"/>
    <w:rsid w:val="00C025B4"/>
    <w:rsid w:val="00C0275F"/>
    <w:rsid w:val="00C11F61"/>
    <w:rsid w:val="00C14F4A"/>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580A"/>
    <w:rsid w:val="00C7108B"/>
    <w:rsid w:val="00C8089F"/>
    <w:rsid w:val="00C836CC"/>
    <w:rsid w:val="00C87A74"/>
    <w:rsid w:val="00C90A71"/>
    <w:rsid w:val="00C91574"/>
    <w:rsid w:val="00C91BC2"/>
    <w:rsid w:val="00C92C71"/>
    <w:rsid w:val="00C93F8F"/>
    <w:rsid w:val="00C94BF2"/>
    <w:rsid w:val="00CA11A5"/>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4B2A"/>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0EEA"/>
    <w:rsid w:val="00DB2767"/>
    <w:rsid w:val="00DC4729"/>
    <w:rsid w:val="00DD44BA"/>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97B8C"/>
    <w:rsid w:val="00EA28F1"/>
    <w:rsid w:val="00EA4D48"/>
    <w:rsid w:val="00EB2173"/>
    <w:rsid w:val="00EB62E6"/>
    <w:rsid w:val="00ED1B30"/>
    <w:rsid w:val="00ED250E"/>
    <w:rsid w:val="00ED6535"/>
    <w:rsid w:val="00EE1AC1"/>
    <w:rsid w:val="00EE39D6"/>
    <w:rsid w:val="00EE413C"/>
    <w:rsid w:val="00EE52AD"/>
    <w:rsid w:val="00EF4F1D"/>
    <w:rsid w:val="00F01F92"/>
    <w:rsid w:val="00F10A08"/>
    <w:rsid w:val="00F139CF"/>
    <w:rsid w:val="00F22AC5"/>
    <w:rsid w:val="00F254D1"/>
    <w:rsid w:val="00F32B82"/>
    <w:rsid w:val="00F4043E"/>
    <w:rsid w:val="00F40CB5"/>
    <w:rsid w:val="00F419DD"/>
    <w:rsid w:val="00F41BBC"/>
    <w:rsid w:val="00F43B9D"/>
    <w:rsid w:val="00F444F0"/>
    <w:rsid w:val="00F50847"/>
    <w:rsid w:val="00F523F6"/>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E25E1"/>
    <w:rsid w:val="00FF0070"/>
    <w:rsid w:val="00FF31EC"/>
    <w:rsid w:val="00FF5F6A"/>
    <w:rsid w:val="00FF6BE0"/>
    <w:rsid w:val="00FF7784"/>
    <w:rsid w:val="00FF79AD"/>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Emphasis">
    <w:name w:val="Emphasis"/>
    <w:basedOn w:val="DefaultParagraphFont"/>
    <w:uiPriority w:val="20"/>
    <w:qFormat/>
    <w:rsid w:val="00C658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3.png"/><Relationship Id="rId26" Type="http://schemas.openxmlformats.org/officeDocument/2006/relationships/header" Target="header2.xml"/><Relationship Id="rId39" Type="http://schemas.openxmlformats.org/officeDocument/2006/relationships/hyperlink" Target="https://doi.org/10.1002/pam.20162" TargetMode="External"/><Relationship Id="rId21" Type="http://schemas.openxmlformats.org/officeDocument/2006/relationships/customXml" Target="ink/ink4.xml"/><Relationship Id="rId34" Type="http://schemas.openxmlformats.org/officeDocument/2006/relationships/hyperlink" Target="https://proceduresonline.com/trixcms1/media/6188/caada-dash-risk-assessment-for-marac-agencies.pdf)" TargetMode="External"/><Relationship Id="rId42" Type="http://schemas.openxmlformats.org/officeDocument/2006/relationships/hyperlink" Target="https://doi.org/10.1093/police/pax046" TargetMode="External"/><Relationship Id="rId47"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hyperlink" Target="https://doi.org/10.4324/9781003137412" TargetMode="External"/><Relationship Id="rId37" Type="http://schemas.openxmlformats.org/officeDocument/2006/relationships/hyperlink" Target="https://www.college.police.uk/guidance/vulnerability-related-risks/introduction-vulnerability-related-risk" TargetMode="External"/><Relationship Id="rId40" Type="http://schemas.openxmlformats.org/officeDocument/2006/relationships/hyperlink" Target="https://doi.org/10.1086/449114"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ustomXml" Target="ink/ink1.xml"/><Relationship Id="rId28" Type="http://schemas.openxmlformats.org/officeDocument/2006/relationships/footer" Target="footer2.xml"/><Relationship Id="rId36" Type="http://schemas.openxmlformats.org/officeDocument/2006/relationships/hyperlink" Target="https://assets.college.police.uk/s3fs-public/Recognising-responding-vulnerability-related-risks-guidelines.pdf" TargetMode="External"/><Relationship Id="rId10" Type="http://schemas.openxmlformats.org/officeDocument/2006/relationships/endnotes" Target="endnotes.xml"/><Relationship Id="rId19" Type="http://schemas.openxmlformats.org/officeDocument/2006/relationships/customXml" Target="ink/ink3.xml"/><Relationship Id="rId31" Type="http://schemas.openxmlformats.org/officeDocument/2006/relationships/hyperlink" Target="https://doi.org/10.1093/police/paw038" TargetMode="External"/><Relationship Id="rId44" Type="http://schemas.openxmlformats.org/officeDocument/2006/relationships/hyperlink" Target="https://doi.org/10.1093/bjc/azy07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7" Type="http://schemas.openxmlformats.org/officeDocument/2006/relationships/footer" Target="footer1.xml"/><Relationship Id="rId30" Type="http://schemas.openxmlformats.org/officeDocument/2006/relationships/footer" Target="footer3.xml"/><Relationship Id="rId35" Type="http://schemas.openxmlformats.org/officeDocument/2006/relationships/hyperlink" Target="https://www.college.police.uk/app/national-decision-model/national-decision-model" TargetMode="External"/><Relationship Id="rId43" Type="http://schemas.openxmlformats.org/officeDocument/2006/relationships/hyperlink" Target="https://doi.org/10.1177/1039856216658826"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customXml" Target="ink/ink2.xml"/><Relationship Id="rId25" Type="http://schemas.openxmlformats.org/officeDocument/2006/relationships/header" Target="header1.xml"/><Relationship Id="rId33" Type="http://schemas.openxmlformats.org/officeDocument/2006/relationships/hyperlink" Target="https://search.informit.org/doi/abs/10.3316/informit.174053140537722" TargetMode="External"/><Relationship Id="rId38" Type="http://schemas.openxmlformats.org/officeDocument/2006/relationships/hyperlink" Target="https://www.college.police.uk/app/major-investigation-and-public-protection/domestic-abuse" TargetMode="External"/><Relationship Id="rId46" Type="http://schemas.openxmlformats.org/officeDocument/2006/relationships/theme" Target="theme/theme1.xml"/><Relationship Id="rId20" Type="http://schemas.openxmlformats.org/officeDocument/2006/relationships/image" Target="media/image4.png"/><Relationship Id="rId41" Type="http://schemas.openxmlformats.org/officeDocument/2006/relationships/hyperlink" Target="https://doi.org/10.1177/0886260513507133"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1-02T19:40:04.631"/>
    </inkml:context>
    <inkml:brush xml:id="br0">
      <inkml:brushProperty name="width" value="0.1" units="cm"/>
      <inkml:brushProperty name="height" value="0.6" units="cm"/>
      <inkml:brushProperty name="color" value="#849398"/>
      <inkml:brushProperty name="inkEffects" value="pencil"/>
    </inkml:brush>
  </inkml:definitions>
  <inkml:trace contextRef="#ctx0" brushRef="#br0">2667 324 8 201863 48894,'7'-13'0'1921'615,"9"-16"0"-1921"-615,8-15 0 1195-267,1-1-8-1195 267</inkml:trace>
  <inkml:trace contextRef="#ctx0" brushRef="#br0" timeOffset="1603.74">704 864 2961 219926 40421,'-7'9'768'0'0,"-10"11"-752"0"0,-8 12-56-1026 417,-8 9-288-3-13,-5 8 56 1029-404,-3 3-40 0 0,-1 3-112-1033 391,-1 1 287 1033-391,1-1-247 0 0,1 0-176-1037 379,8-10-728 1037-379</inkml:trace>
  <inkml:trace contextRef="#ctx0" brushRef="#br0" timeOffset="2075.86">30 1507 584 215606 44096,'-2'3'504'-953'-676,"-2"1"-160"-109"1035,-2 0-192 1062-359,0-1 96-1067 347,1 0-88 160-1070,0-2-56-147 1041,3-3-80 1054-318,2-3-80 0 0,3-3 24-1911-460,2-3-64 1911 460,4-3-48 0 0,-1 0-1648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1-02T19:38:53.576"/>
    </inkml:context>
    <inkml:brush xml:id="br0">
      <inkml:brushProperty name="width" value="0.1" units="cm"/>
      <inkml:brushProperty name="height" value="0.6" units="cm"/>
      <inkml:brushProperty name="color" value="#849398"/>
      <inkml:brushProperty name="inkEffects" value="pencil"/>
    </inkml:brush>
  </inkml:definitions>
  <inkml:trace contextRef="#ctx0" brushRef="#br0">3 0 8010 234605 68268,'0'0'2808'0'0,"-1"0"-2192"0"0,1 0-512 0 0,-1 0-40 0 0,1 0-56 0 0,0 1-192 0 0,1-1-120 0 0,0 0-144 0 0,1 1-168 0 0,1-1-176 0 0,-1 1-576 0 0,1-1 904 0 0,0 0-793 0 0,0 0-167 0 0,0 0-3329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1-02T19:38:50.753"/>
    </inkml:context>
    <inkml:brush xml:id="br0">
      <inkml:brushProperty name="width" value="0.1" units="cm"/>
      <inkml:brushProperty name="height" value="0.6" units="cm"/>
      <inkml:brushProperty name="color" value="#849398"/>
      <inkml:brushProperty name="inkEffects" value="pencil"/>
    </inkml:brush>
  </inkml:definitions>
  <inkml:trace contextRef="#ctx0" brushRef="#br0">1617 151 6145 228768 67877,'1'-1'2289'0'0,"1"0"-1721"0"0,1-1-440 0 0,1-1 32 0 0,1 1-56 0 0,1-2-40 0 0,0 1-8 2034 593,1-1-8-2034-593,1 1 0 0 0,1-1 0 0 0,-1 1-16 0 0,0 0-16 0 0,-1 1-8 0 0,-1-1-8 0 0,0 1 0 0 0,-2 1-8 0 0,0-1 0 0 0,-1 0 8 0 0,0 1 0 0 0,-2-1 0 0 0,0 1 0 0 0,0-1 8 0 0,0 1 8 0 0,0-1 0 0 0,0 0 0 0 0,0 0-8 0 0,0 1 0 0 0,0-1-8 0 0,-1 1-16 0 0,-1 1-16 0 0,-1-1-8 0 0,-1 1 0 0 0,0 0-16 0 0,0 1-48 0 0,-1 0-32 0 0,1 1-40 0 0,-1 0-64 0 0,1 0-200 0 0,1 1-120 0 0,-1 0-136 0 0,0 0-185 0 0,0 0 561 0 0,0 2-424 0 0,1 0-200 0 0,0 0-3401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1-04T17:19:34.408"/>
    </inkml:context>
    <inkml:brush xml:id="br0">
      <inkml:brushProperty name="width" value="0.05" units="cm"/>
      <inkml:brushProperty name="height" value="0.05" units="cm"/>
    </inkml:brush>
  </inkml:definitions>
  <inkml:trace contextRef="#ctx0" brushRef="#br0">14 406 1752 0 0,'6'-12'4116'0'0,"7"-2"-3307"0"0,16-8-1059 0 0,-14 12 282 0 0,0 1-1 0 0,0 1 1 0 0,1 1 0 0 0,27-10 0 0 0,-38 15 12 0 0,1 1 1 0 0,-1-1 0 0 0,1 1-1 0 0,0 0 1 0 0,-1 0-1 0 0,1 1 1 0 0,0-1-1 0 0,-1 1 1 0 0,1 1 0 0 0,0-1-1 0 0,0 1 1 0 0,-1 0-1 0 0,1 0 1 0 0,-1 1-1 0 0,1 0 1 0 0,-1 0 0 0 0,10 4-1 0 0,-13-5-5 0 0,-1 0 0 0 0,1 0 0 0 0,-1 0-1 0 0,0 0 1 0 0,1 0 0 0 0,-1 0 0 0 0,0 1-1 0 0,0-1 1 0 0,0 0 0 0 0,0 0 0 0 0,0 1 0 0 0,0-1-1 0 0,0 1 1 0 0,0-1 0 0 0,0 1 0 0 0,-1-1-1 0 0,1 1 1 0 0,-1 0 0 0 0,1-1 0 0 0,-1 1 0 0 0,0 0-1 0 0,0-1 1 0 0,1 3 0 0 0,-2-1-9 0 0,1 0 0 0 0,-1 0-1 0 0,0-1 1 0 0,0 1 0 0 0,0-1 0 0 0,0 1 0 0 0,0-1 0 0 0,0 1-1 0 0,-1-1 1 0 0,0 0 0 0 0,1 1 0 0 0,-1-1 0 0 0,-2 2 0 0 0,-3 3 28 0 0,0-1 0 0 0,0 0 0 0 0,0 0 0 0 0,-1-1 0 0 0,0 0 1 0 0,0 0-1 0 0,-15 5 0 0 0,7-4 32 0 0,0-1 0 0 0,0-1-1 0 0,0-1 1 0 0,-1 0 0 0 0,0-2 0 0 0,1 1 0 0 0,-1-2-1 0 0,-23-2 1 0 0,39 2-78 0 0,-1 0 0 0 0,1 0-1 0 0,0 0 1 0 0,-1-1 0 0 0,1 1 0 0 0,-1 0 0 0 0,1-1-1 0 0,0 1 1 0 0,-1-1 0 0 0,1 1 0 0 0,0-1-1 0 0,0 0 1 0 0,-1 0 0 0 0,1 1 0 0 0,0-1-1 0 0,0 0 1 0 0,0 0 0 0 0,0 0 0 0 0,0 0 0 0 0,0 0-1 0 0,0 0 1 0 0,1-1 0 0 0,-1 1 0 0 0,0 0-1 0 0,0 0 1 0 0,1-1 0 0 0,-1 1 0 0 0,1 0-1 0 0,-1-1 1 0 0,1 1 0 0 0,0-1 0 0 0,0 1 0 0 0,-1 0-1 0 0,1-1 1 0 0,0 1 0 0 0,0-1 0 0 0,0 1-1 0 0,0 0 1 0 0,1-1 0 0 0,-1 1 0 0 0,0-1-1 0 0,1 1 1 0 0,-1 0 0 0 0,1-1 0 0 0,-1 1 0 0 0,2-2-1 0 0,1-5-47 0 0,1-1 0 0 0,1 1 0 0 0,0 0 0 0 0,0 0 1 0 0,9-11-1 0 0,-1 5 1 0 0,0 1 1 0 0,1 0-1 0 0,0 1 1 0 0,0 1-1 0 0,18-10 1 0 0,83-42 23 0 0,-87 51 3 0 0,0 1 0 0 0,45-12 1 0 0,-59 20 28 0 0,0 0 0 0 0,0 1 1 0 0,0 0-1 0 0,0 1 1 0 0,0 1-1 0 0,0 0 1 0 0,23 4-1 0 0,-36-4 2 0 0,0 0-1 0 0,0 0 1 0 0,0 0-1 0 0,-1 0 0 0 0,1 0 1 0 0,0 1-1 0 0,0-1 1 0 0,0 0-1 0 0,0 1 1 0 0,0-1-1 0 0,-1 0 1 0 0,1 1-1 0 0,0-1 0 0 0,0 1 1 0 0,-1-1-1 0 0,1 1 1 0 0,0 0-1 0 0,-1-1 1 0 0,1 1-1 0 0,0 0 1 0 0,-1-1-1 0 0,1 1 0 0 0,0 1 1 0 0,-1-1 2 0 0,0 0 0 0 0,0 0 0 0 0,0 0 0 0 0,0 0 0 0 0,0 0 0 0 0,-1 0 0 0 0,1 0 1 0 0,0 0-1 0 0,0 0 0 0 0,-1 0 0 0 0,1 0 0 0 0,-1 0 0 0 0,1 0 0 0 0,-1 0 0 0 0,1 0 0 0 0,-1-1 0 0 0,1 1 0 0 0,-2 1 1 0 0,-5 5 52 0 0,-1 1-1 0 0,0-1 1 0 0,-12 8 0 0 0,10-8-262 0 0,-86 69-5917 0 0,80-65 4686 0 0</inkml:trace>
  <inkml:trace contextRef="#ctx0" brushRef="#br0" timeOffset="794.78">349 377 9170 0 0,'0'0'33'0'0,"0"0"0"0"0,0 0 0 0 0,1 0 0 0 0,-1 0 0 0 0,0 0 0 0 0,0 0 0 0 0,0 0 0 0 0,0 0 0 0 0,0 0 0 0 0,0 0 0 0 0,0 0 0 0 0,1 0 0 0 0,-1-1 0 0 0,0 1 0 0 0,0 0-1 0 0,0 0 1 0 0,0 0 0 0 0,0 0 0 0 0,0 0 0 0 0,0 0 0 0 0,0 0 0 0 0,0 0 0 0 0,1 0 0 0 0,-1-1 0 0 0,0 1 0 0 0,0 0 0 0 0,0 0 0 0 0,0 0 0 0 0,0 0 0 0 0,0 0 0 0 0,0 0 0 0 0,0 0 0 0 0,0-1 0 0 0,0 1 0 0 0,0 0 0 0 0,0 0 0 0 0,0 0 0 0 0,0 0 0 0 0,0 0 0 0 0,0 0 0 0 0,0-1 0 0 0,0 1 0 0 0,0 0 0 0 0,0 0 0 0 0,0 0 0 0 0,0 0 0 0 0,0 0 0 0 0,-1 0 0 0 0,1 0-1 0 0,0-1 1 0 0,0 1 0 0 0,0 0 0 0 0,0 0 0 0 0,0 0 0 0 0,0 0 0 0 0,0 0 0 0 0,0 0 0 0 0,0 0 0 0 0,-1 0 0 0 0,1 0 0 0 0,0 0 0 0 0,0 0 0 0 0,0-1 0 0 0,0 1 0 0 0,0 0 0 0 0,0 0 0 0 0,0 0 0 0 0,-1 0 0 0 0,18-13-170 0 0,29-19-1694 0 0,-39 27 2064 0 0,12-7-138 0 0,0 0-1 0 0,1 2 1 0 0,0 1-1 0 0,0 0 1 0 0,1 1-1 0 0,1 1 1 0 0,-1 2-1 0 0,1 0 1 0 0,26-3 0 0 0,-44 8-98 0 0,0 0 1 0 0,0 0 0 0 0,0 0 0 0 0,0 1 0 0 0,-1-1-1 0 0,1 1 1 0 0,0 0 0 0 0,0 0 0 0 0,-1 0 0 0 0,1 0-1 0 0,5 4 1 0 0,-8-4 0 0 0,0-1-1 0 0,0 1 1 0 0,0 0-1 0 0,0-1 1 0 0,0 1-1 0 0,0 0 1 0 0,0 0-1 0 0,-1 0 1 0 0,1 0-1 0 0,0 0 1 0 0,0 0-1 0 0,-1 0 1 0 0,1 0 0 0 0,-1 0-1 0 0,1 0 1 0 0,-1 0-1 0 0,0 0 1 0 0,1 0-1 0 0,-1 1 1 0 0,0-1-1 0 0,0 0 1 0 0,1 0-1 0 0,-1 0 1 0 0,0 1-1 0 0,0-1 1 0 0,0 0-1 0 0,-1 0 1 0 0,1 0-1 0 0,0 0 1 0 0,0 1-1 0 0,-1-1 1 0 0,1 0 0 0 0,-1 0-1 0 0,1 0 1 0 0,-1 0-1 0 0,1 0 1 0 0,-1 0-1 0 0,0 0 1 0 0,-1 2-1 0 0,-3 4 12 0 0,-1 0 0 0 0,0-1 0 0 0,0 0 0 0 0,0 0 0 0 0,-1 0 0 0 0,-11 7 0 0 0,-48 27 151 0 0,61-38-152 0 0,-11 7 13 0 0,-1 0-1 0 0,-19 5 1 0 0,29-11-7 0 0,-1-1 0 0 0,1 0 0 0 0,-1 0 0 0 0,0-1 0 0 0,0 0 0 0 0,0 0 1 0 0,-12-1-1 0 0,19 0-16 0 0,1 0 0 0 0,0 0 0 0 0,-1 0 0 0 0,1 0 0 0 0,-1 0 0 0 0,1 0 0 0 0,-1 0 0 0 0,1 0 0 0 0,-1 0 0 0 0,1 0 0 0 0,0 0 1 0 0,-1 0-1 0 0,1-1 0 0 0,-1 1 0 0 0,1 0 0 0 0,0 0 0 0 0,-1 0 0 0 0,1-1 0 0 0,-1 1 0 0 0,1 0 0 0 0,0-1 0 0 0,0 1 0 0 0,-1 0 0 0 0,1 0 0 0 0,0-1 0 0 0,-1 1 1 0 0,1-1-1 0 0,0 1 0 0 0,0 0 0 0 0,0-1 0 0 0,-1 1 0 0 0,1-1 0 0 0,0 1 0 0 0,0 0 0 0 0,0-1 0 0 0,0 1 0 0 0,0-1 0 0 0,0 0 0 0 0,0 0-15 0 0,1-1 0 0 0,-1 0 0 0 0,1 1 0 0 0,-1-1 0 0 0,1 0 0 0 0,0 1 0 0 0,0-1 0 0 0,0 1 0 0 0,0-1 0 0 0,2-1 0 0 0,32-32-286 0 0,-33 33 302 0 0,95-78-386 0 0,171-109 0 0 0,-253 179 377 0 0,-5 3-6 0 0,0 1 0 0 0,0 0 1 0 0,0 0-1 0 0,0 1 0 0 0,1 1 0 0 0,22-7 0 0 0,-33 10 16 0 0,1 1 1 0 0,-1 0-1 0 0,1 0 0 0 0,-1 0 0 0 0,0 0 1 0 0,1 0-1 0 0,-1 0 0 0 0,1 0 1 0 0,-1 0-1 0 0,0 0 0 0 0,1 0 0 0 0,-1 0 1 0 0,1 0-1 0 0,-1 0 0 0 0,0 0 1 0 0,1 0-1 0 0,-1 0 0 0 0,0 1 0 0 0,1-1 1 0 0,-1 0-1 0 0,0 0 0 0 0,1 0 1 0 0,-1 1-1 0 0,0-1 0 0 0,1 0 0 0 0,-1 0 1 0 0,0 1-1 0 0,1-1 0 0 0,-1 0 1 0 0,0 1-1 0 0,0-1 0 0 0,1 1 0 0 0,-3 13 42 0 0,-14 14 35 0 0,16-27-77 0 0,-20 26 16 0 0,-1 0 1 0 0,-30 27-1 0 0,26-27 208 0 0,-38 49 0 0 0,62-74-207 0 0,-6 7 102 0 0,1 1 0 0 0,0 0 0 0 0,0 0 0 0 0,-7 21 0 0 0,12-29-109 0 0,1 0 0 0 0,-1 0 0 0 0,1-1 0 0 0,0 1 0 0 0,0 0 0 0 0,-1 0 0 0 0,1 0 0 0 0,0 0 0 0 0,1 0 0 0 0,-1-1 0 0 0,0 1 0 0 0,0 0 0 0 0,1 0 0 0 0,-1 0 0 0 0,1-1 0 0 0,0 3 0 0 0,1-2-6 0 0,-1-1 1 0 0,0 0-1 0 0,0 1 0 0 0,1-1 1 0 0,-1 0-1 0 0,1 0 1 0 0,-1 0-1 0 0,1 0 1 0 0,-1 0-1 0 0,1 0 1 0 0,0 0-1 0 0,-1 0 1 0 0,1-1-1 0 0,0 1 1 0 0,0 0-1 0 0,0-1 1 0 0,0 0-1 0 0,-1 1 1 0 0,4-1-1 0 0,7 0 39 0 0,1 1 0 0 0,-1-2 0 0 0,0 0-1 0 0,0 0 1 0 0,0-1 0 0 0,0-1 0 0 0,22-7 0 0 0,79-37-2032 0 0,-108 45 1739 0 0,38-19-1013 0 0,-21 10 213 0 0</inkml:trace>
  <inkml:trace contextRef="#ctx0" brushRef="#br0" timeOffset="1183.08">849 269 9050 0 0,'27'-8'1844'0'0,"31"-14"1"0"0,66-39-2077 0 0,-28 13 176 0 0,-54 30 9 0 0,49-25-88 0 0,-79 36-325 0 0,0 0-1 0 0,-1-1 1 0 0,0 0-1 0 0,0-1 1 0 0,10-11-1 0 0,-20 20 401 0 0,-1 0-1 0 0,0 0 1 0 0,0 0-1 0 0,1 0 1 0 0,-1 0-1 0 0,0-1 1 0 0,0 1 0 0 0,0 0-1 0 0,1 0 1 0 0,-1 0-1 0 0,0-1 1 0 0,0 1-1 0 0,0 0 1 0 0,1 0 0 0 0,-1 0-1 0 0,0-1 1 0 0,0 1-1 0 0,0 0 1 0 0,0 0-1 0 0,0-1 1 0 0,0 1-1 0 0,0 0 1 0 0,0 0 0 0 0,1-1-1 0 0,-1 1 1 0 0,0 0-1 0 0,0-1 1 0 0,0 1-1 0 0,0 0 1 0 0,0 0 0 0 0,0-1-1 0 0,-1 1 1 0 0,1 0-1 0 0,0 0 1 0 0,0-1-1 0 0,0 1 1 0 0,0 0 0 0 0,0 0-1 0 0,0-1 1 0 0,0 1-1 0 0,-1-1 1 0 0,-11 2-2687 0 0,5 1 1791 0 0</inkml:trace>
  <inkml:trace contextRef="#ctx0" brushRef="#br0" timeOffset="1566.36">1097 193 3705 0 0,'0'7'1504'0'0,"0"2"-816"0"0,-2 0-360 0 0,2 2 184 0 0,1 2-159 0 0,0 0-81 0 0,0-1-48 0 0,2 1-24 0 0,-2-1-80 0 0,2 1-104 0 0,1-2-112 0 0,-2 0-120 0 0,1 0-136 0 0,0-1-409 0 0,-2-1-215 0 0,2-1 664 0 0,-1 0-520 0 0,-1-2-168 0 0</inkml:trace>
  <inkml:trace contextRef="#ctx0" brushRef="#br0" timeOffset="3578.45">1202 155 3201 0 0,'0'0'90'0'0,"0"0"1"0"0,0 0 0 0 0,0 0 0 0 0,0-1 0 0 0,0 1-1 0 0,0 0 1 0 0,-1 0 0 0 0,1 0 0 0 0,1-1-1 0 0,-1 1 1 0 0,0 0 0 0 0,0 0 0 0 0,0 0-1 0 0,0 0 1 0 0,0-1 0 0 0,0 1 0 0 0,0 0 0 0 0,0 0-1 0 0,0 0 1 0 0,0-1 0 0 0,0 1 0 0 0,0 0-1 0 0,0 0 1 0 0,1 0 0 0 0,-1 0 0 0 0,0 0-1 0 0,0-1 1 0 0,0 1 0 0 0,0 0 0 0 0,0 0 0 0 0,1 0-1 0 0,-1 0 1 0 0,0 0 0 0 0,0 0 0 0 0,0 0-1 0 0,0 0 1 0 0,1 0 0 0 0,-1-1 0 0 0,0 1-1 0 0,0 0 1 0 0,0 0 0 0 0,1 0 0 0 0,-1 0 0 0 0,0 0-1 0 0,0 0 1 0 0,0 0 0 0 0,1 0 0 0 0,-1 0-1 0 0,0 0 1 0 0,0 1 0 0 0,0-1 0 0 0,0 0 0 0 0,1 0-1 0 0,-1 0 1 0 0,0 0 0 0 0,0 0 0 0 0,5 15 1273 0 0,-3 22-1174 0 0,-5 16 149 0 0,-1 30 225 0 0,5-75-485 0 0,-1-1 0 0 0,1 1 0 0 0,0 0-1 0 0,1 0 1 0 0,-1-1 0 0 0,2 1 0 0 0,4 12-1 0 0,-7-19-64 0 0,1-1-1 0 0,-1 1 0 0 0,0-1 0 0 0,0 1 0 0 0,1-1 0 0 0,-1 1 0 0 0,0-1 0 0 0,1 1 0 0 0,-1-1 0 0 0,0 1 0 0 0,1-1 0 0 0,-1 1 0 0 0,1-1 0 0 0,-1 0 0 0 0,1 1 1 0 0,-1-1-1 0 0,1 0 0 0 0,-1 1 0 0 0,1-1 0 0 0,-1 0 0 0 0,1 0 0 0 0,-1 1 0 0 0,1-1 0 0 0,0 0 0 0 0,-1 0 0 0 0,1 0 0 0 0,-1 0 0 0 0,1 0 0 0 0,0 0 0 0 0,0 0 1 0 0,1 0 6 0 0,-1-1 1 0 0,0 0 0 0 0,1 1 0 0 0,-1-1 0 0 0,0 0 0 0 0,1 0 0 0 0,-1 0 0 0 0,0 0 0 0 0,0 0 0 0 0,0 0-1 0 0,0 0 1 0 0,1-1 0 0 0,24-39 187 0 0,-25 39-208 0 0,27-61 40 0 0,-19 41-60 0 0,18-31 1 0 0,-27 52 18 0 0,1 0 0 0 0,-1 0 1 0 0,0 0-1 0 0,1 0 0 0 0,0 0 0 0 0,-1 1 0 0 0,1-1 1 0 0,-1 0-1 0 0,1 1 0 0 0,0-1 0 0 0,0 0 0 0 0,-1 1 1 0 0,1-1-1 0 0,0 1 0 0 0,0-1 0 0 0,0 1 0 0 0,0-1 1 0 0,-1 1-1 0 0,2-1 0 0 0,-1 1 3 0 0,0 0 0 0 0,-1 1-1 0 0,1-1 1 0 0,-1 0 0 0 0,1 0 0 0 0,-1 0-1 0 0,1 1 1 0 0,-1-1 0 0 0,1 0 0 0 0,-1 0 0 0 0,1 1-1 0 0,-1-1 1 0 0,1 1 0 0 0,-1-1 0 0 0,1 0-1 0 0,-1 1 1 0 0,0-1 0 0 0,1 1 0 0 0,-1-1 0 0 0,0 1-1 0 0,1-1 1 0 0,-1 1 0 0 0,0 0 0 0 0,3 6 30 0 0,0 1 1 0 0,-1-1 0 0 0,3 14 0 0 0,-1-8-10 0 0,-1-3-7 0 0,0-2 0 0 0,1 1 0 0 0,0 0-1 0 0,1-1 1 0 0,-1 0 0 0 0,2 0 0 0 0,-1 0 0 0 0,1 0-1 0 0,13 12 1 0 0,-16-18-14 0 0,-1 0 0 0 0,1 1-1 0 0,0-1 1 0 0,0 0 0 0 0,0 0 0 0 0,0 0-1 0 0,0-1 1 0 0,0 1 0 0 0,1-1 0 0 0,-1 0-1 0 0,0 0 1 0 0,1 0 0 0 0,-1 0 0 0 0,1-1 0 0 0,-1 1-1 0 0,1-1 1 0 0,0 0 0 0 0,-1 0 0 0 0,1 0-1 0 0,-1 0 1 0 0,1-1 0 0 0,-1 1 0 0 0,1-1-1 0 0,-1 0 1 0 0,1 0 0 0 0,-1-1 0 0 0,0 1 0 0 0,1-1-1 0 0,3-2 1 0 0,8-5 36 0 0,-1 0 1 0 0,-1-1-1 0 0,0 0 0 0 0,0-1 0 0 0,-1-1 1 0 0,18-21-1 0 0,-24 25-19 0 0,-1 0 0 0 0,0 0 0 0 0,-1 0 1 0 0,0 0-1 0 0,0-1 0 0 0,-1 0 0 0 0,0 1 0 0 0,0-1 0 0 0,-1-1 1 0 0,0 1-1 0 0,-1 0 0 0 0,0 0 0 0 0,-1-15 0 0 0,1 22-14 0 0,-1 0-1 0 0,0 0 1 0 0,-1 0-1 0 0,1 0 0 0 0,0 0 1 0 0,0 0-1 0 0,-1 0 1 0 0,1 0-1 0 0,-1 0 1 0 0,0 0-1 0 0,0 0 1 0 0,1 1-1 0 0,-1-1 0 0 0,0 0 1 0 0,0 0-1 0 0,-1 1 1 0 0,1-1-1 0 0,-3-2 1 0 0,3 3-4 0 0,-1 1 1 0 0,1-1-1 0 0,-1 1 1 0 0,1-1-1 0 0,-1 1 1 0 0,1 0-1 0 0,-1-1 1 0 0,1 1-1 0 0,-1 0 1 0 0,1 0-1 0 0,-1 0 1 0 0,1 0-1 0 0,-1 1 1 0 0,1-1-1 0 0,0 0 1 0 0,-1 1-1 0 0,1-1 1 0 0,-1 1-1 0 0,1-1 1 0 0,-1 1-1 0 0,1 0 1 0 0,0-1-1 0 0,0 1 1 0 0,-1 0 0 0 0,1 0-1 0 0,-2 1 1 0 0,-6 5 4 0 0,-1 1 1 0 0,1 0 0 0 0,0 1 0 0 0,0 0 0 0 0,1 0 0 0 0,0 0 0 0 0,-7 13 0 0 0,12-17-15 0 0,-1 1-1 0 0,1 0 1 0 0,0-1-1 0 0,1 2 1 0 0,-1-1 0 0 0,1 0-1 0 0,0 0 1 0 0,1 1-1 0 0,-1-1 1 0 0,1 1 0 0 0,0-1-1 0 0,1 1 1 0 0,0 0-1 0 0,1 11 1 0 0,-1-17 4 0 0,0 1 0 0 0,0-1 1 0 0,1 0-1 0 0,-1 0 0 0 0,0 0 0 0 0,1 0 1 0 0,-1 0-1 0 0,1 1 0 0 0,-1-1 0 0 0,1 0 1 0 0,-1 0-1 0 0,1 0 0 0 0,0 0 0 0 0,-1 0 0 0 0,1-1 1 0 0,0 1-1 0 0,0 0 0 0 0,0 0 0 0 0,0 0 1 0 0,0-1-1 0 0,0 1 0 0 0,0 0 0 0 0,0-1 1 0 0,0 1-1 0 0,2 0 0 0 0,-1-1-1 0 0,0 0 0 0 0,0 1 0 0 0,1-1-1 0 0,-1-1 1 0 0,0 1 0 0 0,0 0 0 0 0,1 0-1 0 0,-1-1 1 0 0,0 1 0 0 0,0-1 0 0 0,0 0-1 0 0,4-1 1 0 0,2-2-6 0 0,1-1 0 0 0,-1 0 0 0 0,0 0 0 0 0,-1-1 0 0 0,10-8 0 0 0,-9 5 16 0 0,0 1 1 0 0,0-1-1 0 0,-1 0 1 0 0,0-1-1 0 0,-1 1 1 0 0,0-1 0 0 0,-1 0-1 0 0,0-1 1 0 0,-1 0-1 0 0,0 1 1 0 0,0-1-1 0 0,2-15 1 0 0,-9 32-18 0 0,-1 0 0 0 0,1 1 0 0 0,-4 12 0 0 0,4-6 12 0 0,1-1-1 0 0,0 1 1 0 0,0 16 0 0 0,2-26-10 0 0,0-1-1 0 0,0 0 1 0 0,0 1 0 0 0,0-1-1 0 0,0 1 1 0 0,1-1-1 0 0,-1 0 1 0 0,1 1 0 0 0,0-1-1 0 0,-1 0 1 0 0,1 0 0 0 0,0 1-1 0 0,0-1 1 0 0,0 0-1 0 0,1 0 1 0 0,-1 0 0 0 0,0 0-1 0 0,1 0 1 0 0,0-1-1 0 0,-1 1 1 0 0,1 0 0 0 0,0-1-1 0 0,0 1 1 0 0,0-1-1 0 0,3 2 1 0 0,-4-2 2 0 0,1-1 0 0 0,0 0 0 0 0,0 0 0 0 0,0 0 0 0 0,-1 0 0 0 0,1-1 0 0 0,0 1 0 0 0,0 0 0 0 0,-1-1 0 0 0,1 1 0 0 0,0-1 0 0 0,-1 1 0 0 0,1-1 0 0 0,0 0 0 0 0,-1 0 0 0 0,1 0 0 0 0,-1 0 0 0 0,1 0 0 0 0,-1 0 0 0 0,2-2 0 0 0,27-25 8 0 0,-21 17 22 0 0,-1 1 0 0 0,-1-1 0 0 0,0-1-1 0 0,0 1 1 0 0,-1-1 0 0 0,0-1 0 0 0,6-21 0 0 0,-15 47 68 0 0,-1 0 1 0 0,1 0 0 0 0,-1 26-1 0 0,3-34-90 0 0,1 0-1 0 0,0 1 0 0 0,0-1 1 0 0,1 0-1 0 0,-1 0 0 0 0,1 0 0 0 0,0 0 1 0 0,0 0-1 0 0,1 0 0 0 0,0 0 1 0 0,-1 0-1 0 0,2 0 0 0 0,-1 0 1 0 0,5 6-1 0 0,-6-10-1 0 0,0 1 1 0 0,0-1-1 0 0,0 0 1 0 0,1 0-1 0 0,-1 0 0 0 0,0 0 1 0 0,1 0-1 0 0,-1 0 1 0 0,1 0-1 0 0,-1 0 0 0 0,1 0 1 0 0,-1-1-1 0 0,1 1 1 0 0,-1 0-1 0 0,1-1 1 0 0,0 0-1 0 0,-1 1 0 0 0,1-1 1 0 0,0 0-1 0 0,-1 0 1 0 0,1 0-1 0 0,3 0 1 0 0,-2-1 8 0 0,1 0 1 0 0,-1 0 0 0 0,0 0 0 0 0,0-1-1 0 0,0 1 1 0 0,0-1 0 0 0,0 0 0 0 0,0 0 0 0 0,-1 0-1 0 0,1 0 1 0 0,2-2 0 0 0,4-6 45 0 0,1-1-1 0 0,-1 0 1 0 0,-1 0-1 0 0,10-19 1 0 0,4-13 60 0 0,-20 39-112 0 0,-1 1 0 0 0,1-1 0 0 0,-1 0 0 0 0,0 0 0 0 0,0-1 0 0 0,-1 1 0 0 0,1 0 0 0 0,-1 0 0 0 0,0-6 0 0 0,-10 44 211 0 0,8-23-203 0 0,0-1 1 0 0,1 0-1 0 0,0 1 0 0 0,1 0 1 0 0,0-1-1 0 0,1 1 1 0 0,4 19-1 0 0,-5-28-6 0 0,1 1 0 0 0,0 0 0 0 0,0 0 0 0 0,0-1 0 0 0,0 1 1 0 0,1 0-1 0 0,-1-1 0 0 0,0 1 0 0 0,1-1 0 0 0,0 1 0 0 0,0-1 0 0 0,0 0 0 0 0,0 0 0 0 0,0 0 0 0 0,0 0 0 0 0,0 0 0 0 0,1 0 0 0 0,-1-1 0 0 0,1 1 0 0 0,-1-1 0 0 0,1 0 0 0 0,-1 1 0 0 0,1-1 0 0 0,0-1 0 0 0,0 1 0 0 0,0 0 0 0 0,-1 0 0 0 0,1-1 0 0 0,0 0 1 0 0,0 0-1 0 0,0 0 0 0 0,5 0 0 0 0,4-2 29 0 0,0-1 0 0 0,-1 1 0 0 0,1-2 0 0 0,-1 0 0 0 0,0 0 0 0 0,0-1 0 0 0,0-1 0 0 0,-1 0 0 0 0,0 0 0 0 0,0-1 0 0 0,0 0 0 0 0,-1 0 0 0 0,0-1 0 0 0,-1-1 0 0 0,0 0 0 0 0,14-18 0 0 0,-18 20-7 0 0,1 0 1 0 0,-1-1-1 0 0,5-13 1 0 0,-8 19-14 0 0,-1 0 1 0 0,1 0 0 0 0,0 0 0 0 0,-1 0 0 0 0,1 0-1 0 0,-1 0 1 0 0,1-1 0 0 0,-1 1 0 0 0,0 0 0 0 0,0 0-1 0 0,0 0 1 0 0,0 0 0 0 0,-1 0 0 0 0,1 0 0 0 0,0 0 0 0 0,-1 0-1 0 0,1 0 1 0 0,-1 0 0 0 0,0 0 0 0 0,-1-3 0 0 0,1 4-6 0 0,1 0 0 0 0,-1 1 0 0 0,0-1 0 0 0,1 1 0 0 0,-1-1 1 0 0,0 1-1 0 0,0-1 0 0 0,1 1 0 0 0,-1-1 0 0 0,0 1 0 0 0,0 0 1 0 0,1-1-1 0 0,-1 1 0 0 0,0 0 0 0 0,0 0 0 0 0,0 0 0 0 0,0 0 1 0 0,1-1-1 0 0,-1 1 0 0 0,0 0 0 0 0,0 0 0 0 0,0 1 1 0 0,-1-1-1 0 0,0 1-5 0 0,-1-1 1 0 0,1 1-1 0 0,0 0 1 0 0,0 0-1 0 0,0 0 1 0 0,0 1-1 0 0,0-1 1 0 0,-3 3-1 0 0,-1 0-14 0 0,1 1 0 0 0,1 0 0 0 0,-1 0-1 0 0,1 0 1 0 0,-5 8 0 0 0,6-7 1 0 0,0 0 0 0 0,0-1 0 0 0,0 1 0 0 0,1 1 0 0 0,0-1 0 0 0,1 0 0 0 0,-1 0 0 0 0,1 1 0 0 0,0-1 0 0 0,1 1 0 0 0,-1-1 0 0 0,2 10 0 0 0,-1-13 7 0 0,1-1 0 0 0,-1 0 0 0 0,1 1 0 0 0,0-1 1 0 0,-1 1-1 0 0,1-1 0 0 0,0 0 0 0 0,1 0 0 0 0,-1 1 1 0 0,0-1-1 0 0,1 0 0 0 0,-1 0 0 0 0,1 0 0 0 0,0 0 1 0 0,-1-1-1 0 0,1 1 0 0 0,0 0 0 0 0,0-1 1 0 0,0 1-1 0 0,0-1 0 0 0,1 0 0 0 0,-1 0 0 0 0,0 0 1 0 0,0 0-1 0 0,1 0 0 0 0,-1 0 0 0 0,1 0 0 0 0,-1-1 1 0 0,1 1-1 0 0,-1-1 0 0 0,1 0 0 0 0,-1 0 0 0 0,1 0 1 0 0,3 0-1 0 0,3-1 1 0 0,0 0 1 0 0,0 0 0 0 0,0-1-1 0 0,0 0 1 0 0,-1-1-1 0 0,1 0 1 0 0,-1 0 0 0 0,0-1-1 0 0,1 0 1 0 0,14-9-1 0 0,-13 6 28 0 0,0-1-1 0 0,0 0 1 0 0,-1 0-1 0 0,0-1 1 0 0,0 0-1 0 0,-1 0 1 0 0,9-15-1 0 0,-14 20-13 0 0,-1-1 0 0 0,0 1 0 0 0,0-1 0 0 0,-1 0 1 0 0,1 0-1 0 0,-1 0 0 0 0,1-10 0 0 0,-2 14-22 0 0,0-1 0 0 0,0 0 1 0 0,0 1-1 0 0,0-1 0 0 0,0 0 1 0 0,0 1-1 0 0,-1-1 0 0 0,1 0 1 0 0,-1 1-1 0 0,1-1 0 0 0,-2-3 1 0 0,1 5 1 0 0,1-1 0 0 0,-1 0 0 0 0,1 1 0 0 0,-1-1 0 0 0,0 1 0 0 0,1-1 0 0 0,-1 1 0 0 0,0-1 0 0 0,1 1 0 0 0,-1-1 0 0 0,0 1 0 0 0,0-1 1 0 0,1 1-1 0 0,-1 0 0 0 0,0 0 0 0 0,0-1 0 0 0,0 1 0 0 0,1 0 0 0 0,-1 0 0 0 0,0 0 0 0 0,0 0 0 0 0,0 0 0 0 0,0 0 0 0 0,-1 0 0 0 0,0 1 10 0 0,1-1 0 0 0,-1 1 0 0 0,1-1 0 0 0,0 1 0 0 0,-1 0 0 0 0,1-1 0 0 0,-1 1 0 0 0,1 0 0 0 0,0 0 0 0 0,0 0 0 0 0,0 0 0 0 0,-1 0 0 0 0,1 0 0 0 0,0 0 0 0 0,0 1 0 0 0,0-1 0 0 0,1 0 0 0 0,-1 1 0 0 0,0-1 0 0 0,0 0 0 0 0,1 1 0 0 0,-1-1 0 0 0,1 1 0 0 0,-1-1 0 0 0,1 1 0 0 0,0 0 0 0 0,-1 1 0 0 0,0 2-2 0 0,1-1 0 0 0,-1 0-1 0 0,1 0 1 0 0,0 0 0 0 0,0 1 0 0 0,0-1 0 0 0,1 0 0 0 0,-1 0 0 0 0,2 5-1 0 0,1-4 3 0 0,-1 0-1 0 0,1 0 1 0 0,0-1-1 0 0,0 1 1 0 0,0-1-1 0 0,1 0 1 0 0,0 0-1 0 0,0 0 1 0 0,0 0-1 0 0,0-1 1 0 0,0 1-1 0 0,1-1 1 0 0,9 5-1 0 0,7 3 58 0 0,40 14 0 0 0,-58-24-51 0 0,130 38 467 0 0,-94-29-329 0 0,0 1-1 0 0,-2 2 1 0 0,54 25-1 0 0,-91-38-134 0 0,0 0 0 0 0,0 0 0 0 0,0 0 0 0 0,1 0 0 0 0,-1 0 0 0 0,0 0-1 0 0,0 0 1 0 0,0 0 0 0 0,0 0 0 0 0,0 0 0 0 0,0 0 0 0 0,0 0 0 0 0,0 0 0 0 0,1 1 0 0 0,-1-1 0 0 0,0 0 0 0 0,0 0-1 0 0,0 0 1 0 0,0 0 0 0 0,0 0 0 0 0,0 0 0 0 0,0 0 0 0 0,0 0 0 0 0,0 0 0 0 0,0 0 0 0 0,0 1 0 0 0,0-1 0 0 0,0 0 0 0 0,0 0-1 0 0,0 0 1 0 0,0 0 0 0 0,1 0 0 0 0,-1 0 0 0 0,0 0 0 0 0,0 1 0 0 0,0-1 0 0 0,0 0 0 0 0,0 0 0 0 0,-1 0 0 0 0,1 0-1 0 0,0 0 1 0 0,0 0 0 0 0,0 0 0 0 0,0 1 0 0 0,0-1 0 0 0,0 0 0 0 0,0 0 0 0 0,0 0 0 0 0,0 0 0 0 0,0 0 0 0 0,-8 4 276 0 0,-9-1-8 0 0,-945 68 220 0 0,696-59-356 0 0,0-12 0 0 0,-309-39 0 0 0,467 26-109 0 0,-249-43-490 0 0,349 55 418 0 0,2-1-7 0 0,0 1 0 0 0,1 0-1 0 0,-1-1 1 0 0,0 0 0 0 0,1-1-1 0 0,-9-4 1 0 0,14 7 42 0 0,0 0-1 0 0,-1 0 1 0 0,1 0-1 0 0,0 0 1 0 0,0 0-1 0 0,0-1 1 0 0,0 1 0 0 0,0 0-1 0 0,0 0 1 0 0,0 0-1 0 0,0 0 1 0 0,0 0 0 0 0,0 0-1 0 0,0 0 1 0 0,0-1-1 0 0,0 1 1 0 0,0 0-1 0 0,0 0 1 0 0,0 0 0 0 0,0 0-1 0 0,0 0 1 0 0,0 0-1 0 0,0 0 1 0 0,0-1 0 0 0,0 1-1 0 0,0 0 1 0 0,0 0-1 0 0,0 0 1 0 0,0 0 0 0 0,0 0-1 0 0,0 0 1 0 0,0 0-1 0 0,0-1 1 0 0,0 1-1 0 0,0 0 1 0 0,0 0 0 0 0,1 0-1 0 0,-1 0 1 0 0,0 0-1 0 0,0 0 1 0 0,0 0 0 0 0,0 0-1 0 0,0 0 1 0 0,0 0-1 0 0,0 0 1 0 0,0 0-1 0 0,1 0 1 0 0,-1-1 0 0 0,0 1-1 0 0,0 0 1 0 0,0 0-1 0 0,11-4-110 0 0,7-1 32 0 0,56-3 210 0 0,-1 4-1 0 0,127 9 1 0 0,-93-1 10 0 0,154 1-255 0 0,499-55 0 0 0,-287-35-4660 0 0,-384 67 3064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1133</TotalTime>
  <Pages>17</Pages>
  <Words>5846</Words>
  <Characters>33012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Thomas,Paige swp6996</cp:lastModifiedBy>
  <cp:revision>16</cp:revision>
  <cp:lastPrinted>2014-08-26T08:55:00Z</cp:lastPrinted>
  <dcterms:created xsi:type="dcterms:W3CDTF">2022-10-12T15:15:00Z</dcterms:created>
  <dcterms:modified xsi:type="dcterms:W3CDTF">2023-02-03T21:38:00Z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2022-10-12T15:15:29Z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c6bcd1dc-f5f7-47fc-9869-9a9b872db45e</vt:lpwstr>
  </property>
  <property fmtid="{D5CDD505-2E9C-101B-9397-08002B2CF9AE}" pid="9" name="MSIP_Label_66cf8fe5-b7b7-4df7-b38d-1c61ac2f6639_ContentBits">
    <vt:lpwstr>0</vt:lpwstr>
  </property>
</Properties>
</file>