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D944E" w14:textId="77777777" w:rsidR="00842CF6" w:rsidRPr="00842CF6" w:rsidRDefault="00842CF6" w:rsidP="00842CF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42CF6">
        <w:rPr>
          <w:rFonts w:ascii="Times New Roman" w:eastAsia="Times New Roman" w:hAnsi="Times New Roman" w:cs="Times New Roman"/>
          <w:b/>
          <w:bCs/>
          <w:kern w:val="36"/>
          <w:sz w:val="48"/>
          <w:szCs w:val="48"/>
          <w14:ligatures w14:val="none"/>
        </w:rPr>
        <w:t>Policing Study Guide: The Offence of Controlling or Coercive Behaviour</w:t>
      </w:r>
    </w:p>
    <w:p w14:paraId="322F2B1C"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This study guide is designed for Level 6 policing students to master the legal framework, investigative requirements, and practical applications of the offence of controlling or coercive behaviour. It is based on the statutory guidance issued under section 77 of the Serious Crime Act 2015.</w:t>
      </w:r>
    </w:p>
    <w:p w14:paraId="5695A28B"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 </w:t>
      </w:r>
    </w:p>
    <w:p w14:paraId="45899260" w14:textId="77777777" w:rsidR="00842CF6" w:rsidRPr="00842CF6" w:rsidRDefault="00842CF6" w:rsidP="00842CF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42CF6">
        <w:rPr>
          <w:rFonts w:ascii="Times New Roman" w:eastAsia="Times New Roman" w:hAnsi="Times New Roman" w:cs="Times New Roman"/>
          <w:b/>
          <w:bCs/>
          <w:kern w:val="0"/>
          <w:sz w:val="36"/>
          <w:szCs w:val="36"/>
          <w14:ligatures w14:val="none"/>
        </w:rPr>
        <w:t>Part 1: Classroom Questioning Template</w:t>
      </w:r>
    </w:p>
    <w:p w14:paraId="49C14B96"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The following questions are designed to elicit detailed responses regarding the core aspects of the offence.</w:t>
      </w:r>
    </w:p>
    <w:p w14:paraId="177D83C0" w14:textId="77777777" w:rsidR="00842CF6" w:rsidRPr="00842CF6" w:rsidRDefault="00842CF6" w:rsidP="00842C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2CF6">
        <w:rPr>
          <w:rFonts w:ascii="Times New Roman" w:eastAsia="Times New Roman" w:hAnsi="Times New Roman" w:cs="Times New Roman"/>
          <w:b/>
          <w:bCs/>
          <w:kern w:val="0"/>
          <w:sz w:val="27"/>
          <w:szCs w:val="27"/>
          <w14:ligatures w14:val="none"/>
        </w:rPr>
        <w:t>I. Legal Foundations and Definitions</w:t>
      </w:r>
    </w:p>
    <w:p w14:paraId="45341073" w14:textId="77777777" w:rsidR="00842CF6" w:rsidRPr="00842CF6" w:rsidRDefault="00842CF6" w:rsidP="00842CF6">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Statutory Origin:</w:t>
      </w:r>
      <w:r w:rsidRPr="00842CF6">
        <w:rPr>
          <w:rFonts w:ascii="Times New Roman" w:eastAsia="Times New Roman" w:hAnsi="Times New Roman" w:cs="Times New Roman"/>
          <w:kern w:val="0"/>
          <w14:ligatures w14:val="none"/>
        </w:rPr>
        <w:t xml:space="preserve"> Under which Act and section was the criminal offence of controlling or coercive behaviour introduced, and which recent legislation amended its scope?</w:t>
      </w:r>
    </w:p>
    <w:p w14:paraId="7967F25A" w14:textId="77777777" w:rsidR="00842CF6" w:rsidRPr="00842CF6" w:rsidRDefault="00842CF6" w:rsidP="00842CF6">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The "Personally Connected" Requirement:</w:t>
      </w:r>
      <w:r w:rsidRPr="00842CF6">
        <w:rPr>
          <w:rFonts w:ascii="Times New Roman" w:eastAsia="Times New Roman" w:hAnsi="Times New Roman" w:cs="Times New Roman"/>
          <w:kern w:val="0"/>
          <w14:ligatures w14:val="none"/>
        </w:rPr>
        <w:t xml:space="preserve"> Following the April 2023 amendment, what is the current requirement for a victim and perpetrator to be considered "personally connected"? How does this differ from the original 2015 legislation?</w:t>
      </w:r>
    </w:p>
    <w:p w14:paraId="23C95A16" w14:textId="77777777" w:rsidR="00842CF6" w:rsidRPr="00842CF6" w:rsidRDefault="00842CF6" w:rsidP="00842CF6">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The Four-Part Test:</w:t>
      </w:r>
      <w:r w:rsidRPr="00842CF6">
        <w:rPr>
          <w:rFonts w:ascii="Times New Roman" w:eastAsia="Times New Roman" w:hAnsi="Times New Roman" w:cs="Times New Roman"/>
          <w:kern w:val="0"/>
          <w14:ligatures w14:val="none"/>
        </w:rPr>
        <w:t xml:space="preserve"> For the offence of controlling or coercive behaviour to apply, what four criteria must be met?</w:t>
      </w:r>
    </w:p>
    <w:p w14:paraId="7E91CD56" w14:textId="77777777" w:rsidR="00842CF6" w:rsidRPr="00842CF6" w:rsidRDefault="00842CF6" w:rsidP="00842C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2CF6">
        <w:rPr>
          <w:rFonts w:ascii="Times New Roman" w:eastAsia="Times New Roman" w:hAnsi="Times New Roman" w:cs="Times New Roman"/>
          <w:b/>
          <w:bCs/>
          <w:kern w:val="0"/>
          <w:sz w:val="27"/>
          <w:szCs w:val="27"/>
          <w14:ligatures w14:val="none"/>
        </w:rPr>
        <w:t>II. Identifying the Offence and "Serious Effect"</w:t>
      </w:r>
    </w:p>
    <w:p w14:paraId="3A7F6A28" w14:textId="77777777" w:rsidR="00842CF6" w:rsidRPr="00842CF6" w:rsidRDefault="00842CF6" w:rsidP="00842CF6">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Defining "Serious Effect":</w:t>
      </w:r>
      <w:r w:rsidRPr="00842CF6">
        <w:rPr>
          <w:rFonts w:ascii="Times New Roman" w:eastAsia="Times New Roman" w:hAnsi="Times New Roman" w:cs="Times New Roman"/>
          <w:kern w:val="0"/>
          <w14:ligatures w14:val="none"/>
        </w:rPr>
        <w:t xml:space="preserve"> There are two distinct ways to prove that a perpetrator’s behaviour had a "serious effect" on the victim. What are they?</w:t>
      </w:r>
    </w:p>
    <w:p w14:paraId="45185B92" w14:textId="77777777" w:rsidR="00842CF6" w:rsidRPr="00842CF6" w:rsidRDefault="00842CF6" w:rsidP="00842CF6">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Repeated vs. Continuous:</w:t>
      </w:r>
      <w:r w:rsidRPr="00842CF6">
        <w:rPr>
          <w:rFonts w:ascii="Times New Roman" w:eastAsia="Times New Roman" w:hAnsi="Times New Roman" w:cs="Times New Roman"/>
          <w:kern w:val="0"/>
          <w14:ligatures w14:val="none"/>
        </w:rPr>
        <w:t xml:space="preserve"> What is the difference between "repeated" and "continuous" behaviour in the context of this offence? Is there a specific statutory timeframe required between incidents?</w:t>
      </w:r>
    </w:p>
    <w:p w14:paraId="527DBE1D" w14:textId="77777777" w:rsidR="00842CF6" w:rsidRPr="00842CF6" w:rsidRDefault="00842CF6" w:rsidP="00842CF6">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Impact on Daily Life:</w:t>
      </w:r>
      <w:r w:rsidRPr="00842CF6">
        <w:rPr>
          <w:rFonts w:ascii="Times New Roman" w:eastAsia="Times New Roman" w:hAnsi="Times New Roman" w:cs="Times New Roman"/>
          <w:kern w:val="0"/>
          <w14:ligatures w14:val="none"/>
        </w:rPr>
        <w:t xml:space="preserve"> Provide five examples of how a "serious effect" might manifest in a victim’s day-to-day activities.</w:t>
      </w:r>
    </w:p>
    <w:p w14:paraId="3CF342B7" w14:textId="77777777" w:rsidR="00842CF6" w:rsidRPr="00842CF6" w:rsidRDefault="00842CF6" w:rsidP="00842C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2CF6">
        <w:rPr>
          <w:rFonts w:ascii="Times New Roman" w:eastAsia="Times New Roman" w:hAnsi="Times New Roman" w:cs="Times New Roman"/>
          <w:b/>
          <w:bCs/>
          <w:kern w:val="0"/>
          <w:sz w:val="27"/>
          <w:szCs w:val="27"/>
          <w14:ligatures w14:val="none"/>
        </w:rPr>
        <w:t>III. Investigative Strategy and Evidence</w:t>
      </w:r>
    </w:p>
    <w:p w14:paraId="5B533AB3" w14:textId="77777777" w:rsidR="00842CF6" w:rsidRPr="00842CF6" w:rsidRDefault="00842CF6" w:rsidP="00842CF6">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The "Golden Thread":</w:t>
      </w:r>
      <w:r w:rsidRPr="00842CF6">
        <w:rPr>
          <w:rFonts w:ascii="Times New Roman" w:eastAsia="Times New Roman" w:hAnsi="Times New Roman" w:cs="Times New Roman"/>
          <w:kern w:val="0"/>
          <w14:ligatures w14:val="none"/>
        </w:rPr>
        <w:t xml:space="preserve"> Why is it critical for responding officers to look beyond the immediate incident call-out? What should they be searching for?</w:t>
      </w:r>
    </w:p>
    <w:p w14:paraId="22FFC52A" w14:textId="77777777" w:rsidR="00842CF6" w:rsidRPr="00842CF6" w:rsidRDefault="00842CF6" w:rsidP="00842CF6">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Evidence-Led Prosecutions:</w:t>
      </w:r>
      <w:r w:rsidRPr="00842CF6">
        <w:rPr>
          <w:rFonts w:ascii="Times New Roman" w:eastAsia="Times New Roman" w:hAnsi="Times New Roman" w:cs="Times New Roman"/>
          <w:kern w:val="0"/>
          <w14:ligatures w14:val="none"/>
        </w:rPr>
        <w:t xml:space="preserve"> What types of evidence can be used to build a case if a victim decides to withdraw their support for the prosecution?</w:t>
      </w:r>
    </w:p>
    <w:p w14:paraId="493B9175" w14:textId="77777777" w:rsidR="00842CF6" w:rsidRPr="00842CF6" w:rsidRDefault="00842CF6" w:rsidP="00842CF6">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Digital and Economic Evidence:</w:t>
      </w:r>
      <w:r w:rsidRPr="00842CF6">
        <w:rPr>
          <w:rFonts w:ascii="Times New Roman" w:eastAsia="Times New Roman" w:hAnsi="Times New Roman" w:cs="Times New Roman"/>
          <w:kern w:val="0"/>
          <w14:ligatures w14:val="none"/>
        </w:rPr>
        <w:t xml:space="preserve"> List specific types of digital and financial records that can assist in proving a pattern of coercive control.</w:t>
      </w:r>
    </w:p>
    <w:p w14:paraId="0D480DFF" w14:textId="77777777" w:rsidR="00842CF6" w:rsidRPr="00842CF6" w:rsidRDefault="00842CF6" w:rsidP="00842C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2CF6">
        <w:rPr>
          <w:rFonts w:ascii="Times New Roman" w:eastAsia="Times New Roman" w:hAnsi="Times New Roman" w:cs="Times New Roman"/>
          <w:b/>
          <w:bCs/>
          <w:kern w:val="0"/>
          <w:sz w:val="27"/>
          <w:szCs w:val="27"/>
          <w14:ligatures w14:val="none"/>
        </w:rPr>
        <w:t>IV. Perpetrator Tactics and Defences</w:t>
      </w:r>
    </w:p>
    <w:p w14:paraId="204DB6F9" w14:textId="77777777" w:rsidR="00842CF6" w:rsidRPr="00842CF6" w:rsidRDefault="00842CF6" w:rsidP="00842CF6">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lastRenderedPageBreak/>
        <w:t>Perpetrator Tactics:</w:t>
      </w:r>
      <w:r w:rsidRPr="00842CF6">
        <w:rPr>
          <w:rFonts w:ascii="Times New Roman" w:eastAsia="Times New Roman" w:hAnsi="Times New Roman" w:cs="Times New Roman"/>
          <w:kern w:val="0"/>
          <w14:ligatures w14:val="none"/>
        </w:rPr>
        <w:t xml:space="preserve"> Describe how a "manipulative perpetrator" might attempt to use the police or other statutory agencies to further their control over a victim.</w:t>
      </w:r>
    </w:p>
    <w:p w14:paraId="60711EEF" w14:textId="77777777" w:rsidR="00842CF6" w:rsidRPr="00842CF6" w:rsidRDefault="00842CF6" w:rsidP="00842CF6">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The Statutory Defence:</w:t>
      </w:r>
      <w:r w:rsidRPr="00842CF6">
        <w:rPr>
          <w:rFonts w:ascii="Times New Roman" w:eastAsia="Times New Roman" w:hAnsi="Times New Roman" w:cs="Times New Roman"/>
          <w:kern w:val="0"/>
          <w14:ligatures w14:val="none"/>
        </w:rPr>
        <w:t xml:space="preserve"> Under section 76, what is the defence available to a defendant? In what specific circumstance is this defence strictly prohibited?</w:t>
      </w:r>
    </w:p>
    <w:p w14:paraId="6EBCA4AB" w14:textId="77777777" w:rsidR="00842CF6" w:rsidRPr="00842CF6" w:rsidRDefault="00842CF6" w:rsidP="00842CF6">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The "Ought to Know" Standard:</w:t>
      </w:r>
      <w:r w:rsidRPr="00842CF6">
        <w:rPr>
          <w:rFonts w:ascii="Times New Roman" w:eastAsia="Times New Roman" w:hAnsi="Times New Roman" w:cs="Times New Roman"/>
          <w:kern w:val="0"/>
          <w14:ligatures w14:val="none"/>
        </w:rPr>
        <w:t xml:space="preserve"> How is the phrase "ought to know" defined regarding the perpetrator’s awareness of the effect of their behaviour?</w:t>
      </w:r>
    </w:p>
    <w:p w14:paraId="560618E6" w14:textId="77777777" w:rsidR="00842CF6" w:rsidRPr="00842CF6" w:rsidRDefault="00842CF6" w:rsidP="00842C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2CF6">
        <w:rPr>
          <w:rFonts w:ascii="Times New Roman" w:eastAsia="Times New Roman" w:hAnsi="Times New Roman" w:cs="Times New Roman"/>
          <w:b/>
          <w:bCs/>
          <w:kern w:val="0"/>
          <w:sz w:val="27"/>
          <w:szCs w:val="27"/>
          <w14:ligatures w14:val="none"/>
        </w:rPr>
        <w:t>V. Specific Forms of Abuse and Vulnerability</w:t>
      </w:r>
    </w:p>
    <w:p w14:paraId="42F6153C" w14:textId="77777777" w:rsidR="00842CF6" w:rsidRPr="00842CF6" w:rsidRDefault="00842CF6" w:rsidP="00842CF6">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Economic Abuse:</w:t>
      </w:r>
      <w:r w:rsidRPr="00842CF6">
        <w:rPr>
          <w:rFonts w:ascii="Times New Roman" w:eastAsia="Times New Roman" w:hAnsi="Times New Roman" w:cs="Times New Roman"/>
          <w:kern w:val="0"/>
          <w14:ligatures w14:val="none"/>
        </w:rPr>
        <w:t xml:space="preserve"> How does the Domestic Abuse Act 2021 define economic abuse, and how might it manifest post-separation?</w:t>
      </w:r>
    </w:p>
    <w:p w14:paraId="759964ED" w14:textId="77777777" w:rsidR="00842CF6" w:rsidRPr="00842CF6" w:rsidRDefault="00842CF6" w:rsidP="00842CF6">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Technology-Facilitated Abuse:</w:t>
      </w:r>
      <w:r w:rsidRPr="00842CF6">
        <w:rPr>
          <w:rFonts w:ascii="Times New Roman" w:eastAsia="Times New Roman" w:hAnsi="Times New Roman" w:cs="Times New Roman"/>
          <w:kern w:val="0"/>
          <w14:ligatures w14:val="none"/>
        </w:rPr>
        <w:t xml:space="preserve"> What are some examples of how "smart" home technology or social media can be weaponized in a pattern of coercive control?</w:t>
      </w:r>
    </w:p>
    <w:p w14:paraId="18C1D8E7" w14:textId="77777777" w:rsidR="00842CF6" w:rsidRPr="00842CF6" w:rsidRDefault="00842CF6" w:rsidP="00842CF6">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Children as Victims:</w:t>
      </w:r>
      <w:r w:rsidRPr="00842CF6">
        <w:rPr>
          <w:rFonts w:ascii="Times New Roman" w:eastAsia="Times New Roman" w:hAnsi="Times New Roman" w:cs="Times New Roman"/>
          <w:kern w:val="0"/>
          <w14:ligatures w14:val="none"/>
        </w:rPr>
        <w:t xml:space="preserve"> Under Section 3 of the 2021 Act, how is the status of children who "see, hear, or experience" domestic abuse legally defined?</w:t>
      </w:r>
    </w:p>
    <w:p w14:paraId="5FAAD2AF"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 </w:t>
      </w:r>
    </w:p>
    <w:p w14:paraId="37616954" w14:textId="77777777" w:rsidR="00842CF6" w:rsidRPr="00842CF6" w:rsidRDefault="00842CF6" w:rsidP="00842CF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42CF6">
        <w:rPr>
          <w:rFonts w:ascii="Times New Roman" w:eastAsia="Times New Roman" w:hAnsi="Times New Roman" w:cs="Times New Roman"/>
          <w:b/>
          <w:bCs/>
          <w:kern w:val="0"/>
          <w:sz w:val="36"/>
          <w:szCs w:val="36"/>
          <w14:ligatures w14:val="none"/>
        </w:rPr>
        <w:t>Part 2: Answer Key for Lecturers</w:t>
      </w:r>
    </w:p>
    <w:tbl>
      <w:tblPr>
        <w:tblW w:w="5000" w:type="pct"/>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06"/>
        <w:gridCol w:w="6904"/>
      </w:tblGrid>
      <w:tr w:rsidR="00842CF6" w:rsidRPr="00842CF6" w14:paraId="7ED2AEE8"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2F12889E"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Question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750FEBB7"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Core Fact Points for Response</w:t>
            </w:r>
          </w:p>
        </w:tc>
      </w:tr>
      <w:tr w:rsidR="00842CF6" w:rsidRPr="00842CF6" w14:paraId="1079E9FF"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738CFBFB"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1. Statutory Origin</w:t>
            </w:r>
          </w:p>
        </w:tc>
        <w:tc>
          <w:tcPr>
            <w:tcW w:w="0" w:type="auto"/>
            <w:tcBorders>
              <w:top w:val="outset" w:sz="6" w:space="0" w:color="auto"/>
              <w:left w:val="outset" w:sz="6" w:space="0" w:color="auto"/>
              <w:bottom w:val="outset" w:sz="6" w:space="0" w:color="auto"/>
              <w:right w:val="outset" w:sz="6" w:space="0" w:color="auto"/>
            </w:tcBorders>
            <w:vAlign w:val="center"/>
            <w:hideMark/>
          </w:tcPr>
          <w:p w14:paraId="02ABB636"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Introduced by </w:t>
            </w:r>
            <w:r w:rsidRPr="00842CF6">
              <w:rPr>
                <w:rFonts w:ascii="Times New Roman" w:eastAsia="Times New Roman" w:hAnsi="Times New Roman" w:cs="Times New Roman"/>
                <w:b/>
                <w:bCs/>
                <w:kern w:val="0"/>
                <w14:ligatures w14:val="none"/>
              </w:rPr>
              <w:t>Section 76 of the Serious Crime Act 2015</w:t>
            </w:r>
            <w:r w:rsidRPr="00842CF6">
              <w:rPr>
                <w:rFonts w:ascii="Times New Roman" w:eastAsia="Times New Roman" w:hAnsi="Times New Roman" w:cs="Times New Roman"/>
                <w:kern w:val="0"/>
                <w14:ligatures w14:val="none"/>
              </w:rPr>
              <w:t xml:space="preserve">. Amended by </w:t>
            </w:r>
            <w:r w:rsidRPr="00842CF6">
              <w:rPr>
                <w:rFonts w:ascii="Times New Roman" w:eastAsia="Times New Roman" w:hAnsi="Times New Roman" w:cs="Times New Roman"/>
                <w:b/>
                <w:bCs/>
                <w:kern w:val="0"/>
                <w14:ligatures w14:val="none"/>
              </w:rPr>
              <w:t>Section 68 of the Domestic Abuse Act 2021</w:t>
            </w:r>
            <w:r w:rsidRPr="00842CF6">
              <w:rPr>
                <w:rFonts w:ascii="Times New Roman" w:eastAsia="Times New Roman" w:hAnsi="Times New Roman" w:cs="Times New Roman"/>
                <w:kern w:val="0"/>
                <w14:ligatures w14:val="none"/>
              </w:rPr>
              <w:t>.</w:t>
            </w:r>
          </w:p>
        </w:tc>
      </w:tr>
      <w:tr w:rsidR="00842CF6" w:rsidRPr="00842CF6" w14:paraId="5077C3CC"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30128DD8"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2. Personally Connected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2D85668"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The 2021 Act removed the </w:t>
            </w:r>
            <w:r w:rsidRPr="00842CF6">
              <w:rPr>
                <w:rFonts w:ascii="Times New Roman" w:eastAsia="Times New Roman" w:hAnsi="Times New Roman" w:cs="Times New Roman"/>
                <w:b/>
                <w:bCs/>
                <w:kern w:val="0"/>
                <w14:ligatures w14:val="none"/>
              </w:rPr>
              <w:t>"living together"</w:t>
            </w:r>
            <w:r w:rsidRPr="00842CF6">
              <w:rPr>
                <w:rFonts w:ascii="Times New Roman" w:eastAsia="Times New Roman" w:hAnsi="Times New Roman" w:cs="Times New Roman"/>
                <w:kern w:val="0"/>
                <w14:ligatures w14:val="none"/>
              </w:rPr>
              <w:t xml:space="preserve"> requirement. It now applies to partners, ex-partners, or family members regardless of cohabitation. This captures post-separation abuse.</w:t>
            </w:r>
          </w:p>
        </w:tc>
      </w:tr>
      <w:tr w:rsidR="00842CF6" w:rsidRPr="00842CF6" w14:paraId="467193B9"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D9F5828"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3. Four-Part Test</w:t>
            </w:r>
          </w:p>
        </w:tc>
        <w:tc>
          <w:tcPr>
            <w:tcW w:w="0" w:type="auto"/>
            <w:tcBorders>
              <w:top w:val="outset" w:sz="6" w:space="0" w:color="auto"/>
              <w:left w:val="outset" w:sz="6" w:space="0" w:color="auto"/>
              <w:bottom w:val="outset" w:sz="6" w:space="0" w:color="auto"/>
              <w:right w:val="outset" w:sz="6" w:space="0" w:color="auto"/>
            </w:tcBorders>
            <w:vAlign w:val="center"/>
            <w:hideMark/>
          </w:tcPr>
          <w:p w14:paraId="0505B15B"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1) Personally connected; 2) Behaviour is repeated or continuous; 3) Behaviour has a "serious effect"; 4) Perpetrator knows or ought to know the behaviour will have that effect.</w:t>
            </w:r>
          </w:p>
        </w:tc>
      </w:tr>
      <w:tr w:rsidR="00842CF6" w:rsidRPr="00842CF6" w14:paraId="7C2D5A7D"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0E3D0BBC"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4. "Serious Effect"</w:t>
            </w:r>
          </w:p>
        </w:tc>
        <w:tc>
          <w:tcPr>
            <w:tcW w:w="0" w:type="auto"/>
            <w:tcBorders>
              <w:top w:val="outset" w:sz="6" w:space="0" w:color="auto"/>
              <w:left w:val="outset" w:sz="6" w:space="0" w:color="auto"/>
              <w:bottom w:val="outset" w:sz="6" w:space="0" w:color="auto"/>
              <w:right w:val="outset" w:sz="6" w:space="0" w:color="auto"/>
            </w:tcBorders>
            <w:vAlign w:val="center"/>
            <w:hideMark/>
          </w:tcPr>
          <w:p w14:paraId="56F7D182"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1) Caused the victim to fear violence will be used against them on </w:t>
            </w:r>
            <w:r w:rsidRPr="00842CF6">
              <w:rPr>
                <w:rFonts w:ascii="Times New Roman" w:eastAsia="Times New Roman" w:hAnsi="Times New Roman" w:cs="Times New Roman"/>
                <w:b/>
                <w:bCs/>
                <w:kern w:val="0"/>
                <w14:ligatures w14:val="none"/>
              </w:rPr>
              <w:t>two or more occasions</w:t>
            </w:r>
            <w:r w:rsidRPr="00842CF6">
              <w:rPr>
                <w:rFonts w:ascii="Times New Roman" w:eastAsia="Times New Roman" w:hAnsi="Times New Roman" w:cs="Times New Roman"/>
                <w:kern w:val="0"/>
                <w14:ligatures w14:val="none"/>
              </w:rPr>
              <w:t xml:space="preserve">; OR 2) Caused </w:t>
            </w:r>
            <w:r w:rsidRPr="00842CF6">
              <w:rPr>
                <w:rFonts w:ascii="Times New Roman" w:eastAsia="Times New Roman" w:hAnsi="Times New Roman" w:cs="Times New Roman"/>
                <w:b/>
                <w:bCs/>
                <w:kern w:val="0"/>
                <w14:ligatures w14:val="none"/>
              </w:rPr>
              <w:t>serious alarm or distress</w:t>
            </w:r>
            <w:r w:rsidRPr="00842CF6">
              <w:rPr>
                <w:rFonts w:ascii="Times New Roman" w:eastAsia="Times New Roman" w:hAnsi="Times New Roman" w:cs="Times New Roman"/>
                <w:kern w:val="0"/>
                <w14:ligatures w14:val="none"/>
              </w:rPr>
              <w:t xml:space="preserve"> which has a substantial adverse effect on usual day-to-day activities.</w:t>
            </w:r>
          </w:p>
        </w:tc>
      </w:tr>
      <w:tr w:rsidR="00842CF6" w:rsidRPr="00842CF6" w14:paraId="11DDF01D"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72F56DAF"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5. Repeated vs. Continuous</w:t>
            </w:r>
          </w:p>
        </w:tc>
        <w:tc>
          <w:tcPr>
            <w:tcW w:w="0" w:type="auto"/>
            <w:tcBorders>
              <w:top w:val="outset" w:sz="6" w:space="0" w:color="auto"/>
              <w:left w:val="outset" w:sz="6" w:space="0" w:color="auto"/>
              <w:bottom w:val="outset" w:sz="6" w:space="0" w:color="auto"/>
              <w:right w:val="outset" w:sz="6" w:space="0" w:color="auto"/>
            </w:tcBorders>
            <w:vAlign w:val="center"/>
            <w:hideMark/>
          </w:tcPr>
          <w:p w14:paraId="4C7DD194"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Repeated = two or more occasions. Continuous = ongoing basis. No specific timeframe is required (can be years apart, e.g., on birthdays</w:t>
            </w:r>
            <w:proofErr w:type="gramStart"/>
            <w:r w:rsidRPr="00842CF6">
              <w:rPr>
                <w:rFonts w:ascii="Times New Roman" w:eastAsia="Times New Roman" w:hAnsi="Times New Roman" w:cs="Times New Roman"/>
                <w:kern w:val="0"/>
                <w14:ligatures w14:val="none"/>
              </w:rPr>
              <w:t>), but</w:t>
            </w:r>
            <w:proofErr w:type="gramEnd"/>
            <w:r w:rsidRPr="00842CF6">
              <w:rPr>
                <w:rFonts w:ascii="Times New Roman" w:eastAsia="Times New Roman" w:hAnsi="Times New Roman" w:cs="Times New Roman"/>
                <w:kern w:val="0"/>
                <w14:ligatures w14:val="none"/>
              </w:rPr>
              <w:t xml:space="preserve"> must represent a pattern.</w:t>
            </w:r>
          </w:p>
        </w:tc>
      </w:tr>
      <w:tr w:rsidR="00842CF6" w:rsidRPr="00842CF6" w14:paraId="307A4E76"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0A5137BE"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6. Daily Life Impact</w:t>
            </w:r>
          </w:p>
        </w:tc>
        <w:tc>
          <w:tcPr>
            <w:tcW w:w="0" w:type="auto"/>
            <w:tcBorders>
              <w:top w:val="outset" w:sz="6" w:space="0" w:color="auto"/>
              <w:left w:val="outset" w:sz="6" w:space="0" w:color="auto"/>
              <w:bottom w:val="outset" w:sz="6" w:space="0" w:color="auto"/>
              <w:right w:val="outset" w:sz="6" w:space="0" w:color="auto"/>
            </w:tcBorders>
            <w:vAlign w:val="center"/>
            <w:hideMark/>
          </w:tcPr>
          <w:p w14:paraId="68D43822"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Changing routes to work; stopping socialising; deterioration of mental/physical health; needing to report time to the perpetrator; restricted access to money/medication; fearing punishment for deviating from "rules."</w:t>
            </w:r>
          </w:p>
        </w:tc>
      </w:tr>
      <w:tr w:rsidR="00842CF6" w:rsidRPr="00842CF6" w14:paraId="00E7D21E"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5F20E419"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7. "Golden Thread"</w:t>
            </w:r>
          </w:p>
        </w:tc>
        <w:tc>
          <w:tcPr>
            <w:tcW w:w="0" w:type="auto"/>
            <w:tcBorders>
              <w:top w:val="outset" w:sz="6" w:space="0" w:color="auto"/>
              <w:left w:val="outset" w:sz="6" w:space="0" w:color="auto"/>
              <w:bottom w:val="outset" w:sz="6" w:space="0" w:color="auto"/>
              <w:right w:val="outset" w:sz="6" w:space="0" w:color="auto"/>
            </w:tcBorders>
            <w:vAlign w:val="center"/>
            <w:hideMark/>
          </w:tcPr>
          <w:p w14:paraId="0BDB8E1E"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Officers must look for an </w:t>
            </w:r>
            <w:r w:rsidRPr="00842CF6">
              <w:rPr>
                <w:rFonts w:ascii="Times New Roman" w:eastAsia="Times New Roman" w:hAnsi="Times New Roman" w:cs="Times New Roman"/>
                <w:b/>
                <w:bCs/>
                <w:kern w:val="0"/>
                <w14:ligatures w14:val="none"/>
              </w:rPr>
              <w:t>intentional pattern of behaviour</w:t>
            </w:r>
            <w:r w:rsidRPr="00842CF6">
              <w:rPr>
                <w:rFonts w:ascii="Times New Roman" w:eastAsia="Times New Roman" w:hAnsi="Times New Roman" w:cs="Times New Roman"/>
                <w:kern w:val="0"/>
                <w14:ligatures w14:val="none"/>
              </w:rPr>
              <w:t xml:space="preserve"> over time. Coercive control is a high-risk factor for future violence, domestic homicide, and suicide.</w:t>
            </w:r>
          </w:p>
        </w:tc>
      </w:tr>
      <w:tr w:rsidR="00842CF6" w:rsidRPr="00842CF6" w14:paraId="431FEB4D"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58748BBC"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8. Evidence-Led Prosecution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0A21860A"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999 tapes, Body Worn Video (BWV), CCTV, </w:t>
            </w:r>
            <w:r w:rsidRPr="00842CF6">
              <w:rPr>
                <w:rFonts w:ascii="Times New Roman" w:eastAsia="Times New Roman" w:hAnsi="Times New Roman" w:cs="Times New Roman"/>
                <w:i/>
                <w:iCs/>
                <w:kern w:val="0"/>
                <w14:ligatures w14:val="none"/>
              </w:rPr>
              <w:t>Res gestae</w:t>
            </w:r>
            <w:r w:rsidRPr="00842CF6">
              <w:rPr>
                <w:rFonts w:ascii="Times New Roman" w:eastAsia="Times New Roman" w:hAnsi="Times New Roman" w:cs="Times New Roman"/>
                <w:kern w:val="0"/>
                <w14:ligatures w14:val="none"/>
              </w:rPr>
              <w:t xml:space="preserve"> statements, hearsay evidence, third-party witness statements (family/friends), and medical records.</w:t>
            </w:r>
          </w:p>
        </w:tc>
      </w:tr>
      <w:tr w:rsidR="00842CF6" w:rsidRPr="00842CF6" w14:paraId="28491CBA"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3A92AF42"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9. Digital/Economic Evidence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85A38FD"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Phone logs, text/social media messages, GPS tracking data, smart device logs (e.g., Alexa/Google Home), bank statements showing restricted access or "coerced debt."</w:t>
            </w:r>
          </w:p>
        </w:tc>
      </w:tr>
      <w:tr w:rsidR="00842CF6" w:rsidRPr="00842CF6" w14:paraId="4768D8FC"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7DFC4BE"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lastRenderedPageBreak/>
              <w:t>10. Perpetrator Tactics</w:t>
            </w:r>
          </w:p>
        </w:tc>
        <w:tc>
          <w:tcPr>
            <w:tcW w:w="0" w:type="auto"/>
            <w:tcBorders>
              <w:top w:val="outset" w:sz="6" w:space="0" w:color="auto"/>
              <w:left w:val="outset" w:sz="6" w:space="0" w:color="auto"/>
              <w:bottom w:val="outset" w:sz="6" w:space="0" w:color="auto"/>
              <w:right w:val="outset" w:sz="6" w:space="0" w:color="auto"/>
            </w:tcBorders>
            <w:vAlign w:val="center"/>
            <w:hideMark/>
          </w:tcPr>
          <w:p w14:paraId="7E8B7733"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Making false/vexatious counter-allegations; "playing" professionals against each other; claiming the victim is "mentally ill"; threatening to "out" LGBT victims; threatening to report migrant victims to immigration.</w:t>
            </w:r>
          </w:p>
        </w:tc>
      </w:tr>
      <w:tr w:rsidR="00842CF6" w:rsidRPr="00842CF6" w14:paraId="1A96E9E6"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C592652"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11. Statutory Defence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31FEB69"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Defendant must show: A) They believed they were acting in the victim's </w:t>
            </w:r>
            <w:r w:rsidRPr="00842CF6">
              <w:rPr>
                <w:rFonts w:ascii="Times New Roman" w:eastAsia="Times New Roman" w:hAnsi="Times New Roman" w:cs="Times New Roman"/>
                <w:b/>
                <w:bCs/>
                <w:kern w:val="0"/>
                <w14:ligatures w14:val="none"/>
              </w:rPr>
              <w:t>best interests</w:t>
            </w:r>
            <w:r w:rsidRPr="00842CF6">
              <w:rPr>
                <w:rFonts w:ascii="Times New Roman" w:eastAsia="Times New Roman" w:hAnsi="Times New Roman" w:cs="Times New Roman"/>
                <w:kern w:val="0"/>
                <w14:ligatures w14:val="none"/>
              </w:rPr>
              <w:t xml:space="preserve">, and B) The behaviour was </w:t>
            </w:r>
            <w:r w:rsidRPr="00842CF6">
              <w:rPr>
                <w:rFonts w:ascii="Times New Roman" w:eastAsia="Times New Roman" w:hAnsi="Times New Roman" w:cs="Times New Roman"/>
                <w:b/>
                <w:bCs/>
                <w:kern w:val="0"/>
                <w14:ligatures w14:val="none"/>
              </w:rPr>
              <w:t>reasonable</w:t>
            </w:r>
            <w:r w:rsidRPr="00842CF6">
              <w:rPr>
                <w:rFonts w:ascii="Times New Roman" w:eastAsia="Times New Roman" w:hAnsi="Times New Roman" w:cs="Times New Roman"/>
                <w:kern w:val="0"/>
                <w14:ligatures w14:val="none"/>
              </w:rPr>
              <w:t xml:space="preserve"> in the circumstances. </w:t>
            </w:r>
            <w:r w:rsidRPr="00842CF6">
              <w:rPr>
                <w:rFonts w:ascii="Times New Roman" w:eastAsia="Times New Roman" w:hAnsi="Times New Roman" w:cs="Times New Roman"/>
                <w:b/>
                <w:bCs/>
                <w:kern w:val="0"/>
                <w14:ligatures w14:val="none"/>
              </w:rPr>
              <w:t>Prohibited</w:t>
            </w:r>
            <w:r w:rsidRPr="00842CF6">
              <w:rPr>
                <w:rFonts w:ascii="Times New Roman" w:eastAsia="Times New Roman" w:hAnsi="Times New Roman" w:cs="Times New Roman"/>
                <w:kern w:val="0"/>
                <w14:ligatures w14:val="none"/>
              </w:rPr>
              <w:t xml:space="preserve"> if the behaviour caused the victim to </w:t>
            </w:r>
            <w:r w:rsidRPr="00842CF6">
              <w:rPr>
                <w:rFonts w:ascii="Times New Roman" w:eastAsia="Times New Roman" w:hAnsi="Times New Roman" w:cs="Times New Roman"/>
                <w:b/>
                <w:bCs/>
                <w:kern w:val="0"/>
                <w14:ligatures w14:val="none"/>
              </w:rPr>
              <w:t>fear violence</w:t>
            </w:r>
            <w:r w:rsidRPr="00842CF6">
              <w:rPr>
                <w:rFonts w:ascii="Times New Roman" w:eastAsia="Times New Roman" w:hAnsi="Times New Roman" w:cs="Times New Roman"/>
                <w:kern w:val="0"/>
                <w14:ligatures w14:val="none"/>
              </w:rPr>
              <w:t>.</w:t>
            </w:r>
          </w:p>
        </w:tc>
      </w:tr>
      <w:tr w:rsidR="00842CF6" w:rsidRPr="00842CF6" w14:paraId="1E1A8684"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2A97CC5C"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12. "Ought to Know"</w:t>
            </w:r>
          </w:p>
        </w:tc>
        <w:tc>
          <w:tcPr>
            <w:tcW w:w="0" w:type="auto"/>
            <w:tcBorders>
              <w:top w:val="outset" w:sz="6" w:space="0" w:color="auto"/>
              <w:left w:val="outset" w:sz="6" w:space="0" w:color="auto"/>
              <w:bottom w:val="outset" w:sz="6" w:space="0" w:color="auto"/>
              <w:right w:val="outset" w:sz="6" w:space="0" w:color="auto"/>
            </w:tcBorders>
            <w:vAlign w:val="center"/>
            <w:hideMark/>
          </w:tcPr>
          <w:p w14:paraId="1C87BAEB"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Defined as what a </w:t>
            </w:r>
            <w:r w:rsidRPr="00842CF6">
              <w:rPr>
                <w:rFonts w:ascii="Times New Roman" w:eastAsia="Times New Roman" w:hAnsi="Times New Roman" w:cs="Times New Roman"/>
                <w:b/>
                <w:bCs/>
                <w:kern w:val="0"/>
                <w14:ligatures w14:val="none"/>
              </w:rPr>
              <w:t>reasonable person</w:t>
            </w:r>
            <w:r w:rsidRPr="00842CF6">
              <w:rPr>
                <w:rFonts w:ascii="Times New Roman" w:eastAsia="Times New Roman" w:hAnsi="Times New Roman" w:cs="Times New Roman"/>
                <w:kern w:val="0"/>
                <w14:ligatures w14:val="none"/>
              </w:rPr>
              <w:t xml:space="preserve"> in possession of the same information would know.</w:t>
            </w:r>
          </w:p>
        </w:tc>
      </w:tr>
      <w:tr w:rsidR="00842CF6" w:rsidRPr="00842CF6" w14:paraId="5A8A9E25"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7AA731D1"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13. Economic Abuse</w:t>
            </w:r>
          </w:p>
        </w:tc>
        <w:tc>
          <w:tcPr>
            <w:tcW w:w="0" w:type="auto"/>
            <w:tcBorders>
              <w:top w:val="outset" w:sz="6" w:space="0" w:color="auto"/>
              <w:left w:val="outset" w:sz="6" w:space="0" w:color="auto"/>
              <w:bottom w:val="outset" w:sz="6" w:space="0" w:color="auto"/>
              <w:right w:val="outset" w:sz="6" w:space="0" w:color="auto"/>
            </w:tcBorders>
            <w:vAlign w:val="center"/>
            <w:hideMark/>
          </w:tcPr>
          <w:p w14:paraId="7B2F2425"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Behaviour that has a substantial adverse effect on the ability to </w:t>
            </w:r>
            <w:r w:rsidRPr="00842CF6">
              <w:rPr>
                <w:rFonts w:ascii="Times New Roman" w:eastAsia="Times New Roman" w:hAnsi="Times New Roman" w:cs="Times New Roman"/>
                <w:b/>
                <w:bCs/>
                <w:kern w:val="0"/>
                <w14:ligatures w14:val="none"/>
              </w:rPr>
              <w:t>acquire, use, or maintain money/property</w:t>
            </w:r>
            <w:r w:rsidRPr="00842CF6">
              <w:rPr>
                <w:rFonts w:ascii="Times New Roman" w:eastAsia="Times New Roman" w:hAnsi="Times New Roman" w:cs="Times New Roman"/>
                <w:kern w:val="0"/>
                <w14:ligatures w14:val="none"/>
              </w:rPr>
              <w:t xml:space="preserve"> or obtain goods/services. Post-separation: sabotaging mortgages, non-payment of child maintenance, or vexatious legal fees.</w:t>
            </w:r>
          </w:p>
        </w:tc>
      </w:tr>
      <w:tr w:rsidR="00842CF6" w:rsidRPr="00842CF6" w14:paraId="64EA67A8"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2E1D147"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14. Tech Abuse</w:t>
            </w:r>
          </w:p>
        </w:tc>
        <w:tc>
          <w:tcPr>
            <w:tcW w:w="0" w:type="auto"/>
            <w:tcBorders>
              <w:top w:val="outset" w:sz="6" w:space="0" w:color="auto"/>
              <w:left w:val="outset" w:sz="6" w:space="0" w:color="auto"/>
              <w:bottom w:val="outset" w:sz="6" w:space="0" w:color="auto"/>
              <w:right w:val="outset" w:sz="6" w:space="0" w:color="auto"/>
            </w:tcBorders>
            <w:vAlign w:val="center"/>
            <w:hideMark/>
          </w:tcPr>
          <w:p w14:paraId="7C26507B"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Monitoring through tracking apps; "doxing"; hacking accounts to send abusive messages pretending to be the victim; remotely controlling smart home features (heating/lights) to frighten the victim.</w:t>
            </w:r>
          </w:p>
        </w:tc>
      </w:tr>
      <w:tr w:rsidR="00842CF6" w:rsidRPr="00842CF6" w14:paraId="2AD95912"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0F97844E"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15. Children as Victims</w:t>
            </w:r>
          </w:p>
        </w:tc>
        <w:tc>
          <w:tcPr>
            <w:tcW w:w="0" w:type="auto"/>
            <w:tcBorders>
              <w:top w:val="outset" w:sz="6" w:space="0" w:color="auto"/>
              <w:left w:val="outset" w:sz="6" w:space="0" w:color="auto"/>
              <w:bottom w:val="outset" w:sz="6" w:space="0" w:color="auto"/>
              <w:right w:val="outset" w:sz="6" w:space="0" w:color="auto"/>
            </w:tcBorders>
            <w:vAlign w:val="center"/>
            <w:hideMark/>
          </w:tcPr>
          <w:p w14:paraId="42BB69DF"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Children under 18 who see, hear, or experience the effects of abuse and are related to the victim or perpetrator are now legally </w:t>
            </w:r>
            <w:r w:rsidRPr="00842CF6">
              <w:rPr>
                <w:rFonts w:ascii="Times New Roman" w:eastAsia="Times New Roman" w:hAnsi="Times New Roman" w:cs="Times New Roman"/>
                <w:b/>
                <w:bCs/>
                <w:kern w:val="0"/>
                <w14:ligatures w14:val="none"/>
              </w:rPr>
              <w:t xml:space="preserve">victims of domestic </w:t>
            </w:r>
            <w:proofErr w:type="gramStart"/>
            <w:r w:rsidRPr="00842CF6">
              <w:rPr>
                <w:rFonts w:ascii="Times New Roman" w:eastAsia="Times New Roman" w:hAnsi="Times New Roman" w:cs="Times New Roman"/>
                <w:b/>
                <w:bCs/>
                <w:kern w:val="0"/>
                <w14:ligatures w14:val="none"/>
              </w:rPr>
              <w:t>abuse in their own right</w:t>
            </w:r>
            <w:proofErr w:type="gramEnd"/>
            <w:r w:rsidRPr="00842CF6">
              <w:rPr>
                <w:rFonts w:ascii="Times New Roman" w:eastAsia="Times New Roman" w:hAnsi="Times New Roman" w:cs="Times New Roman"/>
                <w:kern w:val="0"/>
                <w14:ligatures w14:val="none"/>
              </w:rPr>
              <w:t>.</w:t>
            </w:r>
          </w:p>
        </w:tc>
      </w:tr>
    </w:tbl>
    <w:p w14:paraId="6F3ABED5"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 xml:space="preserve">-------------------------------------------------------------------------------- </w:t>
      </w:r>
    </w:p>
    <w:p w14:paraId="3BB7F388" w14:textId="77777777" w:rsidR="00842CF6" w:rsidRPr="00842CF6" w:rsidRDefault="00842CF6" w:rsidP="00842CF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42CF6">
        <w:rPr>
          <w:rFonts w:ascii="Times New Roman" w:eastAsia="Times New Roman" w:hAnsi="Times New Roman" w:cs="Times New Roman"/>
          <w:b/>
          <w:bCs/>
          <w:kern w:val="0"/>
          <w:sz w:val="36"/>
          <w:szCs w:val="36"/>
          <w14:ligatures w14:val="none"/>
        </w:rPr>
        <w:t>Part 3: Glossary of Key Terms and Acronyms</w:t>
      </w:r>
    </w:p>
    <w:p w14:paraId="1B066F84" w14:textId="77777777" w:rsidR="00842CF6" w:rsidRPr="00842CF6" w:rsidRDefault="00842CF6" w:rsidP="00842C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2CF6">
        <w:rPr>
          <w:rFonts w:ascii="Times New Roman" w:eastAsia="Times New Roman" w:hAnsi="Times New Roman" w:cs="Times New Roman"/>
          <w:b/>
          <w:bCs/>
          <w:kern w:val="0"/>
          <w:sz w:val="27"/>
          <w:szCs w:val="27"/>
          <w14:ligatures w14:val="none"/>
        </w:rPr>
        <w:t>Legal and Procedural Terms</w:t>
      </w:r>
    </w:p>
    <w:p w14:paraId="60F0DCE3" w14:textId="77777777" w:rsidR="00842CF6" w:rsidRPr="00842CF6" w:rsidRDefault="00842CF6" w:rsidP="00842CF6">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Coercive Control:</w:t>
      </w:r>
      <w:r w:rsidRPr="00842CF6">
        <w:rPr>
          <w:rFonts w:ascii="Times New Roman" w:eastAsia="Times New Roman" w:hAnsi="Times New Roman" w:cs="Times New Roman"/>
          <w:kern w:val="0"/>
          <w14:ligatures w14:val="none"/>
        </w:rPr>
        <w:t xml:space="preserve"> An intentional pattern of behaviour used by a perpetrator to exert power, domination, or coercion over another.</w:t>
      </w:r>
    </w:p>
    <w:p w14:paraId="1356EAAD" w14:textId="77777777" w:rsidR="00842CF6" w:rsidRPr="00842CF6" w:rsidRDefault="00842CF6" w:rsidP="00842CF6">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DARA (Domestic Abuse Risk Assessment):</w:t>
      </w:r>
      <w:r w:rsidRPr="00842CF6">
        <w:rPr>
          <w:rFonts w:ascii="Times New Roman" w:eastAsia="Times New Roman" w:hAnsi="Times New Roman" w:cs="Times New Roman"/>
          <w:kern w:val="0"/>
          <w14:ligatures w14:val="none"/>
        </w:rPr>
        <w:t xml:space="preserve"> A tool designed to assist frontline officers in identifying coercive or controlling behaviour during initial response.</w:t>
      </w:r>
    </w:p>
    <w:p w14:paraId="0875AC25" w14:textId="77777777" w:rsidR="00842CF6" w:rsidRPr="00842CF6" w:rsidRDefault="00842CF6" w:rsidP="00842CF6">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Evidence-Led Prosecution:</w:t>
      </w:r>
      <w:r w:rsidRPr="00842CF6">
        <w:rPr>
          <w:rFonts w:ascii="Times New Roman" w:eastAsia="Times New Roman" w:hAnsi="Times New Roman" w:cs="Times New Roman"/>
          <w:kern w:val="0"/>
          <w14:ligatures w14:val="none"/>
        </w:rPr>
        <w:t xml:space="preserve"> A prosecution that proceeds using available evidence (CCTV, BWV, medical records) even when the primary victim withdraws their statement.</w:t>
      </w:r>
    </w:p>
    <w:p w14:paraId="2559AAE2" w14:textId="77777777" w:rsidR="00842CF6" w:rsidRPr="00842CF6" w:rsidRDefault="00842CF6" w:rsidP="00842CF6">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Personally Connected:</w:t>
      </w:r>
      <w:r w:rsidRPr="00842CF6">
        <w:rPr>
          <w:rFonts w:ascii="Times New Roman" w:eastAsia="Times New Roman" w:hAnsi="Times New Roman" w:cs="Times New Roman"/>
          <w:kern w:val="0"/>
          <w14:ligatures w14:val="none"/>
        </w:rPr>
        <w:t xml:space="preserve"> A legal status between two people (married, civil partners, intimate relationship, relatives, or shared parental responsibility for a child) required to charge the offence.</w:t>
      </w:r>
    </w:p>
    <w:p w14:paraId="7BFD76B7" w14:textId="77777777" w:rsidR="00842CF6" w:rsidRPr="00842CF6" w:rsidRDefault="00842CF6" w:rsidP="00842CF6">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Post-Separation Abuse:</w:t>
      </w:r>
      <w:r w:rsidRPr="00842CF6">
        <w:rPr>
          <w:rFonts w:ascii="Times New Roman" w:eastAsia="Times New Roman" w:hAnsi="Times New Roman" w:cs="Times New Roman"/>
          <w:kern w:val="0"/>
          <w14:ligatures w14:val="none"/>
        </w:rPr>
        <w:t xml:space="preserve"> Abusive behaviours that start or continue after a relationship has ended; now prosecutable under Section 76 regardless of living arrangements.</w:t>
      </w:r>
    </w:p>
    <w:p w14:paraId="45C049C9" w14:textId="77777777" w:rsidR="00842CF6" w:rsidRPr="00842CF6" w:rsidRDefault="00842CF6" w:rsidP="00842CF6">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Res Gestae:</w:t>
      </w:r>
      <w:r w:rsidRPr="00842CF6">
        <w:rPr>
          <w:rFonts w:ascii="Times New Roman" w:eastAsia="Times New Roman" w:hAnsi="Times New Roman" w:cs="Times New Roman"/>
          <w:kern w:val="0"/>
          <w14:ligatures w14:val="none"/>
        </w:rPr>
        <w:t xml:space="preserve"> Statements made by a victim or witness during or shortly after an incident that are admissible as evidence because they are unlikely to be distorted.</w:t>
      </w:r>
    </w:p>
    <w:p w14:paraId="7CDB6EDF" w14:textId="77777777" w:rsidR="00842CF6" w:rsidRPr="00842CF6" w:rsidRDefault="00842CF6" w:rsidP="00842CF6">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Summary Only Offence:</w:t>
      </w:r>
      <w:r w:rsidRPr="00842CF6">
        <w:rPr>
          <w:rFonts w:ascii="Times New Roman" w:eastAsia="Times New Roman" w:hAnsi="Times New Roman" w:cs="Times New Roman"/>
          <w:kern w:val="0"/>
          <w14:ligatures w14:val="none"/>
        </w:rPr>
        <w:t xml:space="preserve"> Crimes like common assault that are generally heard in Magistrates' Court. (Note: Controlling/Coercive behaviour is an "either way" offence).</w:t>
      </w:r>
    </w:p>
    <w:p w14:paraId="09394C76" w14:textId="77777777" w:rsidR="00842CF6" w:rsidRPr="00842CF6" w:rsidRDefault="00842CF6" w:rsidP="00842C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2CF6">
        <w:rPr>
          <w:rFonts w:ascii="Times New Roman" w:eastAsia="Times New Roman" w:hAnsi="Times New Roman" w:cs="Times New Roman"/>
          <w:b/>
          <w:bCs/>
          <w:kern w:val="0"/>
          <w:sz w:val="27"/>
          <w:szCs w:val="27"/>
          <w14:ligatures w14:val="none"/>
        </w:rPr>
        <w:t>Acronyms</w:t>
      </w:r>
    </w:p>
    <w:tbl>
      <w:tblPr>
        <w:tblW w:w="5000" w:type="pct"/>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71"/>
        <w:gridCol w:w="7739"/>
      </w:tblGrid>
      <w:tr w:rsidR="00842CF6" w:rsidRPr="00842CF6" w14:paraId="578E2570"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7637109F"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Acronym</w:t>
            </w:r>
          </w:p>
        </w:tc>
        <w:tc>
          <w:tcPr>
            <w:tcW w:w="0" w:type="auto"/>
            <w:tcBorders>
              <w:top w:val="outset" w:sz="6" w:space="0" w:color="auto"/>
              <w:left w:val="outset" w:sz="6" w:space="0" w:color="auto"/>
              <w:bottom w:val="outset" w:sz="6" w:space="0" w:color="auto"/>
              <w:right w:val="outset" w:sz="6" w:space="0" w:color="auto"/>
            </w:tcBorders>
            <w:vAlign w:val="center"/>
            <w:hideMark/>
          </w:tcPr>
          <w:p w14:paraId="3985A816"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Definition</w:t>
            </w:r>
          </w:p>
        </w:tc>
      </w:tr>
      <w:tr w:rsidR="00842CF6" w:rsidRPr="00842CF6" w14:paraId="70EE720D"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033F248A"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lastRenderedPageBreak/>
              <w:t>APP</w:t>
            </w:r>
          </w:p>
        </w:tc>
        <w:tc>
          <w:tcPr>
            <w:tcW w:w="0" w:type="auto"/>
            <w:tcBorders>
              <w:top w:val="outset" w:sz="6" w:space="0" w:color="auto"/>
              <w:left w:val="outset" w:sz="6" w:space="0" w:color="auto"/>
              <w:bottom w:val="outset" w:sz="6" w:space="0" w:color="auto"/>
              <w:right w:val="outset" w:sz="6" w:space="0" w:color="auto"/>
            </w:tcBorders>
            <w:vAlign w:val="center"/>
            <w:hideMark/>
          </w:tcPr>
          <w:p w14:paraId="2869765C"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Authorised Professional Practice</w:t>
            </w:r>
          </w:p>
        </w:tc>
      </w:tr>
      <w:tr w:rsidR="00842CF6" w:rsidRPr="00842CF6" w14:paraId="2EFE3CEC"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069A4A46"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BWV</w:t>
            </w:r>
          </w:p>
        </w:tc>
        <w:tc>
          <w:tcPr>
            <w:tcW w:w="0" w:type="auto"/>
            <w:tcBorders>
              <w:top w:val="outset" w:sz="6" w:space="0" w:color="auto"/>
              <w:left w:val="outset" w:sz="6" w:space="0" w:color="auto"/>
              <w:bottom w:val="outset" w:sz="6" w:space="0" w:color="auto"/>
              <w:right w:val="outset" w:sz="6" w:space="0" w:color="auto"/>
            </w:tcBorders>
            <w:vAlign w:val="center"/>
            <w:hideMark/>
          </w:tcPr>
          <w:p w14:paraId="6820021F"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Body Worn Video</w:t>
            </w:r>
          </w:p>
        </w:tc>
      </w:tr>
      <w:tr w:rsidR="00842CF6" w:rsidRPr="00842CF6" w14:paraId="4E62A373"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6A740585"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CPS</w:t>
            </w:r>
          </w:p>
        </w:tc>
        <w:tc>
          <w:tcPr>
            <w:tcW w:w="0" w:type="auto"/>
            <w:tcBorders>
              <w:top w:val="outset" w:sz="6" w:space="0" w:color="auto"/>
              <w:left w:val="outset" w:sz="6" w:space="0" w:color="auto"/>
              <w:bottom w:val="outset" w:sz="6" w:space="0" w:color="auto"/>
              <w:right w:val="outset" w:sz="6" w:space="0" w:color="auto"/>
            </w:tcBorders>
            <w:vAlign w:val="center"/>
            <w:hideMark/>
          </w:tcPr>
          <w:p w14:paraId="0004ACB7"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Crown Prosecution Service</w:t>
            </w:r>
          </w:p>
        </w:tc>
      </w:tr>
      <w:tr w:rsidR="00842CF6" w:rsidRPr="00842CF6" w14:paraId="3AC3CBBD"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39254ABF"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DAPO</w:t>
            </w:r>
          </w:p>
        </w:tc>
        <w:tc>
          <w:tcPr>
            <w:tcW w:w="0" w:type="auto"/>
            <w:tcBorders>
              <w:top w:val="outset" w:sz="6" w:space="0" w:color="auto"/>
              <w:left w:val="outset" w:sz="6" w:space="0" w:color="auto"/>
              <w:bottom w:val="outset" w:sz="6" w:space="0" w:color="auto"/>
              <w:right w:val="outset" w:sz="6" w:space="0" w:color="auto"/>
            </w:tcBorders>
            <w:vAlign w:val="center"/>
            <w:hideMark/>
          </w:tcPr>
          <w:p w14:paraId="66B14C2A"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Domestic Abuse Protection Order (New civil order providing flexible protection)</w:t>
            </w:r>
          </w:p>
        </w:tc>
      </w:tr>
      <w:tr w:rsidR="00842CF6" w:rsidRPr="00842CF6" w14:paraId="12CB05E2"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046BDB65"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DAPN</w:t>
            </w:r>
          </w:p>
        </w:tc>
        <w:tc>
          <w:tcPr>
            <w:tcW w:w="0" w:type="auto"/>
            <w:tcBorders>
              <w:top w:val="outset" w:sz="6" w:space="0" w:color="auto"/>
              <w:left w:val="outset" w:sz="6" w:space="0" w:color="auto"/>
              <w:bottom w:val="outset" w:sz="6" w:space="0" w:color="auto"/>
              <w:right w:val="outset" w:sz="6" w:space="0" w:color="auto"/>
            </w:tcBorders>
            <w:vAlign w:val="center"/>
            <w:hideMark/>
          </w:tcPr>
          <w:p w14:paraId="38CC5AFA"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Domestic Abuse Protection Notice (Immediate protection following an incident)</w:t>
            </w:r>
          </w:p>
        </w:tc>
      </w:tr>
      <w:tr w:rsidR="00842CF6" w:rsidRPr="00842CF6" w14:paraId="7954C99E"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1AD7982"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DVDS</w:t>
            </w:r>
          </w:p>
        </w:tc>
        <w:tc>
          <w:tcPr>
            <w:tcW w:w="0" w:type="auto"/>
            <w:tcBorders>
              <w:top w:val="outset" w:sz="6" w:space="0" w:color="auto"/>
              <w:left w:val="outset" w:sz="6" w:space="0" w:color="auto"/>
              <w:bottom w:val="outset" w:sz="6" w:space="0" w:color="auto"/>
              <w:right w:val="outset" w:sz="6" w:space="0" w:color="auto"/>
            </w:tcBorders>
            <w:vAlign w:val="center"/>
            <w:hideMark/>
          </w:tcPr>
          <w:p w14:paraId="471B31DD"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Domestic Violence Disclosure Scheme (also known as "Clare’s Law")</w:t>
            </w:r>
          </w:p>
        </w:tc>
      </w:tr>
      <w:tr w:rsidR="00842CF6" w:rsidRPr="00842CF6" w14:paraId="2E1EA122"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44C7A68A"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HBA</w:t>
            </w:r>
          </w:p>
        </w:tc>
        <w:tc>
          <w:tcPr>
            <w:tcW w:w="0" w:type="auto"/>
            <w:tcBorders>
              <w:top w:val="outset" w:sz="6" w:space="0" w:color="auto"/>
              <w:left w:val="outset" w:sz="6" w:space="0" w:color="auto"/>
              <w:bottom w:val="outset" w:sz="6" w:space="0" w:color="auto"/>
              <w:right w:val="outset" w:sz="6" w:space="0" w:color="auto"/>
            </w:tcBorders>
            <w:vAlign w:val="center"/>
            <w:hideMark/>
          </w:tcPr>
          <w:p w14:paraId="3A4CC497"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'Honour'-Based Abuse</w:t>
            </w:r>
          </w:p>
        </w:tc>
      </w:tr>
      <w:tr w:rsidR="00842CF6" w:rsidRPr="00842CF6" w14:paraId="35030061"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68186BBE"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IDVA</w:t>
            </w:r>
          </w:p>
        </w:tc>
        <w:tc>
          <w:tcPr>
            <w:tcW w:w="0" w:type="auto"/>
            <w:tcBorders>
              <w:top w:val="outset" w:sz="6" w:space="0" w:color="auto"/>
              <w:left w:val="outset" w:sz="6" w:space="0" w:color="auto"/>
              <w:bottom w:val="outset" w:sz="6" w:space="0" w:color="auto"/>
              <w:right w:val="outset" w:sz="6" w:space="0" w:color="auto"/>
            </w:tcBorders>
            <w:vAlign w:val="center"/>
            <w:hideMark/>
          </w:tcPr>
          <w:p w14:paraId="0BEA426D"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Independent Domestic Violence Advisor</w:t>
            </w:r>
          </w:p>
        </w:tc>
      </w:tr>
      <w:tr w:rsidR="00842CF6" w:rsidRPr="00842CF6" w14:paraId="2F90DBAC"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4F32463B"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MARAC</w:t>
            </w:r>
          </w:p>
        </w:tc>
        <w:tc>
          <w:tcPr>
            <w:tcW w:w="0" w:type="auto"/>
            <w:tcBorders>
              <w:top w:val="outset" w:sz="6" w:space="0" w:color="auto"/>
              <w:left w:val="outset" w:sz="6" w:space="0" w:color="auto"/>
              <w:bottom w:val="outset" w:sz="6" w:space="0" w:color="auto"/>
              <w:right w:val="outset" w:sz="6" w:space="0" w:color="auto"/>
            </w:tcBorders>
            <w:vAlign w:val="center"/>
            <w:hideMark/>
          </w:tcPr>
          <w:p w14:paraId="56BD19BA"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Multi-Agency Risk Assessment Conference</w:t>
            </w:r>
          </w:p>
        </w:tc>
      </w:tr>
      <w:tr w:rsidR="00842CF6" w:rsidRPr="00842CF6" w14:paraId="3991BF8B"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63482CED"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NRPF</w:t>
            </w:r>
          </w:p>
        </w:tc>
        <w:tc>
          <w:tcPr>
            <w:tcW w:w="0" w:type="auto"/>
            <w:tcBorders>
              <w:top w:val="outset" w:sz="6" w:space="0" w:color="auto"/>
              <w:left w:val="outset" w:sz="6" w:space="0" w:color="auto"/>
              <w:bottom w:val="outset" w:sz="6" w:space="0" w:color="auto"/>
              <w:right w:val="outset" w:sz="6" w:space="0" w:color="auto"/>
            </w:tcBorders>
            <w:vAlign w:val="center"/>
            <w:hideMark/>
          </w:tcPr>
          <w:p w14:paraId="62F058F6"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No Recourse to Public Funds (Relevant for migrant victims)</w:t>
            </w:r>
          </w:p>
        </w:tc>
      </w:tr>
      <w:tr w:rsidR="00842CF6" w:rsidRPr="00842CF6" w14:paraId="7A925BD6"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276DF9BC"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VAWDASV</w:t>
            </w:r>
          </w:p>
        </w:tc>
        <w:tc>
          <w:tcPr>
            <w:tcW w:w="0" w:type="auto"/>
            <w:tcBorders>
              <w:top w:val="outset" w:sz="6" w:space="0" w:color="auto"/>
              <w:left w:val="outset" w:sz="6" w:space="0" w:color="auto"/>
              <w:bottom w:val="outset" w:sz="6" w:space="0" w:color="auto"/>
              <w:right w:val="outset" w:sz="6" w:space="0" w:color="auto"/>
            </w:tcBorders>
            <w:vAlign w:val="center"/>
            <w:hideMark/>
          </w:tcPr>
          <w:p w14:paraId="41126AA7"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Violence Against Women, Domestic Abuse and Sexual Violence (Wales Act 2015)</w:t>
            </w:r>
          </w:p>
        </w:tc>
      </w:tr>
      <w:tr w:rsidR="00842CF6" w:rsidRPr="00842CF6" w14:paraId="3B9FB5F7"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5BDA1268"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b/>
                <w:bCs/>
                <w:kern w:val="0"/>
                <w14:ligatures w14:val="none"/>
              </w:rPr>
              <w:t>VPS</w:t>
            </w:r>
          </w:p>
        </w:tc>
        <w:tc>
          <w:tcPr>
            <w:tcW w:w="0" w:type="auto"/>
            <w:tcBorders>
              <w:top w:val="outset" w:sz="6" w:space="0" w:color="auto"/>
              <w:left w:val="outset" w:sz="6" w:space="0" w:color="auto"/>
              <w:bottom w:val="outset" w:sz="6" w:space="0" w:color="auto"/>
              <w:right w:val="outset" w:sz="6" w:space="0" w:color="auto"/>
            </w:tcBorders>
            <w:vAlign w:val="center"/>
            <w:hideMark/>
          </w:tcPr>
          <w:p w14:paraId="58010EC0" w14:textId="77777777" w:rsidR="00842CF6" w:rsidRPr="00842CF6" w:rsidRDefault="00842CF6" w:rsidP="00842CF6">
            <w:pPr>
              <w:spacing w:before="100" w:beforeAutospacing="1" w:after="100" w:afterAutospacing="1" w:line="240" w:lineRule="auto"/>
              <w:rPr>
                <w:rFonts w:ascii="Times New Roman" w:eastAsia="Times New Roman" w:hAnsi="Times New Roman" w:cs="Times New Roman"/>
                <w:kern w:val="0"/>
                <w14:ligatures w14:val="none"/>
              </w:rPr>
            </w:pPr>
            <w:r w:rsidRPr="00842CF6">
              <w:rPr>
                <w:rFonts w:ascii="Times New Roman" w:eastAsia="Times New Roman" w:hAnsi="Times New Roman" w:cs="Times New Roman"/>
                <w:kern w:val="0"/>
                <w14:ligatures w14:val="none"/>
              </w:rPr>
              <w:t>Victim Personal Statement</w:t>
            </w:r>
          </w:p>
        </w:tc>
      </w:tr>
    </w:tbl>
    <w:p w14:paraId="5BD334EE" w14:textId="77777777" w:rsidR="00376A52" w:rsidRDefault="00376A52"/>
    <w:sectPr w:rsidR="00376A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F16EC"/>
    <w:multiLevelType w:val="multilevel"/>
    <w:tmpl w:val="2BA6D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FD57D4"/>
    <w:multiLevelType w:val="multilevel"/>
    <w:tmpl w:val="48868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F24E42"/>
    <w:multiLevelType w:val="multilevel"/>
    <w:tmpl w:val="D97C0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1579AA"/>
    <w:multiLevelType w:val="multilevel"/>
    <w:tmpl w:val="8244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4503E9"/>
    <w:multiLevelType w:val="multilevel"/>
    <w:tmpl w:val="68306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AD223C"/>
    <w:multiLevelType w:val="multilevel"/>
    <w:tmpl w:val="21EEF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2467387">
    <w:abstractNumId w:val="1"/>
  </w:num>
  <w:num w:numId="2" w16cid:durableId="320699410">
    <w:abstractNumId w:val="4"/>
  </w:num>
  <w:num w:numId="3" w16cid:durableId="998113329">
    <w:abstractNumId w:val="0"/>
  </w:num>
  <w:num w:numId="4" w16cid:durableId="1815443401">
    <w:abstractNumId w:val="5"/>
  </w:num>
  <w:num w:numId="5" w16cid:durableId="951744503">
    <w:abstractNumId w:val="2"/>
  </w:num>
  <w:num w:numId="6" w16cid:durableId="1183592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CF6"/>
    <w:rsid w:val="00261A77"/>
    <w:rsid w:val="00376A52"/>
    <w:rsid w:val="00842CF6"/>
    <w:rsid w:val="00936E2F"/>
    <w:rsid w:val="00A442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EC975"/>
  <w15:chartTrackingRefBased/>
  <w15:docId w15:val="{80285922-D604-4820-B795-857D64AE5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2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2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2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C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C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C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C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2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2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2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CF6"/>
    <w:rPr>
      <w:rFonts w:eastAsiaTheme="majorEastAsia" w:cstheme="majorBidi"/>
      <w:color w:val="272727" w:themeColor="text1" w:themeTint="D8"/>
    </w:rPr>
  </w:style>
  <w:style w:type="paragraph" w:styleId="Title">
    <w:name w:val="Title"/>
    <w:basedOn w:val="Normal"/>
    <w:next w:val="Normal"/>
    <w:link w:val="TitleChar"/>
    <w:uiPriority w:val="10"/>
    <w:qFormat/>
    <w:rsid w:val="00842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CF6"/>
    <w:pPr>
      <w:spacing w:before="160"/>
      <w:jc w:val="center"/>
    </w:pPr>
    <w:rPr>
      <w:i/>
      <w:iCs/>
      <w:color w:val="404040" w:themeColor="text1" w:themeTint="BF"/>
    </w:rPr>
  </w:style>
  <w:style w:type="character" w:customStyle="1" w:styleId="QuoteChar">
    <w:name w:val="Quote Char"/>
    <w:basedOn w:val="DefaultParagraphFont"/>
    <w:link w:val="Quote"/>
    <w:uiPriority w:val="29"/>
    <w:rsid w:val="00842CF6"/>
    <w:rPr>
      <w:i/>
      <w:iCs/>
      <w:color w:val="404040" w:themeColor="text1" w:themeTint="BF"/>
    </w:rPr>
  </w:style>
  <w:style w:type="paragraph" w:styleId="ListParagraph">
    <w:name w:val="List Paragraph"/>
    <w:basedOn w:val="Normal"/>
    <w:uiPriority w:val="34"/>
    <w:qFormat/>
    <w:rsid w:val="00842CF6"/>
    <w:pPr>
      <w:ind w:left="720"/>
      <w:contextualSpacing/>
    </w:pPr>
  </w:style>
  <w:style w:type="character" w:styleId="IntenseEmphasis">
    <w:name w:val="Intense Emphasis"/>
    <w:basedOn w:val="DefaultParagraphFont"/>
    <w:uiPriority w:val="21"/>
    <w:qFormat/>
    <w:rsid w:val="00842CF6"/>
    <w:rPr>
      <w:i/>
      <w:iCs/>
      <w:color w:val="0F4761" w:themeColor="accent1" w:themeShade="BF"/>
    </w:rPr>
  </w:style>
  <w:style w:type="paragraph" w:styleId="IntenseQuote">
    <w:name w:val="Intense Quote"/>
    <w:basedOn w:val="Normal"/>
    <w:next w:val="Normal"/>
    <w:link w:val="IntenseQuoteChar"/>
    <w:uiPriority w:val="30"/>
    <w:qFormat/>
    <w:rsid w:val="00842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CF6"/>
    <w:rPr>
      <w:i/>
      <w:iCs/>
      <w:color w:val="0F4761" w:themeColor="accent1" w:themeShade="BF"/>
    </w:rPr>
  </w:style>
  <w:style w:type="character" w:styleId="IntenseReference">
    <w:name w:val="Intense Reference"/>
    <w:basedOn w:val="DefaultParagraphFont"/>
    <w:uiPriority w:val="32"/>
    <w:qFormat/>
    <w:rsid w:val="00842C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1175</Words>
  <Characters>7035</Characters>
  <Application>Microsoft Office Word</Application>
  <DocSecurity>0</DocSecurity>
  <Lines>172</Lines>
  <Paragraphs>96</Paragraphs>
  <ScaleCrop>false</ScaleCrop>
  <Company>University of Wales Trinity Saint David</Company>
  <LinksUpToDate>false</LinksUpToDate>
  <CharactersWithSpaces>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Evans</dc:creator>
  <cp:keywords/>
  <dc:description/>
  <cp:lastModifiedBy>Justin Evans</cp:lastModifiedBy>
  <cp:revision>2</cp:revision>
  <dcterms:created xsi:type="dcterms:W3CDTF">2026-02-11T09:27:00Z</dcterms:created>
  <dcterms:modified xsi:type="dcterms:W3CDTF">2026-02-11T09:28:00Z</dcterms:modified>
</cp:coreProperties>
</file>