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A98F9" w14:textId="5D7F3A7E" w:rsidR="00613B0C" w:rsidRDefault="00613B0C" w:rsidP="00613B0C">
      <w:pPr>
        <w:pStyle w:val="NormalWeb"/>
        <w:jc w:val="center"/>
      </w:pPr>
      <w:r>
        <w:rPr>
          <w:rFonts w:ascii="LiberationSans" w:hAnsi="LiberationSans"/>
          <w:b/>
          <w:bCs/>
          <w:sz w:val="40"/>
          <w:szCs w:val="40"/>
        </w:rPr>
        <w:t>Module Number and title: BMIH5005</w:t>
      </w:r>
    </w:p>
    <w:p w14:paraId="272B6E49" w14:textId="74F3CCDC" w:rsidR="00613B0C" w:rsidRDefault="00613B0C" w:rsidP="00613B0C">
      <w:pPr>
        <w:pStyle w:val="NormalWeb"/>
        <w:jc w:val="center"/>
      </w:pPr>
      <w:r>
        <w:rPr>
          <w:rFonts w:ascii="LiberationSans" w:hAnsi="LiberationSans"/>
          <w:b/>
          <w:bCs/>
          <w:sz w:val="40"/>
          <w:szCs w:val="40"/>
        </w:rPr>
        <w:t>Personnel Resourcing and Development (Assessment 1: Essay Case Study Evaluation)</w:t>
      </w:r>
    </w:p>
    <w:p w14:paraId="4832BA97" w14:textId="48071300" w:rsidR="00613B0C" w:rsidRDefault="00613B0C" w:rsidP="00613B0C">
      <w:pPr>
        <w:pStyle w:val="NormalWeb"/>
        <w:jc w:val="center"/>
      </w:pPr>
      <w:r>
        <w:rPr>
          <w:rFonts w:ascii="LiberationSans" w:hAnsi="LiberationSans"/>
          <w:sz w:val="32"/>
          <w:szCs w:val="32"/>
        </w:rPr>
        <w:t>Title: How to engage employees throughout the employee lifecycle</w:t>
      </w:r>
    </w:p>
    <w:p w14:paraId="7D668CFF" w14:textId="5B4689FF" w:rsidR="00613B0C" w:rsidRDefault="00613B0C" w:rsidP="00613B0C">
      <w:pPr>
        <w:jc w:val="center"/>
      </w:pPr>
      <w:r>
        <w:t xml:space="preserve">Traian </w:t>
      </w:r>
      <w:proofErr w:type="spellStart"/>
      <w:r>
        <w:t>Roibulescu</w:t>
      </w:r>
      <w:proofErr w:type="spellEnd"/>
    </w:p>
    <w:p w14:paraId="77C7FE49" w14:textId="2D438C3D" w:rsidR="00613B0C" w:rsidRDefault="00613B0C" w:rsidP="00613B0C">
      <w:pPr>
        <w:jc w:val="center"/>
      </w:pPr>
      <w:hyperlink r:id="rId5" w:history="1">
        <w:r>
          <w:rPr>
            <w:rStyle w:val="Hyperlink"/>
            <w:rFonts w:ascii="Segoe UI" w:hAnsi="Segoe UI" w:cs="Segoe UI"/>
            <w:color w:val="100E25"/>
            <w:sz w:val="23"/>
            <w:szCs w:val="23"/>
          </w:rPr>
          <w:t>2215953</w:t>
        </w:r>
      </w:hyperlink>
    </w:p>
    <w:p w14:paraId="280557AC" w14:textId="77777777" w:rsidR="00613B0C" w:rsidRDefault="00613B0C" w:rsidP="00613B0C">
      <w:pPr>
        <w:jc w:val="center"/>
      </w:pPr>
    </w:p>
    <w:p w14:paraId="78A16417" w14:textId="77777777" w:rsidR="00613B0C" w:rsidRDefault="00613B0C"/>
    <w:p w14:paraId="5A8D6DF4" w14:textId="77777777" w:rsidR="00613B0C" w:rsidRDefault="00613B0C"/>
    <w:p w14:paraId="29889DE1" w14:textId="77777777" w:rsidR="00613B0C" w:rsidRDefault="00613B0C"/>
    <w:p w14:paraId="7EC2FCD1" w14:textId="77777777" w:rsidR="00613B0C" w:rsidRDefault="00613B0C"/>
    <w:p w14:paraId="0A454EBA" w14:textId="77777777" w:rsidR="00613B0C" w:rsidRDefault="00613B0C"/>
    <w:p w14:paraId="6B002A24" w14:textId="77777777" w:rsidR="00613B0C" w:rsidRDefault="00613B0C"/>
    <w:p w14:paraId="234EEDAF" w14:textId="77777777" w:rsidR="00613B0C" w:rsidRDefault="00613B0C"/>
    <w:p w14:paraId="143D33A6" w14:textId="77777777" w:rsidR="00613B0C" w:rsidRDefault="00613B0C"/>
    <w:p w14:paraId="2D7C43A1" w14:textId="77777777" w:rsidR="00613B0C" w:rsidRDefault="00613B0C"/>
    <w:p w14:paraId="62A0D83C" w14:textId="77777777" w:rsidR="00613B0C" w:rsidRDefault="00613B0C"/>
    <w:p w14:paraId="08528B4B" w14:textId="77777777" w:rsidR="00613B0C" w:rsidRDefault="00613B0C"/>
    <w:p w14:paraId="31D71C20" w14:textId="77777777" w:rsidR="00613B0C" w:rsidRDefault="00613B0C"/>
    <w:p w14:paraId="644EB722" w14:textId="77777777" w:rsidR="00613B0C" w:rsidRDefault="00613B0C"/>
    <w:p w14:paraId="064D75DC" w14:textId="77777777" w:rsidR="00613B0C" w:rsidRDefault="00613B0C"/>
    <w:p w14:paraId="2EDCBB83" w14:textId="77777777" w:rsidR="00613B0C" w:rsidRDefault="00613B0C"/>
    <w:p w14:paraId="0E533218" w14:textId="77777777" w:rsidR="00613B0C" w:rsidRDefault="00613B0C"/>
    <w:p w14:paraId="54AF4BE5" w14:textId="77777777" w:rsidR="00613B0C" w:rsidRDefault="00613B0C"/>
    <w:p w14:paraId="5ABE4D9E" w14:textId="77777777" w:rsidR="00613B0C" w:rsidRDefault="00613B0C"/>
    <w:p w14:paraId="162104E5" w14:textId="77777777" w:rsidR="00613B0C" w:rsidRDefault="00613B0C"/>
    <w:p w14:paraId="31376F5B" w14:textId="77777777" w:rsidR="00613B0C" w:rsidRDefault="00613B0C"/>
    <w:p w14:paraId="426DB639" w14:textId="77777777" w:rsidR="00613B0C" w:rsidRDefault="00613B0C"/>
    <w:p w14:paraId="0DD70257" w14:textId="77777777" w:rsidR="00613B0C" w:rsidRDefault="00613B0C"/>
    <w:p w14:paraId="5E3DCCBD" w14:textId="77777777" w:rsidR="00613B0C" w:rsidRDefault="00613B0C"/>
    <w:p w14:paraId="69DD6FBA" w14:textId="77777777" w:rsidR="00613B0C" w:rsidRDefault="00613B0C"/>
    <w:p w14:paraId="731DDC6C" w14:textId="77777777" w:rsidR="00613B0C" w:rsidRDefault="00613B0C"/>
    <w:p w14:paraId="577358C4" w14:textId="77777777" w:rsidR="00613B0C" w:rsidRDefault="00613B0C"/>
    <w:p w14:paraId="3A2F0477" w14:textId="77777777" w:rsidR="00613B0C" w:rsidRDefault="00613B0C"/>
    <w:p w14:paraId="6571AB2C" w14:textId="77777777" w:rsidR="00613B0C" w:rsidRDefault="00613B0C"/>
    <w:p w14:paraId="7E57D417" w14:textId="77777777" w:rsidR="00613B0C" w:rsidRDefault="00613B0C"/>
    <w:p w14:paraId="18F10D25" w14:textId="77777777" w:rsidR="00613B0C" w:rsidRDefault="00613B0C"/>
    <w:p w14:paraId="674AC83C" w14:textId="77777777" w:rsidR="00613B0C" w:rsidRDefault="00613B0C"/>
    <w:p w14:paraId="3C81E6A8" w14:textId="77777777" w:rsidR="00613B0C" w:rsidRDefault="00613B0C"/>
    <w:p w14:paraId="1E778EA7" w14:textId="77777777" w:rsidR="00613B0C" w:rsidRDefault="00613B0C"/>
    <w:p w14:paraId="367B860F" w14:textId="77777777" w:rsidR="00613B0C" w:rsidRDefault="00613B0C"/>
    <w:p w14:paraId="1D995190" w14:textId="77777777" w:rsidR="00613B0C" w:rsidRDefault="00613B0C"/>
    <w:sdt>
      <w:sdtPr>
        <w:id w:val="209473937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7462AC5" w14:textId="349DB245" w:rsidR="00613B0C" w:rsidRDefault="00613B0C">
          <w:pPr>
            <w:pStyle w:val="TOCHeading"/>
          </w:pPr>
          <w:r>
            <w:t>Table of Contents</w:t>
          </w:r>
        </w:p>
        <w:p w14:paraId="101FB553" w14:textId="6A64D717" w:rsidR="00613B0C" w:rsidRDefault="00613B0C">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48724911" w:history="1">
            <w:r w:rsidRPr="00690634">
              <w:rPr>
                <w:rStyle w:val="Hyperlink"/>
                <w:noProof/>
              </w:rPr>
              <w:t>Introduction</w:t>
            </w:r>
            <w:r>
              <w:rPr>
                <w:noProof/>
                <w:webHidden/>
              </w:rPr>
              <w:tab/>
            </w:r>
            <w:r>
              <w:rPr>
                <w:noProof/>
                <w:webHidden/>
              </w:rPr>
              <w:fldChar w:fldCharType="begin"/>
            </w:r>
            <w:r>
              <w:rPr>
                <w:noProof/>
                <w:webHidden/>
              </w:rPr>
              <w:instrText xml:space="preserve"> PAGEREF _Toc148724911 \h </w:instrText>
            </w:r>
            <w:r>
              <w:rPr>
                <w:noProof/>
                <w:webHidden/>
              </w:rPr>
            </w:r>
            <w:r>
              <w:rPr>
                <w:noProof/>
                <w:webHidden/>
              </w:rPr>
              <w:fldChar w:fldCharType="separate"/>
            </w:r>
            <w:r>
              <w:rPr>
                <w:noProof/>
                <w:webHidden/>
              </w:rPr>
              <w:t>3</w:t>
            </w:r>
            <w:r>
              <w:rPr>
                <w:noProof/>
                <w:webHidden/>
              </w:rPr>
              <w:fldChar w:fldCharType="end"/>
            </w:r>
          </w:hyperlink>
        </w:p>
        <w:p w14:paraId="2B7BF783" w14:textId="466442DD" w:rsidR="00613B0C" w:rsidRDefault="00613B0C">
          <w:pPr>
            <w:pStyle w:val="TOC2"/>
            <w:tabs>
              <w:tab w:val="right" w:leader="dot" w:pos="9016"/>
            </w:tabs>
            <w:rPr>
              <w:noProof/>
            </w:rPr>
          </w:pPr>
          <w:hyperlink w:anchor="_Toc148724912" w:history="1">
            <w:r w:rsidRPr="00690634">
              <w:rPr>
                <w:rStyle w:val="Hyperlink"/>
                <w:noProof/>
              </w:rPr>
              <w:t>The Role of Human Resources in Engaging Employees</w:t>
            </w:r>
            <w:r>
              <w:rPr>
                <w:noProof/>
                <w:webHidden/>
              </w:rPr>
              <w:tab/>
            </w:r>
            <w:r>
              <w:rPr>
                <w:noProof/>
                <w:webHidden/>
              </w:rPr>
              <w:fldChar w:fldCharType="begin"/>
            </w:r>
            <w:r>
              <w:rPr>
                <w:noProof/>
                <w:webHidden/>
              </w:rPr>
              <w:instrText xml:space="preserve"> PAGEREF _Toc148724912 \h </w:instrText>
            </w:r>
            <w:r>
              <w:rPr>
                <w:noProof/>
                <w:webHidden/>
              </w:rPr>
            </w:r>
            <w:r>
              <w:rPr>
                <w:noProof/>
                <w:webHidden/>
              </w:rPr>
              <w:fldChar w:fldCharType="separate"/>
            </w:r>
            <w:r>
              <w:rPr>
                <w:noProof/>
                <w:webHidden/>
              </w:rPr>
              <w:t>3</w:t>
            </w:r>
            <w:r>
              <w:rPr>
                <w:noProof/>
                <w:webHidden/>
              </w:rPr>
              <w:fldChar w:fldCharType="end"/>
            </w:r>
          </w:hyperlink>
        </w:p>
        <w:p w14:paraId="4DD32592" w14:textId="60BBAF8C" w:rsidR="00613B0C" w:rsidRDefault="00613B0C">
          <w:pPr>
            <w:pStyle w:val="TOC2"/>
            <w:tabs>
              <w:tab w:val="right" w:leader="dot" w:pos="9016"/>
            </w:tabs>
            <w:rPr>
              <w:noProof/>
            </w:rPr>
          </w:pPr>
          <w:hyperlink w:anchor="_Toc148724913" w:history="1">
            <w:r w:rsidRPr="00690634">
              <w:rPr>
                <w:rStyle w:val="Hyperlink"/>
                <w:noProof/>
              </w:rPr>
              <w:t>The concept of the Employee Lifecycle</w:t>
            </w:r>
            <w:r>
              <w:rPr>
                <w:noProof/>
                <w:webHidden/>
              </w:rPr>
              <w:tab/>
            </w:r>
            <w:r>
              <w:rPr>
                <w:noProof/>
                <w:webHidden/>
              </w:rPr>
              <w:fldChar w:fldCharType="begin"/>
            </w:r>
            <w:r>
              <w:rPr>
                <w:noProof/>
                <w:webHidden/>
              </w:rPr>
              <w:instrText xml:space="preserve"> PAGEREF _Toc148724913 \h </w:instrText>
            </w:r>
            <w:r>
              <w:rPr>
                <w:noProof/>
                <w:webHidden/>
              </w:rPr>
            </w:r>
            <w:r>
              <w:rPr>
                <w:noProof/>
                <w:webHidden/>
              </w:rPr>
              <w:fldChar w:fldCharType="separate"/>
            </w:r>
            <w:r>
              <w:rPr>
                <w:noProof/>
                <w:webHidden/>
              </w:rPr>
              <w:t>4</w:t>
            </w:r>
            <w:r>
              <w:rPr>
                <w:noProof/>
                <w:webHidden/>
              </w:rPr>
              <w:fldChar w:fldCharType="end"/>
            </w:r>
          </w:hyperlink>
        </w:p>
        <w:p w14:paraId="385528BB" w14:textId="5DDE081C" w:rsidR="00613B0C" w:rsidRDefault="00613B0C">
          <w:pPr>
            <w:pStyle w:val="TOC2"/>
            <w:tabs>
              <w:tab w:val="right" w:leader="dot" w:pos="9016"/>
            </w:tabs>
            <w:rPr>
              <w:noProof/>
            </w:rPr>
          </w:pPr>
          <w:hyperlink w:anchor="_Toc148724914" w:history="1">
            <w:r w:rsidRPr="00690634">
              <w:rPr>
                <w:rStyle w:val="Hyperlink"/>
                <w:noProof/>
              </w:rPr>
              <w:t>The Ways to engage your team</w:t>
            </w:r>
            <w:r>
              <w:rPr>
                <w:noProof/>
                <w:webHidden/>
              </w:rPr>
              <w:tab/>
            </w:r>
            <w:r>
              <w:rPr>
                <w:noProof/>
                <w:webHidden/>
              </w:rPr>
              <w:fldChar w:fldCharType="begin"/>
            </w:r>
            <w:r>
              <w:rPr>
                <w:noProof/>
                <w:webHidden/>
              </w:rPr>
              <w:instrText xml:space="preserve"> PAGEREF _Toc148724914 \h </w:instrText>
            </w:r>
            <w:r>
              <w:rPr>
                <w:noProof/>
                <w:webHidden/>
              </w:rPr>
            </w:r>
            <w:r>
              <w:rPr>
                <w:noProof/>
                <w:webHidden/>
              </w:rPr>
              <w:fldChar w:fldCharType="separate"/>
            </w:r>
            <w:r>
              <w:rPr>
                <w:noProof/>
                <w:webHidden/>
              </w:rPr>
              <w:t>5</w:t>
            </w:r>
            <w:r>
              <w:rPr>
                <w:noProof/>
                <w:webHidden/>
              </w:rPr>
              <w:fldChar w:fldCharType="end"/>
            </w:r>
          </w:hyperlink>
        </w:p>
        <w:p w14:paraId="36086DD8" w14:textId="4BFC009F" w:rsidR="00613B0C" w:rsidRDefault="00613B0C">
          <w:pPr>
            <w:pStyle w:val="TOC2"/>
            <w:tabs>
              <w:tab w:val="right" w:leader="dot" w:pos="9016"/>
            </w:tabs>
            <w:rPr>
              <w:noProof/>
            </w:rPr>
          </w:pPr>
          <w:hyperlink w:anchor="_Toc148724915" w:history="1">
            <w:r w:rsidRPr="00690634">
              <w:rPr>
                <w:rStyle w:val="Hyperlink"/>
                <w:noProof/>
              </w:rPr>
              <w:t>The Employee Engagement Model and its Implementation Strategies</w:t>
            </w:r>
            <w:r>
              <w:rPr>
                <w:noProof/>
                <w:webHidden/>
              </w:rPr>
              <w:tab/>
            </w:r>
            <w:r>
              <w:rPr>
                <w:noProof/>
                <w:webHidden/>
              </w:rPr>
              <w:fldChar w:fldCharType="begin"/>
            </w:r>
            <w:r>
              <w:rPr>
                <w:noProof/>
                <w:webHidden/>
              </w:rPr>
              <w:instrText xml:space="preserve"> PAGEREF _Toc148724915 \h </w:instrText>
            </w:r>
            <w:r>
              <w:rPr>
                <w:noProof/>
                <w:webHidden/>
              </w:rPr>
            </w:r>
            <w:r>
              <w:rPr>
                <w:noProof/>
                <w:webHidden/>
              </w:rPr>
              <w:fldChar w:fldCharType="separate"/>
            </w:r>
            <w:r>
              <w:rPr>
                <w:noProof/>
                <w:webHidden/>
              </w:rPr>
              <w:t>7</w:t>
            </w:r>
            <w:r>
              <w:rPr>
                <w:noProof/>
                <w:webHidden/>
              </w:rPr>
              <w:fldChar w:fldCharType="end"/>
            </w:r>
          </w:hyperlink>
        </w:p>
        <w:p w14:paraId="7C6ABE1F" w14:textId="6C5DAFB1" w:rsidR="00613B0C" w:rsidRDefault="00613B0C">
          <w:pPr>
            <w:pStyle w:val="TOC2"/>
            <w:tabs>
              <w:tab w:val="right" w:leader="dot" w:pos="9016"/>
            </w:tabs>
            <w:rPr>
              <w:noProof/>
            </w:rPr>
          </w:pPr>
          <w:hyperlink w:anchor="_Toc148724916" w:history="1">
            <w:r w:rsidRPr="00690634">
              <w:rPr>
                <w:rStyle w:val="Hyperlink"/>
                <w:noProof/>
              </w:rPr>
              <w:t>Conclusion</w:t>
            </w:r>
            <w:r>
              <w:rPr>
                <w:noProof/>
                <w:webHidden/>
              </w:rPr>
              <w:tab/>
            </w:r>
            <w:r>
              <w:rPr>
                <w:noProof/>
                <w:webHidden/>
              </w:rPr>
              <w:fldChar w:fldCharType="begin"/>
            </w:r>
            <w:r>
              <w:rPr>
                <w:noProof/>
                <w:webHidden/>
              </w:rPr>
              <w:instrText xml:space="preserve"> PAGEREF _Toc148724916 \h </w:instrText>
            </w:r>
            <w:r>
              <w:rPr>
                <w:noProof/>
                <w:webHidden/>
              </w:rPr>
            </w:r>
            <w:r>
              <w:rPr>
                <w:noProof/>
                <w:webHidden/>
              </w:rPr>
              <w:fldChar w:fldCharType="separate"/>
            </w:r>
            <w:r>
              <w:rPr>
                <w:noProof/>
                <w:webHidden/>
              </w:rPr>
              <w:t>9</w:t>
            </w:r>
            <w:r>
              <w:rPr>
                <w:noProof/>
                <w:webHidden/>
              </w:rPr>
              <w:fldChar w:fldCharType="end"/>
            </w:r>
          </w:hyperlink>
        </w:p>
        <w:p w14:paraId="260CB67B" w14:textId="061461A5" w:rsidR="00613B0C" w:rsidRDefault="00613B0C">
          <w:pPr>
            <w:pStyle w:val="TOC2"/>
            <w:tabs>
              <w:tab w:val="right" w:leader="dot" w:pos="9016"/>
            </w:tabs>
            <w:rPr>
              <w:noProof/>
            </w:rPr>
          </w:pPr>
          <w:hyperlink w:anchor="_Toc148724917" w:history="1">
            <w:r w:rsidRPr="00690634">
              <w:rPr>
                <w:rStyle w:val="Hyperlink"/>
                <w:noProof/>
              </w:rPr>
              <w:t>References</w:t>
            </w:r>
            <w:r>
              <w:rPr>
                <w:noProof/>
                <w:webHidden/>
              </w:rPr>
              <w:tab/>
            </w:r>
            <w:r>
              <w:rPr>
                <w:noProof/>
                <w:webHidden/>
              </w:rPr>
              <w:fldChar w:fldCharType="begin"/>
            </w:r>
            <w:r>
              <w:rPr>
                <w:noProof/>
                <w:webHidden/>
              </w:rPr>
              <w:instrText xml:space="preserve"> PAGEREF _Toc148724917 \h </w:instrText>
            </w:r>
            <w:r>
              <w:rPr>
                <w:noProof/>
                <w:webHidden/>
              </w:rPr>
            </w:r>
            <w:r>
              <w:rPr>
                <w:noProof/>
                <w:webHidden/>
              </w:rPr>
              <w:fldChar w:fldCharType="separate"/>
            </w:r>
            <w:r>
              <w:rPr>
                <w:noProof/>
                <w:webHidden/>
              </w:rPr>
              <w:t>11</w:t>
            </w:r>
            <w:r>
              <w:rPr>
                <w:noProof/>
                <w:webHidden/>
              </w:rPr>
              <w:fldChar w:fldCharType="end"/>
            </w:r>
          </w:hyperlink>
        </w:p>
        <w:p w14:paraId="69E3A66C" w14:textId="56F29DD4" w:rsidR="00613B0C" w:rsidRDefault="00613B0C">
          <w:r>
            <w:rPr>
              <w:b/>
              <w:bCs/>
              <w:noProof/>
            </w:rPr>
            <w:fldChar w:fldCharType="end"/>
          </w:r>
        </w:p>
      </w:sdtContent>
    </w:sdt>
    <w:p w14:paraId="69D24100" w14:textId="77777777" w:rsidR="00613B0C" w:rsidRDefault="00613B0C"/>
    <w:p w14:paraId="2B782A38" w14:textId="77777777" w:rsidR="00613B0C" w:rsidRDefault="00613B0C"/>
    <w:p w14:paraId="4685A651" w14:textId="77777777" w:rsidR="00613B0C" w:rsidRDefault="00613B0C"/>
    <w:p w14:paraId="0CDA4584" w14:textId="77777777" w:rsidR="00613B0C" w:rsidRDefault="00613B0C"/>
    <w:p w14:paraId="01EFCD72" w14:textId="77777777" w:rsidR="00613B0C" w:rsidRDefault="00613B0C"/>
    <w:p w14:paraId="60D935F4" w14:textId="77777777" w:rsidR="00613B0C" w:rsidRDefault="00613B0C"/>
    <w:p w14:paraId="44BF30BE" w14:textId="77777777" w:rsidR="00613B0C" w:rsidRDefault="00613B0C"/>
    <w:p w14:paraId="0B0C13EB" w14:textId="77777777" w:rsidR="00613B0C" w:rsidRDefault="00613B0C"/>
    <w:p w14:paraId="5D54722C" w14:textId="77777777" w:rsidR="00613B0C" w:rsidRDefault="00613B0C"/>
    <w:p w14:paraId="04E3D803" w14:textId="77777777" w:rsidR="00613B0C" w:rsidRDefault="00613B0C"/>
    <w:p w14:paraId="19D29C5D" w14:textId="77777777" w:rsidR="00613B0C" w:rsidRDefault="00613B0C"/>
    <w:p w14:paraId="13ABDEE8" w14:textId="77777777" w:rsidR="00613B0C" w:rsidRDefault="00613B0C"/>
    <w:p w14:paraId="7E11AB56" w14:textId="77777777" w:rsidR="00613B0C" w:rsidRDefault="00613B0C"/>
    <w:p w14:paraId="645EC34D" w14:textId="77777777" w:rsidR="00613B0C" w:rsidRDefault="00613B0C"/>
    <w:p w14:paraId="56230C30" w14:textId="77777777" w:rsidR="00613B0C" w:rsidRDefault="00613B0C"/>
    <w:p w14:paraId="5FACC89C" w14:textId="77777777" w:rsidR="00613B0C" w:rsidRDefault="00613B0C"/>
    <w:p w14:paraId="428EFB36" w14:textId="77777777" w:rsidR="00613B0C" w:rsidRDefault="00613B0C"/>
    <w:p w14:paraId="267655A2" w14:textId="77777777" w:rsidR="00613B0C" w:rsidRDefault="00613B0C"/>
    <w:p w14:paraId="74501482" w14:textId="77777777" w:rsidR="00613B0C" w:rsidRDefault="00613B0C"/>
    <w:p w14:paraId="24E6DB1C" w14:textId="77777777" w:rsidR="00613B0C" w:rsidRDefault="00613B0C"/>
    <w:p w14:paraId="442E8853" w14:textId="77777777" w:rsidR="00613B0C" w:rsidRDefault="00613B0C"/>
    <w:p w14:paraId="0F8DCA6C" w14:textId="77777777" w:rsidR="00613B0C" w:rsidRDefault="00613B0C"/>
    <w:p w14:paraId="59F81CA8" w14:textId="77777777" w:rsidR="00613B0C" w:rsidRDefault="00613B0C"/>
    <w:p w14:paraId="53C66AE1" w14:textId="77777777" w:rsidR="00613B0C" w:rsidRDefault="00613B0C"/>
    <w:p w14:paraId="3D00CD8D" w14:textId="77777777" w:rsidR="00613B0C" w:rsidRDefault="00613B0C"/>
    <w:p w14:paraId="710DE235" w14:textId="77777777" w:rsidR="00613B0C" w:rsidRDefault="00613B0C"/>
    <w:p w14:paraId="2CCDB572" w14:textId="77777777" w:rsidR="00613B0C" w:rsidRDefault="00613B0C"/>
    <w:p w14:paraId="7B35FA92" w14:textId="77777777" w:rsidR="00613B0C" w:rsidRDefault="00613B0C"/>
    <w:p w14:paraId="3F1E5A16" w14:textId="77777777" w:rsidR="00613B0C" w:rsidRDefault="00613B0C"/>
    <w:p w14:paraId="72D1B7EB" w14:textId="77777777" w:rsidR="00613B0C" w:rsidRDefault="00613B0C"/>
    <w:p w14:paraId="26E52AF7" w14:textId="77777777" w:rsidR="00613B0C" w:rsidRDefault="00613B0C"/>
    <w:p w14:paraId="705D53F8" w14:textId="77777777" w:rsidR="00613B0C" w:rsidRDefault="00613B0C"/>
    <w:p w14:paraId="7BD29A13" w14:textId="77777777" w:rsidR="00613B0C" w:rsidRDefault="00613B0C"/>
    <w:p w14:paraId="65C7A8F3" w14:textId="77777777" w:rsidR="00613B0C" w:rsidRDefault="00613B0C"/>
    <w:p w14:paraId="38577B39" w14:textId="77777777" w:rsidR="00613B0C" w:rsidRPr="00613B0C" w:rsidRDefault="00613B0C" w:rsidP="00613B0C">
      <w:pPr>
        <w:spacing w:line="360" w:lineRule="auto"/>
        <w:rPr>
          <w:rFonts w:ascii="Arial" w:hAnsi="Arial" w:cs="Arial"/>
        </w:rPr>
      </w:pPr>
    </w:p>
    <w:p w14:paraId="24850027" w14:textId="77777777" w:rsidR="00613B0C" w:rsidRPr="00613B0C" w:rsidRDefault="00613B0C" w:rsidP="00613B0C">
      <w:pPr>
        <w:pStyle w:val="Heading2"/>
      </w:pPr>
      <w:bookmarkStart w:id="0" w:name="_Toc148724911"/>
      <w:r w:rsidRPr="00613B0C">
        <w:t>Introduction</w:t>
      </w:r>
      <w:bookmarkEnd w:id="0"/>
      <w:r w:rsidRPr="00613B0C">
        <w:t> </w:t>
      </w:r>
    </w:p>
    <w:p w14:paraId="1D638EF1" w14:textId="77777777" w:rsidR="00613B0C" w:rsidRPr="00613B0C" w:rsidRDefault="00613B0C" w:rsidP="00613B0C">
      <w:pPr>
        <w:spacing w:line="360" w:lineRule="auto"/>
        <w:rPr>
          <w:rFonts w:ascii="Arial" w:hAnsi="Arial" w:cs="Arial"/>
        </w:rPr>
      </w:pPr>
    </w:p>
    <w:p w14:paraId="35C21918" w14:textId="0F6F84ED" w:rsidR="00613B0C" w:rsidRDefault="00613B0C" w:rsidP="00613B0C">
      <w:pPr>
        <w:spacing w:line="360" w:lineRule="auto"/>
        <w:rPr>
          <w:rFonts w:ascii="Arial" w:hAnsi="Arial" w:cs="Arial"/>
        </w:rPr>
      </w:pPr>
      <w:proofErr w:type="gramStart"/>
      <w:r w:rsidRPr="00613B0C">
        <w:rPr>
          <w:rFonts w:ascii="Arial" w:hAnsi="Arial" w:cs="Arial"/>
        </w:rPr>
        <w:t>In order to</w:t>
      </w:r>
      <w:proofErr w:type="gramEnd"/>
      <w:r w:rsidRPr="00613B0C">
        <w:rPr>
          <w:rFonts w:ascii="Arial" w:hAnsi="Arial" w:cs="Arial"/>
        </w:rPr>
        <w:t xml:space="preserve"> effectively address the comprehensive range of operations within hotels, it is imperative for human resource management strategies to place a high priority on fostering employee engagement. Maintaining high levels of staff enthusiasm and dedication towards the organization's objective is a crucial component of fostering employee engagement (</w:t>
      </w:r>
      <w:proofErr w:type="spellStart"/>
      <w:r w:rsidRPr="00613B0C">
        <w:rPr>
          <w:rFonts w:ascii="Arial" w:hAnsi="Arial" w:cs="Arial"/>
        </w:rPr>
        <w:t>Dollins</w:t>
      </w:r>
      <w:proofErr w:type="spellEnd"/>
      <w:r w:rsidRPr="00613B0C">
        <w:rPr>
          <w:rFonts w:ascii="Arial" w:hAnsi="Arial" w:cs="Arial"/>
        </w:rPr>
        <w:t xml:space="preserve"> &amp; </w:t>
      </w:r>
      <w:proofErr w:type="spellStart"/>
      <w:r w:rsidRPr="00613B0C">
        <w:rPr>
          <w:rFonts w:ascii="Arial" w:hAnsi="Arial" w:cs="Arial"/>
        </w:rPr>
        <w:t>Stemmle</w:t>
      </w:r>
      <w:proofErr w:type="spellEnd"/>
      <w:r w:rsidRPr="00613B0C">
        <w:rPr>
          <w:rFonts w:ascii="Arial" w:hAnsi="Arial" w:cs="Arial"/>
        </w:rPr>
        <w:t xml:space="preserve">, 2021). Ensuring that employees are duly recognised and possess a clear sense of purpose in their professional endeavours is vital for the attainment of organisational goals. It is imperative to emphasise that employee involvement should be regarded as a systematic practise rather than a mere incident. </w:t>
      </w:r>
      <w:proofErr w:type="gramStart"/>
      <w:r w:rsidRPr="00613B0C">
        <w:rPr>
          <w:rFonts w:ascii="Arial" w:hAnsi="Arial" w:cs="Arial"/>
        </w:rPr>
        <w:t>In order to</w:t>
      </w:r>
      <w:proofErr w:type="gramEnd"/>
      <w:r w:rsidRPr="00613B0C">
        <w:rPr>
          <w:rFonts w:ascii="Arial" w:hAnsi="Arial" w:cs="Arial"/>
        </w:rPr>
        <w:t xml:space="preserve"> achieve optimal employee engagement across the entire employment cycle, it is imperative for an organisation to recognise and value the significance of human resources. The duration of an employee's tenure, spanning from recruitment to retirement, constitutes a pivotal component of this procedural framework (</w:t>
      </w:r>
      <w:proofErr w:type="spellStart"/>
      <w:r w:rsidRPr="00613B0C">
        <w:rPr>
          <w:rFonts w:ascii="Arial" w:hAnsi="Arial" w:cs="Arial"/>
        </w:rPr>
        <w:t>Thompsen</w:t>
      </w:r>
      <w:proofErr w:type="spellEnd"/>
      <w:r w:rsidRPr="00613B0C">
        <w:rPr>
          <w:rFonts w:ascii="Arial" w:hAnsi="Arial" w:cs="Arial"/>
        </w:rPr>
        <w:t>, 2019). The importance of maintaining employee engagement and motivation over the course of their careers is a crucial consideration for human resources departments at large hotels.</w:t>
      </w:r>
    </w:p>
    <w:p w14:paraId="33880B0D" w14:textId="77777777" w:rsidR="00613B0C" w:rsidRDefault="00613B0C" w:rsidP="00613B0C">
      <w:pPr>
        <w:spacing w:line="360" w:lineRule="auto"/>
        <w:rPr>
          <w:rFonts w:ascii="Arial" w:hAnsi="Arial" w:cs="Arial"/>
        </w:rPr>
      </w:pPr>
    </w:p>
    <w:p w14:paraId="61B1199E" w14:textId="77777777" w:rsidR="00613B0C" w:rsidRPr="00613B0C" w:rsidRDefault="00613B0C" w:rsidP="00613B0C">
      <w:pPr>
        <w:pStyle w:val="Heading2"/>
      </w:pPr>
      <w:bookmarkStart w:id="1" w:name="_Toc148724912"/>
      <w:r w:rsidRPr="00613B0C">
        <w:t>The Role of Human Resources in Engaging Employees</w:t>
      </w:r>
      <w:bookmarkEnd w:id="1"/>
    </w:p>
    <w:p w14:paraId="6230B616" w14:textId="77777777" w:rsidR="00613B0C" w:rsidRPr="00613B0C" w:rsidRDefault="00613B0C" w:rsidP="00613B0C">
      <w:pPr>
        <w:spacing w:line="360" w:lineRule="auto"/>
        <w:rPr>
          <w:rFonts w:ascii="Arial" w:hAnsi="Arial" w:cs="Arial"/>
        </w:rPr>
      </w:pPr>
    </w:p>
    <w:p w14:paraId="01C65538" w14:textId="77777777" w:rsidR="00613B0C" w:rsidRPr="00613B0C" w:rsidRDefault="00613B0C" w:rsidP="00613B0C">
      <w:pPr>
        <w:spacing w:line="360" w:lineRule="auto"/>
        <w:rPr>
          <w:rFonts w:ascii="Arial" w:hAnsi="Arial" w:cs="Arial"/>
        </w:rPr>
      </w:pPr>
      <w:r w:rsidRPr="00613B0C">
        <w:rPr>
          <w:rFonts w:ascii="Arial" w:hAnsi="Arial" w:cs="Arial"/>
        </w:rPr>
        <w:t xml:space="preserve">The role of human resources in inspiring workers is of utmost importance. Human resources experts are indispensable to organisations due to their pivotal role in the recruitment, onboarding, and continuous supervision of employees. In addition, it is incumbent upon employers to provide their staff with the necessary resources, knowledge, and support to properly fulfil their responsibilities (Archer, 2017). Human resource managers bear the responsibility of cultivating a congenial work environment that facilitates collaboration and the cultivation of reciprocal trust among employees. Moreover, it is incumbent upon them to identify factors that diminish employee morale and </w:t>
      </w:r>
      <w:proofErr w:type="gramStart"/>
      <w:r w:rsidRPr="00613B0C">
        <w:rPr>
          <w:rFonts w:ascii="Arial" w:hAnsi="Arial" w:cs="Arial"/>
        </w:rPr>
        <w:t>satisfaction, and</w:t>
      </w:r>
      <w:proofErr w:type="gramEnd"/>
      <w:r w:rsidRPr="00613B0C">
        <w:rPr>
          <w:rFonts w:ascii="Arial" w:hAnsi="Arial" w:cs="Arial"/>
        </w:rPr>
        <w:t xml:space="preserve"> do their utmost efforts to rectify such concerns. Human resources (HR) </w:t>
      </w:r>
      <w:proofErr w:type="gramStart"/>
      <w:r w:rsidRPr="00613B0C">
        <w:rPr>
          <w:rFonts w:ascii="Arial" w:hAnsi="Arial" w:cs="Arial"/>
        </w:rPr>
        <w:t>plays</w:t>
      </w:r>
      <w:proofErr w:type="gramEnd"/>
      <w:r w:rsidRPr="00613B0C">
        <w:rPr>
          <w:rFonts w:ascii="Arial" w:hAnsi="Arial" w:cs="Arial"/>
        </w:rPr>
        <w:t xml:space="preserve"> a crucial role in maintaining employee motivation and engagement in their work over an extended period of time. An essential aspect of this endeavour involves facilitating individuals with the necessary </w:t>
      </w:r>
      <w:r w:rsidRPr="00613B0C">
        <w:rPr>
          <w:rFonts w:ascii="Arial" w:hAnsi="Arial" w:cs="Arial"/>
        </w:rPr>
        <w:lastRenderedPageBreak/>
        <w:t>resources to advance in their professional trajectories and acquire the competencies requisite for proficient job performance (</w:t>
      </w:r>
      <w:proofErr w:type="spellStart"/>
      <w:r w:rsidRPr="00613B0C">
        <w:rPr>
          <w:rFonts w:ascii="Arial" w:hAnsi="Arial" w:cs="Arial"/>
        </w:rPr>
        <w:t>Bardhan</w:t>
      </w:r>
      <w:proofErr w:type="spellEnd"/>
      <w:r w:rsidRPr="00613B0C">
        <w:rPr>
          <w:rFonts w:ascii="Arial" w:hAnsi="Arial" w:cs="Arial"/>
        </w:rPr>
        <w:t>, 2022). Employees' ability to effectively do their responsibilities and fulfil their commitments can be enhanced by the provision of unambiguous job descriptions, a comprehensive performance management system, and pertinent documentation by the human resources department.</w:t>
      </w:r>
    </w:p>
    <w:p w14:paraId="30BFF60C" w14:textId="77777777" w:rsidR="00613B0C" w:rsidRPr="00613B0C" w:rsidRDefault="00613B0C" w:rsidP="00613B0C">
      <w:pPr>
        <w:spacing w:line="360" w:lineRule="auto"/>
        <w:rPr>
          <w:rFonts w:ascii="Arial" w:hAnsi="Arial" w:cs="Arial"/>
        </w:rPr>
      </w:pPr>
    </w:p>
    <w:p w14:paraId="4F4F06BF" w14:textId="77777777" w:rsidR="00613B0C" w:rsidRPr="00613B0C" w:rsidRDefault="00613B0C" w:rsidP="00613B0C">
      <w:pPr>
        <w:pStyle w:val="Heading2"/>
      </w:pPr>
      <w:bookmarkStart w:id="2" w:name="_Toc148724913"/>
      <w:r w:rsidRPr="00613B0C">
        <w:t>The concept of the Employee Lifecycle</w:t>
      </w:r>
      <w:bookmarkEnd w:id="2"/>
    </w:p>
    <w:p w14:paraId="25C2BCCF" w14:textId="77777777" w:rsidR="00613B0C" w:rsidRPr="00613B0C" w:rsidRDefault="00613B0C" w:rsidP="00613B0C">
      <w:pPr>
        <w:spacing w:line="360" w:lineRule="auto"/>
        <w:rPr>
          <w:rFonts w:ascii="Arial" w:hAnsi="Arial" w:cs="Arial"/>
        </w:rPr>
      </w:pPr>
    </w:p>
    <w:p w14:paraId="3AD2087F" w14:textId="77777777" w:rsidR="00613B0C" w:rsidRPr="00613B0C" w:rsidRDefault="00613B0C" w:rsidP="00613B0C">
      <w:pPr>
        <w:spacing w:line="360" w:lineRule="auto"/>
        <w:rPr>
          <w:rFonts w:ascii="Arial" w:hAnsi="Arial" w:cs="Arial"/>
        </w:rPr>
      </w:pPr>
      <w:r w:rsidRPr="00613B0C">
        <w:rPr>
          <w:rFonts w:ascii="Arial" w:hAnsi="Arial" w:cs="Arial"/>
        </w:rPr>
        <w:t xml:space="preserve">Every organisation depends on its </w:t>
      </w:r>
      <w:proofErr w:type="gramStart"/>
      <w:r w:rsidRPr="00613B0C">
        <w:rPr>
          <w:rFonts w:ascii="Arial" w:hAnsi="Arial" w:cs="Arial"/>
        </w:rPr>
        <w:t>workforce,</w:t>
      </w:r>
      <w:proofErr w:type="gramEnd"/>
      <w:r w:rsidRPr="00613B0C">
        <w:rPr>
          <w:rFonts w:ascii="Arial" w:hAnsi="Arial" w:cs="Arial"/>
        </w:rPr>
        <w:t xml:space="preserve"> hence it is imperative for all stakeholders to undertake measures aimed at fostering and sustaining employee enthusiasm towards work. Ensuring employee satisfaction and productivity over the entire employment lifetime necessitates active engagement from all personnel involved. According to Card and Ransom (2017), the first stage in the employee lifecycle is the process of recruiting new personnel. The reputation of an organisation is closely linked to its capacity to attract highly skilled employees. The process of attracting and maintaining high-performing individuals necessitates the establishment of a robust employer reputation, the provision of competitive remuneration and benefits, and the emphasis on the values and culture of the organisation. According to Archer (2017), it is advisable for companies to engage in self-promotion using various online platforms such as social media, job boards, and other websites commonly visited by potential employees.</w:t>
      </w:r>
    </w:p>
    <w:p w14:paraId="269CCBED" w14:textId="77777777" w:rsidR="00613B0C" w:rsidRPr="00613B0C" w:rsidRDefault="00613B0C" w:rsidP="00613B0C">
      <w:pPr>
        <w:spacing w:line="360" w:lineRule="auto"/>
        <w:rPr>
          <w:rFonts w:ascii="Arial" w:hAnsi="Arial" w:cs="Arial"/>
        </w:rPr>
      </w:pPr>
    </w:p>
    <w:p w14:paraId="68480A21" w14:textId="77777777" w:rsidR="00613B0C" w:rsidRPr="00613B0C" w:rsidRDefault="00613B0C" w:rsidP="00613B0C">
      <w:pPr>
        <w:spacing w:line="360" w:lineRule="auto"/>
        <w:rPr>
          <w:rFonts w:ascii="Arial" w:hAnsi="Arial" w:cs="Arial"/>
        </w:rPr>
      </w:pPr>
      <w:proofErr w:type="gramStart"/>
      <w:r w:rsidRPr="00613B0C">
        <w:rPr>
          <w:rFonts w:ascii="Arial" w:hAnsi="Arial" w:cs="Arial"/>
        </w:rPr>
        <w:t>In order to</w:t>
      </w:r>
      <w:proofErr w:type="gramEnd"/>
      <w:r w:rsidRPr="00613B0C">
        <w:rPr>
          <w:rFonts w:ascii="Arial" w:hAnsi="Arial" w:cs="Arial"/>
        </w:rPr>
        <w:t xml:space="preserve"> enhance the motivation of current employees to recommend individuals from within their networks for open positions, organisations may consider implementing referral bonuses and incentive programmes. Regarding the involvement of employees, the recruitment phase is considered the second stage of the employee lifecycle. </w:t>
      </w:r>
      <w:proofErr w:type="gramStart"/>
      <w:r w:rsidRPr="00613B0C">
        <w:rPr>
          <w:rFonts w:ascii="Arial" w:hAnsi="Arial" w:cs="Arial"/>
        </w:rPr>
        <w:t>In order to</w:t>
      </w:r>
      <w:proofErr w:type="gramEnd"/>
      <w:r w:rsidRPr="00613B0C">
        <w:rPr>
          <w:rFonts w:ascii="Arial" w:hAnsi="Arial" w:cs="Arial"/>
        </w:rPr>
        <w:t xml:space="preserve"> secure suitable candidates for vacant positions, it is imperative for human resources departments at prominent hotels to employ efficient recruitment tactics. This entails a thorough understanding of the knowledge, skills, and expertise required to thrive in diverse work environments (</w:t>
      </w:r>
      <w:proofErr w:type="spellStart"/>
      <w:r w:rsidRPr="00613B0C">
        <w:rPr>
          <w:rFonts w:ascii="Arial" w:hAnsi="Arial" w:cs="Arial"/>
        </w:rPr>
        <w:t>Dollins</w:t>
      </w:r>
      <w:proofErr w:type="spellEnd"/>
      <w:r w:rsidRPr="00613B0C">
        <w:rPr>
          <w:rFonts w:ascii="Arial" w:hAnsi="Arial" w:cs="Arial"/>
        </w:rPr>
        <w:t xml:space="preserve"> &amp; </w:t>
      </w:r>
      <w:proofErr w:type="spellStart"/>
      <w:r w:rsidRPr="00613B0C">
        <w:rPr>
          <w:rFonts w:ascii="Arial" w:hAnsi="Arial" w:cs="Arial"/>
        </w:rPr>
        <w:t>Stemmle</w:t>
      </w:r>
      <w:proofErr w:type="spellEnd"/>
      <w:r w:rsidRPr="00613B0C">
        <w:rPr>
          <w:rFonts w:ascii="Arial" w:hAnsi="Arial" w:cs="Arial"/>
        </w:rPr>
        <w:t xml:space="preserve">, 2021). Furthermore, it is imperative to have a well-structured recruitment process that ensures the selection of suitable candidates who possess the </w:t>
      </w:r>
      <w:r w:rsidRPr="00613B0C">
        <w:rPr>
          <w:rFonts w:ascii="Arial" w:hAnsi="Arial" w:cs="Arial"/>
        </w:rPr>
        <w:lastRenderedPageBreak/>
        <w:t>necessary qualifications and aptitude, while also providing them with the necessary support and motivation to excel in their roles.</w:t>
      </w:r>
    </w:p>
    <w:p w14:paraId="2EB97552" w14:textId="77777777" w:rsidR="00613B0C" w:rsidRPr="00613B0C" w:rsidRDefault="00613B0C" w:rsidP="00613B0C">
      <w:pPr>
        <w:spacing w:line="360" w:lineRule="auto"/>
        <w:rPr>
          <w:rFonts w:ascii="Arial" w:hAnsi="Arial" w:cs="Arial"/>
        </w:rPr>
      </w:pPr>
      <w:r w:rsidRPr="00613B0C">
        <w:rPr>
          <w:rFonts w:ascii="Arial" w:hAnsi="Arial" w:cs="Arial"/>
        </w:rPr>
        <w:t>The process of onboarding holds equal significance to employee retention as the initial recruitment phase. The human resources department provides new employees with all the necessary resources to ensure their sense of appreciation and comfort. This entails implementing an efficient onboarding process that facilitates new employees' seamless acquisition of information and training. Additionally, it is imperative to customise the onboarding process to cater to the unique demands and characteristics of each employee.</w:t>
      </w:r>
    </w:p>
    <w:p w14:paraId="1BD6A2C2" w14:textId="77777777" w:rsidR="00613B0C" w:rsidRPr="00613B0C" w:rsidRDefault="00613B0C" w:rsidP="00613B0C">
      <w:pPr>
        <w:spacing w:line="360" w:lineRule="auto"/>
        <w:rPr>
          <w:rFonts w:ascii="Arial" w:hAnsi="Arial" w:cs="Arial"/>
        </w:rPr>
      </w:pPr>
      <w:r w:rsidRPr="00613B0C">
        <w:rPr>
          <w:rFonts w:ascii="Arial" w:hAnsi="Arial" w:cs="Arial"/>
        </w:rPr>
        <w:t xml:space="preserve">The cultivation of employee engagement is of utmost importance, so it is unsurprising that the fourth stage of the employee lifecycle is designated as the development phase. According to </w:t>
      </w:r>
      <w:proofErr w:type="spellStart"/>
      <w:r w:rsidRPr="00613B0C">
        <w:rPr>
          <w:rFonts w:ascii="Arial" w:hAnsi="Arial" w:cs="Arial"/>
        </w:rPr>
        <w:t>Graban</w:t>
      </w:r>
      <w:proofErr w:type="spellEnd"/>
      <w:r w:rsidRPr="00613B0C">
        <w:rPr>
          <w:rFonts w:ascii="Arial" w:hAnsi="Arial" w:cs="Arial"/>
        </w:rPr>
        <w:t xml:space="preserve"> and Toussaint (2018), it is the obligation of human resources departments to ensure ample opportunities for career advancement inside the organisation. This requires providing workers with access to instructional resources.</w:t>
      </w:r>
    </w:p>
    <w:p w14:paraId="142EA965" w14:textId="77777777" w:rsidR="00613B0C" w:rsidRPr="00613B0C" w:rsidRDefault="00613B0C" w:rsidP="00613B0C">
      <w:pPr>
        <w:spacing w:line="360" w:lineRule="auto"/>
        <w:rPr>
          <w:rFonts w:ascii="Arial" w:hAnsi="Arial" w:cs="Arial"/>
        </w:rPr>
      </w:pPr>
      <w:r w:rsidRPr="00613B0C">
        <w:rPr>
          <w:rFonts w:ascii="Arial" w:hAnsi="Arial" w:cs="Arial"/>
        </w:rPr>
        <w:t xml:space="preserve">Retention, which is considered the fifth stage within the employee life cycle, holds significant importance in ensuring long-term employee retention. Human resources departments have a crucial role in fostering employee motivation and facilitating their professional development, hence enhancing job satisfaction and overall employee well-being. The </w:t>
      </w:r>
      <w:proofErr w:type="gramStart"/>
      <w:r w:rsidRPr="00613B0C">
        <w:rPr>
          <w:rFonts w:ascii="Arial" w:hAnsi="Arial" w:cs="Arial"/>
        </w:rPr>
        <w:t>aforementioned elements</w:t>
      </w:r>
      <w:proofErr w:type="gramEnd"/>
      <w:r w:rsidRPr="00613B0C">
        <w:rPr>
          <w:rFonts w:ascii="Arial" w:hAnsi="Arial" w:cs="Arial"/>
        </w:rPr>
        <w:t xml:space="preserve"> encompass remuneration at market rates, extensive benefits, and opportunities for professional advancement and enhancement. According to </w:t>
      </w:r>
      <w:proofErr w:type="spellStart"/>
      <w:r w:rsidRPr="00613B0C">
        <w:rPr>
          <w:rFonts w:ascii="Arial" w:hAnsi="Arial" w:cs="Arial"/>
        </w:rPr>
        <w:t>Stadter</w:t>
      </w:r>
      <w:proofErr w:type="spellEnd"/>
      <w:r w:rsidRPr="00613B0C">
        <w:rPr>
          <w:rFonts w:ascii="Arial" w:hAnsi="Arial" w:cs="Arial"/>
        </w:rPr>
        <w:t xml:space="preserve"> (2014), it is imperative for the human resources department to actively establish a conducive work environment that fosters inclusivity and ensures that all employees are treated with dignity and recognition for their contributions.</w:t>
      </w:r>
    </w:p>
    <w:p w14:paraId="3CF0C287" w14:textId="5D255504" w:rsidR="00613B0C" w:rsidRDefault="00613B0C" w:rsidP="00613B0C">
      <w:pPr>
        <w:spacing w:line="360" w:lineRule="auto"/>
        <w:rPr>
          <w:rFonts w:ascii="Arial" w:hAnsi="Arial" w:cs="Arial"/>
        </w:rPr>
      </w:pPr>
      <w:r w:rsidRPr="00613B0C">
        <w:rPr>
          <w:rFonts w:ascii="Arial" w:hAnsi="Arial" w:cs="Arial"/>
        </w:rPr>
        <w:t>Employee separation is the final stage of the employee life cycle and an integral component of the employee engagement process. This involves providing employees with constructive feedback regarding their job performance and conducting exit interviews. Furthermore, it is imperative for the Human Resources (HR) department to equip departing employees with the necessary resources and support to facilitate a smooth and successful transfer into their forthcoming roles.</w:t>
      </w:r>
    </w:p>
    <w:p w14:paraId="0DB874EB" w14:textId="77777777" w:rsidR="00613B0C" w:rsidRDefault="00613B0C" w:rsidP="00613B0C">
      <w:pPr>
        <w:spacing w:line="360" w:lineRule="auto"/>
        <w:rPr>
          <w:rFonts w:ascii="Arial" w:hAnsi="Arial" w:cs="Arial"/>
        </w:rPr>
      </w:pPr>
    </w:p>
    <w:p w14:paraId="28A8DD0B" w14:textId="77777777" w:rsidR="00613B0C" w:rsidRPr="00613B0C" w:rsidRDefault="00613B0C" w:rsidP="00613B0C">
      <w:pPr>
        <w:pStyle w:val="Heading2"/>
      </w:pPr>
      <w:bookmarkStart w:id="3" w:name="_Toc148724914"/>
      <w:r w:rsidRPr="00613B0C">
        <w:t xml:space="preserve">The Ways to engage your </w:t>
      </w:r>
      <w:proofErr w:type="gramStart"/>
      <w:r w:rsidRPr="00613B0C">
        <w:t>team</w:t>
      </w:r>
      <w:bookmarkEnd w:id="3"/>
      <w:proofErr w:type="gramEnd"/>
    </w:p>
    <w:p w14:paraId="7134C9F5" w14:textId="77777777" w:rsidR="00613B0C" w:rsidRPr="00613B0C" w:rsidRDefault="00613B0C" w:rsidP="00613B0C">
      <w:pPr>
        <w:spacing w:line="360" w:lineRule="auto"/>
        <w:rPr>
          <w:rFonts w:ascii="Arial" w:hAnsi="Arial" w:cs="Arial"/>
        </w:rPr>
      </w:pPr>
    </w:p>
    <w:p w14:paraId="1134A97A" w14:textId="77777777" w:rsidR="00613B0C" w:rsidRPr="00613B0C" w:rsidRDefault="00613B0C" w:rsidP="00613B0C">
      <w:pPr>
        <w:spacing w:line="360" w:lineRule="auto"/>
        <w:rPr>
          <w:rFonts w:ascii="Arial" w:hAnsi="Arial" w:cs="Arial"/>
        </w:rPr>
      </w:pPr>
      <w:r w:rsidRPr="00613B0C">
        <w:rPr>
          <w:rFonts w:ascii="Arial" w:hAnsi="Arial" w:cs="Arial"/>
        </w:rPr>
        <w:lastRenderedPageBreak/>
        <w:t xml:space="preserve">It is recommended that organisations cultivate a conducive environment that promotes active engagement and motivation among employees (Gupta, 2019). It is imperative for companies to proactively establish a conducive workplace atmosphere that fosters employee autonomy, recognition, and professional development </w:t>
      </w:r>
      <w:proofErr w:type="gramStart"/>
      <w:r w:rsidRPr="00613B0C">
        <w:rPr>
          <w:rFonts w:ascii="Arial" w:hAnsi="Arial" w:cs="Arial"/>
        </w:rPr>
        <w:t>in order to</w:t>
      </w:r>
      <w:proofErr w:type="gramEnd"/>
      <w:r w:rsidRPr="00613B0C">
        <w:rPr>
          <w:rFonts w:ascii="Arial" w:hAnsi="Arial" w:cs="Arial"/>
        </w:rPr>
        <w:t xml:space="preserve"> enhance employee engagement. One effective strategy for fostering employee engagement is to offer increased autonomy in their job responsibilities. This entails granting individuals the autonomy to select their own trajectory and operate in accordance with their preferred timetable. According to Hyman (2018), the autonomy to independently make decisions has the potential to motivate employees to embrace novel tasks and responsibilities. The possession of a sense of ownership over their work and achievements is a significant advantage for young individuals. In addition to monetary compensation, an organisation may choose to express gratitude to its employees by bestowing awards or prizes. Expressing gratitude for individuals' contributions, whether by means of official accolades or sincere expressions of thanks, holds significant value. Incorporating a recognition programme is an effective strategy for enhancing employee morale and fostering a culture of increased dedication and performance.</w:t>
      </w:r>
    </w:p>
    <w:p w14:paraId="2C566F55" w14:textId="77777777" w:rsidR="00613B0C" w:rsidRDefault="00613B0C" w:rsidP="00613B0C">
      <w:pPr>
        <w:spacing w:line="360" w:lineRule="auto"/>
        <w:rPr>
          <w:rFonts w:ascii="Arial" w:hAnsi="Arial" w:cs="Arial"/>
        </w:rPr>
      </w:pPr>
      <w:r w:rsidRPr="00613B0C">
        <w:rPr>
          <w:rFonts w:ascii="Arial" w:hAnsi="Arial" w:cs="Arial"/>
        </w:rPr>
        <w:t>The second approach for capturing attention is providing individuals with practical resources that might contribute to their professional development. Training, mentoring, and other forms of support aimed at fostering professional development are illustrative instances of the constituents encompassed within this category (</w:t>
      </w:r>
      <w:proofErr w:type="spellStart"/>
      <w:r w:rsidRPr="00613B0C">
        <w:rPr>
          <w:rFonts w:ascii="Arial" w:hAnsi="Arial" w:cs="Arial"/>
        </w:rPr>
        <w:t>Krutz</w:t>
      </w:r>
      <w:proofErr w:type="spellEnd"/>
      <w:r w:rsidRPr="00613B0C">
        <w:rPr>
          <w:rFonts w:ascii="Arial" w:hAnsi="Arial" w:cs="Arial"/>
        </w:rPr>
        <w:t xml:space="preserve"> and Fry, 2019). The provision of opportunities for workers to enhance their abilities and foster a sense of investment in their work can be beneficial. One of the key approaches to fostering productivity is the adoption of a framework aimed at enhancing employee engagement. The primary objective of an employee engagement model is to establish a benchmark that enables organisations to assess and enhance employee involvement. Various research methods, such as polls, in-depth interviews, and focus groups, can be employed to assess employee satisfaction in the workplace. Staff attrition, absenteeism, and engagement surveys are valuable metrics that can provide insights into areas where an organisation has the potential to improve. The data collected through this methodology can be utilised by enterprises to develop initiatives that enhance employee engagement within their organisational operations.</w:t>
      </w:r>
    </w:p>
    <w:p w14:paraId="7819AC83" w14:textId="77777777" w:rsidR="00613B0C" w:rsidRPr="00613B0C" w:rsidRDefault="00613B0C" w:rsidP="00613B0C">
      <w:pPr>
        <w:spacing w:line="360" w:lineRule="auto"/>
        <w:rPr>
          <w:rFonts w:ascii="Arial" w:hAnsi="Arial" w:cs="Arial"/>
        </w:rPr>
      </w:pPr>
    </w:p>
    <w:p w14:paraId="0AF9EAB2" w14:textId="77777777" w:rsidR="00613B0C" w:rsidRPr="00613B0C" w:rsidRDefault="00613B0C" w:rsidP="00613B0C">
      <w:pPr>
        <w:spacing w:line="360" w:lineRule="auto"/>
        <w:rPr>
          <w:rFonts w:ascii="Arial" w:hAnsi="Arial" w:cs="Arial"/>
        </w:rPr>
      </w:pPr>
    </w:p>
    <w:p w14:paraId="30AD67D6" w14:textId="77777777" w:rsidR="00613B0C" w:rsidRPr="00613B0C" w:rsidRDefault="00613B0C" w:rsidP="00613B0C">
      <w:pPr>
        <w:pStyle w:val="Heading2"/>
      </w:pPr>
      <w:bookmarkStart w:id="4" w:name="_Toc148724915"/>
      <w:r w:rsidRPr="00613B0C">
        <w:t>The Employee Engagement Model and its Implementation Strategies</w:t>
      </w:r>
      <w:bookmarkEnd w:id="4"/>
    </w:p>
    <w:p w14:paraId="077546ED" w14:textId="77777777" w:rsidR="00613B0C" w:rsidRPr="00613B0C" w:rsidRDefault="00613B0C" w:rsidP="00613B0C">
      <w:pPr>
        <w:spacing w:line="360" w:lineRule="auto"/>
        <w:rPr>
          <w:rFonts w:ascii="Arial" w:hAnsi="Arial" w:cs="Arial"/>
        </w:rPr>
      </w:pPr>
    </w:p>
    <w:p w14:paraId="621B3B69" w14:textId="77777777" w:rsidR="00613B0C" w:rsidRDefault="00613B0C" w:rsidP="00613B0C">
      <w:pPr>
        <w:spacing w:line="360" w:lineRule="auto"/>
        <w:rPr>
          <w:rFonts w:ascii="Arial" w:hAnsi="Arial" w:cs="Arial"/>
        </w:rPr>
      </w:pPr>
      <w:r w:rsidRPr="00613B0C">
        <w:rPr>
          <w:rFonts w:ascii="Arial" w:hAnsi="Arial" w:cs="Arial"/>
        </w:rPr>
        <w:t xml:space="preserve">The employee engagement model developed by Gallup encompasses a comprehensive range of strategies, actions, and mindsets that organisations can utilise to foster a culture of engagement. The incorporation of this method in human resource management has been observed in the hotel industry. Gallup's technique is founded upon four fundamental pillars, namely meaning, accomplishment, development, and appreciation. The initial phase in developing a proficient employee engagement strategy involves comprehending and articulating a well-defined objective. The objective should be worded in a manner that captures the attention of the employees and aligns with the overarching mission of the organisation. The achievement of this goal can be facilitated through the implementation of company-wide meetings, individualised interactions, and other initiatives that emphasise the importance of purpose. </w:t>
      </w:r>
    </w:p>
    <w:p w14:paraId="5BC81084" w14:textId="77777777" w:rsidR="00613B0C" w:rsidRDefault="00613B0C" w:rsidP="00613B0C">
      <w:pPr>
        <w:spacing w:line="360" w:lineRule="auto"/>
        <w:rPr>
          <w:rFonts w:ascii="Arial" w:hAnsi="Arial" w:cs="Arial"/>
        </w:rPr>
      </w:pPr>
    </w:p>
    <w:p w14:paraId="392E9ED5" w14:textId="49C3134B" w:rsidR="00613B0C" w:rsidRPr="00613B0C" w:rsidRDefault="00613B0C" w:rsidP="00613B0C">
      <w:pPr>
        <w:spacing w:line="360" w:lineRule="auto"/>
        <w:rPr>
          <w:rFonts w:ascii="Arial" w:hAnsi="Arial" w:cs="Arial"/>
        </w:rPr>
      </w:pPr>
      <w:r w:rsidRPr="00613B0C">
        <w:rPr>
          <w:rFonts w:ascii="Arial" w:hAnsi="Arial" w:cs="Arial"/>
        </w:rPr>
        <w:t xml:space="preserve">According to the Gallup model, the second component of employee engagement is referred to as "performance." Illustrative instances of this methodology encompass the development of quantifiable objectives that align with the organization's articulated mission, followed by the provision of necessary resources to enable employees to achieve these goals. According to </w:t>
      </w:r>
      <w:proofErr w:type="spellStart"/>
      <w:r w:rsidRPr="00613B0C">
        <w:rPr>
          <w:rFonts w:ascii="Arial" w:hAnsi="Arial" w:cs="Arial"/>
        </w:rPr>
        <w:t>Kühnen</w:t>
      </w:r>
      <w:proofErr w:type="spellEnd"/>
      <w:r w:rsidRPr="00613B0C">
        <w:rPr>
          <w:rFonts w:ascii="Arial" w:hAnsi="Arial" w:cs="Arial"/>
        </w:rPr>
        <w:t xml:space="preserve"> (2021), it is imperative to consistently evaluate the performance of employees and provide them with constructive feedback </w:t>
      </w:r>
      <w:proofErr w:type="gramStart"/>
      <w:r w:rsidRPr="00613B0C">
        <w:rPr>
          <w:rFonts w:ascii="Arial" w:hAnsi="Arial" w:cs="Arial"/>
        </w:rPr>
        <w:t>in order to</w:t>
      </w:r>
      <w:proofErr w:type="gramEnd"/>
      <w:r w:rsidRPr="00613B0C">
        <w:rPr>
          <w:rFonts w:ascii="Arial" w:hAnsi="Arial" w:cs="Arial"/>
        </w:rPr>
        <w:t xml:space="preserve"> uphold the utmost standards. The third component of the paradigm, as described by Gallup, pertains to the stimulation of more expansion. It is imperative to offer workers opportunities for career progression within their existing roles. The potential benefits encompass opportunities for knowledge acquisition from seasoned experts, availability of structured and unstructured educational initiatives, and financial rewards contingent upon personal accomplishments. Finally, according to the Gallup model, it is recommended to provide some form of reward to employees as a means of acknowledging their contributions, whether it be in the form of financial incentives or other means. Consequently, employees are further motivated to sustain their high level of dedication towards their tasks, thereby enhancing overall productivity.</w:t>
      </w:r>
    </w:p>
    <w:p w14:paraId="04850B41" w14:textId="77777777" w:rsidR="00613B0C" w:rsidRDefault="00613B0C" w:rsidP="00613B0C">
      <w:pPr>
        <w:spacing w:line="360" w:lineRule="auto"/>
        <w:rPr>
          <w:rFonts w:ascii="Arial" w:hAnsi="Arial" w:cs="Arial"/>
        </w:rPr>
      </w:pPr>
      <w:r w:rsidRPr="00613B0C">
        <w:rPr>
          <w:rFonts w:ascii="Arial" w:hAnsi="Arial" w:cs="Arial"/>
        </w:rPr>
        <w:lastRenderedPageBreak/>
        <w:t xml:space="preserve">Employee engagement is a crucial factor for enhancing job satisfaction, productivity, and commitment within the workforce, hence fostering a positive work </w:t>
      </w:r>
      <w:proofErr w:type="gramStart"/>
      <w:r w:rsidRPr="00613B0C">
        <w:rPr>
          <w:rFonts w:ascii="Arial" w:hAnsi="Arial" w:cs="Arial"/>
        </w:rPr>
        <w:t>environment</w:t>
      </w:r>
      <w:proofErr w:type="gramEnd"/>
      <w:r w:rsidRPr="00613B0C">
        <w:rPr>
          <w:rFonts w:ascii="Arial" w:hAnsi="Arial" w:cs="Arial"/>
        </w:rPr>
        <w:t xml:space="preserve"> and promoting employee loyalty. </w:t>
      </w:r>
    </w:p>
    <w:p w14:paraId="42248D6F" w14:textId="77777777" w:rsidR="00613B0C" w:rsidRDefault="00613B0C" w:rsidP="00613B0C">
      <w:pPr>
        <w:spacing w:line="360" w:lineRule="auto"/>
        <w:rPr>
          <w:rFonts w:ascii="Arial" w:hAnsi="Arial" w:cs="Arial"/>
        </w:rPr>
      </w:pPr>
    </w:p>
    <w:p w14:paraId="60D95475" w14:textId="7F0D73E8" w:rsidR="00613B0C" w:rsidRDefault="00613B0C" w:rsidP="00613B0C">
      <w:pPr>
        <w:spacing w:line="360" w:lineRule="auto"/>
        <w:rPr>
          <w:rFonts w:ascii="Arial" w:hAnsi="Arial" w:cs="Arial"/>
        </w:rPr>
      </w:pPr>
      <w:r w:rsidRPr="00613B0C">
        <w:rPr>
          <w:rFonts w:ascii="Arial" w:hAnsi="Arial" w:cs="Arial"/>
        </w:rPr>
        <w:t xml:space="preserve">According to Macey and Fink (2020), the Employee Engagement Model developed by Gallup offers a reliable approach to ensuring sustained employee engagement across the whole lifespan of an organisation. Implementing the paradigm involves prioritising its fundamental elements, including an emphasis on using pre-existing capabilities, as a means of operationalization. The primary objective of this component within the model is to facilitate employees in the identification and enhancement of their respective domains of expertise. Two strategies for reaching this objective in the workplace include providing feedback and coaching, as well as fostering motivation to enhance individuals' attention on their strengths. Furthermore, it is advantageous to offer employees opportunities for individual development and collaboration within a team (Mattox, 2016). Furthermore, the implementation of the Gallup model can be facilitated by including job roles and employee engagement initiatives that empower workers by granting them a sense of autonomy and value. The process entails delineating the individual responsibilities of each employee and affording them a certain level of autonomy in their respective roles. Employees are likely to have higher levels of engagement and empowerment when they are provided with opportunity to submit their ideas and participate in decision-making processes. In conclusion, the implementation of the Gallup model can be facilitated by the utilisation of staff recognition and incentives. </w:t>
      </w:r>
    </w:p>
    <w:p w14:paraId="25C5FC8F" w14:textId="77777777" w:rsidR="00613B0C" w:rsidRDefault="00613B0C" w:rsidP="00613B0C">
      <w:pPr>
        <w:spacing w:line="360" w:lineRule="auto"/>
        <w:rPr>
          <w:rFonts w:ascii="Arial" w:hAnsi="Arial" w:cs="Arial"/>
        </w:rPr>
      </w:pPr>
    </w:p>
    <w:p w14:paraId="4C9015B7" w14:textId="0C8A03F1" w:rsidR="00613B0C" w:rsidRPr="00613B0C" w:rsidRDefault="00613B0C" w:rsidP="00613B0C">
      <w:pPr>
        <w:spacing w:line="360" w:lineRule="auto"/>
        <w:rPr>
          <w:rFonts w:ascii="Arial" w:hAnsi="Arial" w:cs="Arial"/>
        </w:rPr>
      </w:pPr>
      <w:r w:rsidRPr="00613B0C">
        <w:rPr>
          <w:rFonts w:ascii="Arial" w:hAnsi="Arial" w:cs="Arial"/>
        </w:rPr>
        <w:t xml:space="preserve">According to </w:t>
      </w:r>
      <w:proofErr w:type="spellStart"/>
      <w:r w:rsidRPr="00613B0C">
        <w:rPr>
          <w:rFonts w:ascii="Arial" w:hAnsi="Arial" w:cs="Arial"/>
        </w:rPr>
        <w:t>Ringard</w:t>
      </w:r>
      <w:proofErr w:type="spellEnd"/>
      <w:r w:rsidRPr="00613B0C">
        <w:rPr>
          <w:rFonts w:ascii="Arial" w:hAnsi="Arial" w:cs="Arial"/>
        </w:rPr>
        <w:t xml:space="preserve"> (2020), this aspect of the plan involves providing financial compensation to employees as a means of acknowledging their diligent efforts. In pursuit of this objective, several forms of recognition such as monetary rewards, ceremonial practises, and other forms of appreciation may be employed. Offering employees opportunities for self-improvement and engaging in team-building activities can potentially foster a stronger sense of connection and commitment towards the organization's achievements. The utilisation of the Gallup Employee Engagement Model has the potential to sustain high levels of motivation and job satisfaction among workers inside a prominent hotel, ensuring their long-term commitment and enthusiasm towards their work. Enhancing the skill sets of </w:t>
      </w:r>
      <w:r w:rsidRPr="00613B0C">
        <w:rPr>
          <w:rFonts w:ascii="Arial" w:hAnsi="Arial" w:cs="Arial"/>
        </w:rPr>
        <w:lastRenderedPageBreak/>
        <w:t xml:space="preserve">employees, assigning them tasks that hold significance, and providing appropriate recognition for their achievements are all strategies that the hotel can employ to foster contentment and commitment among its </w:t>
      </w:r>
      <w:proofErr w:type="spellStart"/>
      <w:proofErr w:type="gramStart"/>
      <w:r w:rsidRPr="00613B0C">
        <w:rPr>
          <w:rFonts w:ascii="Arial" w:hAnsi="Arial" w:cs="Arial"/>
        </w:rPr>
        <w:t>workforce.The</w:t>
      </w:r>
      <w:proofErr w:type="spellEnd"/>
      <w:proofErr w:type="gramEnd"/>
      <w:r w:rsidRPr="00613B0C">
        <w:rPr>
          <w:rFonts w:ascii="Arial" w:hAnsi="Arial" w:cs="Arial"/>
        </w:rPr>
        <w:t xml:space="preserve"> hotel industry, as an illustrative case, places significant emphasis on customer satisfaction, hence necessitating a motivated workforce capable of delivering exceptional service. The cultivation of a workplace environment that acknowledges and incentivizes employees for their commitment and active involvement </w:t>
      </w:r>
      <w:proofErr w:type="gramStart"/>
      <w:r w:rsidRPr="00613B0C">
        <w:rPr>
          <w:rFonts w:ascii="Arial" w:hAnsi="Arial" w:cs="Arial"/>
        </w:rPr>
        <w:t>is of significant importance</w:t>
      </w:r>
      <w:proofErr w:type="gramEnd"/>
      <w:r w:rsidRPr="00613B0C">
        <w:rPr>
          <w:rFonts w:ascii="Arial" w:hAnsi="Arial" w:cs="Arial"/>
        </w:rPr>
        <w:t xml:space="preserve"> within the hotel industry (Nel, 2018). Two examples of initiatives that organisations can implement to enhance staff training and development include customer service workshops and performance measurement and reward systems.</w:t>
      </w:r>
    </w:p>
    <w:p w14:paraId="4E9DDA22" w14:textId="77777777" w:rsidR="00613B0C" w:rsidRPr="00613B0C" w:rsidRDefault="00613B0C" w:rsidP="00613B0C">
      <w:pPr>
        <w:spacing w:line="360" w:lineRule="auto"/>
        <w:rPr>
          <w:rFonts w:ascii="Arial" w:hAnsi="Arial" w:cs="Arial"/>
        </w:rPr>
      </w:pPr>
    </w:p>
    <w:p w14:paraId="182A281C" w14:textId="18C61D3A" w:rsidR="00613B0C" w:rsidRDefault="00613B0C" w:rsidP="00613B0C">
      <w:pPr>
        <w:spacing w:line="360" w:lineRule="auto"/>
        <w:rPr>
          <w:rFonts w:ascii="Arial" w:hAnsi="Arial" w:cs="Arial"/>
        </w:rPr>
      </w:pPr>
      <w:r w:rsidRPr="00613B0C">
        <w:rPr>
          <w:rFonts w:ascii="Arial" w:hAnsi="Arial" w:cs="Arial"/>
        </w:rPr>
        <w:t>Furthermore, it is imperative for hotels to provide constructive feedback to their workers, including recognition for exceptional customer service and collaboration with suppliers, along with the necessary resources, such as computers and other technical tools, to facilitate their success (Nel and Linde, 2018). Ultimately, it is imperative for hotels to ensure that their staff are equipped with the necessary resources to maintain their well-being and enhance their efficiency, such as access to fitness facilities and designated periods for relaxation. Developing a practical employee engagement strategy is a viable approach for hotels to maintain a motivated and efficient workforce.</w:t>
      </w:r>
    </w:p>
    <w:p w14:paraId="702E3E42" w14:textId="77777777" w:rsidR="00613B0C" w:rsidRDefault="00613B0C" w:rsidP="00613B0C">
      <w:pPr>
        <w:spacing w:line="360" w:lineRule="auto"/>
        <w:rPr>
          <w:rFonts w:ascii="Arial" w:hAnsi="Arial" w:cs="Arial"/>
        </w:rPr>
      </w:pPr>
    </w:p>
    <w:p w14:paraId="516B42CE" w14:textId="500DA5A0" w:rsidR="00613B0C" w:rsidRDefault="00613B0C" w:rsidP="00613B0C">
      <w:pPr>
        <w:pStyle w:val="Heading2"/>
      </w:pPr>
      <w:bookmarkStart w:id="5" w:name="_Toc148724916"/>
      <w:r>
        <w:t>Conclusion</w:t>
      </w:r>
      <w:bookmarkEnd w:id="5"/>
    </w:p>
    <w:p w14:paraId="75A2FDF6" w14:textId="77777777" w:rsidR="00613B0C" w:rsidRDefault="00613B0C" w:rsidP="00613B0C">
      <w:pPr>
        <w:spacing w:line="360" w:lineRule="auto"/>
        <w:rPr>
          <w:rFonts w:ascii="Arial" w:hAnsi="Arial" w:cs="Arial"/>
        </w:rPr>
      </w:pPr>
    </w:p>
    <w:p w14:paraId="58343C2F" w14:textId="1A546B6B" w:rsidR="00613B0C" w:rsidRDefault="00613B0C" w:rsidP="00613B0C">
      <w:pPr>
        <w:spacing w:line="360" w:lineRule="auto"/>
        <w:rPr>
          <w:rFonts w:ascii="Arial" w:hAnsi="Arial" w:cs="Arial"/>
        </w:rPr>
      </w:pPr>
      <w:r w:rsidRPr="00613B0C">
        <w:rPr>
          <w:rFonts w:ascii="Arial" w:hAnsi="Arial" w:cs="Arial"/>
        </w:rPr>
        <w:t xml:space="preserve">In essence, the effective management of human resources in the hotel industry is significantly contingent upon the active engagement and involvement of employees. Human resource specialists bear the responsibility of fostering a sense of value and providing guidance to employees in their professional endeavours. They contribute to the establishment of a pleasant work environment that fosters collaboration, open communication, and mutual reliance. Employees are a vital component of any organisation, playing a pivotal role in enhancing productivity and achieving the goals of the organisation. The employee life cycle encompasses five distinct stages, namely: recruitment, onboarding, development, retention, and separation. </w:t>
      </w:r>
      <w:proofErr w:type="gramStart"/>
      <w:r w:rsidRPr="00613B0C">
        <w:rPr>
          <w:rFonts w:ascii="Arial" w:hAnsi="Arial" w:cs="Arial"/>
        </w:rPr>
        <w:t>In order to</w:t>
      </w:r>
      <w:proofErr w:type="gramEnd"/>
      <w:r w:rsidRPr="00613B0C">
        <w:rPr>
          <w:rFonts w:ascii="Arial" w:hAnsi="Arial" w:cs="Arial"/>
        </w:rPr>
        <w:t xml:space="preserve"> effectively assimilate newly hired employees, it is imperative for the Human Resources department to furnish them with the necessary resources that foster a </w:t>
      </w:r>
      <w:r w:rsidRPr="00613B0C">
        <w:rPr>
          <w:rFonts w:ascii="Arial" w:hAnsi="Arial" w:cs="Arial"/>
        </w:rPr>
        <w:lastRenderedPageBreak/>
        <w:t xml:space="preserve">sense of ease and worth in their newly assumed positions. The initial phase entails the development of an optimised onboarding procedure encompassing introductory activities, comprehensive training sessions, and provision of necessary resources. According to </w:t>
      </w:r>
      <w:proofErr w:type="spellStart"/>
      <w:r w:rsidRPr="00613B0C">
        <w:rPr>
          <w:rFonts w:ascii="Arial" w:hAnsi="Arial" w:cs="Arial"/>
        </w:rPr>
        <w:t>Nikolova</w:t>
      </w:r>
      <w:proofErr w:type="spellEnd"/>
      <w:r w:rsidRPr="00613B0C">
        <w:rPr>
          <w:rFonts w:ascii="Arial" w:hAnsi="Arial" w:cs="Arial"/>
        </w:rPr>
        <w:t xml:space="preserve"> (2019), fostering an engaged workforce serves to motivate and invigorate employees, resulting in increased levels of effort and enthusiasm in their job. It is imperative for organisations to prioritise the establishment of an environment that places significant importance on fostering employee autonomy, recognition, and professional development. Organisations can derive advantages from the utilisation of an employee engagement model, which offers a structured approach for assessing and enhancing employee engagement. For example, organisations may adopt conceptual frameworks such as the Zinger employee engagement model to enhance their understanding and promotion of employee engagement. The premise of this concept is around the notion that employee engagement is influenced by three primary factors: the individual's personal experiences, the organisational culture, and the interrelationships among employees (Ringo, 2020). Additionally, it suggests that organisations ought to leverage data and insights </w:t>
      </w:r>
      <w:proofErr w:type="gramStart"/>
      <w:r w:rsidRPr="00613B0C">
        <w:rPr>
          <w:rFonts w:ascii="Arial" w:hAnsi="Arial" w:cs="Arial"/>
        </w:rPr>
        <w:t>in order to</w:t>
      </w:r>
      <w:proofErr w:type="gramEnd"/>
      <w:r w:rsidRPr="00613B0C">
        <w:rPr>
          <w:rFonts w:ascii="Arial" w:hAnsi="Arial" w:cs="Arial"/>
        </w:rPr>
        <w:t xml:space="preserve"> assess the performance of each product, thereby enhancing staff motivation. Offering </w:t>
      </w:r>
      <w:proofErr w:type="gramStart"/>
      <w:r w:rsidRPr="00613B0C">
        <w:rPr>
          <w:rFonts w:ascii="Arial" w:hAnsi="Arial" w:cs="Arial"/>
        </w:rPr>
        <w:t>employees</w:t>
      </w:r>
      <w:proofErr w:type="gramEnd"/>
      <w:r w:rsidRPr="00613B0C">
        <w:rPr>
          <w:rFonts w:ascii="Arial" w:hAnsi="Arial" w:cs="Arial"/>
        </w:rPr>
        <w:t xml:space="preserve"> the opportunity to telecommute or share job duties with a colleague represents an additional strategy for enhancing employee satisfaction and reducing turnover rates. Enhancing employee engagement and motivation can be facilitated by providing them with opportunity to engage in educational workshops, seminars, and other relevant programmes. One example of training and development options includes courses focused on customer service.</w:t>
      </w:r>
    </w:p>
    <w:p w14:paraId="0F5738E0" w14:textId="77777777" w:rsidR="00613B0C" w:rsidRDefault="00613B0C" w:rsidP="00613B0C">
      <w:pPr>
        <w:spacing w:line="360" w:lineRule="auto"/>
        <w:rPr>
          <w:rFonts w:ascii="Arial" w:hAnsi="Arial" w:cs="Arial"/>
        </w:rPr>
      </w:pPr>
    </w:p>
    <w:p w14:paraId="10AACB96" w14:textId="77777777" w:rsidR="00613B0C" w:rsidRDefault="00613B0C" w:rsidP="00613B0C">
      <w:pPr>
        <w:spacing w:line="360" w:lineRule="auto"/>
        <w:rPr>
          <w:rFonts w:ascii="Arial" w:hAnsi="Arial" w:cs="Arial"/>
        </w:rPr>
      </w:pPr>
    </w:p>
    <w:p w14:paraId="54070799" w14:textId="77777777" w:rsidR="00613B0C" w:rsidRDefault="00613B0C" w:rsidP="00613B0C">
      <w:pPr>
        <w:spacing w:line="360" w:lineRule="auto"/>
        <w:rPr>
          <w:rFonts w:ascii="Arial" w:hAnsi="Arial" w:cs="Arial"/>
        </w:rPr>
      </w:pPr>
    </w:p>
    <w:p w14:paraId="2C8EDCCB" w14:textId="77777777" w:rsidR="00613B0C" w:rsidRDefault="00613B0C" w:rsidP="00613B0C">
      <w:pPr>
        <w:spacing w:line="360" w:lineRule="auto"/>
        <w:rPr>
          <w:rFonts w:ascii="Arial" w:hAnsi="Arial" w:cs="Arial"/>
        </w:rPr>
      </w:pPr>
    </w:p>
    <w:p w14:paraId="7E3D1E55" w14:textId="77777777" w:rsidR="00613B0C" w:rsidRDefault="00613B0C" w:rsidP="00613B0C">
      <w:pPr>
        <w:spacing w:line="360" w:lineRule="auto"/>
        <w:rPr>
          <w:rFonts w:ascii="Arial" w:hAnsi="Arial" w:cs="Arial"/>
        </w:rPr>
      </w:pPr>
    </w:p>
    <w:p w14:paraId="663DDB7E" w14:textId="77777777" w:rsidR="00613B0C" w:rsidRDefault="00613B0C" w:rsidP="00613B0C">
      <w:pPr>
        <w:spacing w:line="360" w:lineRule="auto"/>
        <w:rPr>
          <w:rFonts w:ascii="Arial" w:hAnsi="Arial" w:cs="Arial"/>
        </w:rPr>
      </w:pPr>
    </w:p>
    <w:p w14:paraId="0478FA82" w14:textId="77777777" w:rsidR="00613B0C" w:rsidRDefault="00613B0C" w:rsidP="00613B0C">
      <w:pPr>
        <w:spacing w:line="360" w:lineRule="auto"/>
        <w:rPr>
          <w:rFonts w:ascii="Arial" w:hAnsi="Arial" w:cs="Arial"/>
        </w:rPr>
      </w:pPr>
    </w:p>
    <w:p w14:paraId="179F3B07" w14:textId="77777777" w:rsidR="00613B0C" w:rsidRDefault="00613B0C" w:rsidP="00613B0C">
      <w:pPr>
        <w:spacing w:line="360" w:lineRule="auto"/>
        <w:rPr>
          <w:rFonts w:ascii="Arial" w:hAnsi="Arial" w:cs="Arial"/>
        </w:rPr>
      </w:pPr>
    </w:p>
    <w:p w14:paraId="1CF7B843" w14:textId="77777777" w:rsidR="00613B0C" w:rsidRDefault="00613B0C" w:rsidP="00613B0C">
      <w:pPr>
        <w:spacing w:line="360" w:lineRule="auto"/>
        <w:rPr>
          <w:rFonts w:ascii="Arial" w:hAnsi="Arial" w:cs="Arial"/>
        </w:rPr>
      </w:pPr>
    </w:p>
    <w:p w14:paraId="3D44340B" w14:textId="77777777" w:rsidR="00613B0C" w:rsidRDefault="00613B0C" w:rsidP="00613B0C">
      <w:pPr>
        <w:spacing w:line="360" w:lineRule="auto"/>
        <w:rPr>
          <w:rFonts w:ascii="Arial" w:hAnsi="Arial" w:cs="Arial"/>
        </w:rPr>
      </w:pPr>
    </w:p>
    <w:p w14:paraId="589A8AA3" w14:textId="77777777" w:rsidR="00613B0C" w:rsidRDefault="00613B0C" w:rsidP="00613B0C">
      <w:pPr>
        <w:spacing w:line="360" w:lineRule="auto"/>
        <w:rPr>
          <w:rFonts w:ascii="Arial" w:hAnsi="Arial" w:cs="Arial"/>
        </w:rPr>
      </w:pPr>
    </w:p>
    <w:p w14:paraId="1EAF9785" w14:textId="4F0C1D56" w:rsidR="00613B0C" w:rsidRDefault="00613B0C" w:rsidP="00613B0C">
      <w:pPr>
        <w:pStyle w:val="Heading2"/>
      </w:pPr>
      <w:bookmarkStart w:id="6" w:name="_Toc148724917"/>
      <w:r>
        <w:lastRenderedPageBreak/>
        <w:t>References</w:t>
      </w:r>
      <w:bookmarkEnd w:id="6"/>
    </w:p>
    <w:p w14:paraId="6D71421F" w14:textId="77777777" w:rsidR="00613B0C" w:rsidRDefault="00613B0C" w:rsidP="00613B0C">
      <w:pPr>
        <w:spacing w:line="360" w:lineRule="auto"/>
        <w:rPr>
          <w:rFonts w:ascii="Arial" w:hAnsi="Arial" w:cs="Arial"/>
        </w:rPr>
      </w:pPr>
    </w:p>
    <w:p w14:paraId="04D9106F" w14:textId="77777777" w:rsidR="00613B0C" w:rsidRPr="00613B0C" w:rsidRDefault="00613B0C" w:rsidP="00613B0C">
      <w:pPr>
        <w:pStyle w:val="NormalWeb"/>
        <w:rPr>
          <w:rFonts w:ascii="Arial" w:hAnsi="Arial" w:cs="Arial"/>
        </w:rPr>
      </w:pPr>
      <w:r w:rsidRPr="00613B0C">
        <w:rPr>
          <w:rFonts w:ascii="Arial" w:hAnsi="Arial" w:cs="Arial"/>
        </w:rPr>
        <w:t xml:space="preserve">Archer, N. (2017) </w:t>
      </w:r>
      <w:r w:rsidRPr="00613B0C">
        <w:rPr>
          <w:rFonts w:ascii="Arial" w:hAnsi="Arial" w:cs="Arial"/>
          <w:i/>
          <w:iCs/>
        </w:rPr>
        <w:t>Identity theft and fraud: Evaluating and managing risk</w:t>
      </w:r>
      <w:r w:rsidRPr="00613B0C">
        <w:rPr>
          <w:rFonts w:ascii="Arial" w:hAnsi="Arial" w:cs="Arial"/>
        </w:rPr>
        <w:t xml:space="preserve">. Ottawa: University of Ottawa Press. </w:t>
      </w:r>
    </w:p>
    <w:p w14:paraId="165815D8" w14:textId="77777777" w:rsidR="00613B0C" w:rsidRPr="00613B0C" w:rsidRDefault="00613B0C" w:rsidP="00613B0C">
      <w:pPr>
        <w:pStyle w:val="NormalWeb"/>
        <w:rPr>
          <w:rFonts w:ascii="Arial" w:hAnsi="Arial" w:cs="Arial"/>
        </w:rPr>
      </w:pPr>
      <w:proofErr w:type="spellStart"/>
      <w:r w:rsidRPr="00613B0C">
        <w:rPr>
          <w:rFonts w:ascii="Arial" w:hAnsi="Arial" w:cs="Arial"/>
        </w:rPr>
        <w:t>Bardhan</w:t>
      </w:r>
      <w:proofErr w:type="spellEnd"/>
      <w:r w:rsidRPr="00613B0C">
        <w:rPr>
          <w:rFonts w:ascii="Arial" w:hAnsi="Arial" w:cs="Arial"/>
        </w:rPr>
        <w:t xml:space="preserve">, S. (2022) “Engaging employees with positivity,” </w:t>
      </w:r>
      <w:r w:rsidRPr="00613B0C">
        <w:rPr>
          <w:rFonts w:ascii="Arial" w:hAnsi="Arial" w:cs="Arial"/>
          <w:i/>
          <w:iCs/>
        </w:rPr>
        <w:t>Research Anthology on Changing Dynamics of Diversity and Safety in the Workforce</w:t>
      </w:r>
      <w:r w:rsidRPr="00613B0C">
        <w:rPr>
          <w:rFonts w:ascii="Arial" w:hAnsi="Arial" w:cs="Arial"/>
        </w:rPr>
        <w:t xml:space="preserve">, pp. 1731–1743. Available at: https://doi.org/10.4018/978-1-6684-2405-6.ch085. </w:t>
      </w:r>
    </w:p>
    <w:p w14:paraId="4C4AB6B1" w14:textId="77777777" w:rsidR="00613B0C" w:rsidRPr="00613B0C" w:rsidRDefault="00613B0C" w:rsidP="00613B0C">
      <w:pPr>
        <w:pStyle w:val="NormalWeb"/>
        <w:rPr>
          <w:rFonts w:ascii="Arial" w:hAnsi="Arial" w:cs="Arial"/>
        </w:rPr>
      </w:pPr>
      <w:r w:rsidRPr="00613B0C">
        <w:rPr>
          <w:rFonts w:ascii="Arial" w:hAnsi="Arial" w:cs="Arial"/>
        </w:rPr>
        <w:t xml:space="preserve">Card, D. and Ransom, M. (2017) </w:t>
      </w:r>
      <w:r w:rsidRPr="00613B0C">
        <w:rPr>
          <w:rFonts w:ascii="Arial" w:hAnsi="Arial" w:cs="Arial"/>
          <w:i/>
          <w:iCs/>
        </w:rPr>
        <w:t xml:space="preserve">Pension plan characteristics and framing effects in employee savings </w:t>
      </w:r>
      <w:proofErr w:type="spellStart"/>
      <w:r w:rsidRPr="00613B0C">
        <w:rPr>
          <w:rFonts w:ascii="Arial" w:hAnsi="Arial" w:cs="Arial"/>
          <w:i/>
          <w:iCs/>
        </w:rPr>
        <w:t>behavior</w:t>
      </w:r>
      <w:proofErr w:type="spellEnd"/>
      <w:r w:rsidRPr="00613B0C">
        <w:rPr>
          <w:rFonts w:ascii="Arial" w:hAnsi="Arial" w:cs="Arial"/>
        </w:rPr>
        <w:t xml:space="preserve">. Cambridge, Mass: National Bureau of Economic Research. </w:t>
      </w:r>
    </w:p>
    <w:p w14:paraId="694F791E" w14:textId="77777777" w:rsidR="00613B0C" w:rsidRPr="00613B0C" w:rsidRDefault="00613B0C" w:rsidP="00613B0C">
      <w:pPr>
        <w:pStyle w:val="NormalWeb"/>
        <w:rPr>
          <w:rFonts w:ascii="Arial" w:hAnsi="Arial" w:cs="Arial"/>
        </w:rPr>
      </w:pPr>
      <w:r w:rsidRPr="00613B0C">
        <w:rPr>
          <w:rFonts w:ascii="Arial" w:hAnsi="Arial" w:cs="Arial"/>
        </w:rPr>
        <w:t xml:space="preserve">Carpenter, T. and Carpenter, J. (2021) </w:t>
      </w:r>
      <w:r w:rsidRPr="00613B0C">
        <w:rPr>
          <w:rFonts w:ascii="Arial" w:hAnsi="Arial" w:cs="Arial"/>
          <w:i/>
          <w:iCs/>
        </w:rPr>
        <w:t>People First: The 5 steps to Pure Human Connection and a thriving organization</w:t>
      </w:r>
      <w:r w:rsidRPr="00613B0C">
        <w:rPr>
          <w:rFonts w:ascii="Arial" w:hAnsi="Arial" w:cs="Arial"/>
        </w:rPr>
        <w:t xml:space="preserve">. New York: Post Hill Press. </w:t>
      </w:r>
    </w:p>
    <w:p w14:paraId="28E6656B" w14:textId="77777777" w:rsidR="00613B0C" w:rsidRPr="00613B0C" w:rsidRDefault="00613B0C" w:rsidP="00613B0C">
      <w:pPr>
        <w:pStyle w:val="NormalWeb"/>
        <w:rPr>
          <w:rFonts w:ascii="Arial" w:hAnsi="Arial" w:cs="Arial"/>
        </w:rPr>
      </w:pPr>
      <w:proofErr w:type="spellStart"/>
      <w:r w:rsidRPr="00613B0C">
        <w:rPr>
          <w:rFonts w:ascii="Arial" w:hAnsi="Arial" w:cs="Arial"/>
        </w:rPr>
        <w:t>Dollins</w:t>
      </w:r>
      <w:proofErr w:type="spellEnd"/>
      <w:r w:rsidRPr="00613B0C">
        <w:rPr>
          <w:rFonts w:ascii="Arial" w:hAnsi="Arial" w:cs="Arial"/>
        </w:rPr>
        <w:t xml:space="preserve">, M. and </w:t>
      </w:r>
      <w:proofErr w:type="spellStart"/>
      <w:r w:rsidRPr="00613B0C">
        <w:rPr>
          <w:rFonts w:ascii="Arial" w:hAnsi="Arial" w:cs="Arial"/>
        </w:rPr>
        <w:t>Stemmle</w:t>
      </w:r>
      <w:proofErr w:type="spellEnd"/>
      <w:r w:rsidRPr="00613B0C">
        <w:rPr>
          <w:rFonts w:ascii="Arial" w:hAnsi="Arial" w:cs="Arial"/>
        </w:rPr>
        <w:t xml:space="preserve">, J. (2021) “Employee communication measurement,” </w:t>
      </w:r>
      <w:r w:rsidRPr="00613B0C">
        <w:rPr>
          <w:rFonts w:ascii="Arial" w:hAnsi="Arial" w:cs="Arial"/>
          <w:i/>
          <w:iCs/>
        </w:rPr>
        <w:t>Engaging Employees through Strategic Communication</w:t>
      </w:r>
      <w:r w:rsidRPr="00613B0C">
        <w:rPr>
          <w:rFonts w:ascii="Arial" w:hAnsi="Arial" w:cs="Arial"/>
        </w:rPr>
        <w:t xml:space="preserve">, pp. 59–75. Available at: https://doi.org/10.4324/9781003024118-4. </w:t>
      </w:r>
    </w:p>
    <w:p w14:paraId="29CD7477" w14:textId="77777777" w:rsidR="00613B0C" w:rsidRPr="00613B0C" w:rsidRDefault="00613B0C" w:rsidP="00613B0C">
      <w:pPr>
        <w:pStyle w:val="NormalWeb"/>
        <w:rPr>
          <w:rFonts w:ascii="Arial" w:hAnsi="Arial" w:cs="Arial"/>
        </w:rPr>
      </w:pPr>
      <w:proofErr w:type="spellStart"/>
      <w:r w:rsidRPr="00613B0C">
        <w:rPr>
          <w:rFonts w:ascii="Arial" w:hAnsi="Arial" w:cs="Arial"/>
        </w:rPr>
        <w:t>Dollins</w:t>
      </w:r>
      <w:proofErr w:type="spellEnd"/>
      <w:r w:rsidRPr="00613B0C">
        <w:rPr>
          <w:rFonts w:ascii="Arial" w:hAnsi="Arial" w:cs="Arial"/>
        </w:rPr>
        <w:t xml:space="preserve">, M. and </w:t>
      </w:r>
      <w:proofErr w:type="spellStart"/>
      <w:r w:rsidRPr="00613B0C">
        <w:rPr>
          <w:rFonts w:ascii="Arial" w:hAnsi="Arial" w:cs="Arial"/>
        </w:rPr>
        <w:t>Stemmle</w:t>
      </w:r>
      <w:proofErr w:type="spellEnd"/>
      <w:r w:rsidRPr="00613B0C">
        <w:rPr>
          <w:rFonts w:ascii="Arial" w:hAnsi="Arial" w:cs="Arial"/>
        </w:rPr>
        <w:t xml:space="preserve">, J. (2021) “The evolution of employee communication to employee engagement,” </w:t>
      </w:r>
      <w:r w:rsidRPr="00613B0C">
        <w:rPr>
          <w:rFonts w:ascii="Arial" w:hAnsi="Arial" w:cs="Arial"/>
          <w:i/>
          <w:iCs/>
        </w:rPr>
        <w:t>Engaging Employees through Strategic Communication</w:t>
      </w:r>
      <w:r w:rsidRPr="00613B0C">
        <w:rPr>
          <w:rFonts w:ascii="Arial" w:hAnsi="Arial" w:cs="Arial"/>
        </w:rPr>
        <w:t xml:space="preserve">, pp. 197–212. Available at: https://doi.org/10.4324/9781003024118-12. </w:t>
      </w:r>
    </w:p>
    <w:p w14:paraId="49F9D4B8" w14:textId="77777777" w:rsidR="00613B0C" w:rsidRPr="00613B0C" w:rsidRDefault="00613B0C" w:rsidP="00613B0C">
      <w:pPr>
        <w:pStyle w:val="NormalWeb"/>
        <w:rPr>
          <w:rFonts w:ascii="Arial" w:hAnsi="Arial" w:cs="Arial"/>
        </w:rPr>
      </w:pPr>
      <w:proofErr w:type="spellStart"/>
      <w:r w:rsidRPr="00613B0C">
        <w:rPr>
          <w:rFonts w:ascii="Arial" w:hAnsi="Arial" w:cs="Arial"/>
        </w:rPr>
        <w:t>Graban</w:t>
      </w:r>
      <w:proofErr w:type="spellEnd"/>
      <w:r w:rsidRPr="00613B0C">
        <w:rPr>
          <w:rFonts w:ascii="Arial" w:hAnsi="Arial" w:cs="Arial"/>
        </w:rPr>
        <w:t xml:space="preserve">, M. and Toussaint, J. (2018) “Engaging and leading employees,” </w:t>
      </w:r>
      <w:r w:rsidRPr="00613B0C">
        <w:rPr>
          <w:rFonts w:ascii="Arial" w:hAnsi="Arial" w:cs="Arial"/>
          <w:i/>
          <w:iCs/>
        </w:rPr>
        <w:t>Lean Hospitals</w:t>
      </w:r>
      <w:r w:rsidRPr="00613B0C">
        <w:rPr>
          <w:rFonts w:ascii="Arial" w:hAnsi="Arial" w:cs="Arial"/>
        </w:rPr>
        <w:t xml:space="preserve">, pp. 237–269. Available at: https://doi.org/10.4324/9781315380827- 11. </w:t>
      </w:r>
    </w:p>
    <w:p w14:paraId="1062685E" w14:textId="77777777" w:rsidR="00613B0C" w:rsidRPr="00613B0C" w:rsidRDefault="00613B0C" w:rsidP="00613B0C">
      <w:pPr>
        <w:pStyle w:val="NormalWeb"/>
        <w:rPr>
          <w:rFonts w:ascii="Arial" w:hAnsi="Arial" w:cs="Arial"/>
        </w:rPr>
      </w:pPr>
      <w:r w:rsidRPr="00613B0C">
        <w:rPr>
          <w:rFonts w:ascii="Arial" w:hAnsi="Arial" w:cs="Arial"/>
        </w:rPr>
        <w:t xml:space="preserve">Gupta, S. (2019) “Challenges faced by Adecco Employees in handling employee lifecycle,” </w:t>
      </w:r>
      <w:r w:rsidRPr="00613B0C">
        <w:rPr>
          <w:rFonts w:ascii="Arial" w:hAnsi="Arial" w:cs="Arial"/>
          <w:i/>
          <w:iCs/>
        </w:rPr>
        <w:t xml:space="preserve">SSRN Electronic Journal </w:t>
      </w:r>
      <w:r w:rsidRPr="00613B0C">
        <w:rPr>
          <w:rFonts w:ascii="Arial" w:hAnsi="Arial" w:cs="Arial"/>
        </w:rPr>
        <w:t xml:space="preserve">[Preprint]. Available at: https://doi.org/10.2139/ssrn.3307019. </w:t>
      </w:r>
    </w:p>
    <w:p w14:paraId="2A4AA99A" w14:textId="77777777" w:rsidR="00613B0C" w:rsidRPr="00613B0C" w:rsidRDefault="00613B0C" w:rsidP="00613B0C">
      <w:pPr>
        <w:pStyle w:val="NormalWeb"/>
        <w:rPr>
          <w:rFonts w:ascii="Arial" w:hAnsi="Arial" w:cs="Arial"/>
        </w:rPr>
      </w:pPr>
      <w:r w:rsidRPr="00613B0C">
        <w:rPr>
          <w:rFonts w:ascii="Arial" w:hAnsi="Arial" w:cs="Arial"/>
        </w:rPr>
        <w:t xml:space="preserve">Hyman, J. (2018) “Empowering and engaging </w:t>
      </w:r>
      <w:proofErr w:type="gramStart"/>
      <w:r w:rsidRPr="00613B0C">
        <w:rPr>
          <w:rFonts w:ascii="Arial" w:hAnsi="Arial" w:cs="Arial"/>
        </w:rPr>
        <w:t>employees?,</w:t>
      </w:r>
      <w:proofErr w:type="gramEnd"/>
      <w:r w:rsidRPr="00613B0C">
        <w:rPr>
          <w:rFonts w:ascii="Arial" w:hAnsi="Arial" w:cs="Arial"/>
        </w:rPr>
        <w:t xml:space="preserve">” </w:t>
      </w:r>
      <w:r w:rsidRPr="00613B0C">
        <w:rPr>
          <w:rFonts w:ascii="Arial" w:hAnsi="Arial" w:cs="Arial"/>
          <w:i/>
          <w:iCs/>
        </w:rPr>
        <w:t xml:space="preserve">Employee </w:t>
      </w:r>
      <w:proofErr w:type="spellStart"/>
      <w:r w:rsidRPr="00613B0C">
        <w:rPr>
          <w:rFonts w:ascii="Arial" w:hAnsi="Arial" w:cs="Arial"/>
          <w:i/>
          <w:iCs/>
        </w:rPr>
        <w:t>Voiceand</w:t>
      </w:r>
      <w:proofErr w:type="spellEnd"/>
      <w:r w:rsidRPr="00613B0C">
        <w:rPr>
          <w:rFonts w:ascii="Arial" w:hAnsi="Arial" w:cs="Arial"/>
          <w:i/>
          <w:iCs/>
        </w:rPr>
        <w:t xml:space="preserve"> Participation</w:t>
      </w:r>
      <w:r w:rsidRPr="00613B0C">
        <w:rPr>
          <w:rFonts w:ascii="Arial" w:hAnsi="Arial" w:cs="Arial"/>
        </w:rPr>
        <w:t xml:space="preserve">, pp. 107–119. Available at: https://doi.org/10.4324/9781315172880-8. </w:t>
      </w:r>
    </w:p>
    <w:p w14:paraId="41F8B91B" w14:textId="77777777" w:rsidR="00613B0C" w:rsidRPr="00613B0C" w:rsidRDefault="00613B0C" w:rsidP="00613B0C">
      <w:pPr>
        <w:pStyle w:val="NormalWeb"/>
        <w:rPr>
          <w:rFonts w:ascii="Arial" w:hAnsi="Arial" w:cs="Arial"/>
        </w:rPr>
      </w:pPr>
      <w:proofErr w:type="spellStart"/>
      <w:r w:rsidRPr="00613B0C">
        <w:rPr>
          <w:rFonts w:ascii="Arial" w:hAnsi="Arial" w:cs="Arial"/>
        </w:rPr>
        <w:t>Krutz</w:t>
      </w:r>
      <w:proofErr w:type="spellEnd"/>
      <w:r w:rsidRPr="00613B0C">
        <w:rPr>
          <w:rFonts w:ascii="Arial" w:hAnsi="Arial" w:cs="Arial"/>
        </w:rPr>
        <w:t xml:space="preserve">, R.L. and Fry, A. (2019) </w:t>
      </w:r>
      <w:r w:rsidRPr="00613B0C">
        <w:rPr>
          <w:rFonts w:ascii="Arial" w:hAnsi="Arial" w:cs="Arial"/>
          <w:i/>
          <w:iCs/>
        </w:rPr>
        <w:t>The CSSLP Prep Guide: Mastering the Certified Secure Software Lifecycle Professional</w:t>
      </w:r>
      <w:r w:rsidRPr="00613B0C">
        <w:rPr>
          <w:rFonts w:ascii="Arial" w:hAnsi="Arial" w:cs="Arial"/>
        </w:rPr>
        <w:t xml:space="preserve">. Wiley Imprint. </w:t>
      </w:r>
    </w:p>
    <w:p w14:paraId="7DE21ACB" w14:textId="77777777" w:rsidR="00613B0C" w:rsidRPr="00613B0C" w:rsidRDefault="00613B0C" w:rsidP="00613B0C">
      <w:pPr>
        <w:pStyle w:val="NormalWeb"/>
        <w:rPr>
          <w:rFonts w:ascii="Arial" w:hAnsi="Arial" w:cs="Arial"/>
        </w:rPr>
      </w:pPr>
      <w:proofErr w:type="spellStart"/>
      <w:r w:rsidRPr="00613B0C">
        <w:rPr>
          <w:rFonts w:ascii="Arial" w:hAnsi="Arial" w:cs="Arial"/>
        </w:rPr>
        <w:t>Kühnen</w:t>
      </w:r>
      <w:proofErr w:type="spellEnd"/>
      <w:r w:rsidRPr="00613B0C">
        <w:rPr>
          <w:rFonts w:ascii="Arial" w:hAnsi="Arial" w:cs="Arial"/>
        </w:rPr>
        <w:t xml:space="preserve">, U. (2021) “Engaging employees through corporate social responsibility programs: Aligning Corporate Social Responsibility and employee engagement,” </w:t>
      </w:r>
      <w:r w:rsidRPr="00613B0C">
        <w:rPr>
          <w:rFonts w:ascii="Arial" w:hAnsi="Arial" w:cs="Arial"/>
          <w:i/>
          <w:iCs/>
        </w:rPr>
        <w:t>Journal of Organizational Psychology</w:t>
      </w:r>
      <w:r w:rsidRPr="00613B0C">
        <w:rPr>
          <w:rFonts w:ascii="Arial" w:hAnsi="Arial" w:cs="Arial"/>
        </w:rPr>
        <w:t xml:space="preserve">, 21(1). Available at: https://doi.org/10.33423/jop.v21i1.4029. </w:t>
      </w:r>
    </w:p>
    <w:p w14:paraId="662AE3B7" w14:textId="77777777" w:rsidR="00613B0C" w:rsidRPr="00613B0C" w:rsidRDefault="00613B0C" w:rsidP="00613B0C">
      <w:pPr>
        <w:pStyle w:val="NormalWeb"/>
        <w:rPr>
          <w:rFonts w:ascii="Arial" w:hAnsi="Arial" w:cs="Arial"/>
        </w:rPr>
      </w:pPr>
      <w:r w:rsidRPr="00613B0C">
        <w:rPr>
          <w:rFonts w:ascii="Arial" w:hAnsi="Arial" w:cs="Arial"/>
        </w:rPr>
        <w:t xml:space="preserve">Macey, W.H. and Fink, A.A. (2020) </w:t>
      </w:r>
      <w:r w:rsidRPr="00613B0C">
        <w:rPr>
          <w:rFonts w:ascii="Arial" w:hAnsi="Arial" w:cs="Arial"/>
          <w:i/>
          <w:iCs/>
        </w:rPr>
        <w:t>Employee surveys and sensing: Challenges and opportunities</w:t>
      </w:r>
      <w:r w:rsidRPr="00613B0C">
        <w:rPr>
          <w:rFonts w:ascii="Arial" w:hAnsi="Arial" w:cs="Arial"/>
        </w:rPr>
        <w:t xml:space="preserve">. New York, NY: Oxford University Press. </w:t>
      </w:r>
    </w:p>
    <w:p w14:paraId="166EDAFE" w14:textId="77777777" w:rsidR="00613B0C" w:rsidRPr="00613B0C" w:rsidRDefault="00613B0C" w:rsidP="00613B0C">
      <w:pPr>
        <w:pStyle w:val="NormalWeb"/>
        <w:rPr>
          <w:rFonts w:ascii="Arial" w:hAnsi="Arial" w:cs="Arial"/>
        </w:rPr>
      </w:pPr>
      <w:r w:rsidRPr="00613B0C">
        <w:rPr>
          <w:rFonts w:ascii="Arial" w:hAnsi="Arial" w:cs="Arial"/>
        </w:rPr>
        <w:t xml:space="preserve">Mattox, J.R. (2016) </w:t>
      </w:r>
      <w:r w:rsidRPr="00613B0C">
        <w:rPr>
          <w:rFonts w:ascii="Arial" w:hAnsi="Arial" w:cs="Arial"/>
          <w:i/>
          <w:iCs/>
        </w:rPr>
        <w:t>Learning analytics</w:t>
      </w:r>
      <w:r w:rsidRPr="00613B0C">
        <w:rPr>
          <w:rFonts w:ascii="Arial" w:hAnsi="Arial" w:cs="Arial"/>
        </w:rPr>
        <w:t xml:space="preserve">. London: Kogan Page. </w:t>
      </w:r>
    </w:p>
    <w:p w14:paraId="35D41140" w14:textId="77777777" w:rsidR="00613B0C" w:rsidRPr="00613B0C" w:rsidRDefault="00613B0C" w:rsidP="00613B0C">
      <w:pPr>
        <w:pStyle w:val="NormalWeb"/>
        <w:rPr>
          <w:rFonts w:ascii="Arial" w:hAnsi="Arial" w:cs="Arial"/>
        </w:rPr>
      </w:pPr>
      <w:r w:rsidRPr="00613B0C">
        <w:rPr>
          <w:rFonts w:ascii="Arial" w:hAnsi="Arial" w:cs="Arial"/>
        </w:rPr>
        <w:lastRenderedPageBreak/>
        <w:t xml:space="preserve">Nel, J.H. (2018) “Framework for engaging unionised employees,” </w:t>
      </w:r>
      <w:r w:rsidRPr="00613B0C">
        <w:rPr>
          <w:rFonts w:ascii="Arial" w:hAnsi="Arial" w:cs="Arial"/>
          <w:i/>
          <w:iCs/>
        </w:rPr>
        <w:t>The Art of Engaging Unionised Employees</w:t>
      </w:r>
      <w:r w:rsidRPr="00613B0C">
        <w:rPr>
          <w:rFonts w:ascii="Arial" w:hAnsi="Arial" w:cs="Arial"/>
        </w:rPr>
        <w:t xml:space="preserve">, pp. 81–99. Available at: https://doi.org/10.1007/978-981-13-2197-9_6. </w:t>
      </w:r>
    </w:p>
    <w:p w14:paraId="23A688F6" w14:textId="77777777" w:rsidR="00613B0C" w:rsidRPr="00613B0C" w:rsidRDefault="00613B0C" w:rsidP="00613B0C">
      <w:pPr>
        <w:pStyle w:val="NormalWeb"/>
        <w:rPr>
          <w:rFonts w:ascii="Arial" w:hAnsi="Arial" w:cs="Arial"/>
        </w:rPr>
      </w:pPr>
      <w:r w:rsidRPr="00613B0C">
        <w:rPr>
          <w:rFonts w:ascii="Arial" w:hAnsi="Arial" w:cs="Arial"/>
        </w:rPr>
        <w:t xml:space="preserve">Nel, J.H. and Linde, B. (2018) “Engaging Unionised employees,” </w:t>
      </w:r>
      <w:r w:rsidRPr="00613B0C">
        <w:rPr>
          <w:rFonts w:ascii="Arial" w:hAnsi="Arial" w:cs="Arial"/>
          <w:i/>
          <w:iCs/>
        </w:rPr>
        <w:t>The Art of Engaging Unionised Employees</w:t>
      </w:r>
      <w:r w:rsidRPr="00613B0C">
        <w:rPr>
          <w:rFonts w:ascii="Arial" w:hAnsi="Arial" w:cs="Arial"/>
        </w:rPr>
        <w:t xml:space="preserve">, pp. 61–80. Available at: https://doi.org/10.1007/978-981-13-2197-9_5. </w:t>
      </w:r>
    </w:p>
    <w:p w14:paraId="46E10E7F" w14:textId="77777777" w:rsidR="00613B0C" w:rsidRPr="00613B0C" w:rsidRDefault="00613B0C" w:rsidP="00613B0C">
      <w:pPr>
        <w:pStyle w:val="NormalWeb"/>
        <w:rPr>
          <w:rFonts w:ascii="Arial" w:hAnsi="Arial" w:cs="Arial"/>
        </w:rPr>
      </w:pPr>
      <w:proofErr w:type="spellStart"/>
      <w:r w:rsidRPr="00613B0C">
        <w:rPr>
          <w:rFonts w:ascii="Arial" w:hAnsi="Arial" w:cs="Arial"/>
        </w:rPr>
        <w:t>Nikolova</w:t>
      </w:r>
      <w:proofErr w:type="spellEnd"/>
      <w:r w:rsidRPr="00613B0C">
        <w:rPr>
          <w:rFonts w:ascii="Arial" w:hAnsi="Arial" w:cs="Arial"/>
        </w:rPr>
        <w:t xml:space="preserve">, I. (2019) “Engaging leader – engaged employees? A cross-lagged study on employee engagement,” </w:t>
      </w:r>
      <w:r w:rsidRPr="00613B0C">
        <w:rPr>
          <w:rFonts w:ascii="Arial" w:hAnsi="Arial" w:cs="Arial"/>
          <w:i/>
          <w:iCs/>
        </w:rPr>
        <w:t>European Management Journal</w:t>
      </w:r>
      <w:r w:rsidRPr="00613B0C">
        <w:rPr>
          <w:rFonts w:ascii="Arial" w:hAnsi="Arial" w:cs="Arial"/>
        </w:rPr>
        <w:t xml:space="preserve">, 37(6), pp. 772–783. Available at: https://doi.org/10.1016/j.emj.2019.02.004. </w:t>
      </w:r>
    </w:p>
    <w:p w14:paraId="42F602C4" w14:textId="77777777" w:rsidR="00613B0C" w:rsidRPr="00613B0C" w:rsidRDefault="00613B0C" w:rsidP="00613B0C">
      <w:pPr>
        <w:pStyle w:val="NormalWeb"/>
        <w:rPr>
          <w:rFonts w:ascii="Arial" w:hAnsi="Arial" w:cs="Arial"/>
        </w:rPr>
      </w:pPr>
      <w:r w:rsidRPr="00613B0C">
        <w:rPr>
          <w:rFonts w:ascii="Arial" w:hAnsi="Arial" w:cs="Arial"/>
        </w:rPr>
        <w:t xml:space="preserve">Ringo, T. (2020) </w:t>
      </w:r>
      <w:r w:rsidRPr="00613B0C">
        <w:rPr>
          <w:rFonts w:ascii="Arial" w:hAnsi="Arial" w:cs="Arial"/>
          <w:i/>
          <w:iCs/>
        </w:rPr>
        <w:t>Solving the productivity puzzle: How to engage, motivate and develop employees to improve individual and business performance</w:t>
      </w:r>
      <w:r w:rsidRPr="00613B0C">
        <w:rPr>
          <w:rFonts w:ascii="Arial" w:hAnsi="Arial" w:cs="Arial"/>
        </w:rPr>
        <w:t xml:space="preserve">. London: Kogan Page Inc. </w:t>
      </w:r>
    </w:p>
    <w:p w14:paraId="72D4F0DE" w14:textId="77777777" w:rsidR="00613B0C" w:rsidRPr="00613B0C" w:rsidRDefault="00613B0C" w:rsidP="00613B0C">
      <w:pPr>
        <w:pStyle w:val="NormalWeb"/>
        <w:rPr>
          <w:rFonts w:ascii="Arial" w:hAnsi="Arial" w:cs="Arial"/>
        </w:rPr>
      </w:pPr>
      <w:proofErr w:type="spellStart"/>
      <w:r w:rsidRPr="00613B0C">
        <w:rPr>
          <w:rFonts w:ascii="Arial" w:hAnsi="Arial" w:cs="Arial"/>
        </w:rPr>
        <w:t>Ringard</w:t>
      </w:r>
      <w:proofErr w:type="spellEnd"/>
      <w:r w:rsidRPr="00613B0C">
        <w:rPr>
          <w:rFonts w:ascii="Arial" w:hAnsi="Arial" w:cs="Arial"/>
        </w:rPr>
        <w:t xml:space="preserve">, J. (2020) </w:t>
      </w:r>
      <w:r w:rsidRPr="00613B0C">
        <w:rPr>
          <w:rFonts w:ascii="Arial" w:hAnsi="Arial" w:cs="Arial"/>
          <w:i/>
          <w:iCs/>
        </w:rPr>
        <w:t>How people engagement, innovation and performance will transform the world of work</w:t>
      </w:r>
      <w:r w:rsidRPr="00613B0C">
        <w:rPr>
          <w:rFonts w:ascii="Arial" w:hAnsi="Arial" w:cs="Arial"/>
        </w:rPr>
        <w:t xml:space="preserve">. New York: Kogan Page Inc. </w:t>
      </w:r>
    </w:p>
    <w:p w14:paraId="6E29626A" w14:textId="77777777" w:rsidR="00613B0C" w:rsidRPr="00613B0C" w:rsidRDefault="00613B0C" w:rsidP="00613B0C">
      <w:pPr>
        <w:pStyle w:val="NormalWeb"/>
        <w:rPr>
          <w:rFonts w:ascii="Arial" w:hAnsi="Arial" w:cs="Arial"/>
        </w:rPr>
      </w:pPr>
      <w:proofErr w:type="spellStart"/>
      <w:r w:rsidRPr="00613B0C">
        <w:rPr>
          <w:rFonts w:ascii="Arial" w:hAnsi="Arial" w:cs="Arial"/>
        </w:rPr>
        <w:t>Stadter</w:t>
      </w:r>
      <w:proofErr w:type="spellEnd"/>
      <w:r w:rsidRPr="00613B0C">
        <w:rPr>
          <w:rFonts w:ascii="Arial" w:hAnsi="Arial" w:cs="Arial"/>
        </w:rPr>
        <w:t xml:space="preserve">, F. (2014) </w:t>
      </w:r>
      <w:r w:rsidRPr="00613B0C">
        <w:rPr>
          <w:rFonts w:ascii="Arial" w:hAnsi="Arial" w:cs="Arial"/>
          <w:i/>
          <w:iCs/>
        </w:rPr>
        <w:t>The role of learning and development in Employer Brand Practices</w:t>
      </w:r>
      <w:r w:rsidRPr="00613B0C">
        <w:rPr>
          <w:rFonts w:ascii="Arial" w:hAnsi="Arial" w:cs="Arial"/>
        </w:rPr>
        <w:t xml:space="preserve">. </w:t>
      </w:r>
      <w:proofErr w:type="spellStart"/>
      <w:r w:rsidRPr="00613B0C">
        <w:rPr>
          <w:rFonts w:ascii="Arial" w:hAnsi="Arial" w:cs="Arial"/>
        </w:rPr>
        <w:t>ScholarlyCommons</w:t>
      </w:r>
      <w:proofErr w:type="spellEnd"/>
      <w:r w:rsidRPr="00613B0C">
        <w:rPr>
          <w:rFonts w:ascii="Arial" w:hAnsi="Arial" w:cs="Arial"/>
        </w:rPr>
        <w:t xml:space="preserve">. </w:t>
      </w:r>
    </w:p>
    <w:p w14:paraId="44B180C2" w14:textId="77777777" w:rsidR="00613B0C" w:rsidRPr="00613B0C" w:rsidRDefault="00613B0C" w:rsidP="00613B0C">
      <w:pPr>
        <w:pStyle w:val="NormalWeb"/>
        <w:rPr>
          <w:rFonts w:ascii="Arial" w:hAnsi="Arial" w:cs="Arial"/>
        </w:rPr>
      </w:pPr>
      <w:proofErr w:type="spellStart"/>
      <w:r w:rsidRPr="00613B0C">
        <w:rPr>
          <w:rFonts w:ascii="Arial" w:hAnsi="Arial" w:cs="Arial"/>
        </w:rPr>
        <w:t>Thompsen</w:t>
      </w:r>
      <w:proofErr w:type="spellEnd"/>
      <w:r w:rsidRPr="00613B0C">
        <w:rPr>
          <w:rFonts w:ascii="Arial" w:hAnsi="Arial" w:cs="Arial"/>
        </w:rPr>
        <w:t xml:space="preserve">, J.A. (2019) </w:t>
      </w:r>
      <w:r w:rsidRPr="00613B0C">
        <w:rPr>
          <w:rFonts w:ascii="Arial" w:hAnsi="Arial" w:cs="Arial"/>
          <w:i/>
          <w:iCs/>
        </w:rPr>
        <w:t>Managing the employee lifecycle</w:t>
      </w:r>
      <w:r w:rsidRPr="00613B0C">
        <w:rPr>
          <w:rFonts w:ascii="Arial" w:hAnsi="Arial" w:cs="Arial"/>
        </w:rPr>
        <w:t xml:space="preserve">. London: Routledge. </w:t>
      </w:r>
    </w:p>
    <w:p w14:paraId="5759393D" w14:textId="77777777" w:rsidR="00613B0C" w:rsidRPr="00613B0C" w:rsidRDefault="00613B0C" w:rsidP="00613B0C">
      <w:pPr>
        <w:spacing w:line="360" w:lineRule="auto"/>
        <w:rPr>
          <w:rFonts w:ascii="Arial" w:hAnsi="Arial" w:cs="Arial"/>
        </w:rPr>
      </w:pPr>
    </w:p>
    <w:sectPr w:rsidR="00613B0C" w:rsidRPr="00613B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Sans">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B0C"/>
    <w:rsid w:val="00613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441882"/>
  <w15:chartTrackingRefBased/>
  <w15:docId w15:val="{7B8B60D5-2DF5-8340-956C-F8C70EE49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B0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3B0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3B0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2Char">
    <w:name w:val="Heading 2 Char"/>
    <w:basedOn w:val="DefaultParagraphFont"/>
    <w:link w:val="Heading2"/>
    <w:uiPriority w:val="9"/>
    <w:rsid w:val="00613B0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13B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3B0C"/>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613B0C"/>
    <w:pPr>
      <w:spacing w:before="120"/>
      <w:ind w:left="240"/>
    </w:pPr>
    <w:rPr>
      <w:rFonts w:cstheme="minorHAnsi"/>
      <w:b/>
      <w:bCs/>
      <w:sz w:val="22"/>
      <w:szCs w:val="22"/>
    </w:rPr>
  </w:style>
  <w:style w:type="character" w:styleId="Hyperlink">
    <w:name w:val="Hyperlink"/>
    <w:basedOn w:val="DefaultParagraphFont"/>
    <w:uiPriority w:val="99"/>
    <w:unhideWhenUsed/>
    <w:rsid w:val="00613B0C"/>
    <w:rPr>
      <w:color w:val="0563C1" w:themeColor="hyperlink"/>
      <w:u w:val="single"/>
    </w:rPr>
  </w:style>
  <w:style w:type="paragraph" w:styleId="TOC1">
    <w:name w:val="toc 1"/>
    <w:basedOn w:val="Normal"/>
    <w:next w:val="Normal"/>
    <w:autoRedefine/>
    <w:uiPriority w:val="39"/>
    <w:semiHidden/>
    <w:unhideWhenUsed/>
    <w:rsid w:val="00613B0C"/>
    <w:pPr>
      <w:spacing w:before="120"/>
    </w:pPr>
    <w:rPr>
      <w:rFonts w:cstheme="minorHAnsi"/>
      <w:b/>
      <w:bCs/>
      <w:i/>
      <w:iCs/>
    </w:rPr>
  </w:style>
  <w:style w:type="paragraph" w:styleId="TOC3">
    <w:name w:val="toc 3"/>
    <w:basedOn w:val="Normal"/>
    <w:next w:val="Normal"/>
    <w:autoRedefine/>
    <w:uiPriority w:val="39"/>
    <w:semiHidden/>
    <w:unhideWhenUsed/>
    <w:rsid w:val="00613B0C"/>
    <w:pPr>
      <w:ind w:left="480"/>
    </w:pPr>
    <w:rPr>
      <w:rFonts w:cstheme="minorHAnsi"/>
      <w:sz w:val="20"/>
      <w:szCs w:val="20"/>
    </w:rPr>
  </w:style>
  <w:style w:type="paragraph" w:styleId="TOC4">
    <w:name w:val="toc 4"/>
    <w:basedOn w:val="Normal"/>
    <w:next w:val="Normal"/>
    <w:autoRedefine/>
    <w:uiPriority w:val="39"/>
    <w:semiHidden/>
    <w:unhideWhenUsed/>
    <w:rsid w:val="00613B0C"/>
    <w:pPr>
      <w:ind w:left="720"/>
    </w:pPr>
    <w:rPr>
      <w:rFonts w:cstheme="minorHAnsi"/>
      <w:sz w:val="20"/>
      <w:szCs w:val="20"/>
    </w:rPr>
  </w:style>
  <w:style w:type="paragraph" w:styleId="TOC5">
    <w:name w:val="toc 5"/>
    <w:basedOn w:val="Normal"/>
    <w:next w:val="Normal"/>
    <w:autoRedefine/>
    <w:uiPriority w:val="39"/>
    <w:semiHidden/>
    <w:unhideWhenUsed/>
    <w:rsid w:val="00613B0C"/>
    <w:pPr>
      <w:ind w:left="960"/>
    </w:pPr>
    <w:rPr>
      <w:rFonts w:cstheme="minorHAnsi"/>
      <w:sz w:val="20"/>
      <w:szCs w:val="20"/>
    </w:rPr>
  </w:style>
  <w:style w:type="paragraph" w:styleId="TOC6">
    <w:name w:val="toc 6"/>
    <w:basedOn w:val="Normal"/>
    <w:next w:val="Normal"/>
    <w:autoRedefine/>
    <w:uiPriority w:val="39"/>
    <w:semiHidden/>
    <w:unhideWhenUsed/>
    <w:rsid w:val="00613B0C"/>
    <w:pPr>
      <w:ind w:left="1200"/>
    </w:pPr>
    <w:rPr>
      <w:rFonts w:cstheme="minorHAnsi"/>
      <w:sz w:val="20"/>
      <w:szCs w:val="20"/>
    </w:rPr>
  </w:style>
  <w:style w:type="paragraph" w:styleId="TOC7">
    <w:name w:val="toc 7"/>
    <w:basedOn w:val="Normal"/>
    <w:next w:val="Normal"/>
    <w:autoRedefine/>
    <w:uiPriority w:val="39"/>
    <w:semiHidden/>
    <w:unhideWhenUsed/>
    <w:rsid w:val="00613B0C"/>
    <w:pPr>
      <w:ind w:left="1440"/>
    </w:pPr>
    <w:rPr>
      <w:rFonts w:cstheme="minorHAnsi"/>
      <w:sz w:val="20"/>
      <w:szCs w:val="20"/>
    </w:rPr>
  </w:style>
  <w:style w:type="paragraph" w:styleId="TOC8">
    <w:name w:val="toc 8"/>
    <w:basedOn w:val="Normal"/>
    <w:next w:val="Normal"/>
    <w:autoRedefine/>
    <w:uiPriority w:val="39"/>
    <w:semiHidden/>
    <w:unhideWhenUsed/>
    <w:rsid w:val="00613B0C"/>
    <w:pPr>
      <w:ind w:left="1680"/>
    </w:pPr>
    <w:rPr>
      <w:rFonts w:cstheme="minorHAnsi"/>
      <w:sz w:val="20"/>
      <w:szCs w:val="20"/>
    </w:rPr>
  </w:style>
  <w:style w:type="paragraph" w:styleId="TOC9">
    <w:name w:val="toc 9"/>
    <w:basedOn w:val="Normal"/>
    <w:next w:val="Normal"/>
    <w:autoRedefine/>
    <w:uiPriority w:val="39"/>
    <w:semiHidden/>
    <w:unhideWhenUsed/>
    <w:rsid w:val="00613B0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790039">
      <w:bodyDiv w:val="1"/>
      <w:marLeft w:val="0"/>
      <w:marRight w:val="0"/>
      <w:marTop w:val="0"/>
      <w:marBottom w:val="0"/>
      <w:divBdr>
        <w:top w:val="none" w:sz="0" w:space="0" w:color="auto"/>
        <w:left w:val="none" w:sz="0" w:space="0" w:color="auto"/>
        <w:bottom w:val="none" w:sz="0" w:space="0" w:color="auto"/>
        <w:right w:val="none" w:sz="0" w:space="0" w:color="auto"/>
      </w:divBdr>
      <w:divsChild>
        <w:div w:id="1557740161">
          <w:marLeft w:val="0"/>
          <w:marRight w:val="0"/>
          <w:marTop w:val="0"/>
          <w:marBottom w:val="0"/>
          <w:divBdr>
            <w:top w:val="none" w:sz="0" w:space="0" w:color="auto"/>
            <w:left w:val="none" w:sz="0" w:space="0" w:color="auto"/>
            <w:bottom w:val="none" w:sz="0" w:space="0" w:color="auto"/>
            <w:right w:val="none" w:sz="0" w:space="0" w:color="auto"/>
          </w:divBdr>
          <w:divsChild>
            <w:div w:id="1816987320">
              <w:marLeft w:val="0"/>
              <w:marRight w:val="0"/>
              <w:marTop w:val="0"/>
              <w:marBottom w:val="0"/>
              <w:divBdr>
                <w:top w:val="none" w:sz="0" w:space="0" w:color="auto"/>
                <w:left w:val="none" w:sz="0" w:space="0" w:color="auto"/>
                <w:bottom w:val="none" w:sz="0" w:space="0" w:color="auto"/>
                <w:right w:val="none" w:sz="0" w:space="0" w:color="auto"/>
              </w:divBdr>
              <w:divsChild>
                <w:div w:id="89195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892972">
      <w:bodyDiv w:val="1"/>
      <w:marLeft w:val="0"/>
      <w:marRight w:val="0"/>
      <w:marTop w:val="0"/>
      <w:marBottom w:val="0"/>
      <w:divBdr>
        <w:top w:val="none" w:sz="0" w:space="0" w:color="auto"/>
        <w:left w:val="none" w:sz="0" w:space="0" w:color="auto"/>
        <w:bottom w:val="none" w:sz="0" w:space="0" w:color="auto"/>
        <w:right w:val="none" w:sz="0" w:space="0" w:color="auto"/>
      </w:divBdr>
      <w:divsChild>
        <w:div w:id="127751331">
          <w:marLeft w:val="0"/>
          <w:marRight w:val="0"/>
          <w:marTop w:val="0"/>
          <w:marBottom w:val="0"/>
          <w:divBdr>
            <w:top w:val="none" w:sz="0" w:space="0" w:color="auto"/>
            <w:left w:val="none" w:sz="0" w:space="0" w:color="auto"/>
            <w:bottom w:val="none" w:sz="0" w:space="0" w:color="auto"/>
            <w:right w:val="none" w:sz="0" w:space="0" w:color="auto"/>
          </w:divBdr>
          <w:divsChild>
            <w:div w:id="412509838">
              <w:marLeft w:val="0"/>
              <w:marRight w:val="0"/>
              <w:marTop w:val="0"/>
              <w:marBottom w:val="0"/>
              <w:divBdr>
                <w:top w:val="none" w:sz="0" w:space="0" w:color="auto"/>
                <w:left w:val="none" w:sz="0" w:space="0" w:color="auto"/>
                <w:bottom w:val="none" w:sz="0" w:space="0" w:color="auto"/>
                <w:right w:val="none" w:sz="0" w:space="0" w:color="auto"/>
              </w:divBdr>
              <w:divsChild>
                <w:div w:id="164268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691789">
      <w:bodyDiv w:val="1"/>
      <w:marLeft w:val="0"/>
      <w:marRight w:val="0"/>
      <w:marTop w:val="0"/>
      <w:marBottom w:val="0"/>
      <w:divBdr>
        <w:top w:val="none" w:sz="0" w:space="0" w:color="auto"/>
        <w:left w:val="none" w:sz="0" w:space="0" w:color="auto"/>
        <w:bottom w:val="none" w:sz="0" w:space="0" w:color="auto"/>
        <w:right w:val="none" w:sz="0" w:space="0" w:color="auto"/>
      </w:divBdr>
      <w:divsChild>
        <w:div w:id="1558735877">
          <w:marLeft w:val="0"/>
          <w:marRight w:val="0"/>
          <w:marTop w:val="0"/>
          <w:marBottom w:val="0"/>
          <w:divBdr>
            <w:top w:val="none" w:sz="0" w:space="0" w:color="auto"/>
            <w:left w:val="none" w:sz="0" w:space="0" w:color="auto"/>
            <w:bottom w:val="none" w:sz="0" w:space="0" w:color="auto"/>
            <w:right w:val="none" w:sz="0" w:space="0" w:color="auto"/>
          </w:divBdr>
          <w:divsChild>
            <w:div w:id="707607055">
              <w:marLeft w:val="0"/>
              <w:marRight w:val="0"/>
              <w:marTop w:val="0"/>
              <w:marBottom w:val="0"/>
              <w:divBdr>
                <w:top w:val="none" w:sz="0" w:space="0" w:color="auto"/>
                <w:left w:val="none" w:sz="0" w:space="0" w:color="auto"/>
                <w:bottom w:val="none" w:sz="0" w:space="0" w:color="auto"/>
                <w:right w:val="none" w:sz="0" w:space="0" w:color="auto"/>
              </w:divBdr>
              <w:divsChild>
                <w:div w:id="3369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180628">
      <w:bodyDiv w:val="1"/>
      <w:marLeft w:val="0"/>
      <w:marRight w:val="0"/>
      <w:marTop w:val="0"/>
      <w:marBottom w:val="0"/>
      <w:divBdr>
        <w:top w:val="none" w:sz="0" w:space="0" w:color="auto"/>
        <w:left w:val="none" w:sz="0" w:space="0" w:color="auto"/>
        <w:bottom w:val="none" w:sz="0" w:space="0" w:color="auto"/>
        <w:right w:val="none" w:sz="0" w:space="0" w:color="auto"/>
      </w:divBdr>
      <w:divsChild>
        <w:div w:id="276957408">
          <w:marLeft w:val="0"/>
          <w:marRight w:val="0"/>
          <w:marTop w:val="0"/>
          <w:marBottom w:val="0"/>
          <w:divBdr>
            <w:top w:val="none" w:sz="0" w:space="0" w:color="auto"/>
            <w:left w:val="none" w:sz="0" w:space="0" w:color="auto"/>
            <w:bottom w:val="none" w:sz="0" w:space="0" w:color="auto"/>
            <w:right w:val="none" w:sz="0" w:space="0" w:color="auto"/>
          </w:divBdr>
          <w:divsChild>
            <w:div w:id="897932295">
              <w:marLeft w:val="0"/>
              <w:marRight w:val="0"/>
              <w:marTop w:val="0"/>
              <w:marBottom w:val="0"/>
              <w:divBdr>
                <w:top w:val="none" w:sz="0" w:space="0" w:color="auto"/>
                <w:left w:val="none" w:sz="0" w:space="0" w:color="auto"/>
                <w:bottom w:val="none" w:sz="0" w:space="0" w:color="auto"/>
                <w:right w:val="none" w:sz="0" w:space="0" w:color="auto"/>
              </w:divBdr>
              <w:divsChild>
                <w:div w:id="112415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322%315%39%35%33@s%74ud%65%6et%2e%75%77t%73%64.%61%63%2e%75%6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53BE4-BF9B-6048-98C7-4A7C9DDD2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3390</Words>
  <Characters>19325</Characters>
  <Application>Microsoft Office Word</Application>
  <DocSecurity>0</DocSecurity>
  <Lines>161</Lines>
  <Paragraphs>45</Paragraphs>
  <ScaleCrop>false</ScaleCrop>
  <Company/>
  <LinksUpToDate>false</LinksUpToDate>
  <CharactersWithSpaces>22670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 242</dc:creator>
  <cp:keywords/>
  <dc:description/>
  <cp:lastModifiedBy>ANON 242</cp:lastModifiedBy>
  <cp:revision>1</cp:revision>
  <dcterms:created xsi:type="dcterms:W3CDTF">2023-10-20T19:02:00Z</dcterms:created>
  <dcterms:modified xsi:type="dcterms:W3CDTF">2023-10-20T19:09:00Z</dcterms:modified>
</cp:coreProperties>
</file>