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E3B60F" w14:textId="180BD82F" w:rsidR="008E5AC4" w:rsidRDefault="004E5991" w:rsidP="008E5AC4">
      <w:pPr>
        <w:jc w:val="center"/>
        <w:rPr>
          <w:sz w:val="96"/>
          <w:szCs w:val="96"/>
        </w:rPr>
      </w:pPr>
      <w:r>
        <w:rPr>
          <w:sz w:val="96"/>
          <w:szCs w:val="96"/>
        </w:rPr>
        <w:t>Accounting fundamentals</w:t>
      </w:r>
    </w:p>
    <w:p w14:paraId="19713B59" w14:textId="52FF80AF" w:rsidR="004E5991" w:rsidRDefault="004E5991" w:rsidP="008E5AC4">
      <w:pPr>
        <w:jc w:val="center"/>
        <w:rPr>
          <w:sz w:val="96"/>
          <w:szCs w:val="96"/>
        </w:rPr>
      </w:pPr>
      <w:r>
        <w:rPr>
          <w:sz w:val="96"/>
          <w:szCs w:val="96"/>
        </w:rPr>
        <w:t>(lcbb4001)</w:t>
      </w:r>
    </w:p>
    <w:p w14:paraId="2EF8967D" w14:textId="07DE3838" w:rsidR="004E5991" w:rsidRDefault="004E5991" w:rsidP="008E5AC4">
      <w:pPr>
        <w:jc w:val="center"/>
        <w:rPr>
          <w:sz w:val="96"/>
          <w:szCs w:val="96"/>
        </w:rPr>
      </w:pPr>
      <w:r>
        <w:rPr>
          <w:sz w:val="96"/>
          <w:szCs w:val="96"/>
        </w:rPr>
        <w:t xml:space="preserve">From Vasil </w:t>
      </w:r>
      <w:proofErr w:type="spellStart"/>
      <w:r>
        <w:rPr>
          <w:sz w:val="96"/>
          <w:szCs w:val="96"/>
        </w:rPr>
        <w:t>Barzakov</w:t>
      </w:r>
      <w:proofErr w:type="spellEnd"/>
    </w:p>
    <w:p w14:paraId="53B99D56" w14:textId="77777777" w:rsidR="004E5991" w:rsidRDefault="004E5991" w:rsidP="004E5991">
      <w:pPr>
        <w:jc w:val="center"/>
        <w:rPr>
          <w:sz w:val="96"/>
          <w:szCs w:val="96"/>
        </w:rPr>
      </w:pPr>
      <w:r>
        <w:rPr>
          <w:sz w:val="96"/>
          <w:szCs w:val="96"/>
        </w:rPr>
        <w:t>(1912292)</w:t>
      </w:r>
    </w:p>
    <w:p w14:paraId="20B2DC58" w14:textId="77777777" w:rsidR="004E5991" w:rsidRDefault="004E5991" w:rsidP="004E5991">
      <w:pPr>
        <w:jc w:val="center"/>
        <w:rPr>
          <w:sz w:val="96"/>
          <w:szCs w:val="96"/>
        </w:rPr>
      </w:pPr>
      <w:r>
        <w:rPr>
          <w:sz w:val="96"/>
          <w:szCs w:val="96"/>
        </w:rPr>
        <w:t>Online exam</w:t>
      </w:r>
    </w:p>
    <w:p w14:paraId="2EAE35C5" w14:textId="77777777" w:rsidR="004E5991" w:rsidRDefault="004E5991" w:rsidP="004E5991">
      <w:pPr>
        <w:jc w:val="left"/>
        <w:rPr>
          <w:sz w:val="72"/>
          <w:szCs w:val="72"/>
        </w:rPr>
      </w:pPr>
    </w:p>
    <w:p w14:paraId="2C08CC6F" w14:textId="21074351" w:rsidR="004E5991" w:rsidRPr="004E5991" w:rsidRDefault="004E5991" w:rsidP="004E5991">
      <w:pPr>
        <w:jc w:val="left"/>
        <w:rPr>
          <w:sz w:val="72"/>
          <w:szCs w:val="72"/>
        </w:rPr>
      </w:pPr>
      <w:proofErr w:type="spellStart"/>
      <w:proofErr w:type="gramStart"/>
      <w:r>
        <w:rPr>
          <w:sz w:val="72"/>
          <w:szCs w:val="72"/>
        </w:rPr>
        <w:t>lecturer:dr</w:t>
      </w:r>
      <w:proofErr w:type="gramEnd"/>
      <w:r>
        <w:rPr>
          <w:sz w:val="72"/>
          <w:szCs w:val="72"/>
        </w:rPr>
        <w:t>.Widin</w:t>
      </w:r>
      <w:proofErr w:type="spellEnd"/>
      <w:r>
        <w:rPr>
          <w:sz w:val="72"/>
          <w:szCs w:val="72"/>
        </w:rPr>
        <w:t xml:space="preserve"> </w:t>
      </w:r>
      <w:proofErr w:type="spellStart"/>
      <w:r>
        <w:rPr>
          <w:sz w:val="72"/>
          <w:szCs w:val="72"/>
        </w:rPr>
        <w:t>Sha’ven</w:t>
      </w:r>
      <w:proofErr w:type="spellEnd"/>
    </w:p>
    <w:p w14:paraId="7426CFE5" w14:textId="6C519B02" w:rsidR="00F90ABE" w:rsidRPr="004E5991" w:rsidRDefault="00F90ABE" w:rsidP="004E5991">
      <w:pPr>
        <w:jc w:val="left"/>
        <w:rPr>
          <w:sz w:val="96"/>
          <w:szCs w:val="96"/>
        </w:rPr>
      </w:pPr>
    </w:p>
    <w:p w14:paraId="1002775C" w14:textId="77777777" w:rsidR="00393AE8" w:rsidRDefault="00393AE8">
      <w:pPr>
        <w:rPr>
          <w:rFonts w:asciiTheme="majorHAnsi" w:eastAsiaTheme="majorEastAsia" w:hAnsiTheme="majorHAnsi" w:cstheme="majorBidi"/>
          <w:b/>
          <w:bCs/>
          <w:color w:val="365F91" w:themeColor="accent1" w:themeShade="BF"/>
          <w:sz w:val="28"/>
          <w:szCs w:val="25"/>
        </w:rPr>
      </w:pPr>
      <w:r>
        <w:t>In submitting this work, I affirm that my work adheres 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source.</w:t>
      </w:r>
      <w:r>
        <w:br w:type="page"/>
      </w:r>
    </w:p>
    <w:p w14:paraId="49A9BEF1" w14:textId="77777777" w:rsidR="00393AE8" w:rsidRDefault="00393AE8" w:rsidP="001E65ED">
      <w:pPr>
        <w:pStyle w:val="Heading1"/>
        <w:sectPr w:rsidR="00393AE8" w:rsidSect="00FB529C">
          <w:pgSz w:w="12240" w:h="15840"/>
          <w:pgMar w:top="1440" w:right="1440" w:bottom="1440" w:left="1440" w:header="708" w:footer="708" w:gutter="0"/>
          <w:cols w:space="708"/>
          <w:docGrid w:linePitch="360"/>
        </w:sectPr>
      </w:pPr>
    </w:p>
    <w:p w14:paraId="100EF813" w14:textId="77777777" w:rsidR="00FB529C" w:rsidRDefault="001E65ED" w:rsidP="001E65ED">
      <w:pPr>
        <w:pStyle w:val="Heading1"/>
      </w:pPr>
      <w:r>
        <w:lastRenderedPageBreak/>
        <w:t>Question 1:</w:t>
      </w:r>
    </w:p>
    <w:p w14:paraId="294FA02F" w14:textId="77777777" w:rsidR="001E65ED" w:rsidRDefault="001E65ED" w:rsidP="001E65ED">
      <w:pPr>
        <w:pStyle w:val="Heading2"/>
      </w:pPr>
      <w:r>
        <w:t>a. Breakeven point of the Sandals for Solent Ltd.</w:t>
      </w:r>
    </w:p>
    <w:p w14:paraId="6EC0F626" w14:textId="77777777" w:rsidR="001E65ED" w:rsidRDefault="00F630CF" w:rsidP="001E65ED">
      <w:pPr>
        <w:rPr>
          <w:u w:val="single"/>
        </w:rPr>
      </w:pPr>
      <w:r>
        <w:rPr>
          <w:u w:val="single"/>
        </w:rPr>
        <w:t>Contribution per unit:</w:t>
      </w:r>
    </w:p>
    <w:tbl>
      <w:tblPr>
        <w:tblW w:w="4123" w:type="dxa"/>
        <w:tblInd w:w="96" w:type="dxa"/>
        <w:tblLook w:val="04A0" w:firstRow="1" w:lastRow="0" w:firstColumn="1" w:lastColumn="0" w:noHBand="0" w:noVBand="1"/>
      </w:tblPr>
      <w:tblGrid>
        <w:gridCol w:w="1860"/>
        <w:gridCol w:w="2263"/>
      </w:tblGrid>
      <w:tr w:rsidR="00E9434B" w:rsidRPr="00E9434B" w14:paraId="46F04C2C" w14:textId="77777777" w:rsidTr="00E9434B">
        <w:trPr>
          <w:trHeight w:val="288"/>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B01027" w14:textId="77777777" w:rsidR="00E9434B" w:rsidRPr="00E9434B" w:rsidRDefault="00E9434B" w:rsidP="00E9434B">
            <w:pPr>
              <w:spacing w:after="0" w:line="240" w:lineRule="auto"/>
              <w:jc w:val="left"/>
              <w:rPr>
                <w:rFonts w:ascii="Calibri" w:eastAsia="Times New Roman" w:hAnsi="Calibri" w:cs="Calibri"/>
                <w:color w:val="000000"/>
                <w:sz w:val="22"/>
                <w:szCs w:val="22"/>
              </w:rPr>
            </w:pPr>
            <w:r w:rsidRPr="00E9434B">
              <w:rPr>
                <w:rFonts w:ascii="Calibri" w:eastAsia="Times New Roman" w:hAnsi="Calibri" w:cs="Calibri"/>
                <w:color w:val="000000"/>
                <w:sz w:val="22"/>
                <w:szCs w:val="22"/>
              </w:rPr>
              <w:t> </w:t>
            </w:r>
          </w:p>
        </w:tc>
        <w:tc>
          <w:tcPr>
            <w:tcW w:w="2263" w:type="dxa"/>
            <w:tcBorders>
              <w:top w:val="single" w:sz="4" w:space="0" w:color="auto"/>
              <w:left w:val="nil"/>
              <w:bottom w:val="single" w:sz="4" w:space="0" w:color="auto"/>
              <w:right w:val="single" w:sz="4" w:space="0" w:color="auto"/>
            </w:tcBorders>
            <w:shd w:val="clear" w:color="auto" w:fill="auto"/>
            <w:noWrap/>
            <w:vAlign w:val="bottom"/>
            <w:hideMark/>
          </w:tcPr>
          <w:p w14:paraId="2C68AE37" w14:textId="77777777" w:rsidR="00E9434B" w:rsidRPr="00E9434B" w:rsidRDefault="00E9434B" w:rsidP="00E9434B">
            <w:pPr>
              <w:spacing w:after="0" w:line="240" w:lineRule="auto"/>
              <w:jc w:val="left"/>
              <w:rPr>
                <w:rFonts w:ascii="Calibri" w:eastAsia="Times New Roman" w:hAnsi="Calibri" w:cs="Calibri"/>
                <w:b/>
                <w:bCs/>
                <w:color w:val="000000"/>
                <w:sz w:val="22"/>
                <w:szCs w:val="22"/>
              </w:rPr>
            </w:pPr>
            <w:r w:rsidRPr="00E9434B">
              <w:rPr>
                <w:rFonts w:ascii="Calibri" w:eastAsia="Times New Roman" w:hAnsi="Calibri" w:cs="Calibri"/>
                <w:b/>
                <w:bCs/>
                <w:color w:val="000000"/>
                <w:sz w:val="22"/>
                <w:szCs w:val="22"/>
              </w:rPr>
              <w:t>Amount per unit (£)</w:t>
            </w:r>
          </w:p>
        </w:tc>
      </w:tr>
      <w:tr w:rsidR="00E9434B" w:rsidRPr="00E9434B" w14:paraId="2931EC3E" w14:textId="77777777" w:rsidTr="00E9434B">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0BA705CF" w14:textId="77777777" w:rsidR="00E9434B" w:rsidRPr="00E9434B" w:rsidRDefault="00E9434B" w:rsidP="00E9434B">
            <w:pPr>
              <w:spacing w:after="0" w:line="240" w:lineRule="auto"/>
              <w:jc w:val="left"/>
              <w:rPr>
                <w:rFonts w:ascii="Calibri" w:eastAsia="Times New Roman" w:hAnsi="Calibri" w:cs="Calibri"/>
                <w:color w:val="000000"/>
                <w:sz w:val="22"/>
                <w:szCs w:val="22"/>
              </w:rPr>
            </w:pPr>
            <w:r w:rsidRPr="00E9434B">
              <w:rPr>
                <w:rFonts w:ascii="Calibri" w:eastAsia="Times New Roman" w:hAnsi="Calibri" w:cs="Calibri"/>
                <w:color w:val="000000"/>
                <w:sz w:val="22"/>
                <w:szCs w:val="22"/>
              </w:rPr>
              <w:t>Selling price</w:t>
            </w:r>
          </w:p>
        </w:tc>
        <w:tc>
          <w:tcPr>
            <w:tcW w:w="2263" w:type="dxa"/>
            <w:tcBorders>
              <w:top w:val="nil"/>
              <w:left w:val="nil"/>
              <w:bottom w:val="single" w:sz="4" w:space="0" w:color="auto"/>
              <w:right w:val="single" w:sz="4" w:space="0" w:color="auto"/>
            </w:tcBorders>
            <w:shd w:val="clear" w:color="auto" w:fill="auto"/>
            <w:noWrap/>
            <w:vAlign w:val="bottom"/>
            <w:hideMark/>
          </w:tcPr>
          <w:p w14:paraId="2196972A" w14:textId="77777777" w:rsidR="00E9434B" w:rsidRPr="00E9434B" w:rsidRDefault="00E9434B" w:rsidP="00E9434B">
            <w:pPr>
              <w:spacing w:after="0" w:line="240" w:lineRule="auto"/>
              <w:jc w:val="right"/>
              <w:rPr>
                <w:rFonts w:ascii="Calibri" w:eastAsia="Times New Roman" w:hAnsi="Calibri" w:cs="Calibri"/>
                <w:color w:val="000000"/>
                <w:sz w:val="22"/>
                <w:szCs w:val="22"/>
              </w:rPr>
            </w:pPr>
            <w:r w:rsidRPr="00E9434B">
              <w:rPr>
                <w:rFonts w:ascii="Calibri" w:eastAsia="Times New Roman" w:hAnsi="Calibri" w:cs="Calibri"/>
                <w:color w:val="000000"/>
                <w:sz w:val="22"/>
                <w:szCs w:val="22"/>
              </w:rPr>
              <w:t>£5.75</w:t>
            </w:r>
          </w:p>
        </w:tc>
      </w:tr>
      <w:tr w:rsidR="00E9434B" w:rsidRPr="00E9434B" w14:paraId="0AD6BE5C" w14:textId="77777777" w:rsidTr="00E9434B">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7B40D306" w14:textId="77777777" w:rsidR="00E9434B" w:rsidRPr="00E9434B" w:rsidRDefault="00E9434B" w:rsidP="00E9434B">
            <w:pPr>
              <w:spacing w:after="0" w:line="240" w:lineRule="auto"/>
              <w:jc w:val="left"/>
              <w:rPr>
                <w:rFonts w:ascii="Calibri" w:eastAsia="Times New Roman" w:hAnsi="Calibri" w:cs="Calibri"/>
                <w:color w:val="000000"/>
                <w:sz w:val="22"/>
                <w:szCs w:val="22"/>
              </w:rPr>
            </w:pPr>
            <w:r w:rsidRPr="00E9434B">
              <w:rPr>
                <w:rFonts w:ascii="Calibri" w:eastAsia="Times New Roman" w:hAnsi="Calibri" w:cs="Calibri"/>
                <w:color w:val="000000"/>
                <w:sz w:val="22"/>
                <w:szCs w:val="22"/>
              </w:rPr>
              <w:t>Less: COGS</w:t>
            </w:r>
          </w:p>
        </w:tc>
        <w:tc>
          <w:tcPr>
            <w:tcW w:w="2263" w:type="dxa"/>
            <w:tcBorders>
              <w:top w:val="nil"/>
              <w:left w:val="nil"/>
              <w:bottom w:val="single" w:sz="4" w:space="0" w:color="auto"/>
              <w:right w:val="single" w:sz="4" w:space="0" w:color="auto"/>
            </w:tcBorders>
            <w:shd w:val="clear" w:color="auto" w:fill="auto"/>
            <w:noWrap/>
            <w:vAlign w:val="bottom"/>
            <w:hideMark/>
          </w:tcPr>
          <w:p w14:paraId="00EC787B" w14:textId="77777777" w:rsidR="00E9434B" w:rsidRPr="00E9434B" w:rsidRDefault="00E9434B" w:rsidP="00E9434B">
            <w:pPr>
              <w:spacing w:after="0" w:line="240" w:lineRule="auto"/>
              <w:jc w:val="left"/>
              <w:rPr>
                <w:rFonts w:ascii="Calibri" w:eastAsia="Times New Roman" w:hAnsi="Calibri" w:cs="Calibri"/>
                <w:color w:val="000000"/>
                <w:sz w:val="22"/>
                <w:szCs w:val="22"/>
              </w:rPr>
            </w:pPr>
            <w:r w:rsidRPr="00E9434B">
              <w:rPr>
                <w:rFonts w:ascii="Calibri" w:eastAsia="Times New Roman" w:hAnsi="Calibri" w:cs="Calibri"/>
                <w:color w:val="000000"/>
                <w:sz w:val="22"/>
                <w:szCs w:val="22"/>
              </w:rPr>
              <w:t> </w:t>
            </w:r>
          </w:p>
        </w:tc>
      </w:tr>
      <w:tr w:rsidR="00E9434B" w:rsidRPr="00E9434B" w14:paraId="6404AE04" w14:textId="77777777" w:rsidTr="00E9434B">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6B518153" w14:textId="77777777" w:rsidR="00E9434B" w:rsidRPr="00E9434B" w:rsidRDefault="00E9434B" w:rsidP="00E9434B">
            <w:pPr>
              <w:spacing w:after="0" w:line="240" w:lineRule="auto"/>
              <w:jc w:val="left"/>
              <w:rPr>
                <w:rFonts w:ascii="Calibri" w:eastAsia="Times New Roman" w:hAnsi="Calibri" w:cs="Calibri"/>
                <w:color w:val="000000"/>
                <w:sz w:val="22"/>
                <w:szCs w:val="22"/>
              </w:rPr>
            </w:pPr>
            <w:r w:rsidRPr="00E9434B">
              <w:rPr>
                <w:rFonts w:ascii="Calibri" w:eastAsia="Times New Roman" w:hAnsi="Calibri" w:cs="Calibri"/>
                <w:color w:val="000000"/>
                <w:sz w:val="22"/>
                <w:szCs w:val="22"/>
              </w:rPr>
              <w:t>Direct labor</w:t>
            </w:r>
          </w:p>
        </w:tc>
        <w:tc>
          <w:tcPr>
            <w:tcW w:w="2263" w:type="dxa"/>
            <w:tcBorders>
              <w:top w:val="nil"/>
              <w:left w:val="nil"/>
              <w:bottom w:val="single" w:sz="4" w:space="0" w:color="auto"/>
              <w:right w:val="single" w:sz="4" w:space="0" w:color="auto"/>
            </w:tcBorders>
            <w:shd w:val="clear" w:color="auto" w:fill="auto"/>
            <w:noWrap/>
            <w:vAlign w:val="bottom"/>
            <w:hideMark/>
          </w:tcPr>
          <w:p w14:paraId="30DB3172" w14:textId="77777777" w:rsidR="00E9434B" w:rsidRPr="00E9434B" w:rsidRDefault="00E9434B" w:rsidP="00E9434B">
            <w:pPr>
              <w:spacing w:after="0" w:line="240" w:lineRule="auto"/>
              <w:jc w:val="right"/>
              <w:rPr>
                <w:rFonts w:ascii="Calibri" w:eastAsia="Times New Roman" w:hAnsi="Calibri" w:cs="Calibri"/>
                <w:color w:val="000000"/>
                <w:sz w:val="22"/>
                <w:szCs w:val="22"/>
              </w:rPr>
            </w:pPr>
            <w:r w:rsidRPr="00E9434B">
              <w:rPr>
                <w:rFonts w:ascii="Calibri" w:eastAsia="Times New Roman" w:hAnsi="Calibri" w:cs="Calibri"/>
                <w:color w:val="000000"/>
                <w:sz w:val="22"/>
                <w:szCs w:val="22"/>
              </w:rPr>
              <w:t>£1.35</w:t>
            </w:r>
          </w:p>
        </w:tc>
      </w:tr>
      <w:tr w:rsidR="00E9434B" w:rsidRPr="00E9434B" w14:paraId="40472A58" w14:textId="77777777" w:rsidTr="00E9434B">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2294B3DC" w14:textId="77777777" w:rsidR="00E9434B" w:rsidRPr="00E9434B" w:rsidRDefault="00E9434B" w:rsidP="00E9434B">
            <w:pPr>
              <w:spacing w:after="0" w:line="240" w:lineRule="auto"/>
              <w:jc w:val="left"/>
              <w:rPr>
                <w:rFonts w:ascii="Calibri" w:eastAsia="Times New Roman" w:hAnsi="Calibri" w:cs="Calibri"/>
                <w:color w:val="000000"/>
                <w:sz w:val="22"/>
                <w:szCs w:val="22"/>
              </w:rPr>
            </w:pPr>
            <w:r w:rsidRPr="00E9434B">
              <w:rPr>
                <w:rFonts w:ascii="Calibri" w:eastAsia="Times New Roman" w:hAnsi="Calibri" w:cs="Calibri"/>
                <w:color w:val="000000"/>
                <w:sz w:val="22"/>
                <w:szCs w:val="22"/>
              </w:rPr>
              <w:t>Direct Materials</w:t>
            </w:r>
          </w:p>
        </w:tc>
        <w:tc>
          <w:tcPr>
            <w:tcW w:w="2263" w:type="dxa"/>
            <w:tcBorders>
              <w:top w:val="nil"/>
              <w:left w:val="nil"/>
              <w:bottom w:val="single" w:sz="4" w:space="0" w:color="auto"/>
              <w:right w:val="single" w:sz="4" w:space="0" w:color="auto"/>
            </w:tcBorders>
            <w:shd w:val="clear" w:color="auto" w:fill="auto"/>
            <w:noWrap/>
            <w:vAlign w:val="bottom"/>
            <w:hideMark/>
          </w:tcPr>
          <w:p w14:paraId="3DC4C1AF" w14:textId="77777777" w:rsidR="00E9434B" w:rsidRPr="00E9434B" w:rsidRDefault="00E9434B" w:rsidP="00E9434B">
            <w:pPr>
              <w:spacing w:after="0" w:line="240" w:lineRule="auto"/>
              <w:jc w:val="right"/>
              <w:rPr>
                <w:rFonts w:ascii="Calibri" w:eastAsia="Times New Roman" w:hAnsi="Calibri" w:cs="Calibri"/>
                <w:color w:val="000000"/>
                <w:sz w:val="22"/>
                <w:szCs w:val="22"/>
              </w:rPr>
            </w:pPr>
            <w:r w:rsidRPr="00E9434B">
              <w:rPr>
                <w:rFonts w:ascii="Calibri" w:eastAsia="Times New Roman" w:hAnsi="Calibri" w:cs="Calibri"/>
                <w:color w:val="000000"/>
                <w:sz w:val="22"/>
                <w:szCs w:val="22"/>
              </w:rPr>
              <w:t>£1.75</w:t>
            </w:r>
          </w:p>
        </w:tc>
      </w:tr>
      <w:tr w:rsidR="00E9434B" w:rsidRPr="00E9434B" w14:paraId="099C9D40" w14:textId="77777777" w:rsidTr="00E9434B">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05304EA9" w14:textId="77777777" w:rsidR="00E9434B" w:rsidRPr="00E9434B" w:rsidRDefault="00E9434B" w:rsidP="00E9434B">
            <w:pPr>
              <w:spacing w:after="0" w:line="240" w:lineRule="auto"/>
              <w:jc w:val="left"/>
              <w:rPr>
                <w:rFonts w:ascii="Calibri" w:eastAsia="Times New Roman" w:hAnsi="Calibri" w:cs="Calibri"/>
                <w:color w:val="000000"/>
                <w:sz w:val="22"/>
                <w:szCs w:val="22"/>
              </w:rPr>
            </w:pPr>
            <w:r w:rsidRPr="00E9434B">
              <w:rPr>
                <w:rFonts w:ascii="Calibri" w:eastAsia="Times New Roman" w:hAnsi="Calibri" w:cs="Calibri"/>
                <w:color w:val="000000"/>
                <w:sz w:val="22"/>
                <w:szCs w:val="22"/>
              </w:rPr>
              <w:t>Other direct costs</w:t>
            </w:r>
          </w:p>
        </w:tc>
        <w:tc>
          <w:tcPr>
            <w:tcW w:w="2263" w:type="dxa"/>
            <w:tcBorders>
              <w:top w:val="nil"/>
              <w:left w:val="nil"/>
              <w:bottom w:val="single" w:sz="4" w:space="0" w:color="auto"/>
              <w:right w:val="single" w:sz="4" w:space="0" w:color="auto"/>
            </w:tcBorders>
            <w:shd w:val="clear" w:color="auto" w:fill="auto"/>
            <w:noWrap/>
            <w:vAlign w:val="bottom"/>
            <w:hideMark/>
          </w:tcPr>
          <w:p w14:paraId="294650F5" w14:textId="77777777" w:rsidR="00E9434B" w:rsidRPr="00E9434B" w:rsidRDefault="00E9434B" w:rsidP="00E9434B">
            <w:pPr>
              <w:spacing w:after="0" w:line="240" w:lineRule="auto"/>
              <w:jc w:val="right"/>
              <w:rPr>
                <w:rFonts w:ascii="Calibri" w:eastAsia="Times New Roman" w:hAnsi="Calibri" w:cs="Calibri"/>
                <w:color w:val="000000"/>
                <w:sz w:val="22"/>
                <w:szCs w:val="22"/>
              </w:rPr>
            </w:pPr>
            <w:r w:rsidRPr="00E9434B">
              <w:rPr>
                <w:rFonts w:ascii="Calibri" w:eastAsia="Times New Roman" w:hAnsi="Calibri" w:cs="Calibri"/>
                <w:color w:val="000000"/>
                <w:sz w:val="22"/>
                <w:szCs w:val="22"/>
              </w:rPr>
              <w:t>£0.40</w:t>
            </w:r>
          </w:p>
        </w:tc>
      </w:tr>
      <w:tr w:rsidR="00E9434B" w:rsidRPr="00E9434B" w14:paraId="779E1615" w14:textId="77777777" w:rsidTr="00E9434B">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58495659" w14:textId="77777777" w:rsidR="00E9434B" w:rsidRPr="00E9434B" w:rsidRDefault="00E9434B" w:rsidP="00E9434B">
            <w:pPr>
              <w:spacing w:after="0" w:line="240" w:lineRule="auto"/>
              <w:jc w:val="left"/>
              <w:rPr>
                <w:rFonts w:ascii="Calibri" w:eastAsia="Times New Roman" w:hAnsi="Calibri" w:cs="Calibri"/>
                <w:b/>
                <w:bCs/>
                <w:color w:val="000000"/>
                <w:sz w:val="22"/>
                <w:szCs w:val="22"/>
              </w:rPr>
            </w:pPr>
            <w:r w:rsidRPr="00E9434B">
              <w:rPr>
                <w:rFonts w:ascii="Calibri" w:eastAsia="Times New Roman" w:hAnsi="Calibri" w:cs="Calibri"/>
                <w:b/>
                <w:bCs/>
                <w:color w:val="000000"/>
                <w:sz w:val="22"/>
                <w:szCs w:val="22"/>
              </w:rPr>
              <w:t>Contribution</w:t>
            </w:r>
          </w:p>
        </w:tc>
        <w:tc>
          <w:tcPr>
            <w:tcW w:w="2263" w:type="dxa"/>
            <w:tcBorders>
              <w:top w:val="nil"/>
              <w:left w:val="nil"/>
              <w:bottom w:val="single" w:sz="4" w:space="0" w:color="auto"/>
              <w:right w:val="single" w:sz="4" w:space="0" w:color="auto"/>
            </w:tcBorders>
            <w:shd w:val="clear" w:color="auto" w:fill="auto"/>
            <w:noWrap/>
            <w:vAlign w:val="bottom"/>
            <w:hideMark/>
          </w:tcPr>
          <w:p w14:paraId="108273B8" w14:textId="77777777" w:rsidR="00E9434B" w:rsidRPr="00E9434B" w:rsidRDefault="00E9434B" w:rsidP="00E9434B">
            <w:pPr>
              <w:spacing w:after="0" w:line="240" w:lineRule="auto"/>
              <w:jc w:val="right"/>
              <w:rPr>
                <w:rFonts w:ascii="Calibri" w:eastAsia="Times New Roman" w:hAnsi="Calibri" w:cs="Calibri"/>
                <w:color w:val="000000"/>
                <w:sz w:val="22"/>
                <w:szCs w:val="22"/>
              </w:rPr>
            </w:pPr>
            <w:r w:rsidRPr="00E9434B">
              <w:rPr>
                <w:rFonts w:ascii="Calibri" w:eastAsia="Times New Roman" w:hAnsi="Calibri" w:cs="Calibri"/>
                <w:color w:val="000000"/>
                <w:sz w:val="22"/>
                <w:szCs w:val="22"/>
              </w:rPr>
              <w:t>£2.25</w:t>
            </w:r>
          </w:p>
        </w:tc>
      </w:tr>
    </w:tbl>
    <w:p w14:paraId="06C22555" w14:textId="77777777" w:rsidR="00F630CF" w:rsidRDefault="00F630CF" w:rsidP="001E65ED"/>
    <w:p w14:paraId="611EF18A" w14:textId="77777777" w:rsidR="00E9434B" w:rsidRDefault="004742D8" w:rsidP="001E65ED">
      <w:r w:rsidRPr="004742D8">
        <w:rPr>
          <w:u w:val="single"/>
        </w:rPr>
        <w:t>Breakeven point in units</w:t>
      </w:r>
      <w:r>
        <w:t>:</w:t>
      </w:r>
    </w:p>
    <w:p w14:paraId="7B2515CB" w14:textId="77777777" w:rsidR="004742D8" w:rsidRDefault="0000228B" w:rsidP="001E65ED">
      <w:pPr>
        <w:rPr>
          <w:rFonts w:eastAsiaTheme="minorEastAsia"/>
        </w:rPr>
      </w:pPr>
      <w:r>
        <w:rPr>
          <w:rFonts w:eastAsiaTheme="minorEastAsia"/>
        </w:rPr>
        <w:t xml:space="preserve">= </w:t>
      </w:r>
      <m:oMath>
        <m:f>
          <m:fPr>
            <m:ctrlPr>
              <w:rPr>
                <w:rFonts w:ascii="Cambria Math" w:hAnsi="Cambria Math"/>
                <w:i/>
                <w:sz w:val="32"/>
                <w:szCs w:val="32"/>
              </w:rPr>
            </m:ctrlPr>
          </m:fPr>
          <m:num>
            <m:r>
              <w:rPr>
                <w:rFonts w:ascii="Cambria Math" w:hAnsi="Cambria Math"/>
                <w:sz w:val="32"/>
                <w:szCs w:val="32"/>
              </w:rPr>
              <m:t>Fixed cost</m:t>
            </m:r>
          </m:num>
          <m:den>
            <m:r>
              <w:rPr>
                <w:rFonts w:ascii="Cambria Math" w:hAnsi="Cambria Math"/>
                <w:sz w:val="32"/>
                <w:szCs w:val="32"/>
              </w:rPr>
              <m:t>Contribution per unit</m:t>
            </m:r>
          </m:den>
        </m:f>
      </m:oMath>
      <w:r>
        <w:rPr>
          <w:rFonts w:eastAsiaTheme="minorEastAsia"/>
        </w:rPr>
        <w:t xml:space="preserve"> = </w:t>
      </w:r>
      <m:oMath>
        <m:f>
          <m:fPr>
            <m:ctrlPr>
              <w:rPr>
                <w:rFonts w:ascii="Cambria Math" w:eastAsiaTheme="minorEastAsia" w:hAnsi="Cambria Math"/>
                <w:i/>
                <w:sz w:val="32"/>
                <w:szCs w:val="32"/>
              </w:rPr>
            </m:ctrlPr>
          </m:fPr>
          <m:num>
            <m:r>
              <w:rPr>
                <w:rFonts w:ascii="Cambria Math" w:eastAsiaTheme="minorEastAsia" w:hAnsi="Cambria Math" w:cs="Calibri"/>
                <w:sz w:val="32"/>
                <w:szCs w:val="32"/>
              </w:rPr>
              <m:t>£</m:t>
            </m:r>
            <m:r>
              <w:rPr>
                <w:rFonts w:ascii="Cambria Math" w:eastAsiaTheme="minorEastAsia" w:hAnsi="Cambria Math"/>
                <w:sz w:val="32"/>
                <w:szCs w:val="32"/>
              </w:rPr>
              <m:t>180,000</m:t>
            </m:r>
          </m:num>
          <m:den>
            <m:r>
              <w:rPr>
                <w:rFonts w:ascii="Cambria Math" w:eastAsiaTheme="minorEastAsia" w:hAnsi="Cambria Math" w:cs="Calibri"/>
                <w:sz w:val="32"/>
                <w:szCs w:val="32"/>
              </w:rPr>
              <m:t>£</m:t>
            </m:r>
            <m:r>
              <w:rPr>
                <w:rFonts w:ascii="Cambria Math" w:eastAsiaTheme="minorEastAsia" w:hAnsi="Cambria Math"/>
                <w:sz w:val="32"/>
                <w:szCs w:val="32"/>
              </w:rPr>
              <m:t>2.25</m:t>
            </m:r>
          </m:den>
        </m:f>
      </m:oMath>
      <w:r w:rsidRPr="00954DFC">
        <w:rPr>
          <w:rFonts w:eastAsiaTheme="minorEastAsia"/>
          <w:sz w:val="32"/>
          <w:szCs w:val="32"/>
        </w:rPr>
        <w:t xml:space="preserve"> </w:t>
      </w:r>
      <w:r>
        <w:rPr>
          <w:rFonts w:eastAsiaTheme="minorEastAsia"/>
        </w:rPr>
        <w:t>= 80,000 Units</w:t>
      </w:r>
    </w:p>
    <w:p w14:paraId="58C204B5" w14:textId="77777777" w:rsidR="0000228B" w:rsidRDefault="0000228B" w:rsidP="001E65ED">
      <w:pPr>
        <w:rPr>
          <w:rFonts w:eastAsiaTheme="minorEastAsia"/>
        </w:rPr>
      </w:pPr>
      <w:r>
        <w:rPr>
          <w:rFonts w:eastAsiaTheme="minorEastAsia"/>
        </w:rPr>
        <w:t xml:space="preserve">Hence, it can be concluded that Solent Ltd. requires to sale </w:t>
      </w:r>
      <w:proofErr w:type="spellStart"/>
      <w:r>
        <w:rPr>
          <w:rFonts w:eastAsiaTheme="minorEastAsia"/>
        </w:rPr>
        <w:t>atleast</w:t>
      </w:r>
      <w:proofErr w:type="spellEnd"/>
      <w:r>
        <w:rPr>
          <w:rFonts w:eastAsiaTheme="minorEastAsia"/>
        </w:rPr>
        <w:t xml:space="preserve"> 80,000 units of Sandals to cover its fixed expense and to attain the situation of no profit no loss. </w:t>
      </w:r>
      <w:r w:rsidR="009C2BA3">
        <w:rPr>
          <w:rFonts w:eastAsiaTheme="minorEastAsia"/>
        </w:rPr>
        <w:t>Besides this, company should also add marginal safety to calculate Breakeven point; so that it could avoid the situation of out of stock.</w:t>
      </w:r>
    </w:p>
    <w:p w14:paraId="263B6640" w14:textId="77777777" w:rsidR="0000228B" w:rsidRDefault="0000228B" w:rsidP="001E65ED">
      <w:pPr>
        <w:rPr>
          <w:rFonts w:eastAsiaTheme="minorEastAsia"/>
          <w:u w:val="single"/>
        </w:rPr>
      </w:pPr>
      <w:r>
        <w:rPr>
          <w:rFonts w:eastAsiaTheme="minorEastAsia"/>
          <w:u w:val="single"/>
        </w:rPr>
        <w:t>Breakeven point in revenues:</w:t>
      </w:r>
    </w:p>
    <w:p w14:paraId="4FCE7E90" w14:textId="77777777" w:rsidR="0000228B" w:rsidRDefault="00954DFC" w:rsidP="001E65ED">
      <w:pPr>
        <w:rPr>
          <w:rFonts w:eastAsiaTheme="minorEastAsia"/>
        </w:rPr>
      </w:pPr>
      <w:r>
        <w:rPr>
          <w:rFonts w:eastAsiaTheme="minorEastAsia"/>
        </w:rPr>
        <w:t xml:space="preserve">= Breakeven point in units </w:t>
      </w:r>
      <m:oMath>
        <m:r>
          <w:rPr>
            <w:rFonts w:ascii="Cambria Math" w:eastAsiaTheme="minorEastAsia" w:hAnsi="Cambria Math"/>
          </w:rPr>
          <m:t>×</m:t>
        </m:r>
      </m:oMath>
      <w:r>
        <w:rPr>
          <w:rFonts w:eastAsiaTheme="minorEastAsia"/>
        </w:rPr>
        <w:t xml:space="preserve"> Selling price</w:t>
      </w:r>
    </w:p>
    <w:p w14:paraId="3FDA47EF" w14:textId="77777777" w:rsidR="00954DFC" w:rsidRDefault="00954DFC" w:rsidP="001E65ED">
      <w:r>
        <w:rPr>
          <w:rFonts w:eastAsiaTheme="minorEastAsia"/>
        </w:rPr>
        <w:t xml:space="preserve">= 80,000 </w:t>
      </w:r>
      <m:oMath>
        <m:r>
          <w:rPr>
            <w:rFonts w:ascii="Cambria Math" w:eastAsiaTheme="minorEastAsia" w:hAnsi="Cambria Math"/>
          </w:rPr>
          <m:t>×</m:t>
        </m:r>
      </m:oMath>
      <w:r>
        <w:rPr>
          <w:rFonts w:eastAsiaTheme="minorEastAsia"/>
        </w:rPr>
        <w:t xml:space="preserve"> </w:t>
      </w:r>
      <w:r w:rsidRPr="00954DFC">
        <w:t>£5.75</w:t>
      </w:r>
    </w:p>
    <w:p w14:paraId="34066BB3" w14:textId="77777777" w:rsidR="00954DFC" w:rsidRDefault="00954DFC" w:rsidP="001E65ED">
      <w:r>
        <w:t xml:space="preserve">= </w:t>
      </w:r>
      <w:r w:rsidRPr="00954DFC">
        <w:t>£</w:t>
      </w:r>
      <w:r>
        <w:t>460,000</w:t>
      </w:r>
    </w:p>
    <w:p w14:paraId="755E7DA1" w14:textId="77777777" w:rsidR="00954DFC" w:rsidRDefault="00954DFC" w:rsidP="001E65ED">
      <w:r>
        <w:t xml:space="preserve">Therefore, it can be concluded that; Solent Ltd. requires to generate </w:t>
      </w:r>
      <w:proofErr w:type="spellStart"/>
      <w:r>
        <w:t>atleast</w:t>
      </w:r>
      <w:proofErr w:type="spellEnd"/>
      <w:r>
        <w:t xml:space="preserve"> </w:t>
      </w:r>
      <w:r w:rsidRPr="00954DFC">
        <w:t>£</w:t>
      </w:r>
      <w:r>
        <w:t xml:space="preserve">460,000 revenue to cover its fixed expenses; but company will </w:t>
      </w:r>
      <w:proofErr w:type="gramStart"/>
      <w:r>
        <w:t>not</w:t>
      </w:r>
      <w:proofErr w:type="gramEnd"/>
      <w:r>
        <w:t xml:space="preserve"> able to record neither profit nor losses. </w:t>
      </w:r>
    </w:p>
    <w:p w14:paraId="45066DE4" w14:textId="77777777" w:rsidR="004459BD" w:rsidRDefault="004459BD" w:rsidP="004459BD">
      <w:pPr>
        <w:pStyle w:val="Heading2"/>
      </w:pPr>
      <w:r>
        <w:t>b. Calculate the profit made on sales 90,000 units</w:t>
      </w:r>
    </w:p>
    <w:tbl>
      <w:tblPr>
        <w:tblW w:w="6920" w:type="dxa"/>
        <w:tblInd w:w="96" w:type="dxa"/>
        <w:tblLook w:val="04A0" w:firstRow="1" w:lastRow="0" w:firstColumn="1" w:lastColumn="0" w:noHBand="0" w:noVBand="1"/>
      </w:tblPr>
      <w:tblGrid>
        <w:gridCol w:w="1860"/>
        <w:gridCol w:w="2020"/>
        <w:gridCol w:w="960"/>
        <w:gridCol w:w="1052"/>
        <w:gridCol w:w="1052"/>
      </w:tblGrid>
      <w:tr w:rsidR="004A4A3A" w:rsidRPr="004A4A3A" w14:paraId="6F38D139" w14:textId="77777777" w:rsidTr="004A4A3A">
        <w:trPr>
          <w:trHeight w:val="288"/>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2ACF4"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3BA1E069" w14:textId="77777777" w:rsidR="004A4A3A" w:rsidRPr="004A4A3A" w:rsidRDefault="004A4A3A" w:rsidP="004A4A3A">
            <w:pPr>
              <w:spacing w:after="0" w:line="240" w:lineRule="auto"/>
              <w:jc w:val="left"/>
              <w:rPr>
                <w:rFonts w:ascii="Calibri" w:eastAsia="Times New Roman" w:hAnsi="Calibri" w:cs="Calibri"/>
                <w:b/>
                <w:bCs/>
                <w:color w:val="000000"/>
                <w:sz w:val="22"/>
                <w:szCs w:val="22"/>
              </w:rPr>
            </w:pPr>
            <w:r w:rsidRPr="004A4A3A">
              <w:rPr>
                <w:rFonts w:ascii="Calibri" w:eastAsia="Times New Roman" w:hAnsi="Calibri" w:cs="Calibri"/>
                <w:b/>
                <w:bCs/>
                <w:color w:val="000000"/>
                <w:sz w:val="22"/>
                <w:szCs w:val="22"/>
              </w:rPr>
              <w:t>Amount per unit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C2AF8D5" w14:textId="77777777" w:rsidR="004A4A3A" w:rsidRPr="004A4A3A" w:rsidRDefault="004A4A3A" w:rsidP="004A4A3A">
            <w:pPr>
              <w:spacing w:after="0" w:line="240" w:lineRule="auto"/>
              <w:jc w:val="left"/>
              <w:rPr>
                <w:rFonts w:ascii="Calibri" w:eastAsia="Times New Roman" w:hAnsi="Calibri" w:cs="Calibri"/>
                <w:b/>
                <w:bCs/>
                <w:color w:val="000000"/>
                <w:sz w:val="22"/>
                <w:szCs w:val="22"/>
              </w:rPr>
            </w:pPr>
            <w:r w:rsidRPr="004A4A3A">
              <w:rPr>
                <w:rFonts w:ascii="Calibri" w:eastAsia="Times New Roman" w:hAnsi="Calibri" w:cs="Calibri"/>
                <w:b/>
                <w:bCs/>
                <w:color w:val="000000"/>
                <w:sz w:val="22"/>
                <w:szCs w:val="22"/>
              </w:rPr>
              <w:t>Units</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2798D14E" w14:textId="77777777" w:rsidR="004A4A3A" w:rsidRPr="004A4A3A" w:rsidRDefault="004A4A3A" w:rsidP="004A4A3A">
            <w:pPr>
              <w:spacing w:after="0" w:line="240" w:lineRule="auto"/>
              <w:jc w:val="left"/>
              <w:rPr>
                <w:rFonts w:ascii="Calibri" w:eastAsia="Times New Roman" w:hAnsi="Calibri" w:cs="Calibri"/>
                <w:b/>
                <w:bCs/>
                <w:color w:val="000000"/>
                <w:sz w:val="22"/>
                <w:szCs w:val="22"/>
              </w:rPr>
            </w:pPr>
            <w:r w:rsidRPr="004A4A3A">
              <w:rPr>
                <w:rFonts w:ascii="Calibri" w:eastAsia="Times New Roman" w:hAnsi="Calibri" w:cs="Calibri"/>
                <w:b/>
                <w:bCs/>
                <w:color w:val="000000"/>
                <w:sz w:val="22"/>
                <w:szCs w:val="22"/>
              </w:rPr>
              <w:t>Total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2CA27394" w14:textId="77777777" w:rsidR="004A4A3A" w:rsidRPr="004A4A3A" w:rsidRDefault="004A4A3A" w:rsidP="004A4A3A">
            <w:pPr>
              <w:spacing w:after="0" w:line="240" w:lineRule="auto"/>
              <w:jc w:val="left"/>
              <w:rPr>
                <w:rFonts w:ascii="Calibri" w:eastAsia="Times New Roman" w:hAnsi="Calibri" w:cs="Calibri"/>
                <w:b/>
                <w:bCs/>
                <w:color w:val="000000"/>
                <w:sz w:val="22"/>
                <w:szCs w:val="22"/>
              </w:rPr>
            </w:pPr>
            <w:r w:rsidRPr="004A4A3A">
              <w:rPr>
                <w:rFonts w:ascii="Calibri" w:eastAsia="Times New Roman" w:hAnsi="Calibri" w:cs="Calibri"/>
                <w:b/>
                <w:bCs/>
                <w:color w:val="000000"/>
                <w:sz w:val="22"/>
                <w:szCs w:val="22"/>
              </w:rPr>
              <w:t>Total (£)</w:t>
            </w:r>
          </w:p>
        </w:tc>
      </w:tr>
      <w:tr w:rsidR="004A4A3A" w:rsidRPr="004A4A3A" w14:paraId="6887925C" w14:textId="77777777" w:rsidTr="004A4A3A">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71BF7D74"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Selling price</w:t>
            </w:r>
          </w:p>
        </w:tc>
        <w:tc>
          <w:tcPr>
            <w:tcW w:w="2020" w:type="dxa"/>
            <w:tcBorders>
              <w:top w:val="nil"/>
              <w:left w:val="nil"/>
              <w:bottom w:val="single" w:sz="4" w:space="0" w:color="auto"/>
              <w:right w:val="single" w:sz="4" w:space="0" w:color="auto"/>
            </w:tcBorders>
            <w:shd w:val="clear" w:color="auto" w:fill="auto"/>
            <w:noWrap/>
            <w:vAlign w:val="bottom"/>
            <w:hideMark/>
          </w:tcPr>
          <w:p w14:paraId="5A3CADD2"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£5.75</w:t>
            </w:r>
          </w:p>
        </w:tc>
        <w:tc>
          <w:tcPr>
            <w:tcW w:w="960" w:type="dxa"/>
            <w:tcBorders>
              <w:top w:val="nil"/>
              <w:left w:val="nil"/>
              <w:bottom w:val="single" w:sz="4" w:space="0" w:color="auto"/>
              <w:right w:val="single" w:sz="4" w:space="0" w:color="auto"/>
            </w:tcBorders>
            <w:shd w:val="clear" w:color="auto" w:fill="auto"/>
            <w:noWrap/>
            <w:vAlign w:val="bottom"/>
            <w:hideMark/>
          </w:tcPr>
          <w:p w14:paraId="64E533AB"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90,000</w:t>
            </w:r>
          </w:p>
        </w:tc>
        <w:tc>
          <w:tcPr>
            <w:tcW w:w="1040" w:type="dxa"/>
            <w:tcBorders>
              <w:top w:val="nil"/>
              <w:left w:val="nil"/>
              <w:bottom w:val="single" w:sz="4" w:space="0" w:color="auto"/>
              <w:right w:val="single" w:sz="4" w:space="0" w:color="auto"/>
            </w:tcBorders>
            <w:shd w:val="clear" w:color="auto" w:fill="auto"/>
            <w:noWrap/>
            <w:vAlign w:val="bottom"/>
            <w:hideMark/>
          </w:tcPr>
          <w:p w14:paraId="47FC13EB"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2C94EE52"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£517,500</w:t>
            </w:r>
          </w:p>
        </w:tc>
      </w:tr>
      <w:tr w:rsidR="004A4A3A" w:rsidRPr="004A4A3A" w14:paraId="09D3F129" w14:textId="77777777" w:rsidTr="004A4A3A">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3406B3B5"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Less: COGS</w:t>
            </w:r>
          </w:p>
        </w:tc>
        <w:tc>
          <w:tcPr>
            <w:tcW w:w="2020" w:type="dxa"/>
            <w:tcBorders>
              <w:top w:val="nil"/>
              <w:left w:val="nil"/>
              <w:bottom w:val="single" w:sz="4" w:space="0" w:color="auto"/>
              <w:right w:val="single" w:sz="4" w:space="0" w:color="auto"/>
            </w:tcBorders>
            <w:shd w:val="clear" w:color="auto" w:fill="auto"/>
            <w:noWrap/>
            <w:vAlign w:val="bottom"/>
            <w:hideMark/>
          </w:tcPr>
          <w:p w14:paraId="0028E9E5"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CA1A014"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1F86E75A"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15661F85"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r>
      <w:tr w:rsidR="004A4A3A" w:rsidRPr="004A4A3A" w14:paraId="4140298E" w14:textId="77777777" w:rsidTr="004A4A3A">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22D75C15"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lastRenderedPageBreak/>
              <w:t>Direct labor</w:t>
            </w:r>
          </w:p>
        </w:tc>
        <w:tc>
          <w:tcPr>
            <w:tcW w:w="2020" w:type="dxa"/>
            <w:tcBorders>
              <w:top w:val="nil"/>
              <w:left w:val="nil"/>
              <w:bottom w:val="single" w:sz="4" w:space="0" w:color="auto"/>
              <w:right w:val="single" w:sz="4" w:space="0" w:color="auto"/>
            </w:tcBorders>
            <w:shd w:val="clear" w:color="auto" w:fill="auto"/>
            <w:noWrap/>
            <w:vAlign w:val="bottom"/>
            <w:hideMark/>
          </w:tcPr>
          <w:p w14:paraId="3AF44F38"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£1.35</w:t>
            </w:r>
          </w:p>
        </w:tc>
        <w:tc>
          <w:tcPr>
            <w:tcW w:w="960" w:type="dxa"/>
            <w:tcBorders>
              <w:top w:val="nil"/>
              <w:left w:val="nil"/>
              <w:bottom w:val="single" w:sz="4" w:space="0" w:color="auto"/>
              <w:right w:val="single" w:sz="4" w:space="0" w:color="auto"/>
            </w:tcBorders>
            <w:shd w:val="clear" w:color="auto" w:fill="auto"/>
            <w:noWrap/>
            <w:vAlign w:val="bottom"/>
            <w:hideMark/>
          </w:tcPr>
          <w:p w14:paraId="498FFD05"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90,000</w:t>
            </w:r>
          </w:p>
        </w:tc>
        <w:tc>
          <w:tcPr>
            <w:tcW w:w="1040" w:type="dxa"/>
            <w:tcBorders>
              <w:top w:val="nil"/>
              <w:left w:val="nil"/>
              <w:bottom w:val="single" w:sz="4" w:space="0" w:color="auto"/>
              <w:right w:val="single" w:sz="4" w:space="0" w:color="auto"/>
            </w:tcBorders>
            <w:shd w:val="clear" w:color="auto" w:fill="auto"/>
            <w:noWrap/>
            <w:vAlign w:val="bottom"/>
            <w:hideMark/>
          </w:tcPr>
          <w:p w14:paraId="33EA9550"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£121,500</w:t>
            </w:r>
          </w:p>
        </w:tc>
        <w:tc>
          <w:tcPr>
            <w:tcW w:w="1040" w:type="dxa"/>
            <w:tcBorders>
              <w:top w:val="nil"/>
              <w:left w:val="nil"/>
              <w:bottom w:val="single" w:sz="4" w:space="0" w:color="auto"/>
              <w:right w:val="single" w:sz="4" w:space="0" w:color="auto"/>
            </w:tcBorders>
            <w:shd w:val="clear" w:color="auto" w:fill="auto"/>
            <w:noWrap/>
            <w:vAlign w:val="bottom"/>
            <w:hideMark/>
          </w:tcPr>
          <w:p w14:paraId="496EF880"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r>
      <w:tr w:rsidR="004A4A3A" w:rsidRPr="004A4A3A" w14:paraId="698833BD" w14:textId="77777777" w:rsidTr="004A4A3A">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55870B5F"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Direct Materials</w:t>
            </w:r>
          </w:p>
        </w:tc>
        <w:tc>
          <w:tcPr>
            <w:tcW w:w="2020" w:type="dxa"/>
            <w:tcBorders>
              <w:top w:val="nil"/>
              <w:left w:val="nil"/>
              <w:bottom w:val="single" w:sz="4" w:space="0" w:color="auto"/>
              <w:right w:val="single" w:sz="4" w:space="0" w:color="auto"/>
            </w:tcBorders>
            <w:shd w:val="clear" w:color="auto" w:fill="auto"/>
            <w:noWrap/>
            <w:vAlign w:val="bottom"/>
            <w:hideMark/>
          </w:tcPr>
          <w:p w14:paraId="38CC0CBC"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£1.75</w:t>
            </w:r>
          </w:p>
        </w:tc>
        <w:tc>
          <w:tcPr>
            <w:tcW w:w="960" w:type="dxa"/>
            <w:tcBorders>
              <w:top w:val="nil"/>
              <w:left w:val="nil"/>
              <w:bottom w:val="single" w:sz="4" w:space="0" w:color="auto"/>
              <w:right w:val="single" w:sz="4" w:space="0" w:color="auto"/>
            </w:tcBorders>
            <w:shd w:val="clear" w:color="auto" w:fill="auto"/>
            <w:noWrap/>
            <w:vAlign w:val="bottom"/>
            <w:hideMark/>
          </w:tcPr>
          <w:p w14:paraId="07115E3E"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90,000</w:t>
            </w:r>
          </w:p>
        </w:tc>
        <w:tc>
          <w:tcPr>
            <w:tcW w:w="1040" w:type="dxa"/>
            <w:tcBorders>
              <w:top w:val="nil"/>
              <w:left w:val="nil"/>
              <w:bottom w:val="single" w:sz="4" w:space="0" w:color="auto"/>
              <w:right w:val="single" w:sz="4" w:space="0" w:color="auto"/>
            </w:tcBorders>
            <w:shd w:val="clear" w:color="auto" w:fill="auto"/>
            <w:noWrap/>
            <w:vAlign w:val="bottom"/>
            <w:hideMark/>
          </w:tcPr>
          <w:p w14:paraId="4059311D"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£157,500</w:t>
            </w:r>
          </w:p>
        </w:tc>
        <w:tc>
          <w:tcPr>
            <w:tcW w:w="1040" w:type="dxa"/>
            <w:tcBorders>
              <w:top w:val="nil"/>
              <w:left w:val="nil"/>
              <w:bottom w:val="single" w:sz="4" w:space="0" w:color="auto"/>
              <w:right w:val="single" w:sz="4" w:space="0" w:color="auto"/>
            </w:tcBorders>
            <w:shd w:val="clear" w:color="auto" w:fill="auto"/>
            <w:noWrap/>
            <w:vAlign w:val="bottom"/>
            <w:hideMark/>
          </w:tcPr>
          <w:p w14:paraId="38BDEF0A"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r>
      <w:tr w:rsidR="004A4A3A" w:rsidRPr="004A4A3A" w14:paraId="47FB7F0B" w14:textId="77777777" w:rsidTr="004A4A3A">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2935C316"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Other direct costs</w:t>
            </w:r>
          </w:p>
        </w:tc>
        <w:tc>
          <w:tcPr>
            <w:tcW w:w="2020" w:type="dxa"/>
            <w:tcBorders>
              <w:top w:val="nil"/>
              <w:left w:val="nil"/>
              <w:bottom w:val="single" w:sz="4" w:space="0" w:color="auto"/>
              <w:right w:val="single" w:sz="4" w:space="0" w:color="auto"/>
            </w:tcBorders>
            <w:shd w:val="clear" w:color="auto" w:fill="auto"/>
            <w:noWrap/>
            <w:vAlign w:val="bottom"/>
            <w:hideMark/>
          </w:tcPr>
          <w:p w14:paraId="0E89EC47"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£0.40</w:t>
            </w:r>
          </w:p>
        </w:tc>
        <w:tc>
          <w:tcPr>
            <w:tcW w:w="960" w:type="dxa"/>
            <w:tcBorders>
              <w:top w:val="nil"/>
              <w:left w:val="nil"/>
              <w:bottom w:val="single" w:sz="4" w:space="0" w:color="auto"/>
              <w:right w:val="single" w:sz="4" w:space="0" w:color="auto"/>
            </w:tcBorders>
            <w:shd w:val="clear" w:color="auto" w:fill="auto"/>
            <w:noWrap/>
            <w:vAlign w:val="bottom"/>
            <w:hideMark/>
          </w:tcPr>
          <w:p w14:paraId="5C3A05A1"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90,000</w:t>
            </w:r>
          </w:p>
        </w:tc>
        <w:tc>
          <w:tcPr>
            <w:tcW w:w="1040" w:type="dxa"/>
            <w:tcBorders>
              <w:top w:val="nil"/>
              <w:left w:val="nil"/>
              <w:bottom w:val="single" w:sz="4" w:space="0" w:color="auto"/>
              <w:right w:val="single" w:sz="4" w:space="0" w:color="auto"/>
            </w:tcBorders>
            <w:shd w:val="clear" w:color="auto" w:fill="auto"/>
            <w:noWrap/>
            <w:vAlign w:val="bottom"/>
            <w:hideMark/>
          </w:tcPr>
          <w:p w14:paraId="38F6E747"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£36,000</w:t>
            </w:r>
          </w:p>
        </w:tc>
        <w:tc>
          <w:tcPr>
            <w:tcW w:w="1040" w:type="dxa"/>
            <w:tcBorders>
              <w:top w:val="nil"/>
              <w:left w:val="nil"/>
              <w:bottom w:val="single" w:sz="4" w:space="0" w:color="auto"/>
              <w:right w:val="single" w:sz="4" w:space="0" w:color="auto"/>
            </w:tcBorders>
            <w:shd w:val="clear" w:color="auto" w:fill="auto"/>
            <w:noWrap/>
            <w:vAlign w:val="bottom"/>
            <w:hideMark/>
          </w:tcPr>
          <w:p w14:paraId="731356F2"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£315,000</w:t>
            </w:r>
          </w:p>
        </w:tc>
      </w:tr>
      <w:tr w:rsidR="004A4A3A" w:rsidRPr="004A4A3A" w14:paraId="692ADCA7" w14:textId="77777777" w:rsidTr="004A4A3A">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1645B006"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Contribution</w:t>
            </w:r>
          </w:p>
        </w:tc>
        <w:tc>
          <w:tcPr>
            <w:tcW w:w="2020" w:type="dxa"/>
            <w:tcBorders>
              <w:top w:val="nil"/>
              <w:left w:val="nil"/>
              <w:bottom w:val="single" w:sz="4" w:space="0" w:color="auto"/>
              <w:right w:val="single" w:sz="4" w:space="0" w:color="auto"/>
            </w:tcBorders>
            <w:shd w:val="clear" w:color="auto" w:fill="auto"/>
            <w:noWrap/>
            <w:vAlign w:val="bottom"/>
            <w:hideMark/>
          </w:tcPr>
          <w:p w14:paraId="0A7EA6A8"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7CC31A8"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2F99BD78"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38066A5A"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£202,500</w:t>
            </w:r>
          </w:p>
        </w:tc>
      </w:tr>
      <w:tr w:rsidR="004A4A3A" w:rsidRPr="004A4A3A" w14:paraId="4BDD0FE1" w14:textId="77777777" w:rsidTr="004A4A3A">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2C5FEA54"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Less: Periodic cost</w:t>
            </w:r>
          </w:p>
        </w:tc>
        <w:tc>
          <w:tcPr>
            <w:tcW w:w="2020" w:type="dxa"/>
            <w:tcBorders>
              <w:top w:val="nil"/>
              <w:left w:val="nil"/>
              <w:bottom w:val="single" w:sz="4" w:space="0" w:color="auto"/>
              <w:right w:val="single" w:sz="4" w:space="0" w:color="auto"/>
            </w:tcBorders>
            <w:shd w:val="clear" w:color="auto" w:fill="auto"/>
            <w:noWrap/>
            <w:vAlign w:val="bottom"/>
            <w:hideMark/>
          </w:tcPr>
          <w:p w14:paraId="76AD756C"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777EB96D"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539C7AEA"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352447A3"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r>
      <w:tr w:rsidR="004A4A3A" w:rsidRPr="004A4A3A" w14:paraId="4B016722" w14:textId="77777777" w:rsidTr="004A4A3A">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7AB71881"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Fixed cost</w:t>
            </w:r>
          </w:p>
        </w:tc>
        <w:tc>
          <w:tcPr>
            <w:tcW w:w="2020" w:type="dxa"/>
            <w:tcBorders>
              <w:top w:val="nil"/>
              <w:left w:val="nil"/>
              <w:bottom w:val="single" w:sz="4" w:space="0" w:color="auto"/>
              <w:right w:val="single" w:sz="4" w:space="0" w:color="auto"/>
            </w:tcBorders>
            <w:shd w:val="clear" w:color="auto" w:fill="auto"/>
            <w:noWrap/>
            <w:vAlign w:val="bottom"/>
            <w:hideMark/>
          </w:tcPr>
          <w:p w14:paraId="5D341109"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17E6FFF" w14:textId="77777777" w:rsidR="004A4A3A" w:rsidRPr="004A4A3A" w:rsidRDefault="004A4A3A" w:rsidP="004A4A3A">
            <w:pPr>
              <w:spacing w:after="0" w:line="240" w:lineRule="auto"/>
              <w:jc w:val="left"/>
              <w:rPr>
                <w:rFonts w:ascii="Calibri" w:eastAsia="Times New Roman" w:hAnsi="Calibri" w:cs="Calibri"/>
                <w:color w:val="000000"/>
                <w:sz w:val="22"/>
                <w:szCs w:val="22"/>
              </w:rPr>
            </w:pPr>
            <w:r w:rsidRPr="004A4A3A">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5A9B486D"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£180,000</w:t>
            </w:r>
          </w:p>
        </w:tc>
        <w:tc>
          <w:tcPr>
            <w:tcW w:w="1040" w:type="dxa"/>
            <w:tcBorders>
              <w:top w:val="nil"/>
              <w:left w:val="nil"/>
              <w:bottom w:val="single" w:sz="4" w:space="0" w:color="auto"/>
              <w:right w:val="single" w:sz="4" w:space="0" w:color="auto"/>
            </w:tcBorders>
            <w:shd w:val="clear" w:color="auto" w:fill="auto"/>
            <w:noWrap/>
            <w:vAlign w:val="bottom"/>
            <w:hideMark/>
          </w:tcPr>
          <w:p w14:paraId="12365FAF" w14:textId="77777777" w:rsidR="004A4A3A" w:rsidRPr="004A4A3A" w:rsidRDefault="004A4A3A" w:rsidP="004A4A3A">
            <w:pPr>
              <w:spacing w:after="0" w:line="240" w:lineRule="auto"/>
              <w:jc w:val="right"/>
              <w:rPr>
                <w:rFonts w:ascii="Calibri" w:eastAsia="Times New Roman" w:hAnsi="Calibri" w:cs="Calibri"/>
                <w:color w:val="000000"/>
                <w:sz w:val="22"/>
                <w:szCs w:val="22"/>
              </w:rPr>
            </w:pPr>
            <w:r w:rsidRPr="004A4A3A">
              <w:rPr>
                <w:rFonts w:ascii="Calibri" w:eastAsia="Times New Roman" w:hAnsi="Calibri" w:cs="Calibri"/>
                <w:color w:val="000000"/>
                <w:sz w:val="22"/>
                <w:szCs w:val="22"/>
              </w:rPr>
              <w:t>£180,000</w:t>
            </w:r>
          </w:p>
        </w:tc>
      </w:tr>
      <w:tr w:rsidR="004A4A3A" w:rsidRPr="004A4A3A" w14:paraId="061D3723" w14:textId="77777777" w:rsidTr="004A4A3A">
        <w:trPr>
          <w:trHeight w:val="288"/>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14:paraId="0FDE63CA" w14:textId="77777777" w:rsidR="004A4A3A" w:rsidRPr="004A4A3A" w:rsidRDefault="004A4A3A" w:rsidP="004A4A3A">
            <w:pPr>
              <w:spacing w:after="0" w:line="240" w:lineRule="auto"/>
              <w:jc w:val="left"/>
              <w:rPr>
                <w:rFonts w:ascii="Calibri" w:eastAsia="Times New Roman" w:hAnsi="Calibri" w:cs="Calibri"/>
                <w:b/>
                <w:bCs/>
                <w:color w:val="000000"/>
                <w:sz w:val="22"/>
                <w:szCs w:val="22"/>
              </w:rPr>
            </w:pPr>
            <w:r w:rsidRPr="004A4A3A">
              <w:rPr>
                <w:rFonts w:ascii="Calibri" w:eastAsia="Times New Roman" w:hAnsi="Calibri" w:cs="Calibri"/>
                <w:b/>
                <w:bCs/>
                <w:color w:val="000000"/>
                <w:sz w:val="22"/>
                <w:szCs w:val="22"/>
              </w:rPr>
              <w:t>Net Profit</w:t>
            </w:r>
          </w:p>
        </w:tc>
        <w:tc>
          <w:tcPr>
            <w:tcW w:w="2020" w:type="dxa"/>
            <w:tcBorders>
              <w:top w:val="nil"/>
              <w:left w:val="nil"/>
              <w:bottom w:val="single" w:sz="4" w:space="0" w:color="auto"/>
              <w:right w:val="single" w:sz="4" w:space="0" w:color="auto"/>
            </w:tcBorders>
            <w:shd w:val="clear" w:color="auto" w:fill="auto"/>
            <w:noWrap/>
            <w:vAlign w:val="bottom"/>
            <w:hideMark/>
          </w:tcPr>
          <w:p w14:paraId="61A6E717" w14:textId="77777777" w:rsidR="004A4A3A" w:rsidRPr="004A4A3A" w:rsidRDefault="004A4A3A" w:rsidP="004A4A3A">
            <w:pPr>
              <w:spacing w:after="0" w:line="240" w:lineRule="auto"/>
              <w:jc w:val="left"/>
              <w:rPr>
                <w:rFonts w:ascii="Calibri" w:eastAsia="Times New Roman" w:hAnsi="Calibri" w:cs="Calibri"/>
                <w:b/>
                <w:bCs/>
                <w:color w:val="000000"/>
                <w:sz w:val="22"/>
                <w:szCs w:val="22"/>
              </w:rPr>
            </w:pPr>
            <w:r w:rsidRPr="004A4A3A">
              <w:rPr>
                <w:rFonts w:ascii="Calibri" w:eastAsia="Times New Roman" w:hAnsi="Calibri" w:cs="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5AFC4BB9" w14:textId="77777777" w:rsidR="004A4A3A" w:rsidRPr="004A4A3A" w:rsidRDefault="004A4A3A" w:rsidP="004A4A3A">
            <w:pPr>
              <w:spacing w:after="0" w:line="240" w:lineRule="auto"/>
              <w:jc w:val="left"/>
              <w:rPr>
                <w:rFonts w:ascii="Calibri" w:eastAsia="Times New Roman" w:hAnsi="Calibri" w:cs="Calibri"/>
                <w:b/>
                <w:bCs/>
                <w:color w:val="000000"/>
                <w:sz w:val="22"/>
                <w:szCs w:val="22"/>
              </w:rPr>
            </w:pPr>
            <w:r w:rsidRPr="004A4A3A">
              <w:rPr>
                <w:rFonts w:ascii="Calibri" w:eastAsia="Times New Roman" w:hAnsi="Calibri" w:cs="Calibri"/>
                <w:b/>
                <w:bCs/>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1BF1E767" w14:textId="77777777" w:rsidR="004A4A3A" w:rsidRPr="004A4A3A" w:rsidRDefault="004A4A3A" w:rsidP="004A4A3A">
            <w:pPr>
              <w:spacing w:after="0" w:line="240" w:lineRule="auto"/>
              <w:jc w:val="left"/>
              <w:rPr>
                <w:rFonts w:ascii="Calibri" w:eastAsia="Times New Roman" w:hAnsi="Calibri" w:cs="Calibri"/>
                <w:b/>
                <w:bCs/>
                <w:color w:val="000000"/>
                <w:sz w:val="22"/>
                <w:szCs w:val="22"/>
              </w:rPr>
            </w:pPr>
            <w:r w:rsidRPr="004A4A3A">
              <w:rPr>
                <w:rFonts w:ascii="Calibri" w:eastAsia="Times New Roman" w:hAnsi="Calibri" w:cs="Calibri"/>
                <w:b/>
                <w:bCs/>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2A47232D" w14:textId="77777777" w:rsidR="004A4A3A" w:rsidRPr="004A4A3A" w:rsidRDefault="004A4A3A" w:rsidP="004A4A3A">
            <w:pPr>
              <w:spacing w:after="0" w:line="240" w:lineRule="auto"/>
              <w:jc w:val="right"/>
              <w:rPr>
                <w:rFonts w:ascii="Calibri" w:eastAsia="Times New Roman" w:hAnsi="Calibri" w:cs="Calibri"/>
                <w:b/>
                <w:bCs/>
                <w:color w:val="000000"/>
                <w:sz w:val="22"/>
                <w:szCs w:val="22"/>
              </w:rPr>
            </w:pPr>
            <w:r w:rsidRPr="004A4A3A">
              <w:rPr>
                <w:rFonts w:ascii="Calibri" w:eastAsia="Times New Roman" w:hAnsi="Calibri" w:cs="Calibri"/>
                <w:b/>
                <w:bCs/>
                <w:color w:val="000000"/>
                <w:sz w:val="22"/>
                <w:szCs w:val="22"/>
              </w:rPr>
              <w:t>£22,500</w:t>
            </w:r>
          </w:p>
        </w:tc>
      </w:tr>
    </w:tbl>
    <w:p w14:paraId="29D8FFA0" w14:textId="77777777" w:rsidR="004459BD" w:rsidRDefault="004459BD" w:rsidP="004459BD"/>
    <w:p w14:paraId="04D362AA" w14:textId="77777777" w:rsidR="004A4A3A" w:rsidRDefault="004A4A3A" w:rsidP="004459BD">
      <w:r>
        <w:t xml:space="preserve">Therefore, company will earn </w:t>
      </w:r>
      <w:r>
        <w:rPr>
          <w:rFonts w:ascii="Calibri" w:hAnsi="Calibri" w:cs="Calibri"/>
        </w:rPr>
        <w:t>£</w:t>
      </w:r>
      <w:r>
        <w:t>22,500 profit by selling 90,000 units.</w:t>
      </w:r>
    </w:p>
    <w:p w14:paraId="3C7CB673" w14:textId="77777777" w:rsidR="00291C81" w:rsidRDefault="00291C81" w:rsidP="00291C81">
      <w:pPr>
        <w:pStyle w:val="Heading2"/>
      </w:pPr>
      <w:r>
        <w:t>c. New profit figure</w:t>
      </w:r>
    </w:p>
    <w:tbl>
      <w:tblPr>
        <w:tblW w:w="7240" w:type="dxa"/>
        <w:tblInd w:w="96" w:type="dxa"/>
        <w:tblLook w:val="04A0" w:firstRow="1" w:lastRow="0" w:firstColumn="1" w:lastColumn="0" w:noHBand="0" w:noVBand="1"/>
      </w:tblPr>
      <w:tblGrid>
        <w:gridCol w:w="2180"/>
        <w:gridCol w:w="2020"/>
        <w:gridCol w:w="960"/>
        <w:gridCol w:w="1052"/>
        <w:gridCol w:w="1052"/>
      </w:tblGrid>
      <w:tr w:rsidR="00D931B7" w:rsidRPr="00D931B7" w14:paraId="15E71A82" w14:textId="77777777" w:rsidTr="00D931B7">
        <w:trPr>
          <w:trHeight w:val="288"/>
        </w:trPr>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703771"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470B9F79" w14:textId="77777777" w:rsidR="00D931B7" w:rsidRPr="00D931B7" w:rsidRDefault="00D931B7" w:rsidP="00D931B7">
            <w:pPr>
              <w:spacing w:after="0" w:line="240" w:lineRule="auto"/>
              <w:jc w:val="left"/>
              <w:rPr>
                <w:rFonts w:ascii="Calibri" w:eastAsia="Times New Roman" w:hAnsi="Calibri" w:cs="Calibri"/>
                <w:b/>
                <w:bCs/>
                <w:color w:val="000000"/>
                <w:sz w:val="22"/>
                <w:szCs w:val="22"/>
              </w:rPr>
            </w:pPr>
            <w:r w:rsidRPr="00D931B7">
              <w:rPr>
                <w:rFonts w:ascii="Calibri" w:eastAsia="Times New Roman" w:hAnsi="Calibri" w:cs="Calibri"/>
                <w:b/>
                <w:bCs/>
                <w:color w:val="000000"/>
                <w:sz w:val="22"/>
                <w:szCs w:val="22"/>
              </w:rPr>
              <w:t>Amount per unit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3F1D25B" w14:textId="77777777" w:rsidR="00D931B7" w:rsidRPr="00D931B7" w:rsidRDefault="00D931B7" w:rsidP="00D931B7">
            <w:pPr>
              <w:spacing w:after="0" w:line="240" w:lineRule="auto"/>
              <w:jc w:val="left"/>
              <w:rPr>
                <w:rFonts w:ascii="Calibri" w:eastAsia="Times New Roman" w:hAnsi="Calibri" w:cs="Calibri"/>
                <w:b/>
                <w:bCs/>
                <w:color w:val="000000"/>
                <w:sz w:val="22"/>
                <w:szCs w:val="22"/>
              </w:rPr>
            </w:pPr>
            <w:r w:rsidRPr="00D931B7">
              <w:rPr>
                <w:rFonts w:ascii="Calibri" w:eastAsia="Times New Roman" w:hAnsi="Calibri" w:cs="Calibri"/>
                <w:b/>
                <w:bCs/>
                <w:color w:val="000000"/>
                <w:sz w:val="22"/>
                <w:szCs w:val="22"/>
              </w:rPr>
              <w:t>Units</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0F1FA808" w14:textId="77777777" w:rsidR="00D931B7" w:rsidRPr="00D931B7" w:rsidRDefault="00D931B7" w:rsidP="00D931B7">
            <w:pPr>
              <w:spacing w:after="0" w:line="240" w:lineRule="auto"/>
              <w:jc w:val="left"/>
              <w:rPr>
                <w:rFonts w:ascii="Calibri" w:eastAsia="Times New Roman" w:hAnsi="Calibri" w:cs="Calibri"/>
                <w:b/>
                <w:bCs/>
                <w:color w:val="000000"/>
                <w:sz w:val="22"/>
                <w:szCs w:val="22"/>
              </w:rPr>
            </w:pPr>
            <w:r w:rsidRPr="00D931B7">
              <w:rPr>
                <w:rFonts w:ascii="Calibri" w:eastAsia="Times New Roman" w:hAnsi="Calibri" w:cs="Calibri"/>
                <w:b/>
                <w:bCs/>
                <w:color w:val="000000"/>
                <w:sz w:val="22"/>
                <w:szCs w:val="22"/>
              </w:rPr>
              <w:t>Total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4C7DEC82" w14:textId="77777777" w:rsidR="00D931B7" w:rsidRPr="00D931B7" w:rsidRDefault="00D931B7" w:rsidP="00D931B7">
            <w:pPr>
              <w:spacing w:after="0" w:line="240" w:lineRule="auto"/>
              <w:jc w:val="left"/>
              <w:rPr>
                <w:rFonts w:ascii="Calibri" w:eastAsia="Times New Roman" w:hAnsi="Calibri" w:cs="Calibri"/>
                <w:b/>
                <w:bCs/>
                <w:color w:val="000000"/>
                <w:sz w:val="22"/>
                <w:szCs w:val="22"/>
              </w:rPr>
            </w:pPr>
            <w:r w:rsidRPr="00D931B7">
              <w:rPr>
                <w:rFonts w:ascii="Calibri" w:eastAsia="Times New Roman" w:hAnsi="Calibri" w:cs="Calibri"/>
                <w:b/>
                <w:bCs/>
                <w:color w:val="000000"/>
                <w:sz w:val="22"/>
                <w:szCs w:val="22"/>
              </w:rPr>
              <w:t>Total (£)</w:t>
            </w:r>
          </w:p>
        </w:tc>
      </w:tr>
      <w:tr w:rsidR="00D931B7" w:rsidRPr="00D931B7" w14:paraId="67D9EA4C"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5DF0BA8D"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Selling price</w:t>
            </w:r>
          </w:p>
        </w:tc>
        <w:tc>
          <w:tcPr>
            <w:tcW w:w="2020" w:type="dxa"/>
            <w:tcBorders>
              <w:top w:val="nil"/>
              <w:left w:val="nil"/>
              <w:bottom w:val="single" w:sz="4" w:space="0" w:color="auto"/>
              <w:right w:val="single" w:sz="4" w:space="0" w:color="auto"/>
            </w:tcBorders>
            <w:shd w:val="clear" w:color="auto" w:fill="auto"/>
            <w:noWrap/>
            <w:vAlign w:val="bottom"/>
            <w:hideMark/>
          </w:tcPr>
          <w:p w14:paraId="77319E71"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£6.00</w:t>
            </w:r>
          </w:p>
        </w:tc>
        <w:tc>
          <w:tcPr>
            <w:tcW w:w="960" w:type="dxa"/>
            <w:tcBorders>
              <w:top w:val="nil"/>
              <w:left w:val="nil"/>
              <w:bottom w:val="single" w:sz="4" w:space="0" w:color="auto"/>
              <w:right w:val="single" w:sz="4" w:space="0" w:color="auto"/>
            </w:tcBorders>
            <w:shd w:val="clear" w:color="auto" w:fill="auto"/>
            <w:noWrap/>
            <w:vAlign w:val="bottom"/>
            <w:hideMark/>
          </w:tcPr>
          <w:p w14:paraId="4598527B"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94,500</w:t>
            </w:r>
          </w:p>
        </w:tc>
        <w:tc>
          <w:tcPr>
            <w:tcW w:w="1040" w:type="dxa"/>
            <w:tcBorders>
              <w:top w:val="nil"/>
              <w:left w:val="nil"/>
              <w:bottom w:val="single" w:sz="4" w:space="0" w:color="auto"/>
              <w:right w:val="single" w:sz="4" w:space="0" w:color="auto"/>
            </w:tcBorders>
            <w:shd w:val="clear" w:color="auto" w:fill="auto"/>
            <w:noWrap/>
            <w:vAlign w:val="bottom"/>
            <w:hideMark/>
          </w:tcPr>
          <w:p w14:paraId="7FA11537"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61B7EBB2"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£567,000</w:t>
            </w:r>
          </w:p>
        </w:tc>
      </w:tr>
      <w:tr w:rsidR="00D931B7" w:rsidRPr="00D931B7" w14:paraId="27C84BBB"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2DFE4F42"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Less: COGS</w:t>
            </w:r>
          </w:p>
        </w:tc>
        <w:tc>
          <w:tcPr>
            <w:tcW w:w="2020" w:type="dxa"/>
            <w:tcBorders>
              <w:top w:val="nil"/>
              <w:left w:val="nil"/>
              <w:bottom w:val="single" w:sz="4" w:space="0" w:color="auto"/>
              <w:right w:val="single" w:sz="4" w:space="0" w:color="auto"/>
            </w:tcBorders>
            <w:shd w:val="clear" w:color="auto" w:fill="auto"/>
            <w:noWrap/>
            <w:vAlign w:val="bottom"/>
            <w:hideMark/>
          </w:tcPr>
          <w:p w14:paraId="1033752A"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21228C19"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45656BA1"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5EDEE371"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r>
      <w:tr w:rsidR="00D931B7" w:rsidRPr="00D931B7" w14:paraId="1A8FFDCA"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4A0E0B11"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Direct labor</w:t>
            </w:r>
          </w:p>
        </w:tc>
        <w:tc>
          <w:tcPr>
            <w:tcW w:w="2020" w:type="dxa"/>
            <w:tcBorders>
              <w:top w:val="nil"/>
              <w:left w:val="nil"/>
              <w:bottom w:val="single" w:sz="4" w:space="0" w:color="auto"/>
              <w:right w:val="single" w:sz="4" w:space="0" w:color="auto"/>
            </w:tcBorders>
            <w:shd w:val="clear" w:color="auto" w:fill="auto"/>
            <w:noWrap/>
            <w:vAlign w:val="bottom"/>
            <w:hideMark/>
          </w:tcPr>
          <w:p w14:paraId="17CB659E"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£1.40</w:t>
            </w:r>
          </w:p>
        </w:tc>
        <w:tc>
          <w:tcPr>
            <w:tcW w:w="960" w:type="dxa"/>
            <w:tcBorders>
              <w:top w:val="nil"/>
              <w:left w:val="nil"/>
              <w:bottom w:val="single" w:sz="4" w:space="0" w:color="auto"/>
              <w:right w:val="single" w:sz="4" w:space="0" w:color="auto"/>
            </w:tcBorders>
            <w:shd w:val="clear" w:color="auto" w:fill="auto"/>
            <w:noWrap/>
            <w:vAlign w:val="bottom"/>
            <w:hideMark/>
          </w:tcPr>
          <w:p w14:paraId="71061B16"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94,500</w:t>
            </w:r>
          </w:p>
        </w:tc>
        <w:tc>
          <w:tcPr>
            <w:tcW w:w="1040" w:type="dxa"/>
            <w:tcBorders>
              <w:top w:val="nil"/>
              <w:left w:val="nil"/>
              <w:bottom w:val="single" w:sz="4" w:space="0" w:color="auto"/>
              <w:right w:val="single" w:sz="4" w:space="0" w:color="auto"/>
            </w:tcBorders>
            <w:shd w:val="clear" w:color="auto" w:fill="auto"/>
            <w:noWrap/>
            <w:vAlign w:val="bottom"/>
            <w:hideMark/>
          </w:tcPr>
          <w:p w14:paraId="124A2025"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£132,300</w:t>
            </w:r>
          </w:p>
        </w:tc>
        <w:tc>
          <w:tcPr>
            <w:tcW w:w="1040" w:type="dxa"/>
            <w:tcBorders>
              <w:top w:val="nil"/>
              <w:left w:val="nil"/>
              <w:bottom w:val="single" w:sz="4" w:space="0" w:color="auto"/>
              <w:right w:val="single" w:sz="4" w:space="0" w:color="auto"/>
            </w:tcBorders>
            <w:shd w:val="clear" w:color="auto" w:fill="auto"/>
            <w:noWrap/>
            <w:vAlign w:val="bottom"/>
            <w:hideMark/>
          </w:tcPr>
          <w:p w14:paraId="40BFD660"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r>
      <w:tr w:rsidR="00D931B7" w:rsidRPr="00D931B7" w14:paraId="0AFCFA74"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2107EADA"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Direct Materials</w:t>
            </w:r>
          </w:p>
        </w:tc>
        <w:tc>
          <w:tcPr>
            <w:tcW w:w="2020" w:type="dxa"/>
            <w:tcBorders>
              <w:top w:val="nil"/>
              <w:left w:val="nil"/>
              <w:bottom w:val="single" w:sz="4" w:space="0" w:color="auto"/>
              <w:right w:val="single" w:sz="4" w:space="0" w:color="auto"/>
            </w:tcBorders>
            <w:shd w:val="clear" w:color="auto" w:fill="auto"/>
            <w:noWrap/>
            <w:vAlign w:val="bottom"/>
            <w:hideMark/>
          </w:tcPr>
          <w:p w14:paraId="47C97713"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£1.90</w:t>
            </w:r>
          </w:p>
        </w:tc>
        <w:tc>
          <w:tcPr>
            <w:tcW w:w="960" w:type="dxa"/>
            <w:tcBorders>
              <w:top w:val="nil"/>
              <w:left w:val="nil"/>
              <w:bottom w:val="single" w:sz="4" w:space="0" w:color="auto"/>
              <w:right w:val="single" w:sz="4" w:space="0" w:color="auto"/>
            </w:tcBorders>
            <w:shd w:val="clear" w:color="auto" w:fill="auto"/>
            <w:noWrap/>
            <w:vAlign w:val="bottom"/>
            <w:hideMark/>
          </w:tcPr>
          <w:p w14:paraId="16E9F17E"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94,500</w:t>
            </w:r>
          </w:p>
        </w:tc>
        <w:tc>
          <w:tcPr>
            <w:tcW w:w="1040" w:type="dxa"/>
            <w:tcBorders>
              <w:top w:val="nil"/>
              <w:left w:val="nil"/>
              <w:bottom w:val="single" w:sz="4" w:space="0" w:color="auto"/>
              <w:right w:val="single" w:sz="4" w:space="0" w:color="auto"/>
            </w:tcBorders>
            <w:shd w:val="clear" w:color="auto" w:fill="auto"/>
            <w:noWrap/>
            <w:vAlign w:val="bottom"/>
            <w:hideMark/>
          </w:tcPr>
          <w:p w14:paraId="27E21D3B"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£179,550</w:t>
            </w:r>
          </w:p>
        </w:tc>
        <w:tc>
          <w:tcPr>
            <w:tcW w:w="1040" w:type="dxa"/>
            <w:tcBorders>
              <w:top w:val="nil"/>
              <w:left w:val="nil"/>
              <w:bottom w:val="single" w:sz="4" w:space="0" w:color="auto"/>
              <w:right w:val="single" w:sz="4" w:space="0" w:color="auto"/>
            </w:tcBorders>
            <w:shd w:val="clear" w:color="auto" w:fill="auto"/>
            <w:noWrap/>
            <w:vAlign w:val="bottom"/>
            <w:hideMark/>
          </w:tcPr>
          <w:p w14:paraId="28882B97"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r>
      <w:tr w:rsidR="00D931B7" w:rsidRPr="00D931B7" w14:paraId="181DE9F7"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2620E944"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Other direct costs</w:t>
            </w:r>
          </w:p>
        </w:tc>
        <w:tc>
          <w:tcPr>
            <w:tcW w:w="2020" w:type="dxa"/>
            <w:tcBorders>
              <w:top w:val="nil"/>
              <w:left w:val="nil"/>
              <w:bottom w:val="single" w:sz="4" w:space="0" w:color="auto"/>
              <w:right w:val="single" w:sz="4" w:space="0" w:color="auto"/>
            </w:tcBorders>
            <w:shd w:val="clear" w:color="auto" w:fill="auto"/>
            <w:noWrap/>
            <w:vAlign w:val="bottom"/>
            <w:hideMark/>
          </w:tcPr>
          <w:p w14:paraId="57A1A739"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£0.40</w:t>
            </w:r>
          </w:p>
        </w:tc>
        <w:tc>
          <w:tcPr>
            <w:tcW w:w="960" w:type="dxa"/>
            <w:tcBorders>
              <w:top w:val="nil"/>
              <w:left w:val="nil"/>
              <w:bottom w:val="single" w:sz="4" w:space="0" w:color="auto"/>
              <w:right w:val="single" w:sz="4" w:space="0" w:color="auto"/>
            </w:tcBorders>
            <w:shd w:val="clear" w:color="auto" w:fill="auto"/>
            <w:noWrap/>
            <w:vAlign w:val="bottom"/>
            <w:hideMark/>
          </w:tcPr>
          <w:p w14:paraId="6F992785"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94,500</w:t>
            </w:r>
          </w:p>
        </w:tc>
        <w:tc>
          <w:tcPr>
            <w:tcW w:w="1040" w:type="dxa"/>
            <w:tcBorders>
              <w:top w:val="nil"/>
              <w:left w:val="nil"/>
              <w:bottom w:val="single" w:sz="4" w:space="0" w:color="auto"/>
              <w:right w:val="single" w:sz="4" w:space="0" w:color="auto"/>
            </w:tcBorders>
            <w:shd w:val="clear" w:color="auto" w:fill="auto"/>
            <w:noWrap/>
            <w:vAlign w:val="bottom"/>
            <w:hideMark/>
          </w:tcPr>
          <w:p w14:paraId="618E1625"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£37,800</w:t>
            </w:r>
          </w:p>
        </w:tc>
        <w:tc>
          <w:tcPr>
            <w:tcW w:w="1040" w:type="dxa"/>
            <w:tcBorders>
              <w:top w:val="nil"/>
              <w:left w:val="nil"/>
              <w:bottom w:val="single" w:sz="4" w:space="0" w:color="auto"/>
              <w:right w:val="single" w:sz="4" w:space="0" w:color="auto"/>
            </w:tcBorders>
            <w:shd w:val="clear" w:color="auto" w:fill="auto"/>
            <w:noWrap/>
            <w:vAlign w:val="bottom"/>
            <w:hideMark/>
          </w:tcPr>
          <w:p w14:paraId="22F47AF6"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£349,650</w:t>
            </w:r>
          </w:p>
        </w:tc>
      </w:tr>
      <w:tr w:rsidR="00D931B7" w:rsidRPr="00D931B7" w14:paraId="75FEBDC0"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4EA55DDB"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Contribution</w:t>
            </w:r>
          </w:p>
        </w:tc>
        <w:tc>
          <w:tcPr>
            <w:tcW w:w="2020" w:type="dxa"/>
            <w:tcBorders>
              <w:top w:val="nil"/>
              <w:left w:val="nil"/>
              <w:bottom w:val="single" w:sz="4" w:space="0" w:color="auto"/>
              <w:right w:val="single" w:sz="4" w:space="0" w:color="auto"/>
            </w:tcBorders>
            <w:shd w:val="clear" w:color="auto" w:fill="auto"/>
            <w:noWrap/>
            <w:vAlign w:val="bottom"/>
            <w:hideMark/>
          </w:tcPr>
          <w:p w14:paraId="390E6C15"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79552D14"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53AF5518"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08606B3D"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£217,350</w:t>
            </w:r>
          </w:p>
        </w:tc>
      </w:tr>
      <w:tr w:rsidR="00D931B7" w:rsidRPr="00D931B7" w14:paraId="201A7435"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48C2709A"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Less: Periodic cost</w:t>
            </w:r>
          </w:p>
        </w:tc>
        <w:tc>
          <w:tcPr>
            <w:tcW w:w="2020" w:type="dxa"/>
            <w:tcBorders>
              <w:top w:val="nil"/>
              <w:left w:val="nil"/>
              <w:bottom w:val="single" w:sz="4" w:space="0" w:color="auto"/>
              <w:right w:val="single" w:sz="4" w:space="0" w:color="auto"/>
            </w:tcBorders>
            <w:shd w:val="clear" w:color="auto" w:fill="auto"/>
            <w:noWrap/>
            <w:vAlign w:val="bottom"/>
            <w:hideMark/>
          </w:tcPr>
          <w:p w14:paraId="6666958A"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0883C7EC"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429954B8"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0F53E23A"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r>
      <w:tr w:rsidR="00D931B7" w:rsidRPr="00D931B7" w14:paraId="4AC78E9A"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31E8E461"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Advertising campaign</w:t>
            </w:r>
          </w:p>
        </w:tc>
        <w:tc>
          <w:tcPr>
            <w:tcW w:w="2020" w:type="dxa"/>
            <w:tcBorders>
              <w:top w:val="nil"/>
              <w:left w:val="nil"/>
              <w:bottom w:val="single" w:sz="4" w:space="0" w:color="auto"/>
              <w:right w:val="single" w:sz="4" w:space="0" w:color="auto"/>
            </w:tcBorders>
            <w:shd w:val="clear" w:color="auto" w:fill="auto"/>
            <w:noWrap/>
            <w:vAlign w:val="bottom"/>
            <w:hideMark/>
          </w:tcPr>
          <w:p w14:paraId="4E8E2FE2"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FCFD85A"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23ABDA13"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£12,500</w:t>
            </w:r>
          </w:p>
        </w:tc>
        <w:tc>
          <w:tcPr>
            <w:tcW w:w="1040" w:type="dxa"/>
            <w:tcBorders>
              <w:top w:val="nil"/>
              <w:left w:val="nil"/>
              <w:bottom w:val="single" w:sz="4" w:space="0" w:color="auto"/>
              <w:right w:val="single" w:sz="4" w:space="0" w:color="auto"/>
            </w:tcBorders>
            <w:shd w:val="clear" w:color="auto" w:fill="auto"/>
            <w:noWrap/>
            <w:vAlign w:val="bottom"/>
            <w:hideMark/>
          </w:tcPr>
          <w:p w14:paraId="12D9DB87"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r>
      <w:tr w:rsidR="00D931B7" w:rsidRPr="00D931B7" w14:paraId="5FDE7D73"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64B68B80"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Fixed cost</w:t>
            </w:r>
          </w:p>
        </w:tc>
        <w:tc>
          <w:tcPr>
            <w:tcW w:w="2020" w:type="dxa"/>
            <w:tcBorders>
              <w:top w:val="nil"/>
              <w:left w:val="nil"/>
              <w:bottom w:val="single" w:sz="4" w:space="0" w:color="auto"/>
              <w:right w:val="single" w:sz="4" w:space="0" w:color="auto"/>
            </w:tcBorders>
            <w:shd w:val="clear" w:color="auto" w:fill="auto"/>
            <w:noWrap/>
            <w:vAlign w:val="bottom"/>
            <w:hideMark/>
          </w:tcPr>
          <w:p w14:paraId="4A129A5F"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46B9056E" w14:textId="77777777" w:rsidR="00D931B7" w:rsidRPr="00D931B7" w:rsidRDefault="00D931B7" w:rsidP="00D931B7">
            <w:pPr>
              <w:spacing w:after="0" w:line="240" w:lineRule="auto"/>
              <w:jc w:val="left"/>
              <w:rPr>
                <w:rFonts w:ascii="Calibri" w:eastAsia="Times New Roman" w:hAnsi="Calibri" w:cs="Calibri"/>
                <w:color w:val="000000"/>
                <w:sz w:val="22"/>
                <w:szCs w:val="22"/>
              </w:rPr>
            </w:pPr>
            <w:r w:rsidRPr="00D931B7">
              <w:rPr>
                <w:rFonts w:ascii="Calibri" w:eastAsia="Times New Roman" w:hAnsi="Calibri" w:cs="Calibri"/>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43121B69"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£180,000</w:t>
            </w:r>
          </w:p>
        </w:tc>
        <w:tc>
          <w:tcPr>
            <w:tcW w:w="1040" w:type="dxa"/>
            <w:tcBorders>
              <w:top w:val="nil"/>
              <w:left w:val="nil"/>
              <w:bottom w:val="single" w:sz="4" w:space="0" w:color="auto"/>
              <w:right w:val="single" w:sz="4" w:space="0" w:color="auto"/>
            </w:tcBorders>
            <w:shd w:val="clear" w:color="auto" w:fill="auto"/>
            <w:noWrap/>
            <w:vAlign w:val="bottom"/>
            <w:hideMark/>
          </w:tcPr>
          <w:p w14:paraId="28B26BCE" w14:textId="77777777" w:rsidR="00D931B7" w:rsidRPr="00D931B7" w:rsidRDefault="00D931B7" w:rsidP="00D931B7">
            <w:pPr>
              <w:spacing w:after="0" w:line="240" w:lineRule="auto"/>
              <w:jc w:val="right"/>
              <w:rPr>
                <w:rFonts w:ascii="Calibri" w:eastAsia="Times New Roman" w:hAnsi="Calibri" w:cs="Calibri"/>
                <w:color w:val="000000"/>
                <w:sz w:val="22"/>
                <w:szCs w:val="22"/>
              </w:rPr>
            </w:pPr>
            <w:r w:rsidRPr="00D931B7">
              <w:rPr>
                <w:rFonts w:ascii="Calibri" w:eastAsia="Times New Roman" w:hAnsi="Calibri" w:cs="Calibri"/>
                <w:color w:val="000000"/>
                <w:sz w:val="22"/>
                <w:szCs w:val="22"/>
              </w:rPr>
              <w:t>£192,500</w:t>
            </w:r>
          </w:p>
        </w:tc>
      </w:tr>
      <w:tr w:rsidR="00D931B7" w:rsidRPr="00D931B7" w14:paraId="499B0248" w14:textId="77777777" w:rsidTr="00D931B7">
        <w:trPr>
          <w:trHeight w:val="288"/>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757F86C8" w14:textId="77777777" w:rsidR="00D931B7" w:rsidRPr="00D931B7" w:rsidRDefault="00D931B7" w:rsidP="00D931B7">
            <w:pPr>
              <w:spacing w:after="0" w:line="240" w:lineRule="auto"/>
              <w:jc w:val="left"/>
              <w:rPr>
                <w:rFonts w:ascii="Calibri" w:eastAsia="Times New Roman" w:hAnsi="Calibri" w:cs="Calibri"/>
                <w:b/>
                <w:bCs/>
                <w:color w:val="000000"/>
                <w:sz w:val="22"/>
                <w:szCs w:val="22"/>
              </w:rPr>
            </w:pPr>
            <w:r w:rsidRPr="00D931B7">
              <w:rPr>
                <w:rFonts w:ascii="Calibri" w:eastAsia="Times New Roman" w:hAnsi="Calibri" w:cs="Calibri"/>
                <w:b/>
                <w:bCs/>
                <w:color w:val="000000"/>
                <w:sz w:val="22"/>
                <w:szCs w:val="22"/>
              </w:rPr>
              <w:t>Net Profit</w:t>
            </w:r>
          </w:p>
        </w:tc>
        <w:tc>
          <w:tcPr>
            <w:tcW w:w="2020" w:type="dxa"/>
            <w:tcBorders>
              <w:top w:val="nil"/>
              <w:left w:val="nil"/>
              <w:bottom w:val="single" w:sz="4" w:space="0" w:color="auto"/>
              <w:right w:val="single" w:sz="4" w:space="0" w:color="auto"/>
            </w:tcBorders>
            <w:shd w:val="clear" w:color="auto" w:fill="auto"/>
            <w:noWrap/>
            <w:vAlign w:val="bottom"/>
            <w:hideMark/>
          </w:tcPr>
          <w:p w14:paraId="386296F9" w14:textId="77777777" w:rsidR="00D931B7" w:rsidRPr="00D931B7" w:rsidRDefault="00D931B7" w:rsidP="00D931B7">
            <w:pPr>
              <w:spacing w:after="0" w:line="240" w:lineRule="auto"/>
              <w:jc w:val="left"/>
              <w:rPr>
                <w:rFonts w:ascii="Calibri" w:eastAsia="Times New Roman" w:hAnsi="Calibri" w:cs="Calibri"/>
                <w:b/>
                <w:bCs/>
                <w:color w:val="000000"/>
                <w:sz w:val="22"/>
                <w:szCs w:val="22"/>
              </w:rPr>
            </w:pPr>
            <w:r w:rsidRPr="00D931B7">
              <w:rPr>
                <w:rFonts w:ascii="Calibri" w:eastAsia="Times New Roman" w:hAnsi="Calibri" w:cs="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946B316" w14:textId="77777777" w:rsidR="00D931B7" w:rsidRPr="00D931B7" w:rsidRDefault="00D931B7" w:rsidP="00D931B7">
            <w:pPr>
              <w:spacing w:after="0" w:line="240" w:lineRule="auto"/>
              <w:jc w:val="left"/>
              <w:rPr>
                <w:rFonts w:ascii="Calibri" w:eastAsia="Times New Roman" w:hAnsi="Calibri" w:cs="Calibri"/>
                <w:b/>
                <w:bCs/>
                <w:color w:val="000000"/>
                <w:sz w:val="22"/>
                <w:szCs w:val="22"/>
              </w:rPr>
            </w:pPr>
            <w:r w:rsidRPr="00D931B7">
              <w:rPr>
                <w:rFonts w:ascii="Calibri" w:eastAsia="Times New Roman" w:hAnsi="Calibri" w:cs="Calibri"/>
                <w:b/>
                <w:bCs/>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68512AA8" w14:textId="77777777" w:rsidR="00D931B7" w:rsidRPr="00D931B7" w:rsidRDefault="00D931B7" w:rsidP="00D931B7">
            <w:pPr>
              <w:spacing w:after="0" w:line="240" w:lineRule="auto"/>
              <w:jc w:val="left"/>
              <w:rPr>
                <w:rFonts w:ascii="Calibri" w:eastAsia="Times New Roman" w:hAnsi="Calibri" w:cs="Calibri"/>
                <w:b/>
                <w:bCs/>
                <w:color w:val="000000"/>
                <w:sz w:val="22"/>
                <w:szCs w:val="22"/>
              </w:rPr>
            </w:pPr>
            <w:r w:rsidRPr="00D931B7">
              <w:rPr>
                <w:rFonts w:ascii="Calibri" w:eastAsia="Times New Roman" w:hAnsi="Calibri" w:cs="Calibri"/>
                <w:b/>
                <w:bCs/>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14:paraId="0CDE5CCE" w14:textId="77777777" w:rsidR="00D931B7" w:rsidRPr="00D931B7" w:rsidRDefault="00D931B7" w:rsidP="00D931B7">
            <w:pPr>
              <w:spacing w:after="0" w:line="240" w:lineRule="auto"/>
              <w:jc w:val="right"/>
              <w:rPr>
                <w:rFonts w:ascii="Calibri" w:eastAsia="Times New Roman" w:hAnsi="Calibri" w:cs="Calibri"/>
                <w:b/>
                <w:bCs/>
                <w:color w:val="000000"/>
                <w:sz w:val="22"/>
                <w:szCs w:val="22"/>
              </w:rPr>
            </w:pPr>
            <w:r w:rsidRPr="00D931B7">
              <w:rPr>
                <w:rFonts w:ascii="Calibri" w:eastAsia="Times New Roman" w:hAnsi="Calibri" w:cs="Calibri"/>
                <w:b/>
                <w:bCs/>
                <w:color w:val="000000"/>
                <w:sz w:val="22"/>
                <w:szCs w:val="22"/>
              </w:rPr>
              <w:t>£24,850</w:t>
            </w:r>
          </w:p>
        </w:tc>
      </w:tr>
    </w:tbl>
    <w:p w14:paraId="5AB36DE1" w14:textId="77777777" w:rsidR="00291C81" w:rsidRDefault="00D931B7" w:rsidP="00291C81">
      <w:r>
        <w:t xml:space="preserve"> </w:t>
      </w:r>
    </w:p>
    <w:p w14:paraId="308B35E5" w14:textId="77777777" w:rsidR="00D931B7" w:rsidRDefault="00D931B7" w:rsidP="00291C81">
      <w:r>
        <w:t xml:space="preserve">Hence, after improvement of </w:t>
      </w:r>
      <w:proofErr w:type="gramStart"/>
      <w:r>
        <w:t>product;</w:t>
      </w:r>
      <w:proofErr w:type="gramEnd"/>
      <w:r>
        <w:t xml:space="preserve"> Solent Ltd. will get revised profit of </w:t>
      </w:r>
      <w:r>
        <w:rPr>
          <w:rFonts w:ascii="Calibri" w:hAnsi="Calibri" w:cs="Calibri"/>
        </w:rPr>
        <w:t>£</w:t>
      </w:r>
      <w:r>
        <w:t xml:space="preserve">24,850 which is </w:t>
      </w:r>
      <w:r w:rsidRPr="006C532E">
        <w:t>£</w:t>
      </w:r>
      <w:r w:rsidR="006C532E" w:rsidRPr="006C532E">
        <w:t xml:space="preserve">2,350 more </w:t>
      </w:r>
      <w:r w:rsidR="006C532E">
        <w:t xml:space="preserve">than that of previous profit. </w:t>
      </w:r>
    </w:p>
    <w:p w14:paraId="679F4DE8" w14:textId="77777777" w:rsidR="001F1FCE" w:rsidRDefault="001F1FCE" w:rsidP="001F1FCE">
      <w:pPr>
        <w:pStyle w:val="Heading2"/>
      </w:pPr>
      <w:r>
        <w:t>d. Limitations of break-even analysis</w:t>
      </w:r>
    </w:p>
    <w:p w14:paraId="657CB491" w14:textId="77777777" w:rsidR="00E17D07" w:rsidRDefault="00E17D07" w:rsidP="00E17D07">
      <w:r>
        <w:t xml:space="preserve">Break-even analysis seems to be </w:t>
      </w:r>
      <w:proofErr w:type="gramStart"/>
      <w:r>
        <w:t>a very important</w:t>
      </w:r>
      <w:proofErr w:type="gramEnd"/>
      <w:r>
        <w:t xml:space="preserve"> and useful guide to decision making. Overall, the break-even charts are moderately simple to construct and provide data to managers on return on break-even forecasts, margins of safety and profit and loss at different output levels. Besides this there are some of the limitations of breakeven analysis which have been discussed below:</w:t>
      </w:r>
    </w:p>
    <w:p w14:paraId="7C27FF1B" w14:textId="77777777" w:rsidR="00E17D07" w:rsidRDefault="00E17D07" w:rsidP="00E17D07">
      <w:r>
        <w:t xml:space="preserve">1. Break-even analysis </w:t>
      </w:r>
      <w:proofErr w:type="gramStart"/>
      <w:r>
        <w:t>is based on the assumption</w:t>
      </w:r>
      <w:proofErr w:type="gramEnd"/>
      <w:r>
        <w:t xml:space="preserve"> that all costs and expenses may be unfairly divided into fixed and variable segments. In practice, however, it may not be possible to achieve a clear separation of costs into fixed and variable types.</w:t>
      </w:r>
    </w:p>
    <w:p w14:paraId="2572A63F" w14:textId="77777777" w:rsidR="00E17D07" w:rsidRDefault="00E17D07" w:rsidP="00E17D07">
      <w:r>
        <w:lastRenderedPageBreak/>
        <w:t>2. Fixed costs are expected to remain constant across all stages of transition. It should be noted that fixed costs generally move beyond a certain level of activity.</w:t>
      </w:r>
    </w:p>
    <w:p w14:paraId="3A60870B" w14:textId="77777777" w:rsidR="00E17D07" w:rsidRDefault="00E17D07" w:rsidP="00E17D07">
      <w:r>
        <w:t>3. Variable costs are expected to vary depending on the size of the product. In practice, they move, in uncertainty, in sympathy for the size of the product, but not in direct measurement.</w:t>
      </w:r>
    </w:p>
    <w:p w14:paraId="242987C4" w14:textId="77777777" w:rsidR="00E17D07" w:rsidRDefault="00E17D07" w:rsidP="00E17D07">
      <w:r>
        <w:t>4. The suspicion that sales value remains unchanged provides a direct line of potentially invalid income. The cost of selling an item is based on certain variables such as market demand and grace, conflict and so on, so it almost stays constant.</w:t>
      </w:r>
    </w:p>
    <w:p w14:paraId="684A2AB7" w14:textId="77777777" w:rsidR="00E17D07" w:rsidRDefault="00E17D07" w:rsidP="00E17D07">
      <w:r>
        <w:t>5. It is difficult to predict that only one item will be delivered or that the combination of items will remain unchanged over time.</w:t>
      </w:r>
    </w:p>
    <w:p w14:paraId="00559762" w14:textId="77777777" w:rsidR="00E17D07" w:rsidRDefault="00E17D07" w:rsidP="00E17D07">
      <w:r>
        <w:t>6. Assigning fixed costs to a range of items is a problem.</w:t>
      </w:r>
    </w:p>
    <w:p w14:paraId="6E9D4977" w14:textId="77777777" w:rsidR="00E17D07" w:rsidRDefault="00E17D07" w:rsidP="00E17D07">
      <w:r>
        <w:t>7. Trading conditions are not expected to change, which is wrong.</w:t>
      </w:r>
    </w:p>
    <w:p w14:paraId="23184349" w14:textId="77777777" w:rsidR="00E17D07" w:rsidRDefault="00E17D07" w:rsidP="00E17D07">
      <w:r>
        <w:t>8. The sums of creation and application are expected to be equal and there will be no change in opening and closing supply of finished products, these are not very practical speaking.</w:t>
      </w:r>
    </w:p>
    <w:p w14:paraId="74D9FC57" w14:textId="77777777" w:rsidR="001F1FCE" w:rsidRDefault="00E17D07" w:rsidP="00E17D07">
      <w:r>
        <w:t>9. The return on investment of the original investment does not reflect the level of capital employed in the organization. To be sure, the capital employed is an important indicator of the profitability of a concern.</w:t>
      </w:r>
    </w:p>
    <w:p w14:paraId="69B297FA" w14:textId="77777777" w:rsidR="00D72E9A" w:rsidRDefault="00D72E9A">
      <w:r>
        <w:br w:type="page"/>
      </w:r>
    </w:p>
    <w:p w14:paraId="037D5420" w14:textId="77777777" w:rsidR="00E17D07" w:rsidRDefault="00D72E9A" w:rsidP="00D72E9A">
      <w:pPr>
        <w:pStyle w:val="Heading1"/>
      </w:pPr>
      <w:r>
        <w:lastRenderedPageBreak/>
        <w:t>Question 2</w:t>
      </w:r>
    </w:p>
    <w:p w14:paraId="7A10FE3A" w14:textId="77777777" w:rsidR="00D72E9A" w:rsidRDefault="00D72E9A" w:rsidP="00D72E9A">
      <w:pPr>
        <w:pStyle w:val="Heading2"/>
      </w:pPr>
      <w:r>
        <w:t xml:space="preserve">(a) Critically discuss why management accounting is necessary, given that most businesses </w:t>
      </w:r>
      <w:proofErr w:type="gramStart"/>
      <w:r>
        <w:t>have to</w:t>
      </w:r>
      <w:proofErr w:type="gramEnd"/>
      <w:r>
        <w:t xml:space="preserve"> prepare financial accounts in accordance with the law.</w:t>
      </w:r>
    </w:p>
    <w:p w14:paraId="78F5F685" w14:textId="77777777" w:rsidR="00F50DEC" w:rsidRDefault="00F50DEC" w:rsidP="00F50DEC">
      <w:r>
        <w:t>Managerial accounting, also known as management accounting, defines the use and arrangement of accounting data required by administrators, accountants and auditors of an association. Encourages them to make informed choices regarding any emerging problems in society; it also helps them familiarize themselves with administrative control capabilities that prevent them from taking any off-base options that could harm the organization's operations. He chooses a positive approach that predicts the future of the group's previous presentation. It was not based on authentication models that discouraged administrative choices during execution. It is specifically designed to support management in making important choices and is not disclosed to investors or credit institutions. It is usually deeply classified.</w:t>
      </w:r>
    </w:p>
    <w:p w14:paraId="0EFF4B79" w14:textId="77777777" w:rsidR="00E4704D" w:rsidRDefault="00F50DEC" w:rsidP="00F50DEC">
      <w:proofErr w:type="gramStart"/>
      <w:r>
        <w:t>So</w:t>
      </w:r>
      <w:proofErr w:type="gramEnd"/>
      <w:r>
        <w:t xml:space="preserve"> keeping Managerial accounting helps an individual in the company or society as a whole to make the right choices in areas of interest. It is necessary to consider the aspects of accounting that influence the behavior of the people who make up the company. The associations regularly decide on decisions and options regarding the quantity and type of data to be provided to the representatives and based on the data provided, staff will continue to make judgments and choices.</w:t>
      </w:r>
    </w:p>
    <w:p w14:paraId="72FF1DDF" w14:textId="77777777" w:rsidR="00E4704D" w:rsidRDefault="00E4704D" w:rsidP="00D72E9A">
      <w:pPr>
        <w:rPr>
          <w:u w:val="single"/>
        </w:rPr>
      </w:pPr>
      <w:r>
        <w:rPr>
          <w:u w:val="single"/>
        </w:rPr>
        <w:t>Appropriateness of Managerial accounting</w:t>
      </w:r>
    </w:p>
    <w:p w14:paraId="4029E7B4" w14:textId="77777777" w:rsidR="00ED14BF" w:rsidRDefault="00ED14BF" w:rsidP="00ED14BF">
      <w:r>
        <w:t>Managerial accounting is the type of accounting that provides financial data to administrators and leaders within an organization or association. Administrative accounting, for example, week-to-week or daily planning, is used to help leaders make choices that increase the suitability and viability of the association.</w:t>
      </w:r>
    </w:p>
    <w:p w14:paraId="22AAA940" w14:textId="77777777" w:rsidR="00ED14BF" w:rsidRDefault="00ED14BF" w:rsidP="00ED14BF">
      <w:r>
        <w:t xml:space="preserve">Management accounting is not the same as financial accounting as cash related accounting is based on the provision of quarterly or annual balance sheet data to financial experts, investors, tenants and others outside. the society. On the other hand, internal accounting is used internally to improve internal efficiency. </w:t>
      </w:r>
    </w:p>
    <w:p w14:paraId="082BD352" w14:textId="77777777" w:rsidR="00ED14BF" w:rsidRDefault="00ED14BF" w:rsidP="00ED14BF"/>
    <w:p w14:paraId="1456A6D1" w14:textId="77777777" w:rsidR="00ED14BF" w:rsidRDefault="00ED14BF" w:rsidP="00ED14BF">
      <w:r>
        <w:lastRenderedPageBreak/>
        <w:t xml:space="preserve">Managerial accounting involves forecasting and planning to project the financial direction of the company in the coming months and years. These plans often include revenue projections but also cost. This high-level agreement usually involves producing a capital finance plan, which eliminates any profit costs to be incurred </w:t>
      </w:r>
      <w:proofErr w:type="gramStart"/>
      <w:r>
        <w:t>at a later date</w:t>
      </w:r>
      <w:proofErr w:type="gramEnd"/>
      <w:r>
        <w:t>. The spending plan may include costs and projections for the purchase and construction of new hardware.</w:t>
      </w:r>
    </w:p>
    <w:p w14:paraId="5B4A51FA" w14:textId="77777777" w:rsidR="00ED14BF" w:rsidRDefault="00ED14BF" w:rsidP="00ED14BF">
      <w:r>
        <w:t>Management accounting is used to analyze the benefits of cost savings for new initiatives and to provide ongoing reporting on existing activities. These commitments may include specific cash or capital costs as a new obligation to finance them. Therefore, bookkeeping is critical to ensure these initiatives are implemented within a financial plan and in a cost-effective manner while being equally productive.</w:t>
      </w:r>
    </w:p>
    <w:p w14:paraId="4D37CA8C" w14:textId="77777777" w:rsidR="00B927ED" w:rsidRDefault="00ED14BF" w:rsidP="00ED14BF">
      <w:r>
        <w:t xml:space="preserve">Estimation and execution through administrative accounting will allow the primary administration to gradually decide on options. Estimating performance against assumptions and spending plans helps exorbitant aggression and allows an organization to </w:t>
      </w:r>
      <w:r w:rsidR="00A62E6F" w:rsidRPr="00A62E6F">
        <w:t>remain competitive</w:t>
      </w:r>
      <w:r>
        <w:t>.</w:t>
      </w:r>
    </w:p>
    <w:p w14:paraId="706237D2" w14:textId="77777777" w:rsidR="00B927ED" w:rsidRDefault="00E547AA" w:rsidP="00D72E9A">
      <w:pPr>
        <w:rPr>
          <w:u w:val="single"/>
        </w:rPr>
      </w:pPr>
      <w:r>
        <w:rPr>
          <w:u w:val="single"/>
        </w:rPr>
        <w:t>Importance of Management accounting</w:t>
      </w:r>
    </w:p>
    <w:p w14:paraId="030460C3" w14:textId="77777777" w:rsidR="00393AE8" w:rsidRDefault="00393AE8" w:rsidP="00393AE8">
      <w:r>
        <w:t xml:space="preserve">Several associations rely entirely on budget accounting data to </w:t>
      </w:r>
      <w:proofErr w:type="gramStart"/>
      <w:r>
        <w:t>make a decision</w:t>
      </w:r>
      <w:proofErr w:type="gramEnd"/>
      <w:r>
        <w:t xml:space="preserve">. The rationale behind this study was to determine whether the use of executive officers and cost accounting in a society could provide administrators with meaningful data that would help them to take over and influence the presentation of Government money. The findings showed that data execution and cost accounting tools can certainly give managers to decide on efficient and centralized options that will help them gain the upper hand and added benefit. Moreover, there is no doubt about their importance in society. </w:t>
      </w:r>
    </w:p>
    <w:p w14:paraId="5A00DADA" w14:textId="77777777" w:rsidR="00393AE8" w:rsidRDefault="00393AE8" w:rsidP="00393AE8">
      <w:r>
        <w:t xml:space="preserve">The board's accounting framework as the most important source of data is essential for achieving the company's vital goals. Like these lines, there will be gaps and shortcomings in the framework, reducing efficiency and effectiveness and creating </w:t>
      </w:r>
      <w:proofErr w:type="gramStart"/>
      <w:r>
        <w:t>a number of</w:t>
      </w:r>
      <w:proofErr w:type="gramEnd"/>
      <w:r>
        <w:t xml:space="preserve"> problems in society. The executive accounting framework as a large subset of balance sheet and non-cash data agreements provides a variety of data types for messengers, especially managers from any association. Given the plausible results and the capabilities and barriers of each practical connection, board accounting is a means of control, evaluation and judgment, as opposed to past performance and managing future opportunities, moderately good and measuring the level of capacity, operational capacity and effective activity. of any size, dimension and shape.</w:t>
      </w:r>
    </w:p>
    <w:p w14:paraId="6DD8B802" w14:textId="77777777" w:rsidR="00393AE8" w:rsidRDefault="00393AE8" w:rsidP="00393AE8">
      <w:r>
        <w:lastRenderedPageBreak/>
        <w:t xml:space="preserve">Accounting is not required by law. </w:t>
      </w:r>
      <w:proofErr w:type="gramStart"/>
      <w:r>
        <w:t>So</w:t>
      </w:r>
      <w:proofErr w:type="gramEnd"/>
      <w:r>
        <w:t xml:space="preserve"> it can have its own structure as the organization's prerequisites unfold. </w:t>
      </w:r>
      <w:proofErr w:type="gramStart"/>
      <w:r>
        <w:t>So</w:t>
      </w:r>
      <w:proofErr w:type="gramEnd"/>
      <w:r>
        <w:t xml:space="preserve"> if your organization feels that some departments need more internally and externally, they can do so unprotected. </w:t>
      </w:r>
    </w:p>
    <w:p w14:paraId="2E181B44" w14:textId="77777777" w:rsidR="00393AE8" w:rsidRDefault="00393AE8" w:rsidP="00393AE8">
      <w:r>
        <w:t xml:space="preserve">This introduction includes indicators, spending plans and top-down analyzes. </w:t>
      </w:r>
      <w:proofErr w:type="gramStart"/>
      <w:r>
        <w:t>So</w:t>
      </w:r>
      <w:proofErr w:type="gramEnd"/>
      <w:r>
        <w:t xml:space="preserve"> it helps the administration to organize the commercial activities. Budget accounting is the introduction of accounting data for partners and controllers. Displays the budget position for the entire time.</w:t>
      </w:r>
    </w:p>
    <w:p w14:paraId="6DDAC0F7" w14:textId="77777777" w:rsidR="00393AE8" w:rsidRDefault="00393AE8" w:rsidP="00393AE8">
      <w:r>
        <w:t>Another key function of action accounting is to assist managers in setting item costs by providing all data relating to costs, market segments and profit. Similarly, action accountants can help determine the life cycle of existing items as well as the rationality of new items. Board accounting is a comparison of cash related accounting.</w:t>
      </w:r>
    </w:p>
    <w:p w14:paraId="7C29A595" w14:textId="77777777" w:rsidR="00393AE8" w:rsidRDefault="00393AE8" w:rsidP="00393AE8">
      <w:r>
        <w:t xml:space="preserve">Cost accounting is a large subset of administrative accounting that focuses specifically on capturing the total costs of creating an organization by valuing the variable costs of each creation progress, just like the fixed costs. It enables organizations to identify and reduce unnecessary costs and increase benefits. Accounting related to cash, expenses, business audit, financial matters and so on are some management accounting tools and methods (known as expense accounting or board accounting) as part of accounting that takes care of evidence , estimating, analyzing, and translating accounting data so that they can be used well to help leaders make basic choices to address productively the activities of an organization. </w:t>
      </w:r>
    </w:p>
    <w:p w14:paraId="64C24E05" w14:textId="77777777" w:rsidR="00393AE8" w:rsidRDefault="00393AE8" w:rsidP="00393AE8">
      <w:r>
        <w:t xml:space="preserve">Executive officers and accounting machines update a company's money display, but </w:t>
      </w:r>
      <w:proofErr w:type="gramStart"/>
      <w:r>
        <w:t>it's</w:t>
      </w:r>
      <w:proofErr w:type="gramEnd"/>
      <w:r>
        <w:t xml:space="preserve"> not that simple. This study found that proper use of on-board and cost accounting tools can result in a better budget for the company. This is consistent with a well-known experimental demonstration that accounting methods are linked to performance. Similarly, Baines and Lang field-Smith (2003) found that organizations that rely more on non-cash accounting data developed their presentation.</w:t>
      </w:r>
    </w:p>
    <w:p w14:paraId="0D3810A1" w14:textId="77777777" w:rsidR="00393AE8" w:rsidRDefault="00393AE8" w:rsidP="00393AE8">
      <w:r>
        <w:t>Management accountants (also called managerial accountants) sometimes take the lead in and around a company as they think about the needs of the company</w:t>
      </w:r>
      <w:proofErr w:type="gramStart"/>
      <w:r>
        <w:t>. .</w:t>
      </w:r>
      <w:proofErr w:type="gramEnd"/>
      <w:r>
        <w:t xml:space="preserve"> This improves information and evaluations. Cost accounting is the way to make assessments and transform that information into information that will eventually be used to guide the dynamics. Interim Management Accounting is the second part of a program aimed at anyone just starting their business, fund or accounting journey and need to expand their loyalty. </w:t>
      </w:r>
    </w:p>
    <w:p w14:paraId="3AE298CD" w14:textId="77777777" w:rsidR="00393AE8" w:rsidRDefault="00393AE8" w:rsidP="00393AE8">
      <w:r>
        <w:lastRenderedPageBreak/>
        <w:t xml:space="preserve">Interestingly, accounting reviews and results are included to use business pioneers to dynamically lead and manage the organization more successfully. Administrative accountants handle many aspects of accounting. These include margins, requirements, capital planning, modeling and decision making, valuation and cost of items. Accountants conduct an income analysis to determine the financial impact of business options. Most organizations record budget data based on accounting. </w:t>
      </w:r>
    </w:p>
    <w:p w14:paraId="220CBFAD" w14:textId="77777777" w:rsidR="00917038" w:rsidRPr="00917038" w:rsidRDefault="00393AE8" w:rsidP="00393AE8">
      <w:r>
        <w:t xml:space="preserve">Managers can then use this information to implement changes and improve efficiency to the creation or contract stage. When an accountant administers the revenue analysis, he or she thinks about the flow of money in or out of a </w:t>
      </w:r>
      <w:proofErr w:type="gramStart"/>
      <w:r>
        <w:t>particular business</w:t>
      </w:r>
      <w:proofErr w:type="gramEnd"/>
      <w:r>
        <w:t xml:space="preserve"> option.</w:t>
      </w:r>
    </w:p>
    <w:p w14:paraId="5E220319" w14:textId="77777777" w:rsidR="00583C4A" w:rsidRDefault="00917038" w:rsidP="00583C4A">
      <w:r w:rsidRPr="0069575E">
        <w:rPr>
          <w:u w:val="single"/>
        </w:rPr>
        <w:t>Some of the other importance of Management Accountant has been discussed below</w:t>
      </w:r>
      <w:r>
        <w:t>:</w:t>
      </w:r>
    </w:p>
    <w:p w14:paraId="59DDB936" w14:textId="77777777" w:rsidR="00DD4E35" w:rsidRDefault="00DD4E35" w:rsidP="00DD4E35">
      <w:r>
        <w:t xml:space="preserve">Small and medium-sized businesses, especially those in the early stages of development, need vibrant and robust options to renew their revenue and market intensity. Therefore, clan leaders must </w:t>
      </w:r>
      <w:proofErr w:type="gramStart"/>
      <w:r>
        <w:t>have an understanding of</w:t>
      </w:r>
      <w:proofErr w:type="gramEnd"/>
      <w:r>
        <w:t xml:space="preserve"> all aspects of business in order to decide on another business. Board accounting provides execution and budget information that allows leaders to further define plans as indicated by accessible data.</w:t>
      </w:r>
    </w:p>
    <w:p w14:paraId="2A17325F" w14:textId="77777777" w:rsidR="00DD4E35" w:rsidRPr="00DD4E35" w:rsidRDefault="00DD4E35" w:rsidP="00DD4E35">
      <w:pPr>
        <w:rPr>
          <w:b/>
          <w:bCs/>
        </w:rPr>
      </w:pPr>
      <w:r w:rsidRPr="00DD4E35">
        <w:rPr>
          <w:b/>
          <w:bCs/>
        </w:rPr>
        <w:t>Implementing relevant cost analysis</w:t>
      </w:r>
    </w:p>
    <w:p w14:paraId="56F4339D" w14:textId="77777777" w:rsidR="00DD4E35" w:rsidRDefault="00DD4E35" w:rsidP="00DD4E35">
      <w:r>
        <w:t xml:space="preserve">Relevant cost analysis allows you to set aside all costs that cannot be selected and pay attention to the main thing at that </w:t>
      </w:r>
      <w:proofErr w:type="gramStart"/>
      <w:r>
        <w:t>particular moment</w:t>
      </w:r>
      <w:proofErr w:type="gramEnd"/>
      <w:r>
        <w:t xml:space="preserve">. According to each model, consider accepting an unusual request in the last seven days of the month. He </w:t>
      </w:r>
      <w:proofErr w:type="gramStart"/>
      <w:r>
        <w:t>has to</w:t>
      </w:r>
      <w:proofErr w:type="gramEnd"/>
      <w:r>
        <w:t xml:space="preserve"> decide the cost of that request very quickly so that the factor lies exactly in the information relevant to that particular request. As payment rates, manufacturing equipment rentals, and other fixed costs are now being called up for normal month-to-month manufacturing costs, the non-standard demand should include the costs of materials and labor required. to create them.</w:t>
      </w:r>
    </w:p>
    <w:p w14:paraId="716CE45A" w14:textId="77777777" w:rsidR="00DD4E35" w:rsidRPr="00DD4E35" w:rsidRDefault="00DD4E35" w:rsidP="00DD4E35">
      <w:pPr>
        <w:rPr>
          <w:b/>
          <w:bCs/>
        </w:rPr>
      </w:pPr>
      <w:r w:rsidRPr="00DD4E35">
        <w:rPr>
          <w:b/>
          <w:bCs/>
        </w:rPr>
        <w:t>Set workable creation options</w:t>
      </w:r>
    </w:p>
    <w:p w14:paraId="7981341F" w14:textId="77777777" w:rsidR="00DD4E35" w:rsidRDefault="00DD4E35" w:rsidP="00DD4E35">
      <w:r>
        <w:t xml:space="preserve">At times when another element or sub-element is required; it is difficult to decide whether it is better to create unity on your own or hire an outside creative group to promote unity. This is where administrative accounting can help them reach an option based on the cost appropriateness of each option. Making the right choice can save you money, but it can also save your entire business from a potential budget disaster. Sometimes </w:t>
      </w:r>
      <w:proofErr w:type="gramStart"/>
      <w:r>
        <w:t>it's</w:t>
      </w:r>
      <w:proofErr w:type="gramEnd"/>
      <w:r>
        <w:t xml:space="preserve"> more mediocre than changing your </w:t>
      </w:r>
      <w:r>
        <w:lastRenderedPageBreak/>
        <w:t>quota creation lines than buying a unit; Be that as it may, there are occasions when an outside provider can attract more money.</w:t>
      </w:r>
    </w:p>
    <w:p w14:paraId="6CB98AF6" w14:textId="77777777" w:rsidR="00DD4E35" w:rsidRPr="00DD4E35" w:rsidRDefault="00DD4E35" w:rsidP="00DD4E35">
      <w:pPr>
        <w:rPr>
          <w:b/>
          <w:bCs/>
        </w:rPr>
      </w:pPr>
      <w:r w:rsidRPr="00DD4E35">
        <w:rPr>
          <w:b/>
          <w:bCs/>
        </w:rPr>
        <w:t>Making effective production decisions</w:t>
      </w:r>
    </w:p>
    <w:p w14:paraId="2514E965" w14:textId="77777777" w:rsidR="00DD4E35" w:rsidRDefault="00DD4E35" w:rsidP="00DD4E35">
      <w:r>
        <w:t xml:space="preserve">To </w:t>
      </w:r>
      <w:proofErr w:type="gramStart"/>
      <w:r>
        <w:t>plan for the future</w:t>
      </w:r>
      <w:proofErr w:type="gramEnd"/>
      <w:r>
        <w:t xml:space="preserve">, the owner of the organization needs to know about his current situation and follow examples related to the group's money-related activities. This will enable them to make long-term plans for their business based on relevant data. Owners can significantly increase their creative boundaries, as action accounting can allow them to access data when it is generally reasonable to start the development cycle. Improvements take money, time, and often you </w:t>
      </w:r>
      <w:proofErr w:type="gramStart"/>
      <w:r>
        <w:t>have to</w:t>
      </w:r>
      <w:proofErr w:type="gramEnd"/>
      <w:r>
        <w:t xml:space="preserve"> stop creating for a while. Without proper data, they could settle for a terrible choice and in the long run pay more for improvements than they have planned. </w:t>
      </w:r>
    </w:p>
    <w:p w14:paraId="2E4A7C11" w14:textId="77777777" w:rsidR="00DD4E35" w:rsidRPr="00DD4E35" w:rsidRDefault="00DD4E35" w:rsidP="00DD4E35">
      <w:pPr>
        <w:rPr>
          <w:b/>
          <w:bCs/>
        </w:rPr>
      </w:pPr>
      <w:r w:rsidRPr="00DD4E35">
        <w:rPr>
          <w:b/>
          <w:bCs/>
        </w:rPr>
        <w:t>Planning future business development</w:t>
      </w:r>
    </w:p>
    <w:p w14:paraId="7A8670BD" w14:textId="77777777" w:rsidR="00DD4E35" w:rsidRDefault="00DD4E35" w:rsidP="00DD4E35">
      <w:r>
        <w:t xml:space="preserve">Another major benefit of accounting management </w:t>
      </w:r>
      <w:proofErr w:type="gramStart"/>
      <w:r>
        <w:t>books</w:t>
      </w:r>
      <w:proofErr w:type="gramEnd"/>
      <w:r>
        <w:t xml:space="preserve"> is the ability to come up with a solid financial plan with every penny set exactly where it should be. Reviewing past actions, unfinished years, and future initiatives plays an important role in determining a financial plan. The organization must cover all aspects of its business when formulating the financial plan and ensure it is adequately funding all areas of its operations to operate appropriately. has been solved. Therefore, they </w:t>
      </w:r>
      <w:proofErr w:type="gramStart"/>
      <w:r>
        <w:t>won't</w:t>
      </w:r>
      <w:proofErr w:type="gramEnd"/>
      <w:r>
        <w:t xml:space="preserve"> be organized with extra cash or leave a shy office when needed.</w:t>
      </w:r>
    </w:p>
    <w:p w14:paraId="129FF754" w14:textId="77777777" w:rsidR="00DD4E35" w:rsidRPr="00DD4E35" w:rsidRDefault="00DD4E35" w:rsidP="00DD4E35">
      <w:pPr>
        <w:rPr>
          <w:b/>
          <w:bCs/>
        </w:rPr>
      </w:pPr>
      <w:r w:rsidRPr="00DD4E35">
        <w:rPr>
          <w:b/>
          <w:bCs/>
        </w:rPr>
        <w:t>Rational resource consumption ability</w:t>
      </w:r>
    </w:p>
    <w:p w14:paraId="1DDFFDF3" w14:textId="77777777" w:rsidR="00DD4E35" w:rsidRDefault="00DD4E35" w:rsidP="00DD4E35">
      <w:r>
        <w:t>There are limited funds which are used regularly by the organization. Consistently there are fewer funds to spend, so the organization must support usage. In business, the executive accountant goes through the money to find various materials, experts and goods necessary for a perfect delivery time. Accounting for executives can help them decide how to spend less money to encourage their creation without affecting the nature or attractiveness of the items.</w:t>
      </w:r>
    </w:p>
    <w:p w14:paraId="351E221A" w14:textId="77777777" w:rsidR="00917038" w:rsidRDefault="00DD4E35" w:rsidP="00DD4E35">
      <w:r>
        <w:t xml:space="preserve">By examining the work, materials and various costs, the owner can see how to get more with less. For example, he can choose whether to reduce the number of representatives in a </w:t>
      </w:r>
      <w:proofErr w:type="gramStart"/>
      <w:r>
        <w:t>particular office</w:t>
      </w:r>
      <w:proofErr w:type="gramEnd"/>
      <w:r>
        <w:t xml:space="preserve"> or move some of them to a place where more work is needed. Updating an item from time to time can encourage the creation of less material without affecting the purpose and nature of the item.</w:t>
      </w:r>
    </w:p>
    <w:p w14:paraId="600F1C94" w14:textId="77777777" w:rsidR="0069575E" w:rsidRDefault="00832C68" w:rsidP="00832C68">
      <w:pPr>
        <w:pStyle w:val="Heading2"/>
      </w:pPr>
      <w:r>
        <w:lastRenderedPageBreak/>
        <w:t>(b) Critically discuss the techniques by which the management accountant can achieve the above objectives.</w:t>
      </w:r>
    </w:p>
    <w:p w14:paraId="3EC85180" w14:textId="77777777" w:rsidR="007D07BB" w:rsidRDefault="007D07BB" w:rsidP="007D07BB">
      <w:r>
        <w:t>Financial accounting is a valuable tool for the board and external clients, such as investors, potential owners, banks, customers, agents and government. It provides data on the outcome of its activities and the financial position of the company. An accounting framework is in place to make critical and accurate data accessible to all those committed to the association's government support. Prerequisites for a larger part of them are met by budget accounting procedures. Be that as it may, the administration needs more detailed data than traditional budget accounting can offer. The focus of the administration, however, is not previously on what lies ahead.</w:t>
      </w:r>
    </w:p>
    <w:p w14:paraId="25EB7F62" w14:textId="77777777" w:rsidR="00567B9C" w:rsidRDefault="007D07BB" w:rsidP="007D07BB">
      <w:r>
        <w:t>Management accounting aims to help association leaders identify and evaluate the side effects of their options. It is also known as cost accounting or administrative accounting. It involves the design of measurable budget reports and data to assist in the adoption of long-term management options within the association. Management accounting reports contain all the essential information regarding an organization’s income, income derived, stock subtleties, records payable, liabilities and other related measures.</w:t>
      </w:r>
    </w:p>
    <w:p w14:paraId="56828AF2" w14:textId="77777777" w:rsidR="004F7362" w:rsidRDefault="00CA659D" w:rsidP="00832C68">
      <w:r w:rsidRPr="00CA659D">
        <w:rPr>
          <w:u w:val="single"/>
        </w:rPr>
        <w:t>Some of the techniques of management accountant have been discussed below</w:t>
      </w:r>
      <w:r>
        <w:t>:</w:t>
      </w:r>
    </w:p>
    <w:p w14:paraId="69195687" w14:textId="77777777" w:rsidR="0093517A" w:rsidRDefault="0093517A" w:rsidP="00D3734D">
      <w:pPr>
        <w:spacing w:after="0"/>
      </w:pPr>
      <w:r w:rsidRPr="00576F0F">
        <w:rPr>
          <w:b/>
          <w:bCs/>
        </w:rPr>
        <w:t>1. Financial Planning</w:t>
      </w:r>
      <w:r w:rsidRPr="0093517A">
        <w:t xml:space="preserve">: </w:t>
      </w:r>
    </w:p>
    <w:p w14:paraId="0C197979" w14:textId="77777777" w:rsidR="00576F0F" w:rsidRDefault="00576F0F" w:rsidP="00576F0F">
      <w:r>
        <w:t>Financial planning is the demonstration of the preselection of budget exercises that are essential for the sufferer to achieve his essential goals. It involves deciding on the long-term and momentary budgetary goals of the effort, designing cash arrangements, and building a money-based approach to achieving the goals. The functioning of liquidity-related methods cannot be underestimated in order to maximize returns for the capital employed. Cash procedures can identify with determination of the amount of capital required, sources of financing, management of commitments and salary behavior, proceed as a guide in the exercise of liability and capital value and determination of the interest rate best in various facilities. .</w:t>
      </w:r>
    </w:p>
    <w:p w14:paraId="4855D72C" w14:textId="77777777" w:rsidR="0093517A" w:rsidRDefault="00576F0F" w:rsidP="00576F0F">
      <w:r>
        <w:t xml:space="preserve">In the financial planning technique, the managers plan to advance the primary financial objectives of the organization. However, it also involves deciding which methods to use to achieve this. Management decides how much capital will be needed, how the organization will create the funds, and how the payment will be distributed. This strategy is useful as it recognizes </w:t>
      </w:r>
      <w:r>
        <w:lastRenderedPageBreak/>
        <w:t>the overall financial standing of the organization. Money management is a different topic with high expectations</w:t>
      </w:r>
      <w:r w:rsidR="0093517A" w:rsidRPr="0093517A">
        <w:t>.</w:t>
      </w:r>
    </w:p>
    <w:p w14:paraId="202C8003" w14:textId="77777777" w:rsidR="0093517A" w:rsidRDefault="00C978F4" w:rsidP="00D3734D">
      <w:pPr>
        <w:spacing w:after="0"/>
      </w:pPr>
      <w:r w:rsidRPr="00576F0F">
        <w:rPr>
          <w:b/>
          <w:bCs/>
        </w:rPr>
        <w:t>2. Analysis of Financial Statements</w:t>
      </w:r>
      <w:r w:rsidRPr="00C978F4">
        <w:t>:</w:t>
      </w:r>
    </w:p>
    <w:p w14:paraId="6637C270" w14:textId="77777777" w:rsidR="00576F0F" w:rsidRDefault="00576F0F" w:rsidP="00576F0F">
      <w:r>
        <w:t>The survey is an attempt to determine the importance and importance of information about the tax relationship with the aim of assessing future income potential, the ability to pay prices And improvements in the responsibilities and profitability of a strong profit strategy</w:t>
      </w:r>
      <w:proofErr w:type="gramStart"/>
      <w:r>
        <w:t>. .</w:t>
      </w:r>
      <w:proofErr w:type="gramEnd"/>
      <w:r>
        <w:t xml:space="preserve"> The procedures for this review are similar tax summaries, model reviews, cash flow claims, and allowance reviews. This test will lead to the inclusion of data that will help business leaders, financial experts and tenants.</w:t>
      </w:r>
    </w:p>
    <w:p w14:paraId="042B2A3E" w14:textId="77777777" w:rsidR="007824B8" w:rsidRDefault="00576F0F" w:rsidP="00576F0F">
      <w:r>
        <w:t xml:space="preserve">This approach involves defining and discussing only money-related information that may be of benefit to the board. It includes </w:t>
      </w:r>
      <w:proofErr w:type="gramStart"/>
      <w:r>
        <w:t>a number of</w:t>
      </w:r>
      <w:proofErr w:type="gramEnd"/>
      <w:r>
        <w:t xml:space="preserve"> exercises, for example, model analysis, income analysis and allowance analysis. These reports help leaders determine revenue, income, mandatory improvements, and whether the association will be able to continue with the mishaps that should occur.</w:t>
      </w:r>
    </w:p>
    <w:p w14:paraId="0700410D" w14:textId="77777777" w:rsidR="007824B8" w:rsidRDefault="007824B8" w:rsidP="00D3734D">
      <w:pPr>
        <w:spacing w:after="0"/>
      </w:pPr>
      <w:r w:rsidRPr="00576F0F">
        <w:rPr>
          <w:b/>
          <w:bCs/>
        </w:rPr>
        <w:t>3. Historical Cost Accounting</w:t>
      </w:r>
      <w:r w:rsidRPr="007824B8">
        <w:t xml:space="preserve">: </w:t>
      </w:r>
    </w:p>
    <w:p w14:paraId="2FCC4FDD" w14:textId="77777777" w:rsidR="005823BC" w:rsidRDefault="005823BC" w:rsidP="005823BC">
      <w:r>
        <w:t>The historical cost accounting provides information passed to the administration identifying itself with the cost of each operation, cycle and office and therefore could be verified with normal expenses. This audit can be useful to the administration for cost control and future liquidation.</w:t>
      </w:r>
    </w:p>
    <w:p w14:paraId="4C209758" w14:textId="77777777" w:rsidR="00D3734D" w:rsidRDefault="005823BC" w:rsidP="005823BC">
      <w:r>
        <w:t>A historical cost is a percentage of the high value used in accounting where the estimated return on the asset report is posted at its specific cost upon receipt by the organization. The planned cost strategy is applied to facilities based in the United States under strict accounting guidelines (GAAP).</w:t>
      </w:r>
    </w:p>
    <w:p w14:paraId="195ADE71" w14:textId="77777777" w:rsidR="009E000B" w:rsidRDefault="009E000B" w:rsidP="009E000B">
      <w:r w:rsidRPr="005823BC">
        <w:rPr>
          <w:b/>
          <w:bCs/>
        </w:rPr>
        <w:t>4. Standard Costing</w:t>
      </w:r>
      <w:r>
        <w:t>:</w:t>
      </w:r>
    </w:p>
    <w:p w14:paraId="4E1455DD" w14:textId="77777777" w:rsidR="005823BC" w:rsidRDefault="005823BC" w:rsidP="005823BC">
      <w:r>
        <w:t xml:space="preserve">Standard costing is the basis of Standard costs in the most efficient working conditions, correlation between the real and the normal, verification and analysis of variables, so that you know the causes and identify and remedy the duty. move it in so that unfavorable things </w:t>
      </w:r>
      <w:proofErr w:type="gramStart"/>
      <w:r>
        <w:t>don’t</w:t>
      </w:r>
      <w:proofErr w:type="gramEnd"/>
      <w:r>
        <w:t xml:space="preserve"> happen again. This idea is important for controlling costs.</w:t>
      </w:r>
    </w:p>
    <w:p w14:paraId="7D2EDDB1" w14:textId="77777777" w:rsidR="005823BC" w:rsidRDefault="005823BC" w:rsidP="005823BC"/>
    <w:p w14:paraId="09FBCA69" w14:textId="77777777" w:rsidR="009E000B" w:rsidRDefault="005823BC" w:rsidP="005823BC">
      <w:r>
        <w:lastRenderedPageBreak/>
        <w:t xml:space="preserve">Standard costing </w:t>
      </w:r>
      <w:proofErr w:type="gramStart"/>
      <w:r>
        <w:t>are</w:t>
      </w:r>
      <w:proofErr w:type="gramEnd"/>
      <w:r>
        <w:t xml:space="preserve"> the method of estimating the cost of a construction cycle. It is part of cost accounting that a manufacturer uses, for example, to plan their costs for the next year at different costs, such as direct materials, direct labor or overhead. These representatives will be able to compare normal and actual expenditure. The difference between ordinary expenses and actual expenses is called. Such </w:t>
      </w:r>
      <w:proofErr w:type="gramStart"/>
      <w:r>
        <w:t>close proximity</w:t>
      </w:r>
      <w:proofErr w:type="gramEnd"/>
      <w:r>
        <w:t xml:space="preserve"> shows a trend based on what is recorded in the welfare plan. </w:t>
      </w:r>
      <w:proofErr w:type="gramStart"/>
      <w:r>
        <w:t>In the event that</w:t>
      </w:r>
      <w:proofErr w:type="gramEnd"/>
      <w:r>
        <w:t xml:space="preserve"> actual costs are more valuable than normal costs, overall, operators can expect a lower-than-expected gain. Given the potential for real costs, however, the board may see a greater than initially expected benefit.</w:t>
      </w:r>
    </w:p>
    <w:p w14:paraId="1B90E268" w14:textId="77777777" w:rsidR="009E000B" w:rsidRDefault="009E000B" w:rsidP="009E000B">
      <w:r w:rsidRPr="005823BC">
        <w:rPr>
          <w:b/>
          <w:bCs/>
          <w:color w:val="000000" w:themeColor="text1"/>
        </w:rPr>
        <w:t>5. Budgetary Control</w:t>
      </w:r>
      <w:r>
        <w:t>:</w:t>
      </w:r>
    </w:p>
    <w:p w14:paraId="204A7578" w14:textId="77777777" w:rsidR="006D4A0B" w:rsidRDefault="006D4A0B" w:rsidP="006D4A0B">
      <w:r>
        <w:t>The management accountant uses budget control equipment to organize and control the various exercises in the sector. Budget control is an important method of coordinating business activities in a unique way, which is to achieve a high level of profit. As part of budget control mechanisms, future cash flow requirements are assessed and organized with efficient solutions. It is used to control money views related to money. Business activities are coordinated as a separate method.</w:t>
      </w:r>
    </w:p>
    <w:p w14:paraId="63892D38" w14:textId="77777777" w:rsidR="009E000B" w:rsidRDefault="006D4A0B" w:rsidP="006D4A0B">
      <w:r>
        <w:t>By the time an organization receives the actual results of the presentation, the administration goes against that and the presentation / principles set out in the financial plan. The goal is to find out what the actual performance is in relation to the expected show and to what extent the show is off course. The group will examine the reasons behind the move in the real show and take corrective action. For example, the organization may find that contracts did not increase by 12% due to the lack of staff observed by the industry. As a result, the group is undergoing an upgrade move to improve the performance of execution of the planned activities. Therefore, the organization may choose to increase its staff to a certain level in order to obtain the appropriate increase in contracts.</w:t>
      </w:r>
    </w:p>
    <w:p w14:paraId="2098B921" w14:textId="77777777" w:rsidR="00C96354" w:rsidRDefault="00C96354" w:rsidP="00C96354">
      <w:r w:rsidRPr="005823BC">
        <w:rPr>
          <w:b/>
          <w:bCs/>
        </w:rPr>
        <w:t>6. Marginal Costing</w:t>
      </w:r>
      <w:r>
        <w:t>:</w:t>
      </w:r>
    </w:p>
    <w:p w14:paraId="1E02DD2A" w14:textId="77777777" w:rsidR="00C96354" w:rsidRDefault="00D47547" w:rsidP="00C96354">
      <w:r w:rsidRPr="00D47547">
        <w:t xml:space="preserve">The management accountant uses the strategy of marginal costing, differential costing and </w:t>
      </w:r>
      <w:proofErr w:type="gramStart"/>
      <w:r w:rsidRPr="00D47547">
        <w:t>break even</w:t>
      </w:r>
      <w:proofErr w:type="gramEnd"/>
      <w:r w:rsidRPr="00D47547">
        <w:t xml:space="preserve"> analysis for cost control, decision-making and benefit expansion. The marginal cost method is </w:t>
      </w:r>
      <w:proofErr w:type="gramStart"/>
      <w:r w:rsidRPr="00D47547">
        <w:t>similar to</w:t>
      </w:r>
      <w:proofErr w:type="gramEnd"/>
      <w:r w:rsidRPr="00D47547">
        <w:t xml:space="preserve"> monitoring progress for costs and contracts due to changes in construction volume. Administrators use the initial investment analysis and different cost accounting tools of action in </w:t>
      </w:r>
      <w:r w:rsidRPr="00D47547">
        <w:lastRenderedPageBreak/>
        <w:t>this strategy. The reports generated in this way are used dynamically and maximize their benefits.</w:t>
      </w:r>
    </w:p>
    <w:p w14:paraId="6EEB543E" w14:textId="77777777" w:rsidR="00C96354" w:rsidRDefault="00C96354" w:rsidP="00C96354">
      <w:r w:rsidRPr="005823BC">
        <w:rPr>
          <w:b/>
          <w:bCs/>
        </w:rPr>
        <w:t>7. Funds Flow Statement</w:t>
      </w:r>
      <w:r>
        <w:t>:</w:t>
      </w:r>
    </w:p>
    <w:p w14:paraId="550BD35F" w14:textId="77777777" w:rsidR="00C96354" w:rsidRDefault="00D47547" w:rsidP="00C96354">
      <w:r w:rsidRPr="00D47547">
        <w:t>The management accountant uses the technique of funds flow statement to break down changes in the position of a commercial enterprise balance sheet between two dates. It shows where resources in the industry come from and how they are used in the industry. It will be a great help in reviewing and controlling the budget, future guidance and similar reviews. In the process of accounting for the flow of activity, directors review the status of the organization’s balance sheet. They remember where resources come from and how they are used in the organization. As a result, the flow of investment resources and revenue analysis will help them control costs and anticipate future ways to make better use of the money.</w:t>
      </w:r>
    </w:p>
    <w:p w14:paraId="41B8BF4D" w14:textId="77777777" w:rsidR="00C96354" w:rsidRDefault="00C96354" w:rsidP="00C96354">
      <w:r w:rsidRPr="005823BC">
        <w:rPr>
          <w:b/>
          <w:bCs/>
        </w:rPr>
        <w:t>8. Cash Flow Statement</w:t>
      </w:r>
      <w:r>
        <w:t>:</w:t>
      </w:r>
    </w:p>
    <w:p w14:paraId="678FB401" w14:textId="77777777" w:rsidR="00D47547" w:rsidRDefault="00D47547" w:rsidP="00D47547">
      <w:r>
        <w:t xml:space="preserve">A funds flow statement that depends on an increase or decrease in working capital is </w:t>
      </w:r>
      <w:proofErr w:type="gramStart"/>
      <w:r>
        <w:t>very useful</w:t>
      </w:r>
      <w:proofErr w:type="gramEnd"/>
      <w:r>
        <w:t xml:space="preserve"> in defining long-term budgets. It is very unlikely that there will be sufficient working capital as found in the definition of asset flows and yet the organization may not be able to meet current liabilities when payable. This could be due to the collection of documents and the expansion of exchange account holders. In such a situation, the income classification is more valuable because it provides reliable data on income and growth.</w:t>
      </w:r>
    </w:p>
    <w:p w14:paraId="0EF96BB3" w14:textId="77777777" w:rsidR="00C96354" w:rsidRDefault="00D47547" w:rsidP="00D47547">
      <w:r>
        <w:t xml:space="preserve">Cash flow statement is an important tool for controlling money as it constitutes sources of money and employs money in a company for </w:t>
      </w:r>
      <w:proofErr w:type="gramStart"/>
      <w:r>
        <w:t>a period of time</w:t>
      </w:r>
      <w:proofErr w:type="gramEnd"/>
      <w:r>
        <w:t>, such as a month or a year. It is a useful tool for analyzing the liquidity of the effort. Money management starts with one start and the next through this review. Furthermore, it is possible to find the explanations behind monetary equality and the changes between two periods. Monitor business money and money development over time.</w:t>
      </w:r>
    </w:p>
    <w:p w14:paraId="11A563A2" w14:textId="77777777" w:rsidR="00C96354" w:rsidRDefault="00C96354" w:rsidP="00C96354">
      <w:r w:rsidRPr="005823BC">
        <w:rPr>
          <w:b/>
          <w:bCs/>
        </w:rPr>
        <w:t>9. Decision Making</w:t>
      </w:r>
      <w:r>
        <w:t>:</w:t>
      </w:r>
    </w:p>
    <w:p w14:paraId="10EBFAC5" w14:textId="77777777" w:rsidR="00F90ABE" w:rsidRDefault="00F90ABE" w:rsidP="00F90ABE">
      <w:r>
        <w:t xml:space="preserve">Once there are several options for performing a </w:t>
      </w:r>
      <w:proofErr w:type="gramStart"/>
      <w:r>
        <w:t>particular task</w:t>
      </w:r>
      <w:proofErr w:type="gramEnd"/>
      <w:r>
        <w:t>, it will be important to choose the best one on similar terms. This requires choice over administration. Management accounting helps the administration through lower cost methods, capital planning, cost differentiation to choose the best option that will maximize the benefits of the company.</w:t>
      </w:r>
    </w:p>
    <w:p w14:paraId="480024E4" w14:textId="77777777" w:rsidR="00F90ABE" w:rsidRDefault="00F90ABE" w:rsidP="00F90ABE"/>
    <w:p w14:paraId="48942A0D" w14:textId="77777777" w:rsidR="00F90ABE" w:rsidRDefault="00F90ABE" w:rsidP="00F90ABE">
      <w:r>
        <w:t xml:space="preserve">Businesses are complex. It is necessary to evaluate </w:t>
      </w:r>
      <w:proofErr w:type="gramStart"/>
      <w:r>
        <w:t>a number of</w:t>
      </w:r>
      <w:proofErr w:type="gramEnd"/>
      <w:r>
        <w:t xml:space="preserve"> components, factors and conditions before making any financial choices for the society. There may be some options before the game board. Dynamic methods help them choose the best ones. </w:t>
      </w:r>
      <w:proofErr w:type="gramStart"/>
      <w:r>
        <w:t>A number of</w:t>
      </w:r>
      <w:proofErr w:type="gramEnd"/>
      <w:r>
        <w:t xml:space="preserve"> board accounting tools are used, for example, variable costs, capital planning and lower costs to select the right option to maximize the profit in the industry.</w:t>
      </w:r>
    </w:p>
    <w:p w14:paraId="771E0BC9" w14:textId="77777777" w:rsidR="00C96354" w:rsidRDefault="00F90ABE" w:rsidP="00F90ABE">
      <w:r>
        <w:t>A business problem can be understood by choosing one of the better and more productive alternatives. In order to choose this alternative, the associated costs are considered. Therefore, accounting data is used to address the business problem that arises from the increasing complexity of the nature of the business.</w:t>
      </w:r>
    </w:p>
    <w:p w14:paraId="56B720C5" w14:textId="77777777" w:rsidR="00C96354" w:rsidRDefault="00C96354" w:rsidP="00C96354">
      <w:r w:rsidRPr="005823BC">
        <w:rPr>
          <w:b/>
          <w:bCs/>
        </w:rPr>
        <w:t>10. Revaluation Accounting</w:t>
      </w:r>
      <w:r>
        <w:t>:</w:t>
      </w:r>
    </w:p>
    <w:p w14:paraId="4A70FE0E" w14:textId="77777777" w:rsidR="00F90ABE" w:rsidRDefault="00F90ABE" w:rsidP="00F90ABE">
      <w:r>
        <w:t>The management accountant, in this way, undertakes to support and preserve the capital of the countryside. It covers the impact of cost changes on the preparation of budget summaries. The concessions are based on the revaluation according to the revaluation accounting strategy so that the capital is spoken correctly while respecting the benefits. Helps determine the reasonable return on capital employed.</w:t>
      </w:r>
    </w:p>
    <w:p w14:paraId="6BCF4CC7" w14:textId="77777777" w:rsidR="00F90ABE" w:rsidRDefault="00F90ABE" w:rsidP="00F90ABE">
      <w:r>
        <w:t xml:space="preserve">The revaluation is used to adjust the accounting estimate of the fixed income to estimate the current market. This is an alternative to International Financial Reporting </w:t>
      </w:r>
      <w:proofErr w:type="gramStart"/>
      <w:r>
        <w:t>Standards, but</w:t>
      </w:r>
      <w:proofErr w:type="gramEnd"/>
      <w:r>
        <w:t xml:space="preserve"> is not permitted by Generally Accepted Accounting Principles. When a company renovates a fixed structure, it transfers it to its reasonable value, minus the resulting accumulated depreciation and the cumulative inconvenience. An association cannot use revaluation solely on resources on an individual basis. Instead, it is implemented in fully equipped classes. </w:t>
      </w:r>
    </w:p>
    <w:p w14:paraId="0AC16B80" w14:textId="77777777" w:rsidR="00C96354" w:rsidRDefault="00F90ABE" w:rsidP="00F90ABE">
      <w:r>
        <w:t>If a revaluation results in a decrease in the carrying amount of a fixed asset, recognize the decrease in profit or loss. However, if there is a credit balance in the revaluation balance for that benefit, note the reduction in the total other salary to balance the credit balance. The reduction seen in other major salaries reduces the rate of any revaluation surplus that the company may have in value.</w:t>
      </w:r>
    </w:p>
    <w:p w14:paraId="3945D50F" w14:textId="77777777" w:rsidR="00C96354" w:rsidRDefault="00C96354" w:rsidP="00C96354">
      <w:r w:rsidRPr="005823BC">
        <w:rPr>
          <w:b/>
          <w:bCs/>
        </w:rPr>
        <w:t>11. Statistical and Graphical Techniques</w:t>
      </w:r>
      <w:r>
        <w:t>:</w:t>
      </w:r>
    </w:p>
    <w:p w14:paraId="470B65D5" w14:textId="77777777" w:rsidR="00F90ABE" w:rsidRDefault="00F90ABE" w:rsidP="00F90ABE">
      <w:r>
        <w:lastRenderedPageBreak/>
        <w:t>The management accountant uses a variety of factual and graphical methods to make the data more relevant and to integrate it into a structure so that it can assist administration in a dynamic way. The strategies used are Key Card, Sales Card: and Earnings, Investment Card, Serial Programming, Statistical Quality Control and so on.</w:t>
      </w:r>
    </w:p>
    <w:p w14:paraId="1B4E7DDD" w14:textId="77777777" w:rsidR="00C96354" w:rsidRDefault="00F90ABE" w:rsidP="00F90ABE">
      <w:r>
        <w:t>There are a lot of statistical techniques used to eliminate edge problems. The strategies for least square, redistribution and quality control and so on are just a few examples of measurable methods.</w:t>
      </w:r>
    </w:p>
    <w:p w14:paraId="2D3F46D3" w14:textId="77777777" w:rsidR="00C96354" w:rsidRDefault="00C96354" w:rsidP="00C96354">
      <w:r w:rsidRPr="005823BC">
        <w:rPr>
          <w:b/>
          <w:bCs/>
        </w:rPr>
        <w:t>12. Communicating</w:t>
      </w:r>
      <w:r>
        <w:t>:</w:t>
      </w:r>
    </w:p>
    <w:p w14:paraId="6F8CE7B0" w14:textId="77777777" w:rsidR="00F90ABE" w:rsidRDefault="00F90ABE" w:rsidP="00F90ABE">
      <w:r>
        <w:t>The success or disappointment of the administration depends on reality, whether the critical data is given to the administration in the right structure at the right time, to allow them to complete the organizational, control and dynamics elements in a way stable.</w:t>
      </w:r>
    </w:p>
    <w:p w14:paraId="0BA13F61" w14:textId="77777777" w:rsidR="00C96354" w:rsidRDefault="00F90ABE" w:rsidP="00F90ABE">
      <w:r>
        <w:t xml:space="preserve">The management accountant will prepare the basic reports for the dissemination of data to various levels of the board, through valid verification of the information to be entered, the correlation of the information and the choice of the method of ad change. Lack of communication or lack of direct communication between the representatives and the administrator can be a </w:t>
      </w:r>
      <w:proofErr w:type="gramStart"/>
      <w:r>
        <w:t>particular limitation</w:t>
      </w:r>
      <w:proofErr w:type="gramEnd"/>
      <w:r>
        <w:t xml:space="preserve"> for regulatory accounting. Leaders need to get the perfect data at the right time. This allows them to properly perform the dynamic organizational and control elements. Free communication movement is an undoubted requirement for better functioning of society.</w:t>
      </w:r>
    </w:p>
    <w:p w14:paraId="44092A34" w14:textId="77777777" w:rsidR="00C96354" w:rsidRDefault="00C96354" w:rsidP="00C96354"/>
    <w:p w14:paraId="2EA4EF0C" w14:textId="77777777" w:rsidR="00C96354" w:rsidRDefault="00C96354" w:rsidP="00C96354"/>
    <w:p w14:paraId="08737741" w14:textId="77777777" w:rsidR="00C96354" w:rsidRDefault="00C96354" w:rsidP="00C96354"/>
    <w:p w14:paraId="50B2AE90" w14:textId="77777777" w:rsidR="009E000B" w:rsidRDefault="009E000B" w:rsidP="009E000B"/>
    <w:p w14:paraId="71DF9BC2" w14:textId="77777777" w:rsidR="007824B8" w:rsidRDefault="007824B8" w:rsidP="00832C68"/>
    <w:p w14:paraId="2A674C53" w14:textId="77777777" w:rsidR="0093517A" w:rsidRPr="00832C68" w:rsidRDefault="0093517A" w:rsidP="00832C68"/>
    <w:sectPr w:rsidR="0093517A" w:rsidRPr="00832C68" w:rsidSect="00FB5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65ED"/>
    <w:rsid w:val="0000228B"/>
    <w:rsid w:val="00070E11"/>
    <w:rsid w:val="000C4BD1"/>
    <w:rsid w:val="0019681E"/>
    <w:rsid w:val="001A4019"/>
    <w:rsid w:val="001E65ED"/>
    <w:rsid w:val="001E7140"/>
    <w:rsid w:val="001F1FCE"/>
    <w:rsid w:val="00291C81"/>
    <w:rsid w:val="00297DBA"/>
    <w:rsid w:val="002D63E1"/>
    <w:rsid w:val="002E5170"/>
    <w:rsid w:val="00365164"/>
    <w:rsid w:val="003917F9"/>
    <w:rsid w:val="00393AE8"/>
    <w:rsid w:val="003D2FE1"/>
    <w:rsid w:val="00430470"/>
    <w:rsid w:val="004459BD"/>
    <w:rsid w:val="00465706"/>
    <w:rsid w:val="004742D8"/>
    <w:rsid w:val="00474C67"/>
    <w:rsid w:val="00476406"/>
    <w:rsid w:val="004A4A3A"/>
    <w:rsid w:val="004E5991"/>
    <w:rsid w:val="004F077C"/>
    <w:rsid w:val="004F7362"/>
    <w:rsid w:val="00505778"/>
    <w:rsid w:val="00553A58"/>
    <w:rsid w:val="00567B9C"/>
    <w:rsid w:val="00576F0F"/>
    <w:rsid w:val="005823BC"/>
    <w:rsid w:val="00583C4A"/>
    <w:rsid w:val="00652215"/>
    <w:rsid w:val="0069575E"/>
    <w:rsid w:val="006A23AE"/>
    <w:rsid w:val="006C532E"/>
    <w:rsid w:val="006C5359"/>
    <w:rsid w:val="006D4A0B"/>
    <w:rsid w:val="007013FC"/>
    <w:rsid w:val="00710B8C"/>
    <w:rsid w:val="007670EE"/>
    <w:rsid w:val="007762ED"/>
    <w:rsid w:val="007824B8"/>
    <w:rsid w:val="0079576B"/>
    <w:rsid w:val="007D07BB"/>
    <w:rsid w:val="00832C68"/>
    <w:rsid w:val="008369E4"/>
    <w:rsid w:val="00870C05"/>
    <w:rsid w:val="008D6066"/>
    <w:rsid w:val="008E3D3B"/>
    <w:rsid w:val="008E5AC4"/>
    <w:rsid w:val="00917038"/>
    <w:rsid w:val="0093517A"/>
    <w:rsid w:val="00954DFC"/>
    <w:rsid w:val="00967611"/>
    <w:rsid w:val="009C2BA3"/>
    <w:rsid w:val="009E000B"/>
    <w:rsid w:val="009E0625"/>
    <w:rsid w:val="00A21E9F"/>
    <w:rsid w:val="00A62E6F"/>
    <w:rsid w:val="00A72C2E"/>
    <w:rsid w:val="00A73F9B"/>
    <w:rsid w:val="00AB1FD9"/>
    <w:rsid w:val="00B16DFB"/>
    <w:rsid w:val="00B6688A"/>
    <w:rsid w:val="00B927ED"/>
    <w:rsid w:val="00C26AD1"/>
    <w:rsid w:val="00C96354"/>
    <w:rsid w:val="00C978F4"/>
    <w:rsid w:val="00CA659D"/>
    <w:rsid w:val="00CE65C2"/>
    <w:rsid w:val="00D12BBF"/>
    <w:rsid w:val="00D2031D"/>
    <w:rsid w:val="00D3734D"/>
    <w:rsid w:val="00D47547"/>
    <w:rsid w:val="00D72E9A"/>
    <w:rsid w:val="00D749F3"/>
    <w:rsid w:val="00D757F9"/>
    <w:rsid w:val="00D931B7"/>
    <w:rsid w:val="00DA2A6B"/>
    <w:rsid w:val="00DD3948"/>
    <w:rsid w:val="00DD4E35"/>
    <w:rsid w:val="00DE7393"/>
    <w:rsid w:val="00E17D07"/>
    <w:rsid w:val="00E26D6B"/>
    <w:rsid w:val="00E33EEB"/>
    <w:rsid w:val="00E4704D"/>
    <w:rsid w:val="00E547AA"/>
    <w:rsid w:val="00E9434B"/>
    <w:rsid w:val="00E962C4"/>
    <w:rsid w:val="00EA21B2"/>
    <w:rsid w:val="00EC3F36"/>
    <w:rsid w:val="00ED14BF"/>
    <w:rsid w:val="00EF6EEC"/>
    <w:rsid w:val="00F1069B"/>
    <w:rsid w:val="00F50DEC"/>
    <w:rsid w:val="00F630CF"/>
    <w:rsid w:val="00F822E3"/>
    <w:rsid w:val="00F8332F"/>
    <w:rsid w:val="00F90ABE"/>
    <w:rsid w:val="00FB4F41"/>
    <w:rsid w:val="00FB529C"/>
    <w:rsid w:val="00FC577D"/>
    <w:rsid w:val="00FD04B7"/>
    <w:rsid w:val="00FD0F48"/>
    <w:rsid w:val="00FD692B"/>
    <w:rsid w:val="00FE7E9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39DFE"/>
  <w15:docId w15:val="{2E3DE113-7533-4A93-807B-2A895809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hi-IN"/>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29C"/>
  </w:style>
  <w:style w:type="paragraph" w:styleId="Heading1">
    <w:name w:val="heading 1"/>
    <w:basedOn w:val="Normal"/>
    <w:next w:val="Normal"/>
    <w:link w:val="Heading1Char"/>
    <w:uiPriority w:val="9"/>
    <w:qFormat/>
    <w:rsid w:val="001E65ED"/>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1E65ED"/>
    <w:pPr>
      <w:keepNext/>
      <w:keepLines/>
      <w:spacing w:before="200" w:after="0"/>
      <w:outlineLvl w:val="1"/>
    </w:pPr>
    <w:rPr>
      <w:rFonts w:asciiTheme="majorHAnsi" w:eastAsiaTheme="majorEastAsia" w:hAnsiTheme="majorHAnsi" w:cstheme="majorBidi"/>
      <w:b/>
      <w:bCs/>
      <w:color w:val="4F81BD" w:themeColor="accent1"/>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5ED"/>
    <w:rPr>
      <w:rFonts w:asciiTheme="majorHAnsi" w:eastAsiaTheme="majorEastAsia" w:hAnsiTheme="majorHAnsi" w:cstheme="majorBidi"/>
      <w:b/>
      <w:bCs/>
      <w:color w:val="365F91" w:themeColor="accent1" w:themeShade="BF"/>
      <w:sz w:val="28"/>
      <w:szCs w:val="25"/>
    </w:rPr>
  </w:style>
  <w:style w:type="character" w:customStyle="1" w:styleId="Heading2Char">
    <w:name w:val="Heading 2 Char"/>
    <w:basedOn w:val="DefaultParagraphFont"/>
    <w:link w:val="Heading2"/>
    <w:uiPriority w:val="9"/>
    <w:rsid w:val="001E65ED"/>
    <w:rPr>
      <w:rFonts w:asciiTheme="majorHAnsi" w:eastAsiaTheme="majorEastAsia" w:hAnsiTheme="majorHAnsi" w:cstheme="majorBidi"/>
      <w:b/>
      <w:bCs/>
      <w:color w:val="4F81BD" w:themeColor="accent1"/>
      <w:sz w:val="26"/>
      <w:szCs w:val="23"/>
    </w:rPr>
  </w:style>
  <w:style w:type="character" w:styleId="PlaceholderText">
    <w:name w:val="Placeholder Text"/>
    <w:basedOn w:val="DefaultParagraphFont"/>
    <w:uiPriority w:val="99"/>
    <w:semiHidden/>
    <w:rsid w:val="0000228B"/>
    <w:rPr>
      <w:color w:val="808080"/>
    </w:rPr>
  </w:style>
  <w:style w:type="paragraph" w:styleId="BalloonText">
    <w:name w:val="Balloon Text"/>
    <w:basedOn w:val="Normal"/>
    <w:link w:val="BalloonTextChar"/>
    <w:uiPriority w:val="99"/>
    <w:semiHidden/>
    <w:unhideWhenUsed/>
    <w:rsid w:val="0000228B"/>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00228B"/>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377961">
      <w:bodyDiv w:val="1"/>
      <w:marLeft w:val="0"/>
      <w:marRight w:val="0"/>
      <w:marTop w:val="0"/>
      <w:marBottom w:val="0"/>
      <w:divBdr>
        <w:top w:val="none" w:sz="0" w:space="0" w:color="auto"/>
        <w:left w:val="none" w:sz="0" w:space="0" w:color="auto"/>
        <w:bottom w:val="none" w:sz="0" w:space="0" w:color="auto"/>
        <w:right w:val="none" w:sz="0" w:space="0" w:color="auto"/>
      </w:divBdr>
    </w:div>
    <w:div w:id="189531734">
      <w:bodyDiv w:val="1"/>
      <w:marLeft w:val="0"/>
      <w:marRight w:val="0"/>
      <w:marTop w:val="0"/>
      <w:marBottom w:val="0"/>
      <w:divBdr>
        <w:top w:val="none" w:sz="0" w:space="0" w:color="auto"/>
        <w:left w:val="none" w:sz="0" w:space="0" w:color="auto"/>
        <w:bottom w:val="none" w:sz="0" w:space="0" w:color="auto"/>
        <w:right w:val="none" w:sz="0" w:space="0" w:color="auto"/>
      </w:divBdr>
    </w:div>
    <w:div w:id="107566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16</Pages>
  <Words>4379</Words>
  <Characters>24965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jang bogo</dc:creator>
  <cp:lastModifiedBy>barzakovvasil@gmail.com</cp:lastModifiedBy>
  <cp:revision>49</cp:revision>
  <dcterms:created xsi:type="dcterms:W3CDTF">2020-09-06T08:47:00Z</dcterms:created>
  <dcterms:modified xsi:type="dcterms:W3CDTF">2020-09-06T12:52:00Z</dcterms:modified>
</cp:coreProperties>
</file>