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8F44E" w14:textId="77777777" w:rsidR="00514F93" w:rsidRDefault="00514F93" w:rsidP="00514F93">
      <w:pPr>
        <w:pStyle w:val="cvgsua"/>
        <w:rPr>
          <w:rFonts w:ascii="Arial" w:hAnsi="Arial" w:cs="Arial"/>
          <w:sz w:val="22"/>
        </w:rPr>
      </w:pPr>
      <w:r>
        <w:rPr>
          <w:rStyle w:val="agcmg"/>
          <w:rFonts w:ascii="Arial" w:eastAsiaTheme="majorEastAsia" w:hAnsi="Arial" w:cs="Arial"/>
          <w:b/>
          <w:bCs/>
          <w:sz w:val="22"/>
        </w:rPr>
        <w:t>Name: Salma Mumtaz</w:t>
      </w:r>
    </w:p>
    <w:p w14:paraId="41714973" w14:textId="2543519D" w:rsidR="00514F93" w:rsidRDefault="00514F93" w:rsidP="00514F93">
      <w:pPr>
        <w:pStyle w:val="cvgsua"/>
        <w:rPr>
          <w:rFonts w:ascii="Arial" w:hAnsi="Arial" w:cs="Arial"/>
          <w:sz w:val="22"/>
        </w:rPr>
      </w:pPr>
      <w:r>
        <w:rPr>
          <w:rStyle w:val="agcmg"/>
          <w:rFonts w:ascii="Arial" w:eastAsiaTheme="majorEastAsia" w:hAnsi="Arial" w:cs="Arial"/>
          <w:b/>
          <w:bCs/>
          <w:sz w:val="22"/>
        </w:rPr>
        <w:t>Student number:</w:t>
      </w:r>
      <w:r w:rsidR="00422631">
        <w:rPr>
          <w:rStyle w:val="agcmg"/>
          <w:rFonts w:ascii="Arial" w:eastAsiaTheme="majorEastAsia" w:hAnsi="Arial" w:cs="Arial"/>
          <w:b/>
          <w:bCs/>
          <w:sz w:val="22"/>
        </w:rPr>
        <w:t>2431990</w:t>
      </w:r>
    </w:p>
    <w:p w14:paraId="321B96F2" w14:textId="77777777" w:rsidR="00514F93" w:rsidRDefault="00514F93" w:rsidP="00514F93">
      <w:pPr>
        <w:pStyle w:val="cvgsua"/>
        <w:rPr>
          <w:rFonts w:ascii="Arial" w:hAnsi="Arial" w:cs="Arial"/>
          <w:sz w:val="22"/>
        </w:rPr>
      </w:pPr>
      <w:r>
        <w:rPr>
          <w:rStyle w:val="agcmg"/>
          <w:rFonts w:ascii="Arial" w:eastAsiaTheme="majorEastAsia" w:hAnsi="Arial" w:cs="Arial"/>
          <w:b/>
          <w:bCs/>
          <w:sz w:val="22"/>
        </w:rPr>
        <w:t>Module: Introduction to Health and Social Care</w:t>
      </w:r>
    </w:p>
    <w:p w14:paraId="677A9768" w14:textId="77777777" w:rsidR="00514F93" w:rsidRDefault="00514F93" w:rsidP="00514F93">
      <w:pPr>
        <w:pStyle w:val="cvgsua"/>
        <w:rPr>
          <w:rFonts w:ascii="Arial" w:hAnsi="Arial" w:cs="Arial"/>
          <w:sz w:val="22"/>
        </w:rPr>
      </w:pPr>
      <w:r>
        <w:rPr>
          <w:rStyle w:val="agcmg"/>
          <w:rFonts w:ascii="Arial" w:eastAsiaTheme="majorEastAsia" w:hAnsi="Arial" w:cs="Arial"/>
          <w:b/>
          <w:bCs/>
          <w:sz w:val="22"/>
        </w:rPr>
        <w:t>Module code: LCHS4003</w:t>
      </w:r>
    </w:p>
    <w:p w14:paraId="650F5449" w14:textId="77777777" w:rsidR="00514F93" w:rsidRDefault="00514F93" w:rsidP="00514F93">
      <w:pPr>
        <w:pStyle w:val="cvgsua"/>
        <w:rPr>
          <w:rFonts w:ascii="Arial" w:hAnsi="Arial" w:cs="Arial"/>
          <w:sz w:val="22"/>
        </w:rPr>
      </w:pPr>
      <w:r>
        <w:rPr>
          <w:rStyle w:val="agcmg"/>
          <w:rFonts w:ascii="Arial" w:eastAsiaTheme="majorEastAsia" w:hAnsi="Arial" w:cs="Arial"/>
          <w:b/>
          <w:bCs/>
          <w:sz w:val="22"/>
        </w:rPr>
        <w:t>Lecturer: Helen Parsons</w:t>
      </w:r>
    </w:p>
    <w:p w14:paraId="182156C1" w14:textId="77777777" w:rsidR="00514F93" w:rsidRDefault="00514F93" w:rsidP="00514F93">
      <w:pPr>
        <w:rPr>
          <w:rStyle w:val="agcmg"/>
          <w:rFonts w:eastAsiaTheme="majorEastAsia"/>
          <w:b/>
          <w:bCs/>
        </w:rPr>
      </w:pPr>
      <w:r>
        <w:rPr>
          <w:rStyle w:val="agcmg"/>
          <w:rFonts w:ascii="Arial" w:eastAsiaTheme="majorEastAsia" w:hAnsi="Arial" w:cs="Arial"/>
          <w:b/>
          <w:bCs/>
          <w:sz w:val="22"/>
        </w:rPr>
        <w:t>Title: Component 2: Mrs Thompson Case Study</w:t>
      </w:r>
    </w:p>
    <w:p w14:paraId="5209E29C" w14:textId="77777777" w:rsidR="00514F93" w:rsidRDefault="00514F93" w:rsidP="00514F93">
      <w:pPr>
        <w:rPr>
          <w:rFonts w:eastAsiaTheme="majorEastAsia"/>
        </w:rPr>
      </w:pPr>
    </w:p>
    <w:p w14:paraId="604752DC" w14:textId="77777777" w:rsidR="00514F93" w:rsidRDefault="00514F93" w:rsidP="00514F93"/>
    <w:p w14:paraId="2B42BA1C" w14:textId="77777777" w:rsidR="00514F93" w:rsidRDefault="00514F93" w:rsidP="00514F93"/>
    <w:p w14:paraId="39EA8523" w14:textId="77777777" w:rsidR="00514F93" w:rsidRDefault="00514F93" w:rsidP="00514F93"/>
    <w:p w14:paraId="750255B2" w14:textId="77777777" w:rsidR="00514F93" w:rsidRDefault="00514F93" w:rsidP="00514F93"/>
    <w:p w14:paraId="759E8087" w14:textId="77777777" w:rsidR="00514F93" w:rsidRDefault="00514F93" w:rsidP="00514F93"/>
    <w:p w14:paraId="5CB5A66A" w14:textId="77777777" w:rsidR="00514F93" w:rsidRDefault="00514F93" w:rsidP="00514F93"/>
    <w:p w14:paraId="3FBE1596" w14:textId="77777777" w:rsidR="00514F93" w:rsidRDefault="00514F93" w:rsidP="00514F93"/>
    <w:p w14:paraId="7A4EF69A" w14:textId="77777777" w:rsidR="00514F93" w:rsidRDefault="00514F93" w:rsidP="00514F93"/>
    <w:p w14:paraId="42576D5A" w14:textId="77777777" w:rsidR="00514F93" w:rsidRDefault="00514F93" w:rsidP="00514F93"/>
    <w:p w14:paraId="2F0AF5D4" w14:textId="77777777" w:rsidR="00514F93" w:rsidRDefault="00514F93" w:rsidP="00514F93"/>
    <w:p w14:paraId="5285A194" w14:textId="77777777" w:rsidR="00514F93" w:rsidRDefault="00514F93" w:rsidP="00514F93"/>
    <w:p w14:paraId="6B948341" w14:textId="77777777" w:rsidR="00514F93" w:rsidRDefault="00514F93" w:rsidP="00514F93"/>
    <w:p w14:paraId="3B7C424F" w14:textId="77777777" w:rsidR="00514F93" w:rsidRDefault="00514F93" w:rsidP="00514F93"/>
    <w:p w14:paraId="2908A78B" w14:textId="77777777" w:rsidR="00514F93" w:rsidRDefault="00514F93" w:rsidP="00514F93"/>
    <w:p w14:paraId="4C1046FA" w14:textId="77777777" w:rsidR="00514F93" w:rsidRDefault="00514F93" w:rsidP="00514F93"/>
    <w:p w14:paraId="277FC99A" w14:textId="77777777" w:rsidR="00514F93" w:rsidRDefault="00514F93" w:rsidP="00514F93"/>
    <w:p w14:paraId="6C65D82F" w14:textId="77777777" w:rsidR="00514F93" w:rsidRDefault="00514F93" w:rsidP="00514F93"/>
    <w:p w14:paraId="1A23689B" w14:textId="77777777" w:rsidR="00514F93" w:rsidRDefault="00514F93" w:rsidP="00514F93"/>
    <w:p w14:paraId="5B70BA94" w14:textId="77777777" w:rsidR="00514F93" w:rsidRDefault="00514F93" w:rsidP="00514F93"/>
    <w:p w14:paraId="0EB2A96B" w14:textId="77777777" w:rsidR="00514F93" w:rsidRDefault="00514F93" w:rsidP="00514F93"/>
    <w:p w14:paraId="771A25B1" w14:textId="77777777" w:rsidR="00514F93" w:rsidRDefault="00514F93" w:rsidP="00514F93"/>
    <w:p w14:paraId="4124DD81" w14:textId="77777777" w:rsidR="00514F93" w:rsidRDefault="00514F93" w:rsidP="00514F93"/>
    <w:p w14:paraId="3E526E69" w14:textId="77777777" w:rsidR="00514F93" w:rsidRDefault="00514F93" w:rsidP="00514F93"/>
    <w:p w14:paraId="7B629618" w14:textId="77777777" w:rsidR="00514F93" w:rsidRDefault="00514F93" w:rsidP="00514F93"/>
    <w:p w14:paraId="102522C3" w14:textId="77777777" w:rsidR="00514F93" w:rsidRDefault="00514F93" w:rsidP="00514F93"/>
    <w:p w14:paraId="7BB3590B" w14:textId="77777777" w:rsidR="00514F93" w:rsidRDefault="00514F93" w:rsidP="00514F93"/>
    <w:p w14:paraId="2A6C02C5" w14:textId="77777777" w:rsidR="00514F93" w:rsidRDefault="00514F93" w:rsidP="00514F93"/>
    <w:p w14:paraId="0CB2F824" w14:textId="77777777" w:rsidR="00514F93" w:rsidRDefault="00514F93" w:rsidP="00514F93"/>
    <w:p w14:paraId="48E635E0" w14:textId="77777777" w:rsidR="00514F93" w:rsidRDefault="00514F93" w:rsidP="00514F93"/>
    <w:p w14:paraId="42ADA013" w14:textId="77777777" w:rsidR="00514F93" w:rsidRDefault="00514F93" w:rsidP="00514F93"/>
    <w:p w14:paraId="19E2E09B" w14:textId="77777777" w:rsidR="00514F93" w:rsidRDefault="00514F93" w:rsidP="00514F93"/>
    <w:p w14:paraId="2FCF5CC5" w14:textId="77777777" w:rsidR="00514F93" w:rsidRDefault="00514F93" w:rsidP="00514F93"/>
    <w:p w14:paraId="4126CFD4" w14:textId="77777777" w:rsidR="00514F93" w:rsidRDefault="00514F93" w:rsidP="00514F93"/>
    <w:p w14:paraId="08FFBED4" w14:textId="77777777" w:rsidR="00514F93" w:rsidRDefault="00514F93" w:rsidP="00514F93"/>
    <w:p w14:paraId="56487114" w14:textId="77777777" w:rsidR="00514F93" w:rsidRDefault="00514F93" w:rsidP="00514F93"/>
    <w:p w14:paraId="3426F098" w14:textId="77777777" w:rsidR="00514F93" w:rsidRDefault="00514F93" w:rsidP="00514F93"/>
    <w:p w14:paraId="54E8D960" w14:textId="77777777" w:rsidR="00514F93" w:rsidRDefault="00514F93" w:rsidP="00514F93"/>
    <w:p w14:paraId="03E80FC5" w14:textId="77777777" w:rsidR="00514F93" w:rsidRDefault="00514F93" w:rsidP="00514F93"/>
    <w:p w14:paraId="78B1AE83" w14:textId="77777777" w:rsidR="00514F93" w:rsidRDefault="00514F93" w:rsidP="00514F93"/>
    <w:sdt>
      <w:sdtPr>
        <w:rPr>
          <w:rFonts w:ascii="Times New Roman" w:eastAsia="Times New Roman" w:hAnsi="Times New Roman" w:cs="Times New Roman"/>
          <w:b w:val="0"/>
          <w:bCs w:val="0"/>
          <w:color w:val="auto"/>
          <w:sz w:val="24"/>
          <w:szCs w:val="24"/>
          <w:lang w:val="en-GB"/>
        </w:rPr>
        <w:id w:val="-1676406764"/>
        <w:docPartObj>
          <w:docPartGallery w:val="Table of Contents"/>
          <w:docPartUnique/>
        </w:docPartObj>
      </w:sdtPr>
      <w:sdtContent>
        <w:p w14:paraId="5380CF66" w14:textId="77777777" w:rsidR="00514F93" w:rsidRPr="003369B1" w:rsidRDefault="00514F93" w:rsidP="00514F93">
          <w:pPr>
            <w:pStyle w:val="TOCHeading"/>
            <w:rPr>
              <w:rFonts w:ascii="Arial" w:hAnsi="Arial" w:cs="Arial"/>
              <w:sz w:val="22"/>
              <w:szCs w:val="22"/>
            </w:rPr>
          </w:pPr>
          <w:r w:rsidRPr="003369B1">
            <w:rPr>
              <w:rFonts w:ascii="Arial" w:hAnsi="Arial" w:cs="Arial"/>
              <w:sz w:val="22"/>
              <w:szCs w:val="22"/>
            </w:rPr>
            <w:t>Table of Contents</w:t>
          </w:r>
        </w:p>
        <w:p w14:paraId="0D70B644" w14:textId="4C2A8FA3" w:rsidR="003369B1" w:rsidRPr="003369B1" w:rsidRDefault="00514F93">
          <w:pPr>
            <w:pStyle w:val="TOC1"/>
            <w:tabs>
              <w:tab w:val="right" w:leader="dot" w:pos="9016"/>
            </w:tabs>
            <w:rPr>
              <w:rFonts w:ascii="Arial" w:eastAsiaTheme="minorEastAsia" w:hAnsi="Arial" w:cs="Arial"/>
              <w:b w:val="0"/>
              <w:bCs w:val="0"/>
              <w:noProof/>
              <w:kern w:val="2"/>
              <w:sz w:val="22"/>
              <w:szCs w:val="22"/>
              <w14:ligatures w14:val="standardContextual"/>
            </w:rPr>
          </w:pPr>
          <w:r w:rsidRPr="003369B1">
            <w:rPr>
              <w:rFonts w:ascii="Arial" w:hAnsi="Arial" w:cs="Arial"/>
              <w:b w:val="0"/>
              <w:bCs w:val="0"/>
              <w:sz w:val="22"/>
              <w:szCs w:val="22"/>
            </w:rPr>
            <w:fldChar w:fldCharType="begin"/>
          </w:r>
          <w:r w:rsidRPr="003369B1">
            <w:rPr>
              <w:rFonts w:ascii="Arial" w:hAnsi="Arial" w:cs="Arial"/>
              <w:sz w:val="22"/>
              <w:szCs w:val="22"/>
            </w:rPr>
            <w:instrText xml:space="preserve"> TOC \o "1-3" \h \z \u </w:instrText>
          </w:r>
          <w:r w:rsidRPr="003369B1">
            <w:rPr>
              <w:rFonts w:ascii="Arial" w:hAnsi="Arial" w:cs="Arial"/>
              <w:b w:val="0"/>
              <w:bCs w:val="0"/>
              <w:sz w:val="22"/>
              <w:szCs w:val="22"/>
            </w:rPr>
            <w:fldChar w:fldCharType="separate"/>
          </w:r>
          <w:hyperlink w:anchor="_Toc234931492" w:history="1">
            <w:r w:rsidR="003369B1" w:rsidRPr="003369B1">
              <w:rPr>
                <w:rStyle w:val="Hyperlink"/>
                <w:rFonts w:ascii="Arial" w:hAnsi="Arial" w:cs="Arial"/>
                <w:noProof/>
                <w:sz w:val="22"/>
                <w:szCs w:val="22"/>
              </w:rPr>
              <w:t>Introduction</w:t>
            </w:r>
            <w:r w:rsidR="003369B1" w:rsidRPr="003369B1">
              <w:rPr>
                <w:rFonts w:ascii="Arial" w:hAnsi="Arial" w:cs="Arial"/>
                <w:noProof/>
                <w:webHidden/>
                <w:sz w:val="22"/>
                <w:szCs w:val="22"/>
              </w:rPr>
              <w:tab/>
            </w:r>
            <w:r w:rsidR="003369B1" w:rsidRPr="003369B1">
              <w:rPr>
                <w:rFonts w:ascii="Arial" w:hAnsi="Arial" w:cs="Arial"/>
                <w:noProof/>
                <w:webHidden/>
                <w:sz w:val="22"/>
                <w:szCs w:val="22"/>
              </w:rPr>
              <w:fldChar w:fldCharType="begin"/>
            </w:r>
            <w:r w:rsidR="003369B1" w:rsidRPr="003369B1">
              <w:rPr>
                <w:rFonts w:ascii="Arial" w:hAnsi="Arial" w:cs="Arial"/>
                <w:noProof/>
                <w:webHidden/>
                <w:sz w:val="22"/>
                <w:szCs w:val="22"/>
              </w:rPr>
              <w:instrText xml:space="preserve"> PAGEREF _Toc234931492 \h </w:instrText>
            </w:r>
            <w:r w:rsidR="003369B1" w:rsidRPr="003369B1">
              <w:rPr>
                <w:rFonts w:ascii="Arial" w:hAnsi="Arial" w:cs="Arial"/>
                <w:noProof/>
                <w:webHidden/>
                <w:sz w:val="22"/>
                <w:szCs w:val="22"/>
              </w:rPr>
            </w:r>
            <w:r w:rsidR="003369B1" w:rsidRPr="003369B1">
              <w:rPr>
                <w:rFonts w:ascii="Arial" w:hAnsi="Arial" w:cs="Arial"/>
                <w:noProof/>
                <w:webHidden/>
                <w:sz w:val="22"/>
                <w:szCs w:val="22"/>
              </w:rPr>
              <w:fldChar w:fldCharType="separate"/>
            </w:r>
            <w:r w:rsidR="003369B1" w:rsidRPr="003369B1">
              <w:rPr>
                <w:rFonts w:ascii="Arial" w:hAnsi="Arial" w:cs="Arial"/>
                <w:noProof/>
                <w:webHidden/>
                <w:sz w:val="22"/>
                <w:szCs w:val="22"/>
              </w:rPr>
              <w:t>3</w:t>
            </w:r>
            <w:r w:rsidR="003369B1" w:rsidRPr="003369B1">
              <w:rPr>
                <w:rFonts w:ascii="Arial" w:hAnsi="Arial" w:cs="Arial"/>
                <w:noProof/>
                <w:webHidden/>
                <w:sz w:val="22"/>
                <w:szCs w:val="22"/>
              </w:rPr>
              <w:fldChar w:fldCharType="end"/>
            </w:r>
          </w:hyperlink>
        </w:p>
        <w:p w14:paraId="380CF418" w14:textId="68D38BC2" w:rsidR="003369B1" w:rsidRPr="003369B1" w:rsidRDefault="003369B1">
          <w:pPr>
            <w:pStyle w:val="TOC1"/>
            <w:tabs>
              <w:tab w:val="right" w:leader="dot" w:pos="9016"/>
            </w:tabs>
            <w:rPr>
              <w:rFonts w:ascii="Arial" w:eastAsiaTheme="minorEastAsia" w:hAnsi="Arial" w:cs="Arial"/>
              <w:b w:val="0"/>
              <w:bCs w:val="0"/>
              <w:noProof/>
              <w:kern w:val="2"/>
              <w:sz w:val="22"/>
              <w:szCs w:val="22"/>
              <w14:ligatures w14:val="standardContextual"/>
            </w:rPr>
          </w:pPr>
          <w:hyperlink w:anchor="_Toc234931493" w:history="1">
            <w:r w:rsidRPr="003369B1">
              <w:rPr>
                <w:rStyle w:val="Hyperlink"/>
                <w:rFonts w:ascii="Arial" w:hAnsi="Arial" w:cs="Arial"/>
                <w:noProof/>
                <w:sz w:val="22"/>
                <w:szCs w:val="22"/>
              </w:rPr>
              <w:t>Effective Communication</w:t>
            </w:r>
            <w:r w:rsidRPr="003369B1">
              <w:rPr>
                <w:rFonts w:ascii="Arial" w:hAnsi="Arial" w:cs="Arial"/>
                <w:noProof/>
                <w:webHidden/>
                <w:sz w:val="22"/>
                <w:szCs w:val="22"/>
              </w:rPr>
              <w:tab/>
            </w:r>
            <w:r w:rsidRPr="003369B1">
              <w:rPr>
                <w:rFonts w:ascii="Arial" w:hAnsi="Arial" w:cs="Arial"/>
                <w:noProof/>
                <w:webHidden/>
                <w:sz w:val="22"/>
                <w:szCs w:val="22"/>
              </w:rPr>
              <w:fldChar w:fldCharType="begin"/>
            </w:r>
            <w:r w:rsidRPr="003369B1">
              <w:rPr>
                <w:rFonts w:ascii="Arial" w:hAnsi="Arial" w:cs="Arial"/>
                <w:noProof/>
                <w:webHidden/>
                <w:sz w:val="22"/>
                <w:szCs w:val="22"/>
              </w:rPr>
              <w:instrText xml:space="preserve"> PAGEREF _Toc234931493 \h </w:instrText>
            </w:r>
            <w:r w:rsidRPr="003369B1">
              <w:rPr>
                <w:rFonts w:ascii="Arial" w:hAnsi="Arial" w:cs="Arial"/>
                <w:noProof/>
                <w:webHidden/>
                <w:sz w:val="22"/>
                <w:szCs w:val="22"/>
              </w:rPr>
            </w:r>
            <w:r w:rsidRPr="003369B1">
              <w:rPr>
                <w:rFonts w:ascii="Arial" w:hAnsi="Arial" w:cs="Arial"/>
                <w:noProof/>
                <w:webHidden/>
                <w:sz w:val="22"/>
                <w:szCs w:val="22"/>
              </w:rPr>
              <w:fldChar w:fldCharType="separate"/>
            </w:r>
            <w:r w:rsidRPr="003369B1">
              <w:rPr>
                <w:rFonts w:ascii="Arial" w:hAnsi="Arial" w:cs="Arial"/>
                <w:noProof/>
                <w:webHidden/>
                <w:sz w:val="22"/>
                <w:szCs w:val="22"/>
              </w:rPr>
              <w:t>4</w:t>
            </w:r>
            <w:r w:rsidRPr="003369B1">
              <w:rPr>
                <w:rFonts w:ascii="Arial" w:hAnsi="Arial" w:cs="Arial"/>
                <w:noProof/>
                <w:webHidden/>
                <w:sz w:val="22"/>
                <w:szCs w:val="22"/>
              </w:rPr>
              <w:fldChar w:fldCharType="end"/>
            </w:r>
          </w:hyperlink>
        </w:p>
        <w:p w14:paraId="63FD08B2" w14:textId="65A7F65A" w:rsidR="003369B1" w:rsidRPr="003369B1" w:rsidRDefault="003369B1">
          <w:pPr>
            <w:pStyle w:val="TOC1"/>
            <w:tabs>
              <w:tab w:val="right" w:leader="dot" w:pos="9016"/>
            </w:tabs>
            <w:rPr>
              <w:rFonts w:ascii="Arial" w:eastAsiaTheme="minorEastAsia" w:hAnsi="Arial" w:cs="Arial"/>
              <w:b w:val="0"/>
              <w:bCs w:val="0"/>
              <w:noProof/>
              <w:kern w:val="2"/>
              <w:sz w:val="22"/>
              <w:szCs w:val="22"/>
              <w14:ligatures w14:val="standardContextual"/>
            </w:rPr>
          </w:pPr>
          <w:hyperlink w:anchor="_Toc234931494" w:history="1">
            <w:r w:rsidRPr="003369B1">
              <w:rPr>
                <w:rStyle w:val="Hyperlink"/>
                <w:rFonts w:ascii="Arial" w:hAnsi="Arial" w:cs="Arial"/>
                <w:noProof/>
                <w:sz w:val="22"/>
                <w:szCs w:val="22"/>
              </w:rPr>
              <w:t>The Importance of Good Administrative Skills in Professional Practice</w:t>
            </w:r>
            <w:r w:rsidRPr="003369B1">
              <w:rPr>
                <w:rFonts w:ascii="Arial" w:hAnsi="Arial" w:cs="Arial"/>
                <w:noProof/>
                <w:webHidden/>
                <w:sz w:val="22"/>
                <w:szCs w:val="22"/>
              </w:rPr>
              <w:tab/>
            </w:r>
            <w:r w:rsidRPr="003369B1">
              <w:rPr>
                <w:rFonts w:ascii="Arial" w:hAnsi="Arial" w:cs="Arial"/>
                <w:noProof/>
                <w:webHidden/>
                <w:sz w:val="22"/>
                <w:szCs w:val="22"/>
              </w:rPr>
              <w:fldChar w:fldCharType="begin"/>
            </w:r>
            <w:r w:rsidRPr="003369B1">
              <w:rPr>
                <w:rFonts w:ascii="Arial" w:hAnsi="Arial" w:cs="Arial"/>
                <w:noProof/>
                <w:webHidden/>
                <w:sz w:val="22"/>
                <w:szCs w:val="22"/>
              </w:rPr>
              <w:instrText xml:space="preserve"> PAGEREF _Toc234931494 \h </w:instrText>
            </w:r>
            <w:r w:rsidRPr="003369B1">
              <w:rPr>
                <w:rFonts w:ascii="Arial" w:hAnsi="Arial" w:cs="Arial"/>
                <w:noProof/>
                <w:webHidden/>
                <w:sz w:val="22"/>
                <w:szCs w:val="22"/>
              </w:rPr>
            </w:r>
            <w:r w:rsidRPr="003369B1">
              <w:rPr>
                <w:rFonts w:ascii="Arial" w:hAnsi="Arial" w:cs="Arial"/>
                <w:noProof/>
                <w:webHidden/>
                <w:sz w:val="22"/>
                <w:szCs w:val="22"/>
              </w:rPr>
              <w:fldChar w:fldCharType="separate"/>
            </w:r>
            <w:r w:rsidRPr="003369B1">
              <w:rPr>
                <w:rFonts w:ascii="Arial" w:hAnsi="Arial" w:cs="Arial"/>
                <w:noProof/>
                <w:webHidden/>
                <w:sz w:val="22"/>
                <w:szCs w:val="22"/>
              </w:rPr>
              <w:t>5</w:t>
            </w:r>
            <w:r w:rsidRPr="003369B1">
              <w:rPr>
                <w:rFonts w:ascii="Arial" w:hAnsi="Arial" w:cs="Arial"/>
                <w:noProof/>
                <w:webHidden/>
                <w:sz w:val="22"/>
                <w:szCs w:val="22"/>
              </w:rPr>
              <w:fldChar w:fldCharType="end"/>
            </w:r>
          </w:hyperlink>
        </w:p>
        <w:p w14:paraId="7D43758B" w14:textId="3992AAD2" w:rsidR="003369B1" w:rsidRPr="003369B1" w:rsidRDefault="003369B1">
          <w:pPr>
            <w:pStyle w:val="TOC1"/>
            <w:tabs>
              <w:tab w:val="right" w:leader="dot" w:pos="9016"/>
            </w:tabs>
            <w:rPr>
              <w:rFonts w:ascii="Arial" w:eastAsiaTheme="minorEastAsia" w:hAnsi="Arial" w:cs="Arial"/>
              <w:b w:val="0"/>
              <w:bCs w:val="0"/>
              <w:noProof/>
              <w:kern w:val="2"/>
              <w:sz w:val="22"/>
              <w:szCs w:val="22"/>
              <w14:ligatures w14:val="standardContextual"/>
            </w:rPr>
          </w:pPr>
          <w:hyperlink w:anchor="_Toc234931495" w:history="1">
            <w:r w:rsidRPr="003369B1">
              <w:rPr>
                <w:rStyle w:val="Hyperlink"/>
                <w:rFonts w:ascii="Arial" w:hAnsi="Arial" w:cs="Arial"/>
                <w:noProof/>
                <w:sz w:val="22"/>
                <w:szCs w:val="22"/>
              </w:rPr>
              <w:t>The Importance of Collaborative Working</w:t>
            </w:r>
            <w:r w:rsidRPr="003369B1">
              <w:rPr>
                <w:rFonts w:ascii="Arial" w:hAnsi="Arial" w:cs="Arial"/>
                <w:noProof/>
                <w:webHidden/>
                <w:sz w:val="22"/>
                <w:szCs w:val="22"/>
              </w:rPr>
              <w:tab/>
            </w:r>
            <w:r w:rsidRPr="003369B1">
              <w:rPr>
                <w:rFonts w:ascii="Arial" w:hAnsi="Arial" w:cs="Arial"/>
                <w:noProof/>
                <w:webHidden/>
                <w:sz w:val="22"/>
                <w:szCs w:val="22"/>
              </w:rPr>
              <w:fldChar w:fldCharType="begin"/>
            </w:r>
            <w:r w:rsidRPr="003369B1">
              <w:rPr>
                <w:rFonts w:ascii="Arial" w:hAnsi="Arial" w:cs="Arial"/>
                <w:noProof/>
                <w:webHidden/>
                <w:sz w:val="22"/>
                <w:szCs w:val="22"/>
              </w:rPr>
              <w:instrText xml:space="preserve"> PAGEREF _Toc234931495 \h </w:instrText>
            </w:r>
            <w:r w:rsidRPr="003369B1">
              <w:rPr>
                <w:rFonts w:ascii="Arial" w:hAnsi="Arial" w:cs="Arial"/>
                <w:noProof/>
                <w:webHidden/>
                <w:sz w:val="22"/>
                <w:szCs w:val="22"/>
              </w:rPr>
            </w:r>
            <w:r w:rsidRPr="003369B1">
              <w:rPr>
                <w:rFonts w:ascii="Arial" w:hAnsi="Arial" w:cs="Arial"/>
                <w:noProof/>
                <w:webHidden/>
                <w:sz w:val="22"/>
                <w:szCs w:val="22"/>
              </w:rPr>
              <w:fldChar w:fldCharType="separate"/>
            </w:r>
            <w:r w:rsidRPr="003369B1">
              <w:rPr>
                <w:rFonts w:ascii="Arial" w:hAnsi="Arial" w:cs="Arial"/>
                <w:noProof/>
                <w:webHidden/>
                <w:sz w:val="22"/>
                <w:szCs w:val="22"/>
              </w:rPr>
              <w:t>6</w:t>
            </w:r>
            <w:r w:rsidRPr="003369B1">
              <w:rPr>
                <w:rFonts w:ascii="Arial" w:hAnsi="Arial" w:cs="Arial"/>
                <w:noProof/>
                <w:webHidden/>
                <w:sz w:val="22"/>
                <w:szCs w:val="22"/>
              </w:rPr>
              <w:fldChar w:fldCharType="end"/>
            </w:r>
          </w:hyperlink>
        </w:p>
        <w:p w14:paraId="20015061" w14:textId="5D3DE779" w:rsidR="003369B1" w:rsidRPr="003369B1" w:rsidRDefault="003369B1">
          <w:pPr>
            <w:pStyle w:val="TOC1"/>
            <w:tabs>
              <w:tab w:val="right" w:leader="dot" w:pos="9016"/>
            </w:tabs>
            <w:rPr>
              <w:rFonts w:ascii="Arial" w:eastAsiaTheme="minorEastAsia" w:hAnsi="Arial" w:cs="Arial"/>
              <w:b w:val="0"/>
              <w:bCs w:val="0"/>
              <w:noProof/>
              <w:kern w:val="2"/>
              <w:sz w:val="22"/>
              <w:szCs w:val="22"/>
              <w14:ligatures w14:val="standardContextual"/>
            </w:rPr>
          </w:pPr>
          <w:hyperlink w:anchor="_Toc234931496" w:history="1">
            <w:r w:rsidRPr="003369B1">
              <w:rPr>
                <w:rStyle w:val="Hyperlink"/>
                <w:rFonts w:ascii="Arial" w:hAnsi="Arial" w:cs="Arial"/>
                <w:noProof/>
                <w:sz w:val="22"/>
                <w:szCs w:val="22"/>
              </w:rPr>
              <w:t>Conclusion</w:t>
            </w:r>
            <w:r w:rsidRPr="003369B1">
              <w:rPr>
                <w:rFonts w:ascii="Arial" w:hAnsi="Arial" w:cs="Arial"/>
                <w:noProof/>
                <w:webHidden/>
                <w:sz w:val="22"/>
                <w:szCs w:val="22"/>
              </w:rPr>
              <w:tab/>
            </w:r>
            <w:r w:rsidRPr="003369B1">
              <w:rPr>
                <w:rFonts w:ascii="Arial" w:hAnsi="Arial" w:cs="Arial"/>
                <w:noProof/>
                <w:webHidden/>
                <w:sz w:val="22"/>
                <w:szCs w:val="22"/>
              </w:rPr>
              <w:fldChar w:fldCharType="begin"/>
            </w:r>
            <w:r w:rsidRPr="003369B1">
              <w:rPr>
                <w:rFonts w:ascii="Arial" w:hAnsi="Arial" w:cs="Arial"/>
                <w:noProof/>
                <w:webHidden/>
                <w:sz w:val="22"/>
                <w:szCs w:val="22"/>
              </w:rPr>
              <w:instrText xml:space="preserve"> PAGEREF _Toc234931496 \h </w:instrText>
            </w:r>
            <w:r w:rsidRPr="003369B1">
              <w:rPr>
                <w:rFonts w:ascii="Arial" w:hAnsi="Arial" w:cs="Arial"/>
                <w:noProof/>
                <w:webHidden/>
                <w:sz w:val="22"/>
                <w:szCs w:val="22"/>
              </w:rPr>
            </w:r>
            <w:r w:rsidRPr="003369B1">
              <w:rPr>
                <w:rFonts w:ascii="Arial" w:hAnsi="Arial" w:cs="Arial"/>
                <w:noProof/>
                <w:webHidden/>
                <w:sz w:val="22"/>
                <w:szCs w:val="22"/>
              </w:rPr>
              <w:fldChar w:fldCharType="separate"/>
            </w:r>
            <w:r w:rsidRPr="003369B1">
              <w:rPr>
                <w:rFonts w:ascii="Arial" w:hAnsi="Arial" w:cs="Arial"/>
                <w:noProof/>
                <w:webHidden/>
                <w:sz w:val="22"/>
                <w:szCs w:val="22"/>
              </w:rPr>
              <w:t>7</w:t>
            </w:r>
            <w:r w:rsidRPr="003369B1">
              <w:rPr>
                <w:rFonts w:ascii="Arial" w:hAnsi="Arial" w:cs="Arial"/>
                <w:noProof/>
                <w:webHidden/>
                <w:sz w:val="22"/>
                <w:szCs w:val="22"/>
              </w:rPr>
              <w:fldChar w:fldCharType="end"/>
            </w:r>
          </w:hyperlink>
        </w:p>
        <w:p w14:paraId="6D756EE1" w14:textId="5335565D" w:rsidR="003369B1" w:rsidRPr="003369B1" w:rsidRDefault="003369B1">
          <w:pPr>
            <w:pStyle w:val="TOC1"/>
            <w:tabs>
              <w:tab w:val="right" w:leader="dot" w:pos="9016"/>
            </w:tabs>
            <w:rPr>
              <w:rFonts w:ascii="Arial" w:eastAsiaTheme="minorEastAsia" w:hAnsi="Arial" w:cs="Arial"/>
              <w:b w:val="0"/>
              <w:bCs w:val="0"/>
              <w:noProof/>
              <w:kern w:val="2"/>
              <w:sz w:val="22"/>
              <w:szCs w:val="22"/>
              <w14:ligatures w14:val="standardContextual"/>
            </w:rPr>
          </w:pPr>
          <w:hyperlink w:anchor="_Toc234931497" w:history="1">
            <w:r w:rsidRPr="003369B1">
              <w:rPr>
                <w:rStyle w:val="Hyperlink"/>
                <w:rFonts w:ascii="Arial" w:hAnsi="Arial" w:cs="Arial"/>
                <w:noProof/>
                <w:sz w:val="22"/>
                <w:szCs w:val="22"/>
              </w:rPr>
              <w:t>Reference List</w:t>
            </w:r>
            <w:r w:rsidRPr="003369B1">
              <w:rPr>
                <w:rFonts w:ascii="Arial" w:hAnsi="Arial" w:cs="Arial"/>
                <w:noProof/>
                <w:webHidden/>
                <w:sz w:val="22"/>
                <w:szCs w:val="22"/>
              </w:rPr>
              <w:tab/>
            </w:r>
            <w:r w:rsidRPr="003369B1">
              <w:rPr>
                <w:rFonts w:ascii="Arial" w:hAnsi="Arial" w:cs="Arial"/>
                <w:noProof/>
                <w:webHidden/>
                <w:sz w:val="22"/>
                <w:szCs w:val="22"/>
              </w:rPr>
              <w:fldChar w:fldCharType="begin"/>
            </w:r>
            <w:r w:rsidRPr="003369B1">
              <w:rPr>
                <w:rFonts w:ascii="Arial" w:hAnsi="Arial" w:cs="Arial"/>
                <w:noProof/>
                <w:webHidden/>
                <w:sz w:val="22"/>
                <w:szCs w:val="22"/>
              </w:rPr>
              <w:instrText xml:space="preserve"> PAGEREF _Toc234931497 \h </w:instrText>
            </w:r>
            <w:r w:rsidRPr="003369B1">
              <w:rPr>
                <w:rFonts w:ascii="Arial" w:hAnsi="Arial" w:cs="Arial"/>
                <w:noProof/>
                <w:webHidden/>
                <w:sz w:val="22"/>
                <w:szCs w:val="22"/>
              </w:rPr>
            </w:r>
            <w:r w:rsidRPr="003369B1">
              <w:rPr>
                <w:rFonts w:ascii="Arial" w:hAnsi="Arial" w:cs="Arial"/>
                <w:noProof/>
                <w:webHidden/>
                <w:sz w:val="22"/>
                <w:szCs w:val="22"/>
              </w:rPr>
              <w:fldChar w:fldCharType="separate"/>
            </w:r>
            <w:r w:rsidRPr="003369B1">
              <w:rPr>
                <w:rFonts w:ascii="Arial" w:hAnsi="Arial" w:cs="Arial"/>
                <w:noProof/>
                <w:webHidden/>
                <w:sz w:val="22"/>
                <w:szCs w:val="22"/>
              </w:rPr>
              <w:t>8</w:t>
            </w:r>
            <w:r w:rsidRPr="003369B1">
              <w:rPr>
                <w:rFonts w:ascii="Arial" w:hAnsi="Arial" w:cs="Arial"/>
                <w:noProof/>
                <w:webHidden/>
                <w:sz w:val="22"/>
                <w:szCs w:val="22"/>
              </w:rPr>
              <w:fldChar w:fldCharType="end"/>
            </w:r>
          </w:hyperlink>
        </w:p>
        <w:p w14:paraId="02D29ED4" w14:textId="4D2B9F2E" w:rsidR="00514F93" w:rsidRDefault="00514F93" w:rsidP="00514F93">
          <w:r w:rsidRPr="003369B1">
            <w:rPr>
              <w:rFonts w:ascii="Arial" w:hAnsi="Arial" w:cs="Arial"/>
              <w:b/>
              <w:bCs/>
              <w:noProof/>
              <w:sz w:val="22"/>
              <w:szCs w:val="22"/>
            </w:rPr>
            <w:fldChar w:fldCharType="end"/>
          </w:r>
        </w:p>
      </w:sdtContent>
    </w:sdt>
    <w:p w14:paraId="6523E6A8" w14:textId="77777777" w:rsidR="00514F93" w:rsidRDefault="00514F93" w:rsidP="00514F93">
      <w:pPr>
        <w:pStyle w:val="Heading1"/>
        <w:rPr>
          <w:rFonts w:ascii="Arial" w:hAnsi="Arial" w:cs="Arial"/>
          <w:b/>
          <w:color w:val="000000" w:themeColor="text1"/>
        </w:rPr>
      </w:pPr>
    </w:p>
    <w:p w14:paraId="2D54AB5A" w14:textId="77777777" w:rsidR="00514F93" w:rsidRDefault="00514F93" w:rsidP="00514F93"/>
    <w:p w14:paraId="243E70E4" w14:textId="77777777" w:rsidR="00514F93" w:rsidRDefault="00514F93" w:rsidP="00514F93"/>
    <w:p w14:paraId="0A7DA277" w14:textId="77777777" w:rsidR="00514F93" w:rsidRDefault="00514F93" w:rsidP="00514F93"/>
    <w:p w14:paraId="10CE5539" w14:textId="77777777" w:rsidR="00514F93" w:rsidRDefault="00514F93" w:rsidP="00514F93"/>
    <w:p w14:paraId="56A822B4" w14:textId="77777777" w:rsidR="00514F93" w:rsidRDefault="00514F93" w:rsidP="00514F93"/>
    <w:p w14:paraId="0B4839AC" w14:textId="77777777" w:rsidR="00514F93" w:rsidRDefault="00514F93" w:rsidP="00514F93"/>
    <w:p w14:paraId="6CD92CA3" w14:textId="77777777" w:rsidR="00514F93" w:rsidRDefault="00514F93" w:rsidP="00514F93"/>
    <w:p w14:paraId="6292490C" w14:textId="77777777" w:rsidR="00514F93" w:rsidRDefault="00514F93" w:rsidP="00514F93"/>
    <w:p w14:paraId="2109377D" w14:textId="77777777" w:rsidR="00514F93" w:rsidRDefault="00514F93" w:rsidP="00514F93"/>
    <w:p w14:paraId="79A27FFD" w14:textId="77777777" w:rsidR="00514F93" w:rsidRDefault="00514F93" w:rsidP="00514F93"/>
    <w:p w14:paraId="6A14F4FC" w14:textId="77777777" w:rsidR="00514F93" w:rsidRDefault="00514F93" w:rsidP="00514F93"/>
    <w:p w14:paraId="41074CED" w14:textId="77777777" w:rsidR="00514F93" w:rsidRDefault="00514F93" w:rsidP="00514F93"/>
    <w:p w14:paraId="501EF0B8" w14:textId="77777777" w:rsidR="00514F93" w:rsidRDefault="00514F93" w:rsidP="00514F93"/>
    <w:p w14:paraId="4E05ADC4" w14:textId="77777777" w:rsidR="00514F93" w:rsidRDefault="00514F93" w:rsidP="00514F93"/>
    <w:p w14:paraId="4AE819C2" w14:textId="77777777" w:rsidR="00514F93" w:rsidRDefault="00514F93" w:rsidP="00514F93"/>
    <w:p w14:paraId="45311459" w14:textId="77777777" w:rsidR="00514F93" w:rsidRDefault="00514F93" w:rsidP="00514F93"/>
    <w:p w14:paraId="06E67141" w14:textId="77777777" w:rsidR="00514F93" w:rsidRDefault="00514F93" w:rsidP="00514F93"/>
    <w:p w14:paraId="519372B3" w14:textId="77777777" w:rsidR="00514F93" w:rsidRDefault="00514F93" w:rsidP="00514F93"/>
    <w:p w14:paraId="20A41DB0" w14:textId="77777777" w:rsidR="00514F93" w:rsidRDefault="00514F93" w:rsidP="00514F93"/>
    <w:p w14:paraId="5313A88D" w14:textId="77777777" w:rsidR="00514F93" w:rsidRDefault="00514F93" w:rsidP="00514F93"/>
    <w:p w14:paraId="34360B3B" w14:textId="77777777" w:rsidR="00514F93" w:rsidRDefault="00514F93" w:rsidP="00514F93"/>
    <w:p w14:paraId="1859A064" w14:textId="77777777" w:rsidR="00514F93" w:rsidRDefault="00514F93" w:rsidP="00514F93"/>
    <w:p w14:paraId="416ADA85" w14:textId="77777777" w:rsidR="00514F93" w:rsidRDefault="00514F93" w:rsidP="00514F93"/>
    <w:p w14:paraId="3B4DF104" w14:textId="77777777" w:rsidR="00514F93" w:rsidRDefault="00514F93" w:rsidP="00514F93"/>
    <w:p w14:paraId="3823F1FB" w14:textId="77777777" w:rsidR="00514F93" w:rsidRDefault="00514F93" w:rsidP="00514F93"/>
    <w:p w14:paraId="5607079E" w14:textId="77777777" w:rsidR="00514F93" w:rsidRDefault="00514F93" w:rsidP="00514F93"/>
    <w:p w14:paraId="66BC25A4" w14:textId="77777777" w:rsidR="00514F93" w:rsidRDefault="00514F93" w:rsidP="00514F93"/>
    <w:p w14:paraId="5AFCFE56" w14:textId="77777777" w:rsidR="00514F93" w:rsidRDefault="00514F93" w:rsidP="00514F93"/>
    <w:p w14:paraId="36B60973" w14:textId="77777777" w:rsidR="00514F93" w:rsidRDefault="00514F93" w:rsidP="00514F93"/>
    <w:p w14:paraId="00956350" w14:textId="77777777" w:rsidR="00514F93" w:rsidRDefault="00514F93" w:rsidP="00514F93"/>
    <w:p w14:paraId="7E0FA211" w14:textId="77777777" w:rsidR="00514F93" w:rsidRDefault="00514F93" w:rsidP="00514F93"/>
    <w:p w14:paraId="38C9543F" w14:textId="77777777" w:rsidR="00514F93" w:rsidRDefault="00514F93" w:rsidP="00514F93"/>
    <w:p w14:paraId="47D03109" w14:textId="77777777" w:rsidR="003369B1" w:rsidRDefault="003369B1" w:rsidP="003369B1">
      <w:pPr>
        <w:pStyle w:val="Heading1"/>
        <w:rPr>
          <w:rFonts w:ascii="Arial" w:hAnsi="Arial" w:cs="Arial"/>
          <w:b/>
          <w:color w:val="000000" w:themeColor="text1"/>
          <w:sz w:val="22"/>
        </w:rPr>
      </w:pPr>
      <w:bookmarkStart w:id="0" w:name="_Toc234856193"/>
      <w:bookmarkStart w:id="1" w:name="_Toc234931492"/>
      <w:r>
        <w:rPr>
          <w:rFonts w:ascii="Arial" w:hAnsi="Arial" w:cs="Arial"/>
          <w:b/>
          <w:color w:val="000000" w:themeColor="text1"/>
          <w:sz w:val="22"/>
        </w:rPr>
        <w:lastRenderedPageBreak/>
        <w:t>Introduction</w:t>
      </w:r>
      <w:bookmarkEnd w:id="0"/>
      <w:bookmarkEnd w:id="1"/>
      <w:r>
        <w:rPr>
          <w:rFonts w:ascii="Arial" w:hAnsi="Arial" w:cs="Arial"/>
          <w:b/>
          <w:color w:val="000000" w:themeColor="text1"/>
          <w:sz w:val="22"/>
        </w:rPr>
        <w:t xml:space="preserve"> </w:t>
      </w:r>
    </w:p>
    <w:p w14:paraId="18F60761" w14:textId="77777777" w:rsidR="003369B1" w:rsidRDefault="003369B1" w:rsidP="003369B1">
      <w:pPr>
        <w:rPr>
          <w:rFonts w:ascii="Arial" w:hAnsi="Arial" w:cs="Arial"/>
          <w:sz w:val="22"/>
          <w:szCs w:val="22"/>
        </w:rPr>
      </w:pPr>
    </w:p>
    <w:p w14:paraId="3185D74D" w14:textId="77777777" w:rsidR="003369B1" w:rsidRDefault="003369B1" w:rsidP="003369B1">
      <w:pPr>
        <w:spacing w:line="360" w:lineRule="auto"/>
        <w:jc w:val="both"/>
        <w:rPr>
          <w:rFonts w:ascii="Arial" w:hAnsi="Arial" w:cs="Arial"/>
          <w:sz w:val="22"/>
          <w:szCs w:val="22"/>
        </w:rPr>
      </w:pPr>
      <w:r>
        <w:rPr>
          <w:rFonts w:ascii="Arial" w:hAnsi="Arial" w:cs="Arial"/>
          <w:sz w:val="22"/>
          <w:szCs w:val="22"/>
        </w:rPr>
        <w:t xml:space="preserve">This report examines the care needs of Mrs. Thompson, an 84-year-old woman with mild dementia who was discharged from hospital after contracting pneumonia. There were concerns in relation to missed medication and incidents where she was discovered outside without proper clothing. To protect her health and well-being, it is crucial to have efficient communication, strong administrative procedures and coordinated multi-agency cooperation (Ball </w:t>
      </w:r>
      <w:r>
        <w:rPr>
          <w:rFonts w:ascii="Arial" w:hAnsi="Arial" w:cs="Arial"/>
          <w:i/>
          <w:sz w:val="22"/>
          <w:szCs w:val="22"/>
        </w:rPr>
        <w:t>et al.,</w:t>
      </w:r>
      <w:r>
        <w:rPr>
          <w:rFonts w:ascii="Arial" w:hAnsi="Arial" w:cs="Arial"/>
          <w:sz w:val="22"/>
          <w:szCs w:val="22"/>
        </w:rPr>
        <w:t xml:space="preserve"> 2024). Additionally, it will explain how communication with Mrs. Thompson and her family can enable high-quality care by utilising the Shannon and Weaver communication model and the Equality Act of (2010). It will discuss the significance of accurate record keeping and data protection in professional practice, including how health and social care professionals can collaborate to promote safe, effective and person-centred care (PCC).</w:t>
      </w:r>
    </w:p>
    <w:p w14:paraId="76A16E40" w14:textId="77777777" w:rsidR="003369B1" w:rsidRDefault="003369B1" w:rsidP="003369B1">
      <w:pPr>
        <w:spacing w:line="360" w:lineRule="auto"/>
        <w:jc w:val="both"/>
        <w:rPr>
          <w:rFonts w:ascii="Arial" w:hAnsi="Arial" w:cs="Arial"/>
          <w:sz w:val="22"/>
          <w:szCs w:val="22"/>
        </w:rPr>
      </w:pPr>
    </w:p>
    <w:p w14:paraId="2A0F7FD1" w14:textId="77777777" w:rsidR="003369B1" w:rsidRDefault="003369B1" w:rsidP="003369B1">
      <w:pPr>
        <w:spacing w:line="360" w:lineRule="auto"/>
        <w:jc w:val="both"/>
        <w:rPr>
          <w:rFonts w:ascii="Arial" w:hAnsi="Arial" w:cs="Arial"/>
          <w:sz w:val="22"/>
          <w:szCs w:val="22"/>
        </w:rPr>
      </w:pPr>
    </w:p>
    <w:p w14:paraId="2FA7446D" w14:textId="77777777" w:rsidR="003369B1" w:rsidRDefault="003369B1" w:rsidP="003369B1">
      <w:pPr>
        <w:spacing w:line="360" w:lineRule="auto"/>
        <w:jc w:val="both"/>
        <w:rPr>
          <w:rFonts w:ascii="Arial" w:hAnsi="Arial" w:cs="Arial"/>
          <w:sz w:val="22"/>
          <w:szCs w:val="22"/>
        </w:rPr>
      </w:pPr>
    </w:p>
    <w:p w14:paraId="3EF8D8B9" w14:textId="77777777" w:rsidR="003369B1" w:rsidRDefault="003369B1" w:rsidP="003369B1">
      <w:pPr>
        <w:spacing w:line="360" w:lineRule="auto"/>
        <w:jc w:val="both"/>
        <w:rPr>
          <w:rFonts w:ascii="Arial" w:hAnsi="Arial" w:cs="Arial"/>
          <w:sz w:val="22"/>
          <w:szCs w:val="22"/>
        </w:rPr>
      </w:pPr>
    </w:p>
    <w:p w14:paraId="6B9F03DA" w14:textId="77777777" w:rsidR="003369B1" w:rsidRDefault="003369B1" w:rsidP="003369B1">
      <w:pPr>
        <w:spacing w:line="360" w:lineRule="auto"/>
        <w:jc w:val="both"/>
        <w:rPr>
          <w:rFonts w:ascii="Arial" w:hAnsi="Arial" w:cs="Arial"/>
          <w:sz w:val="22"/>
          <w:szCs w:val="22"/>
        </w:rPr>
      </w:pPr>
    </w:p>
    <w:p w14:paraId="4E63A972" w14:textId="77777777" w:rsidR="003369B1" w:rsidRDefault="003369B1" w:rsidP="003369B1">
      <w:pPr>
        <w:spacing w:line="360" w:lineRule="auto"/>
        <w:jc w:val="both"/>
        <w:rPr>
          <w:rFonts w:ascii="Arial" w:hAnsi="Arial" w:cs="Arial"/>
          <w:sz w:val="22"/>
          <w:szCs w:val="22"/>
        </w:rPr>
      </w:pPr>
    </w:p>
    <w:p w14:paraId="60685FCA" w14:textId="77777777" w:rsidR="003369B1" w:rsidRDefault="003369B1" w:rsidP="003369B1">
      <w:pPr>
        <w:spacing w:line="360" w:lineRule="auto"/>
        <w:jc w:val="both"/>
        <w:rPr>
          <w:rFonts w:ascii="Arial" w:hAnsi="Arial" w:cs="Arial"/>
          <w:sz w:val="22"/>
          <w:szCs w:val="22"/>
        </w:rPr>
      </w:pPr>
    </w:p>
    <w:p w14:paraId="1F2FBF5F" w14:textId="77777777" w:rsidR="003369B1" w:rsidRDefault="003369B1" w:rsidP="003369B1">
      <w:pPr>
        <w:spacing w:line="360" w:lineRule="auto"/>
        <w:jc w:val="both"/>
        <w:rPr>
          <w:rFonts w:ascii="Arial" w:hAnsi="Arial" w:cs="Arial"/>
          <w:sz w:val="22"/>
          <w:szCs w:val="22"/>
        </w:rPr>
      </w:pPr>
    </w:p>
    <w:p w14:paraId="05CD6413" w14:textId="77777777" w:rsidR="003369B1" w:rsidRDefault="003369B1" w:rsidP="003369B1">
      <w:pPr>
        <w:spacing w:line="360" w:lineRule="auto"/>
        <w:jc w:val="both"/>
        <w:rPr>
          <w:rFonts w:ascii="Arial" w:hAnsi="Arial" w:cs="Arial"/>
          <w:sz w:val="22"/>
          <w:szCs w:val="22"/>
        </w:rPr>
      </w:pPr>
    </w:p>
    <w:p w14:paraId="3384E819" w14:textId="77777777" w:rsidR="003369B1" w:rsidRDefault="003369B1" w:rsidP="003369B1">
      <w:pPr>
        <w:spacing w:line="360" w:lineRule="auto"/>
        <w:jc w:val="both"/>
        <w:rPr>
          <w:rFonts w:ascii="Arial" w:hAnsi="Arial" w:cs="Arial"/>
          <w:sz w:val="22"/>
          <w:szCs w:val="22"/>
        </w:rPr>
      </w:pPr>
    </w:p>
    <w:p w14:paraId="0CC8CD98" w14:textId="77777777" w:rsidR="003369B1" w:rsidRDefault="003369B1" w:rsidP="003369B1">
      <w:pPr>
        <w:spacing w:line="360" w:lineRule="auto"/>
        <w:jc w:val="both"/>
        <w:rPr>
          <w:rFonts w:ascii="Arial" w:hAnsi="Arial" w:cs="Arial"/>
          <w:sz w:val="22"/>
          <w:szCs w:val="22"/>
        </w:rPr>
      </w:pPr>
    </w:p>
    <w:p w14:paraId="0E83F0C7" w14:textId="77777777" w:rsidR="003369B1" w:rsidRDefault="003369B1" w:rsidP="003369B1">
      <w:pPr>
        <w:spacing w:line="360" w:lineRule="auto"/>
        <w:jc w:val="both"/>
        <w:rPr>
          <w:rFonts w:ascii="Arial" w:hAnsi="Arial" w:cs="Arial"/>
          <w:sz w:val="22"/>
          <w:szCs w:val="22"/>
        </w:rPr>
      </w:pPr>
    </w:p>
    <w:p w14:paraId="76B8AA60" w14:textId="77777777" w:rsidR="003369B1" w:rsidRDefault="003369B1" w:rsidP="003369B1">
      <w:pPr>
        <w:spacing w:line="360" w:lineRule="auto"/>
        <w:jc w:val="both"/>
        <w:rPr>
          <w:rFonts w:ascii="Arial" w:hAnsi="Arial" w:cs="Arial"/>
          <w:sz w:val="22"/>
          <w:szCs w:val="22"/>
        </w:rPr>
      </w:pPr>
    </w:p>
    <w:p w14:paraId="256D2BE6" w14:textId="77777777" w:rsidR="003369B1" w:rsidRDefault="003369B1" w:rsidP="003369B1">
      <w:pPr>
        <w:spacing w:line="360" w:lineRule="auto"/>
        <w:jc w:val="both"/>
        <w:rPr>
          <w:rFonts w:ascii="Arial" w:hAnsi="Arial" w:cs="Arial"/>
          <w:sz w:val="22"/>
          <w:szCs w:val="22"/>
        </w:rPr>
      </w:pPr>
    </w:p>
    <w:p w14:paraId="6839D62B" w14:textId="77777777" w:rsidR="003369B1" w:rsidRDefault="003369B1" w:rsidP="003369B1">
      <w:pPr>
        <w:spacing w:line="360" w:lineRule="auto"/>
        <w:jc w:val="both"/>
        <w:rPr>
          <w:rFonts w:ascii="Arial" w:hAnsi="Arial" w:cs="Arial"/>
          <w:sz w:val="22"/>
          <w:szCs w:val="22"/>
        </w:rPr>
      </w:pPr>
    </w:p>
    <w:p w14:paraId="0DDA11A1" w14:textId="77777777" w:rsidR="003369B1" w:rsidRDefault="003369B1" w:rsidP="003369B1">
      <w:pPr>
        <w:spacing w:line="360" w:lineRule="auto"/>
        <w:jc w:val="both"/>
        <w:rPr>
          <w:rFonts w:ascii="Arial" w:hAnsi="Arial" w:cs="Arial"/>
          <w:sz w:val="22"/>
          <w:szCs w:val="22"/>
        </w:rPr>
      </w:pPr>
    </w:p>
    <w:p w14:paraId="01E31772" w14:textId="77777777" w:rsidR="003369B1" w:rsidRDefault="003369B1" w:rsidP="003369B1">
      <w:pPr>
        <w:pStyle w:val="Heading1"/>
        <w:rPr>
          <w:rFonts w:ascii="Arial" w:eastAsia="Times New Roman" w:hAnsi="Arial" w:cs="Arial"/>
          <w:color w:val="auto"/>
          <w:sz w:val="22"/>
          <w:szCs w:val="22"/>
        </w:rPr>
      </w:pPr>
    </w:p>
    <w:p w14:paraId="00072E9C" w14:textId="77777777" w:rsidR="003369B1" w:rsidRDefault="003369B1" w:rsidP="003369B1"/>
    <w:p w14:paraId="2E93C103" w14:textId="77777777" w:rsidR="003369B1" w:rsidRDefault="003369B1" w:rsidP="003369B1">
      <w:pPr>
        <w:pStyle w:val="Heading1"/>
        <w:rPr>
          <w:rFonts w:ascii="Arial" w:hAnsi="Arial" w:cs="Arial"/>
          <w:b/>
          <w:color w:val="000000" w:themeColor="text1"/>
          <w:szCs w:val="22"/>
        </w:rPr>
      </w:pPr>
    </w:p>
    <w:p w14:paraId="75604C40" w14:textId="77777777" w:rsidR="003369B1" w:rsidRDefault="003369B1" w:rsidP="003369B1"/>
    <w:p w14:paraId="0A5A1D04" w14:textId="77777777" w:rsidR="003369B1" w:rsidRDefault="003369B1" w:rsidP="003369B1">
      <w:pPr>
        <w:pStyle w:val="Heading1"/>
        <w:rPr>
          <w:rFonts w:ascii="Times New Roman" w:eastAsia="Times New Roman" w:hAnsi="Times New Roman" w:cs="Times New Roman"/>
          <w:color w:val="auto"/>
          <w:sz w:val="24"/>
          <w:szCs w:val="24"/>
        </w:rPr>
      </w:pPr>
    </w:p>
    <w:p w14:paraId="3E17D195" w14:textId="77777777" w:rsidR="003369B1" w:rsidRDefault="003369B1" w:rsidP="003369B1"/>
    <w:p w14:paraId="32D024A3" w14:textId="77777777" w:rsidR="003369B1" w:rsidRDefault="003369B1" w:rsidP="003369B1">
      <w:pPr>
        <w:pStyle w:val="Heading1"/>
        <w:rPr>
          <w:rFonts w:ascii="Arial" w:hAnsi="Arial" w:cs="Arial"/>
          <w:b/>
          <w:color w:val="000000" w:themeColor="text1"/>
          <w:sz w:val="22"/>
          <w:szCs w:val="22"/>
        </w:rPr>
      </w:pPr>
      <w:bookmarkStart w:id="2" w:name="_Toc234856194"/>
      <w:bookmarkStart w:id="3" w:name="_Toc234931493"/>
      <w:r>
        <w:rPr>
          <w:rFonts w:ascii="Arial" w:hAnsi="Arial" w:cs="Arial"/>
          <w:b/>
          <w:color w:val="000000" w:themeColor="text1"/>
          <w:sz w:val="22"/>
          <w:szCs w:val="22"/>
        </w:rPr>
        <w:lastRenderedPageBreak/>
        <w:t>Effective Communication</w:t>
      </w:r>
      <w:bookmarkEnd w:id="2"/>
      <w:bookmarkEnd w:id="3"/>
      <w:r>
        <w:rPr>
          <w:rFonts w:ascii="Arial" w:hAnsi="Arial" w:cs="Arial"/>
          <w:b/>
          <w:color w:val="000000" w:themeColor="text1"/>
          <w:sz w:val="22"/>
          <w:szCs w:val="22"/>
        </w:rPr>
        <w:t xml:space="preserve"> </w:t>
      </w:r>
    </w:p>
    <w:p w14:paraId="761A3D14" w14:textId="77777777" w:rsidR="003369B1" w:rsidRDefault="003369B1" w:rsidP="003369B1">
      <w:pPr>
        <w:spacing w:before="100" w:beforeAutospacing="1" w:after="100" w:afterAutospacing="1" w:line="360" w:lineRule="auto"/>
        <w:jc w:val="both"/>
        <w:rPr>
          <w:rFonts w:ascii="Arial" w:hAnsi="Arial" w:cs="Arial"/>
          <w:sz w:val="22"/>
          <w:szCs w:val="22"/>
        </w:rPr>
      </w:pPr>
      <w:r>
        <w:rPr>
          <w:rFonts w:ascii="Arial" w:hAnsi="Arial" w:cs="Arial"/>
          <w:sz w:val="22"/>
          <w:szCs w:val="22"/>
        </w:rPr>
        <w:t>In health and social care, effective communication is crucial because it encourages PCC, facilitates informed decision-making and helps safeguard service users from risk (</w:t>
      </w:r>
      <w:r>
        <w:rPr>
          <w:rFonts w:ascii="Arial" w:hAnsi="Arial" w:cs="Arial"/>
          <w:color w:val="222222"/>
          <w:sz w:val="22"/>
          <w:szCs w:val="22"/>
          <w:shd w:val="clear" w:color="auto" w:fill="FFFFFF"/>
        </w:rPr>
        <w:t>Sharkiya, 2023</w:t>
      </w:r>
      <w:r>
        <w:rPr>
          <w:rFonts w:ascii="Arial" w:hAnsi="Arial" w:cs="Arial"/>
          <w:sz w:val="22"/>
          <w:szCs w:val="22"/>
        </w:rPr>
        <w:t>). In Mrs. Thompson's situation communication is crucial because she suffers from dementia and providing her PCC will assist in maintaining correct record keeping, communicating effectively and collaborating with professionals. PCC helps individuals with complicated requirements, such as chronic illnesses and cognitive decline (</w:t>
      </w:r>
      <w:r>
        <w:rPr>
          <w:rFonts w:ascii="Arial" w:hAnsi="Arial" w:cs="Arial"/>
          <w:color w:val="222222"/>
          <w:sz w:val="22"/>
          <w:szCs w:val="22"/>
          <w:shd w:val="clear" w:color="auto" w:fill="FFFFFF"/>
        </w:rPr>
        <w:t xml:space="preserve">Liao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2023)</w:t>
      </w:r>
      <w:r>
        <w:rPr>
          <w:rFonts w:ascii="Arial" w:hAnsi="Arial" w:cs="Arial"/>
          <w:sz w:val="22"/>
          <w:szCs w:val="22"/>
        </w:rPr>
        <w:t xml:space="preserve">. Cognitive impairment makes it difficult for Mrs. Thompson to recall details, follow complicated directions and take medication herself. Therefore, health and social care providers must modify their communication strategies to Individual’s unique requirements while preserving their independence and dignity. </w:t>
      </w:r>
    </w:p>
    <w:p w14:paraId="67A62D7C" w14:textId="77777777" w:rsidR="003369B1" w:rsidRDefault="003369B1" w:rsidP="003369B1">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Individuals receive protection from discrimination under the Equality Act based on safeguarded attributes such as age or disability (GOV.UK, 2026). Professionals have an obligation to provide reasonable accommodations so Mrs. Thompson can understand information and take part in decisions regarding her care since dementia is classified as a disability under the Equality Act (2010) and has a long-term impact on everyday living. Reasonable adjustment includes speaking slowly, using straightforward language, keeping eye contact, minimising outside distractions, giving her written medicine reminders and giving her more time to respond. These modifications assist in ensuring that she is treated with respect and dignity and has fair access to care. </w:t>
      </w:r>
    </w:p>
    <w:p w14:paraId="6D2BEC99" w14:textId="77777777" w:rsidR="003369B1" w:rsidRDefault="003369B1" w:rsidP="003369B1">
      <w:pPr>
        <w:spacing w:line="360" w:lineRule="auto"/>
        <w:jc w:val="both"/>
        <w:rPr>
          <w:rFonts w:ascii="Arial" w:hAnsi="Arial" w:cs="Arial"/>
          <w:sz w:val="22"/>
          <w:szCs w:val="22"/>
        </w:rPr>
      </w:pPr>
      <w:r>
        <w:rPr>
          <w:rFonts w:ascii="Arial" w:hAnsi="Arial" w:cs="Arial"/>
          <w:sz w:val="22"/>
          <w:szCs w:val="22"/>
        </w:rPr>
        <w:t>The 1949 Shannon and Weaver model of communication offers a helpful structure for understanding communication (</w:t>
      </w:r>
      <w:r>
        <w:rPr>
          <w:rFonts w:ascii="Arial" w:hAnsi="Arial" w:cs="Arial"/>
          <w:color w:val="222222"/>
          <w:sz w:val="22"/>
          <w:szCs w:val="22"/>
          <w:shd w:val="clear" w:color="auto" w:fill="FFFFFF"/>
        </w:rPr>
        <w:t>Kubota, 2019)</w:t>
      </w:r>
      <w:r>
        <w:rPr>
          <w:rFonts w:ascii="Arial" w:hAnsi="Arial" w:cs="Arial"/>
          <w:sz w:val="22"/>
          <w:szCs w:val="22"/>
        </w:rPr>
        <w:t>. The model defines communication as a process including a sender, a message, a channel, a receiver and feedback, despite recognising that "noise" may prevent accurate transmission of information (</w:t>
      </w:r>
      <w:r>
        <w:rPr>
          <w:rFonts w:ascii="Arial" w:hAnsi="Arial" w:cs="Arial"/>
          <w:color w:val="222222"/>
          <w:sz w:val="22"/>
          <w:szCs w:val="22"/>
          <w:shd w:val="clear" w:color="auto" w:fill="FFFFFF"/>
        </w:rPr>
        <w:t xml:space="preserve">Firdausi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2025). </w:t>
      </w:r>
      <w:r>
        <w:rPr>
          <w:rFonts w:ascii="Arial" w:hAnsi="Arial" w:cs="Arial"/>
          <w:sz w:val="22"/>
          <w:szCs w:val="22"/>
        </w:rPr>
        <w:t>In Mrs. Thompson's case, noise refers to both physiological and mental barriers such as distractions like background television or a noisy home. Further, when admitted to hospital this may impair her focus and dementia may make it harder for her to comprehend information. Similarly, the use of medical terminology by healthcare professionals may prevent Mrs Thompson from fully understanding her medication instructions, which could contribute to missed medication and the increased confusion described in the case study.</w:t>
      </w:r>
    </w:p>
    <w:p w14:paraId="4920A1C4" w14:textId="06BDFB84" w:rsidR="003369B1" w:rsidRDefault="003369B1" w:rsidP="003369B1">
      <w:pPr>
        <w:spacing w:before="100" w:beforeAutospacing="1" w:after="100" w:afterAutospacing="1" w:line="360" w:lineRule="auto"/>
        <w:jc w:val="both"/>
        <w:rPr>
          <w:rFonts w:ascii="Arial" w:hAnsi="Arial" w:cs="Arial"/>
          <w:sz w:val="22"/>
          <w:szCs w:val="22"/>
        </w:rPr>
      </w:pPr>
      <w:r>
        <w:rPr>
          <w:rFonts w:ascii="Arial" w:hAnsi="Arial" w:cs="Arial"/>
          <w:sz w:val="22"/>
          <w:szCs w:val="22"/>
        </w:rPr>
        <w:t>Professionals should interact face-to-face whenever feasible, use simple language, offer one piece of information at a time and ask Mrs. Thompson to repeat information in her own phrases to ensure she understands to reduce these barriers (</w:t>
      </w:r>
      <w:r>
        <w:rPr>
          <w:rFonts w:ascii="Arial" w:hAnsi="Arial" w:cs="Arial"/>
          <w:color w:val="222222"/>
          <w:sz w:val="22"/>
          <w:szCs w:val="22"/>
          <w:shd w:val="clear" w:color="auto" w:fill="FFFFFF"/>
        </w:rPr>
        <w:t xml:space="preserve">Bahrain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2023)</w:t>
      </w:r>
      <w:r>
        <w:rPr>
          <w:rFonts w:ascii="Arial" w:hAnsi="Arial" w:cs="Arial"/>
          <w:sz w:val="22"/>
          <w:szCs w:val="22"/>
        </w:rPr>
        <w:t xml:space="preserve">. This strategy lowers possible miscommunications that could lead to confusion or missing medication. Medication </w:t>
      </w:r>
      <w:r>
        <w:rPr>
          <w:rFonts w:ascii="Arial" w:hAnsi="Arial" w:cs="Arial"/>
          <w:sz w:val="22"/>
          <w:szCs w:val="22"/>
        </w:rPr>
        <w:lastRenderedPageBreak/>
        <w:t xml:space="preserve">adherence can be enhanced </w:t>
      </w:r>
      <w:r>
        <w:rPr>
          <w:rFonts w:ascii="Arial" w:hAnsi="Arial" w:cs="Arial"/>
          <w:sz w:val="22"/>
          <w:szCs w:val="22"/>
        </w:rPr>
        <w:t>using</w:t>
      </w:r>
      <w:r>
        <w:rPr>
          <w:rFonts w:ascii="Arial" w:hAnsi="Arial" w:cs="Arial"/>
          <w:sz w:val="22"/>
          <w:szCs w:val="22"/>
        </w:rPr>
        <w:t xml:space="preserve"> written medication reminders, visual cues and the involvement of domiciliary care staff (</w:t>
      </w:r>
      <w:r>
        <w:rPr>
          <w:rFonts w:ascii="Arial" w:hAnsi="Arial" w:cs="Arial"/>
          <w:color w:val="222222"/>
          <w:sz w:val="22"/>
          <w:szCs w:val="22"/>
          <w:shd w:val="clear" w:color="auto" w:fill="FFFFFF"/>
        </w:rPr>
        <w:t xml:space="preserve">Berardinelli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2024)</w:t>
      </w:r>
      <w:r>
        <w:rPr>
          <w:rFonts w:ascii="Arial" w:hAnsi="Arial" w:cs="Arial"/>
          <w:sz w:val="22"/>
          <w:szCs w:val="22"/>
        </w:rPr>
        <w:t>. Further, communicating with Mrs. Thompson's family is equally crucial since they know her habits, cognitive ability and any behavioural changes. Clinicians must, however, respect any safety concerns or that she lacks mental capacity to make some decisions. By obtaining her consent before disclosing personal information, they are upholding her right to privacy and autonomy. Talking about strategies like medication reminders, routine welfare checks and keeping an eye on behavioural changes could help Mrs. Thompson be as autonomous while lowering the recurrent events and promoting her safety.</w:t>
      </w:r>
    </w:p>
    <w:p w14:paraId="03EAC389" w14:textId="77777777" w:rsidR="003369B1" w:rsidRDefault="003369B1" w:rsidP="003369B1">
      <w:pPr>
        <w:pStyle w:val="Heading1"/>
        <w:rPr>
          <w:rFonts w:ascii="Arial" w:hAnsi="Arial" w:cs="Arial"/>
          <w:b/>
          <w:color w:val="000000" w:themeColor="text1"/>
          <w:sz w:val="22"/>
          <w:szCs w:val="22"/>
        </w:rPr>
      </w:pPr>
      <w:bookmarkStart w:id="4" w:name="_Toc234856195"/>
      <w:bookmarkStart w:id="5" w:name="_Toc234931494"/>
      <w:r>
        <w:rPr>
          <w:rFonts w:ascii="Arial" w:hAnsi="Arial" w:cs="Arial"/>
          <w:b/>
          <w:color w:val="000000" w:themeColor="text1"/>
          <w:sz w:val="22"/>
          <w:szCs w:val="22"/>
        </w:rPr>
        <w:t>The Importance of Good Administrative Skills in Professional Practice</w:t>
      </w:r>
      <w:bookmarkEnd w:id="4"/>
      <w:bookmarkEnd w:id="5"/>
      <w:r>
        <w:rPr>
          <w:rFonts w:ascii="Arial" w:hAnsi="Arial" w:cs="Arial"/>
          <w:b/>
          <w:color w:val="000000" w:themeColor="text1"/>
          <w:sz w:val="22"/>
          <w:szCs w:val="22"/>
        </w:rPr>
        <w:t xml:space="preserve"> </w:t>
      </w:r>
    </w:p>
    <w:p w14:paraId="605BFE63" w14:textId="77777777" w:rsidR="003369B1" w:rsidRDefault="003369B1" w:rsidP="003369B1">
      <w:pPr>
        <w:rPr>
          <w:rFonts w:ascii="Arial" w:hAnsi="Arial" w:cs="Arial"/>
          <w:sz w:val="22"/>
          <w:szCs w:val="22"/>
        </w:rPr>
      </w:pPr>
    </w:p>
    <w:p w14:paraId="443B0ED4" w14:textId="458CEC64" w:rsidR="003369B1" w:rsidRDefault="003369B1" w:rsidP="003369B1">
      <w:pPr>
        <w:spacing w:line="360" w:lineRule="auto"/>
        <w:jc w:val="both"/>
        <w:rPr>
          <w:rFonts w:ascii="Arial" w:hAnsi="Arial" w:cs="Arial"/>
          <w:sz w:val="22"/>
          <w:szCs w:val="22"/>
        </w:rPr>
      </w:pPr>
      <w:r>
        <w:rPr>
          <w:rFonts w:ascii="Arial" w:hAnsi="Arial" w:cs="Arial"/>
          <w:sz w:val="22"/>
          <w:szCs w:val="22"/>
        </w:rPr>
        <w:t>Good administrative abilities are crucial in the health and social care sectors because they promote safe, efficient and PCC (</w:t>
      </w:r>
      <w:r>
        <w:rPr>
          <w:rFonts w:ascii="Arial" w:hAnsi="Arial" w:cs="Arial"/>
          <w:color w:val="222222"/>
          <w:sz w:val="22"/>
          <w:szCs w:val="22"/>
          <w:shd w:val="clear" w:color="auto" w:fill="FFFFFF"/>
        </w:rPr>
        <w:t xml:space="preserve">Khatri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2023).</w:t>
      </w:r>
      <w:r>
        <w:rPr>
          <w:rFonts w:ascii="Arial" w:hAnsi="Arial" w:cs="Arial"/>
          <w:sz w:val="22"/>
          <w:szCs w:val="22"/>
        </w:rPr>
        <w:t xml:space="preserve"> Healthcare workers can ensure continuity of care, lower the risk of mistakes and safeguard service users by maintaining accurate records, managing information effectively and adhering to legal standards (Ibrahim </w:t>
      </w:r>
      <w:r>
        <w:rPr>
          <w:rFonts w:ascii="Arial" w:hAnsi="Arial" w:cs="Arial"/>
          <w:i/>
          <w:sz w:val="22"/>
          <w:szCs w:val="22"/>
        </w:rPr>
        <w:t>et al.,</w:t>
      </w:r>
      <w:r>
        <w:rPr>
          <w:rFonts w:ascii="Arial" w:hAnsi="Arial" w:cs="Arial"/>
          <w:sz w:val="22"/>
          <w:szCs w:val="22"/>
        </w:rPr>
        <w:t xml:space="preserve"> 2024). Administrative skills are especially crucial in Mrs. Thompson's case because she requires domiciliary care </w:t>
      </w:r>
      <w:r>
        <w:rPr>
          <w:rFonts w:ascii="Arial" w:hAnsi="Arial" w:cs="Arial"/>
          <w:sz w:val="22"/>
          <w:szCs w:val="22"/>
        </w:rPr>
        <w:t>twice daily</w:t>
      </w:r>
      <w:r>
        <w:rPr>
          <w:rFonts w:ascii="Arial" w:hAnsi="Arial" w:cs="Arial"/>
          <w:sz w:val="22"/>
          <w:szCs w:val="22"/>
        </w:rPr>
        <w:t>, missed her medication and become more confused after returning home. Keeping accurate and transparent records guarantees that all healthcare providers have access to recent data, allowing for prompt interventions and well-informed decision-making.</w:t>
      </w:r>
    </w:p>
    <w:p w14:paraId="28B4C651" w14:textId="77777777" w:rsidR="003369B1" w:rsidRDefault="003369B1" w:rsidP="003369B1">
      <w:pPr>
        <w:spacing w:line="360" w:lineRule="auto"/>
        <w:jc w:val="both"/>
        <w:rPr>
          <w:rFonts w:ascii="Arial" w:hAnsi="Arial" w:cs="Arial"/>
          <w:sz w:val="22"/>
          <w:szCs w:val="22"/>
        </w:rPr>
      </w:pPr>
    </w:p>
    <w:p w14:paraId="3A28C919" w14:textId="77777777" w:rsidR="003369B1" w:rsidRDefault="003369B1" w:rsidP="003369B1">
      <w:pPr>
        <w:spacing w:line="360" w:lineRule="auto"/>
        <w:jc w:val="both"/>
        <w:rPr>
          <w:rFonts w:ascii="Arial" w:hAnsi="Arial" w:cs="Arial"/>
          <w:sz w:val="22"/>
          <w:szCs w:val="22"/>
        </w:rPr>
      </w:pPr>
      <w:r>
        <w:rPr>
          <w:rFonts w:ascii="Arial" w:hAnsi="Arial" w:cs="Arial"/>
          <w:sz w:val="22"/>
          <w:szCs w:val="22"/>
        </w:rPr>
        <w:t xml:space="preserve">Following Mrs Thompson's missed medication, care staff recorded the incident through the organisation's reporting process and requested a medication review. Healthcare providers, including her general practitioner and community nurse, may use this data to accurately record incidents and determine whether she needs more help or adjustments to her medication regimen. Documenting the event in which Mrs. Thompson was discovered outside unclothed offers proof of possible dangers related to her dementia and facilitates additional evaluation of her care requirements. When handling Mrs. Thompson's personal data, the Data Protection Act (2018) and the UK General Data Protection Regulation (UK GDPR) must be adhered. According to the Data Protection Act of (2018), organisations must process personal data in a way that is lawful, equitable and transparent, ensuring that information is gathered for legitimate reasons, kept current and correct, stored securely and accessible by authorised individuals (Lu, 2022). Despite being in paper or digital format, professionals involved in Mrs. Thompson's care must ensure her medical documentation, medication administration records (MAR charts) and incident reports are preserved securely. Professionals participating directly </w:t>
      </w:r>
      <w:r>
        <w:rPr>
          <w:rFonts w:ascii="Arial" w:hAnsi="Arial" w:cs="Arial"/>
          <w:sz w:val="22"/>
          <w:szCs w:val="22"/>
        </w:rPr>
        <w:lastRenderedPageBreak/>
        <w:t>in her care may receive information, unless there is a legitimate reason, such as when Mrs. Thompson has given informed consent or there are safeguarding issues.</w:t>
      </w:r>
    </w:p>
    <w:p w14:paraId="49B79C59" w14:textId="77777777" w:rsidR="003369B1" w:rsidRDefault="003369B1" w:rsidP="003369B1">
      <w:pPr>
        <w:spacing w:line="360" w:lineRule="auto"/>
        <w:jc w:val="both"/>
        <w:rPr>
          <w:rFonts w:ascii="Arial" w:hAnsi="Arial" w:cs="Arial"/>
          <w:sz w:val="22"/>
          <w:szCs w:val="22"/>
        </w:rPr>
      </w:pPr>
    </w:p>
    <w:p w14:paraId="23F5DB20" w14:textId="77777777" w:rsidR="003369B1" w:rsidRDefault="003369B1" w:rsidP="003369B1">
      <w:pPr>
        <w:spacing w:line="360" w:lineRule="auto"/>
        <w:jc w:val="both"/>
        <w:rPr>
          <w:rFonts w:ascii="Arial" w:hAnsi="Arial" w:cs="Arial"/>
          <w:sz w:val="22"/>
          <w:szCs w:val="22"/>
        </w:rPr>
      </w:pPr>
      <w:r>
        <w:rPr>
          <w:rFonts w:ascii="Arial" w:hAnsi="Arial" w:cs="Arial"/>
          <w:sz w:val="22"/>
          <w:szCs w:val="22"/>
        </w:rPr>
        <w:t xml:space="preserve">The Care Act of 2014 requires local organisations to safeguard, support, promote and care adults who are at danger of being mistreated or neglected (Anka and Penhale, 2024). Mrs. Thompson's missing medication and being discovered outside in cold weather point to possible threats to her health and safety. Accurate documentation facilitates safeguarding investigations, allows professionals to monitor concerning patterns and helps determine if further care is needed. </w:t>
      </w:r>
    </w:p>
    <w:p w14:paraId="29E41778" w14:textId="77777777" w:rsidR="003369B1" w:rsidRDefault="003369B1" w:rsidP="003369B1">
      <w:pPr>
        <w:spacing w:line="360" w:lineRule="auto"/>
        <w:jc w:val="both"/>
        <w:rPr>
          <w:rFonts w:ascii="Arial" w:hAnsi="Arial" w:cs="Arial"/>
          <w:sz w:val="22"/>
          <w:szCs w:val="22"/>
        </w:rPr>
      </w:pPr>
    </w:p>
    <w:p w14:paraId="2E651CF4" w14:textId="77777777" w:rsidR="003369B1" w:rsidRDefault="003369B1" w:rsidP="003369B1">
      <w:pPr>
        <w:spacing w:line="360" w:lineRule="auto"/>
        <w:jc w:val="both"/>
        <w:rPr>
          <w:rFonts w:ascii="Arial" w:hAnsi="Arial" w:cs="Arial"/>
          <w:color w:val="222222"/>
          <w:sz w:val="22"/>
          <w:szCs w:val="22"/>
          <w:shd w:val="clear" w:color="auto" w:fill="FFFFFF"/>
        </w:rPr>
      </w:pPr>
      <w:r>
        <w:rPr>
          <w:rFonts w:ascii="Arial" w:hAnsi="Arial" w:cs="Arial"/>
          <w:sz w:val="22"/>
          <w:szCs w:val="22"/>
        </w:rPr>
        <w:t>The Health and Social Care Act (2008) Regulations (2014) highlight the need of upholding secure care systems and ensures that providers fulfil the requirements set out by the Care Quality Commission (CQC) (Smith, 2025). Regulation 17 requires providers to keep timely, accurate and comprehensive records about every service user (CQC, 2025). Inadequate documentation may harm patient safety, lower standard of service and put companies at risk for legal and professional consequences (</w:t>
      </w:r>
      <w:r>
        <w:rPr>
          <w:rFonts w:ascii="Arial" w:hAnsi="Arial" w:cs="Arial"/>
          <w:color w:val="222222"/>
          <w:sz w:val="22"/>
          <w:szCs w:val="22"/>
          <w:shd w:val="clear" w:color="auto" w:fill="FFFFFF"/>
        </w:rPr>
        <w:t xml:space="preserve">Toma-Tumbar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2025). </w:t>
      </w:r>
    </w:p>
    <w:p w14:paraId="7814859E" w14:textId="77777777" w:rsidR="003369B1" w:rsidRDefault="003369B1" w:rsidP="003369B1">
      <w:pPr>
        <w:spacing w:line="360" w:lineRule="auto"/>
        <w:jc w:val="both"/>
        <w:rPr>
          <w:rFonts w:ascii="Arial" w:hAnsi="Arial" w:cs="Arial"/>
          <w:color w:val="222222"/>
          <w:sz w:val="22"/>
          <w:szCs w:val="22"/>
          <w:shd w:val="clear" w:color="auto" w:fill="FFFFFF"/>
        </w:rPr>
      </w:pPr>
    </w:p>
    <w:p w14:paraId="4656FB74" w14:textId="77777777" w:rsidR="003369B1" w:rsidRDefault="003369B1" w:rsidP="003369B1">
      <w:pPr>
        <w:spacing w:line="360" w:lineRule="auto"/>
        <w:jc w:val="both"/>
        <w:rPr>
          <w:rFonts w:ascii="Arial" w:hAnsi="Arial" w:cs="Arial"/>
          <w:color w:val="000000" w:themeColor="text1"/>
          <w:sz w:val="22"/>
          <w:szCs w:val="22"/>
        </w:rPr>
      </w:pPr>
      <w:r>
        <w:rPr>
          <w:rFonts w:ascii="Arial" w:hAnsi="Arial" w:cs="Arial"/>
          <w:color w:val="222222"/>
          <w:sz w:val="22"/>
          <w:szCs w:val="22"/>
          <w:shd w:val="clear" w:color="auto" w:fill="FFFFFF"/>
        </w:rPr>
        <w:t>Furthermore, the CQC’s Fundamental Standards require providers to handle medications, provide PCC and uphold efficient governance systems by accurate documentation (CQC, 2026). For Mrs. Thompson, timely identification of new issues and implementing suitable interventions are ensured by documentation of medication administration, evaluations of her care plan and efficient professional communication. Therefore, administrative practice improves Mrs Thompson's safety, independence and quality of life in addition to meeting legal and professional standards.</w:t>
      </w:r>
    </w:p>
    <w:p w14:paraId="11F97120" w14:textId="77777777" w:rsidR="003369B1" w:rsidRDefault="003369B1" w:rsidP="003369B1">
      <w:pPr>
        <w:pStyle w:val="Heading1"/>
        <w:jc w:val="both"/>
        <w:rPr>
          <w:rFonts w:ascii="Arial" w:hAnsi="Arial" w:cs="Arial"/>
          <w:b/>
          <w:color w:val="000000" w:themeColor="text1"/>
          <w:sz w:val="22"/>
          <w:szCs w:val="22"/>
        </w:rPr>
      </w:pPr>
      <w:bookmarkStart w:id="6" w:name="_Toc234856196"/>
      <w:bookmarkStart w:id="7" w:name="_Toc234931495"/>
      <w:r>
        <w:rPr>
          <w:rFonts w:ascii="Arial" w:hAnsi="Arial" w:cs="Arial"/>
          <w:b/>
          <w:color w:val="000000" w:themeColor="text1"/>
          <w:sz w:val="22"/>
          <w:szCs w:val="22"/>
        </w:rPr>
        <w:t>The Importance of Collaborative Working</w:t>
      </w:r>
      <w:bookmarkEnd w:id="6"/>
      <w:bookmarkEnd w:id="7"/>
      <w:r>
        <w:rPr>
          <w:rFonts w:ascii="Arial" w:hAnsi="Arial" w:cs="Arial"/>
          <w:b/>
          <w:color w:val="000000" w:themeColor="text1"/>
          <w:sz w:val="22"/>
          <w:szCs w:val="22"/>
        </w:rPr>
        <w:t xml:space="preserve"> </w:t>
      </w:r>
    </w:p>
    <w:p w14:paraId="2975A641" w14:textId="77777777" w:rsidR="003369B1" w:rsidRDefault="003369B1" w:rsidP="003369B1">
      <w:pPr>
        <w:jc w:val="both"/>
        <w:rPr>
          <w:rFonts w:ascii="Arial" w:hAnsi="Arial" w:cs="Arial"/>
          <w:sz w:val="22"/>
          <w:szCs w:val="22"/>
        </w:rPr>
      </w:pPr>
    </w:p>
    <w:p w14:paraId="2177C5FC" w14:textId="77777777" w:rsidR="003369B1" w:rsidRDefault="003369B1" w:rsidP="003369B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Collaboration is essential to provide health and social services that are safe, efficient and PCC (Ahmed </w:t>
      </w:r>
      <w:r>
        <w:rPr>
          <w:rFonts w:ascii="Arial" w:hAnsi="Arial" w:cs="Arial"/>
          <w:i/>
          <w:color w:val="000000" w:themeColor="text1"/>
          <w:sz w:val="22"/>
          <w:szCs w:val="22"/>
        </w:rPr>
        <w:t>et al.,</w:t>
      </w:r>
      <w:r>
        <w:rPr>
          <w:rFonts w:ascii="Arial" w:hAnsi="Arial" w:cs="Arial"/>
          <w:color w:val="000000" w:themeColor="text1"/>
          <w:sz w:val="22"/>
          <w:szCs w:val="22"/>
        </w:rPr>
        <w:t xml:space="preserve"> 2022). To address the complicated needs of service users, professionals from several disciplines share information and knowledge. Mrs Thompson needs assistance from many specialists, including her GP, social worker, community nurse, chemist and carers. Effective teamwork guarantees that her physical health, medication management, cognitive needs and general wellbeing are addressed in a coordinated strategy, even though each expert has a role to fulfil. Following Mrs. Thompson’s discharge from hospital, the community nurse can evaluate her recovery from pneumonia and assess any changes in her physical or mental well-being, while the GP should examine her medical condition and prescribed medicines. Domiciliary care providers are essential in helping with everyday tasks, giving or </w:t>
      </w:r>
      <w:r>
        <w:rPr>
          <w:rFonts w:ascii="Arial" w:hAnsi="Arial" w:cs="Arial"/>
          <w:color w:val="000000" w:themeColor="text1"/>
          <w:sz w:val="22"/>
          <w:szCs w:val="22"/>
        </w:rPr>
        <w:lastRenderedPageBreak/>
        <w:t xml:space="preserve">encouraging medicine and reporting issues (NHS, 2024). The pharmacy performs a medication review to find possible adverse effects, simplify prescription routines when necessary and reduce the possibility of missing doses. Additionally, in response to worries about Mrs. Thompson's safety, the social worker and local government can determine whether she needs care or protecting measures. Regular communication, correct documentation, shared care plans, multidisciplinary team, meetings and professional duties are necessary for successful collaboration (NHS England, 2026). </w:t>
      </w:r>
    </w:p>
    <w:p w14:paraId="0AF31B22" w14:textId="77777777" w:rsidR="003369B1" w:rsidRDefault="003369B1" w:rsidP="003369B1">
      <w:pPr>
        <w:spacing w:line="360" w:lineRule="auto"/>
        <w:jc w:val="both"/>
        <w:rPr>
          <w:rFonts w:ascii="Arial" w:hAnsi="Arial" w:cs="Arial"/>
          <w:color w:val="000000" w:themeColor="text1"/>
          <w:sz w:val="22"/>
          <w:szCs w:val="22"/>
        </w:rPr>
      </w:pPr>
    </w:p>
    <w:p w14:paraId="2B649EE0" w14:textId="77777777" w:rsidR="003369B1" w:rsidRDefault="003369B1" w:rsidP="003369B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However, working across agencies can be difficult. The efficacy of integrated care may be reduced by poor communication, delays in information sharing, competing professional standards, staffing shortages and confusion surrounding roles and duties (</w:t>
      </w:r>
      <w:r>
        <w:rPr>
          <w:rFonts w:ascii="Arial" w:hAnsi="Arial" w:cs="Arial"/>
          <w:color w:val="000000" w:themeColor="text1"/>
          <w:sz w:val="22"/>
          <w:szCs w:val="22"/>
          <w:shd w:val="clear" w:color="auto" w:fill="FFFFFF"/>
        </w:rPr>
        <w:t xml:space="preserve">Atinga </w:t>
      </w:r>
      <w:r>
        <w:rPr>
          <w:rFonts w:ascii="Arial" w:hAnsi="Arial" w:cs="Arial"/>
          <w:i/>
          <w:color w:val="000000" w:themeColor="text1"/>
          <w:sz w:val="22"/>
          <w:szCs w:val="22"/>
          <w:shd w:val="clear" w:color="auto" w:fill="FFFFFF"/>
        </w:rPr>
        <w:t>et al.,</w:t>
      </w:r>
      <w:r>
        <w:rPr>
          <w:rFonts w:ascii="Arial" w:hAnsi="Arial" w:cs="Arial"/>
          <w:color w:val="000000" w:themeColor="text1"/>
          <w:sz w:val="22"/>
          <w:szCs w:val="22"/>
          <w:shd w:val="clear" w:color="auto" w:fill="FFFFFF"/>
        </w:rPr>
        <w:t xml:space="preserve"> 2024)</w:t>
      </w:r>
      <w:r>
        <w:rPr>
          <w:rFonts w:ascii="Arial" w:hAnsi="Arial" w:cs="Arial"/>
          <w:color w:val="000000" w:themeColor="text1"/>
          <w:sz w:val="22"/>
          <w:szCs w:val="22"/>
        </w:rPr>
        <w:t>. These obstacles may lead to duplicate tasks, postponed actions, or the absence of crucial information. Maintaining clear communication, utilising shared digital records where necessary, scheduling MDT meetings and ensuring professionals are aware of their roles are strategies to overcome these obstacles (</w:t>
      </w:r>
      <w:r>
        <w:rPr>
          <w:rFonts w:ascii="Arial" w:hAnsi="Arial" w:cs="Arial"/>
          <w:color w:val="000000" w:themeColor="text1"/>
          <w:sz w:val="22"/>
          <w:szCs w:val="22"/>
          <w:shd w:val="clear" w:color="auto" w:fill="FFFFFF"/>
        </w:rPr>
        <w:t>Khumalo and Kane, 2022)</w:t>
      </w:r>
      <w:r>
        <w:rPr>
          <w:rFonts w:ascii="Arial" w:hAnsi="Arial" w:cs="Arial"/>
          <w:color w:val="000000" w:themeColor="text1"/>
          <w:sz w:val="22"/>
          <w:szCs w:val="22"/>
        </w:rPr>
        <w:t>. Collaborative working is strengthened by a culture of respect for one another, shared decision-making and PCC. Effective collaboration is crucial in Mrs. Thompson's situation to lower potential hazards, enhance medication compliance and promote her independence while maintaining her health and safety as the top priorities.</w:t>
      </w:r>
    </w:p>
    <w:p w14:paraId="4E2FC1B4" w14:textId="77777777" w:rsidR="003369B1" w:rsidRDefault="003369B1" w:rsidP="003369B1">
      <w:pPr>
        <w:pStyle w:val="Heading1"/>
        <w:rPr>
          <w:rFonts w:ascii="Arial" w:hAnsi="Arial" w:cs="Arial"/>
          <w:b/>
          <w:color w:val="000000" w:themeColor="text1"/>
          <w:sz w:val="22"/>
          <w:szCs w:val="22"/>
        </w:rPr>
      </w:pPr>
      <w:bookmarkStart w:id="8" w:name="_Toc234856197"/>
      <w:bookmarkStart w:id="9" w:name="_Toc234931496"/>
      <w:r>
        <w:rPr>
          <w:rFonts w:ascii="Arial" w:hAnsi="Arial" w:cs="Arial"/>
          <w:b/>
          <w:color w:val="000000" w:themeColor="text1"/>
          <w:sz w:val="22"/>
          <w:szCs w:val="22"/>
        </w:rPr>
        <w:t>Conclusion</w:t>
      </w:r>
      <w:bookmarkEnd w:id="8"/>
      <w:bookmarkEnd w:id="9"/>
    </w:p>
    <w:p w14:paraId="1926F76D" w14:textId="77777777" w:rsidR="003369B1" w:rsidRDefault="003369B1" w:rsidP="003369B1">
      <w:pPr>
        <w:rPr>
          <w:rFonts w:ascii="Arial" w:hAnsi="Arial" w:cs="Arial"/>
          <w:sz w:val="22"/>
          <w:szCs w:val="22"/>
        </w:rPr>
      </w:pPr>
    </w:p>
    <w:p w14:paraId="06EECCB2" w14:textId="77777777" w:rsidR="003369B1" w:rsidRDefault="003369B1" w:rsidP="003369B1">
      <w:pPr>
        <w:spacing w:line="360" w:lineRule="auto"/>
        <w:jc w:val="both"/>
        <w:rPr>
          <w:rFonts w:ascii="Arial" w:hAnsi="Arial" w:cs="Arial"/>
          <w:sz w:val="22"/>
          <w:szCs w:val="22"/>
        </w:rPr>
      </w:pPr>
      <w:r>
        <w:rPr>
          <w:rFonts w:ascii="Arial" w:hAnsi="Arial" w:cs="Arial"/>
          <w:sz w:val="22"/>
          <w:szCs w:val="22"/>
        </w:rPr>
        <w:t>The case of Mrs. Thompson shows how crucial it is to provide safe, PCC through efficient communication, administrative procedures and teamwork. Professionals can modify their approach to accommodate Mrs. Thompson's specific needs through effective communication, which is backed by the Shannon and Weaver communication model and the principles of the Equality Act (2010). Maintaining accurate records and adhering to the Data Protection Act of (2018), together with other health and social care laws, guarantees that data is handled securely, promotes continuity of care and helps protect vulnerable persons. In conclusion, coordinated assessment, prompt intervention and shared accountability for Mrs. Thompson's wellbeing are made possible by the cooperation of health and social care specialists. Healthcare professionals can enhance patient safety, lower the likelihood of recurrent events and help Mrs Thompson maintain her independence while receiving compassionate, high-quality care by combining these three areas of professional practice.</w:t>
      </w:r>
    </w:p>
    <w:p w14:paraId="122F6FB4" w14:textId="77777777" w:rsidR="003369B1" w:rsidRDefault="003369B1" w:rsidP="003369B1"/>
    <w:p w14:paraId="40DD1838" w14:textId="77777777" w:rsidR="003369B1" w:rsidRDefault="003369B1" w:rsidP="003369B1"/>
    <w:p w14:paraId="7CF6EF49" w14:textId="77777777" w:rsidR="003369B1" w:rsidRDefault="003369B1" w:rsidP="003369B1"/>
    <w:p w14:paraId="2846C6A5" w14:textId="77777777" w:rsidR="003369B1" w:rsidRDefault="003369B1" w:rsidP="003369B1"/>
    <w:p w14:paraId="7508BB55" w14:textId="77777777" w:rsidR="003369B1" w:rsidRDefault="003369B1" w:rsidP="003369B1">
      <w:pPr>
        <w:pStyle w:val="Heading1"/>
        <w:rPr>
          <w:rFonts w:ascii="Arial" w:hAnsi="Arial" w:cs="Arial"/>
          <w:b/>
          <w:color w:val="000000" w:themeColor="text1"/>
          <w:sz w:val="22"/>
          <w:szCs w:val="22"/>
        </w:rPr>
      </w:pPr>
      <w:bookmarkStart w:id="10" w:name="_Toc234856198"/>
      <w:bookmarkStart w:id="11" w:name="_Toc234931497"/>
      <w:r>
        <w:rPr>
          <w:rFonts w:ascii="Arial" w:hAnsi="Arial" w:cs="Arial"/>
          <w:b/>
          <w:color w:val="000000" w:themeColor="text1"/>
          <w:sz w:val="22"/>
          <w:szCs w:val="22"/>
        </w:rPr>
        <w:lastRenderedPageBreak/>
        <w:t>Reference List</w:t>
      </w:r>
      <w:bookmarkEnd w:id="10"/>
      <w:bookmarkEnd w:id="11"/>
    </w:p>
    <w:p w14:paraId="6B07AA95" w14:textId="77777777" w:rsidR="003369B1" w:rsidRDefault="003369B1" w:rsidP="003369B1">
      <w:pPr>
        <w:rPr>
          <w:rFonts w:ascii="Arial" w:hAnsi="Arial" w:cs="Arial"/>
          <w:color w:val="000000" w:themeColor="text1"/>
          <w:sz w:val="22"/>
          <w:szCs w:val="22"/>
        </w:rPr>
      </w:pPr>
    </w:p>
    <w:p w14:paraId="2027F5F7" w14:textId="15C933B7" w:rsidR="003369B1" w:rsidRDefault="003369B1" w:rsidP="003369B1">
      <w:pPr>
        <w:rPr>
          <w:rFonts w:ascii="Arial" w:hAnsi="Arial" w:cs="Arial"/>
          <w:sz w:val="22"/>
          <w:szCs w:val="22"/>
        </w:rPr>
      </w:pPr>
      <w:r>
        <w:rPr>
          <w:rFonts w:ascii="Arial" w:hAnsi="Arial" w:cs="Arial"/>
          <w:color w:val="222222"/>
          <w:sz w:val="22"/>
          <w:szCs w:val="22"/>
          <w:shd w:val="clear" w:color="auto" w:fill="FFFFFF"/>
        </w:rPr>
        <w:t>Ahmed, A., van den Muijsenbergh, M.E. and Vrijhoef, H.J. (2022) ‘Person</w:t>
      </w:r>
      <w:r>
        <w:rPr>
          <w:rFonts w:ascii="Cambria Math" w:hAnsi="Cambria Math" w:cs="Cambria Math"/>
          <w:color w:val="222222"/>
          <w:sz w:val="22"/>
          <w:szCs w:val="22"/>
          <w:shd w:val="clear" w:color="auto" w:fill="FFFFFF"/>
        </w:rPr>
        <w:t>‐</w:t>
      </w:r>
      <w:r>
        <w:rPr>
          <w:rFonts w:ascii="Arial" w:hAnsi="Arial" w:cs="Arial"/>
          <w:color w:val="222222"/>
          <w:sz w:val="22"/>
          <w:szCs w:val="22"/>
          <w:shd w:val="clear" w:color="auto" w:fill="FFFFFF"/>
        </w:rPr>
        <w:t>centred care in primary care: what works for whom, how and in what circumstances?’, </w:t>
      </w:r>
      <w:r>
        <w:rPr>
          <w:rFonts w:ascii="Arial" w:hAnsi="Arial" w:cs="Arial"/>
          <w:i/>
          <w:iCs/>
          <w:color w:val="222222"/>
          <w:sz w:val="22"/>
          <w:szCs w:val="22"/>
          <w:shd w:val="clear" w:color="auto" w:fill="FFFFFF"/>
        </w:rPr>
        <w:t>Health &amp; social care in the community</w:t>
      </w:r>
      <w:r>
        <w:rPr>
          <w:rFonts w:ascii="Arial" w:hAnsi="Arial" w:cs="Arial"/>
          <w:color w:val="222222"/>
          <w:sz w:val="22"/>
          <w:szCs w:val="22"/>
          <w:shd w:val="clear" w:color="auto" w:fill="FFFFFF"/>
        </w:rPr>
        <w:t>, </w:t>
      </w:r>
      <w:r>
        <w:rPr>
          <w:rFonts w:ascii="Arial" w:hAnsi="Arial" w:cs="Arial"/>
          <w:iCs/>
          <w:color w:val="222222"/>
          <w:sz w:val="22"/>
          <w:szCs w:val="22"/>
          <w:shd w:val="clear" w:color="auto" w:fill="FFFFFF"/>
        </w:rPr>
        <w:t>30</w:t>
      </w:r>
      <w:r>
        <w:rPr>
          <w:rFonts w:ascii="Arial" w:hAnsi="Arial" w:cs="Arial"/>
          <w:color w:val="222222"/>
          <w:sz w:val="22"/>
          <w:szCs w:val="22"/>
          <w:shd w:val="clear" w:color="auto" w:fill="FFFFFF"/>
        </w:rPr>
        <w:t xml:space="preserve">(6), </w:t>
      </w:r>
      <w:r>
        <w:rPr>
          <w:rFonts w:ascii="Arial" w:hAnsi="Arial" w:cs="Arial"/>
          <w:color w:val="222222"/>
          <w:sz w:val="22"/>
          <w:szCs w:val="22"/>
          <w:shd w:val="clear" w:color="auto" w:fill="FFFFFF"/>
        </w:rPr>
        <w:t>pp. e</w:t>
      </w:r>
      <w:r>
        <w:rPr>
          <w:rFonts w:ascii="Arial" w:hAnsi="Arial" w:cs="Arial"/>
          <w:color w:val="222222"/>
          <w:sz w:val="22"/>
          <w:szCs w:val="22"/>
          <w:shd w:val="clear" w:color="auto" w:fill="FFFFFF"/>
        </w:rPr>
        <w:t>3328-e3341.</w:t>
      </w:r>
    </w:p>
    <w:p w14:paraId="3813C47F" w14:textId="77777777" w:rsidR="003369B1" w:rsidRDefault="003369B1" w:rsidP="003369B1">
      <w:pPr>
        <w:rPr>
          <w:rFonts w:ascii="Arial" w:hAnsi="Arial" w:cs="Arial"/>
          <w:sz w:val="22"/>
          <w:szCs w:val="22"/>
        </w:rPr>
      </w:pPr>
    </w:p>
    <w:p w14:paraId="696605B7" w14:textId="77777777" w:rsidR="003369B1" w:rsidRDefault="003369B1" w:rsidP="003369B1">
      <w:pPr>
        <w:rPr>
          <w:sz w:val="22"/>
          <w:szCs w:val="22"/>
        </w:rPr>
      </w:pPr>
      <w:r>
        <w:rPr>
          <w:rFonts w:ascii="Arial" w:hAnsi="Arial" w:cs="Arial"/>
          <w:color w:val="222222"/>
          <w:sz w:val="22"/>
          <w:szCs w:val="22"/>
          <w:shd w:val="clear" w:color="auto" w:fill="FFFFFF"/>
        </w:rPr>
        <w:t>Anka, A. and Penhale, B. (2024) ‘Safeguarding carers: literature review on what is known about carers who are abused by the people they provide care for’, </w:t>
      </w:r>
      <w:r>
        <w:rPr>
          <w:rFonts w:ascii="Arial" w:hAnsi="Arial" w:cs="Arial"/>
          <w:i/>
          <w:iCs/>
          <w:color w:val="222222"/>
          <w:sz w:val="22"/>
          <w:szCs w:val="22"/>
          <w:shd w:val="clear" w:color="auto" w:fill="FFFFFF"/>
        </w:rPr>
        <w:t>The Journal of Adult Protection</w:t>
      </w:r>
      <w:r>
        <w:rPr>
          <w:rFonts w:ascii="Arial" w:hAnsi="Arial" w:cs="Arial"/>
          <w:color w:val="222222"/>
          <w:sz w:val="22"/>
          <w:szCs w:val="22"/>
          <w:shd w:val="clear" w:color="auto" w:fill="FFFFFF"/>
        </w:rPr>
        <w:t>, </w:t>
      </w:r>
      <w:r>
        <w:rPr>
          <w:rFonts w:ascii="Arial" w:hAnsi="Arial" w:cs="Arial"/>
          <w:iCs/>
          <w:color w:val="222222"/>
          <w:sz w:val="22"/>
          <w:szCs w:val="22"/>
          <w:shd w:val="clear" w:color="auto" w:fill="FFFFFF"/>
        </w:rPr>
        <w:t>26</w:t>
      </w:r>
      <w:r>
        <w:rPr>
          <w:rFonts w:ascii="Arial" w:hAnsi="Arial" w:cs="Arial"/>
          <w:color w:val="222222"/>
          <w:sz w:val="22"/>
          <w:szCs w:val="22"/>
          <w:shd w:val="clear" w:color="auto" w:fill="FFFFFF"/>
        </w:rPr>
        <w:t>(3), pp.113-125.</w:t>
      </w:r>
    </w:p>
    <w:p w14:paraId="09F6258F" w14:textId="77777777" w:rsidR="003369B1" w:rsidRDefault="003369B1" w:rsidP="003369B1">
      <w:pPr>
        <w:rPr>
          <w:rFonts w:ascii="Arial" w:hAnsi="Arial" w:cs="Arial"/>
          <w:color w:val="222222"/>
          <w:sz w:val="22"/>
          <w:szCs w:val="22"/>
          <w:shd w:val="clear" w:color="auto" w:fill="FFFFFF"/>
        </w:rPr>
      </w:pPr>
    </w:p>
    <w:p w14:paraId="430B9DE4" w14:textId="77777777" w:rsidR="003369B1" w:rsidRDefault="003369B1" w:rsidP="003369B1">
      <w:pPr>
        <w:rPr>
          <w:rFonts w:ascii="Arial" w:hAnsi="Arial" w:cs="Arial"/>
          <w:sz w:val="22"/>
          <w:szCs w:val="22"/>
        </w:rPr>
      </w:pPr>
      <w:r>
        <w:rPr>
          <w:rFonts w:ascii="Arial" w:hAnsi="Arial" w:cs="Arial"/>
          <w:color w:val="222222"/>
          <w:sz w:val="22"/>
          <w:szCs w:val="22"/>
          <w:shd w:val="clear" w:color="auto" w:fill="FFFFFF"/>
        </w:rPr>
        <w:t>Atinga, R.A., Gmaligan, M.N., Ayawine, A. and Yambah, J.K. (2024) ‘It's the patient that suffers from poor communication”: Analyzing communication gaps and associated consequences in handover events from nurses’ experiences’, </w:t>
      </w:r>
      <w:r>
        <w:rPr>
          <w:rFonts w:ascii="Arial" w:hAnsi="Arial" w:cs="Arial"/>
          <w:i/>
          <w:iCs/>
          <w:color w:val="222222"/>
          <w:sz w:val="22"/>
          <w:szCs w:val="22"/>
          <w:shd w:val="clear" w:color="auto" w:fill="FFFFFF"/>
        </w:rPr>
        <w:t>SSM-Qualitative Research in Health</w:t>
      </w:r>
      <w:r>
        <w:rPr>
          <w:rFonts w:ascii="Arial" w:hAnsi="Arial" w:cs="Arial"/>
          <w:color w:val="222222"/>
          <w:sz w:val="22"/>
          <w:szCs w:val="22"/>
          <w:shd w:val="clear" w:color="auto" w:fill="FFFFFF"/>
        </w:rPr>
        <w:t>, </w:t>
      </w:r>
      <w:r>
        <w:rPr>
          <w:rFonts w:ascii="Arial" w:hAnsi="Arial" w:cs="Arial"/>
          <w:iCs/>
          <w:color w:val="222222"/>
          <w:sz w:val="22"/>
          <w:szCs w:val="22"/>
          <w:shd w:val="clear" w:color="auto" w:fill="FFFFFF"/>
        </w:rPr>
        <w:t>6</w:t>
      </w:r>
      <w:r>
        <w:rPr>
          <w:rFonts w:ascii="Arial" w:hAnsi="Arial" w:cs="Arial"/>
          <w:color w:val="222222"/>
          <w:sz w:val="22"/>
          <w:szCs w:val="22"/>
          <w:shd w:val="clear" w:color="auto" w:fill="FFFFFF"/>
        </w:rPr>
        <w:t>, p.100482.</w:t>
      </w:r>
    </w:p>
    <w:p w14:paraId="2FB4FD7C" w14:textId="77777777" w:rsidR="003369B1" w:rsidRDefault="003369B1" w:rsidP="003369B1">
      <w:pPr>
        <w:rPr>
          <w:rFonts w:ascii="Arial" w:hAnsi="Arial" w:cs="Arial"/>
          <w:sz w:val="22"/>
          <w:szCs w:val="22"/>
        </w:rPr>
      </w:pPr>
    </w:p>
    <w:p w14:paraId="4D6D46BA" w14:textId="77777777" w:rsidR="003369B1" w:rsidRDefault="003369B1" w:rsidP="003369B1">
      <w:pPr>
        <w:rPr>
          <w:rFonts w:ascii="Arial" w:hAnsi="Arial" w:cs="Arial"/>
          <w:sz w:val="22"/>
          <w:szCs w:val="22"/>
        </w:rPr>
      </w:pPr>
      <w:r>
        <w:rPr>
          <w:rFonts w:ascii="Arial" w:hAnsi="Arial" w:cs="Arial"/>
          <w:color w:val="222222"/>
          <w:sz w:val="22"/>
          <w:szCs w:val="22"/>
          <w:shd w:val="clear" w:color="auto" w:fill="FFFFFF"/>
        </w:rPr>
        <w:t>Bahrain, N.K., Sakrani, S.R. and Maidin, A. (2023) ‘Communication barriers in work environment: understanding impact and challenges’, </w:t>
      </w:r>
      <w:r>
        <w:rPr>
          <w:rFonts w:ascii="Arial" w:hAnsi="Arial" w:cs="Arial"/>
          <w:i/>
          <w:iCs/>
          <w:color w:val="222222"/>
          <w:sz w:val="22"/>
          <w:szCs w:val="22"/>
          <w:shd w:val="clear" w:color="auto" w:fill="FFFFFF"/>
        </w:rPr>
        <w:t>International Journal of Academic Research in Business and Social Sciences</w:t>
      </w:r>
      <w:r>
        <w:rPr>
          <w:rFonts w:ascii="Arial" w:hAnsi="Arial" w:cs="Arial"/>
          <w:color w:val="222222"/>
          <w:sz w:val="22"/>
          <w:szCs w:val="22"/>
          <w:shd w:val="clear" w:color="auto" w:fill="FFFFFF"/>
        </w:rPr>
        <w:t>, </w:t>
      </w:r>
      <w:r>
        <w:rPr>
          <w:rFonts w:ascii="Arial" w:hAnsi="Arial" w:cs="Arial"/>
          <w:iCs/>
          <w:color w:val="222222"/>
          <w:sz w:val="22"/>
          <w:szCs w:val="22"/>
          <w:shd w:val="clear" w:color="auto" w:fill="FFFFFF"/>
        </w:rPr>
        <w:t>13</w:t>
      </w:r>
      <w:r>
        <w:rPr>
          <w:rFonts w:ascii="Arial" w:hAnsi="Arial" w:cs="Arial"/>
          <w:color w:val="222222"/>
          <w:sz w:val="22"/>
          <w:szCs w:val="22"/>
          <w:shd w:val="clear" w:color="auto" w:fill="FFFFFF"/>
        </w:rPr>
        <w:t>(11), pp.1489-1503.</w:t>
      </w:r>
    </w:p>
    <w:p w14:paraId="743F2EC0" w14:textId="77777777" w:rsidR="003369B1" w:rsidRDefault="003369B1" w:rsidP="003369B1">
      <w:pPr>
        <w:rPr>
          <w:rFonts w:ascii="Arial" w:hAnsi="Arial" w:cs="Arial"/>
          <w:color w:val="222222"/>
          <w:sz w:val="22"/>
          <w:szCs w:val="22"/>
          <w:shd w:val="clear" w:color="auto" w:fill="FFFFFF"/>
        </w:rPr>
      </w:pPr>
    </w:p>
    <w:p w14:paraId="36F16C25" w14:textId="22EFF4CB" w:rsidR="003369B1" w:rsidRDefault="003369B1" w:rsidP="003369B1">
      <w:pPr>
        <w:rPr>
          <w:rFonts w:ascii="Arial" w:hAnsi="Arial" w:cs="Arial"/>
          <w:sz w:val="22"/>
          <w:szCs w:val="22"/>
        </w:rPr>
      </w:pPr>
      <w:r>
        <w:rPr>
          <w:rFonts w:ascii="Arial" w:hAnsi="Arial" w:cs="Arial"/>
          <w:color w:val="222222"/>
          <w:sz w:val="22"/>
          <w:szCs w:val="22"/>
          <w:shd w:val="clear" w:color="auto" w:fill="FFFFFF"/>
        </w:rPr>
        <w:t>Ball, E.J., McElwee, J.D. and McManus, M.A. (2024) ‘</w:t>
      </w:r>
      <w:r>
        <w:rPr>
          <w:rFonts w:ascii="Arial" w:hAnsi="Arial" w:cs="Arial"/>
          <w:color w:val="222222"/>
          <w:sz w:val="22"/>
          <w:szCs w:val="22"/>
          <w:shd w:val="clear" w:color="auto" w:fill="FFFFFF"/>
        </w:rPr>
        <w:t>multi-agency</w:t>
      </w:r>
      <w:r>
        <w:rPr>
          <w:rFonts w:ascii="Arial" w:hAnsi="Arial" w:cs="Arial"/>
          <w:color w:val="222222"/>
          <w:sz w:val="22"/>
          <w:szCs w:val="22"/>
          <w:shd w:val="clear" w:color="auto" w:fill="FFFFFF"/>
        </w:rPr>
        <w:t xml:space="preserve"> safeguarding: From everyone’s responsibility to a collective responsibility’, </w:t>
      </w:r>
      <w:r>
        <w:rPr>
          <w:rFonts w:ascii="Arial" w:hAnsi="Arial" w:cs="Arial"/>
          <w:i/>
          <w:iCs/>
          <w:color w:val="222222"/>
          <w:sz w:val="22"/>
          <w:szCs w:val="22"/>
          <w:shd w:val="clear" w:color="auto" w:fill="FFFFFF"/>
        </w:rPr>
        <w:t>Journal of Community Safety and Well-Being</w:t>
      </w:r>
      <w:r>
        <w:rPr>
          <w:rFonts w:ascii="Arial" w:hAnsi="Arial" w:cs="Arial"/>
          <w:color w:val="222222"/>
          <w:sz w:val="22"/>
          <w:szCs w:val="22"/>
          <w:shd w:val="clear" w:color="auto" w:fill="FFFFFF"/>
        </w:rPr>
        <w:t>, </w:t>
      </w:r>
      <w:r>
        <w:rPr>
          <w:rFonts w:ascii="Arial" w:hAnsi="Arial" w:cs="Arial"/>
          <w:iCs/>
          <w:color w:val="222222"/>
          <w:sz w:val="22"/>
          <w:szCs w:val="22"/>
          <w:shd w:val="clear" w:color="auto" w:fill="FFFFFF"/>
        </w:rPr>
        <w:t>9</w:t>
      </w:r>
      <w:r>
        <w:rPr>
          <w:rFonts w:ascii="Arial" w:hAnsi="Arial" w:cs="Arial"/>
          <w:color w:val="222222"/>
          <w:sz w:val="22"/>
          <w:szCs w:val="22"/>
          <w:shd w:val="clear" w:color="auto" w:fill="FFFFFF"/>
        </w:rPr>
        <w:t>(2), pp.104-108.</w:t>
      </w:r>
    </w:p>
    <w:p w14:paraId="66CE8C99" w14:textId="77777777" w:rsidR="003369B1" w:rsidRDefault="003369B1" w:rsidP="003369B1">
      <w:pPr>
        <w:rPr>
          <w:rFonts w:ascii="Arial" w:hAnsi="Arial" w:cs="Arial"/>
          <w:color w:val="222222"/>
          <w:sz w:val="22"/>
          <w:szCs w:val="22"/>
          <w:shd w:val="clear" w:color="auto" w:fill="FFFFFF"/>
        </w:rPr>
      </w:pPr>
    </w:p>
    <w:p w14:paraId="1CF4BC86" w14:textId="77777777" w:rsidR="003369B1" w:rsidRDefault="003369B1" w:rsidP="003369B1">
      <w:pPr>
        <w:rPr>
          <w:rFonts w:ascii="Arial" w:hAnsi="Arial" w:cs="Arial"/>
          <w:sz w:val="22"/>
          <w:szCs w:val="22"/>
        </w:rPr>
      </w:pPr>
      <w:r>
        <w:rPr>
          <w:rFonts w:ascii="Arial" w:hAnsi="Arial" w:cs="Arial"/>
          <w:color w:val="222222"/>
          <w:sz w:val="22"/>
          <w:szCs w:val="22"/>
          <w:shd w:val="clear" w:color="auto" w:fill="FFFFFF"/>
        </w:rPr>
        <w:t xml:space="preserve">Berardinelli, D., Conti, A., Hasnaoui, A., Casabona, E., Martin, B., Campagna, S. and Dimonte, V. (2024) ‘Nurse-led interventions for improving medication adherence in chronic diseases: A systematic review’, </w:t>
      </w:r>
      <w:r>
        <w:rPr>
          <w:rFonts w:ascii="Arial" w:hAnsi="Arial" w:cs="Arial"/>
          <w:i/>
          <w:color w:val="222222"/>
          <w:sz w:val="22"/>
          <w:szCs w:val="22"/>
          <w:shd w:val="clear" w:color="auto" w:fill="FFFFFF"/>
        </w:rPr>
        <w:t>In </w:t>
      </w:r>
      <w:r>
        <w:rPr>
          <w:rFonts w:ascii="Arial" w:hAnsi="Arial" w:cs="Arial"/>
          <w:i/>
          <w:iCs/>
          <w:color w:val="222222"/>
          <w:sz w:val="22"/>
          <w:szCs w:val="22"/>
          <w:shd w:val="clear" w:color="auto" w:fill="FFFFFF"/>
        </w:rPr>
        <w:t>Healthcare</w:t>
      </w:r>
      <w:r>
        <w:rPr>
          <w:rFonts w:ascii="Arial" w:hAnsi="Arial" w:cs="Arial"/>
          <w:color w:val="222222"/>
          <w:sz w:val="22"/>
          <w:szCs w:val="22"/>
          <w:shd w:val="clear" w:color="auto" w:fill="FFFFFF"/>
        </w:rPr>
        <w:t>, 12(23), p. 2337).</w:t>
      </w:r>
    </w:p>
    <w:p w14:paraId="73F12C94" w14:textId="77777777" w:rsidR="003369B1" w:rsidRDefault="003369B1" w:rsidP="003369B1">
      <w:pPr>
        <w:rPr>
          <w:rFonts w:ascii="Arial" w:hAnsi="Arial" w:cs="Arial"/>
          <w:color w:val="000000" w:themeColor="text1"/>
          <w:sz w:val="22"/>
          <w:szCs w:val="22"/>
          <w:shd w:val="clear" w:color="auto" w:fill="FFFFFF"/>
        </w:rPr>
      </w:pPr>
    </w:p>
    <w:p w14:paraId="06482A0C" w14:textId="77777777" w:rsidR="003369B1" w:rsidRDefault="003369B1" w:rsidP="003369B1">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Care Quality Commission (2026) </w:t>
      </w:r>
      <w:r>
        <w:rPr>
          <w:rFonts w:ascii="Arial" w:hAnsi="Arial" w:cs="Arial"/>
          <w:i/>
          <w:color w:val="000000" w:themeColor="text1"/>
          <w:sz w:val="22"/>
          <w:szCs w:val="22"/>
          <w:shd w:val="clear" w:color="auto" w:fill="FFFFFF"/>
        </w:rPr>
        <w:t>The fundamental standards of care</w:t>
      </w:r>
      <w:r>
        <w:rPr>
          <w:rFonts w:ascii="Arial" w:hAnsi="Arial" w:cs="Arial"/>
          <w:color w:val="000000" w:themeColor="text1"/>
          <w:sz w:val="22"/>
          <w:szCs w:val="22"/>
          <w:shd w:val="clear" w:color="auto" w:fill="FFFFFF"/>
        </w:rPr>
        <w:t xml:space="preserve">. Available at: </w:t>
      </w:r>
      <w:hyperlink r:id="rId4" w:history="1">
        <w:r>
          <w:rPr>
            <w:rStyle w:val="Hyperlink"/>
            <w:rFonts w:ascii="Arial" w:eastAsiaTheme="majorEastAsia" w:hAnsi="Arial" w:cs="Arial"/>
            <w:color w:val="000000" w:themeColor="text1"/>
            <w:sz w:val="22"/>
            <w:szCs w:val="22"/>
            <w:shd w:val="clear" w:color="auto" w:fill="FFFFFF"/>
          </w:rPr>
          <w:t>https://www.cqc.org.uk/about-us/fundamental-standards</w:t>
        </w:r>
      </w:hyperlink>
      <w:r>
        <w:rPr>
          <w:rFonts w:ascii="Arial" w:hAnsi="Arial" w:cs="Arial"/>
          <w:color w:val="000000" w:themeColor="text1"/>
          <w:sz w:val="22"/>
          <w:szCs w:val="22"/>
          <w:shd w:val="clear" w:color="auto" w:fill="FFFFFF"/>
        </w:rPr>
        <w:t xml:space="preserve"> (Accessed: 1 July 2026).</w:t>
      </w:r>
    </w:p>
    <w:p w14:paraId="1981C0A4" w14:textId="77777777" w:rsidR="003369B1" w:rsidRDefault="003369B1" w:rsidP="003369B1">
      <w:pPr>
        <w:rPr>
          <w:rFonts w:ascii="Arial" w:hAnsi="Arial" w:cs="Arial"/>
          <w:color w:val="222222"/>
          <w:sz w:val="22"/>
          <w:szCs w:val="22"/>
          <w:shd w:val="clear" w:color="auto" w:fill="FFFFFF"/>
        </w:rPr>
      </w:pPr>
    </w:p>
    <w:p w14:paraId="21C8027C" w14:textId="77777777" w:rsidR="003369B1" w:rsidRDefault="003369B1" w:rsidP="003369B1">
      <w:pPr>
        <w:rPr>
          <w:rFonts w:ascii="Arial" w:hAnsi="Arial" w:cs="Arial"/>
          <w:color w:val="000000" w:themeColor="text1"/>
          <w:sz w:val="22"/>
          <w:szCs w:val="22"/>
          <w:shd w:val="clear" w:color="auto" w:fill="FFFFFF"/>
        </w:rPr>
      </w:pPr>
      <w:r>
        <w:rPr>
          <w:rFonts w:ascii="Arial" w:hAnsi="Arial" w:cs="Arial"/>
          <w:color w:val="222222"/>
          <w:sz w:val="22"/>
          <w:szCs w:val="22"/>
          <w:shd w:val="clear" w:color="auto" w:fill="FFFFFF"/>
        </w:rPr>
        <w:t xml:space="preserve">Care </w:t>
      </w:r>
      <w:r>
        <w:rPr>
          <w:rFonts w:ascii="Arial" w:hAnsi="Arial" w:cs="Arial"/>
          <w:color w:val="000000" w:themeColor="text1"/>
          <w:sz w:val="22"/>
          <w:szCs w:val="22"/>
          <w:shd w:val="clear" w:color="auto" w:fill="FFFFFF"/>
        </w:rPr>
        <w:t xml:space="preserve">Quality Commission (2025) </w:t>
      </w:r>
      <w:r>
        <w:rPr>
          <w:rFonts w:ascii="Arial" w:hAnsi="Arial" w:cs="Arial"/>
          <w:i/>
          <w:color w:val="000000" w:themeColor="text1"/>
          <w:sz w:val="22"/>
          <w:szCs w:val="22"/>
          <w:shd w:val="clear" w:color="auto" w:fill="FFFFFF"/>
        </w:rPr>
        <w:t>Regulations for service providers and managers.</w:t>
      </w:r>
      <w:r>
        <w:rPr>
          <w:rFonts w:ascii="Arial" w:hAnsi="Arial" w:cs="Arial"/>
          <w:color w:val="000000" w:themeColor="text1"/>
          <w:sz w:val="22"/>
          <w:szCs w:val="22"/>
          <w:shd w:val="clear" w:color="auto" w:fill="FFFFFF"/>
        </w:rPr>
        <w:t xml:space="preserve"> Available at: </w:t>
      </w:r>
      <w:hyperlink r:id="rId5" w:history="1">
        <w:r>
          <w:rPr>
            <w:rStyle w:val="Hyperlink"/>
            <w:rFonts w:ascii="Arial" w:eastAsiaTheme="majorEastAsia" w:hAnsi="Arial" w:cs="Arial"/>
            <w:color w:val="000000" w:themeColor="text1"/>
            <w:sz w:val="22"/>
            <w:szCs w:val="22"/>
            <w:shd w:val="clear" w:color="auto" w:fill="FFFFFF"/>
          </w:rPr>
          <w:t>https://www.cqc.org.uk/guidance-regulation/providers/regulations-service-providers-and-managers/health-social-care-act/regulation-17</w:t>
        </w:r>
      </w:hyperlink>
      <w:r>
        <w:rPr>
          <w:rFonts w:ascii="Arial" w:hAnsi="Arial" w:cs="Arial"/>
          <w:color w:val="000000" w:themeColor="text1"/>
          <w:sz w:val="22"/>
          <w:szCs w:val="22"/>
          <w:shd w:val="clear" w:color="auto" w:fill="FFFFFF"/>
        </w:rPr>
        <w:t xml:space="preserve">  (Accessed: 1 July 2026).</w:t>
      </w:r>
    </w:p>
    <w:p w14:paraId="11141DA6" w14:textId="77777777" w:rsidR="003369B1" w:rsidRDefault="003369B1" w:rsidP="003369B1">
      <w:pPr>
        <w:rPr>
          <w:rFonts w:ascii="Arial" w:hAnsi="Arial" w:cs="Arial"/>
          <w:color w:val="222222"/>
          <w:sz w:val="22"/>
          <w:szCs w:val="22"/>
          <w:shd w:val="clear" w:color="auto" w:fill="FFFFFF"/>
        </w:rPr>
      </w:pPr>
    </w:p>
    <w:p w14:paraId="52671665" w14:textId="563491AD" w:rsidR="003369B1" w:rsidRDefault="003369B1" w:rsidP="003369B1">
      <w:pPr>
        <w:rPr>
          <w:rFonts w:ascii="Arial" w:hAnsi="Arial" w:cs="Arial"/>
          <w:sz w:val="22"/>
          <w:szCs w:val="22"/>
        </w:rPr>
      </w:pPr>
      <w:r>
        <w:rPr>
          <w:rFonts w:ascii="Arial" w:hAnsi="Arial" w:cs="Arial"/>
          <w:color w:val="222222"/>
          <w:sz w:val="22"/>
          <w:szCs w:val="22"/>
          <w:shd w:val="clear" w:color="auto" w:fill="FFFFFF"/>
        </w:rPr>
        <w:t xml:space="preserve">Firdausi, A.R., Hasanah, R.U. and Anwaresha, U.L. (2025) ‘Description System Communication Digital Learning in Schools Intermediate’, </w:t>
      </w:r>
      <w:r>
        <w:rPr>
          <w:rFonts w:ascii="Arial" w:hAnsi="Arial" w:cs="Arial"/>
          <w:i/>
          <w:iCs/>
          <w:color w:val="222222"/>
          <w:sz w:val="22"/>
          <w:szCs w:val="22"/>
          <w:shd w:val="clear" w:color="auto" w:fill="FFFFFF"/>
        </w:rPr>
        <w:t>INTEGRATIA: Journal of Education, Human Development, and Community Engagement</w:t>
      </w:r>
      <w:r>
        <w:rPr>
          <w:rFonts w:ascii="Arial" w:hAnsi="Arial" w:cs="Arial"/>
          <w:color w:val="222222"/>
          <w:sz w:val="22"/>
          <w:szCs w:val="22"/>
          <w:shd w:val="clear" w:color="auto" w:fill="FFFFFF"/>
        </w:rPr>
        <w:t>, </w:t>
      </w:r>
      <w:r>
        <w:rPr>
          <w:rFonts w:ascii="Arial" w:hAnsi="Arial" w:cs="Arial"/>
          <w:iCs/>
          <w:color w:val="222222"/>
          <w:sz w:val="22"/>
          <w:szCs w:val="22"/>
          <w:shd w:val="clear" w:color="auto" w:fill="FFFFFF"/>
        </w:rPr>
        <w:t>3</w:t>
      </w:r>
      <w:r>
        <w:rPr>
          <w:rFonts w:ascii="Arial" w:hAnsi="Arial" w:cs="Arial"/>
          <w:color w:val="222222"/>
          <w:sz w:val="22"/>
          <w:szCs w:val="22"/>
          <w:shd w:val="clear" w:color="auto" w:fill="FFFFFF"/>
        </w:rPr>
        <w:t>(2), pp.1-14.</w:t>
      </w:r>
    </w:p>
    <w:p w14:paraId="1135409C" w14:textId="77777777" w:rsidR="003369B1" w:rsidRDefault="003369B1" w:rsidP="003369B1">
      <w:pPr>
        <w:rPr>
          <w:rFonts w:ascii="Arial" w:hAnsi="Arial" w:cs="Arial"/>
          <w:color w:val="222222"/>
          <w:sz w:val="22"/>
          <w:szCs w:val="22"/>
          <w:shd w:val="clear" w:color="auto" w:fill="FFFFFF"/>
        </w:rPr>
      </w:pPr>
    </w:p>
    <w:p w14:paraId="6B34891F" w14:textId="77777777" w:rsidR="003369B1" w:rsidRDefault="003369B1" w:rsidP="003369B1">
      <w:pPr>
        <w:rPr>
          <w:rFonts w:ascii="Arial" w:hAnsi="Arial" w:cs="Arial"/>
          <w:color w:val="000000" w:themeColor="text1"/>
          <w:sz w:val="22"/>
          <w:szCs w:val="22"/>
        </w:rPr>
      </w:pPr>
      <w:r>
        <w:rPr>
          <w:rFonts w:ascii="Arial" w:hAnsi="Arial" w:cs="Arial"/>
          <w:color w:val="000000" w:themeColor="text1"/>
          <w:sz w:val="22"/>
          <w:szCs w:val="22"/>
        </w:rPr>
        <w:t xml:space="preserve">GOV.UK (2026) </w:t>
      </w:r>
      <w:r>
        <w:rPr>
          <w:rFonts w:ascii="Arial" w:hAnsi="Arial" w:cs="Arial"/>
          <w:i/>
          <w:color w:val="000000" w:themeColor="text1"/>
          <w:sz w:val="22"/>
          <w:szCs w:val="22"/>
        </w:rPr>
        <w:t>Equality Act 2010: guidance</w:t>
      </w:r>
      <w:r>
        <w:rPr>
          <w:rFonts w:ascii="Arial" w:hAnsi="Arial" w:cs="Arial"/>
          <w:color w:val="000000" w:themeColor="text1"/>
          <w:sz w:val="22"/>
          <w:szCs w:val="22"/>
        </w:rPr>
        <w:t xml:space="preserve">. Available at: </w:t>
      </w:r>
      <w:hyperlink r:id="rId6" w:history="1">
        <w:r>
          <w:rPr>
            <w:rStyle w:val="Hyperlink"/>
            <w:rFonts w:ascii="Arial" w:eastAsiaTheme="majorEastAsia" w:hAnsi="Arial" w:cs="Arial"/>
            <w:color w:val="000000" w:themeColor="text1"/>
            <w:sz w:val="22"/>
            <w:szCs w:val="22"/>
          </w:rPr>
          <w:t>https://www.gov.uk/guidance/equality-act-2010-guidance</w:t>
        </w:r>
      </w:hyperlink>
      <w:r>
        <w:rPr>
          <w:rFonts w:ascii="Arial" w:hAnsi="Arial" w:cs="Arial"/>
          <w:color w:val="000000" w:themeColor="text1"/>
          <w:sz w:val="22"/>
          <w:szCs w:val="22"/>
        </w:rPr>
        <w:t xml:space="preserve"> (Accessed: 29 June 2026).</w:t>
      </w:r>
    </w:p>
    <w:p w14:paraId="3F54BB8C" w14:textId="77777777" w:rsidR="003369B1" w:rsidRDefault="003369B1" w:rsidP="003369B1">
      <w:pPr>
        <w:rPr>
          <w:rFonts w:ascii="Arial" w:hAnsi="Arial" w:cs="Arial"/>
          <w:color w:val="222222"/>
          <w:sz w:val="22"/>
          <w:szCs w:val="22"/>
          <w:shd w:val="clear" w:color="auto" w:fill="FFFFFF"/>
        </w:rPr>
      </w:pPr>
    </w:p>
    <w:p w14:paraId="4BC23189" w14:textId="54759EAA" w:rsidR="003369B1" w:rsidRDefault="003369B1" w:rsidP="003369B1">
      <w:pPr>
        <w:rPr>
          <w:rFonts w:ascii="Arial" w:hAnsi="Arial" w:cs="Arial"/>
          <w:sz w:val="22"/>
          <w:szCs w:val="22"/>
        </w:rPr>
      </w:pPr>
      <w:r>
        <w:rPr>
          <w:rFonts w:ascii="Arial" w:hAnsi="Arial" w:cs="Arial"/>
          <w:color w:val="222222"/>
          <w:sz w:val="22"/>
          <w:szCs w:val="22"/>
          <w:shd w:val="clear" w:color="auto" w:fill="FFFFFF"/>
        </w:rPr>
        <w:t>I</w:t>
      </w:r>
      <w:r>
        <w:rPr>
          <w:rFonts w:ascii="Arial" w:hAnsi="Arial" w:cs="Arial"/>
          <w:color w:val="222222"/>
          <w:sz w:val="22"/>
          <w:szCs w:val="22"/>
          <w:shd w:val="clear" w:color="auto" w:fill="FFFFFF"/>
        </w:rPr>
        <w:t>brahim, A.M., Abdel-Aziz, H.R., Mohamed, H.A.H., Zaghamir, D.E.F., Wahba, N.M.I., Hassan, G.A., Shaban, M., El-Nablaway, M., Aldughmi, O.N. and Aboelola, T.H. (2024) ‘Balancing confidentiality and care coordination: challenges in patient privacy’, </w:t>
      </w:r>
      <w:r>
        <w:rPr>
          <w:rFonts w:ascii="Arial" w:hAnsi="Arial" w:cs="Arial"/>
          <w:i/>
          <w:iCs/>
          <w:color w:val="222222"/>
          <w:sz w:val="22"/>
          <w:szCs w:val="22"/>
          <w:shd w:val="clear" w:color="auto" w:fill="FFFFFF"/>
        </w:rPr>
        <w:t>BMC nursing</w:t>
      </w:r>
      <w:r>
        <w:rPr>
          <w:rFonts w:ascii="Arial" w:hAnsi="Arial" w:cs="Arial"/>
          <w:color w:val="222222"/>
          <w:sz w:val="22"/>
          <w:szCs w:val="22"/>
          <w:shd w:val="clear" w:color="auto" w:fill="FFFFFF"/>
        </w:rPr>
        <w:t>, </w:t>
      </w:r>
      <w:r>
        <w:rPr>
          <w:rFonts w:ascii="Arial" w:hAnsi="Arial" w:cs="Arial"/>
          <w:iCs/>
          <w:color w:val="222222"/>
          <w:sz w:val="22"/>
          <w:szCs w:val="22"/>
          <w:shd w:val="clear" w:color="auto" w:fill="FFFFFF"/>
        </w:rPr>
        <w:t>23</w:t>
      </w:r>
      <w:r>
        <w:rPr>
          <w:rFonts w:ascii="Arial" w:hAnsi="Arial" w:cs="Arial"/>
          <w:color w:val="222222"/>
          <w:sz w:val="22"/>
          <w:szCs w:val="22"/>
          <w:shd w:val="clear" w:color="auto" w:fill="FFFFFF"/>
        </w:rPr>
        <w:t>(1), p.564.</w:t>
      </w:r>
    </w:p>
    <w:p w14:paraId="73F33281" w14:textId="77777777" w:rsidR="003369B1" w:rsidRDefault="003369B1" w:rsidP="003369B1">
      <w:pPr>
        <w:rPr>
          <w:rFonts w:ascii="Arial" w:hAnsi="Arial" w:cs="Arial"/>
          <w:color w:val="222222"/>
          <w:sz w:val="22"/>
          <w:szCs w:val="22"/>
          <w:shd w:val="clear" w:color="auto" w:fill="FFFFFF"/>
        </w:rPr>
      </w:pPr>
    </w:p>
    <w:p w14:paraId="53E5619E" w14:textId="77777777" w:rsidR="003369B1" w:rsidRDefault="003369B1" w:rsidP="003369B1">
      <w:pPr>
        <w:rPr>
          <w:rFonts w:ascii="Arial" w:hAnsi="Arial" w:cs="Arial"/>
          <w:sz w:val="22"/>
          <w:szCs w:val="22"/>
        </w:rPr>
      </w:pPr>
      <w:r>
        <w:rPr>
          <w:rFonts w:ascii="Arial" w:hAnsi="Arial" w:cs="Arial"/>
          <w:color w:val="222222"/>
          <w:sz w:val="22"/>
          <w:szCs w:val="22"/>
          <w:shd w:val="clear" w:color="auto" w:fill="FFFFFF"/>
        </w:rPr>
        <w:t>Khatri, R.B., Wolka, E., Nigatu, F., Zewdie, A., Erku, D., Endalamaw, A. and Assefa, Y. (2023) ‘People-centred primary health care: a scoping review’, </w:t>
      </w:r>
      <w:r>
        <w:rPr>
          <w:rFonts w:ascii="Arial" w:hAnsi="Arial" w:cs="Arial"/>
          <w:i/>
          <w:iCs/>
          <w:color w:val="222222"/>
          <w:sz w:val="22"/>
          <w:szCs w:val="22"/>
          <w:shd w:val="clear" w:color="auto" w:fill="FFFFFF"/>
        </w:rPr>
        <w:t>BMC primary care</w:t>
      </w:r>
      <w:r>
        <w:rPr>
          <w:rFonts w:ascii="Arial" w:hAnsi="Arial" w:cs="Arial"/>
          <w:color w:val="222222"/>
          <w:sz w:val="22"/>
          <w:szCs w:val="22"/>
          <w:shd w:val="clear" w:color="auto" w:fill="FFFFFF"/>
        </w:rPr>
        <w:t>, </w:t>
      </w:r>
      <w:r>
        <w:rPr>
          <w:rFonts w:ascii="Arial" w:hAnsi="Arial" w:cs="Arial"/>
          <w:iCs/>
          <w:color w:val="222222"/>
          <w:sz w:val="22"/>
          <w:szCs w:val="22"/>
          <w:shd w:val="clear" w:color="auto" w:fill="FFFFFF"/>
        </w:rPr>
        <w:t>24</w:t>
      </w:r>
      <w:r>
        <w:rPr>
          <w:rFonts w:ascii="Arial" w:hAnsi="Arial" w:cs="Arial"/>
          <w:color w:val="222222"/>
          <w:sz w:val="22"/>
          <w:szCs w:val="22"/>
          <w:shd w:val="clear" w:color="auto" w:fill="FFFFFF"/>
        </w:rPr>
        <w:t>(1), p.236.</w:t>
      </w:r>
    </w:p>
    <w:p w14:paraId="21DED3AD" w14:textId="77777777" w:rsidR="003369B1" w:rsidRDefault="003369B1" w:rsidP="003369B1">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 </w:t>
      </w:r>
    </w:p>
    <w:p w14:paraId="7C6B4F30" w14:textId="77777777" w:rsidR="003369B1" w:rsidRDefault="003369B1" w:rsidP="003369B1">
      <w:pPr>
        <w:rPr>
          <w:rFonts w:ascii="Arial" w:hAnsi="Arial" w:cs="Arial"/>
          <w:color w:val="222222"/>
          <w:sz w:val="22"/>
          <w:szCs w:val="22"/>
          <w:shd w:val="clear" w:color="auto" w:fill="FFFFFF"/>
        </w:rPr>
      </w:pPr>
      <w:r>
        <w:rPr>
          <w:rFonts w:ascii="Arial" w:hAnsi="Arial" w:cs="Arial"/>
          <w:color w:val="222222"/>
          <w:sz w:val="22"/>
          <w:szCs w:val="22"/>
          <w:shd w:val="clear" w:color="auto" w:fill="FFFFFF"/>
        </w:rPr>
        <w:t>Khumalo, A.C. and Kane, B.T. (2022) ‘Perspectives on record-keeping practices in MDT meetings and meeting record utility’, </w:t>
      </w:r>
      <w:r>
        <w:rPr>
          <w:rFonts w:ascii="Arial" w:hAnsi="Arial" w:cs="Arial"/>
          <w:i/>
          <w:iCs/>
          <w:color w:val="222222"/>
          <w:sz w:val="22"/>
          <w:szCs w:val="22"/>
          <w:shd w:val="clear" w:color="auto" w:fill="FFFFFF"/>
        </w:rPr>
        <w:t>International Journal of Medical Informatics</w:t>
      </w:r>
      <w:r>
        <w:rPr>
          <w:rFonts w:ascii="Arial" w:hAnsi="Arial" w:cs="Arial"/>
          <w:color w:val="222222"/>
          <w:sz w:val="22"/>
          <w:szCs w:val="22"/>
          <w:shd w:val="clear" w:color="auto" w:fill="FFFFFF"/>
        </w:rPr>
        <w:t>, </w:t>
      </w:r>
      <w:r>
        <w:rPr>
          <w:rFonts w:ascii="Arial" w:hAnsi="Arial" w:cs="Arial"/>
          <w:iCs/>
          <w:color w:val="222222"/>
          <w:sz w:val="22"/>
          <w:szCs w:val="22"/>
          <w:shd w:val="clear" w:color="auto" w:fill="FFFFFF"/>
        </w:rPr>
        <w:t>161</w:t>
      </w:r>
      <w:r>
        <w:rPr>
          <w:rFonts w:ascii="Arial" w:hAnsi="Arial" w:cs="Arial"/>
          <w:color w:val="222222"/>
          <w:sz w:val="22"/>
          <w:szCs w:val="22"/>
          <w:shd w:val="clear" w:color="auto" w:fill="FFFFFF"/>
        </w:rPr>
        <w:t>, p.104711</w:t>
      </w:r>
    </w:p>
    <w:p w14:paraId="3BC9DF3F" w14:textId="77777777" w:rsidR="003369B1" w:rsidRDefault="003369B1" w:rsidP="003369B1">
      <w:pPr>
        <w:rPr>
          <w:rFonts w:ascii="Arial" w:hAnsi="Arial" w:cs="Arial"/>
          <w:color w:val="000000" w:themeColor="text1"/>
          <w:sz w:val="22"/>
          <w:szCs w:val="22"/>
          <w:shd w:val="clear" w:color="auto" w:fill="FFFFFF"/>
        </w:rPr>
      </w:pPr>
    </w:p>
    <w:p w14:paraId="5FBAAE18" w14:textId="3EAF88DC" w:rsidR="003369B1" w:rsidRPr="003369B1" w:rsidRDefault="003369B1" w:rsidP="003369B1">
      <w:pPr>
        <w:rPr>
          <w:rFonts w:ascii="Arial" w:hAnsi="Arial" w:cs="Arial"/>
          <w:sz w:val="22"/>
          <w:szCs w:val="22"/>
        </w:rPr>
      </w:pPr>
      <w:r>
        <w:rPr>
          <w:rFonts w:ascii="Arial" w:hAnsi="Arial" w:cs="Arial"/>
          <w:color w:val="222222"/>
          <w:sz w:val="22"/>
          <w:szCs w:val="22"/>
          <w:shd w:val="clear" w:color="auto" w:fill="FFFFFF"/>
        </w:rPr>
        <w:lastRenderedPageBreak/>
        <w:t>Kubota, M. (2019) ‘What is" Communication</w:t>
      </w:r>
      <w:r>
        <w:rPr>
          <w:rFonts w:ascii="Arial" w:hAnsi="Arial" w:cs="Arial"/>
          <w:color w:val="222222"/>
          <w:sz w:val="22"/>
          <w:szCs w:val="22"/>
          <w:shd w:val="clear" w:color="auto" w:fill="FFFFFF"/>
        </w:rPr>
        <w:t>”? -</w:t>
      </w:r>
      <w:r>
        <w:rPr>
          <w:rFonts w:ascii="Arial" w:hAnsi="Arial" w:cs="Arial"/>
          <w:color w:val="222222"/>
          <w:sz w:val="22"/>
          <w:szCs w:val="22"/>
          <w:shd w:val="clear" w:color="auto" w:fill="FFFFFF"/>
        </w:rPr>
        <w:t>Beyond the Shannon &amp; Weaver’s Model’, </w:t>
      </w:r>
      <w:r>
        <w:rPr>
          <w:rFonts w:ascii="Arial" w:hAnsi="Arial" w:cs="Arial"/>
          <w:i/>
          <w:iCs/>
          <w:color w:val="222222"/>
          <w:sz w:val="22"/>
          <w:szCs w:val="22"/>
          <w:shd w:val="clear" w:color="auto" w:fill="FFFFFF"/>
        </w:rPr>
        <w:t>International Journal for Educational Media and Technology</w:t>
      </w:r>
      <w:r>
        <w:rPr>
          <w:rFonts w:ascii="Arial" w:hAnsi="Arial" w:cs="Arial"/>
          <w:color w:val="222222"/>
          <w:sz w:val="22"/>
          <w:szCs w:val="22"/>
          <w:shd w:val="clear" w:color="auto" w:fill="FFFFFF"/>
        </w:rPr>
        <w:t>, </w:t>
      </w:r>
      <w:r>
        <w:rPr>
          <w:rFonts w:ascii="Arial" w:hAnsi="Arial" w:cs="Arial"/>
          <w:iCs/>
          <w:color w:val="222222"/>
          <w:sz w:val="22"/>
          <w:szCs w:val="22"/>
          <w:shd w:val="clear" w:color="auto" w:fill="FFFFFF"/>
        </w:rPr>
        <w:t>13</w:t>
      </w:r>
      <w:r>
        <w:rPr>
          <w:rFonts w:ascii="Arial" w:hAnsi="Arial" w:cs="Arial"/>
          <w:color w:val="222222"/>
          <w:sz w:val="22"/>
          <w:szCs w:val="22"/>
          <w:shd w:val="clear" w:color="auto" w:fill="FFFFFF"/>
        </w:rPr>
        <w:t>(1), pp.1-12.</w:t>
      </w:r>
    </w:p>
    <w:p w14:paraId="17B5B23A" w14:textId="77777777" w:rsidR="003369B1" w:rsidRDefault="003369B1" w:rsidP="003369B1">
      <w:pPr>
        <w:rPr>
          <w:rFonts w:ascii="Arial" w:hAnsi="Arial" w:cs="Arial"/>
          <w:color w:val="222222"/>
          <w:sz w:val="22"/>
          <w:szCs w:val="22"/>
          <w:shd w:val="clear" w:color="auto" w:fill="FFFFFF"/>
        </w:rPr>
      </w:pPr>
    </w:p>
    <w:p w14:paraId="308316F0" w14:textId="77777777" w:rsidR="003369B1" w:rsidRDefault="003369B1" w:rsidP="003369B1">
      <w:pPr>
        <w:rPr>
          <w:rFonts w:ascii="Arial" w:hAnsi="Arial" w:cs="Arial"/>
          <w:sz w:val="22"/>
          <w:szCs w:val="22"/>
        </w:rPr>
      </w:pPr>
      <w:r>
        <w:rPr>
          <w:rFonts w:ascii="Arial" w:hAnsi="Arial" w:cs="Arial"/>
          <w:color w:val="222222"/>
          <w:sz w:val="22"/>
          <w:szCs w:val="22"/>
          <w:shd w:val="clear" w:color="auto" w:fill="FFFFFF"/>
        </w:rPr>
        <w:t>Liao, L., Feng, M., You, Y., Chen, Y., Guan, C. and Liu, Y. (2023) ‘Experiences of older people, healthcare providers and caregivers on implementing person-centred care for community-dwelling older people: a systematic review and qualitative meta-synthesis’, </w:t>
      </w:r>
      <w:r>
        <w:rPr>
          <w:rFonts w:ascii="Arial" w:hAnsi="Arial" w:cs="Arial"/>
          <w:i/>
          <w:iCs/>
          <w:color w:val="222222"/>
          <w:sz w:val="22"/>
          <w:szCs w:val="22"/>
          <w:shd w:val="clear" w:color="auto" w:fill="FFFFFF"/>
        </w:rPr>
        <w:t>BMC geriatrics</w:t>
      </w:r>
      <w:r>
        <w:rPr>
          <w:rFonts w:ascii="Arial" w:hAnsi="Arial" w:cs="Arial"/>
          <w:color w:val="222222"/>
          <w:sz w:val="22"/>
          <w:szCs w:val="22"/>
          <w:shd w:val="clear" w:color="auto" w:fill="FFFFFF"/>
        </w:rPr>
        <w:t>, </w:t>
      </w:r>
      <w:r>
        <w:rPr>
          <w:rFonts w:ascii="Arial" w:hAnsi="Arial" w:cs="Arial"/>
          <w:iCs/>
          <w:color w:val="222222"/>
          <w:sz w:val="22"/>
          <w:szCs w:val="22"/>
          <w:shd w:val="clear" w:color="auto" w:fill="FFFFFF"/>
        </w:rPr>
        <w:t>23</w:t>
      </w:r>
      <w:r>
        <w:rPr>
          <w:rFonts w:ascii="Arial" w:hAnsi="Arial" w:cs="Arial"/>
          <w:color w:val="222222"/>
          <w:sz w:val="22"/>
          <w:szCs w:val="22"/>
          <w:shd w:val="clear" w:color="auto" w:fill="FFFFFF"/>
        </w:rPr>
        <w:t>(1), p.207.</w:t>
      </w:r>
    </w:p>
    <w:p w14:paraId="3013D40C" w14:textId="77777777" w:rsidR="003369B1" w:rsidRDefault="003369B1" w:rsidP="003369B1">
      <w:pPr>
        <w:rPr>
          <w:rFonts w:ascii="Arial" w:hAnsi="Arial" w:cs="Arial"/>
          <w:color w:val="222222"/>
          <w:sz w:val="22"/>
          <w:szCs w:val="22"/>
          <w:shd w:val="clear" w:color="auto" w:fill="FFFFFF"/>
        </w:rPr>
      </w:pPr>
    </w:p>
    <w:p w14:paraId="03BAA88E" w14:textId="77777777" w:rsidR="003369B1" w:rsidRDefault="003369B1" w:rsidP="003369B1">
      <w:pPr>
        <w:rPr>
          <w:rFonts w:ascii="Arial" w:hAnsi="Arial" w:cs="Arial"/>
          <w:sz w:val="22"/>
          <w:szCs w:val="22"/>
        </w:rPr>
      </w:pPr>
      <w:r>
        <w:rPr>
          <w:rFonts w:ascii="Arial" w:hAnsi="Arial" w:cs="Arial"/>
          <w:color w:val="222222"/>
          <w:sz w:val="22"/>
          <w:szCs w:val="22"/>
          <w:shd w:val="clear" w:color="auto" w:fill="FFFFFF"/>
        </w:rPr>
        <w:t>Lu, S. (2022) ‘Data privacy, human rights, and algorithmic opacity’, </w:t>
      </w:r>
      <w:r>
        <w:rPr>
          <w:rFonts w:ascii="Arial" w:hAnsi="Arial" w:cs="Arial"/>
          <w:i/>
          <w:iCs/>
          <w:color w:val="222222"/>
          <w:sz w:val="22"/>
          <w:szCs w:val="22"/>
          <w:shd w:val="clear" w:color="auto" w:fill="FFFFFF"/>
        </w:rPr>
        <w:t>California Law Review</w:t>
      </w:r>
      <w:r>
        <w:rPr>
          <w:rFonts w:ascii="Arial" w:hAnsi="Arial" w:cs="Arial"/>
          <w:color w:val="222222"/>
          <w:sz w:val="22"/>
          <w:szCs w:val="22"/>
          <w:shd w:val="clear" w:color="auto" w:fill="FFFFFF"/>
        </w:rPr>
        <w:t>, </w:t>
      </w:r>
      <w:r>
        <w:rPr>
          <w:rFonts w:ascii="Arial" w:hAnsi="Arial" w:cs="Arial"/>
          <w:iCs/>
          <w:color w:val="222222"/>
          <w:sz w:val="22"/>
          <w:szCs w:val="22"/>
          <w:shd w:val="clear" w:color="auto" w:fill="FFFFFF"/>
        </w:rPr>
        <w:t>110</w:t>
      </w:r>
      <w:r>
        <w:rPr>
          <w:rFonts w:ascii="Arial" w:hAnsi="Arial" w:cs="Arial"/>
          <w:color w:val="222222"/>
          <w:sz w:val="22"/>
          <w:szCs w:val="22"/>
          <w:shd w:val="clear" w:color="auto" w:fill="FFFFFF"/>
        </w:rPr>
        <w:t>(6), pp.2087-2147.</w:t>
      </w:r>
    </w:p>
    <w:p w14:paraId="2AE0FB0C" w14:textId="77777777" w:rsidR="003369B1" w:rsidRDefault="003369B1" w:rsidP="003369B1">
      <w:pPr>
        <w:rPr>
          <w:rFonts w:ascii="Arial" w:hAnsi="Arial" w:cs="Arial"/>
          <w:color w:val="000000" w:themeColor="text1"/>
          <w:sz w:val="22"/>
          <w:szCs w:val="22"/>
          <w:shd w:val="clear" w:color="auto" w:fill="FFFFFF"/>
        </w:rPr>
      </w:pPr>
    </w:p>
    <w:p w14:paraId="140BBC53" w14:textId="77777777" w:rsidR="003369B1" w:rsidRDefault="003369B1" w:rsidP="003369B1">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NHS (2024) </w:t>
      </w:r>
      <w:r>
        <w:rPr>
          <w:rFonts w:ascii="Arial" w:hAnsi="Arial" w:cs="Arial"/>
          <w:i/>
          <w:color w:val="000000" w:themeColor="text1"/>
          <w:sz w:val="22"/>
          <w:szCs w:val="22"/>
          <w:shd w:val="clear" w:color="auto" w:fill="FFFFFF"/>
        </w:rPr>
        <w:t>Help at home from a paid carer.</w:t>
      </w:r>
      <w:r>
        <w:rPr>
          <w:rFonts w:ascii="Arial" w:hAnsi="Arial" w:cs="Arial"/>
          <w:color w:val="000000" w:themeColor="text1"/>
          <w:sz w:val="22"/>
          <w:szCs w:val="22"/>
          <w:shd w:val="clear" w:color="auto" w:fill="FFFFFF"/>
        </w:rPr>
        <w:t xml:space="preserve"> Available at: </w:t>
      </w:r>
      <w:hyperlink r:id="rId7" w:history="1">
        <w:r>
          <w:rPr>
            <w:rStyle w:val="Hyperlink"/>
            <w:rFonts w:ascii="Arial" w:eastAsiaTheme="majorEastAsia" w:hAnsi="Arial" w:cs="Arial"/>
            <w:color w:val="000000" w:themeColor="text1"/>
            <w:sz w:val="22"/>
            <w:szCs w:val="22"/>
            <w:shd w:val="clear" w:color="auto" w:fill="FFFFFF"/>
          </w:rPr>
          <w:t>https://www.nhs.uk/social-care-and-support/care-services-equipment-and-care-homes/homecare/</w:t>
        </w:r>
      </w:hyperlink>
      <w:r>
        <w:rPr>
          <w:rFonts w:ascii="Arial" w:hAnsi="Arial" w:cs="Arial"/>
          <w:color w:val="000000" w:themeColor="text1"/>
          <w:sz w:val="22"/>
          <w:szCs w:val="22"/>
          <w:shd w:val="clear" w:color="auto" w:fill="FFFFFF"/>
        </w:rPr>
        <w:t xml:space="preserve"> (Accessed: 2 July 2026).</w:t>
      </w:r>
    </w:p>
    <w:p w14:paraId="21448223" w14:textId="77777777" w:rsidR="003369B1" w:rsidRDefault="003369B1" w:rsidP="003369B1">
      <w:pPr>
        <w:rPr>
          <w:rFonts w:ascii="Arial" w:hAnsi="Arial" w:cs="Arial"/>
          <w:color w:val="000000" w:themeColor="text1"/>
          <w:sz w:val="22"/>
          <w:szCs w:val="22"/>
          <w:shd w:val="clear" w:color="auto" w:fill="FFFFFF"/>
        </w:rPr>
      </w:pPr>
    </w:p>
    <w:p w14:paraId="5C414537" w14:textId="77777777" w:rsidR="003369B1" w:rsidRDefault="003369B1" w:rsidP="003369B1">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NHS England (2026) </w:t>
      </w:r>
      <w:r>
        <w:rPr>
          <w:rFonts w:ascii="Arial" w:hAnsi="Arial" w:cs="Arial"/>
          <w:i/>
          <w:color w:val="000000" w:themeColor="text1"/>
          <w:sz w:val="22"/>
          <w:szCs w:val="22"/>
          <w:shd w:val="clear" w:color="auto" w:fill="FFFFFF"/>
        </w:rPr>
        <w:t>Digital: Information sharing in multidisciplinary teams</w:t>
      </w:r>
      <w:r>
        <w:rPr>
          <w:rFonts w:ascii="Arial" w:hAnsi="Arial" w:cs="Arial"/>
          <w:color w:val="000000" w:themeColor="text1"/>
          <w:sz w:val="22"/>
          <w:szCs w:val="22"/>
          <w:shd w:val="clear" w:color="auto" w:fill="FFFFFF"/>
        </w:rPr>
        <w:t xml:space="preserve">. Available at: </w:t>
      </w:r>
    </w:p>
    <w:p w14:paraId="4F093A47" w14:textId="77777777" w:rsidR="003369B1" w:rsidRDefault="003369B1" w:rsidP="003369B1">
      <w:pPr>
        <w:rPr>
          <w:rFonts w:ascii="Arial" w:hAnsi="Arial" w:cs="Arial"/>
          <w:color w:val="000000" w:themeColor="text1"/>
          <w:sz w:val="22"/>
          <w:szCs w:val="22"/>
          <w:shd w:val="clear" w:color="auto" w:fill="FFFFFF"/>
        </w:rPr>
      </w:pPr>
      <w:hyperlink r:id="rId8" w:history="1">
        <w:r>
          <w:rPr>
            <w:rStyle w:val="Hyperlink"/>
            <w:rFonts w:ascii="Arial" w:eastAsiaTheme="majorEastAsia" w:hAnsi="Arial" w:cs="Arial"/>
            <w:color w:val="000000" w:themeColor="text1"/>
            <w:sz w:val="22"/>
            <w:szCs w:val="22"/>
            <w:shd w:val="clear" w:color="auto" w:fill="FFFFFF"/>
          </w:rPr>
          <w:t>https://digital.nhs.uk/data-and-information/information-governance/guidance/information-sharing-in-multidisciplinary-teams</w:t>
        </w:r>
      </w:hyperlink>
      <w:r>
        <w:rPr>
          <w:rFonts w:ascii="Arial" w:hAnsi="Arial" w:cs="Arial"/>
          <w:color w:val="000000" w:themeColor="text1"/>
          <w:sz w:val="22"/>
          <w:szCs w:val="22"/>
          <w:shd w:val="clear" w:color="auto" w:fill="FFFFFF"/>
        </w:rPr>
        <w:t xml:space="preserve"> (Accessed: 2 July 2026).</w:t>
      </w:r>
    </w:p>
    <w:p w14:paraId="300D93D4" w14:textId="77777777" w:rsidR="003369B1" w:rsidRDefault="003369B1" w:rsidP="003369B1">
      <w:pPr>
        <w:rPr>
          <w:rFonts w:ascii="Arial" w:hAnsi="Arial" w:cs="Arial"/>
          <w:color w:val="000000" w:themeColor="text1"/>
          <w:sz w:val="22"/>
          <w:szCs w:val="22"/>
          <w:shd w:val="clear" w:color="auto" w:fill="FFFFFF"/>
        </w:rPr>
      </w:pPr>
    </w:p>
    <w:p w14:paraId="13ED0449" w14:textId="77777777" w:rsidR="003369B1" w:rsidRDefault="003369B1" w:rsidP="003369B1">
      <w:pPr>
        <w:rPr>
          <w:rFonts w:ascii="Arial" w:hAnsi="Arial" w:cs="Arial"/>
          <w:color w:val="000000" w:themeColor="text1"/>
          <w:sz w:val="22"/>
          <w:szCs w:val="22"/>
        </w:rPr>
      </w:pPr>
      <w:r>
        <w:rPr>
          <w:rFonts w:ascii="Arial" w:hAnsi="Arial" w:cs="Arial"/>
          <w:color w:val="000000" w:themeColor="text1"/>
          <w:sz w:val="22"/>
          <w:szCs w:val="22"/>
          <w:shd w:val="clear" w:color="auto" w:fill="FFFFFF"/>
        </w:rPr>
        <w:t>Sharkiya, S.H. (2023) ‘Quality communication can improve patient-centred health outcomes among older patients: a rapid review’, </w:t>
      </w:r>
      <w:r>
        <w:rPr>
          <w:rFonts w:ascii="Arial" w:hAnsi="Arial" w:cs="Arial"/>
          <w:i/>
          <w:iCs/>
          <w:color w:val="000000" w:themeColor="text1"/>
          <w:sz w:val="22"/>
          <w:szCs w:val="22"/>
          <w:shd w:val="clear" w:color="auto" w:fill="FFFFFF"/>
        </w:rPr>
        <w:t>BMC health services research</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23</w:t>
      </w:r>
      <w:r>
        <w:rPr>
          <w:rFonts w:ascii="Arial" w:hAnsi="Arial" w:cs="Arial"/>
          <w:color w:val="000000" w:themeColor="text1"/>
          <w:sz w:val="22"/>
          <w:szCs w:val="22"/>
          <w:shd w:val="clear" w:color="auto" w:fill="FFFFFF"/>
        </w:rPr>
        <w:t>(1), p.886.</w:t>
      </w:r>
    </w:p>
    <w:p w14:paraId="06CA16F3" w14:textId="77777777" w:rsidR="003369B1" w:rsidRDefault="003369B1" w:rsidP="003369B1">
      <w:pPr>
        <w:rPr>
          <w:rFonts w:ascii="Arial" w:hAnsi="Arial" w:cs="Arial"/>
          <w:color w:val="000000" w:themeColor="text1"/>
          <w:sz w:val="22"/>
          <w:szCs w:val="22"/>
        </w:rPr>
      </w:pPr>
    </w:p>
    <w:p w14:paraId="11DF251F" w14:textId="0A7DFC35" w:rsidR="003369B1" w:rsidRDefault="003369B1" w:rsidP="003369B1">
      <w:pPr>
        <w:rPr>
          <w:rFonts w:ascii="Arial" w:hAnsi="Arial" w:cs="Arial"/>
          <w:sz w:val="22"/>
          <w:szCs w:val="22"/>
        </w:rPr>
      </w:pPr>
      <w:r>
        <w:rPr>
          <w:rFonts w:ascii="Arial" w:hAnsi="Arial" w:cs="Arial"/>
          <w:color w:val="222222"/>
          <w:sz w:val="22"/>
          <w:szCs w:val="22"/>
          <w:shd w:val="clear" w:color="auto" w:fill="FFFFFF"/>
        </w:rPr>
        <w:t>Smith, H. (2025) ‘Promoting quality improvement: navigating the conundrum in clinical audit record disclosure’, </w:t>
      </w:r>
      <w:r>
        <w:rPr>
          <w:rFonts w:ascii="Arial" w:hAnsi="Arial" w:cs="Arial"/>
          <w:i/>
          <w:iCs/>
          <w:color w:val="222222"/>
          <w:sz w:val="22"/>
          <w:szCs w:val="22"/>
          <w:shd w:val="clear" w:color="auto" w:fill="FFFFFF"/>
        </w:rPr>
        <w:t>Medical Law Review</w:t>
      </w:r>
      <w:r>
        <w:rPr>
          <w:rFonts w:ascii="Arial" w:hAnsi="Arial" w:cs="Arial"/>
          <w:color w:val="222222"/>
          <w:sz w:val="22"/>
          <w:szCs w:val="22"/>
          <w:shd w:val="clear" w:color="auto" w:fill="FFFFFF"/>
        </w:rPr>
        <w:t>, </w:t>
      </w:r>
      <w:r>
        <w:rPr>
          <w:rFonts w:ascii="Arial" w:hAnsi="Arial" w:cs="Arial"/>
          <w:iCs/>
          <w:color w:val="222222"/>
          <w:sz w:val="22"/>
          <w:szCs w:val="22"/>
          <w:shd w:val="clear" w:color="auto" w:fill="FFFFFF"/>
        </w:rPr>
        <w:t>33</w:t>
      </w:r>
      <w:r>
        <w:rPr>
          <w:rFonts w:ascii="Arial" w:hAnsi="Arial" w:cs="Arial"/>
          <w:color w:val="222222"/>
          <w:sz w:val="22"/>
          <w:szCs w:val="22"/>
          <w:shd w:val="clear" w:color="auto" w:fill="FFFFFF"/>
        </w:rPr>
        <w:t xml:space="preserve">(4), </w:t>
      </w:r>
      <w:r>
        <w:rPr>
          <w:rFonts w:ascii="Arial" w:hAnsi="Arial" w:cs="Arial"/>
          <w:color w:val="222222"/>
          <w:sz w:val="22"/>
          <w:szCs w:val="22"/>
          <w:shd w:val="clear" w:color="auto" w:fill="FFFFFF"/>
        </w:rPr>
        <w:t>p. fwaf</w:t>
      </w:r>
      <w:r>
        <w:rPr>
          <w:rFonts w:ascii="Arial" w:hAnsi="Arial" w:cs="Arial"/>
          <w:color w:val="222222"/>
          <w:sz w:val="22"/>
          <w:szCs w:val="22"/>
          <w:shd w:val="clear" w:color="auto" w:fill="FFFFFF"/>
        </w:rPr>
        <w:t>042.</w:t>
      </w:r>
    </w:p>
    <w:p w14:paraId="389FDC9F" w14:textId="77777777" w:rsidR="003369B1" w:rsidRDefault="003369B1" w:rsidP="003369B1">
      <w:pPr>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 </w:t>
      </w:r>
    </w:p>
    <w:p w14:paraId="67DF88BD" w14:textId="77777777" w:rsidR="003369B1" w:rsidRDefault="003369B1" w:rsidP="003369B1">
      <w:pPr>
        <w:rPr>
          <w:rFonts w:ascii="Arial" w:hAnsi="Arial" w:cs="Arial"/>
          <w:sz w:val="22"/>
          <w:szCs w:val="22"/>
        </w:rPr>
      </w:pPr>
      <w:r>
        <w:rPr>
          <w:rFonts w:ascii="Arial" w:hAnsi="Arial" w:cs="Arial"/>
          <w:color w:val="222222"/>
          <w:sz w:val="22"/>
          <w:szCs w:val="22"/>
          <w:shd w:val="clear" w:color="auto" w:fill="FFFFFF"/>
        </w:rPr>
        <w:t>Toma-Tumbar, L., Nagy, R.D., Marinaș, M.C., Iliescu, D.G. and Cara, M.L. (2025) ‘Navigating the complex terrain of obstetrics and Gynecology malpractice: stakeholders, expectations, and legal implications’, </w:t>
      </w:r>
      <w:r>
        <w:rPr>
          <w:rFonts w:ascii="Arial" w:hAnsi="Arial" w:cs="Arial"/>
          <w:i/>
          <w:iCs/>
          <w:color w:val="222222"/>
          <w:sz w:val="22"/>
          <w:szCs w:val="22"/>
          <w:shd w:val="clear" w:color="auto" w:fill="FFFFFF"/>
        </w:rPr>
        <w:t>Journal of Clinical Medicine</w:t>
      </w:r>
      <w:r>
        <w:rPr>
          <w:rFonts w:ascii="Arial" w:hAnsi="Arial" w:cs="Arial"/>
          <w:color w:val="222222"/>
          <w:sz w:val="22"/>
          <w:szCs w:val="22"/>
          <w:shd w:val="clear" w:color="auto" w:fill="FFFFFF"/>
        </w:rPr>
        <w:t>, </w:t>
      </w:r>
      <w:r>
        <w:rPr>
          <w:rFonts w:ascii="Arial" w:hAnsi="Arial" w:cs="Arial"/>
          <w:iCs/>
          <w:color w:val="222222"/>
          <w:sz w:val="22"/>
          <w:szCs w:val="22"/>
          <w:shd w:val="clear" w:color="auto" w:fill="FFFFFF"/>
        </w:rPr>
        <w:t>14</w:t>
      </w:r>
      <w:r>
        <w:rPr>
          <w:rFonts w:ascii="Arial" w:hAnsi="Arial" w:cs="Arial"/>
          <w:color w:val="222222"/>
          <w:sz w:val="22"/>
          <w:szCs w:val="22"/>
          <w:shd w:val="clear" w:color="auto" w:fill="FFFFFF"/>
        </w:rPr>
        <w:t>(7), p.2266.</w:t>
      </w:r>
    </w:p>
    <w:p w14:paraId="058DB7B8" w14:textId="77777777" w:rsidR="003369B1" w:rsidRDefault="003369B1" w:rsidP="003369B1">
      <w:pPr>
        <w:rPr>
          <w:rFonts w:ascii="Arial" w:hAnsi="Arial" w:cs="Arial"/>
          <w:color w:val="000000" w:themeColor="text1"/>
          <w:sz w:val="22"/>
          <w:szCs w:val="22"/>
        </w:rPr>
      </w:pPr>
    </w:p>
    <w:p w14:paraId="79670DFB" w14:textId="77777777" w:rsidR="003369B1" w:rsidRDefault="003369B1" w:rsidP="003369B1">
      <w:pPr>
        <w:rPr>
          <w:rFonts w:ascii="Arial" w:hAnsi="Arial" w:cs="Arial"/>
          <w:color w:val="000000" w:themeColor="text1"/>
          <w:sz w:val="22"/>
          <w:szCs w:val="22"/>
        </w:rPr>
      </w:pPr>
    </w:p>
    <w:p w14:paraId="1AF572A1" w14:textId="77777777" w:rsidR="003369B1" w:rsidRDefault="003369B1" w:rsidP="003369B1">
      <w:pPr>
        <w:rPr>
          <w:rFonts w:ascii="Arial" w:hAnsi="Arial" w:cs="Arial"/>
          <w:color w:val="000000" w:themeColor="text1"/>
          <w:sz w:val="22"/>
          <w:szCs w:val="22"/>
        </w:rPr>
      </w:pPr>
    </w:p>
    <w:p w14:paraId="553B4588" w14:textId="77777777" w:rsidR="003369B1" w:rsidRDefault="003369B1" w:rsidP="003369B1">
      <w:pPr>
        <w:rPr>
          <w:rFonts w:ascii="Arial" w:hAnsi="Arial" w:cs="Arial"/>
          <w:color w:val="000000" w:themeColor="text1"/>
          <w:sz w:val="22"/>
          <w:szCs w:val="22"/>
        </w:rPr>
      </w:pPr>
    </w:p>
    <w:p w14:paraId="055338A9" w14:textId="77777777" w:rsidR="00514F93" w:rsidRDefault="00514F93"/>
    <w:sectPr w:rsidR="00514F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F93"/>
    <w:rsid w:val="003369B1"/>
    <w:rsid w:val="00422631"/>
    <w:rsid w:val="00487C8B"/>
    <w:rsid w:val="00514F93"/>
    <w:rsid w:val="005A5318"/>
    <w:rsid w:val="00BF136B"/>
    <w:rsid w:val="00C52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2CCC55"/>
  <w15:chartTrackingRefBased/>
  <w15:docId w15:val="{B124AED9-9790-2548-920B-A3B1BD97D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F93"/>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14F9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514F9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514F9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514F9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514F9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514F9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514F9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514F9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514F9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F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4F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4F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4F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4F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4F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4F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4F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4F93"/>
    <w:rPr>
      <w:rFonts w:eastAsiaTheme="majorEastAsia" w:cstheme="majorBidi"/>
      <w:color w:val="272727" w:themeColor="text1" w:themeTint="D8"/>
    </w:rPr>
  </w:style>
  <w:style w:type="paragraph" w:styleId="Title">
    <w:name w:val="Title"/>
    <w:basedOn w:val="Normal"/>
    <w:next w:val="Normal"/>
    <w:link w:val="TitleChar"/>
    <w:uiPriority w:val="10"/>
    <w:qFormat/>
    <w:rsid w:val="00514F9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14F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4F9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14F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4F9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514F93"/>
    <w:rPr>
      <w:i/>
      <w:iCs/>
      <w:color w:val="404040" w:themeColor="text1" w:themeTint="BF"/>
    </w:rPr>
  </w:style>
  <w:style w:type="paragraph" w:styleId="ListParagraph">
    <w:name w:val="List Paragraph"/>
    <w:basedOn w:val="Normal"/>
    <w:uiPriority w:val="34"/>
    <w:qFormat/>
    <w:rsid w:val="00514F9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514F93"/>
    <w:rPr>
      <w:i/>
      <w:iCs/>
      <w:color w:val="0F4761" w:themeColor="accent1" w:themeShade="BF"/>
    </w:rPr>
  </w:style>
  <w:style w:type="paragraph" w:styleId="IntenseQuote">
    <w:name w:val="Intense Quote"/>
    <w:basedOn w:val="Normal"/>
    <w:next w:val="Normal"/>
    <w:link w:val="IntenseQuoteChar"/>
    <w:uiPriority w:val="30"/>
    <w:qFormat/>
    <w:rsid w:val="00514F9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514F93"/>
    <w:rPr>
      <w:i/>
      <w:iCs/>
      <w:color w:val="0F4761" w:themeColor="accent1" w:themeShade="BF"/>
    </w:rPr>
  </w:style>
  <w:style w:type="character" w:styleId="IntenseReference">
    <w:name w:val="Intense Reference"/>
    <w:basedOn w:val="DefaultParagraphFont"/>
    <w:uiPriority w:val="32"/>
    <w:qFormat/>
    <w:rsid w:val="00514F93"/>
    <w:rPr>
      <w:b/>
      <w:bCs/>
      <w:smallCaps/>
      <w:color w:val="0F4761" w:themeColor="accent1" w:themeShade="BF"/>
      <w:spacing w:val="5"/>
    </w:rPr>
  </w:style>
  <w:style w:type="character" w:styleId="Hyperlink">
    <w:name w:val="Hyperlink"/>
    <w:basedOn w:val="DefaultParagraphFont"/>
    <w:uiPriority w:val="99"/>
    <w:unhideWhenUsed/>
    <w:rsid w:val="00514F93"/>
    <w:rPr>
      <w:color w:val="467886" w:themeColor="hyperlink"/>
      <w:u w:val="single"/>
    </w:rPr>
  </w:style>
  <w:style w:type="paragraph" w:styleId="TOC1">
    <w:name w:val="toc 1"/>
    <w:basedOn w:val="Normal"/>
    <w:next w:val="Normal"/>
    <w:autoRedefine/>
    <w:uiPriority w:val="39"/>
    <w:unhideWhenUsed/>
    <w:rsid w:val="00514F93"/>
    <w:pPr>
      <w:spacing w:before="240" w:after="120"/>
    </w:pPr>
    <w:rPr>
      <w:rFonts w:asciiTheme="minorHAnsi" w:hAnsiTheme="minorHAnsi" w:cstheme="minorHAnsi"/>
      <w:b/>
      <w:bCs/>
      <w:sz w:val="20"/>
      <w:szCs w:val="20"/>
    </w:rPr>
  </w:style>
  <w:style w:type="paragraph" w:styleId="TOCHeading">
    <w:name w:val="TOC Heading"/>
    <w:basedOn w:val="Heading1"/>
    <w:next w:val="Normal"/>
    <w:uiPriority w:val="39"/>
    <w:semiHidden/>
    <w:unhideWhenUsed/>
    <w:qFormat/>
    <w:rsid w:val="00514F93"/>
    <w:pPr>
      <w:spacing w:before="480" w:after="0" w:line="276" w:lineRule="auto"/>
      <w:outlineLvl w:val="9"/>
    </w:pPr>
    <w:rPr>
      <w:b/>
      <w:bCs/>
      <w:kern w:val="0"/>
      <w:sz w:val="28"/>
      <w:szCs w:val="28"/>
      <w:lang w:val="en-US" w:eastAsia="en-GB"/>
      <w14:ligatures w14:val="none"/>
    </w:rPr>
  </w:style>
  <w:style w:type="paragraph" w:customStyle="1" w:styleId="cvgsua">
    <w:name w:val="cvgsua"/>
    <w:basedOn w:val="Normal"/>
    <w:rsid w:val="00514F93"/>
    <w:pPr>
      <w:spacing w:before="100" w:beforeAutospacing="1" w:after="100" w:afterAutospacing="1"/>
    </w:pPr>
  </w:style>
  <w:style w:type="character" w:customStyle="1" w:styleId="agcmg">
    <w:name w:val="a_gcmg"/>
    <w:basedOn w:val="DefaultParagraphFont"/>
    <w:rsid w:val="00514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data-and-information/information-governance/guidance/information-sharing-in-multidisciplinary-teams" TargetMode="External"/><Relationship Id="rId3" Type="http://schemas.openxmlformats.org/officeDocument/2006/relationships/webSettings" Target="webSettings.xml"/><Relationship Id="rId7" Type="http://schemas.openxmlformats.org/officeDocument/2006/relationships/hyperlink" Target="https://www.nhs.uk/social-care-and-support/care-services-equipment-and-care-homes/homecar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uidance/equality-act-2010-guidance" TargetMode="External"/><Relationship Id="rId5" Type="http://schemas.openxmlformats.org/officeDocument/2006/relationships/hyperlink" Target="https://www.cqc.org.uk/guidance-regulation/providers/regulations-service-providers-and-managers/health-social-care-act/regulation-17" TargetMode="External"/><Relationship Id="rId10" Type="http://schemas.openxmlformats.org/officeDocument/2006/relationships/theme" Target="theme/theme1.xml"/><Relationship Id="rId4" Type="http://schemas.openxmlformats.org/officeDocument/2006/relationships/hyperlink" Target="https://www.cqc.org.uk/about-us/fundamental-standard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2631</Words>
  <Characters>15003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Mumtaz (2431990)</dc:creator>
  <cp:keywords/>
  <dc:description/>
  <cp:lastModifiedBy>Salma Mumtaz (2431990)</cp:lastModifiedBy>
  <cp:revision>2</cp:revision>
  <dcterms:created xsi:type="dcterms:W3CDTF">2026-07-14T13:27:00Z</dcterms:created>
  <dcterms:modified xsi:type="dcterms:W3CDTF">2026-07-14T13:27:00Z</dcterms:modified>
</cp:coreProperties>
</file>