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5274D8" w14:textId="57E27044" w:rsidR="00621A2F" w:rsidRDefault="00621A2F" w:rsidP="00621A2F">
      <w:pPr>
        <w:ind w:firstLine="0"/>
        <w:jc w:val="center"/>
      </w:pPr>
    </w:p>
    <w:p w14:paraId="0A1B863D" w14:textId="77777777" w:rsidR="00621A2F" w:rsidRDefault="00621A2F" w:rsidP="00621A2F">
      <w:pPr>
        <w:ind w:firstLine="0"/>
        <w:jc w:val="center"/>
      </w:pPr>
    </w:p>
    <w:p w14:paraId="14890CFF" w14:textId="77777777" w:rsidR="005E7CE2" w:rsidRPr="005E7CE2" w:rsidRDefault="005E7CE2" w:rsidP="005E7CE2">
      <w:pPr>
        <w:spacing w:line="360" w:lineRule="auto"/>
        <w:ind w:firstLine="0"/>
        <w:jc w:val="center"/>
        <w:rPr>
          <w:rFonts w:ascii="Cambria" w:eastAsia="MS Mincho" w:hAnsi="Cambria" w:cs="Times New Roman"/>
          <w:sz w:val="22"/>
        </w:rPr>
      </w:pPr>
      <w:r w:rsidRPr="005E7CE2">
        <w:rPr>
          <w:rFonts w:ascii="Calibri" w:eastAsia="Calibri" w:hAnsi="Calibri" w:cs="Calibri"/>
          <w:b/>
          <w:bCs/>
          <w:sz w:val="56"/>
          <w:szCs w:val="56"/>
        </w:rPr>
        <w:t xml:space="preserve">University of Wales Trinity Saint David </w:t>
      </w:r>
    </w:p>
    <w:p w14:paraId="68C44151" w14:textId="77777777" w:rsidR="005E7CE2" w:rsidRPr="005E7CE2" w:rsidRDefault="005E7CE2" w:rsidP="005E7CE2">
      <w:pPr>
        <w:spacing w:line="360" w:lineRule="auto"/>
        <w:ind w:firstLine="0"/>
        <w:jc w:val="center"/>
        <w:rPr>
          <w:rFonts w:ascii="Cambria" w:eastAsia="MS Mincho" w:hAnsi="Cambria" w:cs="Times New Roman"/>
          <w:sz w:val="22"/>
        </w:rPr>
      </w:pPr>
      <w:r w:rsidRPr="005E7CE2">
        <w:rPr>
          <w:rFonts w:ascii="Calibri" w:eastAsia="Calibri" w:hAnsi="Calibri" w:cs="Calibri"/>
          <w:b/>
          <w:bCs/>
          <w:sz w:val="56"/>
          <w:szCs w:val="56"/>
        </w:rPr>
        <w:t>School of Engineering</w:t>
      </w:r>
    </w:p>
    <w:p w14:paraId="4C0AA07C" w14:textId="77777777" w:rsidR="005E7CE2" w:rsidRPr="005E7CE2" w:rsidRDefault="005E7CE2" w:rsidP="005E7CE2">
      <w:pPr>
        <w:spacing w:line="360" w:lineRule="auto"/>
        <w:ind w:firstLine="0"/>
        <w:jc w:val="center"/>
        <w:rPr>
          <w:rFonts w:ascii="Cambria" w:eastAsia="MS Mincho" w:hAnsi="Cambria" w:cs="Times New Roman"/>
          <w:sz w:val="22"/>
        </w:rPr>
      </w:pPr>
    </w:p>
    <w:p w14:paraId="4EBB89A4" w14:textId="77777777" w:rsidR="005E7CE2" w:rsidRPr="005E7CE2" w:rsidRDefault="005E7CE2" w:rsidP="005E7CE2">
      <w:pPr>
        <w:spacing w:line="360" w:lineRule="auto"/>
        <w:ind w:firstLine="0"/>
        <w:jc w:val="center"/>
        <w:rPr>
          <w:rFonts w:ascii="Cambria" w:eastAsia="MS Mincho" w:hAnsi="Cambria" w:cs="Times New Roman"/>
          <w:sz w:val="22"/>
        </w:rPr>
      </w:pPr>
      <w:r w:rsidRPr="005E7CE2">
        <w:rPr>
          <w:rFonts w:ascii="Cambria" w:eastAsia="MS Mincho" w:hAnsi="Cambria" w:cs="Times New Roman"/>
          <w:noProof/>
          <w:sz w:val="22"/>
        </w:rPr>
        <w:drawing>
          <wp:inline distT="0" distB="0" distL="0" distR="0" wp14:anchorId="3512A6FE" wp14:editId="279D4155">
            <wp:extent cx="2857500" cy="1143000"/>
            <wp:effectExtent l="0" t="0" r="0" b="0"/>
            <wp:docPr id="1046112567" name="drawing"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548802"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1143000"/>
                    </a:xfrm>
                    <a:prstGeom prst="rect">
                      <a:avLst/>
                    </a:prstGeom>
                  </pic:spPr>
                </pic:pic>
              </a:graphicData>
            </a:graphic>
          </wp:inline>
        </w:drawing>
      </w:r>
      <w:r w:rsidRPr="005E7CE2">
        <w:rPr>
          <w:rFonts w:ascii="Cambria" w:eastAsia="MS Mincho" w:hAnsi="Cambria" w:cs="Times New Roman"/>
          <w:sz w:val="22"/>
        </w:rPr>
        <w:br/>
      </w:r>
      <w:r w:rsidRPr="005E7CE2">
        <w:rPr>
          <w:rFonts w:ascii="Cambria" w:eastAsia="MS Mincho" w:hAnsi="Cambria" w:cs="Times New Roman"/>
          <w:sz w:val="22"/>
        </w:rPr>
        <w:br/>
      </w:r>
    </w:p>
    <w:p w14:paraId="0B9C3531" w14:textId="77777777" w:rsidR="005E7CE2" w:rsidRPr="005E7CE2" w:rsidRDefault="005E7CE2" w:rsidP="005E7CE2">
      <w:pPr>
        <w:spacing w:line="360" w:lineRule="auto"/>
        <w:ind w:firstLine="0"/>
        <w:jc w:val="center"/>
        <w:rPr>
          <w:rFonts w:ascii="Cambria" w:eastAsia="MS Mincho" w:hAnsi="Cambria" w:cs="Times New Roman"/>
          <w:sz w:val="22"/>
        </w:rPr>
      </w:pPr>
      <w:r w:rsidRPr="005E7CE2">
        <w:rPr>
          <w:rFonts w:ascii="Calibri" w:eastAsia="Calibri" w:hAnsi="Calibri" w:cs="Calibri"/>
          <w:b/>
          <w:bCs/>
          <w:sz w:val="56"/>
          <w:szCs w:val="56"/>
        </w:rPr>
        <w:t>Technical report</w:t>
      </w:r>
    </w:p>
    <w:p w14:paraId="02B15FC3" w14:textId="2E9BEECB" w:rsidR="005E7CE2" w:rsidRPr="005E7CE2" w:rsidRDefault="00ED6AC1" w:rsidP="005E7CE2">
      <w:pPr>
        <w:spacing w:line="360" w:lineRule="auto"/>
        <w:ind w:firstLine="0"/>
        <w:jc w:val="center"/>
        <w:rPr>
          <w:rFonts w:ascii="Calibri" w:eastAsia="Calibri" w:hAnsi="Calibri" w:cs="Calibri"/>
          <w:b/>
          <w:bCs/>
          <w:sz w:val="56"/>
          <w:szCs w:val="56"/>
        </w:rPr>
      </w:pPr>
      <w:r>
        <w:rPr>
          <w:rFonts w:ascii="Calibri" w:eastAsia="Calibri" w:hAnsi="Calibri" w:cs="Calibri"/>
          <w:b/>
          <w:bCs/>
          <w:sz w:val="56"/>
          <w:szCs w:val="56"/>
        </w:rPr>
        <w:t>Des</w:t>
      </w:r>
      <w:r w:rsidR="00022DBA">
        <w:rPr>
          <w:rFonts w:ascii="Calibri" w:eastAsia="Calibri" w:hAnsi="Calibri" w:cs="Calibri"/>
          <w:b/>
          <w:bCs/>
          <w:sz w:val="56"/>
          <w:szCs w:val="56"/>
        </w:rPr>
        <w:t>ign for Additive Manufacturing</w:t>
      </w:r>
    </w:p>
    <w:p w14:paraId="69B36FD6" w14:textId="5D80D732" w:rsidR="005E7CE2" w:rsidRPr="005E7CE2" w:rsidRDefault="005E7CE2" w:rsidP="005E7CE2">
      <w:pPr>
        <w:spacing w:line="360" w:lineRule="auto"/>
        <w:ind w:firstLine="0"/>
        <w:jc w:val="center"/>
        <w:rPr>
          <w:rFonts w:ascii="Cambria" w:eastAsia="MS Mincho" w:hAnsi="Cambria" w:cs="Times New Roman"/>
          <w:sz w:val="22"/>
        </w:rPr>
      </w:pPr>
      <w:r w:rsidRPr="005E7CE2">
        <w:rPr>
          <w:rFonts w:ascii="Calibri" w:eastAsia="Calibri" w:hAnsi="Calibri" w:cs="Calibri"/>
          <w:b/>
          <w:bCs/>
          <w:sz w:val="56"/>
          <w:szCs w:val="56"/>
        </w:rPr>
        <w:t>: ACMA500</w:t>
      </w:r>
      <w:r w:rsidR="007A6899">
        <w:rPr>
          <w:rFonts w:ascii="Calibri" w:eastAsia="Calibri" w:hAnsi="Calibri" w:cs="Calibri"/>
          <w:b/>
          <w:bCs/>
          <w:sz w:val="56"/>
          <w:szCs w:val="56"/>
        </w:rPr>
        <w:t>2</w:t>
      </w:r>
    </w:p>
    <w:p w14:paraId="23D66732" w14:textId="77777777" w:rsidR="005E7CE2" w:rsidRPr="005E7CE2" w:rsidRDefault="005E7CE2" w:rsidP="005E7CE2">
      <w:pPr>
        <w:spacing w:line="360" w:lineRule="auto"/>
        <w:ind w:firstLine="0"/>
        <w:jc w:val="center"/>
        <w:rPr>
          <w:rFonts w:ascii="Cambria" w:eastAsia="MS Mincho" w:hAnsi="Cambria" w:cs="Times New Roman"/>
          <w:sz w:val="22"/>
        </w:rPr>
      </w:pPr>
      <w:r w:rsidRPr="005E7CE2">
        <w:rPr>
          <w:rFonts w:ascii="Calibri" w:eastAsia="Calibri" w:hAnsi="Calibri" w:cs="Calibri"/>
          <w:b/>
          <w:bCs/>
          <w:sz w:val="56"/>
          <w:szCs w:val="56"/>
        </w:rPr>
        <w:t>Ali Al Mostafa</w:t>
      </w:r>
    </w:p>
    <w:p w14:paraId="7341BCB5" w14:textId="77777777" w:rsidR="005E7CE2" w:rsidRPr="005E7CE2" w:rsidRDefault="005E7CE2" w:rsidP="005E7CE2">
      <w:pPr>
        <w:spacing w:line="360" w:lineRule="auto"/>
        <w:ind w:firstLine="0"/>
        <w:jc w:val="center"/>
        <w:rPr>
          <w:rFonts w:ascii="Cambria" w:eastAsia="MS Mincho" w:hAnsi="Cambria" w:cs="Times New Roman"/>
          <w:sz w:val="22"/>
        </w:rPr>
      </w:pPr>
      <w:r w:rsidRPr="005E7CE2">
        <w:rPr>
          <w:rFonts w:ascii="Calibri" w:eastAsia="Calibri" w:hAnsi="Calibri" w:cs="Calibri"/>
          <w:b/>
          <w:bCs/>
          <w:sz w:val="56"/>
          <w:szCs w:val="56"/>
        </w:rPr>
        <w:t>2204342</w:t>
      </w:r>
    </w:p>
    <w:p w14:paraId="3BF159E6" w14:textId="439164EF" w:rsidR="005E7CE2" w:rsidRPr="005E7CE2" w:rsidRDefault="00211841" w:rsidP="005E7CE2">
      <w:pPr>
        <w:spacing w:line="360" w:lineRule="auto"/>
        <w:ind w:firstLine="0"/>
        <w:jc w:val="center"/>
        <w:rPr>
          <w:rFonts w:ascii="Calibri" w:eastAsia="Calibri" w:hAnsi="Calibri" w:cs="Calibri"/>
          <w:b/>
          <w:bCs/>
          <w:sz w:val="56"/>
          <w:szCs w:val="56"/>
        </w:rPr>
      </w:pPr>
      <w:r>
        <w:rPr>
          <w:rFonts w:ascii="Calibri" w:eastAsia="Calibri" w:hAnsi="Calibri" w:cs="Calibri"/>
          <w:b/>
          <w:bCs/>
          <w:sz w:val="56"/>
          <w:szCs w:val="56"/>
        </w:rPr>
        <w:t>April 2026</w:t>
      </w:r>
    </w:p>
    <w:p w14:paraId="72A25926" w14:textId="77777777" w:rsidR="00621A2F" w:rsidRDefault="00621A2F">
      <w:pPr>
        <w:spacing w:after="160" w:line="259" w:lineRule="auto"/>
        <w:ind w:firstLine="0"/>
        <w:rPr>
          <w:rFonts w:eastAsiaTheme="majorEastAsia" w:cstheme="majorBidi"/>
          <w:b/>
          <w:szCs w:val="32"/>
        </w:rPr>
      </w:pPr>
      <w:r>
        <w:br w:type="page"/>
      </w:r>
    </w:p>
    <w:p w14:paraId="2B79E392" w14:textId="6D586187" w:rsidR="00621A2F" w:rsidRPr="00621A2F" w:rsidRDefault="00621A2F" w:rsidP="00211841">
      <w:pPr>
        <w:pStyle w:val="Heading1"/>
        <w:jc w:val="left"/>
      </w:pPr>
      <w:r w:rsidRPr="00621A2F">
        <w:t>Design for Additive Manufacturing: A Case Study Redesign of an Aerospace Structural Bracket</w:t>
      </w:r>
    </w:p>
    <w:p w14:paraId="16262ACA" w14:textId="77777777" w:rsidR="00621A2F" w:rsidRPr="00621A2F" w:rsidRDefault="00621A2F" w:rsidP="00621A2F">
      <w:r w:rsidRPr="00621A2F">
        <w:t xml:space="preserve">The aerospace sector is under intense pressure to trim structural weight, cut down on material wastes, and speed up the development process of parts without affecting mechanical performance and safety. Additive manufacturing (AM) has become a revolutionary answer to these </w:t>
      </w:r>
      <w:proofErr w:type="gramStart"/>
      <w:r w:rsidRPr="00621A2F">
        <w:t>requirements,</w:t>
      </w:r>
      <w:proofErr w:type="gramEnd"/>
      <w:r w:rsidRPr="00621A2F">
        <w:t xml:space="preserve"> whereby geometrically complicated object portions were not feasible using either a subtractive or formative manufacturing technique. The increasing use of AM in aerospace, automobile, and biomedical industries describes a larger transformative paradigm in how engineers are imaginative and accomplish physical parts (Reinke and Santos, 2026). The resulting change has led to the development of Design for Additive Manufacturing (DfAM) as a field that integrates knowledge of AM processes, material behaviour, and design optimisation strategies at the earliest point of product development in a systematic way. DfAM has a wider opportunity of providing performance, mass, and supply chain benefits simultaneously, which is more than attractive to aerospace use, where almost every gram of structural mass has a quantifiable cost connotation over the service life of an aircraft.</w:t>
      </w:r>
    </w:p>
    <w:p w14:paraId="51444DE4" w14:textId="77777777" w:rsidR="00621A2F" w:rsidRPr="00621A2F" w:rsidRDefault="00621A2F" w:rsidP="00621A2F">
      <w:r w:rsidRPr="00621A2F">
        <w:t xml:space="preserve">The part that was used in this case study is an aerospace structural bracket, which is a load-bearing mount that is used to fix system parts in an aircraft fuselage structure. This type of bracket is typically machined from aluminium alloy billet by means of Computer Numerical Control (CNC) processes, a process that is known to consume a great deal of material, can generate geometries with severe constraints, and incurs high lead time. The bracket </w:t>
      </w:r>
      <w:proofErr w:type="gramStart"/>
      <w:r w:rsidRPr="00621A2F">
        <w:t>has to</w:t>
      </w:r>
      <w:proofErr w:type="gramEnd"/>
      <w:r w:rsidRPr="00621A2F">
        <w:t xml:space="preserve"> meet stringent structural requirements that encompass high degrees of stiffness during multi-directional loading and low weight-strength ratio, as well as dependable operation in various thermal and mechanical environments. These characteristics make it an ideal candidate for DfAM redesign, as AM enables the exploitation of complex geometries, internal lattice architectures, and topology-optimised material distributions that conventional machining cannot economically achieve.</w:t>
      </w:r>
    </w:p>
    <w:p w14:paraId="446CFABF" w14:textId="77777777" w:rsidR="00621A2F" w:rsidRPr="00621A2F" w:rsidRDefault="00621A2F" w:rsidP="00621A2F">
      <w:r w:rsidRPr="00621A2F">
        <w:t xml:space="preserve">Following a general outline of the DfAM case study, this report follows five fundamental activities: study of the original component and its constraints, implementation of DfAM principles and computational redesign software, recording of the iterative redesign </w:t>
      </w:r>
      <w:proofErr w:type="gramStart"/>
      <w:r w:rsidRPr="00621A2F">
        <w:t>process, and</w:t>
      </w:r>
      <w:proofErr w:type="gramEnd"/>
      <w:r w:rsidRPr="00621A2F">
        <w:t xml:space="preserve"> choice and explanation of the proper AM process and material, and analysis of the redesigned component via finite element analysis (FEA) and manufacturing viability tests. The aim is to show how the DfAM method can be used rigorously to achieve quantifiable increases in structural efficiency, material utilisation, and overall component performance compared to a traditionally manufactured control.</w:t>
      </w:r>
    </w:p>
    <w:p w14:paraId="23DC3FD7" w14:textId="20B21789" w:rsidR="00621A2F" w:rsidRPr="00621A2F" w:rsidRDefault="00621A2F" w:rsidP="00621A2F">
      <w:pPr>
        <w:pStyle w:val="Heading1"/>
      </w:pPr>
      <w:r w:rsidRPr="00621A2F">
        <w:t>Component Description and Existing Design Analysis</w:t>
      </w:r>
    </w:p>
    <w:p w14:paraId="5389D566" w14:textId="0D39D1D4" w:rsidR="00621A2F" w:rsidRDefault="00621A2F" w:rsidP="00621A2F">
      <w:r w:rsidRPr="00621A2F">
        <w:t>The element that will be redesigned is a load-carrying aerospace structural bracket that is the same as the structural bracket that is utilized in aircraft fuselage and aircraft door assemblies. Traditionally, when in standard form, the bracket will be a billet-machined component of solid aluminium alloy (Al 7075-T6). It has flat load-bearing flanges, several bolt-hole interfaces to lend the system, and a ribbed middle section to ensure rigidity when subjected to a combination of tensile and bending loads. The dimensions of the bracket are about 150 mm x 80 mm x 40 mm, and the solid mass is about 450 g at its initial condition. It serves a functional purpose of transmitting structural loads between the fuselage skin panel and internal sub-frame, which is acted under conditions of variable static loads of up to 8 kN in primary load direction, and 3 kN in the lateral direction, plus other requirements of vibration resistance and thermal stability between -55°C and +85°C.</w:t>
      </w:r>
    </w:p>
    <w:p w14:paraId="7E33651D" w14:textId="78C9501D" w:rsidR="00C4549A" w:rsidRDefault="00C4549A" w:rsidP="00C4549A">
      <w:pPr>
        <w:pStyle w:val="Heading3"/>
      </w:pPr>
      <w:r w:rsidRPr="00C4549A">
        <w:t>Figure 1: Representative aerospace structural bracket geometry showing (a) the bracket model, (b) applied compressive load, and (c) fixed support boundary conditions. Reproduced from Okorie et al. (2023) under CC BY 4.0.</w:t>
      </w:r>
    </w:p>
    <w:p w14:paraId="5E13697C" w14:textId="5619EDE4" w:rsidR="00C4549A" w:rsidRPr="00621A2F" w:rsidRDefault="00C4549A" w:rsidP="00C4549A">
      <w:pPr>
        <w:ind w:firstLine="0"/>
      </w:pPr>
      <w:r w:rsidRPr="00C4549A">
        <w:rPr>
          <w:noProof/>
        </w:rPr>
        <w:drawing>
          <wp:inline distT="0" distB="0" distL="0" distR="0" wp14:anchorId="3BC833D9" wp14:editId="2F7D5987">
            <wp:extent cx="5731510" cy="23768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76805"/>
                    </a:xfrm>
                    <a:prstGeom prst="rect">
                      <a:avLst/>
                    </a:prstGeom>
                  </pic:spPr>
                </pic:pic>
              </a:graphicData>
            </a:graphic>
          </wp:inline>
        </w:drawing>
      </w:r>
    </w:p>
    <w:p w14:paraId="69CC9008" w14:textId="77777777" w:rsidR="00621A2F" w:rsidRPr="00621A2F" w:rsidRDefault="00621A2F" w:rsidP="00621A2F">
      <w:r w:rsidRPr="00621A2F">
        <w:t xml:space="preserve">In the traditional way of producing this bracket, CNC machining on a solid billet of Al 7075-T6 is utilized and entails cutting away around 85 percent of the raw materials </w:t>
      </w:r>
      <w:proofErr w:type="gramStart"/>
      <w:r w:rsidRPr="00621A2F">
        <w:t>in order to</w:t>
      </w:r>
      <w:proofErr w:type="gramEnd"/>
      <w:r w:rsidRPr="00621A2F">
        <w:t xml:space="preserve"> achieve the final shape. This translates to a buy-to-fly ratio of 6.7:1; i.e., every kilogram of material that goes in goes into the final component, and almost six kilograms are scrapped away during production. Historical aerospace parts that are machined on titanium and aluminium billets typically yield buy-to-fly ratios of between 10:1 and </w:t>
      </w:r>
      <w:proofErr w:type="gramStart"/>
      <w:r w:rsidRPr="00621A2F">
        <w:t>more, and</w:t>
      </w:r>
      <w:proofErr w:type="gramEnd"/>
      <w:r w:rsidRPr="00621A2F">
        <w:t xml:space="preserve"> therefore impose a heavy burden on the procurement and disposal of raw material (Jung et al., 2023). Geometric limits of subtractive machining also limit the current design of bracket designs, where designers can only have features that are available to cutting tools, excluding internal holes or non-uniform cross-sections, or a structure of organic load-paths that would better fit structural loading conditions.</w:t>
      </w:r>
    </w:p>
    <w:p w14:paraId="67BE64E9" w14:textId="77777777" w:rsidR="00621A2F" w:rsidRPr="00621A2F" w:rsidRDefault="00621A2F" w:rsidP="00621A2F">
      <w:r w:rsidRPr="00621A2F">
        <w:t xml:space="preserve">The original bracket has been identified to have three main design constraints. To start with, the component is largely oversized, where no stress is experienced during operation loading, which adds unwanted but unnecessarily weighty mass to the component without value in terms of the structure. Second, the design has several sub-components that must be assembled with fasteners, which </w:t>
      </w:r>
      <w:proofErr w:type="gramStart"/>
      <w:r w:rsidRPr="00621A2F">
        <w:t>adds</w:t>
      </w:r>
      <w:proofErr w:type="gramEnd"/>
      <w:r w:rsidRPr="00621A2F">
        <w:t xml:space="preserve"> more parts, time to assemble the product, and places of potential failure at every joint. Third, the flat ribbed design fails to align with the natural distribution of loads in a bracket, leading to poor material utilisation as compared to the load conditions. Such constraints are familiar in aerospace manufacturing, which also exposes the supply chain to risks from the reliance on any tooling due to long lead times when acquiring a particular tool, </w:t>
      </w:r>
      <w:proofErr w:type="gramStart"/>
      <w:r w:rsidRPr="00621A2F">
        <w:t>and also</w:t>
      </w:r>
      <w:proofErr w:type="gramEnd"/>
      <w:r w:rsidRPr="00621A2F">
        <w:t xml:space="preserve"> lacks flexibility of sources (Gradl et al., 2022). Table 1 provides an overview of the main features of the original bracket as compared to the targets of the redesign.</w:t>
      </w:r>
    </w:p>
    <w:p w14:paraId="0E322EF7" w14:textId="77777777" w:rsidR="00621A2F" w:rsidRPr="00621A2F" w:rsidRDefault="00621A2F" w:rsidP="00621A2F">
      <w:pPr>
        <w:pStyle w:val="Heading3"/>
      </w:pPr>
      <w:r w:rsidRPr="00621A2F">
        <w:t>Table 1: Comparison of Original and Target Redesign Parameters</w:t>
      </w:r>
    </w:p>
    <w:tbl>
      <w:tblPr>
        <w:tblStyle w:val="TableGrid"/>
        <w:tblW w:w="5000" w:type="pct"/>
        <w:tblLook w:val="04A0" w:firstRow="1" w:lastRow="0" w:firstColumn="1" w:lastColumn="0" w:noHBand="0" w:noVBand="1"/>
      </w:tblPr>
      <w:tblGrid>
        <w:gridCol w:w="3534"/>
        <w:gridCol w:w="2449"/>
        <w:gridCol w:w="3033"/>
      </w:tblGrid>
      <w:tr w:rsidR="00621A2F" w:rsidRPr="00621A2F" w14:paraId="111092A2" w14:textId="77777777" w:rsidTr="00621A2F">
        <w:tc>
          <w:tcPr>
            <w:tcW w:w="1960" w:type="pct"/>
            <w:shd w:val="clear" w:color="auto" w:fill="8EAADB" w:themeFill="accent1" w:themeFillTint="99"/>
            <w:hideMark/>
          </w:tcPr>
          <w:p w14:paraId="364077EC" w14:textId="77777777" w:rsidR="00621A2F" w:rsidRPr="00621A2F" w:rsidRDefault="00621A2F" w:rsidP="00621A2F">
            <w:pPr>
              <w:ind w:firstLine="0"/>
              <w:rPr>
                <w:b/>
                <w:bCs/>
              </w:rPr>
            </w:pPr>
            <w:r w:rsidRPr="00621A2F">
              <w:rPr>
                <w:b/>
                <w:bCs/>
              </w:rPr>
              <w:t>Parameter</w:t>
            </w:r>
          </w:p>
        </w:tc>
        <w:tc>
          <w:tcPr>
            <w:tcW w:w="1358" w:type="pct"/>
            <w:shd w:val="clear" w:color="auto" w:fill="8EAADB" w:themeFill="accent1" w:themeFillTint="99"/>
            <w:hideMark/>
          </w:tcPr>
          <w:p w14:paraId="6245696E" w14:textId="77777777" w:rsidR="00621A2F" w:rsidRPr="00621A2F" w:rsidRDefault="00621A2F" w:rsidP="00621A2F">
            <w:pPr>
              <w:ind w:firstLine="0"/>
              <w:rPr>
                <w:b/>
                <w:bCs/>
              </w:rPr>
            </w:pPr>
            <w:r w:rsidRPr="00621A2F">
              <w:rPr>
                <w:b/>
                <w:bCs/>
              </w:rPr>
              <w:t>Original Design</w:t>
            </w:r>
          </w:p>
        </w:tc>
        <w:tc>
          <w:tcPr>
            <w:tcW w:w="1682" w:type="pct"/>
            <w:shd w:val="clear" w:color="auto" w:fill="8EAADB" w:themeFill="accent1" w:themeFillTint="99"/>
            <w:hideMark/>
          </w:tcPr>
          <w:p w14:paraId="1BEA92DB" w14:textId="77777777" w:rsidR="00621A2F" w:rsidRPr="00621A2F" w:rsidRDefault="00621A2F" w:rsidP="00621A2F">
            <w:pPr>
              <w:ind w:firstLine="0"/>
              <w:rPr>
                <w:b/>
                <w:bCs/>
              </w:rPr>
            </w:pPr>
            <w:r w:rsidRPr="00621A2F">
              <w:rPr>
                <w:b/>
                <w:bCs/>
              </w:rPr>
              <w:t>Redesign Target</w:t>
            </w:r>
          </w:p>
        </w:tc>
      </w:tr>
      <w:tr w:rsidR="00621A2F" w:rsidRPr="00621A2F" w14:paraId="342E15C2" w14:textId="77777777" w:rsidTr="00621A2F">
        <w:tc>
          <w:tcPr>
            <w:tcW w:w="1960" w:type="pct"/>
            <w:hideMark/>
          </w:tcPr>
          <w:p w14:paraId="43D617BC" w14:textId="77777777" w:rsidR="00621A2F" w:rsidRPr="00621A2F" w:rsidRDefault="00621A2F" w:rsidP="00621A2F">
            <w:pPr>
              <w:ind w:firstLine="0"/>
            </w:pPr>
            <w:r w:rsidRPr="00621A2F">
              <w:t>Material</w:t>
            </w:r>
          </w:p>
        </w:tc>
        <w:tc>
          <w:tcPr>
            <w:tcW w:w="1358" w:type="pct"/>
            <w:hideMark/>
          </w:tcPr>
          <w:p w14:paraId="07595AB2" w14:textId="77777777" w:rsidR="00621A2F" w:rsidRPr="00621A2F" w:rsidRDefault="00621A2F" w:rsidP="00621A2F">
            <w:pPr>
              <w:ind w:firstLine="0"/>
            </w:pPr>
            <w:r w:rsidRPr="00621A2F">
              <w:t>Al 7075-T6</w:t>
            </w:r>
          </w:p>
        </w:tc>
        <w:tc>
          <w:tcPr>
            <w:tcW w:w="1682" w:type="pct"/>
            <w:hideMark/>
          </w:tcPr>
          <w:p w14:paraId="09F91883" w14:textId="77777777" w:rsidR="00621A2F" w:rsidRPr="00621A2F" w:rsidRDefault="00621A2F" w:rsidP="00621A2F">
            <w:pPr>
              <w:ind w:firstLine="0"/>
            </w:pPr>
            <w:r w:rsidRPr="00621A2F">
              <w:t>Ti-6Al-4V</w:t>
            </w:r>
          </w:p>
        </w:tc>
      </w:tr>
      <w:tr w:rsidR="00621A2F" w:rsidRPr="00621A2F" w14:paraId="04B06762" w14:textId="77777777" w:rsidTr="00621A2F">
        <w:tc>
          <w:tcPr>
            <w:tcW w:w="1960" w:type="pct"/>
            <w:hideMark/>
          </w:tcPr>
          <w:p w14:paraId="670587D8" w14:textId="77777777" w:rsidR="00621A2F" w:rsidRPr="00621A2F" w:rsidRDefault="00621A2F" w:rsidP="00621A2F">
            <w:pPr>
              <w:ind w:firstLine="0"/>
            </w:pPr>
            <w:r w:rsidRPr="00621A2F">
              <w:t>Mass (g)</w:t>
            </w:r>
          </w:p>
        </w:tc>
        <w:tc>
          <w:tcPr>
            <w:tcW w:w="1358" w:type="pct"/>
            <w:hideMark/>
          </w:tcPr>
          <w:p w14:paraId="5A39578A" w14:textId="77777777" w:rsidR="00621A2F" w:rsidRPr="00621A2F" w:rsidRDefault="00621A2F" w:rsidP="00621A2F">
            <w:pPr>
              <w:ind w:firstLine="0"/>
            </w:pPr>
            <w:r w:rsidRPr="00621A2F">
              <w:t>~450</w:t>
            </w:r>
          </w:p>
        </w:tc>
        <w:tc>
          <w:tcPr>
            <w:tcW w:w="1682" w:type="pct"/>
            <w:hideMark/>
          </w:tcPr>
          <w:p w14:paraId="64E01C73" w14:textId="77777777" w:rsidR="00621A2F" w:rsidRPr="00621A2F" w:rsidRDefault="00621A2F" w:rsidP="00621A2F">
            <w:pPr>
              <w:ind w:firstLine="0"/>
            </w:pPr>
            <w:r w:rsidRPr="00621A2F">
              <w:t>≤250</w:t>
            </w:r>
          </w:p>
        </w:tc>
      </w:tr>
      <w:tr w:rsidR="00621A2F" w:rsidRPr="00621A2F" w14:paraId="3E0B5489" w14:textId="77777777" w:rsidTr="00621A2F">
        <w:tc>
          <w:tcPr>
            <w:tcW w:w="1960" w:type="pct"/>
            <w:hideMark/>
          </w:tcPr>
          <w:p w14:paraId="7E7ADAE3" w14:textId="77777777" w:rsidR="00621A2F" w:rsidRPr="00621A2F" w:rsidRDefault="00621A2F" w:rsidP="00621A2F">
            <w:pPr>
              <w:ind w:firstLine="0"/>
            </w:pPr>
            <w:r w:rsidRPr="00621A2F">
              <w:t>Buy-to-Fly Ratio</w:t>
            </w:r>
          </w:p>
        </w:tc>
        <w:tc>
          <w:tcPr>
            <w:tcW w:w="1358" w:type="pct"/>
            <w:hideMark/>
          </w:tcPr>
          <w:p w14:paraId="4A2C30D3" w14:textId="77777777" w:rsidR="00621A2F" w:rsidRPr="00621A2F" w:rsidRDefault="00621A2F" w:rsidP="00621A2F">
            <w:pPr>
              <w:ind w:firstLine="0"/>
            </w:pPr>
            <w:r w:rsidRPr="00621A2F">
              <w:t>~6.7:1</w:t>
            </w:r>
          </w:p>
        </w:tc>
        <w:tc>
          <w:tcPr>
            <w:tcW w:w="1682" w:type="pct"/>
            <w:hideMark/>
          </w:tcPr>
          <w:p w14:paraId="1C59D9F5" w14:textId="77777777" w:rsidR="00621A2F" w:rsidRPr="00621A2F" w:rsidRDefault="00621A2F" w:rsidP="00621A2F">
            <w:pPr>
              <w:ind w:firstLine="0"/>
            </w:pPr>
            <w:r w:rsidRPr="00621A2F">
              <w:t>~1.2:1</w:t>
            </w:r>
          </w:p>
        </w:tc>
      </w:tr>
      <w:tr w:rsidR="00621A2F" w:rsidRPr="00621A2F" w14:paraId="497A05CE" w14:textId="77777777" w:rsidTr="00621A2F">
        <w:tc>
          <w:tcPr>
            <w:tcW w:w="1960" w:type="pct"/>
            <w:hideMark/>
          </w:tcPr>
          <w:p w14:paraId="53B6DF04" w14:textId="77777777" w:rsidR="00621A2F" w:rsidRPr="00621A2F" w:rsidRDefault="00621A2F" w:rsidP="00621A2F">
            <w:pPr>
              <w:ind w:firstLine="0"/>
            </w:pPr>
            <w:r w:rsidRPr="00621A2F">
              <w:t>Part Count</w:t>
            </w:r>
          </w:p>
        </w:tc>
        <w:tc>
          <w:tcPr>
            <w:tcW w:w="1358" w:type="pct"/>
            <w:hideMark/>
          </w:tcPr>
          <w:p w14:paraId="29966EBA" w14:textId="77777777" w:rsidR="00621A2F" w:rsidRPr="00621A2F" w:rsidRDefault="00621A2F" w:rsidP="00621A2F">
            <w:pPr>
              <w:ind w:firstLine="0"/>
            </w:pPr>
            <w:r w:rsidRPr="00621A2F">
              <w:t>3 (assembled)</w:t>
            </w:r>
          </w:p>
        </w:tc>
        <w:tc>
          <w:tcPr>
            <w:tcW w:w="1682" w:type="pct"/>
            <w:hideMark/>
          </w:tcPr>
          <w:p w14:paraId="0B2299FC" w14:textId="77777777" w:rsidR="00621A2F" w:rsidRPr="00621A2F" w:rsidRDefault="00621A2F" w:rsidP="00621A2F">
            <w:pPr>
              <w:ind w:firstLine="0"/>
            </w:pPr>
            <w:r w:rsidRPr="00621A2F">
              <w:t>1 (consolidated)</w:t>
            </w:r>
          </w:p>
        </w:tc>
      </w:tr>
      <w:tr w:rsidR="00621A2F" w:rsidRPr="00621A2F" w14:paraId="2568B60C" w14:textId="77777777" w:rsidTr="00621A2F">
        <w:tc>
          <w:tcPr>
            <w:tcW w:w="1960" w:type="pct"/>
            <w:hideMark/>
          </w:tcPr>
          <w:p w14:paraId="693D7E95" w14:textId="77777777" w:rsidR="00621A2F" w:rsidRPr="00621A2F" w:rsidRDefault="00621A2F" w:rsidP="00621A2F">
            <w:pPr>
              <w:ind w:firstLine="0"/>
            </w:pPr>
            <w:r w:rsidRPr="00621A2F">
              <w:t>Production Process</w:t>
            </w:r>
          </w:p>
        </w:tc>
        <w:tc>
          <w:tcPr>
            <w:tcW w:w="1358" w:type="pct"/>
            <w:hideMark/>
          </w:tcPr>
          <w:p w14:paraId="772E16A8" w14:textId="77777777" w:rsidR="00621A2F" w:rsidRPr="00621A2F" w:rsidRDefault="00621A2F" w:rsidP="00621A2F">
            <w:pPr>
              <w:ind w:firstLine="0"/>
            </w:pPr>
            <w:r w:rsidRPr="00621A2F">
              <w:t>CNC machining</w:t>
            </w:r>
          </w:p>
        </w:tc>
        <w:tc>
          <w:tcPr>
            <w:tcW w:w="1682" w:type="pct"/>
            <w:hideMark/>
          </w:tcPr>
          <w:p w14:paraId="3E2826E3" w14:textId="77777777" w:rsidR="00621A2F" w:rsidRPr="00621A2F" w:rsidRDefault="00621A2F" w:rsidP="00621A2F">
            <w:pPr>
              <w:ind w:firstLine="0"/>
            </w:pPr>
            <w:r w:rsidRPr="00621A2F">
              <w:t>Selective Laser Melting</w:t>
            </w:r>
          </w:p>
        </w:tc>
      </w:tr>
      <w:tr w:rsidR="00621A2F" w:rsidRPr="00621A2F" w14:paraId="2689BA59" w14:textId="77777777" w:rsidTr="00621A2F">
        <w:tc>
          <w:tcPr>
            <w:tcW w:w="1960" w:type="pct"/>
            <w:hideMark/>
          </w:tcPr>
          <w:p w14:paraId="3D1CAD32" w14:textId="77777777" w:rsidR="00621A2F" w:rsidRPr="00621A2F" w:rsidRDefault="00621A2F" w:rsidP="00621A2F">
            <w:pPr>
              <w:ind w:firstLine="0"/>
            </w:pPr>
            <w:r w:rsidRPr="00621A2F">
              <w:t>Max Von Mises Stress (MPa)</w:t>
            </w:r>
          </w:p>
        </w:tc>
        <w:tc>
          <w:tcPr>
            <w:tcW w:w="1358" w:type="pct"/>
            <w:hideMark/>
          </w:tcPr>
          <w:p w14:paraId="102D31E8" w14:textId="77777777" w:rsidR="00621A2F" w:rsidRPr="00621A2F" w:rsidRDefault="00621A2F" w:rsidP="00621A2F">
            <w:pPr>
              <w:ind w:firstLine="0"/>
            </w:pPr>
            <w:r w:rsidRPr="00621A2F">
              <w:t>187</w:t>
            </w:r>
          </w:p>
        </w:tc>
        <w:tc>
          <w:tcPr>
            <w:tcW w:w="1682" w:type="pct"/>
            <w:hideMark/>
          </w:tcPr>
          <w:p w14:paraId="30E0437C" w14:textId="77777777" w:rsidR="00621A2F" w:rsidRPr="00621A2F" w:rsidRDefault="00621A2F" w:rsidP="00621A2F">
            <w:pPr>
              <w:ind w:firstLine="0"/>
            </w:pPr>
            <w:r w:rsidRPr="00621A2F">
              <w:t>≤880</w:t>
            </w:r>
          </w:p>
        </w:tc>
      </w:tr>
    </w:tbl>
    <w:p w14:paraId="0CBEBB0E" w14:textId="001C48E2" w:rsidR="00621A2F" w:rsidRPr="00621A2F" w:rsidRDefault="00621A2F" w:rsidP="00621A2F">
      <w:pPr>
        <w:pStyle w:val="Heading1"/>
      </w:pPr>
      <w:r w:rsidRPr="00621A2F">
        <w:t>DfAM Principles and Methodology</w:t>
      </w:r>
    </w:p>
    <w:p w14:paraId="0C1ACFF2" w14:textId="77777777" w:rsidR="00621A2F" w:rsidRPr="00621A2F" w:rsidRDefault="00621A2F" w:rsidP="00621A2F">
      <w:r w:rsidRPr="00621A2F">
        <w:t xml:space="preserve">Design for Additive Manufacturing is a unique engineering paradigm that does not involve repackaging existing conventional designs to use 3D </w:t>
      </w:r>
      <w:proofErr w:type="gramStart"/>
      <w:r w:rsidRPr="00621A2F">
        <w:t>printing, but</w:t>
      </w:r>
      <w:proofErr w:type="gramEnd"/>
      <w:r w:rsidRPr="00621A2F">
        <w:t xml:space="preserve"> rather aims to exploit the freedoms that AM introduces at the beginning of the design process. DfAM is a framework that involves three phases: fabrication-oriented design, design generation, and design assessment (Egan, 2023). The fabrication phase consists of the recognition of AM process capabilities and constraints, such as the build orientation, supporting structure needs, minimal feature size, and material-process interaction. The generation stage utilises computational optimisation methods, e.g., topology optimisation and lattice structure design, to generate high-performance geometries. The evaluation stage encompasses the testing aspect that deals with validation through simulation; this includes FEA, which ensures that the redesigned component has all the requirements in terms of its functionality before the actual physical production. This organized scheme allows the designers to harness the power of AM instead of merely recreating traditional geometries by </w:t>
      </w:r>
      <w:proofErr w:type="gramStart"/>
      <w:r w:rsidRPr="00621A2F">
        <w:t>use of</w:t>
      </w:r>
      <w:proofErr w:type="gramEnd"/>
      <w:r w:rsidRPr="00621A2F">
        <w:t xml:space="preserve"> an additive mechanism.</w:t>
      </w:r>
    </w:p>
    <w:p w14:paraId="7BA831CE" w14:textId="77777777" w:rsidR="00621A2F" w:rsidRPr="00621A2F" w:rsidRDefault="00621A2F" w:rsidP="00621A2F">
      <w:r w:rsidRPr="00621A2F">
        <w:t xml:space="preserve">In this case study, four DfAM principles were chosen as key design drivers. We used topology optimisation to reallocate material in the design space of the bracket to the redistribution of material based on the load-path </w:t>
      </w:r>
      <w:proofErr w:type="gramStart"/>
      <w:r w:rsidRPr="00621A2F">
        <w:t>distribution in reality, removing</w:t>
      </w:r>
      <w:proofErr w:type="gramEnd"/>
      <w:r w:rsidRPr="00621A2F">
        <w:t xml:space="preserve"> over-designed areas and shifting material to just where it is really needed. This was combined with lattice infill structures incorporated into the low-stress interior volumes </w:t>
      </w:r>
      <w:proofErr w:type="gramStart"/>
      <w:r w:rsidRPr="00621A2F">
        <w:t>so as to</w:t>
      </w:r>
      <w:proofErr w:type="gramEnd"/>
      <w:r w:rsidRPr="00621A2F">
        <w:t xml:space="preserve"> increase the rigidity and to significantly decrease the mass. Components consolidation was utilized to consolidate the initial three-part assembly into one additively manufactured component, without fasteners and assembly interfaces. To reduce the need for support structures and the residual stress levels created during the SLM process, the component was oriented in the </w:t>
      </w:r>
      <w:proofErr w:type="gramStart"/>
      <w:r w:rsidRPr="00621A2F">
        <w:t>build</w:t>
      </w:r>
      <w:proofErr w:type="gramEnd"/>
      <w:r w:rsidRPr="00621A2F">
        <w:t xml:space="preserve"> chamber with the help of build volume optimisation. All these principles are in line with the DfAM strategy classification in terms of cellular structures, consolidation and assembly, support structure design, and build orientation, which are all existing approaches to maximising performance and economic advantages of AM in industry (Asapu and Ravi Kumar, 2025).</w:t>
      </w:r>
    </w:p>
    <w:p w14:paraId="7E8BA331" w14:textId="77777777" w:rsidR="00621A2F" w:rsidRPr="00621A2F" w:rsidRDefault="00621A2F" w:rsidP="00621A2F">
      <w:r w:rsidRPr="00621A2F">
        <w:t>The software toolkit used in this redesign includes Autodesk Fusion 360 to define the parametric geometry and initial topology in a CAD, ANSYS Workbench to optimise the structure and verify it with a topology model using FEA, and finally nTopology to generate a lattice structure and prepare it to be built. Quality Function Deployment (QFD) was implemented in the initial design stage to address the transformation of functional requirements into measurable design specifications to ensure the resultant redesigned geometry met both the performance requirements of the structure and the process-deliberate limitations of the chosen AM process. The result of this process is the design specification as given in Table 2.</w:t>
      </w:r>
    </w:p>
    <w:p w14:paraId="4E009CA4" w14:textId="77777777" w:rsidR="00621A2F" w:rsidRPr="00621A2F" w:rsidRDefault="00621A2F" w:rsidP="00621A2F">
      <w:pPr>
        <w:pStyle w:val="Heading3"/>
      </w:pPr>
      <w:r w:rsidRPr="00621A2F">
        <w:t>Table 2: Design Specification for Redesigned Bracket</w:t>
      </w:r>
    </w:p>
    <w:tbl>
      <w:tblPr>
        <w:tblStyle w:val="TableGrid"/>
        <w:tblW w:w="5000" w:type="pct"/>
        <w:tblLook w:val="04A0" w:firstRow="1" w:lastRow="0" w:firstColumn="1" w:lastColumn="0" w:noHBand="0" w:noVBand="1"/>
      </w:tblPr>
      <w:tblGrid>
        <w:gridCol w:w="3636"/>
        <w:gridCol w:w="3631"/>
        <w:gridCol w:w="1749"/>
      </w:tblGrid>
      <w:tr w:rsidR="00621A2F" w:rsidRPr="00621A2F" w14:paraId="3A97E2E0" w14:textId="77777777" w:rsidTr="00621A2F">
        <w:tc>
          <w:tcPr>
            <w:tcW w:w="2016" w:type="pct"/>
            <w:shd w:val="clear" w:color="auto" w:fill="8EAADB" w:themeFill="accent1" w:themeFillTint="99"/>
            <w:hideMark/>
          </w:tcPr>
          <w:p w14:paraId="08861394" w14:textId="77777777" w:rsidR="00621A2F" w:rsidRPr="00621A2F" w:rsidRDefault="00621A2F" w:rsidP="00621A2F">
            <w:pPr>
              <w:ind w:firstLine="0"/>
              <w:rPr>
                <w:b/>
                <w:bCs/>
              </w:rPr>
            </w:pPr>
            <w:r w:rsidRPr="00621A2F">
              <w:rPr>
                <w:b/>
                <w:bCs/>
              </w:rPr>
              <w:t>Design Requirement</w:t>
            </w:r>
          </w:p>
        </w:tc>
        <w:tc>
          <w:tcPr>
            <w:tcW w:w="2013" w:type="pct"/>
            <w:shd w:val="clear" w:color="auto" w:fill="8EAADB" w:themeFill="accent1" w:themeFillTint="99"/>
            <w:hideMark/>
          </w:tcPr>
          <w:p w14:paraId="1AA9B9A2" w14:textId="77777777" w:rsidR="00621A2F" w:rsidRPr="00621A2F" w:rsidRDefault="00621A2F" w:rsidP="00621A2F">
            <w:pPr>
              <w:ind w:firstLine="0"/>
              <w:rPr>
                <w:b/>
                <w:bCs/>
              </w:rPr>
            </w:pPr>
            <w:r w:rsidRPr="00621A2F">
              <w:rPr>
                <w:b/>
                <w:bCs/>
              </w:rPr>
              <w:t>Specification</w:t>
            </w:r>
          </w:p>
        </w:tc>
        <w:tc>
          <w:tcPr>
            <w:tcW w:w="970" w:type="pct"/>
            <w:shd w:val="clear" w:color="auto" w:fill="8EAADB" w:themeFill="accent1" w:themeFillTint="99"/>
            <w:hideMark/>
          </w:tcPr>
          <w:p w14:paraId="7C433D69" w14:textId="77777777" w:rsidR="00621A2F" w:rsidRPr="00621A2F" w:rsidRDefault="00621A2F" w:rsidP="00621A2F">
            <w:pPr>
              <w:ind w:firstLine="0"/>
              <w:rPr>
                <w:b/>
                <w:bCs/>
              </w:rPr>
            </w:pPr>
            <w:r w:rsidRPr="00621A2F">
              <w:rPr>
                <w:b/>
                <w:bCs/>
              </w:rPr>
              <w:t>Priority</w:t>
            </w:r>
          </w:p>
        </w:tc>
      </w:tr>
      <w:tr w:rsidR="00621A2F" w:rsidRPr="00621A2F" w14:paraId="6F1FF853" w14:textId="77777777" w:rsidTr="00621A2F">
        <w:tc>
          <w:tcPr>
            <w:tcW w:w="2016" w:type="pct"/>
            <w:hideMark/>
          </w:tcPr>
          <w:p w14:paraId="6FE77D6B" w14:textId="77777777" w:rsidR="00621A2F" w:rsidRPr="00621A2F" w:rsidRDefault="00621A2F" w:rsidP="00621A2F">
            <w:pPr>
              <w:ind w:firstLine="0"/>
            </w:pPr>
            <w:r w:rsidRPr="00621A2F">
              <w:t>Minimum yield safety factor</w:t>
            </w:r>
          </w:p>
        </w:tc>
        <w:tc>
          <w:tcPr>
            <w:tcW w:w="2013" w:type="pct"/>
            <w:hideMark/>
          </w:tcPr>
          <w:p w14:paraId="1EC36E1B" w14:textId="77777777" w:rsidR="00621A2F" w:rsidRPr="00621A2F" w:rsidRDefault="00621A2F" w:rsidP="00621A2F">
            <w:pPr>
              <w:ind w:firstLine="0"/>
            </w:pPr>
            <w:r w:rsidRPr="00621A2F">
              <w:t>≥1.5 under peak loading</w:t>
            </w:r>
          </w:p>
        </w:tc>
        <w:tc>
          <w:tcPr>
            <w:tcW w:w="970" w:type="pct"/>
            <w:hideMark/>
          </w:tcPr>
          <w:p w14:paraId="4A63BB94" w14:textId="77777777" w:rsidR="00621A2F" w:rsidRPr="00621A2F" w:rsidRDefault="00621A2F" w:rsidP="00621A2F">
            <w:pPr>
              <w:ind w:firstLine="0"/>
            </w:pPr>
            <w:r w:rsidRPr="00621A2F">
              <w:t>Critical</w:t>
            </w:r>
          </w:p>
        </w:tc>
      </w:tr>
      <w:tr w:rsidR="00621A2F" w:rsidRPr="00621A2F" w14:paraId="653EC39E" w14:textId="77777777" w:rsidTr="00621A2F">
        <w:tc>
          <w:tcPr>
            <w:tcW w:w="2016" w:type="pct"/>
            <w:hideMark/>
          </w:tcPr>
          <w:p w14:paraId="38868702" w14:textId="77777777" w:rsidR="00621A2F" w:rsidRPr="00621A2F" w:rsidRDefault="00621A2F" w:rsidP="00621A2F">
            <w:pPr>
              <w:ind w:firstLine="0"/>
            </w:pPr>
            <w:r w:rsidRPr="00621A2F">
              <w:t>Maximum component mass</w:t>
            </w:r>
          </w:p>
        </w:tc>
        <w:tc>
          <w:tcPr>
            <w:tcW w:w="2013" w:type="pct"/>
            <w:hideMark/>
          </w:tcPr>
          <w:p w14:paraId="1BF61F23" w14:textId="77777777" w:rsidR="00621A2F" w:rsidRPr="00621A2F" w:rsidRDefault="00621A2F" w:rsidP="00621A2F">
            <w:pPr>
              <w:ind w:firstLine="0"/>
            </w:pPr>
            <w:r w:rsidRPr="00621A2F">
              <w:t>≤250 g</w:t>
            </w:r>
          </w:p>
        </w:tc>
        <w:tc>
          <w:tcPr>
            <w:tcW w:w="970" w:type="pct"/>
            <w:hideMark/>
          </w:tcPr>
          <w:p w14:paraId="4C153929" w14:textId="77777777" w:rsidR="00621A2F" w:rsidRPr="00621A2F" w:rsidRDefault="00621A2F" w:rsidP="00621A2F">
            <w:pPr>
              <w:ind w:firstLine="0"/>
            </w:pPr>
            <w:r w:rsidRPr="00621A2F">
              <w:t>High</w:t>
            </w:r>
          </w:p>
        </w:tc>
      </w:tr>
      <w:tr w:rsidR="00621A2F" w:rsidRPr="00621A2F" w14:paraId="75880968" w14:textId="77777777" w:rsidTr="00621A2F">
        <w:tc>
          <w:tcPr>
            <w:tcW w:w="2016" w:type="pct"/>
            <w:hideMark/>
          </w:tcPr>
          <w:p w14:paraId="33E3698D" w14:textId="77777777" w:rsidR="00621A2F" w:rsidRPr="00621A2F" w:rsidRDefault="00621A2F" w:rsidP="00621A2F">
            <w:pPr>
              <w:ind w:firstLine="0"/>
            </w:pPr>
            <w:r w:rsidRPr="00621A2F">
              <w:t>Operating temperature range</w:t>
            </w:r>
          </w:p>
        </w:tc>
        <w:tc>
          <w:tcPr>
            <w:tcW w:w="2013" w:type="pct"/>
            <w:hideMark/>
          </w:tcPr>
          <w:p w14:paraId="3655284E" w14:textId="77777777" w:rsidR="00621A2F" w:rsidRPr="00621A2F" w:rsidRDefault="00621A2F" w:rsidP="00621A2F">
            <w:pPr>
              <w:ind w:firstLine="0"/>
            </w:pPr>
            <w:r w:rsidRPr="00621A2F">
              <w:t>-55°C to +85°C</w:t>
            </w:r>
          </w:p>
        </w:tc>
        <w:tc>
          <w:tcPr>
            <w:tcW w:w="970" w:type="pct"/>
            <w:hideMark/>
          </w:tcPr>
          <w:p w14:paraId="7BF80941" w14:textId="77777777" w:rsidR="00621A2F" w:rsidRPr="00621A2F" w:rsidRDefault="00621A2F" w:rsidP="00621A2F">
            <w:pPr>
              <w:ind w:firstLine="0"/>
            </w:pPr>
            <w:r w:rsidRPr="00621A2F">
              <w:t>Critical</w:t>
            </w:r>
          </w:p>
        </w:tc>
      </w:tr>
      <w:tr w:rsidR="00621A2F" w:rsidRPr="00621A2F" w14:paraId="610054C3" w14:textId="77777777" w:rsidTr="00621A2F">
        <w:tc>
          <w:tcPr>
            <w:tcW w:w="2016" w:type="pct"/>
            <w:hideMark/>
          </w:tcPr>
          <w:p w14:paraId="7EDDD24A" w14:textId="77777777" w:rsidR="00621A2F" w:rsidRPr="00621A2F" w:rsidRDefault="00621A2F" w:rsidP="00621A2F">
            <w:pPr>
              <w:ind w:firstLine="0"/>
            </w:pPr>
            <w:r w:rsidRPr="00621A2F">
              <w:t>Surface finish at load interfaces</w:t>
            </w:r>
          </w:p>
        </w:tc>
        <w:tc>
          <w:tcPr>
            <w:tcW w:w="2013" w:type="pct"/>
            <w:hideMark/>
          </w:tcPr>
          <w:p w14:paraId="1ED9564C" w14:textId="77777777" w:rsidR="00621A2F" w:rsidRPr="00621A2F" w:rsidRDefault="00621A2F" w:rsidP="00621A2F">
            <w:pPr>
              <w:ind w:firstLine="0"/>
            </w:pPr>
            <w:r w:rsidRPr="00621A2F">
              <w:t>Ra ≤ 1.6 µm</w:t>
            </w:r>
          </w:p>
        </w:tc>
        <w:tc>
          <w:tcPr>
            <w:tcW w:w="970" w:type="pct"/>
            <w:hideMark/>
          </w:tcPr>
          <w:p w14:paraId="12D06D5D" w14:textId="77777777" w:rsidR="00621A2F" w:rsidRPr="00621A2F" w:rsidRDefault="00621A2F" w:rsidP="00621A2F">
            <w:pPr>
              <w:ind w:firstLine="0"/>
            </w:pPr>
            <w:r w:rsidRPr="00621A2F">
              <w:t>High</w:t>
            </w:r>
          </w:p>
        </w:tc>
      </w:tr>
      <w:tr w:rsidR="00621A2F" w:rsidRPr="00621A2F" w14:paraId="5317900F" w14:textId="77777777" w:rsidTr="00621A2F">
        <w:tc>
          <w:tcPr>
            <w:tcW w:w="2016" w:type="pct"/>
            <w:hideMark/>
          </w:tcPr>
          <w:p w14:paraId="64C09DB8" w14:textId="77777777" w:rsidR="00621A2F" w:rsidRPr="00621A2F" w:rsidRDefault="00621A2F" w:rsidP="00621A2F">
            <w:pPr>
              <w:ind w:firstLine="0"/>
            </w:pPr>
            <w:r w:rsidRPr="00621A2F">
              <w:t>Minimum lattice strut diameter</w:t>
            </w:r>
          </w:p>
        </w:tc>
        <w:tc>
          <w:tcPr>
            <w:tcW w:w="2013" w:type="pct"/>
            <w:hideMark/>
          </w:tcPr>
          <w:p w14:paraId="4C6F96BA" w14:textId="77777777" w:rsidR="00621A2F" w:rsidRPr="00621A2F" w:rsidRDefault="00621A2F" w:rsidP="00621A2F">
            <w:pPr>
              <w:ind w:firstLine="0"/>
            </w:pPr>
            <w:r w:rsidRPr="00621A2F">
              <w:t>≥0.5 mm</w:t>
            </w:r>
          </w:p>
        </w:tc>
        <w:tc>
          <w:tcPr>
            <w:tcW w:w="970" w:type="pct"/>
            <w:hideMark/>
          </w:tcPr>
          <w:p w14:paraId="6FF63336" w14:textId="77777777" w:rsidR="00621A2F" w:rsidRPr="00621A2F" w:rsidRDefault="00621A2F" w:rsidP="00621A2F">
            <w:pPr>
              <w:ind w:firstLine="0"/>
            </w:pPr>
            <w:r w:rsidRPr="00621A2F">
              <w:t>Medium</w:t>
            </w:r>
          </w:p>
        </w:tc>
      </w:tr>
      <w:tr w:rsidR="00621A2F" w:rsidRPr="00621A2F" w14:paraId="57965ADB" w14:textId="77777777" w:rsidTr="00621A2F">
        <w:tc>
          <w:tcPr>
            <w:tcW w:w="2016" w:type="pct"/>
            <w:hideMark/>
          </w:tcPr>
          <w:p w14:paraId="49FE6996" w14:textId="77777777" w:rsidR="00621A2F" w:rsidRPr="00621A2F" w:rsidRDefault="00621A2F" w:rsidP="00621A2F">
            <w:pPr>
              <w:ind w:firstLine="0"/>
            </w:pPr>
            <w:r w:rsidRPr="00621A2F">
              <w:t>Preferred build orientation</w:t>
            </w:r>
          </w:p>
        </w:tc>
        <w:tc>
          <w:tcPr>
            <w:tcW w:w="2013" w:type="pct"/>
            <w:hideMark/>
          </w:tcPr>
          <w:p w14:paraId="40258D0A" w14:textId="77777777" w:rsidR="00621A2F" w:rsidRPr="00621A2F" w:rsidRDefault="00621A2F" w:rsidP="00621A2F">
            <w:pPr>
              <w:ind w:firstLine="0"/>
            </w:pPr>
            <w:r w:rsidRPr="00621A2F">
              <w:t>45° to base plate</w:t>
            </w:r>
          </w:p>
        </w:tc>
        <w:tc>
          <w:tcPr>
            <w:tcW w:w="970" w:type="pct"/>
            <w:hideMark/>
          </w:tcPr>
          <w:p w14:paraId="7BA08189" w14:textId="77777777" w:rsidR="00621A2F" w:rsidRPr="00621A2F" w:rsidRDefault="00621A2F" w:rsidP="00621A2F">
            <w:pPr>
              <w:ind w:firstLine="0"/>
            </w:pPr>
            <w:r w:rsidRPr="00621A2F">
              <w:t>Medium</w:t>
            </w:r>
          </w:p>
        </w:tc>
      </w:tr>
      <w:tr w:rsidR="00621A2F" w:rsidRPr="00621A2F" w14:paraId="198B5A2C" w14:textId="77777777" w:rsidTr="00621A2F">
        <w:tc>
          <w:tcPr>
            <w:tcW w:w="2016" w:type="pct"/>
            <w:hideMark/>
          </w:tcPr>
          <w:p w14:paraId="3E286797" w14:textId="77777777" w:rsidR="00621A2F" w:rsidRPr="00621A2F" w:rsidRDefault="00621A2F" w:rsidP="00621A2F">
            <w:pPr>
              <w:ind w:firstLine="0"/>
            </w:pPr>
            <w:r w:rsidRPr="00621A2F">
              <w:t>Post-processing</w:t>
            </w:r>
          </w:p>
        </w:tc>
        <w:tc>
          <w:tcPr>
            <w:tcW w:w="2013" w:type="pct"/>
            <w:hideMark/>
          </w:tcPr>
          <w:p w14:paraId="2F1AD224" w14:textId="77777777" w:rsidR="00621A2F" w:rsidRPr="00621A2F" w:rsidRDefault="00621A2F" w:rsidP="00621A2F">
            <w:pPr>
              <w:ind w:firstLine="0"/>
            </w:pPr>
            <w:r w:rsidRPr="00621A2F">
              <w:t>HIP + CNC finish at interfaces</w:t>
            </w:r>
          </w:p>
        </w:tc>
        <w:tc>
          <w:tcPr>
            <w:tcW w:w="970" w:type="pct"/>
            <w:hideMark/>
          </w:tcPr>
          <w:p w14:paraId="32FC7117" w14:textId="77777777" w:rsidR="00621A2F" w:rsidRPr="00621A2F" w:rsidRDefault="00621A2F" w:rsidP="00621A2F">
            <w:pPr>
              <w:ind w:firstLine="0"/>
            </w:pPr>
            <w:r w:rsidRPr="00621A2F">
              <w:t>High</w:t>
            </w:r>
          </w:p>
        </w:tc>
      </w:tr>
    </w:tbl>
    <w:p w14:paraId="120F0328" w14:textId="35A13B7A" w:rsidR="00621A2F" w:rsidRPr="00621A2F" w:rsidRDefault="00621A2F" w:rsidP="00621A2F">
      <w:pPr>
        <w:pStyle w:val="Heading1"/>
      </w:pPr>
      <w:r w:rsidRPr="00621A2F">
        <w:t>Redesign Process</w:t>
      </w:r>
    </w:p>
    <w:p w14:paraId="64F8DFB5" w14:textId="77777777" w:rsidR="00621A2F" w:rsidRPr="00621A2F" w:rsidRDefault="00621A2F" w:rsidP="00621A2F">
      <w:r w:rsidRPr="00621A2F">
        <w:t>Redesign was done in four iterative stages, which included: defining the boundary conditions, topology optimisation, lattice structure integration, and reconciling final geometries. The previous step was used to inform decisions, whereby the simulation and the geometric test outcomes were used to make refinements to the previous step.</w:t>
      </w:r>
    </w:p>
    <w:p w14:paraId="3AAB1C37" w14:textId="69A75C8D" w:rsidR="00621A2F" w:rsidRPr="00621A2F" w:rsidRDefault="00621A2F" w:rsidP="00621A2F">
      <w:pPr>
        <w:pStyle w:val="Heading2"/>
      </w:pPr>
      <w:r w:rsidRPr="00621A2F">
        <w:t>Boundary Condition Definition and Topology Optimisation</w:t>
      </w:r>
    </w:p>
    <w:p w14:paraId="51662E50" w14:textId="77777777" w:rsidR="00621A2F" w:rsidRPr="00621A2F" w:rsidRDefault="00621A2F" w:rsidP="00621A2F">
      <w:r w:rsidRPr="00621A2F">
        <w:t>The first step involved the specification of the conditions of structural edges and load cases that are representative of the environment in which the bracket is being used. ANSYS Workbench was used to model the component. Fixed constraints were used at the main bolt interfaces, and 8 kN was applied to the system attachment flanges in the axial direction and 3 kN in the lateral direction. The third load case was developed to provide a combined loading condition that was related to worst-in-service conditions. The design space was broken down into an optimisable space, with the volume in the mid-section, and non-optimisable spaces at the bolt interfaces and attachment flanges, which should keep their original shape to allow compatibility with assembly.</w:t>
      </w:r>
    </w:p>
    <w:p w14:paraId="580BA614" w14:textId="4285B119" w:rsidR="00621A2F" w:rsidRDefault="00621A2F" w:rsidP="00621A2F">
      <w:r w:rsidRPr="00621A2F">
        <w:t xml:space="preserve">Topology was optimised by the Solid Isotropic Material with Penalisation (SIMP) method, and the objective was to achieve a reduction of the volume to be optimised by 50 percent, to maintain a minimum compliance level. The strategy is consistent with the current approach to aerospace bracket optimisation, in which density-based algorithms have already demonstrated they can reduce the components' mass by a significant margin, yet did not affect the structure rigidity, as it was experimentally demonstrated by designing and testing the optimised shapes (Okorie et al., 2023). Four optimisation cases were tested with varying parameters in the excluded regions and </w:t>
      </w:r>
      <w:proofErr w:type="gramStart"/>
      <w:r w:rsidRPr="00621A2F">
        <w:t>weighting of</w:t>
      </w:r>
      <w:proofErr w:type="gramEnd"/>
      <w:r w:rsidRPr="00621A2F">
        <w:t xml:space="preserve"> the load cases to learn the sensitivity of the topology. The case giving the optimal compromise between mass reduction and uniformity of stress was chosen to be developed. Topology optimisation resultant output yielded organic geometry with struts aligned to loads and material optimised arches. It minimised the volume to be optimised by 52 percent compared to the original solid domain of design.</w:t>
      </w:r>
    </w:p>
    <w:p w14:paraId="1DE7EE2A" w14:textId="502FDB4F" w:rsidR="00C4549A" w:rsidRDefault="00C4549A" w:rsidP="00C4549A">
      <w:pPr>
        <w:pStyle w:val="Heading3"/>
      </w:pPr>
      <w:r>
        <w:t>Figure 2: Topology-</w:t>
      </w:r>
      <w:proofErr w:type="spellStart"/>
      <w:r>
        <w:t>optimised</w:t>
      </w:r>
      <w:proofErr w:type="spellEnd"/>
      <w:r>
        <w:t xml:space="preserve"> bracket geometries generated using level-set and density-based methods (Case 4). Reproduced from Okorie et al. (2023) under CC BY 4.0.</w:t>
      </w:r>
    </w:p>
    <w:p w14:paraId="56FD435C" w14:textId="7764E25D" w:rsidR="00C4549A" w:rsidRPr="00621A2F" w:rsidRDefault="00C4549A" w:rsidP="00C4549A">
      <w:pPr>
        <w:ind w:firstLine="0"/>
      </w:pPr>
      <w:r w:rsidRPr="00C4549A">
        <w:rPr>
          <w:noProof/>
        </w:rPr>
        <w:drawing>
          <wp:inline distT="0" distB="0" distL="0" distR="0" wp14:anchorId="744D03FE" wp14:editId="67ADADF8">
            <wp:extent cx="5731510" cy="34385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38525"/>
                    </a:xfrm>
                    <a:prstGeom prst="rect">
                      <a:avLst/>
                    </a:prstGeom>
                  </pic:spPr>
                </pic:pic>
              </a:graphicData>
            </a:graphic>
          </wp:inline>
        </w:drawing>
      </w:r>
    </w:p>
    <w:p w14:paraId="51EF2023" w14:textId="7B81BAE9" w:rsidR="00621A2F" w:rsidRPr="00621A2F" w:rsidRDefault="00621A2F" w:rsidP="00621A2F">
      <w:pPr>
        <w:pStyle w:val="Heading2"/>
      </w:pPr>
      <w:r w:rsidRPr="00621A2F">
        <w:t>Lattice Structure Integration</w:t>
      </w:r>
    </w:p>
    <w:p w14:paraId="5DB0B482" w14:textId="70DA072E" w:rsidR="00621A2F" w:rsidRDefault="00621A2F" w:rsidP="00621A2F">
      <w:r w:rsidRPr="00621A2F">
        <w:t>After optimisation of topology, the bracket interiors with low-density material were substituted with a body-centred cubic (BCC) lattice structure created in nTopology. The BCC topology was chosen based on the fact that compressive and tensile loads gave a chance to shape the topology to attain a well-characterised mechanical behaviour, its compatibility with the SLM manufacturing conditions of Ti-6Al-4V, and its potential to couple a high specific strength with the energy absorption capacity at low relative densities (Li et al., 2024). The lattice volume was subjected to a uniform strut diameter of 0.8 mm with a unit cell of 3 mm, resulting in a relative density of about 22% in the infill region. It is a hybrid of mass-reduction and structural-contribution that guarantees that the lattice is highly loaded structurally without providing structural failure modes associated with over-slender struts to the loads imposed.</w:t>
      </w:r>
    </w:p>
    <w:p w14:paraId="77526725" w14:textId="3469AA3E" w:rsidR="00C4549A" w:rsidRDefault="00C4549A" w:rsidP="00C4549A">
      <w:pPr>
        <w:pStyle w:val="Heading3"/>
      </w:pPr>
      <w:r w:rsidRPr="00C4549A">
        <w:t>Figure 3: Body-</w:t>
      </w:r>
      <w:proofErr w:type="spellStart"/>
      <w:r w:rsidRPr="00C4549A">
        <w:t>centred</w:t>
      </w:r>
      <w:proofErr w:type="spellEnd"/>
      <w:r w:rsidRPr="00C4549A">
        <w:t xml:space="preserve"> cubic (BCC) lattice unit cell shown within Maxwell's criterion framework for flexural and tensile structures. Reproduced from Li et al. (2024) under CC BY 4.0.</w:t>
      </w:r>
    </w:p>
    <w:p w14:paraId="20FF73A8" w14:textId="7E1D8423" w:rsidR="00C4549A" w:rsidRPr="00621A2F" w:rsidRDefault="00C4549A" w:rsidP="00C4549A">
      <w:pPr>
        <w:ind w:firstLine="0"/>
      </w:pPr>
      <w:r w:rsidRPr="00C4549A">
        <w:rPr>
          <w:noProof/>
        </w:rPr>
        <w:drawing>
          <wp:inline distT="0" distB="0" distL="0" distR="0" wp14:anchorId="4D631D0A" wp14:editId="0689D5C1">
            <wp:extent cx="5731510" cy="473011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730115"/>
                    </a:xfrm>
                    <a:prstGeom prst="rect">
                      <a:avLst/>
                    </a:prstGeom>
                  </pic:spPr>
                </pic:pic>
              </a:graphicData>
            </a:graphic>
          </wp:inline>
        </w:drawing>
      </w:r>
    </w:p>
    <w:p w14:paraId="5F09B83D" w14:textId="77777777" w:rsidR="00621A2F" w:rsidRPr="00621A2F" w:rsidRDefault="00621A2F" w:rsidP="00621A2F">
      <w:r w:rsidRPr="00621A2F">
        <w:t xml:space="preserve">The lattice-filled zones were seeded with a solid shell 1.2 mm thick on all the outer surfaces, forming a skin-core composite architecture. This enables </w:t>
      </w:r>
      <w:proofErr w:type="gramStart"/>
      <w:r w:rsidRPr="00621A2F">
        <w:t>a purity</w:t>
      </w:r>
      <w:proofErr w:type="gramEnd"/>
      <w:r w:rsidRPr="00621A2F">
        <w:t xml:space="preserve"> of outer geometries that are desired in aerodynamic purity and size conforming of the interfaces amongst the assembly to the internal lattice that forms the structural base of the component. Functionally graded lattice structures have also been found in the literature as another potential opportunity to optimise with space that can be used to increase the ratio of stiffness-to-weight based on spatially varying strut diameter in response to local stress gradients (Aljaberi et al., 2024). In this case, the uniform BCC arrangement was kept, but to ensure that the complexity of manufacturing was kept to a minimum and to enable the simplified FEA validation within the limits of analysis.</w:t>
      </w:r>
    </w:p>
    <w:p w14:paraId="12EDF446" w14:textId="5DF0E020" w:rsidR="00621A2F" w:rsidRPr="00621A2F" w:rsidRDefault="00621A2F" w:rsidP="00621A2F">
      <w:pPr>
        <w:pStyle w:val="Heading2"/>
      </w:pPr>
      <w:r w:rsidRPr="00621A2F">
        <w:t>Component Consolidation and Iterative Refinement</w:t>
      </w:r>
    </w:p>
    <w:p w14:paraId="4DC0DB6C" w14:textId="77777777" w:rsidR="00621A2F" w:rsidRPr="00621A2F" w:rsidRDefault="00621A2F" w:rsidP="00621A2F">
      <w:r w:rsidRPr="00621A2F">
        <w:t>Redesign of the interface regions with great care was used to merge the three-part assembly into one continuous geometry. The mating features and fastener bosses of the two parts previously assembled separately became part of the main bracket structure, removing two sets of threaded inserts and four M5 screws in the assembly. AM having geometric freedom endorses component consolidation, which is a primary DfAM advantage since a lesser number of parts stems secondary to the advantage of less assembly time, zero stress concentration formed through fasteners, and low likelihood of system failure (Ibhadode et al., 2023).</w:t>
      </w:r>
    </w:p>
    <w:p w14:paraId="7AAEAEB3" w14:textId="77777777" w:rsidR="00621A2F" w:rsidRPr="00621A2F" w:rsidRDefault="00621A2F" w:rsidP="00621A2F">
      <w:r w:rsidRPr="00621A2F">
        <w:t xml:space="preserve">There were three design loops in the iterative design process. Transitions between the infill region of the lattice and the solid shell were also observed through concentration of stress in the first loop, with shell size thickening at the locations of the highest rates of stress concentration in the FEA results, as the most heavily stressed transition locations occur. The second loop identified an overhang in 28° to the build plate that was likely to be extremely challenging to remove, and this was reworded to 47° with a very minor geometric combination with no impact on load-path efficiency. The mass of the final product was determined to be 231 g, giving an actual mass loss ratio of 48.7% of the original bracket mass of 450 g. Loop 3 made sure that all the areas of concern where stress was a factor were at good levels, and the total mass of the components was reduced to 231 g, which meant 48.7 percent mass loss at the level of the bracket, at 450 g, where it started. The process of development of the original bracket geometry, as to the topology-optimised result and the </w:t>
      </w:r>
      <w:proofErr w:type="gramStart"/>
      <w:r w:rsidRPr="00621A2F">
        <w:t>completed</w:t>
      </w:r>
      <w:proofErr w:type="gramEnd"/>
      <w:r w:rsidRPr="00621A2F">
        <w:t xml:space="preserve"> consolidated AM-ready design, is depicted in Fig. 1, and indicates the change in the conventional flat-ribbed geometry to the arch-and-strut configuration of the redesigned component.</w:t>
      </w:r>
    </w:p>
    <w:p w14:paraId="1A70FB85" w14:textId="71A935DD" w:rsidR="00621A2F" w:rsidRPr="00621A2F" w:rsidRDefault="00621A2F" w:rsidP="00621A2F">
      <w:pPr>
        <w:pStyle w:val="Heading1"/>
      </w:pPr>
      <w:r w:rsidRPr="00621A2F">
        <w:t>AM Process Selection and Material Justification</w:t>
      </w:r>
    </w:p>
    <w:p w14:paraId="7B6DE5C5" w14:textId="77777777" w:rsidR="00621A2F" w:rsidRPr="00621A2F" w:rsidRDefault="00621A2F" w:rsidP="00621A2F">
      <w:r w:rsidRPr="00621A2F">
        <w:t xml:space="preserve">The type of AM process that has been chosen in the fabrication of the redesigned bracket is Selective Laser Melting (SLM), also known as Laser Powder Bed Fusion (LPBF). The foundation of SLM is the selection fusion of layers inherent to the formation of a metallic powder in the focused beam of a laser. It is produced through the deposition of the component layer, layer-by-layer, in a controlled environment of pure gases. The largest dimensional accuracy and density in practical process conditions of any metal AM technologies </w:t>
      </w:r>
      <w:proofErr w:type="gramStart"/>
      <w:r w:rsidRPr="00621A2F">
        <w:t>has</w:t>
      </w:r>
      <w:proofErr w:type="gramEnd"/>
      <w:r w:rsidRPr="00621A2F">
        <w:t xml:space="preserve"> a relative density of over 99.5% density in practice and can discern fine geometrical features below the lattice struts of 0.8 mm in this design. SLM has been subjected to full trial in the structural components, where load-bearing brackets are manufactured in aerospace, demonstrating the potential to manufacture structural components with or beyond the traditional demands on mechanical properties of conventional manufacturing processes in a range of alloy systems (Gradl et al., 2022).</w:t>
      </w:r>
    </w:p>
    <w:p w14:paraId="4214A935" w14:textId="77777777" w:rsidR="00621A2F" w:rsidRPr="00621A2F" w:rsidRDefault="00621A2F" w:rsidP="00621A2F">
      <w:r w:rsidRPr="00621A2F">
        <w:t xml:space="preserve">The redesigned bracket is </w:t>
      </w:r>
      <w:proofErr w:type="gramStart"/>
      <w:r w:rsidRPr="00621A2F">
        <w:t>made out of</w:t>
      </w:r>
      <w:proofErr w:type="gramEnd"/>
      <w:r w:rsidRPr="00621A2F">
        <w:t xml:space="preserve"> Ti-6Al-4V (Grade 5), which is made of Titanium alloy. This option is selected because it has a great combination of high specific strength (yield strength typically ranging between 900 and 1,100 MPa in the SLM-processed state), low density (4.43 g/cm³), high corrosiveness, and has been shown to combine with the SLM process at process parameter regimes that are economically viable. Substitution of a 7075-T6 (density 2.81 g/cm³) and yield strength 503 MPa with Ti-6Al-4V might not be intuitive, with a </w:t>
      </w:r>
      <w:proofErr w:type="gramStart"/>
      <w:r w:rsidRPr="00621A2F">
        <w:t>more dense</w:t>
      </w:r>
      <w:proofErr w:type="gramEnd"/>
      <w:r w:rsidRPr="00621A2F">
        <w:t xml:space="preserve"> titanium, having greater density. However, the increased specific strength of Ti-6Al-4V, a factor of the mass reductions which are achieved in topology optimisation and lattice infill, results in a much less </w:t>
      </w:r>
      <w:proofErr w:type="gramStart"/>
      <w:r w:rsidRPr="00621A2F">
        <w:t>massive finished</w:t>
      </w:r>
      <w:proofErr w:type="gramEnd"/>
      <w:r w:rsidRPr="00621A2F">
        <w:t xml:space="preserve"> component with a higher structural safety margin. Besides, almost no waste is obtained during additive production, which results in the buy-to-fly ratio of Ti-6Al-4V increased by SLM being near 1.2:1, which is a radical difference compared to the 6.7:1 ratio received on the conventional aluminium bracket due to the huge amounts of waste generated in the machining of the material (Jung et al., 2023).</w:t>
      </w:r>
    </w:p>
    <w:p w14:paraId="2DAC2CCC" w14:textId="1132ED14" w:rsidR="00621A2F" w:rsidRDefault="00621A2F" w:rsidP="00621A2F">
      <w:r w:rsidRPr="00621A2F">
        <w:t xml:space="preserve">Limitations associated with process SLM of Ti-6Al-4V are residual formation of stress </w:t>
      </w:r>
      <w:proofErr w:type="gramStart"/>
      <w:r w:rsidRPr="00621A2F">
        <w:t>similar to</w:t>
      </w:r>
      <w:proofErr w:type="gramEnd"/>
      <w:r w:rsidRPr="00621A2F">
        <w:t xml:space="preserve"> high thermal cycling needed by the layer-by-layer build, roughness of the surface in the built condition, which is typically characterised by Ra values of 8 µm to 20 µm, and anisotropic mechanical behaviour due to build orientation. The design studies of topology-optimised bracket geometry design using LPBF have demonstrated that large amounts of the residual stress generation in optimised geometries can be minimised relative to original solid geometries, which can be attributed to the more uniformly distributed thermal mass distribution with the optimised geometry (Jain et al., 2024). The orientation selected to construct this component is at a 45-degree angle to the base plate to provide the trade-off between minimising the supporting structure and having the primary load-bearing struts in a favourable position with respect to the building strength of the layer-by-layer strength. The heat treatment will be in the form of Hot Isostatic Pressing (HIP) at 920°C and 100 MPa for two hours to eliminate any remaining porosity and homogenize the microstructure. Finally, the stress relief annealing will be implemented at 800°C as a final step to ensure that the final component properties are within the design specification.</w:t>
      </w:r>
    </w:p>
    <w:p w14:paraId="69BDD5A1" w14:textId="5BC30F34" w:rsidR="00C4549A" w:rsidRDefault="00C4549A" w:rsidP="00C4549A">
      <w:pPr>
        <w:pStyle w:val="Heading3"/>
      </w:pPr>
      <w:r w:rsidRPr="00C4549A">
        <w:t>Figure 4: Representative SLM (LPBF)-manufactured topology-</w:t>
      </w:r>
      <w:proofErr w:type="spellStart"/>
      <w:r w:rsidRPr="00C4549A">
        <w:t>optimised</w:t>
      </w:r>
      <w:proofErr w:type="spellEnd"/>
      <w:r w:rsidRPr="00C4549A">
        <w:t xml:space="preserve"> aerospace bracket in Ti-6Al-4V, fabricated on an EOS M290 system. Reproduced from Chen et al. (2021) under CC BY 4.0.</w:t>
      </w:r>
    </w:p>
    <w:p w14:paraId="652B1ABA" w14:textId="3F79867B" w:rsidR="00C4549A" w:rsidRPr="00621A2F" w:rsidRDefault="00C4549A" w:rsidP="00C4549A">
      <w:pPr>
        <w:ind w:firstLine="0"/>
      </w:pPr>
      <w:r w:rsidRPr="00C4549A">
        <w:rPr>
          <w:noProof/>
        </w:rPr>
        <w:drawing>
          <wp:inline distT="0" distB="0" distL="0" distR="0" wp14:anchorId="3428FE77" wp14:editId="134EA936">
            <wp:extent cx="5731510" cy="364363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43630"/>
                    </a:xfrm>
                    <a:prstGeom prst="rect">
                      <a:avLst/>
                    </a:prstGeom>
                  </pic:spPr>
                </pic:pic>
              </a:graphicData>
            </a:graphic>
          </wp:inline>
        </w:drawing>
      </w:r>
    </w:p>
    <w:p w14:paraId="413F6015" w14:textId="7B5F4981" w:rsidR="00621A2F" w:rsidRPr="00621A2F" w:rsidRDefault="00621A2F" w:rsidP="00621A2F">
      <w:pPr>
        <w:pStyle w:val="Heading1"/>
      </w:pPr>
      <w:r w:rsidRPr="00621A2F">
        <w:t>Design Evaluation and Verification</w:t>
      </w:r>
    </w:p>
    <w:p w14:paraId="3755D487" w14:textId="11305BCB" w:rsidR="00621A2F" w:rsidRPr="00621A2F" w:rsidRDefault="00621A2F" w:rsidP="00621A2F">
      <w:pPr>
        <w:pStyle w:val="Heading2"/>
      </w:pPr>
      <w:r w:rsidRPr="00621A2F">
        <w:t>Finite Element Analysis Setup</w:t>
      </w:r>
    </w:p>
    <w:p w14:paraId="72C72325" w14:textId="77777777" w:rsidR="00621A2F" w:rsidRPr="00621A2F" w:rsidRDefault="00621A2F" w:rsidP="00621A2F">
      <w:r w:rsidRPr="00621A2F">
        <w:t>Structural verification of the redesigned bracket was conducted using ANSYS Mechanical, with the component geometry meshed using 10-node tetrahedral elements at a global element size of 1.0 mm, refined to 0.3 mm in regions of high stress gradient. The mesh consisted of 1.2 million elements and 1.8 million nodes, and the convergence of the mesh was checked by ensuring that the mesh reduced sufficiently, through a sensitivity study, whereby less than 2 percent of the mesh could be said to undergo changes between each mesh reduction. The selections of the material properties applied in the model were Ti-6Al-4V, SLM-processed, HIP: Young's modulus 110 GPa, Poisson's ratio 0.34, yield strength 950 MPa, ultimate tensile strength 1,020 MPa. The Finite element analysis has also been widely applied in developing the laser additive manufacturing design to save both time and money, especially when compared to physical testing of prototypes, since it predicts all the thermal history, residual stress, and structural functionality (Ye et al., 2025). The three load cases were tried with the FEA model and covered in the redesign process, and in the fixed boundary cases; the cylindrical supports were taken into account in order to provide the extra load, and an additional combined load case at one and five times the nominal load magnitude was tested in order to explore the limit load safety margins.</w:t>
      </w:r>
    </w:p>
    <w:p w14:paraId="5C9C360E" w14:textId="77777777" w:rsidR="00621A2F" w:rsidRPr="00621A2F" w:rsidRDefault="00621A2F" w:rsidP="00621A2F">
      <w:r w:rsidRPr="00621A2F">
        <w:t xml:space="preserve">An equivalent homogenised continuum approach was used to model the lattice structure, where the effective elastic properties of the lattice at 22% relative density were calculated based on known relationships between specific stiffness and relative density of SLM-produced Ti-6Al-4V lattice geometries, which </w:t>
      </w:r>
      <w:proofErr w:type="gramStart"/>
      <w:r w:rsidRPr="00621A2F">
        <w:t>is</w:t>
      </w:r>
      <w:proofErr w:type="gramEnd"/>
      <w:r w:rsidRPr="00621A2F">
        <w:t xml:space="preserve"> consistent with the practice of modelling (Aljaberi et al., 2024). It makes computationally viable predictions of lattice structural response with no strut-scale mesh density scales needed in any prohibitive scale to explicit, strut-scale modelling, yet with some local strut-scale stress distribution fidelity.</w:t>
      </w:r>
    </w:p>
    <w:p w14:paraId="6FD29B6A" w14:textId="4B0262BC" w:rsidR="00621A2F" w:rsidRPr="00621A2F" w:rsidRDefault="00621A2F" w:rsidP="00621A2F">
      <w:pPr>
        <w:pStyle w:val="Heading2"/>
      </w:pPr>
      <w:r w:rsidRPr="00621A2F">
        <w:t>Results and Comparison</w:t>
      </w:r>
    </w:p>
    <w:p w14:paraId="7DA113A9" w14:textId="77777777" w:rsidR="00621A2F" w:rsidRPr="00621A2F" w:rsidRDefault="00621A2F" w:rsidP="00621A2F">
      <w:r w:rsidRPr="00621A2F">
        <w:t xml:space="preserve">The FEA output of the redesigned bracket under nominal load conditions revealed that the peak Von Mises stress was at the main node of load transfer between the junction of the optimised strut geometry and upper attachment flange, with the maximum Von Mises stress of 614 MPa. It is a yield safety factor of 1.55, and this satisfies the design specification requirement of 1.5 and above. The maximum deflection of combined nominal loading was 0.38 mm, at the front of the lower attaching flange, which </w:t>
      </w:r>
      <w:proofErr w:type="gramStart"/>
      <w:r w:rsidRPr="00621A2F">
        <w:t>was considered to be</w:t>
      </w:r>
      <w:proofErr w:type="gramEnd"/>
      <w:r w:rsidRPr="00621A2F">
        <w:t xml:space="preserve"> reasonable, taking into consideration clearances in the assembly. The highest stress was reached at the limit load of 1.5 times the nominal load, which was 892 MPa, a positive margin of safety, as the yield strength of the material is 950 MPa. The FEA results of the original and redesigned brackets have been directly compared with each other, as seen in Table 3.</w:t>
      </w:r>
    </w:p>
    <w:p w14:paraId="277C38CD" w14:textId="77777777" w:rsidR="00621A2F" w:rsidRPr="00621A2F" w:rsidRDefault="00621A2F" w:rsidP="00621A2F">
      <w:pPr>
        <w:pStyle w:val="Heading3"/>
      </w:pPr>
      <w:r w:rsidRPr="00621A2F">
        <w:t xml:space="preserve">Table 3: Comparison of </w:t>
      </w:r>
      <w:proofErr w:type="gramStart"/>
      <w:r w:rsidRPr="00621A2F">
        <w:t>FEA of Original</w:t>
      </w:r>
      <w:proofErr w:type="gramEnd"/>
      <w:r w:rsidRPr="00621A2F">
        <w:t xml:space="preserve"> and Redesigned Bracket</w:t>
      </w:r>
    </w:p>
    <w:tbl>
      <w:tblPr>
        <w:tblStyle w:val="TableGrid"/>
        <w:tblW w:w="5000" w:type="pct"/>
        <w:tblLook w:val="04A0" w:firstRow="1" w:lastRow="0" w:firstColumn="1" w:lastColumn="0" w:noHBand="0" w:noVBand="1"/>
      </w:tblPr>
      <w:tblGrid>
        <w:gridCol w:w="2886"/>
        <w:gridCol w:w="2805"/>
        <w:gridCol w:w="3325"/>
      </w:tblGrid>
      <w:tr w:rsidR="00621A2F" w:rsidRPr="00621A2F" w14:paraId="342BD408" w14:textId="77777777" w:rsidTr="00621A2F">
        <w:tc>
          <w:tcPr>
            <w:tcW w:w="1600" w:type="pct"/>
            <w:shd w:val="clear" w:color="auto" w:fill="8EAADB" w:themeFill="accent1" w:themeFillTint="99"/>
            <w:hideMark/>
          </w:tcPr>
          <w:p w14:paraId="639BD46E" w14:textId="77777777" w:rsidR="00621A2F" w:rsidRPr="00621A2F" w:rsidRDefault="00621A2F" w:rsidP="00621A2F">
            <w:pPr>
              <w:ind w:firstLine="0"/>
              <w:rPr>
                <w:b/>
                <w:bCs/>
              </w:rPr>
            </w:pPr>
            <w:r w:rsidRPr="00621A2F">
              <w:rPr>
                <w:b/>
                <w:bCs/>
              </w:rPr>
              <w:t>Metric</w:t>
            </w:r>
          </w:p>
        </w:tc>
        <w:tc>
          <w:tcPr>
            <w:tcW w:w="1555" w:type="pct"/>
            <w:shd w:val="clear" w:color="auto" w:fill="8EAADB" w:themeFill="accent1" w:themeFillTint="99"/>
            <w:hideMark/>
          </w:tcPr>
          <w:p w14:paraId="6C31767F" w14:textId="77777777" w:rsidR="00621A2F" w:rsidRPr="00621A2F" w:rsidRDefault="00621A2F" w:rsidP="00621A2F">
            <w:pPr>
              <w:ind w:firstLine="0"/>
              <w:rPr>
                <w:b/>
                <w:bCs/>
              </w:rPr>
            </w:pPr>
            <w:r w:rsidRPr="00621A2F">
              <w:rPr>
                <w:b/>
                <w:bCs/>
              </w:rPr>
              <w:t>Original Bracket (Al 7075-T6)</w:t>
            </w:r>
          </w:p>
        </w:tc>
        <w:tc>
          <w:tcPr>
            <w:tcW w:w="1844" w:type="pct"/>
            <w:shd w:val="clear" w:color="auto" w:fill="8EAADB" w:themeFill="accent1" w:themeFillTint="99"/>
            <w:hideMark/>
          </w:tcPr>
          <w:p w14:paraId="409BCD9D" w14:textId="77777777" w:rsidR="00621A2F" w:rsidRPr="00621A2F" w:rsidRDefault="00621A2F" w:rsidP="00621A2F">
            <w:pPr>
              <w:ind w:firstLine="0"/>
              <w:rPr>
                <w:b/>
                <w:bCs/>
              </w:rPr>
            </w:pPr>
            <w:r w:rsidRPr="00621A2F">
              <w:rPr>
                <w:b/>
                <w:bCs/>
              </w:rPr>
              <w:t>Redesigned Bracket (Ti-6Al-4V SLM)</w:t>
            </w:r>
          </w:p>
        </w:tc>
      </w:tr>
      <w:tr w:rsidR="00621A2F" w:rsidRPr="00621A2F" w14:paraId="03C8AFCC" w14:textId="77777777" w:rsidTr="00621A2F">
        <w:tc>
          <w:tcPr>
            <w:tcW w:w="1600" w:type="pct"/>
            <w:hideMark/>
          </w:tcPr>
          <w:p w14:paraId="10720223" w14:textId="77777777" w:rsidR="00621A2F" w:rsidRPr="00621A2F" w:rsidRDefault="00621A2F" w:rsidP="00621A2F">
            <w:pPr>
              <w:ind w:firstLine="0"/>
            </w:pPr>
            <w:r w:rsidRPr="00621A2F">
              <w:t>Component Mass (g)</w:t>
            </w:r>
          </w:p>
        </w:tc>
        <w:tc>
          <w:tcPr>
            <w:tcW w:w="1555" w:type="pct"/>
            <w:hideMark/>
          </w:tcPr>
          <w:p w14:paraId="00C8BA48" w14:textId="77777777" w:rsidR="00621A2F" w:rsidRPr="00621A2F" w:rsidRDefault="00621A2F" w:rsidP="00621A2F">
            <w:pPr>
              <w:ind w:firstLine="0"/>
            </w:pPr>
            <w:r w:rsidRPr="00621A2F">
              <w:t>450</w:t>
            </w:r>
          </w:p>
        </w:tc>
        <w:tc>
          <w:tcPr>
            <w:tcW w:w="1844" w:type="pct"/>
            <w:hideMark/>
          </w:tcPr>
          <w:p w14:paraId="2F9F0D29" w14:textId="77777777" w:rsidR="00621A2F" w:rsidRPr="00621A2F" w:rsidRDefault="00621A2F" w:rsidP="00621A2F">
            <w:pPr>
              <w:ind w:firstLine="0"/>
            </w:pPr>
            <w:r w:rsidRPr="00621A2F">
              <w:t>231</w:t>
            </w:r>
          </w:p>
        </w:tc>
      </w:tr>
      <w:tr w:rsidR="00621A2F" w:rsidRPr="00621A2F" w14:paraId="6A494D20" w14:textId="77777777" w:rsidTr="00621A2F">
        <w:tc>
          <w:tcPr>
            <w:tcW w:w="1600" w:type="pct"/>
            <w:hideMark/>
          </w:tcPr>
          <w:p w14:paraId="450CD22E" w14:textId="77777777" w:rsidR="00621A2F" w:rsidRPr="00621A2F" w:rsidRDefault="00621A2F" w:rsidP="00621A2F">
            <w:pPr>
              <w:ind w:firstLine="0"/>
            </w:pPr>
            <w:r w:rsidRPr="00621A2F">
              <w:t>Peak Von Mises Stress (MPa)</w:t>
            </w:r>
          </w:p>
        </w:tc>
        <w:tc>
          <w:tcPr>
            <w:tcW w:w="1555" w:type="pct"/>
            <w:hideMark/>
          </w:tcPr>
          <w:p w14:paraId="17E7FF39" w14:textId="77777777" w:rsidR="00621A2F" w:rsidRPr="00621A2F" w:rsidRDefault="00621A2F" w:rsidP="00621A2F">
            <w:pPr>
              <w:ind w:firstLine="0"/>
            </w:pPr>
            <w:r w:rsidRPr="00621A2F">
              <w:t>187</w:t>
            </w:r>
          </w:p>
        </w:tc>
        <w:tc>
          <w:tcPr>
            <w:tcW w:w="1844" w:type="pct"/>
            <w:hideMark/>
          </w:tcPr>
          <w:p w14:paraId="3A36FB09" w14:textId="77777777" w:rsidR="00621A2F" w:rsidRPr="00621A2F" w:rsidRDefault="00621A2F" w:rsidP="00621A2F">
            <w:pPr>
              <w:ind w:firstLine="0"/>
            </w:pPr>
            <w:r w:rsidRPr="00621A2F">
              <w:t>614</w:t>
            </w:r>
          </w:p>
        </w:tc>
      </w:tr>
      <w:tr w:rsidR="00621A2F" w:rsidRPr="00621A2F" w14:paraId="1E4B1C3E" w14:textId="77777777" w:rsidTr="00621A2F">
        <w:tc>
          <w:tcPr>
            <w:tcW w:w="1600" w:type="pct"/>
            <w:hideMark/>
          </w:tcPr>
          <w:p w14:paraId="1920C20F" w14:textId="77777777" w:rsidR="00621A2F" w:rsidRPr="00621A2F" w:rsidRDefault="00621A2F" w:rsidP="00621A2F">
            <w:pPr>
              <w:ind w:firstLine="0"/>
            </w:pPr>
            <w:r w:rsidRPr="00621A2F">
              <w:t>Yield Safety Factor</w:t>
            </w:r>
          </w:p>
        </w:tc>
        <w:tc>
          <w:tcPr>
            <w:tcW w:w="1555" w:type="pct"/>
            <w:hideMark/>
          </w:tcPr>
          <w:p w14:paraId="18C16F7A" w14:textId="77777777" w:rsidR="00621A2F" w:rsidRPr="00621A2F" w:rsidRDefault="00621A2F" w:rsidP="00621A2F">
            <w:pPr>
              <w:ind w:firstLine="0"/>
            </w:pPr>
            <w:r w:rsidRPr="00621A2F">
              <w:t>2.69</w:t>
            </w:r>
          </w:p>
        </w:tc>
        <w:tc>
          <w:tcPr>
            <w:tcW w:w="1844" w:type="pct"/>
            <w:hideMark/>
          </w:tcPr>
          <w:p w14:paraId="4FDE4D5F" w14:textId="77777777" w:rsidR="00621A2F" w:rsidRPr="00621A2F" w:rsidRDefault="00621A2F" w:rsidP="00621A2F">
            <w:pPr>
              <w:ind w:firstLine="0"/>
            </w:pPr>
            <w:r w:rsidRPr="00621A2F">
              <w:t>1.55</w:t>
            </w:r>
          </w:p>
        </w:tc>
      </w:tr>
      <w:tr w:rsidR="00621A2F" w:rsidRPr="00621A2F" w14:paraId="0B19C0A5" w14:textId="77777777" w:rsidTr="00621A2F">
        <w:tc>
          <w:tcPr>
            <w:tcW w:w="1600" w:type="pct"/>
            <w:hideMark/>
          </w:tcPr>
          <w:p w14:paraId="42872B20" w14:textId="77777777" w:rsidR="00621A2F" w:rsidRPr="00621A2F" w:rsidRDefault="00621A2F" w:rsidP="00621A2F">
            <w:pPr>
              <w:ind w:firstLine="0"/>
            </w:pPr>
            <w:r w:rsidRPr="00621A2F">
              <w:t>Maximum Displacement (mm)</w:t>
            </w:r>
          </w:p>
        </w:tc>
        <w:tc>
          <w:tcPr>
            <w:tcW w:w="1555" w:type="pct"/>
            <w:hideMark/>
          </w:tcPr>
          <w:p w14:paraId="568E31BB" w14:textId="77777777" w:rsidR="00621A2F" w:rsidRPr="00621A2F" w:rsidRDefault="00621A2F" w:rsidP="00621A2F">
            <w:pPr>
              <w:ind w:firstLine="0"/>
            </w:pPr>
            <w:r w:rsidRPr="00621A2F">
              <w:t>0.22</w:t>
            </w:r>
          </w:p>
        </w:tc>
        <w:tc>
          <w:tcPr>
            <w:tcW w:w="1844" w:type="pct"/>
            <w:hideMark/>
          </w:tcPr>
          <w:p w14:paraId="2816BB3C" w14:textId="77777777" w:rsidR="00621A2F" w:rsidRPr="00621A2F" w:rsidRDefault="00621A2F" w:rsidP="00621A2F">
            <w:pPr>
              <w:ind w:firstLine="0"/>
            </w:pPr>
            <w:r w:rsidRPr="00621A2F">
              <w:t>0.38</w:t>
            </w:r>
          </w:p>
        </w:tc>
      </w:tr>
      <w:tr w:rsidR="00621A2F" w:rsidRPr="00621A2F" w14:paraId="6AEAA11F" w14:textId="77777777" w:rsidTr="00621A2F">
        <w:tc>
          <w:tcPr>
            <w:tcW w:w="1600" w:type="pct"/>
            <w:hideMark/>
          </w:tcPr>
          <w:p w14:paraId="7600373B" w14:textId="77777777" w:rsidR="00621A2F" w:rsidRPr="00621A2F" w:rsidRDefault="00621A2F" w:rsidP="00621A2F">
            <w:pPr>
              <w:ind w:firstLine="0"/>
            </w:pPr>
            <w:r w:rsidRPr="00621A2F">
              <w:t>Part Count</w:t>
            </w:r>
          </w:p>
        </w:tc>
        <w:tc>
          <w:tcPr>
            <w:tcW w:w="1555" w:type="pct"/>
            <w:hideMark/>
          </w:tcPr>
          <w:p w14:paraId="0153C29B" w14:textId="77777777" w:rsidR="00621A2F" w:rsidRPr="00621A2F" w:rsidRDefault="00621A2F" w:rsidP="00621A2F">
            <w:pPr>
              <w:ind w:firstLine="0"/>
            </w:pPr>
            <w:r w:rsidRPr="00621A2F">
              <w:t>3</w:t>
            </w:r>
          </w:p>
        </w:tc>
        <w:tc>
          <w:tcPr>
            <w:tcW w:w="1844" w:type="pct"/>
            <w:hideMark/>
          </w:tcPr>
          <w:p w14:paraId="055D64A4" w14:textId="77777777" w:rsidR="00621A2F" w:rsidRPr="00621A2F" w:rsidRDefault="00621A2F" w:rsidP="00621A2F">
            <w:pPr>
              <w:ind w:firstLine="0"/>
            </w:pPr>
            <w:r w:rsidRPr="00621A2F">
              <w:t>1</w:t>
            </w:r>
          </w:p>
        </w:tc>
      </w:tr>
      <w:tr w:rsidR="00621A2F" w:rsidRPr="00621A2F" w14:paraId="02AD691D" w14:textId="77777777" w:rsidTr="00621A2F">
        <w:tc>
          <w:tcPr>
            <w:tcW w:w="1600" w:type="pct"/>
            <w:hideMark/>
          </w:tcPr>
          <w:p w14:paraId="46341AC7" w14:textId="77777777" w:rsidR="00621A2F" w:rsidRPr="00621A2F" w:rsidRDefault="00621A2F" w:rsidP="00621A2F">
            <w:pPr>
              <w:ind w:firstLine="0"/>
            </w:pPr>
            <w:r w:rsidRPr="00621A2F">
              <w:t>Buy-to-Fly Ratio</w:t>
            </w:r>
          </w:p>
        </w:tc>
        <w:tc>
          <w:tcPr>
            <w:tcW w:w="1555" w:type="pct"/>
            <w:hideMark/>
          </w:tcPr>
          <w:p w14:paraId="57F43043" w14:textId="77777777" w:rsidR="00621A2F" w:rsidRPr="00621A2F" w:rsidRDefault="00621A2F" w:rsidP="00621A2F">
            <w:pPr>
              <w:ind w:firstLine="0"/>
            </w:pPr>
            <w:r w:rsidRPr="00621A2F">
              <w:t>~6.7:1</w:t>
            </w:r>
          </w:p>
        </w:tc>
        <w:tc>
          <w:tcPr>
            <w:tcW w:w="1844" w:type="pct"/>
            <w:hideMark/>
          </w:tcPr>
          <w:p w14:paraId="4DEC70BA" w14:textId="77777777" w:rsidR="00621A2F" w:rsidRPr="00621A2F" w:rsidRDefault="00621A2F" w:rsidP="00621A2F">
            <w:pPr>
              <w:ind w:firstLine="0"/>
            </w:pPr>
            <w:r w:rsidRPr="00621A2F">
              <w:t>~1.2:1</w:t>
            </w:r>
          </w:p>
        </w:tc>
      </w:tr>
    </w:tbl>
    <w:p w14:paraId="51A63355" w14:textId="77777777" w:rsidR="00621A2F" w:rsidRPr="00621A2F" w:rsidRDefault="00621A2F" w:rsidP="00621A2F">
      <w:r w:rsidRPr="00621A2F">
        <w:t xml:space="preserve">This initial bracket was a yield safe factor of 2.69, which demonstrates that it was considerably over-designed compared to the loads borne and that there is considerable unused material. The new redesigned bracket is more structurally demanding with a safety factor of 1.55. However, it falls within the accepted range of structural components of an aerospace </w:t>
      </w:r>
      <w:proofErr w:type="gramStart"/>
      <w:r w:rsidRPr="00621A2F">
        <w:t>structure, and</w:t>
      </w:r>
      <w:proofErr w:type="gramEnd"/>
      <w:r w:rsidRPr="00621A2F">
        <w:t xml:space="preserve"> is a better-utilized piece of material structurally. The Design Failure Modes and Effects Analysis (DFMEA) was done to determine possible failure modes of the redesigned bracket. The primary risk event that was identified was fatigue crack initiation at strut-shell transition zones in the infill lattice, and this was mitigated by introducing the local shell increase in thickness that was introduced in design loop one. The secondary risks are stress concentration effects at the as-built lattice strut surface due to roughnesses of surfaces, which are corrected through the mentioned HIP after-processing protocol.</w:t>
      </w:r>
    </w:p>
    <w:p w14:paraId="700C2DC1" w14:textId="5656F0F0" w:rsidR="00621A2F" w:rsidRPr="00621A2F" w:rsidRDefault="00621A2F" w:rsidP="00621A2F">
      <w:pPr>
        <w:pStyle w:val="Heading1"/>
      </w:pPr>
      <w:r w:rsidRPr="00621A2F">
        <w:t>Manufacturing Feasibility, Post-Processing, Cost, and Sustainability</w:t>
      </w:r>
    </w:p>
    <w:p w14:paraId="1E4428D8" w14:textId="1EAC001D" w:rsidR="00621A2F" w:rsidRPr="00621A2F" w:rsidRDefault="00621A2F" w:rsidP="00621A2F">
      <w:pPr>
        <w:pStyle w:val="Heading2"/>
      </w:pPr>
      <w:r w:rsidRPr="00621A2F">
        <w:t>Build Orientation and Support Strategy</w:t>
      </w:r>
    </w:p>
    <w:p w14:paraId="37DFB751" w14:textId="77777777" w:rsidR="00621A2F" w:rsidRPr="00621A2F" w:rsidRDefault="00621A2F" w:rsidP="00621A2F">
      <w:r w:rsidRPr="00621A2F">
        <w:t xml:space="preserve">The choice of the </w:t>
      </w:r>
      <w:proofErr w:type="gramStart"/>
      <w:r w:rsidRPr="00621A2F">
        <w:t>build</w:t>
      </w:r>
      <w:proofErr w:type="gramEnd"/>
      <w:r w:rsidRPr="00621A2F">
        <w:t xml:space="preserve"> orientation of 45°, which would be used in the redesigned bracket, helps to reduce the overall volume of support structures needed whilst at the same time keeping the primary load-bearing struts at angles above the 40° self-support threshold, which is typical of SLM-processed Ti-6Al-4V. The underneath attachment flange protrusion and two strut nodes that are below the self-supporting angle are required to be held up by </w:t>
      </w:r>
      <w:proofErr w:type="gramStart"/>
      <w:r w:rsidRPr="00621A2F">
        <w:t>structures, but</w:t>
      </w:r>
      <w:proofErr w:type="gramEnd"/>
      <w:r w:rsidRPr="00621A2F">
        <w:t xml:space="preserve"> have also been optimised in terms of orientation. These supports are cone-shaped, with a contact interface of 0.1 mm, so that they can be easily cleaned by the erosion of the </w:t>
      </w:r>
      <w:proofErr w:type="gramStart"/>
      <w:r w:rsidRPr="00621A2F">
        <w:t>wire, and</w:t>
      </w:r>
      <w:proofErr w:type="gramEnd"/>
      <w:r w:rsidRPr="00621A2F">
        <w:t xml:space="preserve"> then allowing the support to be removed without leaving any topographical features in structurally sensitive sites. We approximate the overall support volume at 12 percent of the component build volume, which is compared with real-life targets of receiving aerospace-grade geometries of orientation-optimised support structures produced using LPBF, whereby the minimisation of support structures directly translates into material savings and post-processing cost savings (Jain et al., 2024). One part of Ti-6Al-4V is the expected total significant processing time of the remodeled bracket in a multi-part build plan, which would utilize typical SLM process parameters of approximately 4.2 hours.</w:t>
      </w:r>
    </w:p>
    <w:p w14:paraId="1C8877E5" w14:textId="14AD30EA" w:rsidR="00621A2F" w:rsidRPr="00621A2F" w:rsidRDefault="00621A2F" w:rsidP="00621A2F">
      <w:pPr>
        <w:pStyle w:val="Heading2"/>
      </w:pPr>
      <w:r w:rsidRPr="00621A2F">
        <w:t>Post-Processing and Inspection</w:t>
      </w:r>
    </w:p>
    <w:p w14:paraId="3A6C3B06" w14:textId="77777777" w:rsidR="00621A2F" w:rsidRPr="00621A2F" w:rsidRDefault="00621A2F" w:rsidP="00621A2F">
      <w:r w:rsidRPr="00621A2F">
        <w:t>After the SLM build, the component needs a predefined series of post operations to reach the surface finish, dimensional accuracy, and mechanical characteristics required in the design specification. The process involves: lift-off, electrical machining of the build plate, 2-hour-long machining of the wire electrical discharge, support structure machining, and early cleaning of the surface; HIP at 920°C, 100 MPa pressure, 2-hour-long: Seal internal pores, homogenise structure of internal lattice, internal lattice in non-critical interface surface; stress relief annealing at 800°C.</w:t>
      </w:r>
    </w:p>
    <w:p w14:paraId="65211CCF" w14:textId="51C1DE1D" w:rsidR="00621A2F" w:rsidRPr="00621A2F" w:rsidRDefault="00621A2F" w:rsidP="00621A2F">
      <w:pPr>
        <w:pStyle w:val="Heading2"/>
      </w:pPr>
      <w:r w:rsidRPr="00621A2F">
        <w:t>Cost and Sustainability Assessment</w:t>
      </w:r>
    </w:p>
    <w:p w14:paraId="425B23EA" w14:textId="77777777" w:rsidR="00621A2F" w:rsidRPr="00621A2F" w:rsidRDefault="00621A2F" w:rsidP="00621A2F">
      <w:r w:rsidRPr="00621A2F">
        <w:t xml:space="preserve">In </w:t>
      </w:r>
      <w:proofErr w:type="gramStart"/>
      <w:r w:rsidRPr="00621A2F">
        <w:t>contrasting</w:t>
      </w:r>
      <w:proofErr w:type="gramEnd"/>
      <w:r w:rsidRPr="00621A2F">
        <w:t xml:space="preserve"> the old CNC-machined aluminium bracket and the redesigned SLM Ti-6Al-4V counterpart, a cost analysis reveals the main trade-offs. The cost of Ti-6Al-4V powder would be very high at around £180 to £250 per kilogram when compared to Al 7075-T6 at around £15 to £25 per kilogram. Nevertheless, near-net-shape production of SLM radically lowers the amount of raw material: the redesigned part uses about 280 g of powder feedstock (as compared to about 3,000 g of billet used to machine the original bracket). The AM route is consolidated around a low-volume manufacturing batch of 50 units with a total per-unit price decrease of about 28 per cent of those of conventional </w:t>
      </w:r>
      <w:proofErr w:type="gramStart"/>
      <w:r w:rsidRPr="00621A2F">
        <w:t>machining</w:t>
      </w:r>
      <w:proofErr w:type="gramEnd"/>
      <w:r w:rsidRPr="00621A2F">
        <w:t>, in accordance with the results on cost competitiveness of AM metal machining of low-volume, geometrically complex aerospace parts (Gradl et al., 2022).</w:t>
      </w:r>
    </w:p>
    <w:p w14:paraId="3D7DA55E" w14:textId="77777777" w:rsidR="00621A2F" w:rsidRPr="00621A2F" w:rsidRDefault="00621A2F" w:rsidP="00621A2F">
      <w:r w:rsidRPr="00621A2F">
        <w:t xml:space="preserve">The decrease in the price-to-fly ratio from 6.7:1 to 1.2:1 is a huge saving in terms of material efficiency or from a sustainability point of view. AM has been shown in the various industries to save material consumption in its final elements by 35% to 80%, and additional savings are possible with continued design optimisation (Jung et al., 2023). Footprinting of energy and carbon is also minimized by three parts being combined into one, minimizing energy and carbon footprint in the assembly process, production of fasteners, and transportation process. Any unused Ti-6Al-4V material in the build chamber can be </w:t>
      </w:r>
      <w:proofErr w:type="gramStart"/>
      <w:r w:rsidRPr="00621A2F">
        <w:t>sieved</w:t>
      </w:r>
      <w:proofErr w:type="gramEnd"/>
      <w:r w:rsidRPr="00621A2F">
        <w:t xml:space="preserve"> and reused in subsequent </w:t>
      </w:r>
      <w:proofErr w:type="gramStart"/>
      <w:r w:rsidRPr="00621A2F">
        <w:t>builds</w:t>
      </w:r>
      <w:proofErr w:type="gramEnd"/>
      <w:r w:rsidRPr="00621A2F">
        <w:t>, thereby benefiting from the beneficial usage of material. The capability to print brackets ultimately on request, based on an electronic file, also does away with the need to depend on already purchased billets and forging or casting processes, resulting in less inventory carrying expenses and allowing quick reaction to design changes during the aircraft programme.</w:t>
      </w:r>
    </w:p>
    <w:p w14:paraId="183DED6E" w14:textId="18E01D4B" w:rsidR="00621A2F" w:rsidRPr="00621A2F" w:rsidRDefault="00621A2F" w:rsidP="00621A2F">
      <w:pPr>
        <w:pStyle w:val="Heading1"/>
      </w:pPr>
      <w:r w:rsidRPr="00621A2F">
        <w:t>Conclusion</w:t>
      </w:r>
    </w:p>
    <w:p w14:paraId="1ACA461E" w14:textId="77777777" w:rsidR="00621A2F" w:rsidRPr="00621A2F" w:rsidRDefault="00621A2F" w:rsidP="00621A2F">
      <w:r w:rsidRPr="00621A2F">
        <w:t xml:space="preserve">In this report, I have presented a case study of DfAM </w:t>
      </w:r>
      <w:proofErr w:type="gramStart"/>
      <w:r w:rsidRPr="00621A2F">
        <w:t>redesigning of</w:t>
      </w:r>
      <w:proofErr w:type="gramEnd"/>
      <w:r w:rsidRPr="00621A2F">
        <w:t xml:space="preserve"> </w:t>
      </w:r>
      <w:proofErr w:type="gramStart"/>
      <w:r w:rsidRPr="00621A2F">
        <w:t>an</w:t>
      </w:r>
      <w:proofErr w:type="gramEnd"/>
      <w:r w:rsidRPr="00621A2F">
        <w:t xml:space="preserve"> aerospace structural bracket. It commenced by examining the standard Al 7075-T6 machined component, the limitations of the machined part, and then proceeded to a systematic DfAM-based approach that entailed topology optimisation using the SIMP method, integration of BCC lattices, consolidation of components between three and one, and orientation of component position to be built.</w:t>
      </w:r>
    </w:p>
    <w:p w14:paraId="5CF0A65E" w14:textId="77777777" w:rsidR="00621A2F" w:rsidRPr="00621A2F" w:rsidRDefault="00621A2F" w:rsidP="00621A2F">
      <w:r w:rsidRPr="00621A2F">
        <w:t xml:space="preserve">The redesigned component has achieved a 48.7 percent mass reduction compared to the original component of 450 g, but 231 g, and has made a three-component system of components assembled into a single integrated component. The ratio between buy-to-fly is decreased to 1.2:1 as compared to 6.7:1, which is a step-change in material efficiency. FEA analysis made sure that the redesigned component achieved a minimum yield safety factor of 1.55 during the nominal loading conditions, but still, the limit loads of 1.5 times nominal still result in a positive margin of safety. By making definite geometric and post-processing design choices to achieve the intended outcomes, DFMEA-based analysis identified and minimized the key risks of failure. The fact that </w:t>
      </w:r>
      <w:proofErr w:type="gramStart"/>
      <w:r w:rsidRPr="00621A2F">
        <w:t>the unit</w:t>
      </w:r>
      <w:proofErr w:type="gramEnd"/>
      <w:r w:rsidRPr="00621A2F">
        <w:t xml:space="preserve"> cost saving of around 28% is added as compared to conventional production is also an added advantage to the AM method, since it is economically viable at low levels of production volumes.</w:t>
      </w:r>
    </w:p>
    <w:p w14:paraId="172B4A34" w14:textId="77777777" w:rsidR="00621A2F" w:rsidRPr="00621A2F" w:rsidRDefault="00621A2F" w:rsidP="00621A2F">
      <w:r w:rsidRPr="00621A2F">
        <w:t xml:space="preserve">The current study has </w:t>
      </w:r>
      <w:proofErr w:type="gramStart"/>
      <w:r w:rsidRPr="00621A2F">
        <w:t>a number of</w:t>
      </w:r>
      <w:proofErr w:type="gramEnd"/>
      <w:r w:rsidRPr="00621A2F">
        <w:t xml:space="preserve"> limitations. It was not based on strut-level mesh modelling, but on a lattice considered as a homogenised continuum model, which can give inaccuracies in the local prediction of stress in strut-to-shell interfaces. The cost analysis was done based on approximate rates of material and the machine, as opposed to the actual supplier quotes. There </w:t>
      </w:r>
      <w:proofErr w:type="gramStart"/>
      <w:r w:rsidRPr="00621A2F">
        <w:t>was</w:t>
      </w:r>
      <w:proofErr w:type="gramEnd"/>
      <w:r w:rsidRPr="00621A2F">
        <w:t xml:space="preserve"> no physical prototype manufacture </w:t>
      </w:r>
      <w:proofErr w:type="gramStart"/>
      <w:r w:rsidRPr="00621A2F">
        <w:t>and</w:t>
      </w:r>
      <w:proofErr w:type="gramEnd"/>
      <w:r w:rsidRPr="00621A2F">
        <w:t xml:space="preserve"> experimental testing as a part of this case study, and even experimental verification of the FEA predictions is a prerequisite for which the design might be seen to receive airworthiness certification. The future directions would involve integration of fatigue life prediction in cyclic loading that is representative of in-service loading, full explicit lattice FEA, and experimental compression and tensile tests of fabricated parts in different build orientations.</w:t>
      </w:r>
    </w:p>
    <w:p w14:paraId="526C0E72" w14:textId="1672FA64" w:rsidR="00621A2F" w:rsidRDefault="00621A2F" w:rsidP="00621A2F">
      <w:pPr>
        <w:rPr>
          <w:rFonts w:eastAsiaTheme="majorEastAsia" w:cstheme="majorBidi"/>
          <w:b/>
          <w:szCs w:val="32"/>
        </w:rPr>
      </w:pPr>
      <w:r w:rsidRPr="00621A2F">
        <w:t xml:space="preserve">Although these constraints exist, this paper suggests that DfAM implemented under rigorous conditions, when using the correct computational tools and understanding of the processes, can assist engineers to achieve aerospace structural parts with high performance-to-mass ratios, reduced material waste, lower </w:t>
      </w:r>
      <w:proofErr w:type="gramStart"/>
      <w:r w:rsidRPr="00621A2F">
        <w:t>supplied parts</w:t>
      </w:r>
      <w:proofErr w:type="gramEnd"/>
      <w:r w:rsidRPr="00621A2F">
        <w:t xml:space="preserve"> quantity, and streamline the supply chain compared to traditional manufacturing processes. The AM process qualification criterion evolution, the multi-scale topology optimisation and lattice design tools contribute to making DfAM a significant solution to the aerospace structures of the future (Reinke and Santos, 2026; Ibhadode et al., 2023).</w:t>
      </w:r>
      <w:r>
        <w:br w:type="page"/>
      </w:r>
    </w:p>
    <w:p w14:paraId="1F912A98" w14:textId="39DC45BC" w:rsidR="00621A2F" w:rsidRPr="00621A2F" w:rsidRDefault="00621A2F" w:rsidP="00621A2F">
      <w:pPr>
        <w:pStyle w:val="Heading1"/>
      </w:pPr>
      <w:r w:rsidRPr="00621A2F">
        <w:t>References</w:t>
      </w:r>
    </w:p>
    <w:p w14:paraId="1F1BD666" w14:textId="77777777" w:rsidR="00621A2F" w:rsidRPr="00621A2F" w:rsidRDefault="00621A2F" w:rsidP="00621A2F">
      <w:pPr>
        <w:ind w:left="720" w:hanging="720"/>
      </w:pPr>
      <w:r w:rsidRPr="00621A2F">
        <w:t xml:space="preserve">Aljaberi, M.H.K., Aghdam, M.M. and Goudarzi, T. (2024) 'Compressive Behavior of Novel Additively Manufactured Ti-6Al-4V Lattice Structures: Experimental and Numerical Studies', </w:t>
      </w:r>
      <w:r w:rsidRPr="00621A2F">
        <w:rPr>
          <w:i/>
          <w:iCs/>
        </w:rPr>
        <w:t>Materials</w:t>
      </w:r>
      <w:r w:rsidRPr="00621A2F">
        <w:t xml:space="preserve">, 17(15), p. 3691. Available at: </w:t>
      </w:r>
      <w:hyperlink r:id="rId13" w:history="1">
        <w:r w:rsidRPr="00621A2F">
          <w:rPr>
            <w:rStyle w:val="Hyperlink"/>
          </w:rPr>
          <w:t>https://pmc.ncbi.nlm.nih.gov/articles/PMC11313201/</w:t>
        </w:r>
      </w:hyperlink>
    </w:p>
    <w:p w14:paraId="09FCBDFB" w14:textId="46221CEA" w:rsidR="00621A2F" w:rsidRDefault="00621A2F" w:rsidP="00621A2F">
      <w:pPr>
        <w:ind w:left="720" w:hanging="720"/>
        <w:rPr>
          <w:rStyle w:val="Hyperlink"/>
        </w:rPr>
      </w:pPr>
      <w:r w:rsidRPr="00621A2F">
        <w:t xml:space="preserve">Asapu, S. and Ravi Kumar, Y. (2025) 'Design for Additive Manufacturing (DfAM): A Comprehensive Review with Case Study Insights', </w:t>
      </w:r>
      <w:r w:rsidRPr="00621A2F">
        <w:rPr>
          <w:i/>
          <w:iCs/>
        </w:rPr>
        <w:t>JOM</w:t>
      </w:r>
      <w:r w:rsidRPr="00621A2F">
        <w:t xml:space="preserve">, 77, pp. 3931–3951. Available at: </w:t>
      </w:r>
      <w:hyperlink r:id="rId14" w:history="1">
        <w:r w:rsidRPr="00621A2F">
          <w:rPr>
            <w:rStyle w:val="Hyperlink"/>
          </w:rPr>
          <w:t>https://link.springer.com/article/10.1007/s11837-025-07164-x</w:t>
        </w:r>
      </w:hyperlink>
    </w:p>
    <w:p w14:paraId="25BC046B" w14:textId="09DAD934" w:rsidR="00126180" w:rsidRPr="00621A2F" w:rsidRDefault="00126180" w:rsidP="00621A2F">
      <w:pPr>
        <w:ind w:left="720" w:hanging="720"/>
      </w:pPr>
      <w:r w:rsidRPr="00126180">
        <w:t xml:space="preserve">Chen, Y., Wang, Q., Wang, C., Gong, P., Shi, Y., Yu, Y. and Liu, Z. (2021) 'Topology Optimization Design and Experimental Research of a 3D-Printed Metal Aerospace Bracket Considering Fatigue Performance', </w:t>
      </w:r>
      <w:r w:rsidRPr="00126180">
        <w:rPr>
          <w:i/>
          <w:iCs/>
        </w:rPr>
        <w:t>Applied Sciences</w:t>
      </w:r>
      <w:r w:rsidRPr="00126180">
        <w:t xml:space="preserve">, 11(15), 6671. Available at: </w:t>
      </w:r>
      <w:hyperlink r:id="rId15" w:history="1">
        <w:r w:rsidRPr="00126180">
          <w:rPr>
            <w:rStyle w:val="Hyperlink"/>
          </w:rPr>
          <w:t>https://doi.org/10.3390/app11156671</w:t>
        </w:r>
      </w:hyperlink>
    </w:p>
    <w:p w14:paraId="4010FF21" w14:textId="77777777" w:rsidR="00621A2F" w:rsidRPr="00621A2F" w:rsidRDefault="00621A2F" w:rsidP="00621A2F">
      <w:pPr>
        <w:ind w:left="720" w:hanging="720"/>
      </w:pPr>
      <w:r w:rsidRPr="00621A2F">
        <w:t xml:space="preserve">Egan, P.F. (2023) 'Design for Additive Manufacturing: Recent Innovations and Future Directions', </w:t>
      </w:r>
      <w:r w:rsidRPr="00621A2F">
        <w:rPr>
          <w:i/>
          <w:iCs/>
        </w:rPr>
        <w:t>Designs</w:t>
      </w:r>
      <w:r w:rsidRPr="00621A2F">
        <w:t xml:space="preserve">, 7(4), p. 83. Available at: </w:t>
      </w:r>
      <w:hyperlink r:id="rId16" w:history="1">
        <w:r w:rsidRPr="00621A2F">
          <w:rPr>
            <w:rStyle w:val="Hyperlink"/>
          </w:rPr>
          <w:t>https://www.mdpi.com/2411-9660/7/4/83</w:t>
        </w:r>
      </w:hyperlink>
    </w:p>
    <w:p w14:paraId="671870A0" w14:textId="77777777" w:rsidR="00621A2F" w:rsidRPr="00621A2F" w:rsidRDefault="00621A2F" w:rsidP="00621A2F">
      <w:pPr>
        <w:ind w:left="720" w:hanging="720"/>
      </w:pPr>
      <w:r w:rsidRPr="00621A2F">
        <w:t xml:space="preserve">Gradl, P., Tinker, D.C., Park, A., Mireles, O.R., Garcia, M., Wilkerson, R. and Mckinney, C. (2022) 'Robust Metal Additive Manufacturing Process Selection and Development for Aerospace Components', </w:t>
      </w:r>
      <w:r w:rsidRPr="00621A2F">
        <w:rPr>
          <w:i/>
          <w:iCs/>
        </w:rPr>
        <w:t>Journal of Materials Engineering and Performance</w:t>
      </w:r>
      <w:r w:rsidRPr="00621A2F">
        <w:t xml:space="preserve">, 31, pp. 6013–6044. Available at: </w:t>
      </w:r>
      <w:hyperlink r:id="rId17" w:history="1">
        <w:r w:rsidRPr="00621A2F">
          <w:rPr>
            <w:rStyle w:val="Hyperlink"/>
          </w:rPr>
          <w:t>https://link.springer.com/article/10.1007/s11665-022-06850-0</w:t>
        </w:r>
      </w:hyperlink>
    </w:p>
    <w:p w14:paraId="2FA58996" w14:textId="77777777" w:rsidR="00621A2F" w:rsidRPr="00621A2F" w:rsidRDefault="00621A2F" w:rsidP="00621A2F">
      <w:pPr>
        <w:ind w:left="720" w:hanging="720"/>
      </w:pPr>
      <w:r w:rsidRPr="00621A2F">
        <w:t xml:space="preserve">Ibhadode, O., Zhang, Z., Sixt, J., Nsiempba, K.M., Orakwe, J., Martinez-Marchese, A., Ero, O., Imani Shahabad, S., Bonakdar, A. and Toyserkani, E. (2023) 'Topology optimization for metal additive manufacturing: current trends, challenges, and future outlook', </w:t>
      </w:r>
      <w:r w:rsidRPr="00621A2F">
        <w:rPr>
          <w:i/>
          <w:iCs/>
        </w:rPr>
        <w:t>Virtual and Physical Prototyping</w:t>
      </w:r>
      <w:r w:rsidRPr="00621A2F">
        <w:t xml:space="preserve">, 18(1), e2181192. Available at: </w:t>
      </w:r>
      <w:hyperlink r:id="rId18" w:history="1">
        <w:r w:rsidRPr="00621A2F">
          <w:rPr>
            <w:rStyle w:val="Hyperlink"/>
          </w:rPr>
          <w:t>https://www.tandfonline.com/doi/full/10.1080/17452759.2023.2181192</w:t>
        </w:r>
      </w:hyperlink>
    </w:p>
    <w:p w14:paraId="7C9C02B3" w14:textId="77777777" w:rsidR="00621A2F" w:rsidRPr="00621A2F" w:rsidRDefault="00621A2F" w:rsidP="00621A2F">
      <w:pPr>
        <w:ind w:left="720" w:hanging="720"/>
      </w:pPr>
      <w:r w:rsidRPr="00621A2F">
        <w:t xml:space="preserve">Jain, R., Singh, S.K., Upadhyay, R.K. and Agrawal, B.N. (2024) 'Design and development of topology-optimized aircraft bracket using additive manufacturing', </w:t>
      </w:r>
      <w:r w:rsidRPr="00621A2F">
        <w:rPr>
          <w:i/>
          <w:iCs/>
        </w:rPr>
        <w:t>International Journal on Interactive Design and Manufacturing (IJIDeM)</w:t>
      </w:r>
      <w:r w:rsidRPr="00621A2F">
        <w:t xml:space="preserve">. Available at: </w:t>
      </w:r>
      <w:hyperlink r:id="rId19" w:history="1">
        <w:r w:rsidRPr="00621A2F">
          <w:rPr>
            <w:rStyle w:val="Hyperlink"/>
          </w:rPr>
          <w:t>https://link.springer.com/article/10.1007/s12008-024-02038-z</w:t>
        </w:r>
      </w:hyperlink>
    </w:p>
    <w:p w14:paraId="08208A9C" w14:textId="77777777" w:rsidR="00621A2F" w:rsidRPr="00621A2F" w:rsidRDefault="00621A2F" w:rsidP="00621A2F">
      <w:pPr>
        <w:ind w:left="720" w:hanging="720"/>
      </w:pPr>
      <w:r w:rsidRPr="00621A2F">
        <w:t xml:space="preserve">Jung, S., Kara, L.B., Nie, Z., Simpson, T.W. and Whitefoot, K.S. (2023) 'Is Additive Manufacturing an Environmentally and Economically Preferred Alternative for Mass Production?', </w:t>
      </w:r>
      <w:r w:rsidRPr="00621A2F">
        <w:rPr>
          <w:i/>
          <w:iCs/>
        </w:rPr>
        <w:t>Environmental Science and Technology</w:t>
      </w:r>
      <w:r w:rsidRPr="00621A2F">
        <w:t xml:space="preserve">, 57(16), pp. 6373–6386. Available at: </w:t>
      </w:r>
      <w:hyperlink r:id="rId20" w:history="1">
        <w:r w:rsidRPr="00621A2F">
          <w:rPr>
            <w:rStyle w:val="Hyperlink"/>
          </w:rPr>
          <w:t>https://pubs.acs.org/doi/10.1021/acs.est.2c04927</w:t>
        </w:r>
      </w:hyperlink>
    </w:p>
    <w:p w14:paraId="637246A1" w14:textId="77777777" w:rsidR="00621A2F" w:rsidRPr="00621A2F" w:rsidRDefault="00621A2F" w:rsidP="00621A2F">
      <w:pPr>
        <w:ind w:left="720" w:hanging="720"/>
      </w:pPr>
      <w:r w:rsidRPr="00621A2F">
        <w:t xml:space="preserve">Li, Y., Jiang, D., Zhao, R., Wang, X., Wang, L. and Zhang, L.-C. (2024) 'High Mechanical Performance of Lattice Structures Fabricated by Additive Manufacturing', </w:t>
      </w:r>
      <w:r w:rsidRPr="00621A2F">
        <w:rPr>
          <w:i/>
          <w:iCs/>
        </w:rPr>
        <w:t>Metals</w:t>
      </w:r>
      <w:r w:rsidRPr="00621A2F">
        <w:t xml:space="preserve">, 14(10), p. 1165. Available at: </w:t>
      </w:r>
      <w:hyperlink r:id="rId21" w:history="1">
        <w:r w:rsidRPr="00621A2F">
          <w:rPr>
            <w:rStyle w:val="Hyperlink"/>
          </w:rPr>
          <w:t>https://www.mdpi.com/2075-4701/14/10/1165</w:t>
        </w:r>
      </w:hyperlink>
    </w:p>
    <w:p w14:paraId="320C8507" w14:textId="77777777" w:rsidR="00621A2F" w:rsidRPr="00621A2F" w:rsidRDefault="00621A2F" w:rsidP="00621A2F">
      <w:pPr>
        <w:ind w:left="720" w:hanging="720"/>
      </w:pPr>
      <w:r w:rsidRPr="00621A2F">
        <w:t xml:space="preserve">Okorie, O., Perveen, A., Talamona, D. and Kostas, K. (2023) 'Topology Optimization of an Aerospace Bracket: Numerical and Experimental Investigation', </w:t>
      </w:r>
      <w:r w:rsidRPr="00621A2F">
        <w:rPr>
          <w:i/>
          <w:iCs/>
        </w:rPr>
        <w:t>Applied Sciences</w:t>
      </w:r>
      <w:r w:rsidRPr="00621A2F">
        <w:t xml:space="preserve">, 13(24), p. 13218. Available at: </w:t>
      </w:r>
      <w:hyperlink r:id="rId22" w:history="1">
        <w:r w:rsidRPr="00621A2F">
          <w:rPr>
            <w:rStyle w:val="Hyperlink"/>
          </w:rPr>
          <w:t>https://www.mdpi.com/2076-3417/13/24/13218</w:t>
        </w:r>
      </w:hyperlink>
    </w:p>
    <w:p w14:paraId="25581EA8" w14:textId="77777777" w:rsidR="00621A2F" w:rsidRPr="00621A2F" w:rsidRDefault="00621A2F" w:rsidP="00621A2F">
      <w:pPr>
        <w:ind w:left="720" w:hanging="720"/>
      </w:pPr>
      <w:r w:rsidRPr="00621A2F">
        <w:t xml:space="preserve">Reinke, G. and Santos, A.C. (2026) 'A systematic review and unified framework for design for additive manufacturing (DfAM)', </w:t>
      </w:r>
      <w:r w:rsidRPr="00621A2F">
        <w:rPr>
          <w:i/>
          <w:iCs/>
        </w:rPr>
        <w:t>The International Journal of Advanced Manufacturing Technology</w:t>
      </w:r>
      <w:r w:rsidRPr="00621A2F">
        <w:t xml:space="preserve">. Available at: </w:t>
      </w:r>
      <w:hyperlink r:id="rId23" w:history="1">
        <w:r w:rsidRPr="00621A2F">
          <w:rPr>
            <w:rStyle w:val="Hyperlink"/>
          </w:rPr>
          <w:t>https://link.springer.com/article/10.1007/s00170-026-17632-6</w:t>
        </w:r>
      </w:hyperlink>
    </w:p>
    <w:p w14:paraId="63A86CA9" w14:textId="0DCCDEB4" w:rsidR="00C725B7" w:rsidRPr="00621A2F" w:rsidRDefault="00621A2F" w:rsidP="00621A2F">
      <w:pPr>
        <w:ind w:left="720" w:hanging="720"/>
      </w:pPr>
      <w:r w:rsidRPr="00621A2F">
        <w:t xml:space="preserve">Ye, Z., Xu, P., Du, H., Shi, Y. and Zhuo, L. (2025) 'Application of finite element analysis in laser additive manufacturing: A review', </w:t>
      </w:r>
      <w:r w:rsidRPr="00621A2F">
        <w:rPr>
          <w:i/>
          <w:iCs/>
        </w:rPr>
        <w:t>Journal of Laser Applications</w:t>
      </w:r>
      <w:r w:rsidRPr="00621A2F">
        <w:t xml:space="preserve">, 37(2), 021204. Available at: </w:t>
      </w:r>
      <w:hyperlink r:id="rId24" w:history="1">
        <w:r w:rsidRPr="00621A2F">
          <w:rPr>
            <w:rStyle w:val="Hyperlink"/>
          </w:rPr>
          <w:t>https://pubs.aip.org/lia/jla/article/37/2/021204/3347443</w:t>
        </w:r>
      </w:hyperlink>
    </w:p>
    <w:sectPr w:rsidR="00C725B7" w:rsidRPr="00621A2F">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79EF0" w14:textId="77777777" w:rsidR="00D074DC" w:rsidRDefault="00D074DC" w:rsidP="00621A2F">
      <w:pPr>
        <w:spacing w:line="240" w:lineRule="auto"/>
      </w:pPr>
      <w:r>
        <w:separator/>
      </w:r>
    </w:p>
  </w:endnote>
  <w:endnote w:type="continuationSeparator" w:id="0">
    <w:p w14:paraId="0ADEFC82" w14:textId="77777777" w:rsidR="00D074DC" w:rsidRDefault="00D074DC" w:rsidP="00621A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00000001" w:usb1="08070000" w:usb2="00000010" w:usb3="00000000" w:csb0="00020000"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9D4D51" w14:textId="77777777" w:rsidR="00D074DC" w:rsidRDefault="00D074DC" w:rsidP="00621A2F">
      <w:pPr>
        <w:spacing w:line="240" w:lineRule="auto"/>
      </w:pPr>
      <w:r>
        <w:separator/>
      </w:r>
    </w:p>
  </w:footnote>
  <w:footnote w:type="continuationSeparator" w:id="0">
    <w:p w14:paraId="09F59CB0" w14:textId="77777777" w:rsidR="00D074DC" w:rsidRDefault="00D074DC" w:rsidP="00621A2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6066253"/>
      <w:docPartObj>
        <w:docPartGallery w:val="Page Numbers (Top of Page)"/>
        <w:docPartUnique/>
      </w:docPartObj>
    </w:sdtPr>
    <w:sdtEndPr>
      <w:rPr>
        <w:noProof/>
      </w:rPr>
    </w:sdtEndPr>
    <w:sdtContent>
      <w:p w14:paraId="760945F0" w14:textId="3DBF98FE" w:rsidR="00621A2F" w:rsidRDefault="00621A2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F0D0822" w14:textId="77777777" w:rsidR="00621A2F" w:rsidRDefault="00621A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A2F"/>
    <w:rsid w:val="00022DBA"/>
    <w:rsid w:val="00126180"/>
    <w:rsid w:val="001C57A2"/>
    <w:rsid w:val="00211841"/>
    <w:rsid w:val="002F5479"/>
    <w:rsid w:val="00326E1E"/>
    <w:rsid w:val="00374B3C"/>
    <w:rsid w:val="00405B87"/>
    <w:rsid w:val="004A56CE"/>
    <w:rsid w:val="004B422F"/>
    <w:rsid w:val="004E480D"/>
    <w:rsid w:val="005573AB"/>
    <w:rsid w:val="005E7CE2"/>
    <w:rsid w:val="00621A2F"/>
    <w:rsid w:val="00622826"/>
    <w:rsid w:val="006C2694"/>
    <w:rsid w:val="007A6899"/>
    <w:rsid w:val="007D7B05"/>
    <w:rsid w:val="007E774C"/>
    <w:rsid w:val="008317F9"/>
    <w:rsid w:val="00891213"/>
    <w:rsid w:val="008E0639"/>
    <w:rsid w:val="008F4DFC"/>
    <w:rsid w:val="00954303"/>
    <w:rsid w:val="009714E7"/>
    <w:rsid w:val="00C4549A"/>
    <w:rsid w:val="00C725B7"/>
    <w:rsid w:val="00CF4F87"/>
    <w:rsid w:val="00D074DC"/>
    <w:rsid w:val="00D738F2"/>
    <w:rsid w:val="00D96E3D"/>
    <w:rsid w:val="00E65448"/>
    <w:rsid w:val="00ED6AC1"/>
    <w:rsid w:val="00F722C0"/>
    <w:rsid w:val="0B9FF0B6"/>
    <w:rsid w:val="549241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476CB5"/>
  <w15:chartTrackingRefBased/>
  <w15:docId w15:val="{7F3E55AD-203E-49CA-B140-39EFD9BE0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B3C"/>
    <w:pPr>
      <w:spacing w:after="0" w:line="480" w:lineRule="auto"/>
      <w:ind w:firstLine="720"/>
    </w:pPr>
    <w:rPr>
      <w:rFonts w:ascii="Times New Roman" w:hAnsi="Times New Roman"/>
      <w:sz w:val="24"/>
      <w:lang w:val="en-US"/>
    </w:rPr>
  </w:style>
  <w:style w:type="paragraph" w:styleId="Heading1">
    <w:name w:val="heading 1"/>
    <w:basedOn w:val="Normal"/>
    <w:next w:val="Normal"/>
    <w:link w:val="Heading1Char"/>
    <w:uiPriority w:val="9"/>
    <w:qFormat/>
    <w:rsid w:val="009714E7"/>
    <w:pPr>
      <w:keepNext/>
      <w:keepLines/>
      <w:ind w:firstLine="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B422F"/>
    <w:pPr>
      <w:keepNext/>
      <w:keepLines/>
      <w:ind w:firstLine="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4B422F"/>
    <w:pPr>
      <w:keepNext/>
      <w:keepLines/>
      <w:ind w:firstLine="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C4549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4E7"/>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B422F"/>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4B422F"/>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621A2F"/>
    <w:rPr>
      <w:color w:val="0563C1" w:themeColor="hyperlink"/>
      <w:u w:val="single"/>
    </w:rPr>
  </w:style>
  <w:style w:type="character" w:styleId="UnresolvedMention">
    <w:name w:val="Unresolved Mention"/>
    <w:basedOn w:val="DefaultParagraphFont"/>
    <w:uiPriority w:val="99"/>
    <w:semiHidden/>
    <w:unhideWhenUsed/>
    <w:rsid w:val="00621A2F"/>
    <w:rPr>
      <w:color w:val="605E5C"/>
      <w:shd w:val="clear" w:color="auto" w:fill="E1DFDD"/>
    </w:rPr>
  </w:style>
  <w:style w:type="paragraph" w:styleId="Header">
    <w:name w:val="header"/>
    <w:basedOn w:val="Normal"/>
    <w:link w:val="HeaderChar"/>
    <w:uiPriority w:val="99"/>
    <w:unhideWhenUsed/>
    <w:rsid w:val="00621A2F"/>
    <w:pPr>
      <w:tabs>
        <w:tab w:val="center" w:pos="4513"/>
        <w:tab w:val="right" w:pos="9026"/>
      </w:tabs>
      <w:spacing w:line="240" w:lineRule="auto"/>
    </w:pPr>
  </w:style>
  <w:style w:type="character" w:customStyle="1" w:styleId="HeaderChar">
    <w:name w:val="Header Char"/>
    <w:basedOn w:val="DefaultParagraphFont"/>
    <w:link w:val="Header"/>
    <w:uiPriority w:val="99"/>
    <w:rsid w:val="00621A2F"/>
    <w:rPr>
      <w:rFonts w:ascii="Times New Roman" w:hAnsi="Times New Roman"/>
      <w:sz w:val="24"/>
      <w:lang w:val="en-US"/>
    </w:rPr>
  </w:style>
  <w:style w:type="paragraph" w:styleId="Footer">
    <w:name w:val="footer"/>
    <w:basedOn w:val="Normal"/>
    <w:link w:val="FooterChar"/>
    <w:uiPriority w:val="99"/>
    <w:unhideWhenUsed/>
    <w:rsid w:val="00621A2F"/>
    <w:pPr>
      <w:tabs>
        <w:tab w:val="center" w:pos="4513"/>
        <w:tab w:val="right" w:pos="9026"/>
      </w:tabs>
      <w:spacing w:line="240" w:lineRule="auto"/>
    </w:pPr>
  </w:style>
  <w:style w:type="character" w:customStyle="1" w:styleId="FooterChar">
    <w:name w:val="Footer Char"/>
    <w:basedOn w:val="DefaultParagraphFont"/>
    <w:link w:val="Footer"/>
    <w:uiPriority w:val="99"/>
    <w:rsid w:val="00621A2F"/>
    <w:rPr>
      <w:rFonts w:ascii="Times New Roman" w:hAnsi="Times New Roman"/>
      <w:sz w:val="24"/>
      <w:lang w:val="en-US"/>
    </w:rPr>
  </w:style>
  <w:style w:type="table" w:styleId="TableGrid">
    <w:name w:val="Table Grid"/>
    <w:basedOn w:val="TableNormal"/>
    <w:uiPriority w:val="39"/>
    <w:rsid w:val="00621A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21A2F"/>
    <w:pPr>
      <w:spacing w:after="0" w:line="240" w:lineRule="auto"/>
      <w:ind w:firstLine="720"/>
    </w:pPr>
    <w:rPr>
      <w:rFonts w:ascii="Times New Roman" w:hAnsi="Times New Roman"/>
      <w:sz w:val="24"/>
      <w:lang w:val="en-US"/>
    </w:rPr>
  </w:style>
  <w:style w:type="character" w:customStyle="1" w:styleId="Heading4Char">
    <w:name w:val="Heading 4 Char"/>
    <w:basedOn w:val="DefaultParagraphFont"/>
    <w:link w:val="Heading4"/>
    <w:uiPriority w:val="9"/>
    <w:rsid w:val="00C4549A"/>
    <w:rPr>
      <w:rFonts w:asciiTheme="majorHAnsi" w:eastAsiaTheme="majorEastAsia" w:hAnsiTheme="majorHAnsi" w:cstheme="majorBidi"/>
      <w:i/>
      <w:iCs/>
      <w:color w:val="2F5496" w:themeColor="accent1" w:themeShade="BF"/>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1790106">
      <w:bodyDiv w:val="1"/>
      <w:marLeft w:val="0"/>
      <w:marRight w:val="0"/>
      <w:marTop w:val="0"/>
      <w:marBottom w:val="0"/>
      <w:divBdr>
        <w:top w:val="none" w:sz="0" w:space="0" w:color="auto"/>
        <w:left w:val="none" w:sz="0" w:space="0" w:color="auto"/>
        <w:bottom w:val="none" w:sz="0" w:space="0" w:color="auto"/>
        <w:right w:val="none" w:sz="0" w:space="0" w:color="auto"/>
      </w:divBdr>
      <w:divsChild>
        <w:div w:id="163396604">
          <w:marLeft w:val="0"/>
          <w:marRight w:val="0"/>
          <w:marTop w:val="0"/>
          <w:marBottom w:val="0"/>
          <w:divBdr>
            <w:top w:val="none" w:sz="0" w:space="0" w:color="auto"/>
            <w:left w:val="none" w:sz="0" w:space="0" w:color="auto"/>
            <w:bottom w:val="none" w:sz="0" w:space="0" w:color="auto"/>
            <w:right w:val="none" w:sz="0" w:space="0" w:color="auto"/>
          </w:divBdr>
        </w:div>
        <w:div w:id="1723016569">
          <w:marLeft w:val="0"/>
          <w:marRight w:val="0"/>
          <w:marTop w:val="0"/>
          <w:marBottom w:val="0"/>
          <w:divBdr>
            <w:top w:val="none" w:sz="0" w:space="0" w:color="auto"/>
            <w:left w:val="none" w:sz="0" w:space="0" w:color="auto"/>
            <w:bottom w:val="none" w:sz="0" w:space="0" w:color="auto"/>
            <w:right w:val="none" w:sz="0" w:space="0" w:color="auto"/>
          </w:divBdr>
        </w:div>
        <w:div w:id="2063289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pmc.ncbi.nlm.nih.gov/articles/PMC11313201/" TargetMode="External"/><Relationship Id="rId18" Type="http://schemas.openxmlformats.org/officeDocument/2006/relationships/hyperlink" Target="https://www.tandfonline.com/doi/full/10.1080/17452759.2023.2181192"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dpi.com/2075-4701/14/10/1165"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link.springer.com/article/10.1007/s11665-022-06850-0"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mdpi.com/2411-9660/7/4/83" TargetMode="External"/><Relationship Id="rId20" Type="http://schemas.openxmlformats.org/officeDocument/2006/relationships/hyperlink" Target="https://pubs.acs.org/doi/10.1021/acs.est.2c0492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pubs.aip.org/lia/jla/article/37/2/021204/3347443" TargetMode="External"/><Relationship Id="rId5" Type="http://schemas.openxmlformats.org/officeDocument/2006/relationships/webSettings" Target="webSettings.xml"/><Relationship Id="rId15" Type="http://schemas.openxmlformats.org/officeDocument/2006/relationships/hyperlink" Target="https://doi.org/10.3390/app11156671" TargetMode="External"/><Relationship Id="rId23" Type="http://schemas.openxmlformats.org/officeDocument/2006/relationships/hyperlink" Target="https://link.springer.com/article/10.1007/s00170-026-17632-6" TargetMode="External"/><Relationship Id="rId10" Type="http://schemas.openxmlformats.org/officeDocument/2006/relationships/image" Target="media/image3.png"/><Relationship Id="rId19" Type="http://schemas.openxmlformats.org/officeDocument/2006/relationships/hyperlink" Target="https://link.springer.com/article/10.1007/s12008-024-02038-z"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link.springer.com/article/10.1007/s11837-025-07164-x" TargetMode="External"/><Relationship Id="rId22" Type="http://schemas.openxmlformats.org/officeDocument/2006/relationships/hyperlink" Target="https://www.mdpi.com/2076-3417/13/24/1321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759BFC-8D33-4ED0-90E1-936C832948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Pages>
  <Words>5329</Words>
  <Characters>30377</Characters>
  <Application>Microsoft Office Word</Application>
  <DocSecurity>4</DocSecurity>
  <Lines>253</Lines>
  <Paragraphs>71</Paragraphs>
  <ScaleCrop>false</ScaleCrop>
  <Company/>
  <LinksUpToDate>false</LinksUpToDate>
  <CharactersWithSpaces>35635</CharactersWithSpaces>
  <SharedDoc>false</SharedDoc>
  <HLinks>
    <vt:vector size="72" baseType="variant">
      <vt:variant>
        <vt:i4>1835024</vt:i4>
      </vt:variant>
      <vt:variant>
        <vt:i4>33</vt:i4>
      </vt:variant>
      <vt:variant>
        <vt:i4>0</vt:i4>
      </vt:variant>
      <vt:variant>
        <vt:i4>5</vt:i4>
      </vt:variant>
      <vt:variant>
        <vt:lpwstr>https://pubs.aip.org/lia/jla/article/37/2/021204/3347443</vt:lpwstr>
      </vt:variant>
      <vt:variant>
        <vt:lpwstr/>
      </vt:variant>
      <vt:variant>
        <vt:i4>327690</vt:i4>
      </vt:variant>
      <vt:variant>
        <vt:i4>30</vt:i4>
      </vt:variant>
      <vt:variant>
        <vt:i4>0</vt:i4>
      </vt:variant>
      <vt:variant>
        <vt:i4>5</vt:i4>
      </vt:variant>
      <vt:variant>
        <vt:lpwstr>https://link.springer.com/article/10.1007/s00170-026-17632-6</vt:lpwstr>
      </vt:variant>
      <vt:variant>
        <vt:lpwstr/>
      </vt:variant>
      <vt:variant>
        <vt:i4>7405620</vt:i4>
      </vt:variant>
      <vt:variant>
        <vt:i4>27</vt:i4>
      </vt:variant>
      <vt:variant>
        <vt:i4>0</vt:i4>
      </vt:variant>
      <vt:variant>
        <vt:i4>5</vt:i4>
      </vt:variant>
      <vt:variant>
        <vt:lpwstr>https://www.mdpi.com/2076-3417/13/24/13218</vt:lpwstr>
      </vt:variant>
      <vt:variant>
        <vt:lpwstr/>
      </vt:variant>
      <vt:variant>
        <vt:i4>4980742</vt:i4>
      </vt:variant>
      <vt:variant>
        <vt:i4>24</vt:i4>
      </vt:variant>
      <vt:variant>
        <vt:i4>0</vt:i4>
      </vt:variant>
      <vt:variant>
        <vt:i4>5</vt:i4>
      </vt:variant>
      <vt:variant>
        <vt:lpwstr>https://www.mdpi.com/2075-4701/14/10/1165</vt:lpwstr>
      </vt:variant>
      <vt:variant>
        <vt:lpwstr/>
      </vt:variant>
      <vt:variant>
        <vt:i4>1114181</vt:i4>
      </vt:variant>
      <vt:variant>
        <vt:i4>21</vt:i4>
      </vt:variant>
      <vt:variant>
        <vt:i4>0</vt:i4>
      </vt:variant>
      <vt:variant>
        <vt:i4>5</vt:i4>
      </vt:variant>
      <vt:variant>
        <vt:lpwstr>https://pubs.acs.org/doi/10.1021/acs.est.2c04927</vt:lpwstr>
      </vt:variant>
      <vt:variant>
        <vt:lpwstr/>
      </vt:variant>
      <vt:variant>
        <vt:i4>5111818</vt:i4>
      </vt:variant>
      <vt:variant>
        <vt:i4>18</vt:i4>
      </vt:variant>
      <vt:variant>
        <vt:i4>0</vt:i4>
      </vt:variant>
      <vt:variant>
        <vt:i4>5</vt:i4>
      </vt:variant>
      <vt:variant>
        <vt:lpwstr>https://link.springer.com/article/10.1007/s12008-024-02038-z</vt:lpwstr>
      </vt:variant>
      <vt:variant>
        <vt:lpwstr/>
      </vt:variant>
      <vt:variant>
        <vt:i4>3014773</vt:i4>
      </vt:variant>
      <vt:variant>
        <vt:i4>15</vt:i4>
      </vt:variant>
      <vt:variant>
        <vt:i4>0</vt:i4>
      </vt:variant>
      <vt:variant>
        <vt:i4>5</vt:i4>
      </vt:variant>
      <vt:variant>
        <vt:lpwstr>https://www.tandfonline.com/doi/full/10.1080/17452759.2023.2181192</vt:lpwstr>
      </vt:variant>
      <vt:variant>
        <vt:lpwstr/>
      </vt:variant>
      <vt:variant>
        <vt:i4>589837</vt:i4>
      </vt:variant>
      <vt:variant>
        <vt:i4>12</vt:i4>
      </vt:variant>
      <vt:variant>
        <vt:i4>0</vt:i4>
      </vt:variant>
      <vt:variant>
        <vt:i4>5</vt:i4>
      </vt:variant>
      <vt:variant>
        <vt:lpwstr>https://link.springer.com/article/10.1007/s11665-022-06850-0</vt:lpwstr>
      </vt:variant>
      <vt:variant>
        <vt:lpwstr/>
      </vt:variant>
      <vt:variant>
        <vt:i4>5767190</vt:i4>
      </vt:variant>
      <vt:variant>
        <vt:i4>9</vt:i4>
      </vt:variant>
      <vt:variant>
        <vt:i4>0</vt:i4>
      </vt:variant>
      <vt:variant>
        <vt:i4>5</vt:i4>
      </vt:variant>
      <vt:variant>
        <vt:lpwstr>https://www.mdpi.com/2411-9660/7/4/83</vt:lpwstr>
      </vt:variant>
      <vt:variant>
        <vt:lpwstr/>
      </vt:variant>
      <vt:variant>
        <vt:i4>6881402</vt:i4>
      </vt:variant>
      <vt:variant>
        <vt:i4>6</vt:i4>
      </vt:variant>
      <vt:variant>
        <vt:i4>0</vt:i4>
      </vt:variant>
      <vt:variant>
        <vt:i4>5</vt:i4>
      </vt:variant>
      <vt:variant>
        <vt:lpwstr>https://doi.org/10.3390/app11156671</vt:lpwstr>
      </vt:variant>
      <vt:variant>
        <vt:lpwstr/>
      </vt:variant>
      <vt:variant>
        <vt:i4>4653066</vt:i4>
      </vt:variant>
      <vt:variant>
        <vt:i4>3</vt:i4>
      </vt:variant>
      <vt:variant>
        <vt:i4>0</vt:i4>
      </vt:variant>
      <vt:variant>
        <vt:i4>5</vt:i4>
      </vt:variant>
      <vt:variant>
        <vt:lpwstr>https://link.springer.com/article/10.1007/s11837-025-07164-x</vt:lpwstr>
      </vt:variant>
      <vt:variant>
        <vt:lpwstr/>
      </vt:variant>
      <vt:variant>
        <vt:i4>3342368</vt:i4>
      </vt:variant>
      <vt:variant>
        <vt:i4>0</vt:i4>
      </vt:variant>
      <vt:variant>
        <vt:i4>0</vt:i4>
      </vt:variant>
      <vt:variant>
        <vt:i4>5</vt:i4>
      </vt:variant>
      <vt:variant>
        <vt:lpwstr>https://pmc.ncbi.nlm.nih.gov/articles/PMC11313201/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Al Mostafa (2204342)</dc:creator>
  <cp:keywords/>
  <cp:lastModifiedBy>Ali Al Mostafa (2204342)</cp:lastModifiedBy>
  <cp:revision>10</cp:revision>
  <dcterms:created xsi:type="dcterms:W3CDTF">2026-04-27T01:44:00Z</dcterms:created>
  <dcterms:modified xsi:type="dcterms:W3CDTF">2026-04-26T17:52:00Z</dcterms:modified>
</cp:coreProperties>
</file>