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EA224A2" w:rsidP="74B24D56" w:rsidRDefault="6EA224A2" w14:paraId="0B0832B4" w14:textId="1A0D099E">
      <w:pPr>
        <w:rPr>
          <w:b w:val="1"/>
          <w:bCs w:val="1"/>
          <w:sz w:val="32"/>
          <w:szCs w:val="32"/>
        </w:rPr>
      </w:pPr>
      <w:r w:rsidRPr="74B24D56" w:rsidR="6EA224A2">
        <w:rPr>
          <w:b w:val="1"/>
          <w:bCs w:val="1"/>
          <w:sz w:val="32"/>
          <w:szCs w:val="32"/>
        </w:rPr>
        <w:t xml:space="preserve">Student Name Sonia Ali </w:t>
      </w:r>
    </w:p>
    <w:p w:rsidR="6EA224A2" w:rsidP="74B24D56" w:rsidRDefault="6EA224A2" w14:paraId="23975F08" w14:textId="1C9DA2AE">
      <w:pPr>
        <w:rPr>
          <w:b w:val="1"/>
          <w:bCs w:val="1"/>
          <w:sz w:val="32"/>
          <w:szCs w:val="32"/>
        </w:rPr>
      </w:pPr>
      <w:r w:rsidRPr="74B24D56" w:rsidR="6EA224A2">
        <w:rPr>
          <w:b w:val="1"/>
          <w:bCs w:val="1"/>
          <w:sz w:val="32"/>
          <w:szCs w:val="32"/>
        </w:rPr>
        <w:t>Id number is 2311446</w:t>
      </w:r>
    </w:p>
    <w:p w:rsidR="73BD0833" w:rsidP="74B24D56" w:rsidRDefault="73BD0833" w14:paraId="5FE063B2" w14:textId="39791CF0">
      <w:pPr>
        <w:rPr>
          <w:b w:val="1"/>
          <w:bCs w:val="1"/>
          <w:sz w:val="32"/>
          <w:szCs w:val="32"/>
        </w:rPr>
      </w:pPr>
      <w:r w:rsidRPr="74B24D56" w:rsidR="73BD0833">
        <w:rPr>
          <w:b w:val="1"/>
          <w:bCs w:val="1"/>
          <w:sz w:val="32"/>
          <w:szCs w:val="32"/>
        </w:rPr>
        <w:t xml:space="preserve">Module </w:t>
      </w:r>
    </w:p>
    <w:p w:rsidR="72D17B00" w:rsidP="74B24D56" w:rsidRDefault="72D17B00" w14:paraId="326E19AF" w14:textId="1E9CA9FF">
      <w:pPr>
        <w:rPr>
          <w:b w:val="1"/>
          <w:bCs w:val="1"/>
          <w:sz w:val="32"/>
          <w:szCs w:val="32"/>
        </w:rPr>
      </w:pPr>
      <w:r w:rsidRPr="74B24D56" w:rsidR="72D17B00">
        <w:rPr>
          <w:b w:val="1"/>
          <w:bCs w:val="1"/>
          <w:sz w:val="32"/>
          <w:szCs w:val="32"/>
        </w:rPr>
        <w:t xml:space="preserve"> </w:t>
      </w:r>
      <w:r w:rsidRPr="74B24D56" w:rsidR="73BD0833">
        <w:rPr>
          <w:b w:val="1"/>
          <w:bCs w:val="1"/>
          <w:sz w:val="32"/>
          <w:szCs w:val="32"/>
        </w:rPr>
        <w:t>Introduction</w:t>
      </w:r>
      <w:r w:rsidRPr="74B24D56" w:rsidR="6EA224A2">
        <w:rPr>
          <w:b w:val="1"/>
          <w:bCs w:val="1"/>
          <w:sz w:val="32"/>
          <w:szCs w:val="32"/>
        </w:rPr>
        <w:t xml:space="preserve"> to Independent </w:t>
      </w:r>
      <w:r w:rsidRPr="74B24D56" w:rsidR="5833C677">
        <w:rPr>
          <w:b w:val="1"/>
          <w:bCs w:val="1"/>
          <w:sz w:val="32"/>
          <w:szCs w:val="32"/>
        </w:rPr>
        <w:t>Research Skill</w:t>
      </w:r>
    </w:p>
    <w:p w:rsidR="1EC350CE" w:rsidP="74B24D56" w:rsidRDefault="1EC350CE" w14:paraId="62904691" w14:textId="3BC17293">
      <w:pPr>
        <w:rPr>
          <w:b w:val="1"/>
          <w:bCs w:val="1"/>
          <w:sz w:val="32"/>
          <w:szCs w:val="32"/>
        </w:rPr>
      </w:pPr>
      <w:r w:rsidRPr="74B24D56" w:rsidR="1EC350CE">
        <w:rPr>
          <w:b w:val="1"/>
          <w:bCs w:val="1"/>
          <w:sz w:val="32"/>
          <w:szCs w:val="32"/>
        </w:rPr>
        <w:t>Module code</w:t>
      </w:r>
    </w:p>
    <w:p w:rsidR="1EC350CE" w:rsidP="74B24D56" w:rsidRDefault="1EC350CE" w14:paraId="32F4AB82" w14:textId="327B854A">
      <w:pPr>
        <w:rPr>
          <w:b w:val="1"/>
          <w:bCs w:val="1"/>
          <w:sz w:val="32"/>
          <w:szCs w:val="32"/>
        </w:rPr>
      </w:pPr>
      <w:r w:rsidRPr="74B24D56" w:rsidR="1EC350CE">
        <w:rPr>
          <w:b w:val="1"/>
          <w:bCs w:val="1"/>
          <w:sz w:val="32"/>
          <w:szCs w:val="32"/>
        </w:rPr>
        <w:t xml:space="preserve">  </w:t>
      </w:r>
      <w:r w:rsidRPr="74B24D56" w:rsidR="7969E15E">
        <w:rPr>
          <w:b w:val="1"/>
          <w:bCs w:val="1"/>
          <w:sz w:val="32"/>
          <w:szCs w:val="32"/>
        </w:rPr>
        <w:t>(</w:t>
      </w:r>
      <w:r w:rsidRPr="74B24D56" w:rsidR="1EC350CE">
        <w:rPr>
          <w:b w:val="1"/>
          <w:bCs w:val="1"/>
          <w:sz w:val="32"/>
          <w:szCs w:val="32"/>
        </w:rPr>
        <w:t>BMHP5019</w:t>
      </w:r>
      <w:r w:rsidRPr="74B24D56" w:rsidR="631AF7B3">
        <w:rPr>
          <w:b w:val="1"/>
          <w:bCs w:val="1"/>
          <w:sz w:val="32"/>
          <w:szCs w:val="32"/>
        </w:rPr>
        <w:t>)</w:t>
      </w:r>
    </w:p>
    <w:p w:rsidR="631AF7B3" w:rsidP="74B24D56" w:rsidRDefault="631AF7B3" w14:paraId="42D7DCEF" w14:textId="4E0AEB28">
      <w:pPr>
        <w:rPr>
          <w:b w:val="1"/>
          <w:bCs w:val="1"/>
          <w:sz w:val="32"/>
          <w:szCs w:val="32"/>
        </w:rPr>
      </w:pPr>
      <w:r w:rsidRPr="74B24D56" w:rsidR="631AF7B3">
        <w:rPr>
          <w:b w:val="1"/>
          <w:bCs w:val="1"/>
          <w:sz w:val="32"/>
          <w:szCs w:val="32"/>
        </w:rPr>
        <w:t xml:space="preserve">Lecturer Name </w:t>
      </w:r>
    </w:p>
    <w:p w:rsidR="631AF7B3" w:rsidP="74B24D56" w:rsidRDefault="631AF7B3" w14:paraId="144AF38E" w14:textId="571D0ECA">
      <w:pPr>
        <w:rPr>
          <w:b w:val="1"/>
          <w:bCs w:val="1"/>
          <w:sz w:val="32"/>
          <w:szCs w:val="32"/>
        </w:rPr>
      </w:pPr>
      <w:r w:rsidRPr="74B24D56" w:rsidR="631AF7B3">
        <w:rPr>
          <w:b w:val="1"/>
          <w:bCs w:val="1"/>
          <w:sz w:val="32"/>
          <w:szCs w:val="32"/>
        </w:rPr>
        <w:t>Philips Jones</w:t>
      </w:r>
    </w:p>
    <w:p w:rsidR="74B24D56" w:rsidP="74B24D56" w:rsidRDefault="74B24D56" w14:paraId="1CDCB984" w14:textId="441F7C1F">
      <w:pPr>
        <w:rPr>
          <w:b w:val="1"/>
          <w:bCs w:val="1"/>
          <w:sz w:val="32"/>
          <w:szCs w:val="32"/>
        </w:rPr>
      </w:pPr>
    </w:p>
    <w:p w:rsidR="74B24D56" w:rsidP="74B24D56" w:rsidRDefault="74B24D56" w14:paraId="1CDD755A" w14:textId="3CB58CD5">
      <w:pPr>
        <w:rPr>
          <w:b w:val="1"/>
          <w:bCs w:val="1"/>
          <w:sz w:val="32"/>
          <w:szCs w:val="32"/>
        </w:rPr>
      </w:pPr>
    </w:p>
    <w:p w:rsidR="74B24D56" w:rsidP="74B24D56" w:rsidRDefault="74B24D56" w14:paraId="1D334ACB" w14:textId="337B2990">
      <w:pPr>
        <w:rPr>
          <w:b w:val="1"/>
          <w:bCs w:val="1"/>
          <w:sz w:val="32"/>
          <w:szCs w:val="32"/>
        </w:rPr>
      </w:pPr>
    </w:p>
    <w:p w:rsidR="74B24D56" w:rsidP="74B24D56" w:rsidRDefault="74B24D56" w14:paraId="12AFD683" w14:textId="6F1A662D">
      <w:pPr>
        <w:rPr>
          <w:b w:val="1"/>
          <w:bCs w:val="1"/>
          <w:sz w:val="32"/>
          <w:szCs w:val="32"/>
        </w:rPr>
      </w:pPr>
    </w:p>
    <w:p w:rsidR="74B24D56" w:rsidP="74B24D56" w:rsidRDefault="74B24D56" w14:paraId="2B07A30F" w14:textId="6FB20A2E">
      <w:pPr>
        <w:rPr>
          <w:b w:val="1"/>
          <w:bCs w:val="1"/>
          <w:sz w:val="32"/>
          <w:szCs w:val="32"/>
        </w:rPr>
      </w:pPr>
    </w:p>
    <w:p w:rsidR="74B24D56" w:rsidP="74B24D56" w:rsidRDefault="74B24D56" w14:paraId="776A33C7" w14:textId="3A5CB42D">
      <w:pPr>
        <w:rPr>
          <w:b w:val="1"/>
          <w:bCs w:val="1"/>
          <w:sz w:val="32"/>
          <w:szCs w:val="32"/>
        </w:rPr>
      </w:pPr>
    </w:p>
    <w:p w:rsidR="74B24D56" w:rsidP="74B24D56" w:rsidRDefault="74B24D56" w14:paraId="7DF73338" w14:textId="048B63E8">
      <w:pPr>
        <w:rPr>
          <w:b w:val="1"/>
          <w:bCs w:val="1"/>
          <w:sz w:val="32"/>
          <w:szCs w:val="32"/>
        </w:rPr>
      </w:pPr>
    </w:p>
    <w:p w:rsidR="74B24D56" w:rsidP="74B24D56" w:rsidRDefault="74B24D56" w14:paraId="49041FD7" w14:textId="2DE1FCA5">
      <w:pPr>
        <w:rPr>
          <w:b w:val="1"/>
          <w:bCs w:val="1"/>
          <w:sz w:val="32"/>
          <w:szCs w:val="32"/>
        </w:rPr>
      </w:pPr>
    </w:p>
    <w:p w:rsidR="74B24D56" w:rsidP="74B24D56" w:rsidRDefault="74B24D56" w14:paraId="502D631E" w14:textId="1F258984">
      <w:pPr>
        <w:rPr>
          <w:b w:val="1"/>
          <w:bCs w:val="1"/>
          <w:sz w:val="32"/>
          <w:szCs w:val="32"/>
        </w:rPr>
      </w:pPr>
    </w:p>
    <w:p w:rsidR="74B24D56" w:rsidP="74B24D56" w:rsidRDefault="74B24D56" w14:paraId="5C9F6BFF" w14:textId="39DD5AAF">
      <w:pPr>
        <w:rPr>
          <w:b w:val="1"/>
          <w:bCs w:val="1"/>
          <w:sz w:val="32"/>
          <w:szCs w:val="32"/>
        </w:rPr>
      </w:pPr>
    </w:p>
    <w:p w:rsidR="74B24D56" w:rsidP="74B24D56" w:rsidRDefault="74B24D56" w14:paraId="192F5111" w14:textId="30571272">
      <w:pPr>
        <w:rPr>
          <w:b w:val="1"/>
          <w:bCs w:val="1"/>
          <w:sz w:val="32"/>
          <w:szCs w:val="32"/>
        </w:rPr>
      </w:pPr>
    </w:p>
    <w:p w:rsidR="74B24D56" w:rsidP="74B24D56" w:rsidRDefault="74B24D56" w14:paraId="72613B8B" w14:textId="4716AD2B">
      <w:pPr>
        <w:rPr>
          <w:b w:val="1"/>
          <w:bCs w:val="1"/>
          <w:sz w:val="32"/>
          <w:szCs w:val="32"/>
        </w:rPr>
      </w:pPr>
    </w:p>
    <w:p w:rsidR="74B24D56" w:rsidP="74B24D56" w:rsidRDefault="74B24D56" w14:paraId="48D81E11" w14:textId="6A4EBE8A">
      <w:pPr>
        <w:rPr>
          <w:b w:val="1"/>
          <w:bCs w:val="1"/>
          <w:sz w:val="32"/>
          <w:szCs w:val="32"/>
        </w:rPr>
      </w:pPr>
    </w:p>
    <w:p w:rsidR="74B24D56" w:rsidP="74B24D56" w:rsidRDefault="74B24D56" w14:paraId="0DB3BCBE" w14:textId="7DC976C0">
      <w:pPr>
        <w:rPr>
          <w:b w:val="1"/>
          <w:bCs w:val="1"/>
          <w:sz w:val="32"/>
          <w:szCs w:val="32"/>
        </w:rPr>
      </w:pPr>
    </w:p>
    <w:p w:rsidR="74B24D56" w:rsidP="74B24D56" w:rsidRDefault="74B24D56" w14:paraId="54D793FE" w14:textId="161AE89C">
      <w:pPr>
        <w:rPr>
          <w:b w:val="1"/>
          <w:bCs w:val="1"/>
          <w:sz w:val="32"/>
          <w:szCs w:val="32"/>
        </w:rPr>
      </w:pPr>
    </w:p>
    <w:p w:rsidR="270CAEF6" w:rsidP="366FF58F" w:rsidRDefault="270CAEF6" w14:paraId="3BBAA7C7" w14:textId="640FF5C3">
      <w:pPr>
        <w:rPr>
          <w:b w:val="1"/>
          <w:bCs w:val="1"/>
          <w:sz w:val="32"/>
          <w:szCs w:val="32"/>
        </w:rPr>
      </w:pPr>
      <w:r w:rsidRPr="366FF58F" w:rsidR="270CAEF6">
        <w:rPr>
          <w:b w:val="1"/>
          <w:bCs w:val="1"/>
          <w:sz w:val="32"/>
          <w:szCs w:val="32"/>
        </w:rPr>
        <w:t xml:space="preserve">TOPIC </w:t>
      </w:r>
    </w:p>
    <w:p w:rsidR="270CAEF6" w:rsidP="366FF58F" w:rsidRDefault="270CAEF6" w14:paraId="0BDD5C8E" w14:textId="6564F8F9">
      <w:pPr>
        <w:rPr>
          <w:b w:val="1"/>
          <w:bCs w:val="1"/>
          <w:sz w:val="32"/>
          <w:szCs w:val="32"/>
        </w:rPr>
      </w:pPr>
      <w:r w:rsidRPr="366FF58F" w:rsidR="270CAEF6">
        <w:rPr>
          <w:b w:val="1"/>
          <w:bCs w:val="1"/>
          <w:sz w:val="32"/>
          <w:szCs w:val="32"/>
        </w:rPr>
        <w:t xml:space="preserve">COVID –19 </w:t>
      </w:r>
    </w:p>
    <w:p w:rsidR="270CAEF6" w:rsidP="366FF58F" w:rsidRDefault="270CAEF6" w14:paraId="4483751F" w14:textId="43FA1121">
      <w:pPr>
        <w:rPr>
          <w:b w:val="1"/>
          <w:bCs w:val="1"/>
          <w:sz w:val="32"/>
          <w:szCs w:val="32"/>
        </w:rPr>
      </w:pPr>
      <w:r w:rsidRPr="51E95A26" w:rsidR="1C9A5169">
        <w:rPr>
          <w:b w:val="1"/>
          <w:bCs w:val="1"/>
          <w:sz w:val="32"/>
          <w:szCs w:val="32"/>
        </w:rPr>
        <w:t>INT</w:t>
      </w:r>
      <w:r w:rsidRPr="51E95A26" w:rsidR="229DA54D">
        <w:rPr>
          <w:b w:val="1"/>
          <w:bCs w:val="1"/>
          <w:sz w:val="32"/>
          <w:szCs w:val="32"/>
        </w:rPr>
        <w:t>RODUCTION</w:t>
      </w:r>
    </w:p>
    <w:p w:rsidR="2771367F" w:rsidP="51E95A26" w:rsidRDefault="2771367F" w14:paraId="292D5697" w14:textId="20B04A1C">
      <w:pPr>
        <w:spacing w:before="281" w:beforeAutospacing="off" w:after="281" w:afterAutospacing="off"/>
      </w:pPr>
      <w:r w:rsidRPr="51E95A26" w:rsidR="60056F80">
        <w:rPr>
          <w:rFonts w:ascii="Aptos" w:hAnsi="Aptos" w:eastAsia="Aptos" w:cs="Aptos"/>
          <w:noProof w:val="0"/>
          <w:sz w:val="22"/>
          <w:szCs w:val="22"/>
          <w:lang w:val="en-GB"/>
        </w:rPr>
        <w:t xml:space="preserve">The new Severe Acute Respiratory Syndrome Coronavirus 2 (SARS-CoV-2) is the infectious agent that causes the Coronavirus Disease 2019 (COVID-19). The World Health Organisation (WHO) declared it a global pandemic in March 2020 after it was initially discovered in Wuhan, China, in late 2019 and quickly expanded throughout the world. Although COVID-19 mostly affects the respiratory system, it can also create problems with several organs, especially in people who have concomitant conditions including diabetes, heart disease, or compromised immune systems. It is one of the biggest public health emergencies of the twenty-first century because it spreads by aerosols and respiratory droplets. </w:t>
      </w:r>
    </w:p>
    <w:p w:rsidR="2771367F" w:rsidP="51E95A26" w:rsidRDefault="2771367F" w14:paraId="7B66CD3E" w14:textId="11A9839C">
      <w:pPr>
        <w:pStyle w:val="Heading3"/>
        <w:spacing w:before="281" w:beforeAutospacing="off" w:after="281" w:afterAutospacing="off"/>
        <w:rPr>
          <w:rFonts w:ascii="Aptos" w:hAnsi="Aptos" w:eastAsia="Aptos" w:cs="Aptos"/>
          <w:b w:val="1"/>
          <w:bCs w:val="1"/>
          <w:noProof w:val="0"/>
          <w:color w:val="000000" w:themeColor="text1" w:themeTint="FF" w:themeShade="FF"/>
          <w:sz w:val="28"/>
          <w:szCs w:val="28"/>
          <w:lang w:val="en-GB"/>
        </w:rPr>
      </w:pPr>
      <w:r w:rsidRPr="51E95A26" w:rsidR="229DA54D">
        <w:rPr>
          <w:rFonts w:ascii="Aptos" w:hAnsi="Aptos" w:eastAsia="Aptos" w:cs="Aptos"/>
          <w:b w:val="1"/>
          <w:bCs w:val="1"/>
          <w:noProof w:val="0"/>
          <w:color w:val="000000" w:themeColor="text1" w:themeTint="FF" w:themeShade="FF"/>
          <w:sz w:val="28"/>
          <w:szCs w:val="28"/>
          <w:lang w:val="en-GB"/>
        </w:rPr>
        <w:t>Rationale</w:t>
      </w:r>
    </w:p>
    <w:p w:rsidR="00F044B2" w:rsidP="74B24D56" w:rsidRDefault="00F044B2" w14:paraId="655B9FEE" w14:textId="23CAB5B1">
      <w:pPr>
        <w:pStyle w:val="Normal"/>
        <w:rPr>
          <w:rFonts w:ascii="Aptos" w:hAnsi="Aptos" w:eastAsia="Aptos" w:cs="Aptos"/>
          <w:noProof w:val="0"/>
          <w:sz w:val="22"/>
          <w:szCs w:val="22"/>
          <w:lang w:val="en-GB"/>
        </w:rPr>
      </w:pPr>
      <w:r w:rsidRPr="74B24D56" w:rsidR="4B0679AD">
        <w:rPr>
          <w:rFonts w:ascii="Aptos" w:hAnsi="Aptos" w:eastAsia="Aptos" w:cs="Aptos"/>
          <w:noProof w:val="0"/>
          <w:sz w:val="22"/>
          <w:szCs w:val="22"/>
          <w:lang w:val="en-GB"/>
        </w:rPr>
        <w:t>A significant</w:t>
      </w:r>
      <w:r w:rsidRPr="74B24D56" w:rsidR="73E82068">
        <w:rPr>
          <w:rFonts w:ascii="Aptos" w:hAnsi="Aptos" w:eastAsia="Aptos" w:cs="Aptos"/>
          <w:noProof w:val="0"/>
          <w:sz w:val="22"/>
          <w:szCs w:val="22"/>
          <w:lang w:val="en-GB"/>
        </w:rPr>
        <w:t xml:space="preserve"> amount of scientific </w:t>
      </w:r>
      <w:r w:rsidRPr="74B24D56" w:rsidR="1DDE06D0">
        <w:rPr>
          <w:rFonts w:ascii="Aptos" w:hAnsi="Aptos" w:eastAsia="Aptos" w:cs="Aptos"/>
          <w:noProof w:val="0"/>
          <w:sz w:val="22"/>
          <w:szCs w:val="22"/>
          <w:lang w:val="en-GB"/>
        </w:rPr>
        <w:t xml:space="preserve">research </w:t>
      </w:r>
      <w:r w:rsidRPr="74B24D56" w:rsidR="73E82068">
        <w:rPr>
          <w:rFonts w:ascii="Aptos" w:hAnsi="Aptos" w:eastAsia="Aptos" w:cs="Aptos"/>
          <w:noProof w:val="0"/>
          <w:sz w:val="22"/>
          <w:szCs w:val="22"/>
          <w:lang w:val="en-GB"/>
        </w:rPr>
        <w:t xml:space="preserve">has been produced by the COVID-19 pandemic in several fields, including virology, epidemiology, public health, mental health, and socioeconomic effects. However, policymakers, researchers, and medical professionals find it difficult to stay on top of new findings due to the number and speed of publications. Therefore, a scoping study is necessary to methodically map the nature, extent, and breadth of COVID-19-related research, </w:t>
      </w:r>
      <w:r w:rsidRPr="74B24D56" w:rsidR="73E82068">
        <w:rPr>
          <w:rFonts w:ascii="Aptos" w:hAnsi="Aptos" w:eastAsia="Aptos" w:cs="Aptos"/>
          <w:noProof w:val="0"/>
          <w:sz w:val="22"/>
          <w:szCs w:val="22"/>
          <w:lang w:val="en-GB"/>
        </w:rPr>
        <w:t>identify</w:t>
      </w:r>
      <w:r w:rsidRPr="74B24D56" w:rsidR="73E82068">
        <w:rPr>
          <w:rFonts w:ascii="Aptos" w:hAnsi="Aptos" w:eastAsia="Aptos" w:cs="Aptos"/>
          <w:noProof w:val="0"/>
          <w:sz w:val="22"/>
          <w:szCs w:val="22"/>
          <w:lang w:val="en-GB"/>
        </w:rPr>
        <w:t xml:space="preserve"> knowledge gaps that need to be filled, and highlight key issues. To support successful public health plans and policy decisions, this </w:t>
      </w:r>
      <w:r w:rsidRPr="74B24D56" w:rsidR="43C26D30">
        <w:rPr>
          <w:rFonts w:ascii="Aptos" w:hAnsi="Aptos" w:eastAsia="Aptos" w:cs="Aptos"/>
          <w:noProof w:val="0"/>
          <w:sz w:val="22"/>
          <w:szCs w:val="22"/>
          <w:lang w:val="en-GB"/>
        </w:rPr>
        <w:t xml:space="preserve">method </w:t>
      </w:r>
      <w:r w:rsidRPr="74B24D56" w:rsidR="43C26D30">
        <w:rPr>
          <w:rFonts w:ascii="Aptos" w:hAnsi="Aptos" w:eastAsia="Aptos" w:cs="Aptos"/>
          <w:noProof w:val="0"/>
          <w:sz w:val="22"/>
          <w:szCs w:val="22"/>
          <w:lang w:val="en-GB"/>
        </w:rPr>
        <w:t>facilitates</w:t>
      </w:r>
      <w:r w:rsidRPr="74B24D56" w:rsidR="23D9BA0F">
        <w:rPr>
          <w:rFonts w:ascii="Aptos" w:hAnsi="Aptos" w:eastAsia="Aptos" w:cs="Aptos"/>
          <w:noProof w:val="0"/>
          <w:sz w:val="22"/>
          <w:szCs w:val="22"/>
          <w:lang w:val="en-GB"/>
        </w:rPr>
        <w:t xml:space="preserve"> a clear und</w:t>
      </w:r>
      <w:r w:rsidRPr="74B24D56" w:rsidR="05D3541E">
        <w:rPr>
          <w:rFonts w:ascii="Aptos" w:hAnsi="Aptos" w:eastAsia="Aptos" w:cs="Aptos"/>
          <w:noProof w:val="0"/>
          <w:sz w:val="22"/>
          <w:szCs w:val="22"/>
          <w:lang w:val="en-GB"/>
        </w:rPr>
        <w:t>e</w:t>
      </w:r>
      <w:r w:rsidRPr="74B24D56" w:rsidR="23D9BA0F">
        <w:rPr>
          <w:rFonts w:ascii="Aptos" w:hAnsi="Aptos" w:eastAsia="Aptos" w:cs="Aptos"/>
          <w:noProof w:val="0"/>
          <w:sz w:val="22"/>
          <w:szCs w:val="22"/>
          <w:lang w:val="en-GB"/>
        </w:rPr>
        <w:t xml:space="preserve">rstanding of </w:t>
      </w:r>
      <w:r w:rsidRPr="74B24D56" w:rsidR="73E82068">
        <w:rPr>
          <w:rFonts w:ascii="Aptos" w:hAnsi="Aptos" w:eastAsia="Aptos" w:cs="Aptos"/>
          <w:noProof w:val="0"/>
          <w:sz w:val="22"/>
          <w:szCs w:val="22"/>
          <w:lang w:val="en-GB"/>
        </w:rPr>
        <w:t xml:space="preserve">what is known and where </w:t>
      </w:r>
      <w:r w:rsidRPr="74B24D56" w:rsidR="5CCE236E">
        <w:rPr>
          <w:rFonts w:ascii="Aptos" w:hAnsi="Aptos" w:eastAsia="Aptos" w:cs="Aptos"/>
          <w:noProof w:val="0"/>
          <w:sz w:val="22"/>
          <w:szCs w:val="22"/>
          <w:lang w:val="en-GB"/>
        </w:rPr>
        <w:t>further study</w:t>
      </w:r>
      <w:r w:rsidRPr="74B24D56" w:rsidR="73E82068">
        <w:rPr>
          <w:rFonts w:ascii="Aptos" w:hAnsi="Aptos" w:eastAsia="Aptos" w:cs="Aptos"/>
          <w:noProof w:val="0"/>
          <w:sz w:val="22"/>
          <w:szCs w:val="22"/>
          <w:lang w:val="en-GB"/>
        </w:rPr>
        <w:t xml:space="preserve"> is </w:t>
      </w:r>
      <w:r w:rsidRPr="74B24D56" w:rsidR="73E82068">
        <w:rPr>
          <w:rFonts w:ascii="Aptos" w:hAnsi="Aptos" w:eastAsia="Aptos" w:cs="Aptos"/>
          <w:noProof w:val="0"/>
          <w:sz w:val="22"/>
          <w:szCs w:val="22"/>
          <w:lang w:val="en-GB"/>
        </w:rPr>
        <w:t>required</w:t>
      </w:r>
      <w:r w:rsidRPr="74B24D56" w:rsidR="73E82068">
        <w:rPr>
          <w:rFonts w:ascii="Aptos" w:hAnsi="Aptos" w:eastAsia="Aptos" w:cs="Aptos"/>
          <w:noProof w:val="0"/>
          <w:sz w:val="22"/>
          <w:szCs w:val="22"/>
          <w:lang w:val="en-GB"/>
        </w:rPr>
        <w:t>.</w:t>
      </w:r>
    </w:p>
    <w:p w:rsidR="366FF58F" w:rsidP="74B24D56" w:rsidRDefault="366FF58F" w14:paraId="7715A61B" w14:textId="4D04EC44">
      <w:pPr>
        <w:pStyle w:val="Heading3"/>
        <w:spacing w:before="281" w:beforeAutospacing="off" w:after="281" w:afterAutospacing="off"/>
        <w:rPr>
          <w:rFonts w:ascii="Aptos" w:hAnsi="Aptos" w:eastAsia="Aptos" w:cs="Aptos"/>
          <w:b w:val="1"/>
          <w:bCs w:val="1"/>
          <w:noProof w:val="0"/>
          <w:color w:val="000000" w:themeColor="text1" w:themeTint="FF" w:themeShade="FF"/>
          <w:sz w:val="28"/>
          <w:szCs w:val="28"/>
          <w:lang w:val="en-GB"/>
        </w:rPr>
      </w:pPr>
      <w:r w:rsidRPr="74B24D56" w:rsidR="1ACAF550">
        <w:rPr>
          <w:rFonts w:ascii="Aptos" w:hAnsi="Aptos" w:eastAsia="Aptos" w:cs="Aptos"/>
          <w:b w:val="1"/>
          <w:bCs w:val="1"/>
          <w:noProof w:val="0"/>
          <w:color w:val="000000" w:themeColor="text1" w:themeTint="FF" w:themeShade="FF"/>
          <w:sz w:val="28"/>
          <w:szCs w:val="28"/>
          <w:lang w:val="en-GB"/>
        </w:rPr>
        <w:t>Objectives of the Scoping Review</w:t>
      </w:r>
    </w:p>
    <w:p w:rsidR="366FF58F" w:rsidP="74B24D56" w:rsidRDefault="366FF58F" w14:paraId="3287C0FD" w14:textId="1BFDC9CA">
      <w:pPr>
        <w:pStyle w:val="Heading3"/>
        <w:spacing w:before="281" w:beforeAutospacing="off" w:after="281" w:afterAutospacing="off"/>
        <w:rPr>
          <w:rFonts w:ascii="Aptos" w:hAnsi="Aptos" w:eastAsia="Aptos" w:cs="Aptos"/>
          <w:b w:val="1"/>
          <w:bCs w:val="1"/>
          <w:noProof w:val="0"/>
          <w:color w:val="000000" w:themeColor="text1" w:themeTint="FF" w:themeShade="FF"/>
          <w:sz w:val="22"/>
          <w:szCs w:val="22"/>
          <w:lang w:val="en-GB"/>
        </w:rPr>
      </w:pPr>
      <w:r w:rsidRPr="74B24D56" w:rsidR="383DA8C2">
        <w:rPr>
          <w:rFonts w:ascii="Aptos" w:hAnsi="Aptos" w:eastAsia="Aptos" w:cs="Aptos"/>
          <w:noProof w:val="0"/>
          <w:color w:val="000000" w:themeColor="text1" w:themeTint="FF" w:themeShade="FF"/>
          <w:sz w:val="22"/>
          <w:szCs w:val="22"/>
          <w:lang w:val="en-GB"/>
        </w:rPr>
        <w:t xml:space="preserve">This scoping review's primary goals are to: </w:t>
      </w:r>
    </w:p>
    <w:p w:rsidR="366FF58F" w:rsidP="74B24D56" w:rsidRDefault="366FF58F" w14:paraId="0FA80FDF" w14:textId="28060079">
      <w:pPr>
        <w:pStyle w:val="Normal"/>
        <w:spacing w:before="0" w:beforeAutospacing="off" w:after="0" w:afterAutospacing="off"/>
        <w:rPr>
          <w:rFonts w:ascii="Aptos" w:hAnsi="Aptos" w:eastAsia="Aptos" w:cs="Aptos"/>
          <w:noProof w:val="0"/>
          <w:sz w:val="22"/>
          <w:szCs w:val="22"/>
          <w:lang w:val="en-GB"/>
        </w:rPr>
      </w:pPr>
      <w:r w:rsidRPr="74B24D56" w:rsidR="383DA8C2">
        <w:rPr>
          <w:rFonts w:ascii="Aptos" w:hAnsi="Aptos" w:eastAsia="Aptos" w:cs="Aptos"/>
          <w:noProof w:val="0"/>
          <w:sz w:val="22"/>
          <w:szCs w:val="22"/>
          <w:lang w:val="en-GB"/>
        </w:rPr>
        <w:t xml:space="preserve">Map the body of research on Covid-19 in </w:t>
      </w:r>
      <w:r w:rsidRPr="74B24D56" w:rsidR="30D2F060">
        <w:rPr>
          <w:rFonts w:ascii="Aptos" w:hAnsi="Aptos" w:eastAsia="Aptos" w:cs="Aptos"/>
          <w:noProof w:val="0"/>
          <w:sz w:val="22"/>
          <w:szCs w:val="22"/>
          <w:lang w:val="en-GB"/>
        </w:rPr>
        <w:t>major areas</w:t>
      </w:r>
      <w:r w:rsidRPr="74B24D56" w:rsidR="383DA8C2">
        <w:rPr>
          <w:rFonts w:ascii="Aptos" w:hAnsi="Aptos" w:eastAsia="Aptos" w:cs="Aptos"/>
          <w:noProof w:val="0"/>
          <w:sz w:val="22"/>
          <w:szCs w:val="22"/>
          <w:lang w:val="en-GB"/>
        </w:rPr>
        <w:t xml:space="preserve"> such </w:t>
      </w:r>
      <w:r w:rsidRPr="74B24D56" w:rsidR="3F45EEF2">
        <w:rPr>
          <w:rFonts w:ascii="Aptos" w:hAnsi="Aptos" w:eastAsia="Aptos" w:cs="Aptos"/>
          <w:noProof w:val="0"/>
          <w:sz w:val="22"/>
          <w:szCs w:val="22"/>
          <w:lang w:val="en-GB"/>
        </w:rPr>
        <w:t xml:space="preserve">as </w:t>
      </w:r>
      <w:r w:rsidRPr="74B24D56" w:rsidR="383DA8C2">
        <w:rPr>
          <w:rFonts w:ascii="Aptos" w:hAnsi="Aptos" w:eastAsia="Aptos" w:cs="Aptos"/>
          <w:noProof w:val="0"/>
          <w:sz w:val="22"/>
          <w:szCs w:val="22"/>
          <w:lang w:val="en-GB"/>
        </w:rPr>
        <w:t>treatment, prevention, transmission, and socioeconomic effect</w:t>
      </w:r>
      <w:r w:rsidRPr="74B24D56" w:rsidR="291877BF">
        <w:rPr>
          <w:rFonts w:ascii="Aptos" w:hAnsi="Aptos" w:eastAsia="Aptos" w:cs="Aptos"/>
          <w:noProof w:val="0"/>
          <w:sz w:val="22"/>
          <w:szCs w:val="22"/>
          <w:lang w:val="en-GB"/>
        </w:rPr>
        <w:t>s.</w:t>
      </w:r>
    </w:p>
    <w:p w:rsidR="366FF58F" w:rsidP="74B24D56" w:rsidRDefault="366FF58F" w14:paraId="5EBA7D86" w14:textId="64646212">
      <w:pPr>
        <w:pStyle w:val="Normal"/>
        <w:spacing w:before="0" w:beforeAutospacing="off" w:after="0" w:afterAutospacing="off"/>
        <w:rPr>
          <w:rFonts w:ascii="Aptos" w:hAnsi="Aptos" w:eastAsia="Aptos" w:cs="Aptos"/>
          <w:noProof w:val="0"/>
          <w:sz w:val="22"/>
          <w:szCs w:val="22"/>
          <w:lang w:val="en-GB"/>
        </w:rPr>
      </w:pPr>
      <w:r w:rsidRPr="74B24D56" w:rsidR="383DA8C2">
        <w:rPr>
          <w:rFonts w:ascii="Aptos" w:hAnsi="Aptos" w:eastAsia="Aptos" w:cs="Aptos"/>
          <w:noProof w:val="0"/>
          <w:sz w:val="22"/>
          <w:szCs w:val="22"/>
          <w:lang w:val="en-GB"/>
        </w:rPr>
        <w:t>Determine</w:t>
      </w:r>
      <w:r w:rsidRPr="74B24D56" w:rsidR="383DA8C2">
        <w:rPr>
          <w:rFonts w:ascii="Aptos" w:hAnsi="Aptos" w:eastAsia="Aptos" w:cs="Aptos"/>
          <w:noProof w:val="0"/>
          <w:sz w:val="22"/>
          <w:szCs w:val="22"/>
          <w:lang w:val="en-GB"/>
        </w:rPr>
        <w:t xml:space="preserve"> the main conclusions, methodological strategies, and research trends in the published papers. </w:t>
      </w:r>
    </w:p>
    <w:p w:rsidR="366FF58F" w:rsidP="74B24D56" w:rsidRDefault="366FF58F" w14:paraId="12E4B9F2" w14:textId="10AC892E">
      <w:pPr>
        <w:pStyle w:val="Normal"/>
        <w:spacing w:before="0" w:beforeAutospacing="off" w:after="0" w:afterAutospacing="off"/>
        <w:rPr>
          <w:rFonts w:ascii="Aptos" w:hAnsi="Aptos" w:eastAsia="Aptos" w:cs="Aptos"/>
          <w:noProof w:val="0"/>
          <w:sz w:val="22"/>
          <w:szCs w:val="22"/>
          <w:lang w:val="en-GB"/>
        </w:rPr>
      </w:pPr>
      <w:r w:rsidRPr="74B24D56" w:rsidR="383DA8C2">
        <w:rPr>
          <w:rFonts w:ascii="Aptos" w:hAnsi="Aptos" w:eastAsia="Aptos" w:cs="Aptos"/>
          <w:noProof w:val="0"/>
          <w:sz w:val="22"/>
          <w:szCs w:val="22"/>
          <w:lang w:val="en-GB"/>
        </w:rPr>
        <w:t>Identify</w:t>
      </w:r>
      <w:r w:rsidRPr="74B24D56" w:rsidR="383DA8C2">
        <w:rPr>
          <w:rFonts w:ascii="Aptos" w:hAnsi="Aptos" w:eastAsia="Aptos" w:cs="Aptos"/>
          <w:noProof w:val="0"/>
          <w:sz w:val="22"/>
          <w:szCs w:val="22"/>
          <w:lang w:val="en-GB"/>
        </w:rPr>
        <w:t xml:space="preserve"> areas of incomplete or conflicting evidence as well as knowledge gaps. </w:t>
      </w:r>
    </w:p>
    <w:p w:rsidR="366FF58F" w:rsidP="74B24D56" w:rsidRDefault="366FF58F" w14:paraId="2462B8FC" w14:textId="66663477">
      <w:pPr>
        <w:pStyle w:val="Normal"/>
        <w:spacing w:before="0" w:beforeAutospacing="off" w:after="0" w:afterAutospacing="off"/>
        <w:rPr>
          <w:rFonts w:ascii="Aptos" w:hAnsi="Aptos" w:eastAsia="Aptos" w:cs="Aptos"/>
          <w:noProof w:val="0"/>
          <w:sz w:val="22"/>
          <w:szCs w:val="22"/>
          <w:lang w:val="en-GB"/>
        </w:rPr>
      </w:pPr>
      <w:r w:rsidRPr="74B24D56" w:rsidR="383DA8C2">
        <w:rPr>
          <w:rFonts w:ascii="Aptos" w:hAnsi="Aptos" w:eastAsia="Aptos" w:cs="Aptos"/>
          <w:noProof w:val="0"/>
          <w:sz w:val="22"/>
          <w:szCs w:val="22"/>
          <w:lang w:val="en-GB"/>
        </w:rPr>
        <w:t>Give a thorough summary that can guide future directions for research, the creation of policies, and public health initiatives.</w:t>
      </w:r>
    </w:p>
    <w:p w:rsidR="366FF58F" w:rsidP="74B24D56" w:rsidRDefault="366FF58F" w14:paraId="603A69F5" w14:textId="75CF6B34">
      <w:pPr>
        <w:rPr>
          <w:b w:val="1"/>
          <w:bCs w:val="1"/>
          <w:sz w:val="22"/>
          <w:szCs w:val="22"/>
        </w:rPr>
      </w:pPr>
    </w:p>
    <w:p w:rsidR="46D5D61F" w:rsidP="366FF58F" w:rsidRDefault="46D5D61F" w14:paraId="77436613" w14:textId="0F3B9971">
      <w:pPr>
        <w:spacing w:before="281" w:beforeAutospacing="off" w:after="281" w:afterAutospacing="off"/>
        <w:rPr>
          <w:rFonts w:ascii="Aptos" w:hAnsi="Aptos" w:eastAsia="Aptos" w:cs="Aptos"/>
          <w:b w:val="1"/>
          <w:bCs w:val="1"/>
          <w:noProof w:val="0"/>
          <w:sz w:val="28"/>
          <w:szCs w:val="28"/>
          <w:lang w:val="en-GB"/>
        </w:rPr>
      </w:pPr>
      <w:r w:rsidRPr="51E95A26" w:rsidR="7E9B58A6">
        <w:rPr>
          <w:rFonts w:ascii="Aptos" w:hAnsi="Aptos" w:eastAsia="Aptos" w:cs="Aptos"/>
          <w:b w:val="1"/>
          <w:bCs w:val="1"/>
          <w:noProof w:val="0"/>
          <w:sz w:val="28"/>
          <w:szCs w:val="28"/>
          <w:lang w:val="en-GB"/>
        </w:rPr>
        <w:t>HOW is</w:t>
      </w:r>
      <w:r w:rsidRPr="51E95A26" w:rsidR="7E9B58A6">
        <w:rPr>
          <w:rFonts w:ascii="Aptos" w:hAnsi="Aptos" w:eastAsia="Aptos" w:cs="Aptos"/>
          <w:b w:val="1"/>
          <w:bCs w:val="1"/>
          <w:noProof w:val="0"/>
          <w:sz w:val="28"/>
          <w:szCs w:val="28"/>
          <w:lang w:val="en-GB"/>
        </w:rPr>
        <w:t xml:space="preserve"> </w:t>
      </w:r>
      <w:r w:rsidRPr="51E95A26" w:rsidR="5AC44F88">
        <w:rPr>
          <w:rFonts w:ascii="Aptos" w:hAnsi="Aptos" w:eastAsia="Aptos" w:cs="Aptos"/>
          <w:b w:val="1"/>
          <w:bCs w:val="1"/>
          <w:noProof w:val="0"/>
          <w:sz w:val="28"/>
          <w:szCs w:val="28"/>
          <w:lang w:val="en-GB"/>
        </w:rPr>
        <w:t xml:space="preserve"> </w:t>
      </w:r>
      <w:r w:rsidRPr="51E95A26" w:rsidR="0866D83F">
        <w:rPr>
          <w:rFonts w:ascii="Aptos" w:hAnsi="Aptos" w:eastAsia="Aptos" w:cs="Aptos"/>
          <w:b w:val="1"/>
          <w:bCs w:val="1"/>
          <w:noProof w:val="0"/>
          <w:sz w:val="28"/>
          <w:szCs w:val="28"/>
          <w:lang w:val="en-GB"/>
        </w:rPr>
        <w:t xml:space="preserve"> COVID-19, </w:t>
      </w:r>
      <w:r w:rsidRPr="51E95A26" w:rsidR="203DD396">
        <w:rPr>
          <w:rFonts w:ascii="Aptos" w:hAnsi="Aptos" w:eastAsia="Aptos" w:cs="Aptos"/>
          <w:b w:val="1"/>
          <w:bCs w:val="1"/>
          <w:noProof w:val="0"/>
          <w:sz w:val="28"/>
          <w:szCs w:val="28"/>
          <w:lang w:val="en-GB"/>
        </w:rPr>
        <w:t xml:space="preserve">Related to </w:t>
      </w:r>
      <w:r w:rsidRPr="51E95A26" w:rsidR="203DD396">
        <w:rPr>
          <w:rFonts w:ascii="Aptos" w:hAnsi="Aptos" w:eastAsia="Aptos" w:cs="Aptos"/>
          <w:b w:val="1"/>
          <w:bCs w:val="1"/>
          <w:noProof w:val="0"/>
          <w:sz w:val="28"/>
          <w:szCs w:val="28"/>
          <w:lang w:val="en-GB"/>
        </w:rPr>
        <w:t>uk</w:t>
      </w:r>
      <w:r w:rsidRPr="51E95A26" w:rsidR="203DD396">
        <w:rPr>
          <w:rFonts w:ascii="Aptos" w:hAnsi="Aptos" w:eastAsia="Aptos" w:cs="Aptos"/>
          <w:b w:val="1"/>
          <w:bCs w:val="1"/>
          <w:noProof w:val="0"/>
          <w:sz w:val="28"/>
          <w:szCs w:val="28"/>
          <w:lang w:val="en-GB"/>
        </w:rPr>
        <w:t xml:space="preserve"> practice </w:t>
      </w:r>
      <w:r w:rsidRPr="51E95A26" w:rsidR="0866D83F">
        <w:rPr>
          <w:rFonts w:ascii="Aptos" w:hAnsi="Aptos" w:eastAsia="Aptos" w:cs="Aptos"/>
          <w:b w:val="1"/>
          <w:bCs w:val="1"/>
          <w:noProof w:val="0"/>
          <w:sz w:val="28"/>
          <w:szCs w:val="28"/>
          <w:lang w:val="en-GB"/>
        </w:rPr>
        <w:t>Health and Social Care, and Digital Health Professionals</w:t>
      </w:r>
      <w:r w:rsidRPr="51E95A26" w:rsidR="33CD0F73">
        <w:rPr>
          <w:rFonts w:ascii="Aptos" w:hAnsi="Aptos" w:eastAsia="Aptos" w:cs="Aptos"/>
          <w:b w:val="1"/>
          <w:bCs w:val="1"/>
          <w:noProof w:val="0"/>
          <w:sz w:val="28"/>
          <w:szCs w:val="28"/>
          <w:lang w:val="en-GB"/>
        </w:rPr>
        <w:t>?</w:t>
      </w:r>
    </w:p>
    <w:p w:rsidR="366FF58F" w:rsidP="51E95A26" w:rsidRDefault="366FF58F" w14:paraId="6ACA8B0C" w14:textId="471C1938">
      <w:pPr>
        <w:pStyle w:val="Normal"/>
        <w:spacing w:before="281" w:beforeAutospacing="off" w:after="281" w:afterAutospacing="off"/>
      </w:pPr>
      <w:r w:rsidRPr="51E95A26" w:rsidR="4DAC3F0D">
        <w:rPr>
          <w:rFonts w:ascii="Aptos" w:hAnsi="Aptos" w:eastAsia="Aptos" w:cs="Aptos"/>
          <w:noProof w:val="0"/>
          <w:sz w:val="22"/>
          <w:szCs w:val="22"/>
          <w:lang w:val="en-GB"/>
        </w:rPr>
        <w:t xml:space="preserve">Global health and social care systems have been severely </w:t>
      </w:r>
      <w:r w:rsidRPr="51E95A26" w:rsidR="4DAC3F0D">
        <w:rPr>
          <w:rFonts w:ascii="Aptos" w:hAnsi="Aptos" w:eastAsia="Aptos" w:cs="Aptos"/>
          <w:noProof w:val="0"/>
          <w:sz w:val="22"/>
          <w:szCs w:val="22"/>
          <w:lang w:val="en-GB"/>
        </w:rPr>
        <w:t>impacted</w:t>
      </w:r>
      <w:r w:rsidRPr="51E95A26" w:rsidR="4DAC3F0D">
        <w:rPr>
          <w:rFonts w:ascii="Aptos" w:hAnsi="Aptos" w:eastAsia="Aptos" w:cs="Aptos"/>
          <w:noProof w:val="0"/>
          <w:sz w:val="22"/>
          <w:szCs w:val="22"/>
          <w:lang w:val="en-GB"/>
        </w:rPr>
        <w:t xml:space="preserve"> by the COVID-19 pandemic, which has accelerated digital transformation and revealed worker vulnerabilities. </w:t>
      </w:r>
      <w:r w:rsidRPr="51E95A26" w:rsidR="4DAC3F0D">
        <w:rPr>
          <w:rFonts w:ascii="Aptos" w:hAnsi="Aptos" w:eastAsia="Aptos" w:cs="Aptos"/>
          <w:noProof w:val="0"/>
          <w:sz w:val="22"/>
          <w:szCs w:val="22"/>
          <w:lang w:val="en-GB"/>
        </w:rPr>
        <w:t>Bjarnættir</w:t>
      </w:r>
      <w:r w:rsidRPr="51E95A26" w:rsidR="4DAC3F0D">
        <w:rPr>
          <w:rFonts w:ascii="Aptos" w:hAnsi="Aptos" w:eastAsia="Aptos" w:cs="Aptos"/>
          <w:noProof w:val="0"/>
          <w:sz w:val="22"/>
          <w:szCs w:val="22"/>
          <w:lang w:val="en-GB"/>
        </w:rPr>
        <w:t xml:space="preserve"> et al. (2024) carried out two cross-sectional surveys in the UK to look at the working circumstances of social workers and social care providers both before and after the pandemic's peak. They discovered sharp drops in autonomy, psychological health, and working conditions, as well as a twofold increase in sick leave. Higher levels of mental strain were </w:t>
      </w:r>
      <w:r w:rsidRPr="51E95A26" w:rsidR="4DAC3F0D">
        <w:rPr>
          <w:rFonts w:ascii="Aptos" w:hAnsi="Aptos" w:eastAsia="Aptos" w:cs="Aptos"/>
          <w:noProof w:val="0"/>
          <w:sz w:val="22"/>
          <w:szCs w:val="22"/>
          <w:lang w:val="en-GB"/>
        </w:rPr>
        <w:t>correlated</w:t>
      </w:r>
      <w:r w:rsidRPr="51E95A26" w:rsidR="4DAC3F0D">
        <w:rPr>
          <w:rFonts w:ascii="Aptos" w:hAnsi="Aptos" w:eastAsia="Aptos" w:cs="Aptos"/>
          <w:noProof w:val="0"/>
          <w:sz w:val="22"/>
          <w:szCs w:val="22"/>
          <w:lang w:val="en-GB"/>
        </w:rPr>
        <w:t xml:space="preserve"> with less job control and fewer resources, </w:t>
      </w:r>
      <w:r w:rsidRPr="51E95A26" w:rsidR="4DAC3F0D">
        <w:rPr>
          <w:rFonts w:ascii="Aptos" w:hAnsi="Aptos" w:eastAsia="Aptos" w:cs="Aptos"/>
          <w:noProof w:val="0"/>
          <w:sz w:val="22"/>
          <w:szCs w:val="22"/>
          <w:lang w:val="en-GB"/>
        </w:rPr>
        <w:t>indicating</w:t>
      </w:r>
      <w:r w:rsidRPr="51E95A26" w:rsidR="4DAC3F0D">
        <w:rPr>
          <w:rFonts w:ascii="Aptos" w:hAnsi="Aptos" w:eastAsia="Aptos" w:cs="Aptos"/>
          <w:noProof w:val="0"/>
          <w:sz w:val="22"/>
          <w:szCs w:val="22"/>
          <w:lang w:val="en-GB"/>
        </w:rPr>
        <w:t xml:space="preserve"> that the pandemic </w:t>
      </w:r>
      <w:r w:rsidRPr="51E95A26" w:rsidR="4DAC3F0D">
        <w:rPr>
          <w:rFonts w:ascii="Aptos" w:hAnsi="Aptos" w:eastAsia="Aptos" w:cs="Aptos"/>
          <w:noProof w:val="0"/>
          <w:sz w:val="22"/>
          <w:szCs w:val="22"/>
          <w:lang w:val="en-GB"/>
        </w:rPr>
        <w:t>exacerbated</w:t>
      </w:r>
      <w:r w:rsidRPr="51E95A26" w:rsidR="4DAC3F0D">
        <w:rPr>
          <w:rFonts w:ascii="Aptos" w:hAnsi="Aptos" w:eastAsia="Aptos" w:cs="Aptos"/>
          <w:noProof w:val="0"/>
          <w:sz w:val="22"/>
          <w:szCs w:val="22"/>
          <w:lang w:val="en-GB"/>
        </w:rPr>
        <w:t xml:space="preserve"> structural stresses already present in the social care sector. Relationship-based procedures were disturbed by these difficulties, and staff turnover was more likely.</w:t>
      </w:r>
    </w:p>
    <w:p w:rsidR="366FF58F" w:rsidP="51E95A26" w:rsidRDefault="366FF58F" w14:paraId="16C3EE54" w14:textId="7CC3519F">
      <w:pPr>
        <w:pStyle w:val="Normal"/>
        <w:spacing w:before="240" w:beforeAutospacing="off" w:after="240" w:afterAutospacing="off"/>
      </w:pPr>
      <w:r w:rsidRPr="51E95A26" w:rsidR="179992B7">
        <w:rPr>
          <w:rFonts w:ascii="Aptos" w:hAnsi="Aptos" w:eastAsia="Aptos" w:cs="Aptos"/>
          <w:noProof w:val="0"/>
          <w:sz w:val="22"/>
          <w:szCs w:val="22"/>
          <w:lang w:val="en-GB"/>
        </w:rPr>
        <w:t>At the same time, the epidemic compelled clinical settings to quickly adopt digital technology. We out a nationwide cross-sectional study in Ethiopia to investigate health professionals' use of telemedicine. About two-thirds of respondents had used telemedicine during COVID-19, according to their findings. The usage of telemedicine was strongly associated with staff training, digital tool access, and institutional information and communication technology (ICT) support. This demonstrates that while the epidemic accelerated the adoption of technology, it also revealed differences in organisational preparedness and technological infrastructure.</w:t>
      </w:r>
    </w:p>
    <w:p w:rsidR="366FF58F" w:rsidP="51E95A26" w:rsidRDefault="366FF58F" w14:paraId="4310A6F5" w14:textId="796F83B7">
      <w:pPr>
        <w:pStyle w:val="Normal"/>
        <w:spacing w:before="240" w:beforeAutospacing="off" w:after="240" w:afterAutospacing="off"/>
        <w:rPr>
          <w:rFonts w:ascii="Aptos" w:hAnsi="Aptos" w:eastAsia="Aptos" w:cs="Aptos"/>
          <w:noProof w:val="0"/>
          <w:sz w:val="22"/>
          <w:szCs w:val="22"/>
          <w:lang w:val="en-GB"/>
        </w:rPr>
      </w:pPr>
      <w:r w:rsidRPr="51E95A26" w:rsidR="2A62D690">
        <w:rPr>
          <w:rFonts w:ascii="Aptos" w:hAnsi="Aptos" w:eastAsia="Aptos" w:cs="Aptos"/>
          <w:noProof w:val="0"/>
          <w:sz w:val="22"/>
          <w:szCs w:val="22"/>
          <w:lang w:val="en-GB"/>
        </w:rPr>
        <w:t xml:space="preserve">Similarly, in a multicentred Ethiopian study, Ahmed et al. (2021) investigated the readiness of medical practitioners to adopt telemedicine. They discovered that although many people were open to telemedicine, obstacles </w:t>
      </w:r>
      <w:r w:rsidRPr="51E95A26" w:rsidR="158AE62B">
        <w:rPr>
          <w:rFonts w:ascii="Aptos" w:hAnsi="Aptos" w:eastAsia="Aptos" w:cs="Aptos"/>
          <w:noProof w:val="0"/>
          <w:sz w:val="22"/>
          <w:szCs w:val="22"/>
          <w:lang w:val="en-GB"/>
        </w:rPr>
        <w:t>such as</w:t>
      </w:r>
      <w:r w:rsidRPr="51E95A26" w:rsidR="2A62D690">
        <w:rPr>
          <w:rFonts w:ascii="Aptos" w:hAnsi="Aptos" w:eastAsia="Aptos" w:cs="Aptos"/>
          <w:noProof w:val="0"/>
          <w:sz w:val="22"/>
          <w:szCs w:val="22"/>
          <w:lang w:val="en-GB"/>
        </w:rPr>
        <w:t xml:space="preserve"> poor internet connectivity, insufficient ICT skills, and a lack of technical support hampered its successful application. To ensure the long-term integration of telehealth solutions, these considerations highlight the significance of institutional investment and digital literacy.</w:t>
      </w:r>
    </w:p>
    <w:p w:rsidR="366FF58F" w:rsidP="51E95A26" w:rsidRDefault="366FF58F" w14:paraId="28E7B992" w14:textId="26B3AFC4">
      <w:pPr>
        <w:pStyle w:val="Normal"/>
        <w:spacing w:before="240" w:beforeAutospacing="off" w:after="240" w:afterAutospacing="off"/>
        <w:rPr>
          <w:rFonts w:ascii="Aptos" w:hAnsi="Aptos" w:eastAsia="Aptos" w:cs="Aptos"/>
          <w:noProof w:val="0"/>
          <w:sz w:val="22"/>
          <w:szCs w:val="22"/>
          <w:lang w:val="en-GB"/>
        </w:rPr>
      </w:pPr>
      <w:r w:rsidRPr="51E95A26" w:rsidR="73AD265D">
        <w:rPr>
          <w:rFonts w:ascii="Aptos" w:hAnsi="Aptos" w:eastAsia="Aptos" w:cs="Aptos"/>
          <w:noProof w:val="0"/>
          <w:sz w:val="22"/>
          <w:szCs w:val="22"/>
          <w:lang w:val="en-GB"/>
        </w:rPr>
        <w:t>,</w:t>
      </w:r>
      <w:r w:rsidRPr="51E95A26" w:rsidR="73AD265D">
        <w:rPr>
          <w:rFonts w:ascii="Aptos" w:hAnsi="Aptos" w:eastAsia="Aptos" w:cs="Aptos"/>
          <w:noProof w:val="0"/>
          <w:sz w:val="22"/>
          <w:szCs w:val="22"/>
          <w:lang w:val="en-GB"/>
        </w:rPr>
        <w:t xml:space="preserve"> these studies show how COVID-19 hastened the digital transformation of health services while also placing a strain on the social care workforce. Digital health specialists </w:t>
      </w:r>
      <w:r w:rsidRPr="51E95A26" w:rsidR="73AD265D">
        <w:rPr>
          <w:rFonts w:ascii="Aptos" w:hAnsi="Aptos" w:eastAsia="Aptos" w:cs="Aptos"/>
          <w:noProof w:val="0"/>
          <w:sz w:val="22"/>
          <w:szCs w:val="22"/>
          <w:lang w:val="en-GB"/>
        </w:rPr>
        <w:t>were responsible for</w:t>
      </w:r>
      <w:r w:rsidRPr="51E95A26" w:rsidR="73AD265D">
        <w:rPr>
          <w:rFonts w:ascii="Aptos" w:hAnsi="Aptos" w:eastAsia="Aptos" w:cs="Aptos"/>
          <w:noProof w:val="0"/>
          <w:sz w:val="22"/>
          <w:szCs w:val="22"/>
          <w:lang w:val="en-GB"/>
        </w:rPr>
        <w:t xml:space="preserve"> creating and </w:t>
      </w:r>
      <w:r w:rsidRPr="51E95A26" w:rsidR="73AD265D">
        <w:rPr>
          <w:rFonts w:ascii="Aptos" w:hAnsi="Aptos" w:eastAsia="Aptos" w:cs="Aptos"/>
          <w:noProof w:val="0"/>
          <w:sz w:val="22"/>
          <w:szCs w:val="22"/>
          <w:lang w:val="en-GB"/>
        </w:rPr>
        <w:t>maintaining</w:t>
      </w:r>
      <w:r w:rsidRPr="51E95A26" w:rsidR="73AD265D">
        <w:rPr>
          <w:rFonts w:ascii="Aptos" w:hAnsi="Aptos" w:eastAsia="Aptos" w:cs="Aptos"/>
          <w:noProof w:val="0"/>
          <w:sz w:val="22"/>
          <w:szCs w:val="22"/>
          <w:lang w:val="en-GB"/>
        </w:rPr>
        <w:t xml:space="preserve"> new telemedicine infrastructures, while health and social care workers had to deal with rising workloads and mental health issues. Therefore, </w:t>
      </w:r>
      <w:r w:rsidRPr="51E95A26" w:rsidR="53F5FFC8">
        <w:rPr>
          <w:rFonts w:ascii="Aptos" w:hAnsi="Aptos" w:eastAsia="Aptos" w:cs="Aptos"/>
          <w:noProof w:val="0"/>
          <w:sz w:val="22"/>
          <w:szCs w:val="22"/>
          <w:lang w:val="en-GB"/>
        </w:rPr>
        <w:t>to</w:t>
      </w:r>
      <w:r w:rsidRPr="51E95A26" w:rsidR="73AD265D">
        <w:rPr>
          <w:rFonts w:ascii="Aptos" w:hAnsi="Aptos" w:eastAsia="Aptos" w:cs="Aptos"/>
          <w:noProof w:val="0"/>
          <w:sz w:val="22"/>
          <w:szCs w:val="22"/>
          <w:lang w:val="en-GB"/>
        </w:rPr>
        <w:t xml:space="preserve"> improve the resilience of health and social care in post-pandemic systems, future policy must give equal access to technology, digital training, and staff well-being top priority.</w:t>
      </w:r>
    </w:p>
    <w:p w:rsidR="366FF58F" w:rsidP="51E95A26" w:rsidRDefault="366FF58F" w14:paraId="19DC951A" w14:textId="1F800A00">
      <w:pPr>
        <w:pStyle w:val="Normal"/>
        <w:spacing w:before="240" w:beforeAutospacing="off" w:after="240" w:afterAutospacing="off"/>
      </w:pPr>
      <w:r w:rsidRPr="51E95A26" w:rsidR="603161C8">
        <w:rPr>
          <w:rFonts w:ascii="Aptos" w:hAnsi="Aptos" w:eastAsia="Aptos" w:cs="Aptos"/>
          <w:noProof w:val="0"/>
          <w:sz w:val="22"/>
          <w:szCs w:val="22"/>
          <w:lang w:val="en-GB"/>
        </w:rPr>
        <w:t xml:space="preserve">Legislation, statutory instruments, and non-binding recommendations have all been used in the UK's response to COVID-19. The Coronavirus Act 2020 (c. 7) gave the UK government emergency powers to expand the workforce in health and social care, impose limitations, handle deceased individuals, and support public health infrastructure. He granted the UK government emergency powers to expand the workforce in health and social care, impose restrictions, and manage the </w:t>
      </w:r>
      <w:r w:rsidRPr="51E95A26" w:rsidR="3636FDB9">
        <w:rPr>
          <w:rFonts w:ascii="Aptos" w:hAnsi="Aptos" w:eastAsia="Aptos" w:cs="Aptos"/>
          <w:noProof w:val="0"/>
          <w:sz w:val="22"/>
          <w:szCs w:val="22"/>
          <w:lang w:val="en-GB"/>
        </w:rPr>
        <w:t>alto</w:t>
      </w:r>
      <w:r w:rsidRPr="51E95A26" w:rsidR="603161C8">
        <w:rPr>
          <w:rFonts w:ascii="Aptos" w:hAnsi="Aptos" w:eastAsia="Aptos" w:cs="Aptos"/>
          <w:noProof w:val="0"/>
          <w:sz w:val="22"/>
          <w:szCs w:val="22"/>
          <w:lang w:val="en-GB"/>
        </w:rPr>
        <w:t xml:space="preserve"> Protection (Coronavirus, Restrictions) (England) Regulations 2020 (SI 2020/350) were created under this framework, providing lockdowns, travel restrictions, and business closures legal effect (for England).</w:t>
      </w:r>
    </w:p>
    <w:p w:rsidR="366FF58F" w:rsidP="51E95A26" w:rsidRDefault="366FF58F" w14:paraId="45D3E844" w14:textId="50CC24AC">
      <w:pPr>
        <w:pStyle w:val="Normal"/>
        <w:spacing w:before="240" w:beforeAutospacing="off" w:after="240" w:afterAutospacing="off"/>
        <w:rPr>
          <w:rFonts w:ascii="Aptos" w:hAnsi="Aptos" w:eastAsia="Aptos" w:cs="Aptos"/>
          <w:noProof w:val="0"/>
          <w:sz w:val="22"/>
          <w:szCs w:val="22"/>
          <w:lang w:val="en-GB"/>
        </w:rPr>
      </w:pPr>
      <w:r w:rsidRPr="51E95A26" w:rsidR="123B516B">
        <w:rPr>
          <w:rFonts w:ascii="Aptos" w:hAnsi="Aptos" w:eastAsia="Aptos" w:cs="Aptos"/>
          <w:noProof w:val="0"/>
          <w:sz w:val="22"/>
          <w:szCs w:val="22"/>
          <w:lang w:val="en-GB"/>
        </w:rPr>
        <w:t xml:space="preserve">As the pandemic progressed, the government replaced statutory limits with a model of individual accountability. The government </w:t>
      </w:r>
      <w:r w:rsidRPr="51E95A26" w:rsidR="123B516B">
        <w:rPr>
          <w:rFonts w:ascii="Aptos" w:hAnsi="Aptos" w:eastAsia="Aptos" w:cs="Aptos"/>
          <w:noProof w:val="0"/>
          <w:sz w:val="22"/>
          <w:szCs w:val="22"/>
          <w:lang w:val="en-GB"/>
        </w:rPr>
        <w:t>stated</w:t>
      </w:r>
      <w:r w:rsidRPr="51E95A26" w:rsidR="123B516B">
        <w:rPr>
          <w:rFonts w:ascii="Aptos" w:hAnsi="Aptos" w:eastAsia="Aptos" w:cs="Aptos"/>
          <w:noProof w:val="0"/>
          <w:sz w:val="22"/>
          <w:szCs w:val="22"/>
          <w:lang w:val="en-GB"/>
        </w:rPr>
        <w:t xml:space="preserve"> that its goal was "to manage COVID-19 like other respiratory illnesses" while safeguarding the vulnerable in its 2022 "COVID-19: Response – Living with COVID-19" strategy. The legal necessity to self-isolate following a positive test was eliminated on February 24, 2022, </w:t>
      </w:r>
      <w:r w:rsidRPr="51E95A26" w:rsidR="123B516B">
        <w:rPr>
          <w:rFonts w:ascii="Aptos" w:hAnsi="Aptos" w:eastAsia="Aptos" w:cs="Aptos"/>
          <w:noProof w:val="0"/>
          <w:sz w:val="22"/>
          <w:szCs w:val="22"/>
          <w:lang w:val="en-GB"/>
        </w:rPr>
        <w:t>because of</w:t>
      </w:r>
      <w:r w:rsidRPr="51E95A26" w:rsidR="123B516B">
        <w:rPr>
          <w:rFonts w:ascii="Aptos" w:hAnsi="Aptos" w:eastAsia="Aptos" w:cs="Aptos"/>
          <w:noProof w:val="0"/>
          <w:sz w:val="22"/>
          <w:szCs w:val="22"/>
          <w:lang w:val="en-GB"/>
        </w:rPr>
        <w:t xml:space="preserve"> this method.</w:t>
      </w:r>
    </w:p>
    <w:p w:rsidR="366FF58F" w:rsidP="51E95A26" w:rsidRDefault="366FF58F" w14:paraId="7C0AD5B1" w14:textId="4D907CD9">
      <w:pPr>
        <w:pStyle w:val="Normal"/>
        <w:spacing w:before="240" w:beforeAutospacing="off" w:after="240" w:afterAutospacing="off"/>
        <w:rPr>
          <w:rFonts w:ascii="Aptos" w:hAnsi="Aptos" w:eastAsia="Aptos" w:cs="Aptos"/>
          <w:noProof w:val="0"/>
          <w:sz w:val="22"/>
          <w:szCs w:val="22"/>
          <w:lang w:val="en-GB"/>
        </w:rPr>
      </w:pPr>
      <w:r w:rsidRPr="51E95A26" w:rsidR="64B7D736">
        <w:rPr>
          <w:rFonts w:ascii="Aptos" w:hAnsi="Aptos" w:eastAsia="Aptos" w:cs="Aptos"/>
          <w:noProof w:val="0"/>
          <w:sz w:val="22"/>
          <w:szCs w:val="22"/>
          <w:lang w:val="en-GB"/>
        </w:rPr>
        <w:t xml:space="preserve">The UK Health Security Agency (UKHSA) and other organisations have consistently released guidelines concurrently. For instance, on April 1, 2022, new guidelines recommended that those with COVID-19 symptoms stay at home, avoid interaction, especially with those who are vulnerable, wear masks in busy indoor settings, and </w:t>
      </w:r>
      <w:r w:rsidRPr="51E95A26" w:rsidR="67360E06">
        <w:rPr>
          <w:rFonts w:ascii="Aptos" w:hAnsi="Aptos" w:eastAsia="Aptos" w:cs="Aptos"/>
          <w:noProof w:val="0"/>
          <w:sz w:val="22"/>
          <w:szCs w:val="22"/>
          <w:lang w:val="en-GB"/>
        </w:rPr>
        <w:t xml:space="preserve">ensure </w:t>
      </w:r>
      <w:r w:rsidRPr="51E95A26" w:rsidR="64B7D736">
        <w:rPr>
          <w:rFonts w:ascii="Aptos" w:hAnsi="Aptos" w:eastAsia="Aptos" w:cs="Aptos"/>
          <w:noProof w:val="0"/>
          <w:sz w:val="22"/>
          <w:szCs w:val="22"/>
          <w:lang w:val="en-GB"/>
        </w:rPr>
        <w:t xml:space="preserve">adequate ventilation. Key behaviours </w:t>
      </w:r>
      <w:r w:rsidRPr="51E95A26" w:rsidR="02F57F4D">
        <w:rPr>
          <w:rFonts w:ascii="Aptos" w:hAnsi="Aptos" w:eastAsia="Aptos" w:cs="Aptos"/>
          <w:noProof w:val="0"/>
          <w:sz w:val="22"/>
          <w:szCs w:val="22"/>
          <w:lang w:val="en-GB"/>
        </w:rPr>
        <w:t xml:space="preserve">such as </w:t>
      </w:r>
      <w:r w:rsidRPr="51E95A26" w:rsidR="64B7D736">
        <w:rPr>
          <w:rFonts w:ascii="Aptos" w:hAnsi="Aptos" w:eastAsia="Aptos" w:cs="Aptos"/>
          <w:noProof w:val="0"/>
          <w:sz w:val="22"/>
          <w:szCs w:val="22"/>
          <w:lang w:val="en-GB"/>
        </w:rPr>
        <w:t>testing, isolation, ventilation, and hygiene are outlined in the government's collection of COVID-19 guidelines for public, workplace, and healthcare contexts.</w:t>
      </w:r>
    </w:p>
    <w:p w:rsidR="366FF58F" w:rsidP="74B24D56" w:rsidRDefault="366FF58F" w14:paraId="141DC7B7" w14:textId="76E2EFDD">
      <w:pPr>
        <w:pStyle w:val="Normal"/>
        <w:spacing w:before="240" w:beforeAutospacing="off" w:after="240" w:afterAutospacing="off"/>
        <w:rPr>
          <w:rFonts w:ascii="Aptos" w:hAnsi="Aptos" w:eastAsia="Aptos" w:cs="Aptos"/>
          <w:noProof w:val="0"/>
          <w:sz w:val="22"/>
          <w:szCs w:val="22"/>
          <w:lang w:val="en-GB"/>
        </w:rPr>
      </w:pPr>
      <w:r w:rsidRPr="74B24D56" w:rsidR="3451A595">
        <w:rPr>
          <w:rFonts w:ascii="Aptos" w:hAnsi="Aptos" w:eastAsia="Aptos" w:cs="Aptos"/>
          <w:noProof w:val="0"/>
          <w:sz w:val="22"/>
          <w:szCs w:val="22"/>
          <w:lang w:val="en-GB"/>
        </w:rPr>
        <w:t>From a governance standpoint, this architecture represents a tiered approach: (1) primary legislation (Coronavirus Act) granting emergency powers; (2) secondary legislation/regulations providing specific enforceable measures (lockdowns, for example); and (3) non-binding guidance and strategy documents that inform risk assessments and set expectations (particularly for workplaces). For example, companies are advised to adhere to "Working Safely" guidelines; but, as of April 1, 2022, it is no longer necessary for all employers to specifically take COVID-19 into account while conducting risk assessments.</w:t>
      </w:r>
    </w:p>
    <w:p w:rsidR="366FF58F" w:rsidP="74B24D56" w:rsidRDefault="366FF58F" w14:paraId="551C1027" w14:textId="44D66BDD">
      <w:pPr>
        <w:pStyle w:val="Normal"/>
        <w:spacing w:before="240" w:beforeAutospacing="off" w:after="240" w:afterAutospacing="off"/>
        <w:rPr>
          <w:rFonts w:ascii="Aptos" w:hAnsi="Aptos" w:eastAsia="Aptos" w:cs="Aptos"/>
          <w:noProof w:val="0"/>
          <w:sz w:val="22"/>
          <w:szCs w:val="22"/>
          <w:lang w:val="en-GB"/>
        </w:rPr>
      </w:pPr>
      <w:r w:rsidRPr="74B24D56" w:rsidR="67B41530">
        <w:rPr>
          <w:rFonts w:ascii="Aptos" w:hAnsi="Aptos" w:eastAsia="Aptos" w:cs="Aptos"/>
          <w:noProof w:val="0"/>
          <w:sz w:val="22"/>
          <w:szCs w:val="22"/>
          <w:lang w:val="en-GB"/>
        </w:rPr>
        <w:t>In conclusion, the UK's COVID-19 policy framework shifted from legally mandated lockdowns under emergency legislation to a paradigm of individual accountability and public health recommendations, supported by continuous assistance for vaccination, monitoring, and targeted protections for high-risk groups. The change is a result of the virus's evolving characteristics, public acceptance of limitations, and the necessity of incorporating COVID-19 into long-term respiratory illness treatment.</w:t>
      </w:r>
    </w:p>
    <w:p w:rsidR="67AA5F2C" w:rsidP="74B24D56" w:rsidRDefault="67AA5F2C" w14:paraId="067ED007" w14:textId="6E000E2D">
      <w:pPr>
        <w:pStyle w:val="Normal"/>
        <w:spacing w:before="240" w:beforeAutospacing="off" w:after="240" w:afterAutospacing="off"/>
        <w:rPr>
          <w:rFonts w:ascii="Aptos" w:hAnsi="Aptos" w:eastAsia="Aptos" w:cs="Aptos"/>
          <w:b w:val="1"/>
          <w:bCs w:val="1"/>
          <w:noProof w:val="0"/>
          <w:sz w:val="22"/>
          <w:szCs w:val="22"/>
          <w:lang w:val="en-GB"/>
        </w:rPr>
      </w:pPr>
      <w:r w:rsidRPr="74B24D56" w:rsidR="7F48E753">
        <w:rPr>
          <w:rFonts w:ascii="Aptos" w:hAnsi="Aptos" w:eastAsia="Aptos" w:cs="Aptos"/>
          <w:b w:val="1"/>
          <w:bCs w:val="1"/>
          <w:noProof w:val="0"/>
          <w:sz w:val="22"/>
          <w:szCs w:val="22"/>
          <w:lang w:val="en-GB"/>
        </w:rPr>
        <w:t xml:space="preserve">METHOD </w:t>
      </w:r>
    </w:p>
    <w:p w:rsidR="28BB7AE5" w:rsidP="777AA44C" w:rsidRDefault="28BB7AE5" w14:paraId="65E093BF" w14:textId="4B9AD103">
      <w:pPr>
        <w:pStyle w:val="Normal"/>
        <w:spacing w:before="240" w:beforeAutospacing="off" w:after="240" w:afterAutospacing="off"/>
      </w:pPr>
      <w:r w:rsidRPr="777AA44C" w:rsidR="28BB7AE5">
        <w:rPr>
          <w:rFonts w:ascii="Aptos" w:hAnsi="Aptos" w:eastAsia="Aptos" w:cs="Aptos"/>
          <w:noProof w:val="0"/>
          <w:sz w:val="22"/>
          <w:szCs w:val="22"/>
          <w:lang w:val="en-GB"/>
        </w:rPr>
        <w:t>The process of collecting and evaluating data that has already been gathered by other researchers, organisations, or governmental authorities is known as secondary research. In the case of COVID-19, secondary research has been essential in comprehending the virus's transmission, effects, and control without the requirement for primary data collecting or direct experiments. Publicly available scientific publications, official government reports, databases from the World Health Organisation (WHO), the Centres for Disease Control and Prevention (CDC), and other reputable public health organisations are all used in this manner.</w:t>
      </w:r>
    </w:p>
    <w:p w:rsidR="52664AED" w:rsidP="777AA44C" w:rsidRDefault="52664AED" w14:paraId="3E2D63E3" w14:textId="548EEBAA">
      <w:pPr>
        <w:pStyle w:val="Normal"/>
        <w:spacing w:before="240" w:beforeAutospacing="off" w:after="240" w:afterAutospacing="off"/>
      </w:pPr>
      <w:r w:rsidRPr="777AA44C" w:rsidR="52664AED">
        <w:rPr>
          <w:rFonts w:ascii="Aptos" w:hAnsi="Aptos" w:eastAsia="Aptos" w:cs="Aptos"/>
          <w:noProof w:val="0"/>
          <w:sz w:val="22"/>
          <w:szCs w:val="22"/>
          <w:lang w:val="en-GB"/>
        </w:rPr>
        <w:t xml:space="preserve">The availability of massive datasets spanning </w:t>
      </w:r>
      <w:r w:rsidRPr="777AA44C" w:rsidR="52664AED">
        <w:rPr>
          <w:rFonts w:ascii="Aptos" w:hAnsi="Aptos" w:eastAsia="Aptos" w:cs="Aptos"/>
          <w:noProof w:val="0"/>
          <w:sz w:val="22"/>
          <w:szCs w:val="22"/>
          <w:lang w:val="en-GB"/>
        </w:rPr>
        <w:t>numerous</w:t>
      </w:r>
      <w:r w:rsidRPr="777AA44C" w:rsidR="52664AED">
        <w:rPr>
          <w:rFonts w:ascii="Aptos" w:hAnsi="Aptos" w:eastAsia="Aptos" w:cs="Aptos"/>
          <w:noProof w:val="0"/>
          <w:sz w:val="22"/>
          <w:szCs w:val="22"/>
          <w:lang w:val="en-GB"/>
        </w:rPr>
        <w:t xml:space="preserve"> locations and eras is one of the primary benefits of secondary research in COVID-19 investigations. To find trends in infection rates, mortality, vaccine coverage, and healthcare responses, researchers can employ statistical studies, trend assessments, and meta-analyses. For instance, combined case data from several nations can be used to forecast future outbreaks, </w:t>
      </w:r>
      <w:r w:rsidRPr="777AA44C" w:rsidR="52664AED">
        <w:rPr>
          <w:rFonts w:ascii="Aptos" w:hAnsi="Aptos" w:eastAsia="Aptos" w:cs="Aptos"/>
          <w:noProof w:val="0"/>
          <w:sz w:val="22"/>
          <w:szCs w:val="22"/>
          <w:lang w:val="en-GB"/>
        </w:rPr>
        <w:t>identify</w:t>
      </w:r>
      <w:r w:rsidRPr="777AA44C" w:rsidR="52664AED">
        <w:rPr>
          <w:rFonts w:ascii="Aptos" w:hAnsi="Aptos" w:eastAsia="Aptos" w:cs="Aptos"/>
          <w:noProof w:val="0"/>
          <w:sz w:val="22"/>
          <w:szCs w:val="22"/>
          <w:lang w:val="en-GB"/>
        </w:rPr>
        <w:t xml:space="preserve"> high-risk groups, and compare the efficacy of public health measures. In times of rapid change, such as a pandemic, secondary data is also economical and time-efficient, enabling quick evaluations.</w:t>
      </w:r>
    </w:p>
    <w:p w:rsidR="51E95A26" w:rsidP="51E95A26" w:rsidRDefault="51E95A26" w14:paraId="5982CD09" w14:textId="7EF14E50">
      <w:pPr>
        <w:spacing w:before="240" w:beforeAutospacing="off" w:after="240" w:afterAutospacing="off"/>
      </w:pPr>
      <w:r w:rsidRPr="777AA44C" w:rsidR="32C97923">
        <w:rPr>
          <w:rFonts w:ascii="Aptos" w:hAnsi="Aptos" w:eastAsia="Aptos" w:cs="Aptos"/>
          <w:noProof w:val="0"/>
          <w:sz w:val="22"/>
          <w:szCs w:val="22"/>
          <w:lang w:val="en-GB"/>
        </w:rPr>
        <w:t xml:space="preserve">However, secondary research has limitations. The data quality depends on the accuracy and reliability of the original sources. Inconsistent reporting standards across countries or delays in data updates can affect the validity of analyses. Additionally, secondary data may lack specific variables that researchers want to study, limiting the depth of inquiry. Despite these challenges, secondary research </w:t>
      </w:r>
      <w:r w:rsidRPr="777AA44C" w:rsidR="32C97923">
        <w:rPr>
          <w:rFonts w:ascii="Aptos" w:hAnsi="Aptos" w:eastAsia="Aptos" w:cs="Aptos"/>
          <w:noProof w:val="0"/>
          <w:sz w:val="22"/>
          <w:szCs w:val="22"/>
          <w:lang w:val="en-GB"/>
        </w:rPr>
        <w:t>remains</w:t>
      </w:r>
      <w:r w:rsidRPr="777AA44C" w:rsidR="32C97923">
        <w:rPr>
          <w:rFonts w:ascii="Aptos" w:hAnsi="Aptos" w:eastAsia="Aptos" w:cs="Aptos"/>
          <w:noProof w:val="0"/>
          <w:sz w:val="22"/>
          <w:szCs w:val="22"/>
          <w:lang w:val="en-GB"/>
        </w:rPr>
        <w:t xml:space="preserve"> indispensable in pandemic-related studies because it </w:t>
      </w:r>
      <w:r w:rsidRPr="777AA44C" w:rsidR="32C97923">
        <w:rPr>
          <w:rFonts w:ascii="Aptos" w:hAnsi="Aptos" w:eastAsia="Aptos" w:cs="Aptos"/>
          <w:noProof w:val="0"/>
          <w:sz w:val="22"/>
          <w:szCs w:val="22"/>
          <w:lang w:val="en-GB"/>
        </w:rPr>
        <w:t>provides</w:t>
      </w:r>
      <w:r w:rsidRPr="777AA44C" w:rsidR="32C97923">
        <w:rPr>
          <w:rFonts w:ascii="Aptos" w:hAnsi="Aptos" w:eastAsia="Aptos" w:cs="Aptos"/>
          <w:noProof w:val="0"/>
          <w:sz w:val="22"/>
          <w:szCs w:val="22"/>
          <w:lang w:val="en-GB"/>
        </w:rPr>
        <w:t xml:space="preserve"> broad insights without exposing researchers to health risks associated with primary data collection.</w:t>
      </w:r>
    </w:p>
    <w:p w:rsidR="51E95A26" w:rsidP="777AA44C" w:rsidRDefault="51E95A26" w14:paraId="6F42178F" w14:textId="7CCE40FF">
      <w:pPr>
        <w:pStyle w:val="Normal"/>
        <w:spacing w:before="240" w:beforeAutospacing="off" w:after="240" w:afterAutospacing="off"/>
      </w:pPr>
      <w:r w:rsidRPr="74B24D56" w:rsidR="05ABD8C9">
        <w:rPr>
          <w:rFonts w:ascii="Aptos" w:hAnsi="Aptos" w:eastAsia="Aptos" w:cs="Aptos"/>
          <w:noProof w:val="0"/>
          <w:sz w:val="22"/>
          <w:szCs w:val="22"/>
          <w:lang w:val="en-GB"/>
        </w:rPr>
        <w:t xml:space="preserve">Secondary research, however, has its limitations. The correctness and dependability of the primary sources </w:t>
      </w:r>
      <w:r w:rsidRPr="74B24D56" w:rsidR="05ABD8C9">
        <w:rPr>
          <w:rFonts w:ascii="Aptos" w:hAnsi="Aptos" w:eastAsia="Aptos" w:cs="Aptos"/>
          <w:noProof w:val="0"/>
          <w:sz w:val="22"/>
          <w:szCs w:val="22"/>
          <w:lang w:val="en-GB"/>
        </w:rPr>
        <w:t>determine</w:t>
      </w:r>
      <w:r w:rsidRPr="74B24D56" w:rsidR="05ABD8C9">
        <w:rPr>
          <w:rFonts w:ascii="Aptos" w:hAnsi="Aptos" w:eastAsia="Aptos" w:cs="Aptos"/>
          <w:noProof w:val="0"/>
          <w:sz w:val="22"/>
          <w:szCs w:val="22"/>
          <w:lang w:val="en-GB"/>
        </w:rPr>
        <w:t xml:space="preserve"> the quality of the data. The validity of analysis may be </w:t>
      </w:r>
      <w:r w:rsidRPr="74B24D56" w:rsidR="05ABD8C9">
        <w:rPr>
          <w:rFonts w:ascii="Aptos" w:hAnsi="Aptos" w:eastAsia="Aptos" w:cs="Aptos"/>
          <w:noProof w:val="0"/>
          <w:sz w:val="22"/>
          <w:szCs w:val="22"/>
          <w:lang w:val="en-GB"/>
        </w:rPr>
        <w:t>impacted</w:t>
      </w:r>
      <w:r w:rsidRPr="74B24D56" w:rsidR="05ABD8C9">
        <w:rPr>
          <w:rFonts w:ascii="Aptos" w:hAnsi="Aptos" w:eastAsia="Aptos" w:cs="Aptos"/>
          <w:noProof w:val="0"/>
          <w:sz w:val="22"/>
          <w:szCs w:val="22"/>
          <w:lang w:val="en-GB"/>
        </w:rPr>
        <w:t xml:space="preserve"> by delays in data updates or inconsistent reporting standards among nations. Secondary data may sometimes </w:t>
      </w:r>
      <w:r w:rsidRPr="74B24D56" w:rsidR="2D666615">
        <w:rPr>
          <w:rFonts w:ascii="Aptos" w:hAnsi="Aptos" w:eastAsia="Aptos" w:cs="Aptos"/>
          <w:noProof w:val="0"/>
          <w:sz w:val="22"/>
          <w:szCs w:val="22"/>
          <w:lang w:val="en-GB"/>
        </w:rPr>
        <w:t>lack</w:t>
      </w:r>
      <w:r w:rsidRPr="74B24D56" w:rsidR="05ABD8C9">
        <w:rPr>
          <w:rFonts w:ascii="Aptos" w:hAnsi="Aptos" w:eastAsia="Aptos" w:cs="Aptos"/>
          <w:noProof w:val="0"/>
          <w:sz w:val="22"/>
          <w:szCs w:val="22"/>
          <w:lang w:val="en-GB"/>
        </w:rPr>
        <w:t xml:space="preserve"> </w:t>
      </w:r>
      <w:r w:rsidRPr="74B24D56" w:rsidR="616D7AF9">
        <w:rPr>
          <w:rFonts w:ascii="Aptos" w:hAnsi="Aptos" w:eastAsia="Aptos" w:cs="Aptos"/>
          <w:noProof w:val="0"/>
          <w:sz w:val="22"/>
          <w:szCs w:val="22"/>
          <w:lang w:val="en-GB"/>
        </w:rPr>
        <w:t>variables</w:t>
      </w:r>
      <w:r w:rsidRPr="74B24D56" w:rsidR="05ABD8C9">
        <w:rPr>
          <w:rFonts w:ascii="Aptos" w:hAnsi="Aptos" w:eastAsia="Aptos" w:cs="Aptos"/>
          <w:noProof w:val="0"/>
          <w:sz w:val="22"/>
          <w:szCs w:val="22"/>
          <w:lang w:val="en-GB"/>
        </w:rPr>
        <w:t xml:space="preserve"> that researchers wish to examine, which would restrict the breadth of their investigation. Despite these difficulties, secondary research </w:t>
      </w:r>
      <w:r w:rsidRPr="74B24D56" w:rsidR="388C103A">
        <w:rPr>
          <w:rFonts w:ascii="Aptos" w:hAnsi="Aptos" w:eastAsia="Aptos" w:cs="Aptos"/>
          <w:noProof w:val="0"/>
          <w:sz w:val="22"/>
          <w:szCs w:val="22"/>
          <w:lang w:val="en-GB"/>
        </w:rPr>
        <w:t>remains</w:t>
      </w:r>
      <w:r w:rsidRPr="74B24D56" w:rsidR="05ABD8C9">
        <w:rPr>
          <w:rFonts w:ascii="Aptos" w:hAnsi="Aptos" w:eastAsia="Aptos" w:cs="Aptos"/>
          <w:noProof w:val="0"/>
          <w:sz w:val="22"/>
          <w:szCs w:val="22"/>
          <w:lang w:val="en-GB"/>
        </w:rPr>
        <w:t xml:space="preserve"> essential for studies </w:t>
      </w:r>
      <w:r w:rsidRPr="74B24D56" w:rsidR="5A88C9EE">
        <w:rPr>
          <w:rFonts w:ascii="Aptos" w:hAnsi="Aptos" w:eastAsia="Aptos" w:cs="Aptos"/>
          <w:noProof w:val="0"/>
          <w:sz w:val="22"/>
          <w:szCs w:val="22"/>
          <w:lang w:val="en-GB"/>
        </w:rPr>
        <w:t>about</w:t>
      </w:r>
      <w:r w:rsidRPr="74B24D56" w:rsidR="05ABD8C9">
        <w:rPr>
          <w:rFonts w:ascii="Aptos" w:hAnsi="Aptos" w:eastAsia="Aptos" w:cs="Aptos"/>
          <w:noProof w:val="0"/>
          <w:sz w:val="22"/>
          <w:szCs w:val="22"/>
          <w:lang w:val="en-GB"/>
        </w:rPr>
        <w:t xml:space="preserve"> pandemics because it offers comprehensive insights without subjecting researchers to the health hazards involved with primary data </w:t>
      </w:r>
      <w:r w:rsidRPr="74B24D56" w:rsidR="5CA1742F">
        <w:rPr>
          <w:rFonts w:ascii="Aptos" w:hAnsi="Aptos" w:eastAsia="Aptos" w:cs="Aptos"/>
          <w:noProof w:val="0"/>
          <w:sz w:val="22"/>
          <w:szCs w:val="22"/>
          <w:lang w:val="en-GB"/>
        </w:rPr>
        <w:t>collecting. Researchers</w:t>
      </w:r>
      <w:r w:rsidRPr="74B24D56" w:rsidR="7425903B">
        <w:rPr>
          <w:rFonts w:ascii="Aptos" w:hAnsi="Aptos" w:eastAsia="Aptos" w:cs="Aptos"/>
          <w:noProof w:val="0"/>
          <w:sz w:val="22"/>
          <w:szCs w:val="22"/>
          <w:lang w:val="en-GB"/>
        </w:rPr>
        <w:t xml:space="preserve"> can effectively draw significant conclusions while lowering risks and expenses by depending on well-documented and publicly available </w:t>
      </w:r>
      <w:r w:rsidRPr="74B24D56" w:rsidR="7425903B">
        <w:rPr>
          <w:rFonts w:ascii="Aptos" w:hAnsi="Aptos" w:eastAsia="Aptos" w:cs="Aptos"/>
          <w:noProof w:val="0"/>
          <w:sz w:val="22"/>
          <w:szCs w:val="22"/>
          <w:lang w:val="en-GB"/>
        </w:rPr>
        <w:t>data. In</w:t>
      </w:r>
      <w:r w:rsidRPr="74B24D56" w:rsidR="7425903B">
        <w:rPr>
          <w:rFonts w:ascii="Aptos" w:hAnsi="Aptos" w:eastAsia="Aptos" w:cs="Aptos"/>
          <w:noProof w:val="0"/>
          <w:sz w:val="22"/>
          <w:szCs w:val="22"/>
          <w:lang w:val="en-GB"/>
        </w:rPr>
        <w:t xml:space="preserve"> conclusion, one essential technique for gathering COVID19 data is secondary research. It makes it possible to examine patterns, draw comparisons, and use pre-existing datasets from reliable sources to guide public health policy. Researchers can effectively draw significant conclusions while lowering risks and expenses</w:t>
      </w:r>
      <w:r w:rsidRPr="74B24D56" w:rsidR="15BD06DC">
        <w:rPr>
          <w:rFonts w:ascii="Aptos" w:hAnsi="Aptos" w:eastAsia="Aptos" w:cs="Aptos"/>
          <w:noProof w:val="0"/>
          <w:sz w:val="22"/>
          <w:szCs w:val="22"/>
          <w:lang w:val="en-GB"/>
        </w:rPr>
        <w:t>.</w:t>
      </w:r>
    </w:p>
    <w:tbl>
      <w:tblPr>
        <w:tblStyle w:val="TableGridLight"/>
        <w:bidiVisual w:val="0"/>
        <w:tblW w:w="0" w:type="auto"/>
        <w:tblLayout w:type="fixed"/>
        <w:tblLook w:val="06A0" w:firstRow="1" w:lastRow="0" w:firstColumn="1" w:lastColumn="0" w:noHBand="1" w:noVBand="1"/>
      </w:tblPr>
      <w:tblGrid>
        <w:gridCol w:w="1561"/>
        <w:gridCol w:w="2276"/>
        <w:gridCol w:w="2623"/>
        <w:gridCol w:w="345"/>
      </w:tblGrid>
      <w:tr w:rsidR="0D7F74A2" w:rsidTr="74B24D56" w14:paraId="24A35C76">
        <w:trPr>
          <w:trHeight w:val="300"/>
        </w:trPr>
        <w:tc>
          <w:tcPr>
            <w:tcW w:w="1561" w:type="dxa"/>
            <w:tcMar/>
          </w:tcPr>
          <w:p w:rsidR="0D7F74A2" w:rsidP="777AA44C" w:rsidRDefault="0D7F74A2" w14:paraId="488A1A1B" w14:textId="593582B6">
            <w:pPr>
              <w:spacing w:before="0" w:beforeAutospacing="off" w:after="0" w:afterAutospacing="off"/>
              <w:jc w:val="center"/>
              <w:rPr>
                <w:b w:val="1"/>
                <w:bCs w:val="1"/>
              </w:rPr>
            </w:pPr>
            <w:r w:rsidRPr="777AA44C" w:rsidR="06006027">
              <w:rPr>
                <w:b w:val="1"/>
                <w:bCs w:val="1"/>
              </w:rPr>
              <w:t xml:space="preserve">Three </w:t>
            </w:r>
            <w:r w:rsidRPr="777AA44C" w:rsidR="705A2D8C">
              <w:rPr>
                <w:b w:val="1"/>
                <w:bCs w:val="1"/>
              </w:rPr>
              <w:t>Theme</w:t>
            </w:r>
          </w:p>
        </w:tc>
        <w:tc>
          <w:tcPr>
            <w:tcW w:w="2276" w:type="dxa"/>
            <w:tcMar/>
          </w:tcPr>
          <w:p w:rsidR="0D7F74A2" w:rsidP="0D7F74A2" w:rsidRDefault="0D7F74A2" w14:paraId="501A4171" w14:textId="23AF91A7">
            <w:pPr>
              <w:spacing w:before="0" w:beforeAutospacing="off" w:after="0" w:afterAutospacing="off"/>
              <w:jc w:val="center"/>
            </w:pPr>
            <w:r w:rsidRPr="0D7F74A2" w:rsidR="0D7F74A2">
              <w:rPr>
                <w:b w:val="1"/>
                <w:bCs w:val="1"/>
              </w:rPr>
              <w:t>Description</w:t>
            </w:r>
          </w:p>
        </w:tc>
        <w:tc>
          <w:tcPr>
            <w:tcW w:w="2623" w:type="dxa"/>
            <w:tcMar/>
          </w:tcPr>
          <w:p w:rsidR="2F4797CC" w:rsidP="0D7F74A2" w:rsidRDefault="2F4797CC" w14:paraId="4A0D7FA0" w14:textId="3F28B904">
            <w:pPr>
              <w:spacing w:before="0" w:beforeAutospacing="off" w:after="0" w:afterAutospacing="off"/>
              <w:jc w:val="center"/>
              <w:rPr>
                <w:b w:val="1"/>
                <w:bCs w:val="1"/>
              </w:rPr>
            </w:pPr>
            <w:r w:rsidRPr="0D7F74A2" w:rsidR="2F4797CC">
              <w:rPr>
                <w:b w:val="1"/>
                <w:bCs w:val="1"/>
              </w:rPr>
              <w:t xml:space="preserve">      </w:t>
            </w:r>
            <w:r w:rsidRPr="0D7F74A2" w:rsidR="0D7F74A2">
              <w:rPr>
                <w:b w:val="1"/>
                <w:bCs w:val="1"/>
              </w:rPr>
              <w:t xml:space="preserve">Example Words / </w:t>
            </w:r>
            <w:r w:rsidRPr="0D7F74A2" w:rsidR="67FAFAD6">
              <w:rPr>
                <w:b w:val="1"/>
                <w:bCs w:val="1"/>
              </w:rPr>
              <w:t xml:space="preserve">     </w:t>
            </w:r>
            <w:r w:rsidRPr="0D7F74A2" w:rsidR="0D7F74A2">
              <w:rPr>
                <w:b w:val="1"/>
                <w:bCs w:val="1"/>
              </w:rPr>
              <w:t>Phrases</w:t>
            </w:r>
          </w:p>
        </w:tc>
        <w:tc>
          <w:tcPr>
            <w:tcW w:w="345" w:type="dxa"/>
            <w:tcMar/>
          </w:tcPr>
          <w:p w:rsidR="0D7F74A2" w:rsidP="0D7F74A2" w:rsidRDefault="0D7F74A2" w14:paraId="363B76F5" w14:textId="209A4B8C">
            <w:pPr>
              <w:spacing w:before="0" w:beforeAutospacing="off" w:after="0" w:afterAutospacing="off"/>
              <w:jc w:val="center"/>
              <w:rPr>
                <w:b w:val="1"/>
                <w:bCs w:val="1"/>
              </w:rPr>
            </w:pPr>
          </w:p>
        </w:tc>
      </w:tr>
      <w:tr w:rsidR="777AA44C" w:rsidTr="74B24D56" w14:paraId="16678320">
        <w:trPr>
          <w:trHeight w:val="300"/>
        </w:trPr>
        <w:tc>
          <w:tcPr>
            <w:tcW w:w="1561" w:type="dxa"/>
            <w:tcMar/>
          </w:tcPr>
          <w:p w:rsidR="777AA44C" w:rsidP="777AA44C" w:rsidRDefault="777AA44C" w14:paraId="4A16A43D" w14:textId="60D66779">
            <w:pPr>
              <w:pStyle w:val="Normal"/>
              <w:bidi w:val="0"/>
              <w:rPr>
                <w:b w:val="1"/>
                <w:bCs w:val="1"/>
              </w:rPr>
            </w:pPr>
          </w:p>
        </w:tc>
        <w:tc>
          <w:tcPr>
            <w:tcW w:w="2276" w:type="dxa"/>
            <w:tcMar/>
          </w:tcPr>
          <w:p w:rsidR="777AA44C" w:rsidP="777AA44C" w:rsidRDefault="777AA44C" w14:paraId="58923B52" w14:textId="3DAA56E9">
            <w:pPr>
              <w:pStyle w:val="Normal"/>
            </w:pPr>
          </w:p>
        </w:tc>
        <w:tc>
          <w:tcPr>
            <w:tcW w:w="2623" w:type="dxa"/>
            <w:tcMar/>
          </w:tcPr>
          <w:p w:rsidR="777AA44C" w:rsidP="777AA44C" w:rsidRDefault="777AA44C" w14:paraId="34D83AE3" w14:textId="06EF5595">
            <w:pPr>
              <w:pStyle w:val="Normal"/>
            </w:pPr>
          </w:p>
        </w:tc>
        <w:tc>
          <w:tcPr>
            <w:tcW w:w="345" w:type="dxa"/>
            <w:tcMar/>
          </w:tcPr>
          <w:p w:rsidR="777AA44C" w:rsidP="777AA44C" w:rsidRDefault="777AA44C" w14:paraId="32246A28" w14:textId="0E569237">
            <w:pPr>
              <w:pStyle w:val="Normal"/>
            </w:pPr>
          </w:p>
        </w:tc>
      </w:tr>
      <w:tr w:rsidR="0D7F74A2" w:rsidTr="74B24D56" w14:paraId="0B9A5370">
        <w:trPr>
          <w:trHeight w:val="300"/>
        </w:trPr>
        <w:tc>
          <w:tcPr>
            <w:tcW w:w="1561" w:type="dxa"/>
            <w:tcMar/>
          </w:tcPr>
          <w:p w:rsidR="0D7F74A2" w:rsidP="0D7F74A2" w:rsidRDefault="0D7F74A2" w14:paraId="4C888918" w14:textId="1B06DA3F">
            <w:pPr>
              <w:spacing w:before="0" w:beforeAutospacing="off" w:after="0" w:afterAutospacing="off"/>
            </w:pPr>
            <w:r w:rsidRPr="0D7F74A2" w:rsidR="0D7F74A2">
              <w:rPr>
                <w:b w:val="1"/>
                <w:bCs w:val="1"/>
              </w:rPr>
              <w:t>Impact on Health and Wellbeing</w:t>
            </w:r>
          </w:p>
        </w:tc>
        <w:tc>
          <w:tcPr>
            <w:tcW w:w="2276" w:type="dxa"/>
            <w:tcMar/>
          </w:tcPr>
          <w:p w:rsidR="0D7F74A2" w:rsidP="74B24D56" w:rsidRDefault="0D7F74A2" w14:paraId="512A69FE" w14:textId="1CC6AA42">
            <w:pPr>
              <w:spacing w:before="0" w:beforeAutospacing="off" w:after="0" w:afterAutospacing="off"/>
              <w:rPr>
                <w:i w:val="0"/>
                <w:iCs w:val="0"/>
                <w:sz w:val="22"/>
                <w:szCs w:val="22"/>
              </w:rPr>
            </w:pPr>
            <w:r w:rsidRPr="74B24D56" w:rsidR="6BA23F7C">
              <w:rPr>
                <w:i w:val="0"/>
                <w:iCs w:val="0"/>
                <w:sz w:val="22"/>
                <w:szCs w:val="22"/>
              </w:rPr>
              <w:t>Effects of COVID-19 on physical and mental health.</w:t>
            </w:r>
          </w:p>
        </w:tc>
        <w:tc>
          <w:tcPr>
            <w:tcW w:w="2623" w:type="dxa"/>
            <w:tcMar/>
          </w:tcPr>
          <w:p w:rsidR="7ED8A2C6" w:rsidP="74B24D56" w:rsidRDefault="7ED8A2C6" w14:paraId="551BD3B8" w14:textId="09A20CBA">
            <w:pPr>
              <w:spacing w:before="0" w:beforeAutospacing="off" w:after="0" w:afterAutospacing="off"/>
              <w:rPr>
                <w:i w:val="0"/>
                <w:iCs w:val="0"/>
                <w:sz w:val="22"/>
                <w:szCs w:val="22"/>
              </w:rPr>
            </w:pPr>
            <w:r w:rsidRPr="74B24D56" w:rsidR="0C31F99A">
              <w:rPr>
                <w:i w:val="0"/>
                <w:iCs w:val="0"/>
                <w:sz w:val="22"/>
                <w:szCs w:val="22"/>
              </w:rPr>
              <w:t xml:space="preserve">   </w:t>
            </w:r>
            <w:r w:rsidRPr="74B24D56" w:rsidR="6BA23F7C">
              <w:rPr>
                <w:i w:val="0"/>
                <w:iCs w:val="0"/>
                <w:sz w:val="22"/>
                <w:szCs w:val="22"/>
              </w:rPr>
              <w:t>Illness, mental health, anxiety, stress, recovery, vaccination</w:t>
            </w:r>
          </w:p>
        </w:tc>
        <w:tc>
          <w:tcPr>
            <w:tcW w:w="345" w:type="dxa"/>
            <w:tcMar/>
          </w:tcPr>
          <w:p w:rsidR="0D7F74A2" w:rsidP="0D7F74A2" w:rsidRDefault="0D7F74A2" w14:paraId="1C9618D3" w14:textId="4E9CCC2F">
            <w:pPr>
              <w:spacing w:before="0" w:beforeAutospacing="off" w:after="0" w:afterAutospacing="off"/>
            </w:pPr>
          </w:p>
        </w:tc>
      </w:tr>
      <w:tr w:rsidR="0D7F74A2" w:rsidTr="74B24D56" w14:paraId="6CC6A288">
        <w:trPr>
          <w:trHeight w:val="300"/>
        </w:trPr>
        <w:tc>
          <w:tcPr>
            <w:tcW w:w="1561" w:type="dxa"/>
            <w:tcMar/>
          </w:tcPr>
          <w:p w:rsidR="0D7F74A2" w:rsidP="0D7F74A2" w:rsidRDefault="0D7F74A2" w14:paraId="1495D715" w14:textId="5A9B95AF">
            <w:pPr>
              <w:spacing w:before="0" w:beforeAutospacing="off" w:after="0" w:afterAutospacing="off"/>
            </w:pPr>
            <w:r w:rsidRPr="0D7F74A2" w:rsidR="0D7F74A2">
              <w:rPr>
                <w:b w:val="1"/>
                <w:bCs w:val="1"/>
              </w:rPr>
              <w:t>Workforce Challenges and Adaptation</w:t>
            </w:r>
          </w:p>
        </w:tc>
        <w:tc>
          <w:tcPr>
            <w:tcW w:w="2276" w:type="dxa"/>
            <w:tcMar/>
          </w:tcPr>
          <w:p w:rsidR="0D7F74A2" w:rsidP="74B24D56" w:rsidRDefault="0D7F74A2" w14:paraId="233CFC7A" w14:textId="13B518AD">
            <w:pPr>
              <w:spacing w:before="0" w:beforeAutospacing="off" w:after="0" w:afterAutospacing="off"/>
              <w:rPr>
                <w:i w:val="0"/>
                <w:iCs w:val="0"/>
                <w:sz w:val="22"/>
                <w:szCs w:val="22"/>
              </w:rPr>
            </w:pPr>
            <w:r w:rsidRPr="74B24D56" w:rsidR="6BA23F7C">
              <w:rPr>
                <w:i w:val="0"/>
                <w:iCs w:val="0"/>
                <w:sz w:val="22"/>
                <w:szCs w:val="22"/>
              </w:rPr>
              <w:t>How workplaces</w:t>
            </w:r>
            <w:r w:rsidRPr="74B24D56" w:rsidR="0DABA460">
              <w:rPr>
                <w:i w:val="0"/>
                <w:iCs w:val="0"/>
                <w:sz w:val="22"/>
                <w:szCs w:val="22"/>
              </w:rPr>
              <w:t xml:space="preserve">      </w:t>
            </w:r>
            <w:r w:rsidRPr="74B24D56" w:rsidR="6BA23F7C">
              <w:rPr>
                <w:i w:val="0"/>
                <w:iCs w:val="0"/>
                <w:sz w:val="22"/>
                <w:szCs w:val="22"/>
              </w:rPr>
              <w:t xml:space="preserve"> and employees adapted during COVID-19.</w:t>
            </w:r>
          </w:p>
        </w:tc>
        <w:tc>
          <w:tcPr>
            <w:tcW w:w="2623" w:type="dxa"/>
            <w:tcMar/>
          </w:tcPr>
          <w:p w:rsidR="0D7F74A2" w:rsidP="74B24D56" w:rsidRDefault="0D7F74A2" w14:paraId="421C7290" w14:textId="3109E999">
            <w:pPr>
              <w:spacing w:before="0" w:beforeAutospacing="off" w:after="0" w:afterAutospacing="off"/>
              <w:rPr>
                <w:i w:val="0"/>
                <w:iCs w:val="0"/>
                <w:sz w:val="22"/>
                <w:szCs w:val="22"/>
              </w:rPr>
            </w:pPr>
            <w:r w:rsidRPr="74B24D56" w:rsidR="6BA23F7C">
              <w:rPr>
                <w:i w:val="0"/>
                <w:iCs w:val="0"/>
                <w:sz w:val="22"/>
                <w:szCs w:val="22"/>
              </w:rPr>
              <w:t>Remote work, essential workers, layoffs, flexibility, technology</w:t>
            </w:r>
          </w:p>
        </w:tc>
        <w:tc>
          <w:tcPr>
            <w:tcW w:w="345" w:type="dxa"/>
            <w:tcMar/>
          </w:tcPr>
          <w:p w:rsidR="0D7F74A2" w:rsidP="0D7F74A2" w:rsidRDefault="0D7F74A2" w14:paraId="1F3FE1BE" w14:textId="34BB3AB6">
            <w:pPr>
              <w:spacing w:before="0" w:beforeAutospacing="off" w:after="0" w:afterAutospacing="off"/>
            </w:pPr>
          </w:p>
        </w:tc>
      </w:tr>
      <w:tr w:rsidR="0D7F74A2" w:rsidTr="74B24D56" w14:paraId="7094DF2F">
        <w:trPr>
          <w:trHeight w:val="1155"/>
        </w:trPr>
        <w:tc>
          <w:tcPr>
            <w:tcW w:w="1561" w:type="dxa"/>
            <w:tcMar/>
          </w:tcPr>
          <w:p w:rsidR="0D7F74A2" w:rsidP="0D7F74A2" w:rsidRDefault="0D7F74A2" w14:paraId="224C2BC0" w14:textId="39F2281D">
            <w:pPr>
              <w:spacing w:before="0" w:beforeAutospacing="off" w:after="0" w:afterAutospacing="off"/>
            </w:pPr>
            <w:r w:rsidRPr="0D7F74A2" w:rsidR="0D7F74A2">
              <w:rPr>
                <w:b w:val="1"/>
                <w:bCs w:val="1"/>
              </w:rPr>
              <w:t>Inequality and Access to Care</w:t>
            </w:r>
          </w:p>
        </w:tc>
        <w:tc>
          <w:tcPr>
            <w:tcW w:w="2276" w:type="dxa"/>
            <w:tcMar/>
          </w:tcPr>
          <w:p w:rsidR="0D7F74A2" w:rsidP="74B24D56" w:rsidRDefault="0D7F74A2" w14:paraId="1E343B1C" w14:textId="4985CCC2">
            <w:pPr>
              <w:spacing w:before="0" w:beforeAutospacing="off" w:after="0" w:afterAutospacing="off"/>
              <w:rPr>
                <w:i w:val="0"/>
                <w:iCs w:val="0"/>
                <w:sz w:val="22"/>
                <w:szCs w:val="22"/>
              </w:rPr>
            </w:pPr>
            <w:r w:rsidRPr="74B24D56" w:rsidR="6BA23F7C">
              <w:rPr>
                <w:i w:val="0"/>
                <w:iCs w:val="0"/>
                <w:sz w:val="22"/>
                <w:szCs w:val="22"/>
              </w:rPr>
              <w:t>Differences in healthcare availability and outcomes.</w:t>
            </w:r>
          </w:p>
        </w:tc>
        <w:tc>
          <w:tcPr>
            <w:tcW w:w="2623" w:type="dxa"/>
            <w:tcMar/>
          </w:tcPr>
          <w:p w:rsidR="0D7F74A2" w:rsidP="74B24D56" w:rsidRDefault="0D7F74A2" w14:paraId="2BEE4B95" w14:textId="0BEE1F84">
            <w:pPr>
              <w:spacing w:before="0" w:beforeAutospacing="off" w:after="0" w:afterAutospacing="off"/>
              <w:rPr>
                <w:i w:val="0"/>
                <w:iCs w:val="0"/>
                <w:sz w:val="22"/>
                <w:szCs w:val="22"/>
              </w:rPr>
            </w:pPr>
            <w:r w:rsidRPr="74B24D56" w:rsidR="6BA23F7C">
              <w:rPr>
                <w:i w:val="0"/>
                <w:iCs w:val="0"/>
                <w:sz w:val="22"/>
                <w:szCs w:val="22"/>
              </w:rPr>
              <w:t>Healthcare access, disparity, vulnerable populations, resources, equity</w:t>
            </w:r>
          </w:p>
        </w:tc>
        <w:tc>
          <w:tcPr>
            <w:tcW w:w="345" w:type="dxa"/>
            <w:tcMar/>
          </w:tcPr>
          <w:p w:rsidR="0D7F74A2" w:rsidRDefault="0D7F74A2" w14:paraId="45077BEE" w14:textId="09D30C77"/>
        </w:tc>
      </w:tr>
    </w:tbl>
    <w:p w:rsidR="51E95A26" w:rsidP="0D7F74A2" w:rsidRDefault="51E95A26" w14:paraId="1EB57167" w14:textId="358A635C">
      <w:pPr>
        <w:spacing w:before="240" w:beforeAutospacing="off" w:after="240" w:afterAutospacing="off"/>
        <w:rPr>
          <w:rFonts w:ascii="Aptos" w:hAnsi="Aptos" w:eastAsia="Aptos" w:cs="Aptos"/>
          <w:b w:val="1"/>
          <w:bCs w:val="1"/>
          <w:noProof w:val="0"/>
          <w:sz w:val="24"/>
          <w:szCs w:val="24"/>
          <w:lang w:val="en-GB"/>
        </w:rPr>
      </w:pPr>
    </w:p>
    <w:p w:rsidR="463F3523" w:rsidP="74B24D56" w:rsidRDefault="463F3523" w14:paraId="546667C8" w14:textId="49D672C1">
      <w:pPr>
        <w:pStyle w:val="Normal"/>
        <w:spacing w:before="240" w:beforeAutospacing="off" w:after="240" w:afterAutospacing="off"/>
        <w:rPr>
          <w:rFonts w:ascii="Aptos" w:hAnsi="Aptos" w:eastAsia="Aptos" w:cs="Aptos"/>
          <w:noProof w:val="0"/>
          <w:sz w:val="22"/>
          <w:szCs w:val="22"/>
          <w:lang w:val="en-GB"/>
        </w:rPr>
      </w:pPr>
      <w:r w:rsidRPr="74B24D56" w:rsidR="2181A5D1">
        <w:rPr>
          <w:rFonts w:ascii="Aptos" w:hAnsi="Aptos" w:eastAsia="Aptos" w:cs="Aptos"/>
          <w:noProof w:val="0"/>
          <w:sz w:val="22"/>
          <w:szCs w:val="22"/>
          <w:lang w:val="en-GB"/>
        </w:rPr>
        <w:t xml:space="preserve">The COVID-19 epidemic has profoundly and multifacetedly impacted global health and social care systems </w:t>
      </w:r>
      <w:r w:rsidRPr="74B24D56" w:rsidR="43A3E4CD">
        <w:rPr>
          <w:rFonts w:ascii="Aptos" w:hAnsi="Aptos" w:eastAsia="Aptos" w:cs="Aptos"/>
          <w:noProof w:val="0"/>
          <w:sz w:val="22"/>
          <w:szCs w:val="22"/>
          <w:lang w:val="en-GB"/>
        </w:rPr>
        <w:t>Global health and social care systems have been profoundly and multifaceted</w:t>
      </w:r>
      <w:r w:rsidRPr="74B24D56" w:rsidR="2A3669B4">
        <w:rPr>
          <w:rFonts w:ascii="Aptos" w:hAnsi="Aptos" w:eastAsia="Aptos" w:cs="Aptos"/>
          <w:noProof w:val="0"/>
          <w:sz w:val="22"/>
          <w:szCs w:val="22"/>
          <w:lang w:val="en-GB"/>
        </w:rPr>
        <w:t xml:space="preserve"> pandemic has profoundly and multifacetedly impacted global health and</w:t>
      </w:r>
      <w:r w:rsidRPr="74B24D56" w:rsidR="2A3669B4">
        <w:rPr>
          <w:rFonts w:ascii="Aptos" w:hAnsi="Aptos" w:eastAsia="Aptos" w:cs="Aptos"/>
          <w:noProof w:val="0"/>
          <w:sz w:val="24"/>
          <w:szCs w:val="24"/>
          <w:lang w:val="en-GB"/>
        </w:rPr>
        <w:t xml:space="preserve"> social care </w:t>
      </w:r>
      <w:r w:rsidRPr="74B24D56" w:rsidR="2A3669B4">
        <w:rPr>
          <w:rFonts w:ascii="Aptos" w:hAnsi="Aptos" w:eastAsia="Aptos" w:cs="Aptos"/>
          <w:noProof w:val="0"/>
          <w:sz w:val="22"/>
          <w:szCs w:val="22"/>
          <w:lang w:val="en-GB"/>
        </w:rPr>
        <w:t xml:space="preserve">systems. </w:t>
      </w:r>
      <w:r w:rsidRPr="74B24D56" w:rsidR="43A3E4CD">
        <w:rPr>
          <w:rFonts w:ascii="Aptos" w:hAnsi="Aptos" w:eastAsia="Aptos" w:cs="Aptos"/>
          <w:noProof w:val="0"/>
          <w:sz w:val="22"/>
          <w:szCs w:val="22"/>
          <w:lang w:val="en-GB"/>
        </w:rPr>
        <w:t>Three topics in particular stand out to people who work in or study health and social care: the exposure of disparities in access to care; the challenges and adaptations faced by the workforce; and the impact on the health and wellbeing of service users and care workers. Each of these themes is examined in turn in this essay, with an emphasis on how they emerge in the UK setting (though many are worldwide), and the consequences for practice and policy are taken into consideration.</w:t>
      </w:r>
    </w:p>
    <w:p w:rsidR="51E95A26" w:rsidP="777AA44C" w:rsidRDefault="51E95A26" w14:paraId="0DBD7DC9" w14:textId="11ED4AF2">
      <w:pPr>
        <w:spacing w:before="240" w:beforeAutospacing="off" w:after="240" w:afterAutospacing="off"/>
        <w:rPr>
          <w:rFonts w:ascii="Aptos" w:hAnsi="Aptos" w:eastAsia="Aptos" w:cs="Aptos"/>
          <w:b w:val="1"/>
          <w:bCs w:val="1"/>
          <w:noProof w:val="0"/>
          <w:sz w:val="36"/>
          <w:szCs w:val="36"/>
          <w:lang w:val="en-GB"/>
        </w:rPr>
      </w:pPr>
      <w:r w:rsidRPr="777AA44C" w:rsidR="7816C3EF">
        <w:rPr>
          <w:rFonts w:ascii="Aptos" w:hAnsi="Aptos" w:eastAsia="Aptos" w:cs="Aptos"/>
          <w:b w:val="1"/>
          <w:bCs w:val="1"/>
          <w:noProof w:val="0"/>
          <w:sz w:val="36"/>
          <w:szCs w:val="36"/>
          <w:lang w:val="en-GB"/>
        </w:rPr>
        <w:t>Theme 1: Impact on Health and Wellbeing</w:t>
      </w:r>
    </w:p>
    <w:p w:rsidR="7003EFFE" w:rsidP="74B24D56" w:rsidRDefault="7003EFFE" w14:paraId="353797E0" w14:textId="02F5E3D7">
      <w:pPr>
        <w:pStyle w:val="Normal"/>
        <w:spacing w:before="240" w:beforeAutospacing="off" w:after="240" w:afterAutospacing="off"/>
        <w:rPr>
          <w:rFonts w:ascii="Aptos" w:hAnsi="Aptos" w:eastAsia="Aptos" w:cs="Aptos"/>
          <w:noProof w:val="0"/>
          <w:sz w:val="22"/>
          <w:szCs w:val="22"/>
          <w:lang w:val="en-GB"/>
        </w:rPr>
      </w:pPr>
      <w:r w:rsidRPr="74B24D56" w:rsidR="094D4477">
        <w:rPr>
          <w:rFonts w:ascii="Aptos" w:hAnsi="Aptos" w:eastAsia="Aptos" w:cs="Aptos"/>
          <w:noProof w:val="0"/>
          <w:sz w:val="22"/>
          <w:szCs w:val="22"/>
          <w:lang w:val="en-GB"/>
        </w:rPr>
        <w:t xml:space="preserve">The physical and mental health and well-being of service users and carers </w:t>
      </w:r>
      <w:r w:rsidRPr="74B24D56" w:rsidR="269CC903">
        <w:rPr>
          <w:rFonts w:ascii="Aptos" w:hAnsi="Aptos" w:eastAsia="Aptos" w:cs="Aptos"/>
          <w:noProof w:val="0"/>
          <w:sz w:val="22"/>
          <w:szCs w:val="22"/>
          <w:lang w:val="en-GB"/>
        </w:rPr>
        <w:t>have</w:t>
      </w:r>
      <w:r w:rsidRPr="74B24D56" w:rsidR="094D4477">
        <w:rPr>
          <w:rFonts w:ascii="Aptos" w:hAnsi="Aptos" w:eastAsia="Aptos" w:cs="Aptos"/>
          <w:noProof w:val="0"/>
          <w:sz w:val="22"/>
          <w:szCs w:val="22"/>
          <w:lang w:val="en-GB"/>
        </w:rPr>
        <w:t xml:space="preserve"> been one of the COVID-19 pandemic's most obvious and immediate effects on health and social care. Physically, hospitals and assisted living facilities were severely </w:t>
      </w:r>
      <w:r w:rsidRPr="74B24D56" w:rsidR="094D4477">
        <w:rPr>
          <w:rFonts w:ascii="Aptos" w:hAnsi="Aptos" w:eastAsia="Aptos" w:cs="Aptos"/>
          <w:noProof w:val="0"/>
          <w:sz w:val="22"/>
          <w:szCs w:val="22"/>
          <w:lang w:val="en-GB"/>
        </w:rPr>
        <w:t>impacted</w:t>
      </w:r>
      <w:r w:rsidRPr="74B24D56" w:rsidR="094D4477">
        <w:rPr>
          <w:rFonts w:ascii="Aptos" w:hAnsi="Aptos" w:eastAsia="Aptos" w:cs="Aptos"/>
          <w:noProof w:val="0"/>
          <w:sz w:val="22"/>
          <w:szCs w:val="22"/>
          <w:lang w:val="en-GB"/>
        </w:rPr>
        <w:t xml:space="preserve"> by the disease's direct burden, particularly for senior citizens and long-term care residents. For example, a scoping analysis of social workers and health care providers in long-term care revealed that the pandemic significantly altered the way care was provided and had an impact on both residents' and staff's health.</w:t>
      </w:r>
    </w:p>
    <w:p w:rsidR="4E3D09D9" w:rsidP="777AA44C" w:rsidRDefault="4E3D09D9" w14:paraId="1FB3E45A" w14:textId="212B8128">
      <w:pPr>
        <w:pStyle w:val="Normal"/>
        <w:spacing w:before="240" w:beforeAutospacing="off" w:after="240" w:afterAutospacing="off"/>
      </w:pPr>
      <w:r w:rsidRPr="74B24D56" w:rsidR="6300B10B">
        <w:rPr>
          <w:rFonts w:ascii="Aptos" w:hAnsi="Aptos" w:eastAsia="Aptos" w:cs="Aptos"/>
          <w:noProof w:val="0"/>
          <w:sz w:val="22"/>
          <w:szCs w:val="22"/>
          <w:lang w:val="en-GB"/>
        </w:rPr>
        <w:t xml:space="preserve">In addition to the direct hazards of infection, the pandemic disrupted routine care, </w:t>
      </w:r>
      <w:r w:rsidRPr="74B24D56" w:rsidR="390CD692">
        <w:rPr>
          <w:rFonts w:ascii="Aptos" w:hAnsi="Aptos" w:eastAsia="Aptos" w:cs="Aptos"/>
          <w:noProof w:val="0"/>
          <w:sz w:val="22"/>
          <w:szCs w:val="22"/>
          <w:lang w:val="en-GB"/>
        </w:rPr>
        <w:t xml:space="preserve">resulting </w:t>
      </w:r>
      <w:r w:rsidRPr="74B24D56" w:rsidR="390CD692">
        <w:rPr>
          <w:rFonts w:ascii="Aptos" w:hAnsi="Aptos" w:eastAsia="Aptos" w:cs="Aptos"/>
          <w:noProof w:val="0"/>
          <w:sz w:val="22"/>
          <w:szCs w:val="22"/>
          <w:lang w:val="en-GB"/>
        </w:rPr>
        <w:t>in a</w:t>
      </w:r>
      <w:r w:rsidRPr="74B24D56" w:rsidR="6300B10B">
        <w:rPr>
          <w:rFonts w:ascii="Aptos" w:hAnsi="Aptos" w:eastAsia="Aptos" w:cs="Aptos"/>
          <w:noProof w:val="0"/>
          <w:sz w:val="22"/>
          <w:szCs w:val="22"/>
          <w:lang w:val="en-GB"/>
        </w:rPr>
        <w:t xml:space="preserve"> detrimental effect on results. According to research, system strain and delayed care contributed to an increase in non-COVID</w:t>
      </w:r>
      <w:r w:rsidRPr="74B24D56" w:rsidR="172F7828">
        <w:rPr>
          <w:rFonts w:ascii="Aptos" w:hAnsi="Aptos" w:eastAsia="Aptos" w:cs="Aptos"/>
          <w:noProof w:val="0"/>
          <w:sz w:val="22"/>
          <w:szCs w:val="22"/>
          <w:lang w:val="en-GB"/>
        </w:rPr>
        <w:t>-19</w:t>
      </w:r>
      <w:r w:rsidRPr="74B24D56" w:rsidR="6300B10B">
        <w:rPr>
          <w:rFonts w:ascii="Aptos" w:hAnsi="Aptos" w:eastAsia="Aptos" w:cs="Aptos"/>
          <w:noProof w:val="0"/>
          <w:sz w:val="22"/>
          <w:szCs w:val="22"/>
          <w:lang w:val="en-GB"/>
        </w:rPr>
        <w:t xml:space="preserve"> excess mortality (such as heart attacks and cancer diagnoses). This </w:t>
      </w:r>
      <w:r w:rsidRPr="74B24D56" w:rsidR="6300B10B">
        <w:rPr>
          <w:rFonts w:ascii="Aptos" w:hAnsi="Aptos" w:eastAsia="Aptos" w:cs="Aptos"/>
          <w:noProof w:val="0"/>
          <w:sz w:val="22"/>
          <w:szCs w:val="22"/>
          <w:lang w:val="en-GB"/>
        </w:rPr>
        <w:t>demonstrates</w:t>
      </w:r>
      <w:r w:rsidRPr="74B24D56" w:rsidR="6300B10B">
        <w:rPr>
          <w:rFonts w:ascii="Aptos" w:hAnsi="Aptos" w:eastAsia="Aptos" w:cs="Aptos"/>
          <w:noProof w:val="0"/>
          <w:sz w:val="22"/>
          <w:szCs w:val="22"/>
          <w:lang w:val="en-GB"/>
        </w:rPr>
        <w:t xml:space="preserve"> that the health effects went beyond COVID-19 cases and included collateral harm to the healthcare</w:t>
      </w:r>
      <w:r w:rsidRPr="74B24D56" w:rsidR="6300B10B">
        <w:rPr>
          <w:rFonts w:ascii="Aptos" w:hAnsi="Aptos" w:eastAsia="Aptos" w:cs="Aptos"/>
          <w:noProof w:val="0"/>
          <w:sz w:val="24"/>
          <w:szCs w:val="24"/>
          <w:lang w:val="en-GB"/>
        </w:rPr>
        <w:t xml:space="preserve"> system.</w:t>
      </w:r>
    </w:p>
    <w:p w:rsidR="34C70491" w:rsidP="74B24D56" w:rsidRDefault="34C70491" w14:paraId="231854CC" w14:textId="0C19D085">
      <w:pPr>
        <w:pStyle w:val="Normal"/>
        <w:spacing w:before="240" w:beforeAutospacing="off" w:after="240" w:afterAutospacing="off"/>
        <w:rPr>
          <w:rFonts w:ascii="Aptos" w:hAnsi="Aptos" w:eastAsia="Aptos" w:cs="Aptos"/>
          <w:noProof w:val="0"/>
          <w:sz w:val="22"/>
          <w:szCs w:val="22"/>
          <w:lang w:val="en-GB"/>
        </w:rPr>
      </w:pPr>
      <w:r w:rsidRPr="74B24D56" w:rsidR="387438A9">
        <w:rPr>
          <w:rFonts w:ascii="Aptos" w:hAnsi="Aptos" w:eastAsia="Aptos" w:cs="Aptos"/>
          <w:noProof w:val="0"/>
          <w:sz w:val="22"/>
          <w:szCs w:val="22"/>
          <w:lang w:val="en-GB"/>
        </w:rPr>
        <w:t xml:space="preserve">There has been a significant emotional and psychological toll. As they balanced the dangers of infection, shifting guidelines, resource shortages, and patient/resident loss, front-line health and social care workers reported </w:t>
      </w:r>
      <w:r w:rsidRPr="74B24D56" w:rsidR="7F03744B">
        <w:rPr>
          <w:rFonts w:ascii="Aptos" w:hAnsi="Aptos" w:eastAsia="Aptos" w:cs="Aptos"/>
          <w:noProof w:val="0"/>
          <w:sz w:val="22"/>
          <w:szCs w:val="22"/>
          <w:lang w:val="en-GB"/>
        </w:rPr>
        <w:t>elevated levels</w:t>
      </w:r>
      <w:r w:rsidRPr="74B24D56" w:rsidR="387438A9">
        <w:rPr>
          <w:rFonts w:ascii="Aptos" w:hAnsi="Aptos" w:eastAsia="Aptos" w:cs="Aptos"/>
          <w:noProof w:val="0"/>
          <w:sz w:val="22"/>
          <w:szCs w:val="22"/>
          <w:lang w:val="en-GB"/>
        </w:rPr>
        <w:t xml:space="preserve"> of stress, anxiety, burnout, and moral distress. Isolation (caused by lockdowns and visiting limits) on the part of service users, particularly in social care settings, led to declines in mental health and wellbeing and, in certain cases, accelerated cognitive decline in older adults. Lockdowns and service cuts made it more difficult to </w:t>
      </w:r>
      <w:r w:rsidRPr="74B24D56" w:rsidR="387438A9">
        <w:rPr>
          <w:rFonts w:ascii="Aptos" w:hAnsi="Aptos" w:eastAsia="Aptos" w:cs="Aptos"/>
          <w:noProof w:val="0"/>
          <w:sz w:val="22"/>
          <w:szCs w:val="22"/>
          <w:lang w:val="en-GB"/>
        </w:rPr>
        <w:t>identify</w:t>
      </w:r>
      <w:r w:rsidRPr="74B24D56" w:rsidR="387438A9">
        <w:rPr>
          <w:rFonts w:ascii="Aptos" w:hAnsi="Aptos" w:eastAsia="Aptos" w:cs="Aptos"/>
          <w:noProof w:val="0"/>
          <w:sz w:val="22"/>
          <w:szCs w:val="22"/>
          <w:lang w:val="en-GB"/>
        </w:rPr>
        <w:t xml:space="preserve"> safeguarding issues and put vulnerable children at greater danger in the children and young people social care sector.</w:t>
      </w:r>
    </w:p>
    <w:p w:rsidR="777AA44C" w:rsidRDefault="777AA44C" w14:paraId="4C283DEB" w14:textId="2EEED2DC"/>
    <w:p w:rsidR="6A13FFF7" w:rsidP="777AA44C" w:rsidRDefault="6A13FFF7" w14:paraId="118FDCFE" w14:textId="6D717542">
      <w:pPr>
        <w:pStyle w:val="Normal"/>
        <w:spacing w:before="240" w:beforeAutospacing="off" w:after="240" w:afterAutospacing="off"/>
      </w:pPr>
      <w:r w:rsidRPr="74B24D56" w:rsidR="7257787C">
        <w:rPr>
          <w:rFonts w:ascii="Aptos" w:hAnsi="Aptos" w:eastAsia="Aptos" w:cs="Aptos"/>
          <w:noProof w:val="0"/>
          <w:sz w:val="22"/>
          <w:szCs w:val="22"/>
          <w:lang w:val="en-GB"/>
        </w:rPr>
        <w:t>COVID-19 caused a tremendous physical and psychological toll. Widespread disease and death were caused by the virus itself, especially among the elderly and people with long-term medical issues. Care facilities were particularly vulnerable, as evidenced by the fact that over 40% of COVID-related early-stage deaths in the UK occurred there (Office for National Statistics [ONS], 2021). Devastating results resulted from a lack of personal protective equipment (PPE), inadequate testing, and delayed government assistance in many care facilities (Bottery, 2020</w:t>
      </w:r>
      <w:r w:rsidRPr="74B24D56" w:rsidR="7257787C">
        <w:rPr>
          <w:rFonts w:ascii="Aptos" w:hAnsi="Aptos" w:eastAsia="Aptos" w:cs="Aptos"/>
          <w:noProof w:val="0"/>
          <w:sz w:val="24"/>
          <w:szCs w:val="24"/>
          <w:lang w:val="en-GB"/>
        </w:rPr>
        <w:t>).</w:t>
      </w:r>
    </w:p>
    <w:p w:rsidR="62F68C54" w:rsidP="74B24D56" w:rsidRDefault="62F68C54" w14:paraId="2BFB5469" w14:textId="08DC0687">
      <w:pPr>
        <w:pStyle w:val="Normal"/>
        <w:spacing w:before="240" w:beforeAutospacing="off" w:after="240" w:afterAutospacing="off"/>
        <w:rPr>
          <w:rFonts w:ascii="Aptos" w:hAnsi="Aptos" w:eastAsia="Aptos" w:cs="Aptos"/>
          <w:noProof w:val="0"/>
          <w:sz w:val="22"/>
          <w:szCs w:val="22"/>
          <w:lang w:val="en-GB"/>
        </w:rPr>
      </w:pPr>
      <w:r w:rsidRPr="74B24D56" w:rsidR="57A06176">
        <w:rPr>
          <w:rFonts w:ascii="Aptos" w:hAnsi="Aptos" w:eastAsia="Aptos" w:cs="Aptos"/>
          <w:noProof w:val="0"/>
          <w:sz w:val="22"/>
          <w:szCs w:val="22"/>
          <w:lang w:val="en-GB"/>
        </w:rPr>
        <w:t>The interruption of regular healthcare services had serious side effects in addition to direct infection. A backlog of treatable diseases resulted from the cancellation or postponement of general practitioner (GP) visits, cancer screenings, and non-urgent procedures (British Medical Association [BMA], 2024). According to Jones et al. (2022), social care consumers experienced a decrease in social connection and an increase in isolation when day services, respite care, and community programs were interrupted. This was particularly true for individuals with dementia or impairments.</w:t>
      </w:r>
    </w:p>
    <w:p w:rsidR="43733EEB" w:rsidP="74B24D56" w:rsidRDefault="43733EEB" w14:paraId="761BEE07" w14:textId="1FAB0A28">
      <w:pPr>
        <w:pStyle w:val="Normal"/>
        <w:spacing w:before="240" w:beforeAutospacing="off" w:after="240" w:afterAutospacing="off"/>
        <w:rPr>
          <w:rFonts w:ascii="Aptos" w:hAnsi="Aptos" w:eastAsia="Aptos" w:cs="Aptos"/>
          <w:noProof w:val="0"/>
          <w:sz w:val="22"/>
          <w:szCs w:val="22"/>
          <w:lang w:val="en-GB"/>
        </w:rPr>
      </w:pPr>
      <w:r w:rsidRPr="74B24D56" w:rsidR="559A43E1">
        <w:rPr>
          <w:rFonts w:ascii="Aptos" w:hAnsi="Aptos" w:eastAsia="Aptos" w:cs="Aptos"/>
          <w:noProof w:val="0"/>
          <w:sz w:val="22"/>
          <w:szCs w:val="22"/>
          <w:lang w:val="en-GB"/>
        </w:rPr>
        <w:t xml:space="preserve">The effects of COVID-19 on mental health were equally </w:t>
      </w:r>
      <w:r w:rsidRPr="74B24D56" w:rsidR="0773BC24">
        <w:rPr>
          <w:rFonts w:ascii="Aptos" w:hAnsi="Aptos" w:eastAsia="Aptos" w:cs="Aptos"/>
          <w:noProof w:val="0"/>
          <w:sz w:val="22"/>
          <w:szCs w:val="22"/>
          <w:lang w:val="en-GB"/>
        </w:rPr>
        <w:t>severe</w:t>
      </w:r>
      <w:r w:rsidRPr="74B24D56" w:rsidR="559A43E1">
        <w:rPr>
          <w:rFonts w:ascii="Aptos" w:hAnsi="Aptos" w:eastAsia="Aptos" w:cs="Aptos"/>
          <w:noProof w:val="0"/>
          <w:sz w:val="22"/>
          <w:szCs w:val="22"/>
          <w:lang w:val="en-GB"/>
        </w:rPr>
        <w:t xml:space="preserve">. Observing high death rates and </w:t>
      </w:r>
      <w:r w:rsidRPr="74B24D56" w:rsidR="559A43E1">
        <w:rPr>
          <w:rFonts w:ascii="Aptos" w:hAnsi="Aptos" w:eastAsia="Aptos" w:cs="Aptos"/>
          <w:noProof w:val="0"/>
          <w:sz w:val="22"/>
          <w:szCs w:val="22"/>
          <w:lang w:val="en-GB"/>
        </w:rPr>
        <w:t>operating</w:t>
      </w:r>
      <w:r w:rsidRPr="74B24D56" w:rsidR="559A43E1">
        <w:rPr>
          <w:rFonts w:ascii="Aptos" w:hAnsi="Aptos" w:eastAsia="Aptos" w:cs="Aptos"/>
          <w:noProof w:val="0"/>
          <w:sz w:val="22"/>
          <w:szCs w:val="22"/>
          <w:lang w:val="en-GB"/>
        </w:rPr>
        <w:t xml:space="preserve"> under pressure with few resources put a great deal of emotional strain on healthcare workers. According to </w:t>
      </w:r>
      <w:r w:rsidRPr="74B24D56" w:rsidR="559A43E1">
        <w:rPr>
          <w:rFonts w:ascii="Aptos" w:hAnsi="Aptos" w:eastAsia="Aptos" w:cs="Aptos"/>
          <w:noProof w:val="0"/>
          <w:sz w:val="22"/>
          <w:szCs w:val="22"/>
          <w:lang w:val="en-GB"/>
        </w:rPr>
        <w:t>Aughterson</w:t>
      </w:r>
      <w:r w:rsidRPr="74B24D56" w:rsidR="559A43E1">
        <w:rPr>
          <w:rFonts w:ascii="Aptos" w:hAnsi="Aptos" w:eastAsia="Aptos" w:cs="Aptos"/>
          <w:noProof w:val="0"/>
          <w:sz w:val="22"/>
          <w:szCs w:val="22"/>
          <w:lang w:val="en-GB"/>
        </w:rPr>
        <w:t xml:space="preserve"> et al. (2021), frontline workers in the UK suffered from sadness, anxiety, and PTSD symptoms. In a similar vein, social workers—who are </w:t>
      </w:r>
      <w:r w:rsidRPr="74B24D56" w:rsidR="559A43E1">
        <w:rPr>
          <w:rFonts w:ascii="Aptos" w:hAnsi="Aptos" w:eastAsia="Aptos" w:cs="Aptos"/>
          <w:noProof w:val="0"/>
          <w:sz w:val="22"/>
          <w:szCs w:val="22"/>
          <w:lang w:val="en-GB"/>
        </w:rPr>
        <w:t>frequently</w:t>
      </w:r>
      <w:r w:rsidRPr="74B24D56" w:rsidR="559A43E1">
        <w:rPr>
          <w:rFonts w:ascii="Aptos" w:hAnsi="Aptos" w:eastAsia="Aptos" w:cs="Aptos"/>
          <w:noProof w:val="0"/>
          <w:sz w:val="22"/>
          <w:szCs w:val="22"/>
          <w:lang w:val="en-GB"/>
        </w:rPr>
        <w:t xml:space="preserve"> overloo</w:t>
      </w:r>
      <w:r w:rsidRPr="74B24D56" w:rsidR="2D657448">
        <w:rPr>
          <w:rFonts w:ascii="Aptos" w:hAnsi="Aptos" w:eastAsia="Aptos" w:cs="Aptos"/>
          <w:noProof w:val="0"/>
          <w:sz w:val="22"/>
          <w:szCs w:val="22"/>
          <w:lang w:val="en-GB"/>
        </w:rPr>
        <w:t>ked</w:t>
      </w:r>
      <w:r w:rsidRPr="74B24D56" w:rsidR="559A43E1">
        <w:rPr>
          <w:rFonts w:ascii="Aptos" w:hAnsi="Aptos" w:eastAsia="Aptos" w:cs="Aptos"/>
          <w:noProof w:val="0"/>
          <w:sz w:val="22"/>
          <w:szCs w:val="22"/>
          <w:lang w:val="en-GB"/>
        </w:rPr>
        <w:t xml:space="preserve"> in comparison to NHS employees—reported moral discomfort and emotional tiredness when they were unable to deliver the degree of care they believed was </w:t>
      </w:r>
      <w:r w:rsidRPr="74B24D56" w:rsidR="559A43E1">
        <w:rPr>
          <w:rFonts w:ascii="Aptos" w:hAnsi="Aptos" w:eastAsia="Aptos" w:cs="Aptos"/>
          <w:noProof w:val="0"/>
          <w:sz w:val="22"/>
          <w:szCs w:val="22"/>
          <w:lang w:val="en-GB"/>
        </w:rPr>
        <w:t>required</w:t>
      </w:r>
      <w:r w:rsidRPr="74B24D56" w:rsidR="559A43E1">
        <w:rPr>
          <w:rFonts w:ascii="Aptos" w:hAnsi="Aptos" w:eastAsia="Aptos" w:cs="Aptos"/>
          <w:noProof w:val="0"/>
          <w:sz w:val="22"/>
          <w:szCs w:val="22"/>
          <w:lang w:val="en-GB"/>
        </w:rPr>
        <w:t xml:space="preserve">. </w:t>
      </w:r>
      <w:r w:rsidRPr="74B24D56" w:rsidR="559A43E1">
        <w:rPr>
          <w:rFonts w:ascii="Aptos" w:hAnsi="Aptos" w:eastAsia="Aptos" w:cs="Aptos"/>
          <w:noProof w:val="0"/>
          <w:sz w:val="22"/>
          <w:szCs w:val="22"/>
          <w:lang w:val="en-GB"/>
        </w:rPr>
        <w:t xml:space="preserve">As a result, the influence on health and wellness encompasses a wide range of topics, including </w:t>
      </w:r>
      <w:r w:rsidRPr="74B24D56" w:rsidR="4CC6C32E">
        <w:rPr>
          <w:rFonts w:ascii="Aptos" w:hAnsi="Aptos" w:eastAsia="Aptos" w:cs="Aptos"/>
          <w:noProof w:val="0"/>
          <w:sz w:val="22"/>
          <w:szCs w:val="22"/>
          <w:lang w:val="en-GB"/>
        </w:rPr>
        <w:t>physical and</w:t>
      </w:r>
      <w:r w:rsidRPr="74B24D56" w:rsidR="559A43E1">
        <w:rPr>
          <w:rFonts w:ascii="Aptos" w:hAnsi="Aptos" w:eastAsia="Aptos" w:cs="Aptos"/>
          <w:noProof w:val="0"/>
          <w:sz w:val="22"/>
          <w:szCs w:val="22"/>
          <w:lang w:val="en-GB"/>
        </w:rPr>
        <w:t xml:space="preserve"> </w:t>
      </w:r>
      <w:r w:rsidRPr="74B24D56" w:rsidR="559A43E1">
        <w:rPr>
          <w:rFonts w:ascii="Aptos" w:hAnsi="Aptos" w:eastAsia="Aptos" w:cs="Aptos"/>
          <w:noProof w:val="0"/>
          <w:sz w:val="22"/>
          <w:szCs w:val="22"/>
          <w:lang w:val="en-GB"/>
        </w:rPr>
        <w:t>emotional health, as well as regular service disruptions.</w:t>
      </w:r>
    </w:p>
    <w:p w:rsidR="51E95A26" w:rsidP="777AA44C" w:rsidRDefault="51E95A26" w14:paraId="26B8962C" w14:textId="50582DB2">
      <w:pPr>
        <w:spacing w:before="240" w:beforeAutospacing="off" w:after="240" w:afterAutospacing="off"/>
        <w:rPr>
          <w:rFonts w:ascii="Aptos" w:hAnsi="Aptos" w:eastAsia="Aptos" w:cs="Aptos"/>
          <w:b w:val="1"/>
          <w:bCs w:val="1"/>
          <w:noProof w:val="0"/>
          <w:sz w:val="36"/>
          <w:szCs w:val="36"/>
          <w:lang w:val="en-GB"/>
        </w:rPr>
      </w:pPr>
      <w:r w:rsidRPr="777AA44C" w:rsidR="7816C3EF">
        <w:rPr>
          <w:rFonts w:ascii="Aptos" w:hAnsi="Aptos" w:eastAsia="Aptos" w:cs="Aptos"/>
          <w:b w:val="1"/>
          <w:bCs w:val="1"/>
          <w:noProof w:val="0"/>
          <w:sz w:val="36"/>
          <w:szCs w:val="36"/>
          <w:lang w:val="en-GB"/>
        </w:rPr>
        <w:t>Theme 2: Workforce Challenges and Adaptation</w:t>
      </w:r>
    </w:p>
    <w:p w:rsidR="2028D5A7" w:rsidP="74B24D56" w:rsidRDefault="2028D5A7" w14:paraId="327440D2" w14:textId="41D11909">
      <w:pPr>
        <w:pStyle w:val="Normal"/>
        <w:spacing w:before="240" w:beforeAutospacing="off" w:after="240" w:afterAutospacing="off"/>
        <w:rPr>
          <w:rFonts w:ascii="Aptos" w:hAnsi="Aptos" w:eastAsia="Aptos" w:cs="Aptos"/>
          <w:noProof w:val="0"/>
          <w:sz w:val="22"/>
          <w:szCs w:val="22"/>
          <w:lang w:val="en-GB"/>
        </w:rPr>
      </w:pPr>
      <w:r w:rsidRPr="74B24D56" w:rsidR="245A5F14">
        <w:rPr>
          <w:rFonts w:ascii="Aptos" w:hAnsi="Aptos" w:eastAsia="Aptos" w:cs="Aptos"/>
          <w:noProof w:val="0"/>
          <w:sz w:val="22"/>
          <w:szCs w:val="22"/>
          <w:lang w:val="en-GB"/>
        </w:rPr>
        <w:t>The second issue is the difficulties and need for adaptation faced by the health and social care workforce during the pandemic. The British Medical Association pointed out that before the pandemic, the health services in the UK were already functioning in a climate of resource scarcity (such as personnel shortages and infrastructure limits), leaving systems susceptible when COVID-19 struck. The pandemic revealed the precarious character of the social care workforce: many carers contracted COVID-19, were forced to isolate themselves, or resigned out of stress or fear. During a period of high demand, the industry also saw higher employee turnover and recruitment issues.</w:t>
      </w:r>
    </w:p>
    <w:p w:rsidR="51E95A26" w:rsidP="777AA44C" w:rsidRDefault="51E95A26" w14:paraId="38AE0E54" w14:textId="405A4927">
      <w:pPr>
        <w:spacing w:before="240" w:beforeAutospacing="off" w:after="240" w:afterAutospacing="off"/>
        <w:rPr>
          <w:rFonts w:ascii="Aptos" w:hAnsi="Aptos" w:eastAsia="Aptos" w:cs="Aptos"/>
          <w:noProof w:val="0"/>
          <w:sz w:val="24"/>
          <w:szCs w:val="24"/>
          <w:lang w:val="en-GB"/>
        </w:rPr>
      </w:pPr>
    </w:p>
    <w:p w:rsidR="19AEB46B" w:rsidP="74B24D56" w:rsidRDefault="19AEB46B" w14:paraId="07DB3E8B" w14:textId="5082E6ED">
      <w:pPr>
        <w:pStyle w:val="Normal"/>
        <w:spacing w:before="240" w:beforeAutospacing="off" w:after="240" w:afterAutospacing="off"/>
        <w:rPr>
          <w:rFonts w:ascii="Aptos" w:hAnsi="Aptos" w:eastAsia="Aptos" w:cs="Aptos"/>
          <w:noProof w:val="0"/>
          <w:sz w:val="22"/>
          <w:szCs w:val="22"/>
          <w:lang w:val="en-GB"/>
        </w:rPr>
      </w:pPr>
      <w:r w:rsidRPr="74B24D56" w:rsidR="0868E967">
        <w:rPr>
          <w:rFonts w:ascii="Aptos" w:hAnsi="Aptos" w:eastAsia="Aptos" w:cs="Aptos"/>
          <w:noProof w:val="0"/>
          <w:sz w:val="22"/>
          <w:szCs w:val="22"/>
          <w:lang w:val="en-GB"/>
        </w:rPr>
        <w:t xml:space="preserve">There were </w:t>
      </w:r>
      <w:r w:rsidRPr="74B24D56" w:rsidR="6C5DFF60">
        <w:rPr>
          <w:rFonts w:ascii="Aptos" w:hAnsi="Aptos" w:eastAsia="Aptos" w:cs="Aptos"/>
          <w:noProof w:val="0"/>
          <w:sz w:val="22"/>
          <w:szCs w:val="22"/>
          <w:lang w:val="en-GB"/>
        </w:rPr>
        <w:t>several ways</w:t>
      </w:r>
      <w:r w:rsidRPr="74B24D56" w:rsidR="0868E967">
        <w:rPr>
          <w:rFonts w:ascii="Aptos" w:hAnsi="Aptos" w:eastAsia="Aptos" w:cs="Aptos"/>
          <w:noProof w:val="0"/>
          <w:sz w:val="22"/>
          <w:szCs w:val="22"/>
          <w:lang w:val="en-GB"/>
        </w:rPr>
        <w:t xml:space="preserve"> to adapt. Infection control practices were quickly expanded, telehealth and virtual consultations proliferated, and care facilities and social care professionals had to </w:t>
      </w:r>
      <w:r w:rsidRPr="74B24D56" w:rsidR="0868E967">
        <w:rPr>
          <w:rFonts w:ascii="Aptos" w:hAnsi="Aptos" w:eastAsia="Aptos" w:cs="Aptos"/>
          <w:noProof w:val="0"/>
          <w:sz w:val="22"/>
          <w:szCs w:val="22"/>
          <w:lang w:val="en-GB"/>
        </w:rPr>
        <w:t>acquire</w:t>
      </w:r>
      <w:r w:rsidRPr="74B24D56" w:rsidR="0868E967">
        <w:rPr>
          <w:rFonts w:ascii="Aptos" w:hAnsi="Aptos" w:eastAsia="Aptos" w:cs="Aptos"/>
          <w:noProof w:val="0"/>
          <w:sz w:val="22"/>
          <w:szCs w:val="22"/>
          <w:lang w:val="en-GB"/>
        </w:rPr>
        <w:t xml:space="preserve"> and apply new policies in the middle of a crisis. Additionally, coordination between social care and health services became crucial (and revealed structural inadequacies). The moral dilemmas of </w:t>
      </w:r>
      <w:r w:rsidRPr="74B24D56" w:rsidR="0868E967">
        <w:rPr>
          <w:rFonts w:ascii="Aptos" w:hAnsi="Aptos" w:eastAsia="Aptos" w:cs="Aptos"/>
          <w:noProof w:val="0"/>
          <w:sz w:val="22"/>
          <w:szCs w:val="22"/>
          <w:lang w:val="en-GB"/>
        </w:rPr>
        <w:t>allocating</w:t>
      </w:r>
      <w:r w:rsidRPr="74B24D56" w:rsidR="0868E967">
        <w:rPr>
          <w:rFonts w:ascii="Aptos" w:hAnsi="Aptos" w:eastAsia="Aptos" w:cs="Aptos"/>
          <w:noProof w:val="0"/>
          <w:sz w:val="22"/>
          <w:szCs w:val="22"/>
          <w:lang w:val="en-GB"/>
        </w:rPr>
        <w:t xml:space="preserve"> resources, seeing high death rates, and worrying about one's own and one's family's safety all contributed to the high emotional strain of working in such crisis situations for staff.</w:t>
      </w:r>
    </w:p>
    <w:p w:rsidR="34576471" w:rsidP="74B24D56" w:rsidRDefault="34576471" w14:paraId="25AA1010" w14:textId="6C5363DA">
      <w:pPr>
        <w:pStyle w:val="Normal"/>
        <w:spacing w:before="240" w:beforeAutospacing="off" w:after="240" w:afterAutospacing="off"/>
        <w:rPr>
          <w:rFonts w:ascii="Aptos" w:hAnsi="Aptos" w:eastAsia="Aptos" w:cs="Aptos"/>
          <w:noProof w:val="0"/>
          <w:sz w:val="22"/>
          <w:szCs w:val="22"/>
          <w:lang w:val="en-GB"/>
        </w:rPr>
      </w:pPr>
      <w:r w:rsidRPr="74B24D56" w:rsidR="7E8788BD">
        <w:rPr>
          <w:rFonts w:ascii="Aptos" w:hAnsi="Aptos" w:eastAsia="Aptos" w:cs="Aptos"/>
          <w:noProof w:val="0"/>
          <w:sz w:val="22"/>
          <w:szCs w:val="22"/>
          <w:lang w:val="en-GB"/>
        </w:rPr>
        <w:t>Additionally, the epidemic put hitherto unheard-of pressure on the workforce in health and social services. Employees in hospitals, general practitioners' offices, assisted</w:t>
      </w:r>
      <w:r w:rsidRPr="74B24D56" w:rsidR="7E8788BD">
        <w:rPr>
          <w:rFonts w:ascii="Aptos" w:hAnsi="Aptos" w:eastAsia="Aptos" w:cs="Aptos"/>
          <w:noProof w:val="0"/>
          <w:sz w:val="24"/>
          <w:szCs w:val="24"/>
          <w:lang w:val="en-GB"/>
        </w:rPr>
        <w:t xml:space="preserve"> living facilities, and community agencies had to adjust to rapidly shifting circumstances, </w:t>
      </w:r>
      <w:r w:rsidRPr="74B24D56" w:rsidR="7E8788BD">
        <w:rPr>
          <w:rFonts w:ascii="Aptos" w:hAnsi="Aptos" w:eastAsia="Aptos" w:cs="Aptos"/>
          <w:noProof w:val="0"/>
          <w:sz w:val="24"/>
          <w:szCs w:val="24"/>
          <w:lang w:val="en-GB"/>
        </w:rPr>
        <w:t>frequently</w:t>
      </w:r>
      <w:r w:rsidRPr="74B24D56" w:rsidR="7E8788BD">
        <w:rPr>
          <w:rFonts w:ascii="Aptos" w:hAnsi="Aptos" w:eastAsia="Aptos" w:cs="Aptos"/>
          <w:noProof w:val="0"/>
          <w:sz w:val="24"/>
          <w:szCs w:val="24"/>
          <w:lang w:val="en-GB"/>
        </w:rPr>
        <w:t xml:space="preserve"> </w:t>
      </w:r>
      <w:r w:rsidRPr="74B24D56" w:rsidR="7E8788BD">
        <w:rPr>
          <w:rFonts w:ascii="Aptos" w:hAnsi="Aptos" w:eastAsia="Aptos" w:cs="Aptos"/>
          <w:noProof w:val="0"/>
          <w:sz w:val="22"/>
          <w:szCs w:val="22"/>
          <w:lang w:val="en-GB"/>
        </w:rPr>
        <w:t xml:space="preserve">with little support or resources. Prior to 2020, there was a labour shortage, which was made worse when employees </w:t>
      </w:r>
      <w:r w:rsidRPr="74B24D56" w:rsidR="5DBA0BC6">
        <w:rPr>
          <w:rFonts w:ascii="Aptos" w:hAnsi="Aptos" w:eastAsia="Aptos" w:cs="Aptos"/>
          <w:noProof w:val="0"/>
          <w:sz w:val="22"/>
          <w:szCs w:val="22"/>
          <w:lang w:val="en-GB"/>
        </w:rPr>
        <w:t>feel</w:t>
      </w:r>
      <w:r w:rsidRPr="74B24D56" w:rsidR="7E8788BD">
        <w:rPr>
          <w:rFonts w:ascii="Aptos" w:hAnsi="Aptos" w:eastAsia="Aptos" w:cs="Aptos"/>
          <w:noProof w:val="0"/>
          <w:sz w:val="22"/>
          <w:szCs w:val="22"/>
          <w:lang w:val="en-GB"/>
        </w:rPr>
        <w:t xml:space="preserve"> unwell or had to isolate themselves (BMA, 2024). Staff turnover in adult social care alone was among the highest ever in 2021, at 28% (Skills for Care, 2022).</w:t>
      </w:r>
    </w:p>
    <w:p w:rsidR="7D8DDBF6" w:rsidP="74B24D56" w:rsidRDefault="7D8DDBF6" w14:paraId="2C25710E" w14:textId="3ED3C1F5">
      <w:pPr>
        <w:pStyle w:val="Normal"/>
        <w:spacing w:before="240" w:beforeAutospacing="off" w:after="240" w:afterAutospacing="off"/>
        <w:rPr>
          <w:rFonts w:ascii="Aptos" w:hAnsi="Aptos" w:eastAsia="Aptos" w:cs="Aptos"/>
          <w:noProof w:val="0"/>
          <w:sz w:val="22"/>
          <w:szCs w:val="22"/>
          <w:lang w:val="en-GB"/>
        </w:rPr>
      </w:pPr>
      <w:r w:rsidRPr="74B24D56" w:rsidR="504AA603">
        <w:rPr>
          <w:rFonts w:ascii="Aptos" w:hAnsi="Aptos" w:eastAsia="Aptos" w:cs="Aptos"/>
          <w:noProof w:val="0"/>
          <w:sz w:val="22"/>
          <w:szCs w:val="22"/>
          <w:lang w:val="en-GB"/>
        </w:rPr>
        <w:t xml:space="preserve">Staff retention and morale suffered due to the increased effort and burnout </w:t>
      </w:r>
      <w:r w:rsidRPr="74B24D56" w:rsidR="2CC2AA7B">
        <w:rPr>
          <w:rFonts w:ascii="Aptos" w:hAnsi="Aptos" w:eastAsia="Aptos" w:cs="Aptos"/>
          <w:noProof w:val="0"/>
          <w:sz w:val="22"/>
          <w:szCs w:val="22"/>
          <w:lang w:val="en-GB"/>
        </w:rPr>
        <w:t>resulting from</w:t>
      </w:r>
      <w:r w:rsidRPr="74B24D56" w:rsidR="504AA603">
        <w:rPr>
          <w:rFonts w:ascii="Aptos" w:hAnsi="Aptos" w:eastAsia="Aptos" w:cs="Aptos"/>
          <w:noProof w:val="0"/>
          <w:sz w:val="22"/>
          <w:szCs w:val="22"/>
          <w:lang w:val="en-GB"/>
        </w:rPr>
        <w:t xml:space="preserve"> these demands. In social care, where compensation and recognition were lower than in the NHS despite </w:t>
      </w:r>
      <w:r w:rsidRPr="74B24D56" w:rsidR="28108BE6">
        <w:rPr>
          <w:rFonts w:ascii="Aptos" w:hAnsi="Aptos" w:eastAsia="Aptos" w:cs="Aptos"/>
          <w:noProof w:val="0"/>
          <w:sz w:val="22"/>
          <w:szCs w:val="22"/>
          <w:lang w:val="en-GB"/>
        </w:rPr>
        <w:t>elevated levels</w:t>
      </w:r>
      <w:r w:rsidRPr="74B24D56" w:rsidR="504AA603">
        <w:rPr>
          <w:rFonts w:ascii="Aptos" w:hAnsi="Aptos" w:eastAsia="Aptos" w:cs="Aptos"/>
          <w:noProof w:val="0"/>
          <w:sz w:val="22"/>
          <w:szCs w:val="22"/>
          <w:lang w:val="en-GB"/>
        </w:rPr>
        <w:t xml:space="preserve"> of risk exposure, many staff expressed feeling underappreciated (</w:t>
      </w:r>
      <w:r w:rsidRPr="74B24D56" w:rsidR="504AA603">
        <w:rPr>
          <w:rFonts w:ascii="Aptos" w:hAnsi="Aptos" w:eastAsia="Aptos" w:cs="Aptos"/>
          <w:noProof w:val="0"/>
          <w:sz w:val="22"/>
          <w:szCs w:val="22"/>
          <w:lang w:val="en-GB"/>
        </w:rPr>
        <w:t>Bottery</w:t>
      </w:r>
      <w:r w:rsidRPr="74B24D56" w:rsidR="504AA603">
        <w:rPr>
          <w:rFonts w:ascii="Aptos" w:hAnsi="Aptos" w:eastAsia="Aptos" w:cs="Aptos"/>
          <w:noProof w:val="0"/>
          <w:sz w:val="22"/>
          <w:szCs w:val="22"/>
          <w:lang w:val="en-GB"/>
        </w:rPr>
        <w:t>, 2020). The phrase "moral injury" has gained widespread usage to define the psychological suffering brought on by not being able to fulfil one's professional obligations because of structural obstacles (</w:t>
      </w:r>
      <w:r w:rsidRPr="74B24D56" w:rsidR="504AA603">
        <w:rPr>
          <w:rFonts w:ascii="Aptos" w:hAnsi="Aptos" w:eastAsia="Aptos" w:cs="Aptos"/>
          <w:noProof w:val="0"/>
          <w:sz w:val="22"/>
          <w:szCs w:val="22"/>
          <w:lang w:val="en-GB"/>
        </w:rPr>
        <w:t>Aughterson</w:t>
      </w:r>
      <w:r w:rsidRPr="74B24D56" w:rsidR="504AA603">
        <w:rPr>
          <w:rFonts w:ascii="Aptos" w:hAnsi="Aptos" w:eastAsia="Aptos" w:cs="Aptos"/>
          <w:noProof w:val="0"/>
          <w:sz w:val="22"/>
          <w:szCs w:val="22"/>
          <w:lang w:val="en-GB"/>
        </w:rPr>
        <w:t xml:space="preserve"> et al., 2021).Workforce resilience, support, training, and well-being must become key components of future readiness, which has implications for health and social care. We need to consider people, not just beds and equipment.</w:t>
      </w:r>
    </w:p>
    <w:p w:rsidR="51E95A26" w:rsidP="777AA44C" w:rsidRDefault="51E95A26" w14:paraId="1237FBC7" w14:textId="7483F3B6">
      <w:pPr>
        <w:spacing w:before="240" w:beforeAutospacing="off" w:after="240" w:afterAutospacing="off"/>
        <w:rPr>
          <w:rFonts w:ascii="Aptos" w:hAnsi="Aptos" w:eastAsia="Aptos" w:cs="Aptos"/>
          <w:b w:val="1"/>
          <w:bCs w:val="1"/>
          <w:noProof w:val="0"/>
          <w:sz w:val="36"/>
          <w:szCs w:val="36"/>
          <w:lang w:val="en-GB"/>
        </w:rPr>
      </w:pPr>
      <w:r w:rsidRPr="777AA44C" w:rsidR="7816C3EF">
        <w:rPr>
          <w:rFonts w:ascii="Aptos" w:hAnsi="Aptos" w:eastAsia="Aptos" w:cs="Aptos"/>
          <w:b w:val="1"/>
          <w:bCs w:val="1"/>
          <w:noProof w:val="0"/>
          <w:sz w:val="36"/>
          <w:szCs w:val="36"/>
          <w:lang w:val="en-GB"/>
        </w:rPr>
        <w:t>Theme 3: Inequality and Access to Care</w:t>
      </w:r>
    </w:p>
    <w:p w:rsidR="0E805054" w:rsidP="74B24D56" w:rsidRDefault="0E805054" w14:paraId="13009DAA" w14:textId="202187FA">
      <w:pPr>
        <w:pStyle w:val="Normal"/>
        <w:spacing w:before="240" w:beforeAutospacing="off" w:after="240" w:afterAutospacing="off"/>
        <w:rPr>
          <w:rFonts w:ascii="Aptos" w:hAnsi="Aptos" w:eastAsia="Aptos" w:cs="Aptos"/>
          <w:noProof w:val="0"/>
          <w:sz w:val="22"/>
          <w:szCs w:val="22"/>
          <w:lang w:val="en-GB"/>
        </w:rPr>
      </w:pPr>
      <w:r w:rsidRPr="74B24D56" w:rsidR="3D8D441D">
        <w:rPr>
          <w:rFonts w:ascii="Aptos" w:hAnsi="Aptos" w:eastAsia="Aptos" w:cs="Aptos"/>
          <w:noProof w:val="0"/>
          <w:sz w:val="22"/>
          <w:szCs w:val="22"/>
          <w:lang w:val="en-GB"/>
        </w:rPr>
        <w:t xml:space="preserve">The third topic is how the epidemic exposed and exacerbated disparities in health and social care. COVID-19 had a different impact on every demographic. In terms of infection rates, outcomes, and access to care, disadvantaged groups—whether based on socioeconomic status, ethnicity, disability, or geography—often performed poorly. For instance, under pandemic pressure, differences in resources, staffing, location (also known as the "postcode lottery"), and connectivity with health services </w:t>
      </w:r>
      <w:r w:rsidRPr="74B24D56" w:rsidR="210AFDD9">
        <w:rPr>
          <w:rFonts w:ascii="Aptos" w:hAnsi="Aptos" w:eastAsia="Aptos" w:cs="Aptos"/>
          <w:noProof w:val="0"/>
          <w:sz w:val="22"/>
          <w:szCs w:val="22"/>
          <w:lang w:val="en-GB"/>
        </w:rPr>
        <w:t>have become</w:t>
      </w:r>
      <w:r w:rsidRPr="74B24D56" w:rsidR="3D8D441D">
        <w:rPr>
          <w:rFonts w:ascii="Aptos" w:hAnsi="Aptos" w:eastAsia="Aptos" w:cs="Aptos"/>
          <w:noProof w:val="0"/>
          <w:sz w:val="22"/>
          <w:szCs w:val="22"/>
          <w:lang w:val="en-GB"/>
        </w:rPr>
        <w:t xml:space="preserve"> increasingly </w:t>
      </w:r>
      <w:r w:rsidRPr="74B24D56" w:rsidR="6887F310">
        <w:rPr>
          <w:rFonts w:ascii="Aptos" w:hAnsi="Aptos" w:eastAsia="Aptos" w:cs="Aptos"/>
          <w:noProof w:val="0"/>
          <w:sz w:val="22"/>
          <w:szCs w:val="22"/>
          <w:lang w:val="en-GB"/>
        </w:rPr>
        <w:t>evident in</w:t>
      </w:r>
      <w:r w:rsidRPr="74B24D56" w:rsidR="3D8D441D">
        <w:rPr>
          <w:rFonts w:ascii="Aptos" w:hAnsi="Aptos" w:eastAsia="Aptos" w:cs="Aptos"/>
          <w:noProof w:val="0"/>
          <w:sz w:val="22"/>
          <w:szCs w:val="22"/>
          <w:lang w:val="en-GB"/>
        </w:rPr>
        <w:t xml:space="preserve"> the social care sector. Both the infection itself (care homes, domiciliary care) and the service interruption affected access to care people with lower incomes, those with limited internet access (for virtual care), and those living in underserved locations had worse outcomes.</w:t>
      </w:r>
    </w:p>
    <w:p w:rsidR="777AA44C" w:rsidP="74B24D56" w:rsidRDefault="777AA44C" w14:paraId="2A128463" w14:textId="6E767569">
      <w:pPr>
        <w:rPr>
          <w:sz w:val="22"/>
          <w:szCs w:val="22"/>
        </w:rPr>
      </w:pPr>
    </w:p>
    <w:p w:rsidR="733DC517" w:rsidP="74B24D56" w:rsidRDefault="733DC517" w14:paraId="208DAC3E" w14:textId="10A734FD">
      <w:pPr>
        <w:pStyle w:val="Normal"/>
        <w:spacing w:before="240" w:beforeAutospacing="off" w:after="240" w:afterAutospacing="off"/>
        <w:rPr>
          <w:rFonts w:ascii="Aptos" w:hAnsi="Aptos" w:eastAsia="Aptos" w:cs="Aptos"/>
          <w:noProof w:val="0"/>
          <w:sz w:val="22"/>
          <w:szCs w:val="22"/>
          <w:lang w:val="en-GB"/>
        </w:rPr>
      </w:pPr>
      <w:r w:rsidRPr="74B24D56" w:rsidR="2A1DA3E9">
        <w:rPr>
          <w:rFonts w:ascii="Aptos" w:hAnsi="Aptos" w:eastAsia="Aptos" w:cs="Aptos"/>
          <w:noProof w:val="0"/>
          <w:sz w:val="22"/>
          <w:szCs w:val="22"/>
          <w:lang w:val="en-GB"/>
        </w:rPr>
        <w:t>Lockdowns in children's social care increased danger for already vulnerable children by weakening some safeguarding lines of defence, such as home visits and schools. Thus, unequal risk, unequal access, and unequal outcomes are all included in the issue of inequality. This means that there is no "one size fits all" approach to pandemic response; instead, it must take intersectional vulnerability, structural issues, and socioeconomic determinants of health into account.</w:t>
      </w:r>
    </w:p>
    <w:p w:rsidR="74AFBF56" w:rsidP="74B24D56" w:rsidRDefault="74AFBF56" w14:paraId="100F01C6" w14:textId="3E83BF51">
      <w:pPr>
        <w:pStyle w:val="Normal"/>
        <w:spacing w:before="240" w:beforeAutospacing="off" w:after="240" w:afterAutospacing="off"/>
        <w:rPr>
          <w:rFonts w:ascii="Aptos" w:hAnsi="Aptos" w:eastAsia="Aptos" w:cs="Aptos"/>
          <w:noProof w:val="0"/>
          <w:sz w:val="22"/>
          <w:szCs w:val="22"/>
          <w:lang w:val="en-GB"/>
        </w:rPr>
      </w:pPr>
      <w:r w:rsidRPr="74B24D56" w:rsidR="6C67B0EE">
        <w:rPr>
          <w:rFonts w:ascii="Aptos" w:hAnsi="Aptos" w:eastAsia="Aptos" w:cs="Aptos"/>
          <w:noProof w:val="0"/>
          <w:sz w:val="22"/>
          <w:szCs w:val="22"/>
          <w:lang w:val="en-GB"/>
        </w:rPr>
        <w:t xml:space="preserve">The spread of the pandemic's impacts was uneven. Pre-existing health and social disparities in the UK were </w:t>
      </w:r>
      <w:r w:rsidRPr="74B24D56" w:rsidR="6C67B0EE">
        <w:rPr>
          <w:rFonts w:ascii="Aptos" w:hAnsi="Aptos" w:eastAsia="Aptos" w:cs="Aptos"/>
          <w:noProof w:val="0"/>
          <w:sz w:val="22"/>
          <w:szCs w:val="22"/>
          <w:lang w:val="en-GB"/>
        </w:rPr>
        <w:t>exacerbated</w:t>
      </w:r>
      <w:r w:rsidRPr="74B24D56" w:rsidR="6C67B0EE">
        <w:rPr>
          <w:rFonts w:ascii="Aptos" w:hAnsi="Aptos" w:eastAsia="Aptos" w:cs="Aptos"/>
          <w:noProof w:val="0"/>
          <w:sz w:val="22"/>
          <w:szCs w:val="22"/>
          <w:lang w:val="en-GB"/>
        </w:rPr>
        <w:t xml:space="preserve"> by</w:t>
      </w:r>
      <w:r w:rsidRPr="74B24D56" w:rsidR="30EEA699">
        <w:rPr>
          <w:rFonts w:ascii="Aptos" w:hAnsi="Aptos" w:eastAsia="Aptos" w:cs="Aptos"/>
          <w:noProof w:val="0"/>
          <w:sz w:val="22"/>
          <w:szCs w:val="22"/>
          <w:lang w:val="en-GB"/>
        </w:rPr>
        <w:t xml:space="preserve"> the</w:t>
      </w:r>
      <w:r w:rsidRPr="74B24D56" w:rsidR="6C67B0EE">
        <w:rPr>
          <w:rFonts w:ascii="Aptos" w:hAnsi="Aptos" w:eastAsia="Aptos" w:cs="Aptos"/>
          <w:noProof w:val="0"/>
          <w:sz w:val="22"/>
          <w:szCs w:val="22"/>
          <w:lang w:val="en-GB"/>
        </w:rPr>
        <w:t xml:space="preserve"> COVID-</w:t>
      </w:r>
      <w:r w:rsidRPr="74B24D56" w:rsidR="6C67B0EE">
        <w:rPr>
          <w:rFonts w:ascii="Aptos" w:hAnsi="Aptos" w:eastAsia="Aptos" w:cs="Aptos"/>
          <w:noProof w:val="0"/>
          <w:sz w:val="22"/>
          <w:szCs w:val="22"/>
          <w:lang w:val="en-GB"/>
        </w:rPr>
        <w:t>19</w:t>
      </w:r>
      <w:r w:rsidRPr="74B24D56" w:rsidR="53C4C092">
        <w:rPr>
          <w:rFonts w:ascii="Aptos" w:hAnsi="Aptos" w:eastAsia="Aptos" w:cs="Aptos"/>
          <w:noProof w:val="0"/>
          <w:sz w:val="22"/>
          <w:szCs w:val="22"/>
          <w:lang w:val="en-GB"/>
        </w:rPr>
        <w:t xml:space="preserve"> </w:t>
      </w:r>
      <w:r w:rsidRPr="74B24D56" w:rsidR="6C67B0EE">
        <w:rPr>
          <w:rFonts w:ascii="Aptos" w:hAnsi="Aptos" w:eastAsia="Aptos" w:cs="Aptos"/>
          <w:noProof w:val="0"/>
          <w:sz w:val="22"/>
          <w:szCs w:val="22"/>
          <w:lang w:val="en-GB"/>
        </w:rPr>
        <w:t xml:space="preserve">pandemic. Due in part to housing circumstances, occupational exposure, and unequal access to healthcare, individuals from Black, Asian, and minority ethnic (BAME) backgrounds experienced higher rates of infection and mortality (Public Health England, 2020). Similarly, because of overcrowding and unstable employment, people in low-income neighbourhoods had more trouble getting treatment and staying </w:t>
      </w:r>
      <w:r w:rsidRPr="74B24D56" w:rsidR="6C67B0EE">
        <w:rPr>
          <w:rFonts w:ascii="Aptos" w:hAnsi="Aptos" w:eastAsia="Aptos" w:cs="Aptos"/>
          <w:noProof w:val="0"/>
          <w:sz w:val="22"/>
          <w:szCs w:val="22"/>
          <w:lang w:val="en-GB"/>
        </w:rPr>
        <w:t>isolated</w:t>
      </w:r>
      <w:r w:rsidRPr="74B24D56" w:rsidR="7046AB73">
        <w:rPr>
          <w:rFonts w:ascii="Aptos" w:hAnsi="Aptos" w:eastAsia="Aptos" w:cs="Aptos"/>
          <w:noProof w:val="0"/>
          <w:sz w:val="22"/>
          <w:szCs w:val="22"/>
          <w:lang w:val="en-GB"/>
        </w:rPr>
        <w:t>.</w:t>
      </w:r>
    </w:p>
    <w:p w:rsidR="0B2C89D4" w:rsidP="74B24D56" w:rsidRDefault="0B2C89D4" w14:paraId="125C27B4" w14:textId="2494C428">
      <w:pPr>
        <w:pStyle w:val="Normal"/>
        <w:spacing w:before="240" w:beforeAutospacing="off" w:after="240" w:afterAutospacing="off"/>
        <w:rPr>
          <w:rFonts w:ascii="Aptos" w:hAnsi="Aptos" w:eastAsia="Aptos" w:cs="Aptos"/>
          <w:noProof w:val="0"/>
          <w:sz w:val="22"/>
          <w:szCs w:val="22"/>
          <w:lang w:val="en-GB"/>
        </w:rPr>
      </w:pPr>
      <w:r w:rsidRPr="74B24D56" w:rsidR="33AA0879">
        <w:rPr>
          <w:rFonts w:ascii="Aptos" w:hAnsi="Aptos" w:eastAsia="Aptos" w:cs="Aptos"/>
          <w:noProof w:val="0"/>
          <w:sz w:val="22"/>
          <w:szCs w:val="22"/>
          <w:lang w:val="en-GB"/>
        </w:rPr>
        <w:t xml:space="preserve">In the social care sector, disparities in funding and service quality were </w:t>
      </w:r>
      <w:r w:rsidRPr="74B24D56" w:rsidR="33AA0879">
        <w:rPr>
          <w:rFonts w:ascii="Aptos" w:hAnsi="Aptos" w:eastAsia="Aptos" w:cs="Aptos"/>
          <w:noProof w:val="0"/>
          <w:sz w:val="22"/>
          <w:szCs w:val="22"/>
          <w:lang w:val="en-GB"/>
        </w:rPr>
        <w:t>evident</w:t>
      </w:r>
      <w:r w:rsidRPr="74B24D56" w:rsidR="33AA0879">
        <w:rPr>
          <w:rFonts w:ascii="Aptos" w:hAnsi="Aptos" w:eastAsia="Aptos" w:cs="Aptos"/>
          <w:noProof w:val="0"/>
          <w:sz w:val="22"/>
          <w:szCs w:val="22"/>
          <w:lang w:val="en-GB"/>
        </w:rPr>
        <w:t xml:space="preserve">. Privately funded care facilities </w:t>
      </w:r>
      <w:r w:rsidRPr="74B24D56" w:rsidR="33AA0879">
        <w:rPr>
          <w:rFonts w:ascii="Aptos" w:hAnsi="Aptos" w:eastAsia="Aptos" w:cs="Aptos"/>
          <w:noProof w:val="0"/>
          <w:sz w:val="22"/>
          <w:szCs w:val="22"/>
          <w:lang w:val="en-GB"/>
        </w:rPr>
        <w:t>frequently</w:t>
      </w:r>
      <w:r w:rsidRPr="74B24D56" w:rsidR="33AA0879">
        <w:rPr>
          <w:rFonts w:ascii="Aptos" w:hAnsi="Aptos" w:eastAsia="Aptos" w:cs="Aptos"/>
          <w:noProof w:val="0"/>
          <w:sz w:val="22"/>
          <w:szCs w:val="22"/>
          <w:lang w:val="en-GB"/>
        </w:rPr>
        <w:t xml:space="preserve"> have superior resources to safeguard clients, </w:t>
      </w:r>
      <w:r w:rsidRPr="74B24D56" w:rsidR="33AA0879">
        <w:rPr>
          <w:rFonts w:ascii="Aptos" w:hAnsi="Aptos" w:eastAsia="Aptos" w:cs="Aptos"/>
          <w:noProof w:val="0"/>
          <w:sz w:val="22"/>
          <w:szCs w:val="22"/>
          <w:lang w:val="en-GB"/>
        </w:rPr>
        <w:t>whereas</w:t>
      </w:r>
      <w:r w:rsidRPr="74B24D56" w:rsidR="33AA0879">
        <w:rPr>
          <w:rFonts w:ascii="Aptos" w:hAnsi="Aptos" w:eastAsia="Aptos" w:cs="Aptos"/>
          <w:noProof w:val="0"/>
          <w:sz w:val="22"/>
          <w:szCs w:val="22"/>
          <w:lang w:val="en-GB"/>
        </w:rPr>
        <w:t xml:space="preserve"> local governments with less finances found it challenging to handle growing demand (The King's Fund, 2020). Access problems, such as limited testing and delayed PPE supply in early 2020, were also present in rural communities.</w:t>
      </w:r>
    </w:p>
    <w:p w:rsidR="25E404D4" w:rsidP="74B24D56" w:rsidRDefault="25E404D4" w14:paraId="766E2A58" w14:textId="1BE18F50">
      <w:pPr>
        <w:pStyle w:val="Normal"/>
        <w:spacing w:before="240" w:beforeAutospacing="off" w:after="240" w:afterAutospacing="off"/>
        <w:rPr>
          <w:rFonts w:ascii="Aptos" w:hAnsi="Aptos" w:eastAsia="Aptos" w:cs="Aptos"/>
          <w:noProof w:val="0"/>
          <w:sz w:val="22"/>
          <w:szCs w:val="22"/>
          <w:lang w:val="en-GB"/>
        </w:rPr>
      </w:pPr>
      <w:r w:rsidRPr="74B24D56" w:rsidR="2F89B1FD">
        <w:rPr>
          <w:rFonts w:ascii="Aptos" w:hAnsi="Aptos" w:eastAsia="Aptos" w:cs="Aptos"/>
          <w:noProof w:val="0"/>
          <w:sz w:val="22"/>
          <w:szCs w:val="22"/>
          <w:lang w:val="en-GB"/>
        </w:rPr>
        <w:t xml:space="preserve">Inequality affected families and children in varied ways. Access to counselling, free school lunches, and safeguarding supervision was restricted during school closures. Reports by the Department for Education (2022) showed that vulnerable children—especially those already on child protection plans—were at higher risk of neglect and abuse due to reduced contact with social workers. Disabled people experienced social isolation and a decline in their level of independence </w:t>
      </w:r>
      <w:r w:rsidRPr="74B24D56" w:rsidR="2F89B1FD">
        <w:rPr>
          <w:rFonts w:ascii="Aptos" w:hAnsi="Aptos" w:eastAsia="Aptos" w:cs="Aptos"/>
          <w:noProof w:val="0"/>
          <w:sz w:val="22"/>
          <w:szCs w:val="22"/>
          <w:lang w:val="en-GB"/>
        </w:rPr>
        <w:t>because of</w:t>
      </w:r>
      <w:r w:rsidRPr="74B24D56" w:rsidR="2F89B1FD">
        <w:rPr>
          <w:rFonts w:ascii="Aptos" w:hAnsi="Aptos" w:eastAsia="Aptos" w:cs="Aptos"/>
          <w:noProof w:val="0"/>
          <w:sz w:val="22"/>
          <w:szCs w:val="22"/>
          <w:lang w:val="en-GB"/>
        </w:rPr>
        <w:t xml:space="preserve"> losing access to personal help and support systems.</w:t>
      </w:r>
    </w:p>
    <w:p w:rsidR="4B3D3C71" w:rsidP="74B24D56" w:rsidRDefault="4B3D3C71" w14:paraId="55E81E1C" w14:textId="31A41C50">
      <w:pPr>
        <w:pStyle w:val="Normal"/>
        <w:spacing w:before="240" w:beforeAutospacing="off" w:after="240" w:afterAutospacing="off"/>
        <w:rPr>
          <w:rFonts w:ascii="Aptos" w:hAnsi="Aptos" w:eastAsia="Aptos" w:cs="Aptos"/>
          <w:noProof w:val="0"/>
          <w:sz w:val="22"/>
          <w:szCs w:val="22"/>
          <w:lang w:val="en-GB"/>
        </w:rPr>
      </w:pPr>
      <w:r w:rsidRPr="74B24D56" w:rsidR="27409C28">
        <w:rPr>
          <w:rFonts w:ascii="Aptos" w:hAnsi="Aptos" w:eastAsia="Aptos" w:cs="Aptos"/>
          <w:noProof w:val="0"/>
          <w:sz w:val="22"/>
          <w:szCs w:val="22"/>
          <w:lang w:val="en-GB"/>
        </w:rPr>
        <w:t xml:space="preserve">Digital inequality </w:t>
      </w:r>
      <w:r w:rsidRPr="74B24D56" w:rsidR="21C95DB2">
        <w:rPr>
          <w:rFonts w:ascii="Aptos" w:hAnsi="Aptos" w:eastAsia="Aptos" w:cs="Aptos"/>
          <w:noProof w:val="0"/>
          <w:sz w:val="22"/>
          <w:szCs w:val="22"/>
          <w:lang w:val="en-GB"/>
        </w:rPr>
        <w:t>exacerbated</w:t>
      </w:r>
      <w:r w:rsidRPr="74B24D56" w:rsidR="27409C28">
        <w:rPr>
          <w:rFonts w:ascii="Aptos" w:hAnsi="Aptos" w:eastAsia="Aptos" w:cs="Aptos"/>
          <w:noProof w:val="0"/>
          <w:sz w:val="22"/>
          <w:szCs w:val="22"/>
          <w:lang w:val="en-GB"/>
        </w:rPr>
        <w:t xml:space="preserve"> these issues</w:t>
      </w:r>
      <w:r w:rsidRPr="74B24D56" w:rsidR="3DD1CF7D">
        <w:rPr>
          <w:rFonts w:ascii="Aptos" w:hAnsi="Aptos" w:eastAsia="Aptos" w:cs="Aptos"/>
          <w:noProof w:val="0"/>
          <w:sz w:val="22"/>
          <w:szCs w:val="22"/>
          <w:lang w:val="en-GB"/>
        </w:rPr>
        <w:t>. Many health and social care services</w:t>
      </w:r>
      <w:r w:rsidRPr="74B24D56" w:rsidR="77AB981E">
        <w:rPr>
          <w:rFonts w:ascii="Aptos" w:hAnsi="Aptos" w:eastAsia="Aptos" w:cs="Aptos"/>
          <w:noProof w:val="0"/>
          <w:sz w:val="22"/>
          <w:szCs w:val="22"/>
          <w:lang w:val="en-GB"/>
        </w:rPr>
        <w:t xml:space="preserve"> </w:t>
      </w:r>
      <w:r w:rsidRPr="74B24D56" w:rsidR="08D653EF">
        <w:rPr>
          <w:rFonts w:ascii="Aptos" w:hAnsi="Aptos" w:eastAsia="Aptos" w:cs="Aptos"/>
          <w:noProof w:val="0"/>
          <w:sz w:val="22"/>
          <w:szCs w:val="22"/>
          <w:lang w:val="en-GB"/>
        </w:rPr>
        <w:t>have transitioned</w:t>
      </w:r>
      <w:r w:rsidRPr="74B24D56" w:rsidR="0D47DA70">
        <w:rPr>
          <w:rFonts w:ascii="Aptos" w:hAnsi="Aptos" w:eastAsia="Aptos" w:cs="Aptos"/>
          <w:noProof w:val="0"/>
          <w:sz w:val="22"/>
          <w:szCs w:val="22"/>
          <w:lang w:val="en-GB"/>
        </w:rPr>
        <w:t xml:space="preserve"> </w:t>
      </w:r>
      <w:r w:rsidRPr="74B24D56" w:rsidR="3DD1CF7D">
        <w:rPr>
          <w:rFonts w:ascii="Aptos" w:hAnsi="Aptos" w:eastAsia="Aptos" w:cs="Aptos"/>
          <w:noProof w:val="0"/>
          <w:sz w:val="22"/>
          <w:szCs w:val="22"/>
          <w:lang w:val="en-GB"/>
        </w:rPr>
        <w:t xml:space="preserve">online, but those </w:t>
      </w:r>
      <w:r w:rsidRPr="74B24D56" w:rsidR="0AD6C960">
        <w:rPr>
          <w:rFonts w:ascii="Aptos" w:hAnsi="Aptos" w:eastAsia="Aptos" w:cs="Aptos"/>
          <w:noProof w:val="0"/>
          <w:sz w:val="22"/>
          <w:szCs w:val="22"/>
          <w:lang w:val="en-GB"/>
        </w:rPr>
        <w:t>without access</w:t>
      </w:r>
      <w:r w:rsidRPr="74B24D56" w:rsidR="27409C28">
        <w:rPr>
          <w:rFonts w:ascii="Aptos" w:hAnsi="Aptos" w:eastAsia="Aptos" w:cs="Aptos"/>
          <w:noProof w:val="0"/>
          <w:sz w:val="22"/>
          <w:szCs w:val="22"/>
          <w:lang w:val="en-GB"/>
        </w:rPr>
        <w:t xml:space="preserve"> to the internet, technical skills, or a private </w:t>
      </w:r>
      <w:r w:rsidRPr="74B24D56" w:rsidR="77E92DA1">
        <w:rPr>
          <w:rFonts w:ascii="Aptos" w:hAnsi="Aptos" w:eastAsia="Aptos" w:cs="Aptos"/>
          <w:noProof w:val="0"/>
          <w:sz w:val="22"/>
          <w:szCs w:val="22"/>
          <w:lang w:val="en-GB"/>
        </w:rPr>
        <w:t>space to</w:t>
      </w:r>
      <w:r w:rsidRPr="74B24D56" w:rsidR="27409C28">
        <w:rPr>
          <w:rFonts w:ascii="Aptos" w:hAnsi="Aptos" w:eastAsia="Aptos" w:cs="Aptos"/>
          <w:noProof w:val="0"/>
          <w:sz w:val="22"/>
          <w:szCs w:val="22"/>
          <w:lang w:val="en-GB"/>
        </w:rPr>
        <w:t xml:space="preserve"> interact in confidence were left out (Health Foundation, 2021). This "digital divide" disproportionately </w:t>
      </w:r>
      <w:r w:rsidRPr="74B24D56" w:rsidR="27409C28">
        <w:rPr>
          <w:rFonts w:ascii="Aptos" w:hAnsi="Aptos" w:eastAsia="Aptos" w:cs="Aptos"/>
          <w:noProof w:val="0"/>
          <w:sz w:val="22"/>
          <w:szCs w:val="22"/>
          <w:lang w:val="en-GB"/>
        </w:rPr>
        <w:t>impacted</w:t>
      </w:r>
      <w:r w:rsidRPr="74B24D56" w:rsidR="27409C28">
        <w:rPr>
          <w:rFonts w:ascii="Aptos" w:hAnsi="Aptos" w:eastAsia="Aptos" w:cs="Aptos"/>
          <w:noProof w:val="0"/>
          <w:sz w:val="22"/>
          <w:szCs w:val="22"/>
          <w:lang w:val="en-GB"/>
        </w:rPr>
        <w:t xml:space="preserve"> low-income, rural, and elderly populations, highlighting the significance of preserving various access points to care. Therefore, COVID-19 shed light on how socioeconomic determinants of health—like housi</w:t>
      </w:r>
      <w:r w:rsidRPr="74B24D56" w:rsidR="27409C28">
        <w:rPr>
          <w:rFonts w:ascii="Aptos" w:hAnsi="Aptos" w:eastAsia="Aptos" w:cs="Aptos"/>
          <w:noProof w:val="0"/>
          <w:sz w:val="24"/>
          <w:szCs w:val="24"/>
          <w:lang w:val="en-GB"/>
        </w:rPr>
        <w:t>ng,</w:t>
      </w:r>
      <w:r w:rsidRPr="74B24D56" w:rsidR="27409C28">
        <w:rPr>
          <w:rFonts w:ascii="Aptos" w:hAnsi="Aptos" w:eastAsia="Aptos" w:cs="Aptos"/>
          <w:noProof w:val="0"/>
          <w:sz w:val="22"/>
          <w:szCs w:val="22"/>
          <w:lang w:val="en-GB"/>
        </w:rPr>
        <w:t xml:space="preserve"> income, education, and ethnicity—have a significant impact on people's health outcomes. Health and social care systems must address the broader structural variables that </w:t>
      </w:r>
      <w:r w:rsidRPr="74B24D56" w:rsidR="27409C28">
        <w:rPr>
          <w:rFonts w:ascii="Aptos" w:hAnsi="Aptos" w:eastAsia="Aptos" w:cs="Aptos"/>
          <w:noProof w:val="0"/>
          <w:sz w:val="22"/>
          <w:szCs w:val="22"/>
          <w:lang w:val="en-GB"/>
        </w:rPr>
        <w:t>impact</w:t>
      </w:r>
      <w:r w:rsidRPr="74B24D56" w:rsidR="27409C28">
        <w:rPr>
          <w:rFonts w:ascii="Aptos" w:hAnsi="Aptos" w:eastAsia="Aptos" w:cs="Aptos"/>
          <w:noProof w:val="0"/>
          <w:sz w:val="22"/>
          <w:szCs w:val="22"/>
          <w:lang w:val="en-GB"/>
        </w:rPr>
        <w:t xml:space="preserve"> wellness in addition to meeting medical needs. Coordinated policies in the areas of work, housing, education, and health are necessary to combat inequality.</w:t>
      </w:r>
    </w:p>
    <w:p w:rsidR="51E95A26" w:rsidP="74B24D56" w:rsidRDefault="51E95A26" w14:paraId="3AECB2DF" w14:textId="0DD9E503">
      <w:pPr>
        <w:spacing w:before="240" w:beforeAutospacing="off" w:after="240" w:afterAutospacing="off"/>
        <w:rPr>
          <w:rFonts w:ascii="Aptos" w:hAnsi="Aptos" w:eastAsia="Aptos" w:cs="Aptos"/>
          <w:noProof w:val="0"/>
          <w:sz w:val="22"/>
          <w:szCs w:val="22"/>
          <w:lang w:val="en-GB"/>
        </w:rPr>
      </w:pPr>
    </w:p>
    <w:p w:rsidR="51E95A26" w:rsidP="777AA44C" w:rsidRDefault="51E95A26" w14:paraId="69788B0D" w14:textId="77C0BEFD">
      <w:pPr>
        <w:spacing w:before="240" w:beforeAutospacing="off" w:after="240" w:afterAutospacing="off"/>
        <w:rPr>
          <w:rFonts w:ascii="Aptos" w:hAnsi="Aptos" w:eastAsia="Aptos" w:cs="Aptos"/>
          <w:b w:val="1"/>
          <w:bCs w:val="1"/>
          <w:noProof w:val="0"/>
          <w:sz w:val="36"/>
          <w:szCs w:val="36"/>
          <w:lang w:val="en-GB"/>
        </w:rPr>
      </w:pPr>
      <w:r w:rsidRPr="777AA44C" w:rsidR="7816C3EF">
        <w:rPr>
          <w:rFonts w:ascii="Aptos" w:hAnsi="Aptos" w:eastAsia="Aptos" w:cs="Aptos"/>
          <w:b w:val="1"/>
          <w:bCs w:val="1"/>
          <w:noProof w:val="0"/>
          <w:sz w:val="36"/>
          <w:szCs w:val="36"/>
          <w:lang w:val="en-GB"/>
        </w:rPr>
        <w:t>Implications for Health and Social Care</w:t>
      </w:r>
    </w:p>
    <w:p w:rsidR="51E95A26" w:rsidP="51E95A26" w:rsidRDefault="51E95A26" w14:paraId="12CE46F4" w14:textId="7C158C75">
      <w:pPr>
        <w:spacing w:before="240" w:beforeAutospacing="off" w:after="240" w:afterAutospacing="off"/>
      </w:pPr>
      <w:r w:rsidRPr="777AA44C" w:rsidR="7816C3EF">
        <w:rPr>
          <w:rFonts w:ascii="Aptos" w:hAnsi="Aptos" w:eastAsia="Aptos" w:cs="Aptos"/>
          <w:noProof w:val="0"/>
          <w:sz w:val="24"/>
          <w:szCs w:val="24"/>
          <w:lang w:val="en-GB"/>
        </w:rPr>
        <w:t xml:space="preserve"> </w:t>
      </w:r>
    </w:p>
    <w:p w:rsidR="51E95A26" w:rsidP="74B24D56" w:rsidRDefault="51E95A26" w14:paraId="45B82A7E" w14:textId="0BE6B494">
      <w:pPr>
        <w:spacing w:before="240" w:beforeAutospacing="off" w:after="240" w:afterAutospacing="off"/>
        <w:rPr>
          <w:rFonts w:ascii="Aptos" w:hAnsi="Aptos" w:eastAsia="Aptos" w:cs="Aptos"/>
          <w:noProof w:val="0"/>
          <w:sz w:val="22"/>
          <w:szCs w:val="22"/>
          <w:lang w:val="en-GB"/>
        </w:rPr>
      </w:pPr>
      <w:r w:rsidRPr="74B24D56" w:rsidR="13081396">
        <w:rPr>
          <w:rFonts w:ascii="Aptos" w:hAnsi="Aptos" w:eastAsia="Aptos" w:cs="Aptos"/>
          <w:noProof w:val="0"/>
          <w:sz w:val="22"/>
          <w:szCs w:val="22"/>
          <w:lang w:val="en-GB"/>
        </w:rPr>
        <w:t xml:space="preserve">There are significant ramifications to these three ideas. First, </w:t>
      </w:r>
      <w:r w:rsidRPr="74B24D56" w:rsidR="13081396">
        <w:rPr>
          <w:rFonts w:ascii="Aptos" w:hAnsi="Aptos" w:eastAsia="Aptos" w:cs="Aptos"/>
          <w:noProof w:val="0"/>
          <w:sz w:val="22"/>
          <w:szCs w:val="22"/>
          <w:lang w:val="en-GB"/>
        </w:rPr>
        <w:t>to</w:t>
      </w:r>
      <w:r w:rsidRPr="74B24D56" w:rsidR="13081396">
        <w:rPr>
          <w:rFonts w:ascii="Aptos" w:hAnsi="Aptos" w:eastAsia="Aptos" w:cs="Aptos"/>
          <w:noProof w:val="0"/>
          <w:sz w:val="22"/>
          <w:szCs w:val="22"/>
          <w:lang w:val="en-GB"/>
        </w:rPr>
        <w:t xml:space="preserve"> support the physical and mental welfare of both users and employees, the health and social care sectors must incorporate resilience, flexibility, and integrated working. This might include stronger infrastructure for infection control, staff mental health </w:t>
      </w:r>
      <w:r w:rsidRPr="74B24D56" w:rsidR="13081396">
        <w:rPr>
          <w:rFonts w:ascii="Aptos" w:hAnsi="Aptos" w:eastAsia="Aptos" w:cs="Aptos"/>
          <w:noProof w:val="0"/>
          <w:sz w:val="22"/>
          <w:szCs w:val="22"/>
          <w:lang w:val="en-GB"/>
        </w:rPr>
        <w:t>assistance</w:t>
      </w:r>
      <w:r w:rsidRPr="74B24D56" w:rsidR="13081396">
        <w:rPr>
          <w:rFonts w:ascii="Aptos" w:hAnsi="Aptos" w:eastAsia="Aptos" w:cs="Aptos"/>
          <w:noProof w:val="0"/>
          <w:sz w:val="22"/>
          <w:szCs w:val="22"/>
          <w:lang w:val="en-GB"/>
        </w:rPr>
        <w:t xml:space="preserve">, and mechanisms to continue providing necessary routine care even in times of emergency. </w:t>
      </w:r>
    </w:p>
    <w:p w:rsidR="51E95A26" w:rsidP="74B24D56" w:rsidRDefault="51E95A26" w14:paraId="34C16EEE" w14:textId="1D880E41">
      <w:pPr>
        <w:pStyle w:val="Normal"/>
        <w:spacing w:before="240" w:beforeAutospacing="off" w:after="240" w:afterAutospacing="off"/>
        <w:rPr>
          <w:rFonts w:ascii="Aptos" w:hAnsi="Aptos" w:eastAsia="Aptos" w:cs="Aptos"/>
          <w:noProof w:val="0"/>
          <w:sz w:val="22"/>
          <w:szCs w:val="22"/>
          <w:lang w:val="en-GB"/>
        </w:rPr>
      </w:pPr>
      <w:r w:rsidRPr="74B24D56" w:rsidR="13081396">
        <w:rPr>
          <w:rFonts w:ascii="Aptos" w:hAnsi="Aptos" w:eastAsia="Aptos" w:cs="Aptos"/>
          <w:noProof w:val="0"/>
          <w:sz w:val="22"/>
          <w:szCs w:val="22"/>
          <w:lang w:val="en-GB"/>
        </w:rPr>
        <w:t xml:space="preserve">Second, in terms of workforce policy, the pandemic made the undervaluation of the workforce (in terms of status, training, and compensation) </w:t>
      </w:r>
      <w:r w:rsidRPr="74B24D56" w:rsidR="46E242A7">
        <w:rPr>
          <w:rFonts w:ascii="Aptos" w:hAnsi="Aptos" w:eastAsia="Aptos" w:cs="Aptos"/>
          <w:noProof w:val="0"/>
          <w:sz w:val="22"/>
          <w:szCs w:val="22"/>
          <w:lang w:val="en-GB"/>
        </w:rPr>
        <w:t>clearer</w:t>
      </w:r>
      <w:r w:rsidRPr="74B24D56" w:rsidR="13081396">
        <w:rPr>
          <w:rFonts w:ascii="Aptos" w:hAnsi="Aptos" w:eastAsia="Aptos" w:cs="Aptos"/>
          <w:noProof w:val="0"/>
          <w:sz w:val="22"/>
          <w:szCs w:val="22"/>
          <w:lang w:val="en-GB"/>
        </w:rPr>
        <w:t xml:space="preserve"> for social care. Priorities should include investing in staff capabilit</w:t>
      </w:r>
      <w:r w:rsidRPr="74B24D56" w:rsidR="7330B2C9">
        <w:rPr>
          <w:rFonts w:ascii="Aptos" w:hAnsi="Aptos" w:eastAsia="Aptos" w:cs="Aptos"/>
          <w:noProof w:val="0"/>
          <w:sz w:val="22"/>
          <w:szCs w:val="22"/>
          <w:lang w:val="en-GB"/>
        </w:rPr>
        <w:t>ies</w:t>
      </w:r>
      <w:r w:rsidRPr="74B24D56" w:rsidR="13081396">
        <w:rPr>
          <w:rFonts w:ascii="Aptos" w:hAnsi="Aptos" w:eastAsia="Aptos" w:cs="Aptos"/>
          <w:noProof w:val="0"/>
          <w:sz w:val="22"/>
          <w:szCs w:val="22"/>
          <w:lang w:val="en-GB"/>
        </w:rPr>
        <w:t xml:space="preserve">, reforming working circumstances, and providing wellness </w:t>
      </w:r>
      <w:r w:rsidRPr="74B24D56" w:rsidR="13081396">
        <w:rPr>
          <w:rFonts w:ascii="Aptos" w:hAnsi="Aptos" w:eastAsia="Aptos" w:cs="Aptos"/>
          <w:noProof w:val="0"/>
          <w:sz w:val="22"/>
          <w:szCs w:val="22"/>
          <w:lang w:val="en-GB"/>
        </w:rPr>
        <w:t>assistance</w:t>
      </w:r>
      <w:r w:rsidRPr="74B24D56" w:rsidR="13081396">
        <w:rPr>
          <w:rFonts w:ascii="Aptos" w:hAnsi="Aptos" w:eastAsia="Aptos" w:cs="Aptos"/>
          <w:noProof w:val="0"/>
          <w:sz w:val="22"/>
          <w:szCs w:val="22"/>
          <w:lang w:val="en-GB"/>
        </w:rPr>
        <w:t>. Building ability for crisis decision-making, moral support, and system coordination is another important aspect of leadership in health and social care.</w:t>
      </w:r>
    </w:p>
    <w:p w:rsidR="51E95A26" w:rsidP="74B24D56" w:rsidRDefault="51E95A26" w14:paraId="567B5AC4" w14:textId="4AE7B751">
      <w:pPr>
        <w:pStyle w:val="Normal"/>
        <w:spacing w:before="240" w:beforeAutospacing="off" w:after="240" w:afterAutospacing="off"/>
        <w:rPr>
          <w:rFonts w:ascii="Aptos" w:hAnsi="Aptos" w:eastAsia="Aptos" w:cs="Aptos"/>
          <w:noProof w:val="0"/>
          <w:sz w:val="22"/>
          <w:szCs w:val="22"/>
          <w:lang w:val="en-GB"/>
        </w:rPr>
      </w:pPr>
      <w:r w:rsidRPr="74B24D56" w:rsidR="5CA91EEB">
        <w:rPr>
          <w:rFonts w:ascii="Aptos" w:hAnsi="Aptos" w:eastAsia="Aptos" w:cs="Aptos"/>
          <w:noProof w:val="0"/>
          <w:sz w:val="22"/>
          <w:szCs w:val="22"/>
          <w:lang w:val="en-GB"/>
        </w:rPr>
        <w:t xml:space="preserve">Third, to address inequality, health and social care planning must </w:t>
      </w:r>
      <w:r w:rsidRPr="74B24D56" w:rsidR="7A13E2B1">
        <w:rPr>
          <w:rFonts w:ascii="Aptos" w:hAnsi="Aptos" w:eastAsia="Aptos" w:cs="Aptos"/>
          <w:noProof w:val="0"/>
          <w:sz w:val="22"/>
          <w:szCs w:val="22"/>
          <w:lang w:val="en-GB"/>
        </w:rPr>
        <w:t>take into</w:t>
      </w:r>
      <w:r w:rsidRPr="74B24D56" w:rsidR="5CA91EEB">
        <w:rPr>
          <w:rFonts w:ascii="Aptos" w:hAnsi="Aptos" w:eastAsia="Aptos" w:cs="Aptos"/>
          <w:noProof w:val="0"/>
          <w:sz w:val="22"/>
          <w:szCs w:val="22"/>
          <w:lang w:val="en-GB"/>
        </w:rPr>
        <w:t xml:space="preserve"> </w:t>
      </w:r>
      <w:r w:rsidRPr="74B24D56" w:rsidR="789F3867">
        <w:rPr>
          <w:rFonts w:ascii="Aptos" w:hAnsi="Aptos" w:eastAsia="Aptos" w:cs="Aptos"/>
          <w:noProof w:val="0"/>
          <w:sz w:val="22"/>
          <w:szCs w:val="22"/>
          <w:lang w:val="en-GB"/>
        </w:rPr>
        <w:t>account</w:t>
      </w:r>
      <w:r w:rsidRPr="74B24D56" w:rsidR="5CA91EEB">
        <w:rPr>
          <w:rFonts w:ascii="Aptos" w:hAnsi="Aptos" w:eastAsia="Aptos" w:cs="Aptos"/>
          <w:noProof w:val="0"/>
          <w:sz w:val="22"/>
          <w:szCs w:val="22"/>
          <w:lang w:val="en-GB"/>
        </w:rPr>
        <w:t xml:space="preserve"> </w:t>
      </w:r>
      <w:r w:rsidRPr="74B24D56" w:rsidR="354561C0">
        <w:rPr>
          <w:rFonts w:ascii="Aptos" w:hAnsi="Aptos" w:eastAsia="Aptos" w:cs="Aptos"/>
          <w:noProof w:val="0"/>
          <w:sz w:val="22"/>
          <w:szCs w:val="22"/>
          <w:lang w:val="en-GB"/>
        </w:rPr>
        <w:t xml:space="preserve">uneven access and in particular, provide more assistance in places with limited resources, guaranteeing digital inclusion for telemedicine, giving priority to vulnerable populations in immunisation and safe care delivery, bolstering community partnerships, and making sure data systems identify and address inequities. The Policymakers must view the </w:t>
      </w:r>
      <w:r w:rsidRPr="74B24D56" w:rsidR="039A3B71">
        <w:rPr>
          <w:rFonts w:ascii="Aptos" w:hAnsi="Aptos" w:eastAsia="Aptos" w:cs="Aptos"/>
          <w:noProof w:val="0"/>
          <w:sz w:val="22"/>
          <w:szCs w:val="22"/>
          <w:lang w:val="en-GB"/>
        </w:rPr>
        <w:t>epidemic</w:t>
      </w:r>
      <w:r w:rsidRPr="74B24D56" w:rsidR="354561C0">
        <w:rPr>
          <w:rFonts w:ascii="Aptos" w:hAnsi="Aptos" w:eastAsia="Aptos" w:cs="Aptos"/>
          <w:noProof w:val="0"/>
          <w:sz w:val="22"/>
          <w:szCs w:val="22"/>
          <w:lang w:val="en-GB"/>
        </w:rPr>
        <w:t xml:space="preserve"> </w:t>
      </w:r>
      <w:r w:rsidRPr="74B24D56" w:rsidR="5CA91EEB">
        <w:rPr>
          <w:rFonts w:ascii="Aptos" w:hAnsi="Aptos" w:eastAsia="Aptos" w:cs="Aptos"/>
          <w:noProof w:val="0"/>
          <w:sz w:val="22"/>
          <w:szCs w:val="22"/>
          <w:lang w:val="en-GB"/>
        </w:rPr>
        <w:t xml:space="preserve">as a window into what was previously flawed, and they must take </w:t>
      </w:r>
      <w:r w:rsidRPr="74B24D56" w:rsidR="5CA91EEB">
        <w:rPr>
          <w:rFonts w:ascii="Aptos" w:hAnsi="Aptos" w:eastAsia="Aptos" w:cs="Aptos"/>
          <w:noProof w:val="0"/>
          <w:sz w:val="22"/>
          <w:szCs w:val="22"/>
          <w:lang w:val="en-GB"/>
        </w:rPr>
        <w:t>appropriate action</w:t>
      </w:r>
      <w:r w:rsidRPr="74B24D56" w:rsidR="5CA91EEB">
        <w:rPr>
          <w:rFonts w:ascii="Aptos" w:hAnsi="Aptos" w:eastAsia="Aptos" w:cs="Aptos"/>
          <w:noProof w:val="0"/>
          <w:sz w:val="22"/>
          <w:szCs w:val="22"/>
          <w:lang w:val="en-GB"/>
        </w:rPr>
        <w:t>.</w:t>
      </w:r>
    </w:p>
    <w:p w:rsidR="51E95A26" w:rsidP="74B24D56" w:rsidRDefault="51E95A26" w14:paraId="13EE50E7" w14:textId="6469516D">
      <w:pPr>
        <w:pStyle w:val="Heading2"/>
        <w:spacing w:before="240" w:beforeAutospacing="off" w:after="240" w:afterAutospacing="off"/>
        <w:rPr>
          <w:rFonts w:ascii="Aptos" w:hAnsi="Aptos" w:eastAsia="Aptos" w:cs="Aptos"/>
          <w:b w:val="1"/>
          <w:bCs w:val="1"/>
          <w:noProof w:val="0"/>
          <w:color w:val="000000" w:themeColor="text1" w:themeTint="FF" w:themeShade="FF"/>
          <w:sz w:val="36"/>
          <w:szCs w:val="36"/>
          <w:lang w:val="en-GB"/>
        </w:rPr>
      </w:pPr>
      <w:r w:rsidRPr="74B24D56" w:rsidR="73535165">
        <w:rPr>
          <w:rFonts w:ascii="Aptos" w:hAnsi="Aptos" w:eastAsia="Aptos" w:cs="Aptos"/>
          <w:b w:val="1"/>
          <w:bCs w:val="1"/>
          <w:noProof w:val="0"/>
          <w:color w:val="000000" w:themeColor="text1" w:themeTint="FF" w:themeShade="FF"/>
          <w:sz w:val="36"/>
          <w:szCs w:val="36"/>
          <w:lang w:val="en-GB"/>
        </w:rPr>
        <w:t>Recommendations</w:t>
      </w:r>
    </w:p>
    <w:p w:rsidR="30B65E1F" w:rsidP="74B24D56" w:rsidRDefault="30B65E1F" w14:paraId="634160E8" w14:textId="083C47B2">
      <w:pPr>
        <w:pStyle w:val="Normal"/>
        <w:rPr>
          <w:rFonts w:ascii="Aptos" w:hAnsi="Aptos" w:eastAsia="Aptos" w:cs="Aptos"/>
          <w:noProof w:val="0"/>
          <w:sz w:val="22"/>
          <w:szCs w:val="22"/>
          <w:lang w:val="en-GB"/>
        </w:rPr>
      </w:pPr>
      <w:r w:rsidRPr="74B24D56" w:rsidR="18442C68">
        <w:rPr>
          <w:rFonts w:ascii="Aptos" w:hAnsi="Aptos" w:eastAsia="Aptos" w:cs="Aptos"/>
          <w:noProof w:val="0"/>
          <w:sz w:val="24"/>
          <w:szCs w:val="24"/>
          <w:lang w:val="en-GB"/>
        </w:rPr>
        <w:t>S</w:t>
      </w:r>
      <w:r w:rsidRPr="74B24D56" w:rsidR="18442C68">
        <w:rPr>
          <w:rFonts w:ascii="Aptos" w:hAnsi="Aptos" w:eastAsia="Aptos" w:cs="Aptos"/>
          <w:noProof w:val="0"/>
          <w:sz w:val="22"/>
          <w:szCs w:val="22"/>
          <w:lang w:val="en-GB"/>
        </w:rPr>
        <w:t xml:space="preserve">trengthen Public Health Workforce Capacity and Infrastructure </w:t>
      </w:r>
    </w:p>
    <w:p w:rsidR="30B65E1F" w:rsidP="74B24D56" w:rsidRDefault="30B65E1F" w14:paraId="19281654" w14:textId="26D47A46">
      <w:pPr>
        <w:rPr>
          <w:rFonts w:ascii="Aptos" w:hAnsi="Aptos" w:eastAsia="Aptos" w:cs="Aptos"/>
          <w:noProof w:val="0"/>
          <w:sz w:val="22"/>
          <w:szCs w:val="22"/>
          <w:lang w:val="en-GB"/>
        </w:rPr>
      </w:pPr>
      <w:r w:rsidRPr="74B24D56" w:rsidR="18442C68">
        <w:rPr>
          <w:rFonts w:ascii="Aptos" w:hAnsi="Aptos" w:eastAsia="Aptos" w:cs="Aptos"/>
          <w:noProof w:val="0"/>
          <w:sz w:val="22"/>
          <w:szCs w:val="22"/>
          <w:lang w:val="en-GB"/>
        </w:rPr>
        <w:t xml:space="preserve">The NHS and regional public health systems require sustained investment. </w:t>
      </w:r>
      <w:r w:rsidRPr="74B24D56" w:rsidR="3B448E72">
        <w:rPr>
          <w:rFonts w:ascii="Aptos" w:hAnsi="Aptos" w:eastAsia="Aptos" w:cs="Aptos"/>
          <w:noProof w:val="0"/>
          <w:sz w:val="22"/>
          <w:szCs w:val="22"/>
          <w:lang w:val="en-GB"/>
        </w:rPr>
        <w:t>To</w:t>
      </w:r>
      <w:r w:rsidRPr="74B24D56" w:rsidR="18442C68">
        <w:rPr>
          <w:rFonts w:ascii="Aptos" w:hAnsi="Aptos" w:eastAsia="Aptos" w:cs="Aptos"/>
          <w:noProof w:val="0"/>
          <w:sz w:val="22"/>
          <w:szCs w:val="22"/>
          <w:lang w:val="en-GB"/>
        </w:rPr>
        <w:t xml:space="preserve"> assure surge capacity during future crises, better training, retention, and resource allocation are </w:t>
      </w:r>
      <w:r w:rsidRPr="74B24D56" w:rsidR="18442C68">
        <w:rPr>
          <w:rFonts w:ascii="Aptos" w:hAnsi="Aptos" w:eastAsia="Aptos" w:cs="Aptos"/>
          <w:noProof w:val="0"/>
          <w:sz w:val="22"/>
          <w:szCs w:val="22"/>
          <w:lang w:val="en-GB"/>
        </w:rPr>
        <w:t>required</w:t>
      </w:r>
      <w:r w:rsidRPr="74B24D56" w:rsidR="18442C68">
        <w:rPr>
          <w:rFonts w:ascii="Aptos" w:hAnsi="Aptos" w:eastAsia="Aptos" w:cs="Aptos"/>
          <w:noProof w:val="0"/>
          <w:sz w:val="22"/>
          <w:szCs w:val="22"/>
          <w:lang w:val="en-GB"/>
        </w:rPr>
        <w:t xml:space="preserve">, as </w:t>
      </w:r>
      <w:r w:rsidRPr="74B24D56" w:rsidR="18442C68">
        <w:rPr>
          <w:rFonts w:ascii="Aptos" w:hAnsi="Aptos" w:eastAsia="Aptos" w:cs="Aptos"/>
          <w:noProof w:val="0"/>
          <w:sz w:val="22"/>
          <w:szCs w:val="22"/>
          <w:lang w:val="en-GB"/>
        </w:rPr>
        <w:t>demonstrated</w:t>
      </w:r>
      <w:r w:rsidRPr="74B24D56" w:rsidR="18442C68">
        <w:rPr>
          <w:rFonts w:ascii="Aptos" w:hAnsi="Aptos" w:eastAsia="Aptos" w:cs="Aptos"/>
          <w:noProof w:val="0"/>
          <w:sz w:val="22"/>
          <w:szCs w:val="22"/>
          <w:lang w:val="en-GB"/>
        </w:rPr>
        <w:t xml:space="preserve"> by the workforce limitations revealed during COVID-19. </w:t>
      </w:r>
    </w:p>
    <w:p w:rsidR="30B65E1F" w:rsidP="74B24D56" w:rsidRDefault="30B65E1F" w14:paraId="59E756EB" w14:textId="3163C174">
      <w:pPr>
        <w:pStyle w:val="Normal"/>
        <w:rPr>
          <w:rFonts w:ascii="Aptos" w:hAnsi="Aptos" w:eastAsia="Aptos" w:cs="Aptos"/>
          <w:noProof w:val="0"/>
          <w:sz w:val="22"/>
          <w:szCs w:val="22"/>
          <w:lang w:val="en-GB"/>
        </w:rPr>
      </w:pPr>
      <w:r w:rsidRPr="74B24D56" w:rsidR="18442C68">
        <w:rPr>
          <w:rFonts w:ascii="Aptos" w:hAnsi="Aptos" w:eastAsia="Aptos" w:cs="Aptos"/>
          <w:noProof w:val="0"/>
          <w:sz w:val="22"/>
          <w:szCs w:val="22"/>
          <w:lang w:val="en-GB"/>
        </w:rPr>
        <w:t xml:space="preserve">Examine Health Inequalities and Social Factors </w:t>
      </w:r>
    </w:p>
    <w:p w:rsidR="30B65E1F" w:rsidP="74B24D56" w:rsidRDefault="30B65E1F" w14:paraId="645B0674" w14:textId="7B655A58">
      <w:pPr>
        <w:rPr>
          <w:rFonts w:ascii="Aptos" w:hAnsi="Aptos" w:eastAsia="Aptos" w:cs="Aptos"/>
          <w:noProof w:val="0"/>
          <w:sz w:val="22"/>
          <w:szCs w:val="22"/>
          <w:lang w:val="en-GB"/>
        </w:rPr>
      </w:pPr>
      <w:r w:rsidRPr="74B24D56" w:rsidR="18442C68">
        <w:rPr>
          <w:rFonts w:ascii="Aptos" w:hAnsi="Aptos" w:eastAsia="Aptos" w:cs="Aptos"/>
          <w:noProof w:val="0"/>
          <w:sz w:val="22"/>
          <w:szCs w:val="22"/>
          <w:lang w:val="en-GB"/>
        </w:rPr>
        <w:t xml:space="preserve">Ethnic minorities, people in insecure work, and socioeconomically disadvantaged groups were disproportionately affected by COVID-19. Through focused public health measures, social support, and fair access to healthcare, policies should try to lessen these inequities. </w:t>
      </w:r>
    </w:p>
    <w:p w:rsidR="30B65E1F" w:rsidP="74B24D56" w:rsidRDefault="30B65E1F" w14:paraId="0096BFD9" w14:textId="3346E30B">
      <w:pPr>
        <w:rPr>
          <w:rFonts w:ascii="Aptos" w:hAnsi="Aptos" w:eastAsia="Aptos" w:cs="Aptos"/>
          <w:noProof w:val="0"/>
          <w:sz w:val="22"/>
          <w:szCs w:val="22"/>
          <w:lang w:val="en-GB"/>
        </w:rPr>
      </w:pPr>
      <w:r w:rsidRPr="74B24D56" w:rsidR="18442C68">
        <w:rPr>
          <w:rFonts w:ascii="Aptos" w:hAnsi="Aptos" w:eastAsia="Aptos" w:cs="Aptos"/>
          <w:noProof w:val="0"/>
          <w:sz w:val="22"/>
          <w:szCs w:val="22"/>
          <w:lang w:val="en-GB"/>
        </w:rPr>
        <w:t xml:space="preserve">Boost Risk Communication and Public Confidence </w:t>
      </w:r>
    </w:p>
    <w:p w:rsidR="30B65E1F" w:rsidP="74B24D56" w:rsidRDefault="30B65E1F" w14:paraId="668549F8" w14:textId="568ED7C9">
      <w:pPr>
        <w:pStyle w:val="Normal"/>
        <w:spacing w:before="240" w:beforeAutospacing="off" w:after="240" w:afterAutospacing="off"/>
        <w:ind w:left="0"/>
        <w:rPr>
          <w:rFonts w:ascii="Aptos" w:hAnsi="Aptos" w:eastAsia="Aptos" w:cs="Aptos"/>
          <w:noProof w:val="0"/>
          <w:sz w:val="22"/>
          <w:szCs w:val="22"/>
          <w:lang w:val="en-GB"/>
        </w:rPr>
      </w:pPr>
      <w:r w:rsidRPr="74B24D56" w:rsidR="18442C68">
        <w:rPr>
          <w:rFonts w:ascii="Aptos" w:hAnsi="Aptos" w:eastAsia="Aptos" w:cs="Aptos"/>
          <w:noProof w:val="0"/>
          <w:sz w:val="22"/>
          <w:szCs w:val="22"/>
          <w:lang w:val="en-GB"/>
        </w:rPr>
        <w:t xml:space="preserve">Sustaining public trust requires open, consistent, and evidence-based communication. </w:t>
      </w:r>
      <w:r w:rsidRPr="74B24D56" w:rsidR="5160D8C4">
        <w:rPr>
          <w:rFonts w:ascii="Aptos" w:hAnsi="Aptos" w:eastAsia="Aptos" w:cs="Aptos"/>
          <w:noProof w:val="0"/>
          <w:sz w:val="22"/>
          <w:szCs w:val="22"/>
          <w:lang w:val="en-GB"/>
        </w:rPr>
        <w:t>Clear leadership</w:t>
      </w:r>
      <w:r w:rsidRPr="74B24D56" w:rsidR="18442C68">
        <w:rPr>
          <w:rFonts w:ascii="Aptos" w:hAnsi="Aptos" w:eastAsia="Aptos" w:cs="Aptos"/>
          <w:noProof w:val="0"/>
          <w:sz w:val="22"/>
          <w:szCs w:val="22"/>
          <w:lang w:val="en-GB"/>
        </w:rPr>
        <w:t xml:space="preserve"> coordinated message across agencies, and interaction with local leaders to dispel false information are all important components of future crisis communication tactics.</w:t>
      </w:r>
    </w:p>
    <w:p w:rsidR="0CE3C853" w:rsidP="74B24D56" w:rsidRDefault="0CE3C853" w14:paraId="50C65D79" w14:textId="54BE1977">
      <w:pPr>
        <w:pStyle w:val="Normal"/>
        <w:spacing w:before="240" w:beforeAutospacing="off" w:after="240" w:afterAutospacing="off"/>
        <w:ind w:left="0"/>
        <w:rPr>
          <w:rFonts w:ascii="Aptos" w:hAnsi="Aptos" w:eastAsia="Aptos" w:cs="Aptos"/>
          <w:noProof w:val="0"/>
          <w:sz w:val="22"/>
          <w:szCs w:val="22"/>
          <w:lang w:val="en-GB"/>
        </w:rPr>
      </w:pPr>
      <w:r w:rsidRPr="74B24D56" w:rsidR="60E414E9">
        <w:rPr>
          <w:rFonts w:ascii="Aptos" w:hAnsi="Aptos" w:eastAsia="Aptos" w:cs="Aptos"/>
          <w:noProof w:val="0"/>
          <w:sz w:val="22"/>
          <w:szCs w:val="22"/>
          <w:lang w:val="en-GB"/>
        </w:rPr>
        <w:t xml:space="preserve">Encourage long-term health monitoring, research, and innovation </w:t>
      </w:r>
    </w:p>
    <w:p w:rsidR="0CE3C853" w:rsidP="74B24D56" w:rsidRDefault="0CE3C853" w14:paraId="30EE9020" w14:textId="26453A13">
      <w:pPr>
        <w:rPr>
          <w:rFonts w:ascii="Aptos" w:hAnsi="Aptos" w:eastAsia="Aptos" w:cs="Aptos"/>
          <w:noProof w:val="0"/>
          <w:sz w:val="22"/>
          <w:szCs w:val="22"/>
          <w:lang w:val="en-GB"/>
        </w:rPr>
      </w:pPr>
      <w:r w:rsidRPr="74B24D56" w:rsidR="60E414E9">
        <w:rPr>
          <w:rFonts w:ascii="Aptos" w:hAnsi="Aptos" w:eastAsia="Aptos" w:cs="Aptos"/>
          <w:noProof w:val="0"/>
          <w:sz w:val="22"/>
          <w:szCs w:val="22"/>
          <w:lang w:val="en-GB"/>
        </w:rPr>
        <w:t xml:space="preserve">Long-term COVID investigations, vaccine development, and biological research all require ongoing financing. </w:t>
      </w:r>
      <w:r w:rsidRPr="74B24D56" w:rsidR="60E414E9">
        <w:rPr>
          <w:rFonts w:ascii="Aptos" w:hAnsi="Aptos" w:eastAsia="Aptos" w:cs="Aptos"/>
          <w:noProof w:val="0"/>
          <w:sz w:val="22"/>
          <w:szCs w:val="22"/>
          <w:lang w:val="en-GB"/>
        </w:rPr>
        <w:t>To</w:t>
      </w:r>
      <w:r w:rsidRPr="74B24D56" w:rsidR="60E414E9">
        <w:rPr>
          <w:rFonts w:ascii="Aptos" w:hAnsi="Aptos" w:eastAsia="Aptos" w:cs="Aptos"/>
          <w:noProof w:val="0"/>
          <w:sz w:val="22"/>
          <w:szCs w:val="22"/>
          <w:lang w:val="en-GB"/>
        </w:rPr>
        <w:t xml:space="preserve"> speed up innovation and knowledge translation during health emergencies, collaboration between academia, business, and the NHS should be institutionalised. </w:t>
      </w:r>
    </w:p>
    <w:p w:rsidR="0CE3C853" w:rsidP="74B24D56" w:rsidRDefault="0CE3C853" w14:paraId="66D88789" w14:textId="31CC16B4">
      <w:pPr>
        <w:pStyle w:val="Normal"/>
        <w:rPr>
          <w:rFonts w:ascii="Aptos" w:hAnsi="Aptos" w:eastAsia="Aptos" w:cs="Aptos"/>
          <w:noProof w:val="0"/>
          <w:sz w:val="22"/>
          <w:szCs w:val="22"/>
          <w:lang w:val="en-GB"/>
        </w:rPr>
      </w:pPr>
      <w:r w:rsidRPr="74B24D56" w:rsidR="60E414E9">
        <w:rPr>
          <w:rFonts w:ascii="Aptos" w:hAnsi="Aptos" w:eastAsia="Aptos" w:cs="Aptos"/>
          <w:noProof w:val="0"/>
          <w:sz w:val="22"/>
          <w:szCs w:val="22"/>
          <w:lang w:val="en-GB"/>
        </w:rPr>
        <w:t xml:space="preserve">Put the Lessons Learnt into Practice </w:t>
      </w:r>
    </w:p>
    <w:p w:rsidR="0CE3C853" w:rsidP="74B24D56" w:rsidRDefault="0CE3C853" w14:paraId="7CBBF3D2" w14:textId="5FCB1116">
      <w:pPr>
        <w:pStyle w:val="Normal"/>
        <w:spacing w:before="240" w:beforeAutospacing="off" w:after="240" w:afterAutospacing="off"/>
        <w:ind w:left="0"/>
        <w:rPr>
          <w:rFonts w:ascii="Aptos" w:hAnsi="Aptos" w:eastAsia="Aptos" w:cs="Aptos"/>
          <w:noProof w:val="0"/>
          <w:sz w:val="22"/>
          <w:szCs w:val="22"/>
          <w:lang w:val="en-GB"/>
        </w:rPr>
      </w:pPr>
      <w:r w:rsidRPr="74B24D56" w:rsidR="60E414E9">
        <w:rPr>
          <w:rFonts w:ascii="Aptos" w:hAnsi="Aptos" w:eastAsia="Aptos" w:cs="Aptos"/>
          <w:noProof w:val="0"/>
          <w:sz w:val="22"/>
          <w:szCs w:val="22"/>
          <w:lang w:val="en-GB"/>
        </w:rPr>
        <w:t>Concrete policy reform should be informed by the results of the UK COVID-19 Inquiry and other studies, guaranteeing that suggestions are carried out and routinely assessed. Interagency simulations and scenario-based training ought to be commonplace in both national and local administration.</w:t>
      </w:r>
    </w:p>
    <w:p w:rsidR="51E95A26" w:rsidP="777AA44C" w:rsidRDefault="51E95A26" w14:paraId="44B183F8" w14:textId="2938AAF4">
      <w:pPr>
        <w:pStyle w:val="Heading2"/>
        <w:spacing w:before="299" w:beforeAutospacing="off" w:after="299" w:afterAutospacing="off"/>
        <w:rPr>
          <w:rFonts w:ascii="Aptos" w:hAnsi="Aptos" w:eastAsia="Aptos" w:cs="Aptos"/>
          <w:b w:val="1"/>
          <w:bCs w:val="1"/>
          <w:noProof w:val="0"/>
          <w:color w:val="000000" w:themeColor="text1" w:themeTint="FF" w:themeShade="FF"/>
          <w:sz w:val="36"/>
          <w:szCs w:val="36"/>
          <w:lang w:val="en-GB"/>
        </w:rPr>
      </w:pPr>
      <w:r w:rsidRPr="777AA44C" w:rsidR="6F88367E">
        <w:rPr>
          <w:rFonts w:ascii="Aptos" w:hAnsi="Aptos" w:eastAsia="Aptos" w:cs="Aptos"/>
          <w:b w:val="1"/>
          <w:bCs w:val="1"/>
          <w:noProof w:val="0"/>
          <w:color w:val="000000" w:themeColor="text1" w:themeTint="FF" w:themeShade="FF"/>
          <w:sz w:val="36"/>
          <w:szCs w:val="36"/>
          <w:lang w:val="en-GB"/>
        </w:rPr>
        <w:t>Conclusion</w:t>
      </w:r>
    </w:p>
    <w:p w:rsidR="7A5395FA" w:rsidP="74B24D56" w:rsidRDefault="7A5395FA" w14:paraId="4A7DB994" w14:textId="473F2688">
      <w:pPr>
        <w:pStyle w:val="Normal"/>
        <w:spacing w:before="240" w:beforeAutospacing="off" w:after="240" w:afterAutospacing="off"/>
        <w:rPr>
          <w:rFonts w:ascii="Aptos" w:hAnsi="Aptos" w:eastAsia="Aptos" w:cs="Aptos"/>
          <w:noProof w:val="0"/>
          <w:sz w:val="22"/>
          <w:szCs w:val="22"/>
          <w:lang w:val="en-GB"/>
        </w:rPr>
      </w:pPr>
      <w:r w:rsidRPr="74B24D56" w:rsidR="787FC1E5">
        <w:rPr>
          <w:rFonts w:ascii="Aptos" w:hAnsi="Aptos" w:eastAsia="Aptos" w:cs="Aptos"/>
          <w:noProof w:val="0"/>
          <w:sz w:val="22"/>
          <w:szCs w:val="22"/>
          <w:lang w:val="en-GB"/>
        </w:rPr>
        <w:t>The COVID-19 epidemic has put the UK's public health system, societal institutions, and governance frameworks to the ultimate test. It exposed the nation's systemic flaws, such as slow decision-making, poor communication, and disparities in health outcomes, as well as its scientific strengths, such as vaccine research and quick clinical innovation. Early containment and equitable response efforts were hampered by inadequate preparatory planning and uneven policy coordination, despite the UK's global leadership in biomedical research and vaccination implementation.</w:t>
      </w:r>
    </w:p>
    <w:p w:rsidR="1D4CE372" w:rsidP="74B24D56" w:rsidRDefault="1D4CE372" w14:paraId="01977474" w14:textId="6790AFBD">
      <w:pPr>
        <w:pStyle w:val="Normal"/>
        <w:spacing w:before="240" w:beforeAutospacing="off" w:after="240" w:afterAutospacing="off"/>
        <w:rPr>
          <w:rFonts w:ascii="Aptos" w:hAnsi="Aptos" w:eastAsia="Aptos" w:cs="Aptos"/>
          <w:noProof w:val="0"/>
          <w:sz w:val="22"/>
          <w:szCs w:val="22"/>
          <w:lang w:val="en-GB"/>
        </w:rPr>
      </w:pPr>
      <w:r w:rsidRPr="74B24D56" w:rsidR="366C68F6">
        <w:rPr>
          <w:rFonts w:ascii="Aptos" w:hAnsi="Aptos" w:eastAsia="Aptos" w:cs="Aptos"/>
          <w:noProof w:val="0"/>
          <w:sz w:val="22"/>
          <w:szCs w:val="22"/>
          <w:lang w:val="en-GB"/>
        </w:rPr>
        <w:t>Given the circumstances</w:t>
      </w:r>
      <w:r w:rsidRPr="74B24D56" w:rsidR="1BA9CBA4">
        <w:rPr>
          <w:rFonts w:ascii="Aptos" w:hAnsi="Aptos" w:eastAsia="Aptos" w:cs="Aptos"/>
          <w:noProof w:val="0"/>
          <w:sz w:val="22"/>
          <w:szCs w:val="22"/>
          <w:lang w:val="en-GB"/>
        </w:rPr>
        <w:t xml:space="preserve">, the pandemic highlighted the need for integrated approaches that take social, economic, and behavioural factors into account to address public health emergencies. Therefore, ongoing investment in public health infrastructure, open governance, and community trust will be necessary to strengthen resilience for future pandemics. To ensure that the UK is better equipped to handle future health emergencies, long-term changes to health policy, </w:t>
      </w:r>
      <w:r w:rsidRPr="74B24D56" w:rsidR="1BA9CBA4">
        <w:rPr>
          <w:rFonts w:ascii="Aptos" w:hAnsi="Aptos" w:eastAsia="Aptos" w:cs="Aptos"/>
          <w:noProof w:val="0"/>
          <w:sz w:val="22"/>
          <w:szCs w:val="22"/>
          <w:lang w:val="en-GB"/>
        </w:rPr>
        <w:t>monitoring</w:t>
      </w:r>
      <w:r w:rsidRPr="74B24D56" w:rsidR="1BA9CBA4">
        <w:rPr>
          <w:rFonts w:ascii="Aptos" w:hAnsi="Aptos" w:eastAsia="Aptos" w:cs="Aptos"/>
          <w:noProof w:val="0"/>
          <w:sz w:val="22"/>
          <w:szCs w:val="22"/>
          <w:lang w:val="en-GB"/>
        </w:rPr>
        <w:t xml:space="preserve"> systems, and social protection measures must be informed by the lessons learnt during COVID-19.</w:t>
      </w:r>
    </w:p>
    <w:p w:rsidR="51E95A26" w:rsidP="74B24D56" w:rsidRDefault="51E95A26" w14:paraId="6836C813" w14:textId="59764C5F">
      <w:pPr>
        <w:spacing w:before="0" w:beforeAutospacing="off" w:after="0" w:afterAutospacing="off"/>
        <w:rPr>
          <w:sz w:val="22"/>
          <w:szCs w:val="22"/>
        </w:rPr>
      </w:pPr>
    </w:p>
    <w:p w:rsidR="51E95A26" w:rsidP="74B24D56" w:rsidRDefault="51E95A26" w14:paraId="49E8EE76" w14:textId="128C8F0D">
      <w:pPr>
        <w:pStyle w:val="Normal"/>
        <w:spacing w:before="0" w:beforeAutospacing="off" w:after="0" w:afterAutospacing="off"/>
        <w:rPr>
          <w:sz w:val="22"/>
          <w:szCs w:val="22"/>
        </w:rPr>
      </w:pPr>
    </w:p>
    <w:p w:rsidR="777AA44C" w:rsidP="777AA44C" w:rsidRDefault="777AA44C" w14:paraId="76CCAB58" w14:textId="2065773B">
      <w:pPr>
        <w:pStyle w:val="Normal"/>
        <w:spacing w:before="0" w:beforeAutospacing="off" w:after="0" w:afterAutospacing="off"/>
      </w:pPr>
    </w:p>
    <w:p w:rsidR="777AA44C" w:rsidP="777AA44C" w:rsidRDefault="777AA44C" w14:paraId="0569FC65" w14:textId="1344596F">
      <w:pPr>
        <w:pStyle w:val="Normal"/>
        <w:spacing w:before="0" w:beforeAutospacing="off" w:after="0" w:afterAutospacing="off"/>
      </w:pPr>
    </w:p>
    <w:p w:rsidR="777AA44C" w:rsidP="777AA44C" w:rsidRDefault="777AA44C" w14:paraId="1901AAB1" w14:textId="3A9BAFEB">
      <w:pPr>
        <w:pStyle w:val="Normal"/>
        <w:spacing w:before="0" w:beforeAutospacing="off" w:after="0" w:afterAutospacing="off"/>
      </w:pPr>
    </w:p>
    <w:p w:rsidR="777AA44C" w:rsidP="777AA44C" w:rsidRDefault="777AA44C" w14:paraId="06255E48" w14:textId="3362C40E">
      <w:pPr>
        <w:pStyle w:val="Normal"/>
        <w:spacing w:before="0" w:beforeAutospacing="off" w:after="0" w:afterAutospacing="off"/>
      </w:pPr>
    </w:p>
    <w:p w:rsidR="777AA44C" w:rsidP="777AA44C" w:rsidRDefault="777AA44C" w14:paraId="68F1852A" w14:textId="2188BFE4">
      <w:pPr>
        <w:pStyle w:val="Normal"/>
        <w:spacing w:before="0" w:beforeAutospacing="off" w:after="0" w:afterAutospacing="off"/>
      </w:pPr>
    </w:p>
    <w:p w:rsidR="777AA44C" w:rsidP="777AA44C" w:rsidRDefault="777AA44C" w14:paraId="405AFEE4" w14:textId="352B4141">
      <w:pPr>
        <w:pStyle w:val="Normal"/>
        <w:spacing w:before="0" w:beforeAutospacing="off" w:after="0" w:afterAutospacing="off"/>
      </w:pPr>
    </w:p>
    <w:p w:rsidR="777AA44C" w:rsidP="777AA44C" w:rsidRDefault="777AA44C" w14:paraId="5721E0E0" w14:textId="4DAEA92A">
      <w:pPr>
        <w:pStyle w:val="Normal"/>
        <w:spacing w:before="0" w:beforeAutospacing="off" w:after="0" w:afterAutospacing="off"/>
      </w:pPr>
    </w:p>
    <w:p w:rsidR="777AA44C" w:rsidP="777AA44C" w:rsidRDefault="777AA44C" w14:paraId="240B42E7" w14:textId="3DAA1831">
      <w:pPr>
        <w:pStyle w:val="Normal"/>
        <w:spacing w:before="0" w:beforeAutospacing="off" w:after="0" w:afterAutospacing="off"/>
      </w:pPr>
    </w:p>
    <w:p w:rsidR="777AA44C" w:rsidP="777AA44C" w:rsidRDefault="777AA44C" w14:paraId="25E22B38" w14:textId="5FEA21B0">
      <w:pPr>
        <w:pStyle w:val="Normal"/>
        <w:spacing w:before="0" w:beforeAutospacing="off" w:after="0" w:afterAutospacing="off"/>
      </w:pPr>
    </w:p>
    <w:p w:rsidR="777AA44C" w:rsidP="777AA44C" w:rsidRDefault="777AA44C" w14:paraId="44633CA3" w14:textId="1315D715">
      <w:pPr>
        <w:pStyle w:val="Normal"/>
        <w:spacing w:before="0" w:beforeAutospacing="off" w:after="0" w:afterAutospacing="off"/>
      </w:pPr>
    </w:p>
    <w:p w:rsidR="777AA44C" w:rsidP="777AA44C" w:rsidRDefault="777AA44C" w14:paraId="1636BF29" w14:textId="73D15DC3">
      <w:pPr>
        <w:pStyle w:val="Normal"/>
        <w:spacing w:before="0" w:beforeAutospacing="off" w:after="0" w:afterAutospacing="off"/>
      </w:pPr>
    </w:p>
    <w:p w:rsidR="777AA44C" w:rsidP="777AA44C" w:rsidRDefault="777AA44C" w14:paraId="4B940B0A" w14:textId="0B7B7D0D">
      <w:pPr>
        <w:pStyle w:val="Normal"/>
        <w:spacing w:before="0" w:beforeAutospacing="off" w:after="0" w:afterAutospacing="off"/>
      </w:pPr>
    </w:p>
    <w:p w:rsidR="777AA44C" w:rsidP="777AA44C" w:rsidRDefault="777AA44C" w14:paraId="33BD1590" w14:textId="1B7A39E5">
      <w:pPr>
        <w:pStyle w:val="Normal"/>
        <w:spacing w:before="0" w:beforeAutospacing="off" w:after="0" w:afterAutospacing="off"/>
      </w:pPr>
    </w:p>
    <w:p w:rsidR="777AA44C" w:rsidP="777AA44C" w:rsidRDefault="777AA44C" w14:paraId="7D658D61" w14:textId="178C1B76">
      <w:pPr>
        <w:pStyle w:val="Normal"/>
        <w:spacing w:before="0" w:beforeAutospacing="off" w:after="0" w:afterAutospacing="off"/>
      </w:pPr>
    </w:p>
    <w:p w:rsidR="51E95A26" w:rsidP="51E95A26" w:rsidRDefault="51E95A26" w14:paraId="5A9C0CD2" w14:textId="2F625A87">
      <w:pPr>
        <w:spacing w:before="240" w:beforeAutospacing="off" w:after="240" w:afterAutospacing="off"/>
      </w:pPr>
    </w:p>
    <w:p w:rsidR="74B24D56" w:rsidP="74B24D56" w:rsidRDefault="74B24D56" w14:paraId="51E5D146" w14:textId="017553F2">
      <w:pPr>
        <w:spacing w:before="240" w:beforeAutospacing="off" w:after="240" w:afterAutospacing="off"/>
        <w:rPr>
          <w:rFonts w:ascii="Aptos" w:hAnsi="Aptos" w:eastAsia="Aptos" w:cs="Aptos"/>
          <w:b w:val="1"/>
          <w:bCs w:val="1"/>
          <w:noProof w:val="0"/>
          <w:sz w:val="36"/>
          <w:szCs w:val="36"/>
          <w:lang w:val="en-GB"/>
        </w:rPr>
      </w:pPr>
    </w:p>
    <w:p w:rsidR="74B24D56" w:rsidP="74B24D56" w:rsidRDefault="74B24D56" w14:paraId="00B384F9" w14:textId="7BE69F2B">
      <w:pPr>
        <w:spacing w:before="240" w:beforeAutospacing="off" w:after="240" w:afterAutospacing="off"/>
        <w:rPr>
          <w:rFonts w:ascii="Aptos" w:hAnsi="Aptos" w:eastAsia="Aptos" w:cs="Aptos"/>
          <w:b w:val="1"/>
          <w:bCs w:val="1"/>
          <w:noProof w:val="0"/>
          <w:sz w:val="36"/>
          <w:szCs w:val="36"/>
          <w:lang w:val="en-GB"/>
        </w:rPr>
      </w:pPr>
    </w:p>
    <w:p w:rsidR="51E95A26" w:rsidP="777AA44C" w:rsidRDefault="51E95A26" w14:paraId="39C358E8" w14:textId="6803F861">
      <w:pPr>
        <w:spacing w:before="240" w:beforeAutospacing="off" w:after="240" w:afterAutospacing="off"/>
        <w:rPr>
          <w:rFonts w:ascii="Aptos" w:hAnsi="Aptos" w:eastAsia="Aptos" w:cs="Aptos"/>
          <w:b w:val="1"/>
          <w:bCs w:val="1"/>
          <w:noProof w:val="0"/>
          <w:sz w:val="36"/>
          <w:szCs w:val="36"/>
          <w:lang w:val="en-GB"/>
        </w:rPr>
      </w:pPr>
      <w:r w:rsidRPr="777AA44C" w:rsidR="7816C3EF">
        <w:rPr>
          <w:rFonts w:ascii="Aptos" w:hAnsi="Aptos" w:eastAsia="Aptos" w:cs="Aptos"/>
          <w:b w:val="1"/>
          <w:bCs w:val="1"/>
          <w:noProof w:val="0"/>
          <w:sz w:val="36"/>
          <w:szCs w:val="36"/>
          <w:lang w:val="en-GB"/>
        </w:rPr>
        <w:t>References</w:t>
      </w:r>
    </w:p>
    <w:p w:rsidR="51E95A26" w:rsidP="74B24D56" w:rsidRDefault="51E95A26" w14:paraId="1AEDE7E3" w14:textId="43328DA1">
      <w:pPr>
        <w:spacing w:before="240" w:beforeAutospacing="off" w:after="240" w:afterAutospacing="off"/>
        <w:rPr>
          <w:rFonts w:ascii="Aptos" w:hAnsi="Aptos" w:eastAsia="Aptos" w:cs="Aptos"/>
          <w:noProof w:val="0"/>
          <w:sz w:val="22"/>
          <w:szCs w:val="22"/>
          <w:lang w:val="en-GB"/>
        </w:rPr>
      </w:pPr>
      <w:r w:rsidRPr="74B24D56" w:rsidR="305CEB6E">
        <w:rPr>
          <w:rFonts w:ascii="Aptos" w:hAnsi="Aptos" w:eastAsia="Aptos" w:cs="Aptos"/>
          <w:noProof w:val="0"/>
          <w:sz w:val="22"/>
          <w:szCs w:val="22"/>
          <w:lang w:val="en-GB"/>
        </w:rPr>
        <w:t xml:space="preserve"> Aughterson, H., McKinlay, A. R., Fancourt, D., &amp; Burton, A. (2021). </w:t>
      </w:r>
      <w:r w:rsidRPr="74B24D56" w:rsidR="305CEB6E">
        <w:rPr>
          <w:rFonts w:ascii="Aptos" w:hAnsi="Aptos" w:eastAsia="Aptos" w:cs="Aptos"/>
          <w:i w:val="1"/>
          <w:iCs w:val="1"/>
          <w:noProof w:val="0"/>
          <w:sz w:val="22"/>
          <w:szCs w:val="22"/>
          <w:lang w:val="en-GB"/>
        </w:rPr>
        <w:t>Psychosocial impact on frontline health and social care professionals in the UK</w:t>
      </w:r>
      <w:r w:rsidRPr="74B24D56" w:rsidR="305CEB6E">
        <w:rPr>
          <w:rFonts w:ascii="Aptos" w:hAnsi="Aptos" w:eastAsia="Aptos" w:cs="Aptos"/>
          <w:noProof w:val="0"/>
          <w:sz w:val="22"/>
          <w:szCs w:val="22"/>
          <w:lang w:val="en-GB"/>
        </w:rPr>
        <w:t>. BMJ Open, 11(2), e047353. (</w:t>
      </w:r>
      <w:hyperlink r:id="R9f16be58fa6d4305">
        <w:r w:rsidRPr="74B24D56" w:rsidR="305CEB6E">
          <w:rPr>
            <w:rStyle w:val="Hyperlink"/>
            <w:rFonts w:ascii="Aptos" w:hAnsi="Aptos" w:eastAsia="Aptos" w:cs="Aptos"/>
            <w:noProof w:val="0"/>
            <w:sz w:val="22"/>
            <w:szCs w:val="22"/>
            <w:lang w:val="en-GB"/>
          </w:rPr>
          <w:t>BMJ Open</w:t>
        </w:r>
      </w:hyperlink>
      <w:r w:rsidRPr="74B24D56" w:rsidR="305CEB6E">
        <w:rPr>
          <w:rFonts w:ascii="Aptos" w:hAnsi="Aptos" w:eastAsia="Aptos" w:cs="Aptos"/>
          <w:noProof w:val="0"/>
          <w:sz w:val="22"/>
          <w:szCs w:val="22"/>
          <w:lang w:val="en-GB"/>
        </w:rPr>
        <w:t>)</w:t>
      </w:r>
    </w:p>
    <w:p w:rsidR="51E95A26" w:rsidP="74B24D56" w:rsidRDefault="51E95A26" w14:paraId="3E9EEB76" w14:textId="677E12E4">
      <w:pPr>
        <w:spacing w:before="240" w:beforeAutospacing="off" w:after="240" w:afterAutospacing="off"/>
        <w:rPr>
          <w:rFonts w:ascii="Aptos" w:hAnsi="Aptos" w:eastAsia="Aptos" w:cs="Aptos"/>
          <w:noProof w:val="0"/>
          <w:sz w:val="22"/>
          <w:szCs w:val="22"/>
          <w:lang w:val="en-GB"/>
        </w:rPr>
      </w:pPr>
      <w:r w:rsidRPr="74B24D56" w:rsidR="305CEB6E">
        <w:rPr>
          <w:rFonts w:ascii="Aptos" w:hAnsi="Aptos" w:eastAsia="Aptos" w:cs="Aptos"/>
          <w:noProof w:val="0"/>
          <w:sz w:val="22"/>
          <w:szCs w:val="22"/>
          <w:lang w:val="en-GB"/>
        </w:rPr>
        <w:t xml:space="preserve"> Jones, K., et al. (2022). </w:t>
      </w:r>
      <w:r w:rsidRPr="74B24D56" w:rsidR="305CEB6E">
        <w:rPr>
          <w:rFonts w:ascii="Aptos" w:hAnsi="Aptos" w:eastAsia="Aptos" w:cs="Aptos"/>
          <w:i w:val="1"/>
          <w:iCs w:val="1"/>
          <w:noProof w:val="0"/>
          <w:sz w:val="22"/>
          <w:szCs w:val="22"/>
          <w:lang w:val="en-GB"/>
        </w:rPr>
        <w:t>The implications of COVID-19 on health and social care personnel’s experiences in long-term care settings: A scoping review</w:t>
      </w:r>
      <w:r w:rsidRPr="74B24D56" w:rsidR="305CEB6E">
        <w:rPr>
          <w:rFonts w:ascii="Aptos" w:hAnsi="Aptos" w:eastAsia="Aptos" w:cs="Aptos"/>
          <w:noProof w:val="0"/>
          <w:sz w:val="22"/>
          <w:szCs w:val="22"/>
          <w:lang w:val="en-GB"/>
        </w:rPr>
        <w:t>. Health &amp; Social Care in the Community. (</w:t>
      </w:r>
      <w:hyperlink r:id="R446355032ea54e79">
        <w:r w:rsidRPr="74B24D56" w:rsidR="305CEB6E">
          <w:rPr>
            <w:rStyle w:val="Hyperlink"/>
            <w:rFonts w:ascii="Aptos" w:hAnsi="Aptos" w:eastAsia="Aptos" w:cs="Aptos"/>
            <w:noProof w:val="0"/>
            <w:sz w:val="22"/>
            <w:szCs w:val="22"/>
            <w:lang w:val="en-GB"/>
          </w:rPr>
          <w:t>PMC</w:t>
        </w:r>
      </w:hyperlink>
      <w:r w:rsidRPr="74B24D56" w:rsidR="305CEB6E">
        <w:rPr>
          <w:rFonts w:ascii="Aptos" w:hAnsi="Aptos" w:eastAsia="Aptos" w:cs="Aptos"/>
          <w:noProof w:val="0"/>
          <w:sz w:val="22"/>
          <w:szCs w:val="22"/>
          <w:lang w:val="en-GB"/>
        </w:rPr>
        <w:t>)</w:t>
      </w:r>
    </w:p>
    <w:p w:rsidR="51E95A26" w:rsidP="74B24D56" w:rsidRDefault="51E95A26" w14:paraId="2329A12F" w14:textId="362D5BBC">
      <w:pPr>
        <w:spacing w:before="240" w:beforeAutospacing="off" w:after="240" w:afterAutospacing="off"/>
        <w:rPr>
          <w:rFonts w:ascii="Aptos" w:hAnsi="Aptos" w:eastAsia="Aptos" w:cs="Aptos"/>
          <w:noProof w:val="0"/>
          <w:sz w:val="22"/>
          <w:szCs w:val="22"/>
          <w:lang w:val="en-GB"/>
        </w:rPr>
      </w:pPr>
      <w:r w:rsidRPr="74B24D56" w:rsidR="305CEB6E">
        <w:rPr>
          <w:rFonts w:ascii="Aptos" w:hAnsi="Aptos" w:eastAsia="Aptos" w:cs="Aptos"/>
          <w:noProof w:val="0"/>
          <w:sz w:val="22"/>
          <w:szCs w:val="22"/>
          <w:lang w:val="en-GB"/>
        </w:rPr>
        <w:t xml:space="preserve"> Owens, J. (2024). </w:t>
      </w:r>
      <w:r w:rsidRPr="74B24D56" w:rsidR="305CEB6E">
        <w:rPr>
          <w:rFonts w:ascii="Aptos" w:hAnsi="Aptos" w:eastAsia="Aptos" w:cs="Aptos"/>
          <w:i w:val="1"/>
          <w:iCs w:val="1"/>
          <w:noProof w:val="0"/>
          <w:sz w:val="22"/>
          <w:szCs w:val="22"/>
          <w:lang w:val="en-GB"/>
        </w:rPr>
        <w:t>Impact of COVID-19 on social care and social work in the UK</w:t>
      </w:r>
      <w:r w:rsidRPr="74B24D56" w:rsidR="305CEB6E">
        <w:rPr>
          <w:rFonts w:ascii="Aptos" w:hAnsi="Aptos" w:eastAsia="Aptos" w:cs="Aptos"/>
          <w:noProof w:val="0"/>
          <w:sz w:val="22"/>
          <w:szCs w:val="22"/>
          <w:lang w:val="en-GB"/>
        </w:rPr>
        <w:t>. British Journal of Social Work, 54(3), 885–… (</w:t>
      </w:r>
      <w:hyperlink r:id="R5df8e2c808524ec3">
        <w:r w:rsidRPr="74B24D56" w:rsidR="305CEB6E">
          <w:rPr>
            <w:rStyle w:val="Hyperlink"/>
            <w:rFonts w:ascii="Aptos" w:hAnsi="Aptos" w:eastAsia="Aptos" w:cs="Aptos"/>
            <w:noProof w:val="0"/>
            <w:sz w:val="22"/>
            <w:szCs w:val="22"/>
            <w:lang w:val="en-GB"/>
          </w:rPr>
          <w:t>OUP Academic</w:t>
        </w:r>
      </w:hyperlink>
      <w:r w:rsidRPr="74B24D56" w:rsidR="305CEB6E">
        <w:rPr>
          <w:rFonts w:ascii="Aptos" w:hAnsi="Aptos" w:eastAsia="Aptos" w:cs="Aptos"/>
          <w:noProof w:val="0"/>
          <w:sz w:val="22"/>
          <w:szCs w:val="22"/>
          <w:lang w:val="en-GB"/>
        </w:rPr>
        <w:t>)</w:t>
      </w:r>
    </w:p>
    <w:p w:rsidR="51E95A26" w:rsidP="74B24D56" w:rsidRDefault="51E95A26" w14:paraId="6F8E6CE4" w14:textId="7F6D66DE">
      <w:pPr>
        <w:spacing w:before="240" w:beforeAutospacing="off" w:after="240" w:afterAutospacing="off"/>
        <w:rPr>
          <w:rFonts w:ascii="Aptos" w:hAnsi="Aptos" w:eastAsia="Aptos" w:cs="Aptos"/>
          <w:noProof w:val="0"/>
          <w:sz w:val="22"/>
          <w:szCs w:val="22"/>
          <w:lang w:val="en-GB"/>
        </w:rPr>
      </w:pPr>
      <w:r w:rsidRPr="74B24D56" w:rsidR="305CEB6E">
        <w:rPr>
          <w:rFonts w:ascii="Aptos" w:hAnsi="Aptos" w:eastAsia="Aptos" w:cs="Aptos"/>
          <w:noProof w:val="0"/>
          <w:sz w:val="22"/>
          <w:szCs w:val="22"/>
          <w:lang w:val="en-GB"/>
        </w:rPr>
        <w:t xml:space="preserve"> Bottery, S. (2020, August 25). </w:t>
      </w:r>
      <w:r w:rsidRPr="74B24D56" w:rsidR="305CEB6E">
        <w:rPr>
          <w:rFonts w:ascii="Aptos" w:hAnsi="Aptos" w:eastAsia="Aptos" w:cs="Aptos"/>
          <w:i w:val="1"/>
          <w:iCs w:val="1"/>
          <w:noProof w:val="0"/>
          <w:sz w:val="22"/>
          <w:szCs w:val="22"/>
          <w:lang w:val="en-GB"/>
        </w:rPr>
        <w:t>How COVID-19 has magnified some of social care’s key problems</w:t>
      </w:r>
      <w:r w:rsidRPr="74B24D56" w:rsidR="305CEB6E">
        <w:rPr>
          <w:rFonts w:ascii="Aptos" w:hAnsi="Aptos" w:eastAsia="Aptos" w:cs="Aptos"/>
          <w:noProof w:val="0"/>
          <w:sz w:val="22"/>
          <w:szCs w:val="22"/>
          <w:lang w:val="en-GB"/>
        </w:rPr>
        <w:t>. The King’s Fund. (</w:t>
      </w:r>
      <w:hyperlink r:id="R04bcabd9921746b5">
        <w:r w:rsidRPr="74B24D56" w:rsidR="305CEB6E">
          <w:rPr>
            <w:rStyle w:val="Hyperlink"/>
            <w:rFonts w:ascii="Aptos" w:hAnsi="Aptos" w:eastAsia="Aptos" w:cs="Aptos"/>
            <w:noProof w:val="0"/>
            <w:sz w:val="22"/>
            <w:szCs w:val="22"/>
            <w:lang w:val="en-GB"/>
          </w:rPr>
          <w:t>The King's Fund</w:t>
        </w:r>
      </w:hyperlink>
      <w:r w:rsidRPr="74B24D56" w:rsidR="305CEB6E">
        <w:rPr>
          <w:rFonts w:ascii="Aptos" w:hAnsi="Aptos" w:eastAsia="Aptos" w:cs="Aptos"/>
          <w:noProof w:val="0"/>
          <w:sz w:val="22"/>
          <w:szCs w:val="22"/>
          <w:lang w:val="en-GB"/>
        </w:rPr>
        <w:t>)</w:t>
      </w:r>
    </w:p>
    <w:p w:rsidR="51E95A26" w:rsidP="74B24D56" w:rsidRDefault="51E95A26" w14:paraId="42E40B8D" w14:textId="103E53CE">
      <w:pPr>
        <w:spacing w:before="240" w:beforeAutospacing="off" w:after="240" w:afterAutospacing="off"/>
        <w:rPr>
          <w:rFonts w:ascii="Aptos" w:hAnsi="Aptos" w:eastAsia="Aptos" w:cs="Aptos"/>
          <w:noProof w:val="0"/>
          <w:sz w:val="22"/>
          <w:szCs w:val="22"/>
          <w:lang w:val="en-GB"/>
        </w:rPr>
      </w:pPr>
      <w:r w:rsidRPr="74B24D56" w:rsidR="305CEB6E">
        <w:rPr>
          <w:rFonts w:ascii="Aptos" w:hAnsi="Aptos" w:eastAsia="Aptos" w:cs="Aptos"/>
          <w:noProof w:val="0"/>
          <w:sz w:val="22"/>
          <w:szCs w:val="22"/>
          <w:lang w:val="en-GB"/>
        </w:rPr>
        <w:t xml:space="preserve"> British Medical Association. (2024). </w:t>
      </w:r>
      <w:r w:rsidRPr="74B24D56" w:rsidR="305CEB6E">
        <w:rPr>
          <w:rFonts w:ascii="Aptos" w:hAnsi="Aptos" w:eastAsia="Aptos" w:cs="Aptos"/>
          <w:i w:val="1"/>
          <w:iCs w:val="1"/>
          <w:noProof w:val="0"/>
          <w:sz w:val="22"/>
          <w:szCs w:val="22"/>
          <w:lang w:val="en-GB"/>
        </w:rPr>
        <w:t>COVID-19: Impact of the pandemic on healthcare delivery</w:t>
      </w:r>
      <w:r w:rsidRPr="74B24D56" w:rsidR="305CEB6E">
        <w:rPr>
          <w:rFonts w:ascii="Aptos" w:hAnsi="Aptos" w:eastAsia="Aptos" w:cs="Aptos"/>
          <w:noProof w:val="0"/>
          <w:sz w:val="22"/>
          <w:szCs w:val="22"/>
          <w:lang w:val="en-GB"/>
        </w:rPr>
        <w:t>. BMA. (</w:t>
      </w:r>
      <w:hyperlink r:id="R00b88614dc814e72">
        <w:r w:rsidRPr="74B24D56" w:rsidR="305CEB6E">
          <w:rPr>
            <w:rStyle w:val="Hyperlink"/>
            <w:rFonts w:ascii="Aptos" w:hAnsi="Aptos" w:eastAsia="Aptos" w:cs="Aptos"/>
            <w:noProof w:val="0"/>
            <w:sz w:val="22"/>
            <w:szCs w:val="22"/>
            <w:lang w:val="en-GB"/>
          </w:rPr>
          <w:t>BMA</w:t>
        </w:r>
      </w:hyperlink>
      <w:r w:rsidRPr="74B24D56" w:rsidR="305CEB6E">
        <w:rPr>
          <w:rFonts w:ascii="Aptos" w:hAnsi="Aptos" w:eastAsia="Aptos" w:cs="Aptos"/>
          <w:noProof w:val="0"/>
          <w:sz w:val="22"/>
          <w:szCs w:val="22"/>
          <w:lang w:val="en-GB"/>
        </w:rPr>
        <w:t>)</w:t>
      </w:r>
    </w:p>
    <w:p w:rsidR="51E95A26" w:rsidP="74B24D56" w:rsidRDefault="51E95A26" w14:paraId="515397D4" w14:textId="61BA6121">
      <w:pPr>
        <w:spacing w:before="240" w:beforeAutospacing="off" w:after="240" w:afterAutospacing="off"/>
        <w:rPr>
          <w:rFonts w:ascii="Aptos" w:hAnsi="Aptos" w:eastAsia="Aptos" w:cs="Aptos"/>
          <w:noProof w:val="0"/>
          <w:sz w:val="22"/>
          <w:szCs w:val="22"/>
          <w:lang w:val="en-GB"/>
        </w:rPr>
      </w:pPr>
      <w:r w:rsidRPr="74B24D56" w:rsidR="305CEB6E">
        <w:rPr>
          <w:rFonts w:ascii="Aptos" w:hAnsi="Aptos" w:eastAsia="Aptos" w:cs="Aptos"/>
          <w:noProof w:val="0"/>
          <w:sz w:val="22"/>
          <w:szCs w:val="22"/>
          <w:lang w:val="en-GB"/>
        </w:rPr>
        <w:t xml:space="preserve"> Department for Education. (2022). </w:t>
      </w:r>
      <w:r w:rsidRPr="74B24D56" w:rsidR="305CEB6E">
        <w:rPr>
          <w:rFonts w:ascii="Aptos" w:hAnsi="Aptos" w:eastAsia="Aptos" w:cs="Aptos"/>
          <w:i w:val="1"/>
          <w:iCs w:val="1"/>
          <w:noProof w:val="0"/>
          <w:sz w:val="22"/>
          <w:szCs w:val="22"/>
          <w:lang w:val="en-GB"/>
        </w:rPr>
        <w:t>Children’s social care 2022: recovering from the COVID-19 pandemic</w:t>
      </w:r>
      <w:r w:rsidRPr="74B24D56" w:rsidR="305CEB6E">
        <w:rPr>
          <w:rFonts w:ascii="Aptos" w:hAnsi="Aptos" w:eastAsia="Aptos" w:cs="Aptos"/>
          <w:noProof w:val="0"/>
          <w:sz w:val="22"/>
          <w:szCs w:val="22"/>
          <w:lang w:val="en-GB"/>
        </w:rPr>
        <w:t>. GOV.UK. (</w:t>
      </w:r>
      <w:hyperlink r:id="Rdf98589b62fb4cc5">
        <w:r w:rsidRPr="74B24D56" w:rsidR="305CEB6E">
          <w:rPr>
            <w:rStyle w:val="Hyperlink"/>
            <w:rFonts w:ascii="Aptos" w:hAnsi="Aptos" w:eastAsia="Aptos" w:cs="Aptos"/>
            <w:noProof w:val="0"/>
            <w:sz w:val="22"/>
            <w:szCs w:val="22"/>
            <w:lang w:val="en-GB"/>
          </w:rPr>
          <w:t>GOV.UK</w:t>
        </w:r>
      </w:hyperlink>
      <w:r w:rsidRPr="74B24D56" w:rsidR="305CEB6E">
        <w:rPr>
          <w:rFonts w:ascii="Aptos" w:hAnsi="Aptos" w:eastAsia="Aptos" w:cs="Aptos"/>
          <w:noProof w:val="0"/>
          <w:sz w:val="22"/>
          <w:szCs w:val="22"/>
          <w:lang w:val="en-GB"/>
        </w:rPr>
        <w:t>)</w:t>
      </w:r>
    </w:p>
    <w:p w:rsidR="558DEFD5" w:rsidP="777AA44C" w:rsidRDefault="558DEFD5" w14:paraId="177025F3" w14:textId="0C8F1665">
      <w:pPr>
        <w:pStyle w:val="Normal"/>
        <w:spacing w:before="240" w:beforeAutospacing="off" w:after="240" w:afterAutospacing="off"/>
        <w:ind/>
        <w:rPr>
          <w:rFonts w:ascii="Aptos" w:hAnsi="Aptos" w:eastAsia="Aptos" w:cs="Aptos"/>
          <w:noProof w:val="0"/>
          <w:sz w:val="22"/>
          <w:szCs w:val="22"/>
          <w:lang w:val="en-GB"/>
        </w:rPr>
      </w:pPr>
      <w:r w:rsidRPr="777AA44C" w:rsidR="2220F7A6">
        <w:rPr>
          <w:rFonts w:ascii="Aptos" w:hAnsi="Aptos" w:eastAsia="Aptos" w:cs="Aptos"/>
          <w:noProof w:val="0"/>
          <w:sz w:val="22"/>
          <w:szCs w:val="22"/>
          <w:lang w:val="en-GB"/>
        </w:rPr>
        <w:t xml:space="preserve">UK Government, “Coronavirus (COVID‑19): guidance”, GOV.UK. </w:t>
      </w:r>
      <w:hyperlink r:id="R8655a3e6998340ce">
        <w:r w:rsidRPr="777AA44C" w:rsidR="2220F7A6">
          <w:rPr>
            <w:rStyle w:val="Hyperlink"/>
            <w:rFonts w:ascii="Aptos" w:hAnsi="Aptos" w:eastAsia="Aptos" w:cs="Aptos"/>
            <w:noProof w:val="0"/>
            <w:sz w:val="22"/>
            <w:szCs w:val="22"/>
            <w:lang w:val="en-GB"/>
          </w:rPr>
          <w:t>GOV.UK</w:t>
        </w:r>
      </w:hyperlink>
    </w:p>
    <w:p w:rsidR="558DEFD5" w:rsidP="51E95A26" w:rsidRDefault="558DEFD5" w14:paraId="2E97D29D" w14:textId="58ABF733">
      <w:pPr>
        <w:pStyle w:val="Normal"/>
        <w:spacing w:before="240" w:beforeAutospacing="off" w:after="240" w:afterAutospacing="off"/>
        <w:ind w:left="0"/>
        <w:rPr>
          <w:rFonts w:ascii="Aptos" w:hAnsi="Aptos" w:eastAsia="Aptos" w:cs="Aptos"/>
          <w:noProof w:val="0"/>
          <w:sz w:val="22"/>
          <w:szCs w:val="22"/>
          <w:lang w:val="en-GB"/>
        </w:rPr>
      </w:pPr>
      <w:r w:rsidRPr="51E95A26" w:rsidR="2220F7A6">
        <w:rPr>
          <w:rFonts w:ascii="Aptos" w:hAnsi="Aptos" w:eastAsia="Aptos" w:cs="Aptos"/>
          <w:noProof w:val="0"/>
          <w:sz w:val="22"/>
          <w:szCs w:val="22"/>
          <w:lang w:val="en-GB"/>
        </w:rPr>
        <w:t xml:space="preserve">UK Government, “New guidance sets out how to live safely with COVID‑19”, 1 April 2022. </w:t>
      </w:r>
      <w:hyperlink r:id="R23c28321a3314098">
        <w:r w:rsidRPr="51E95A26" w:rsidR="2220F7A6">
          <w:rPr>
            <w:rStyle w:val="Hyperlink"/>
            <w:rFonts w:ascii="Aptos" w:hAnsi="Aptos" w:eastAsia="Aptos" w:cs="Aptos"/>
            <w:noProof w:val="0"/>
            <w:sz w:val="22"/>
            <w:szCs w:val="22"/>
            <w:lang w:val="en-GB"/>
          </w:rPr>
          <w:t>GOV.UK</w:t>
        </w:r>
      </w:hyperlink>
    </w:p>
    <w:p w:rsidR="558DEFD5" w:rsidP="51E95A26" w:rsidRDefault="558DEFD5" w14:paraId="59CDDF69" w14:textId="2F48B9F2">
      <w:pPr>
        <w:pStyle w:val="Normal"/>
        <w:spacing w:before="240" w:beforeAutospacing="off" w:after="240" w:afterAutospacing="off"/>
        <w:ind w:left="0"/>
        <w:rPr>
          <w:rFonts w:ascii="Aptos" w:hAnsi="Aptos" w:eastAsia="Aptos" w:cs="Aptos"/>
          <w:noProof w:val="0"/>
          <w:sz w:val="22"/>
          <w:szCs w:val="22"/>
          <w:lang w:val="en-GB"/>
        </w:rPr>
      </w:pPr>
      <w:r w:rsidRPr="51E95A26" w:rsidR="2220F7A6">
        <w:rPr>
          <w:rFonts w:ascii="Aptos" w:hAnsi="Aptos" w:eastAsia="Aptos" w:cs="Aptos"/>
          <w:noProof w:val="0"/>
          <w:sz w:val="22"/>
          <w:szCs w:val="22"/>
          <w:lang w:val="en-GB"/>
        </w:rPr>
        <w:t xml:space="preserve">House of Commons Library, “Living with COVID‑19”, Briefing Paper CBP 9474. </w:t>
      </w:r>
      <w:hyperlink r:id="Ra29b67291932417f">
        <w:r w:rsidRPr="51E95A26" w:rsidR="2220F7A6">
          <w:rPr>
            <w:rStyle w:val="Hyperlink"/>
            <w:rFonts w:ascii="Aptos" w:hAnsi="Aptos" w:eastAsia="Aptos" w:cs="Aptos"/>
            <w:noProof w:val="0"/>
            <w:sz w:val="22"/>
            <w:szCs w:val="22"/>
            <w:lang w:val="en-GB"/>
          </w:rPr>
          <w:t>House of Commons Library</w:t>
        </w:r>
      </w:hyperlink>
    </w:p>
    <w:p w:rsidR="558DEFD5" w:rsidP="51E95A26" w:rsidRDefault="558DEFD5" w14:paraId="0F577BDF" w14:textId="7BD45C6F">
      <w:pPr>
        <w:pStyle w:val="Normal"/>
        <w:spacing w:before="240" w:beforeAutospacing="off" w:after="240" w:afterAutospacing="off"/>
        <w:ind w:left="0"/>
        <w:rPr>
          <w:rFonts w:ascii="Aptos" w:hAnsi="Aptos" w:eastAsia="Aptos" w:cs="Aptos"/>
          <w:noProof w:val="0"/>
          <w:sz w:val="22"/>
          <w:szCs w:val="22"/>
          <w:lang w:val="en-GB"/>
        </w:rPr>
      </w:pPr>
      <w:r w:rsidRPr="51E95A26" w:rsidR="2220F7A6">
        <w:rPr>
          <w:rFonts w:ascii="Aptos" w:hAnsi="Aptos" w:eastAsia="Aptos" w:cs="Aptos"/>
          <w:noProof w:val="0"/>
          <w:sz w:val="22"/>
          <w:szCs w:val="22"/>
          <w:lang w:val="en-GB"/>
        </w:rPr>
        <w:t xml:space="preserve">Legislation.gov.uk, “Coronavirus Act 2020 (c. 7): Explanatory Notes”. </w:t>
      </w:r>
      <w:hyperlink r:id="R62520411f09c496a">
        <w:r w:rsidRPr="51E95A26" w:rsidR="2220F7A6">
          <w:rPr>
            <w:rStyle w:val="Hyperlink"/>
            <w:rFonts w:ascii="Aptos" w:hAnsi="Aptos" w:eastAsia="Aptos" w:cs="Aptos"/>
            <w:noProof w:val="0"/>
            <w:sz w:val="22"/>
            <w:szCs w:val="22"/>
            <w:lang w:val="en-GB"/>
          </w:rPr>
          <w:t>Legislation.gov.uk</w:t>
        </w:r>
      </w:hyperlink>
    </w:p>
    <w:p w:rsidR="3163B744" w:rsidP="51E95A26" w:rsidRDefault="3163B744" w14:paraId="67078F9C" w14:textId="7575E762">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bookmarkStart w:name="_Int_yv1PlJcO" w:id="1592556280"/>
      <w:r w:rsidRPr="51E95A26" w:rsidR="3A314313">
        <w:rPr>
          <w:rFonts w:ascii="Aptos" w:hAnsi="Aptos" w:eastAsia="Aptos" w:cs="Aptos"/>
          <w:i w:val="1"/>
          <w:iCs w:val="1"/>
          <w:noProof w:val="0"/>
          <w:sz w:val="24"/>
          <w:szCs w:val="24"/>
          <w:lang w:val="en-GB"/>
        </w:rPr>
        <w:t>response</w:t>
      </w:r>
      <w:r w:rsidRPr="51E95A26" w:rsidR="6F1420C0">
        <w:rPr>
          <w:rFonts w:ascii="Aptos" w:hAnsi="Aptos" w:eastAsia="Aptos" w:cs="Aptos"/>
          <w:i w:val="1"/>
          <w:iCs w:val="1"/>
          <w:noProof w:val="0"/>
          <w:sz w:val="24"/>
          <w:szCs w:val="24"/>
          <w:lang w:val="en-GB"/>
        </w:rPr>
        <w:t xml:space="preserve"> Plan to End the Global COVID-19 Emergency in 2022</w:t>
      </w:r>
      <w:r w:rsidRPr="51E95A26" w:rsidR="6F1420C0">
        <w:rPr>
          <w:rFonts w:ascii="Aptos" w:hAnsi="Aptos" w:eastAsia="Aptos" w:cs="Aptos"/>
          <w:noProof w:val="0"/>
          <w:sz w:val="24"/>
          <w:szCs w:val="24"/>
          <w:lang w:val="en-GB"/>
        </w:rPr>
        <w:t xml:space="preserve"> (SPRP 2022).</w:t>
      </w:r>
      <w:bookmarkEnd w:id="1592556280"/>
      <w:r w:rsidRPr="51E95A26" w:rsidR="6F1420C0">
        <w:rPr>
          <w:rFonts w:ascii="Aptos" w:hAnsi="Aptos" w:eastAsia="Aptos" w:cs="Aptos"/>
          <w:noProof w:val="0"/>
          <w:sz w:val="24"/>
          <w:szCs w:val="24"/>
          <w:lang w:val="en-GB"/>
        </w:rPr>
        <w:t xml:space="preserve"> </w:t>
      </w:r>
      <w:hyperlink r:id="R53da31a6d7d84abe">
        <w:r w:rsidRPr="51E95A26" w:rsidR="6F1420C0">
          <w:rPr>
            <w:rStyle w:val="Hyperlink"/>
            <w:rFonts w:ascii="Aptos" w:hAnsi="Aptos" w:eastAsia="Aptos" w:cs="Aptos"/>
            <w:noProof w:val="0"/>
            <w:color w:val="000000" w:themeColor="text1" w:themeTint="FF" w:themeShade="FF"/>
            <w:sz w:val="24"/>
            <w:szCs w:val="24"/>
            <w:lang w:val="en-GB"/>
          </w:rPr>
          <w:t>World Health Organization</w:t>
        </w:r>
      </w:hyperlink>
    </w:p>
    <w:p w:rsidR="3163B744" w:rsidP="777AA44C" w:rsidRDefault="3163B744" w14:paraId="7BF17033" w14:textId="39558A87">
      <w:pPr>
        <w:pStyle w:val="Normal"/>
        <w:spacing w:before="240" w:beforeAutospacing="off" w:after="240" w:afterAutospacing="off"/>
        <w:ind w:left="0"/>
        <w:rPr>
          <w:rFonts w:ascii="Aptos" w:hAnsi="Aptos" w:eastAsia="Aptos" w:cs="Aptos"/>
          <w:noProof w:val="0"/>
          <w:color w:val="000000" w:themeColor="text1" w:themeTint="FF" w:themeShade="FF"/>
          <w:sz w:val="22"/>
          <w:szCs w:val="22"/>
          <w:lang w:val="en-GB"/>
        </w:rPr>
      </w:pPr>
      <w:bookmarkStart w:name="_Int_QZsUq1Ca" w:id="1423148238"/>
      <w:r w:rsidRPr="777AA44C" w:rsidR="6F1420C0">
        <w:rPr>
          <w:rFonts w:ascii="Aptos" w:hAnsi="Aptos" w:eastAsia="Aptos" w:cs="Aptos"/>
          <w:noProof w:val="0"/>
          <w:sz w:val="22"/>
          <w:szCs w:val="22"/>
          <w:lang w:val="en-GB"/>
        </w:rPr>
        <w:t xml:space="preserve">Flaxman S., Mishra S., Gandy A., et al. </w:t>
      </w:r>
      <w:r w:rsidRPr="777AA44C" w:rsidR="6F1420C0">
        <w:rPr>
          <w:rFonts w:ascii="Aptos" w:hAnsi="Aptos" w:eastAsia="Aptos" w:cs="Aptos"/>
          <w:i w:val="1"/>
          <w:iCs w:val="1"/>
          <w:noProof w:val="0"/>
          <w:sz w:val="22"/>
          <w:szCs w:val="22"/>
          <w:lang w:val="en-GB"/>
        </w:rPr>
        <w:t>Estimating the effects of non-pharmaceutical interventions on COVID-19 in Europe.</w:t>
      </w:r>
      <w:bookmarkEnd w:id="1423148238"/>
      <w:r w:rsidRPr="777AA44C" w:rsidR="6F1420C0">
        <w:rPr>
          <w:rFonts w:ascii="Aptos" w:hAnsi="Aptos" w:eastAsia="Aptos" w:cs="Aptos"/>
          <w:noProof w:val="0"/>
          <w:sz w:val="22"/>
          <w:szCs w:val="22"/>
          <w:lang w:val="en-GB"/>
        </w:rPr>
        <w:t xml:space="preserve"> Nature, 2020. </w:t>
      </w:r>
      <w:hyperlink r:id="Rfbae58cec7e54daf">
        <w:r w:rsidRPr="777AA44C" w:rsidR="6F1420C0">
          <w:rPr>
            <w:rStyle w:val="Hyperlink"/>
            <w:rFonts w:ascii="Aptos" w:hAnsi="Aptos" w:eastAsia="Aptos" w:cs="Aptos"/>
            <w:noProof w:val="0"/>
            <w:color w:val="000000" w:themeColor="text1" w:themeTint="FF" w:themeShade="FF"/>
            <w:sz w:val="22"/>
            <w:szCs w:val="22"/>
            <w:lang w:val="en-GB"/>
          </w:rPr>
          <w:t>Nature</w:t>
        </w:r>
      </w:hyperlink>
    </w:p>
    <w:p w:rsidR="4266960E" w:rsidP="777AA44C" w:rsidRDefault="4266960E" w14:paraId="5C999C94" w14:textId="113F04B1">
      <w:pPr>
        <w:pStyle w:val="Normal"/>
        <w:spacing w:before="240" w:beforeAutospacing="off" w:after="240" w:afterAutospacing="off"/>
        <w:ind w:left="0"/>
        <w:rPr>
          <w:rFonts w:ascii="Aptos" w:hAnsi="Aptos" w:eastAsia="Aptos" w:cs="Aptos"/>
          <w:noProof w:val="0"/>
          <w:color w:val="000000" w:themeColor="text1" w:themeTint="FF" w:themeShade="FF"/>
          <w:sz w:val="22"/>
          <w:szCs w:val="22"/>
          <w:lang w:val="en-GB"/>
        </w:rPr>
      </w:pPr>
      <w:r w:rsidRPr="777AA44C" w:rsidR="0D72CA8E">
        <w:rPr>
          <w:rFonts w:ascii="Aptos" w:hAnsi="Aptos" w:eastAsia="Aptos" w:cs="Aptos"/>
          <w:noProof w:val="0"/>
          <w:sz w:val="22"/>
          <w:szCs w:val="22"/>
          <w:lang w:val="en-GB"/>
        </w:rPr>
        <w:t>Centres</w:t>
      </w:r>
      <w:r w:rsidRPr="777AA44C" w:rsidR="6F1420C0">
        <w:rPr>
          <w:rFonts w:ascii="Aptos" w:hAnsi="Aptos" w:eastAsia="Aptos" w:cs="Aptos"/>
          <w:noProof w:val="0"/>
          <w:sz w:val="22"/>
          <w:szCs w:val="22"/>
          <w:lang w:val="en-GB"/>
        </w:rPr>
        <w:t xml:space="preserve"> for Disease Control and Prevention. </w:t>
      </w:r>
      <w:r w:rsidRPr="777AA44C" w:rsidR="6F1420C0">
        <w:rPr>
          <w:rFonts w:ascii="Aptos" w:hAnsi="Aptos" w:eastAsia="Aptos" w:cs="Aptos"/>
          <w:i w:val="1"/>
          <w:iCs w:val="1"/>
          <w:noProof w:val="0"/>
          <w:sz w:val="22"/>
          <w:szCs w:val="22"/>
          <w:lang w:val="en-GB"/>
        </w:rPr>
        <w:t>Respiratory virus / Infection control and prevention guidance (COVID-19).</w:t>
      </w:r>
      <w:r w:rsidRPr="777AA44C" w:rsidR="6F1420C0">
        <w:rPr>
          <w:rFonts w:ascii="Aptos" w:hAnsi="Aptos" w:eastAsia="Aptos" w:cs="Aptos"/>
          <w:noProof w:val="0"/>
          <w:sz w:val="22"/>
          <w:szCs w:val="22"/>
          <w:lang w:val="en-GB"/>
        </w:rPr>
        <w:t xml:space="preserve"> (CDC guidance pages; updates 2024–2025).</w:t>
      </w:r>
      <w:r w:rsidRPr="777AA44C" w:rsidR="6F1420C0">
        <w:rPr>
          <w:rFonts w:ascii="Aptos" w:hAnsi="Aptos" w:eastAsia="Aptos" w:cs="Aptos"/>
          <w:noProof w:val="0"/>
          <w:color w:val="000000" w:themeColor="text1" w:themeTint="FF" w:themeShade="FF"/>
          <w:sz w:val="22"/>
          <w:szCs w:val="22"/>
          <w:lang w:val="en-GB"/>
        </w:rPr>
        <w:t xml:space="preserve"> </w:t>
      </w:r>
      <w:hyperlink r:id="Rd9c60174f7c94a9b">
        <w:r w:rsidRPr="777AA44C" w:rsidR="6F1420C0">
          <w:rPr>
            <w:rStyle w:val="Hyperlink"/>
            <w:rFonts w:ascii="Aptos" w:hAnsi="Aptos" w:eastAsia="Aptos" w:cs="Aptos"/>
            <w:noProof w:val="0"/>
            <w:color w:val="000000" w:themeColor="text1" w:themeTint="FF" w:themeShade="FF"/>
            <w:sz w:val="22"/>
            <w:szCs w:val="22"/>
            <w:lang w:val="en-GB"/>
          </w:rPr>
          <w:t>CDC+1</w:t>
        </w:r>
      </w:hyperlink>
    </w:p>
    <w:p w:rsidR="3163B744" w:rsidP="777AA44C" w:rsidRDefault="3163B744" w14:paraId="7FB75B35" w14:textId="54AFFDD8">
      <w:pPr>
        <w:pStyle w:val="Normal"/>
        <w:spacing w:before="240" w:beforeAutospacing="off" w:after="240" w:afterAutospacing="off"/>
        <w:ind w:left="0"/>
        <w:rPr>
          <w:rFonts w:ascii="Aptos" w:hAnsi="Aptos" w:eastAsia="Aptos" w:cs="Aptos"/>
          <w:noProof w:val="0"/>
          <w:color w:val="000000" w:themeColor="text1" w:themeTint="FF" w:themeShade="FF"/>
          <w:sz w:val="22"/>
          <w:szCs w:val="22"/>
          <w:lang w:val="en-GB"/>
        </w:rPr>
      </w:pPr>
      <w:r w:rsidRPr="777AA44C" w:rsidR="6F1420C0">
        <w:rPr>
          <w:rFonts w:ascii="Aptos" w:hAnsi="Aptos" w:eastAsia="Aptos" w:cs="Aptos"/>
          <w:noProof w:val="0"/>
          <w:sz w:val="22"/>
          <w:szCs w:val="22"/>
          <w:lang w:val="en-GB"/>
        </w:rPr>
        <w:t xml:space="preserve">UK Government / Legislation. </w:t>
      </w:r>
      <w:r w:rsidRPr="777AA44C" w:rsidR="6F1420C0">
        <w:rPr>
          <w:rFonts w:ascii="Aptos" w:hAnsi="Aptos" w:eastAsia="Aptos" w:cs="Aptos"/>
          <w:i w:val="1"/>
          <w:iCs w:val="1"/>
          <w:noProof w:val="0"/>
          <w:sz w:val="22"/>
          <w:szCs w:val="22"/>
          <w:lang w:val="en-GB"/>
        </w:rPr>
        <w:t>Coronavirus Act 2020</w:t>
      </w:r>
      <w:r w:rsidRPr="777AA44C" w:rsidR="6F1420C0">
        <w:rPr>
          <w:rFonts w:ascii="Aptos" w:hAnsi="Aptos" w:eastAsia="Aptos" w:cs="Aptos"/>
          <w:noProof w:val="0"/>
          <w:sz w:val="22"/>
          <w:szCs w:val="22"/>
          <w:lang w:val="en-GB"/>
        </w:rPr>
        <w:t xml:space="preserve"> (legislation and status reports). </w:t>
      </w:r>
      <w:hyperlink r:id="R4f52a0e63c7b42d1">
        <w:r w:rsidRPr="777AA44C" w:rsidR="6F1420C0">
          <w:rPr>
            <w:rStyle w:val="Hyperlink"/>
            <w:rFonts w:ascii="Aptos" w:hAnsi="Aptos" w:eastAsia="Aptos" w:cs="Aptos"/>
            <w:noProof w:val="0"/>
            <w:color w:val="000000" w:themeColor="text1" w:themeTint="FF" w:themeShade="FF"/>
            <w:sz w:val="22"/>
            <w:szCs w:val="22"/>
            <w:lang w:val="en-GB"/>
          </w:rPr>
          <w:t>Legislation.gov.uk+1</w:t>
        </w:r>
      </w:hyperlink>
    </w:p>
    <w:p w:rsidR="338D22CC" w:rsidP="51E95A26" w:rsidRDefault="338D22CC" w14:paraId="7C975900" w14:textId="373E1535">
      <w:pPr>
        <w:pStyle w:val="Normal"/>
        <w:spacing w:before="281" w:beforeAutospacing="off" w:after="281" w:afterAutospacing="off"/>
        <w:rPr>
          <w:color w:val="000000" w:themeColor="text1" w:themeTint="FF" w:themeShade="FF"/>
          <w:sz w:val="22"/>
          <w:szCs w:val="22"/>
        </w:rPr>
      </w:pPr>
      <w:r w:rsidRPr="51E95A26" w:rsidR="0866D83F">
        <w:rPr>
          <w:rFonts w:ascii="Aptos" w:hAnsi="Aptos" w:eastAsia="Aptos" w:cs="Aptos"/>
          <w:noProof w:val="0"/>
          <w:sz w:val="22"/>
          <w:szCs w:val="22"/>
          <w:lang w:val="en-GB"/>
        </w:rPr>
        <w:t xml:space="preserve">Ahmed, M. H., et al. (2021). </w:t>
      </w:r>
      <w:r w:rsidRPr="51E95A26" w:rsidR="0866D83F">
        <w:rPr>
          <w:rFonts w:ascii="Aptos" w:hAnsi="Aptos" w:eastAsia="Aptos" w:cs="Aptos"/>
          <w:i w:val="1"/>
          <w:iCs w:val="1"/>
          <w:noProof w:val="0"/>
          <w:sz w:val="22"/>
          <w:szCs w:val="22"/>
          <w:lang w:val="en-GB"/>
        </w:rPr>
        <w:t>Willingness to use telemedicine during COVID-19 among healthcare professionals in Ethiopia: A cross-sectional study.</w:t>
      </w:r>
      <w:r w:rsidRPr="51E95A26" w:rsidR="0866D83F">
        <w:rPr>
          <w:rFonts w:ascii="Aptos" w:hAnsi="Aptos" w:eastAsia="Aptos" w:cs="Aptos"/>
          <w:noProof w:val="0"/>
          <w:sz w:val="22"/>
          <w:szCs w:val="22"/>
          <w:lang w:val="en-GB"/>
        </w:rPr>
        <w:t xml:space="preserve"> </w:t>
      </w:r>
      <w:r w:rsidRPr="51E95A26" w:rsidR="0866D83F">
        <w:rPr>
          <w:rFonts w:ascii="Aptos" w:hAnsi="Aptos" w:eastAsia="Aptos" w:cs="Aptos"/>
          <w:b w:val="1"/>
          <w:bCs w:val="1"/>
          <w:noProof w:val="0"/>
          <w:sz w:val="22"/>
          <w:szCs w:val="22"/>
          <w:lang w:val="en-GB"/>
        </w:rPr>
        <w:t>PLOS ONE, 16</w:t>
      </w:r>
      <w:r w:rsidRPr="51E95A26" w:rsidR="0866D83F">
        <w:rPr>
          <w:rFonts w:ascii="Aptos" w:hAnsi="Aptos" w:eastAsia="Aptos" w:cs="Aptos"/>
          <w:noProof w:val="0"/>
          <w:sz w:val="22"/>
          <w:szCs w:val="22"/>
          <w:lang w:val="en-GB"/>
        </w:rPr>
        <w:t xml:space="preserve">(10), e0258495. </w:t>
      </w:r>
      <w:hyperlink r:id="R23dce83302624ee6">
        <w:r w:rsidRPr="51E95A26" w:rsidR="0866D83F">
          <w:rPr>
            <w:rStyle w:val="Hyperlink"/>
            <w:rFonts w:ascii="Aptos" w:hAnsi="Aptos" w:eastAsia="Aptos" w:cs="Aptos"/>
            <w:noProof w:val="0"/>
            <w:color w:val="000000" w:themeColor="text1" w:themeTint="FF" w:themeShade="FF"/>
            <w:sz w:val="22"/>
            <w:szCs w:val="22"/>
            <w:lang w:val="en-GB"/>
          </w:rPr>
          <w:t>https://doi.org/10.1371/journal.pone.0258495</w:t>
        </w:r>
      </w:hyperlink>
    </w:p>
    <w:p w:rsidR="10F1D51E" w:rsidP="51E95A26" w:rsidRDefault="10F1D51E" w14:paraId="04EEF015" w14:textId="36910FA8">
      <w:pPr>
        <w:pStyle w:val="Normal"/>
        <w:spacing w:before="0" w:beforeAutospacing="off" w:after="0" w:afterAutospacing="off"/>
        <w:rPr>
          <w:rFonts w:ascii="Aptos" w:hAnsi="Aptos" w:eastAsia="Aptos" w:cs="Aptos"/>
          <w:noProof w:val="0"/>
          <w:sz w:val="22"/>
          <w:szCs w:val="22"/>
          <w:lang w:val="en-GB"/>
        </w:rPr>
      </w:pPr>
      <w:r w:rsidRPr="74B24D56" w:rsidR="0B413E92">
        <w:rPr>
          <w:rFonts w:ascii="Aptos" w:hAnsi="Aptos" w:eastAsia="Aptos" w:cs="Aptos"/>
          <w:noProof w:val="0"/>
          <w:sz w:val="22"/>
          <w:szCs w:val="22"/>
          <w:lang w:val="en-GB"/>
        </w:rPr>
        <w:t xml:space="preserve">Bjarnadóttir </w:t>
      </w:r>
      <w:r w:rsidRPr="74B24D56" w:rsidR="6AB3C8A8">
        <w:rPr>
          <w:rFonts w:ascii="Aptos" w:hAnsi="Aptos" w:eastAsia="Aptos" w:cs="Aptos"/>
          <w:noProof w:val="0"/>
          <w:sz w:val="22"/>
          <w:szCs w:val="22"/>
          <w:lang w:val="en-GB"/>
        </w:rPr>
        <w:t>M.,</w:t>
      </w:r>
      <w:r w:rsidRPr="74B24D56" w:rsidR="04820723">
        <w:rPr>
          <w:rFonts w:ascii="Aptos" w:hAnsi="Aptos" w:eastAsia="Aptos" w:cs="Aptos"/>
          <w:noProof w:val="0"/>
          <w:sz w:val="22"/>
          <w:szCs w:val="22"/>
          <w:lang w:val="en-GB"/>
        </w:rPr>
        <w:t xml:space="preserve"> et </w:t>
      </w:r>
      <w:r w:rsidRPr="74B24D56" w:rsidR="0D636006">
        <w:rPr>
          <w:rFonts w:ascii="Aptos" w:hAnsi="Aptos" w:eastAsia="Aptos" w:cs="Aptos"/>
          <w:noProof w:val="0"/>
          <w:sz w:val="22"/>
          <w:szCs w:val="22"/>
          <w:lang w:val="en-GB"/>
        </w:rPr>
        <w:t>al.</w:t>
      </w:r>
      <w:r w:rsidRPr="74B24D56" w:rsidR="6AB3C8A8">
        <w:rPr>
          <w:rFonts w:ascii="Aptos" w:hAnsi="Aptos" w:eastAsia="Aptos" w:cs="Aptos"/>
          <w:noProof w:val="0"/>
          <w:sz w:val="22"/>
          <w:szCs w:val="22"/>
          <w:lang w:val="en-GB"/>
        </w:rPr>
        <w:t xml:space="preserve"> </w:t>
      </w:r>
      <w:r w:rsidRPr="74B24D56" w:rsidR="6AB3C8A8">
        <w:rPr>
          <w:rFonts w:ascii="Aptos" w:hAnsi="Aptos" w:eastAsia="Aptos" w:cs="Aptos"/>
          <w:noProof w:val="0"/>
          <w:sz w:val="22"/>
          <w:szCs w:val="22"/>
          <w:lang w:val="en-GB"/>
        </w:rPr>
        <w:t>(</w:t>
      </w:r>
      <w:r w:rsidRPr="74B24D56" w:rsidR="291313A3">
        <w:rPr>
          <w:rFonts w:ascii="Aptos" w:hAnsi="Aptos" w:eastAsia="Aptos" w:cs="Aptos"/>
          <w:noProof w:val="0"/>
          <w:sz w:val="22"/>
          <w:szCs w:val="22"/>
          <w:lang w:val="en-GB"/>
        </w:rPr>
        <w:t>2024</w:t>
      </w:r>
      <w:r w:rsidRPr="74B24D56" w:rsidR="2C5DAB64">
        <w:rPr>
          <w:rFonts w:ascii="Aptos" w:hAnsi="Aptos" w:eastAsia="Aptos" w:cs="Aptos"/>
          <w:noProof w:val="0"/>
          <w:sz w:val="22"/>
          <w:szCs w:val="22"/>
          <w:lang w:val="en-GB"/>
        </w:rPr>
        <w:t>). Health</w:t>
      </w:r>
      <w:r w:rsidRPr="74B24D56" w:rsidR="0B413E92">
        <w:rPr>
          <w:rFonts w:ascii="Aptos" w:hAnsi="Aptos" w:eastAsia="Aptos" w:cs="Aptos"/>
          <w:noProof w:val="0"/>
          <w:sz w:val="22"/>
          <w:szCs w:val="22"/>
          <w:lang w:val="en-GB"/>
        </w:rPr>
        <w:t xml:space="preserve"> Care Usage During the COVID-19 Pandemic and the Adoption of Telemedicine: </w:t>
      </w:r>
      <w:r w:rsidRPr="74B24D56" w:rsidR="0B413E92">
        <w:rPr>
          <w:rFonts w:ascii="Aptos" w:hAnsi="Aptos" w:eastAsia="Aptos" w:cs="Aptos"/>
          <w:i w:val="1"/>
          <w:iCs w:val="1"/>
          <w:noProof w:val="0"/>
          <w:sz w:val="22"/>
          <w:szCs w:val="22"/>
          <w:lang w:val="en-GB"/>
        </w:rPr>
        <w:t>Retrospective Study</w:t>
      </w:r>
      <w:r w:rsidRPr="74B24D56" w:rsidR="0B413E92">
        <w:rPr>
          <w:rFonts w:ascii="Aptos" w:hAnsi="Aptos" w:eastAsia="Aptos" w:cs="Aptos"/>
          <w:noProof w:val="0"/>
          <w:sz w:val="22"/>
          <w:szCs w:val="22"/>
          <w:lang w:val="en-GB"/>
        </w:rPr>
        <w:t xml:space="preserve"> </w:t>
      </w:r>
      <w:r w:rsidRPr="74B24D56" w:rsidR="0B413E92">
        <w:rPr>
          <w:rFonts w:ascii="Aptos" w:hAnsi="Aptos" w:eastAsia="Aptos" w:cs="Aptos"/>
          <w:i w:val="1"/>
          <w:iCs w:val="1"/>
          <w:noProof w:val="0"/>
          <w:sz w:val="22"/>
          <w:szCs w:val="22"/>
          <w:lang w:val="en-GB"/>
        </w:rPr>
        <w:t>of Chronic Disease</w:t>
      </w:r>
      <w:r w:rsidRPr="74B24D56" w:rsidR="34E9330D">
        <w:rPr>
          <w:rFonts w:ascii="Aptos" w:hAnsi="Aptos" w:eastAsia="Aptos" w:cs="Aptos"/>
          <w:i w:val="1"/>
          <w:iCs w:val="1"/>
          <w:noProof w:val="0"/>
          <w:sz w:val="22"/>
          <w:szCs w:val="22"/>
          <w:lang w:val="en-GB"/>
        </w:rPr>
        <w:t xml:space="preserve">. </w:t>
      </w:r>
      <w:r w:rsidRPr="74B24D56" w:rsidR="0B413E92">
        <w:rPr>
          <w:rFonts w:ascii="Aptos" w:hAnsi="Aptos" w:eastAsia="Aptos" w:cs="Aptos"/>
          <w:noProof w:val="0"/>
          <w:sz w:val="22"/>
          <w:szCs w:val="22"/>
          <w:lang w:val="en-GB"/>
        </w:rPr>
        <w:t>2024;</w:t>
      </w:r>
      <w:r w:rsidRPr="74B24D56" w:rsidR="5745FBD1">
        <w:rPr>
          <w:rFonts w:ascii="Aptos" w:hAnsi="Aptos" w:eastAsia="Aptos" w:cs="Aptos"/>
          <w:noProof w:val="0"/>
          <w:sz w:val="22"/>
          <w:szCs w:val="22"/>
          <w:lang w:val="en-GB"/>
        </w:rPr>
        <w:t>26: e</w:t>
      </w:r>
      <w:r w:rsidRPr="74B24D56" w:rsidR="0B413E92">
        <w:rPr>
          <w:rFonts w:ascii="Aptos" w:hAnsi="Aptos" w:eastAsia="Aptos" w:cs="Aptos"/>
          <w:noProof w:val="0"/>
          <w:sz w:val="22"/>
          <w:szCs w:val="22"/>
          <w:lang w:val="en-GB"/>
        </w:rPr>
        <w:t>54991</w:t>
      </w:r>
      <w:r w:rsidRPr="74B24D56" w:rsidR="45EFF58B">
        <w:rPr>
          <w:rFonts w:ascii="Aptos" w:hAnsi="Aptos" w:eastAsia="Aptos" w:cs="Aptos"/>
          <w:noProof w:val="0"/>
          <w:sz w:val="22"/>
          <w:szCs w:val="22"/>
          <w:lang w:val="en-GB"/>
        </w:rPr>
        <w:t>.</w:t>
      </w:r>
      <w:r w:rsidRPr="74B24D56" w:rsidR="0B413E92">
        <w:rPr>
          <w:rFonts w:ascii="Aptos" w:hAnsi="Aptos" w:eastAsia="Aptos" w:cs="Aptos"/>
          <w:noProof w:val="0"/>
          <w:sz w:val="22"/>
          <w:szCs w:val="22"/>
          <w:lang w:val="en-GB"/>
        </w:rPr>
        <w:t>https://www.jmir.org/2024/1/e54991</w:t>
      </w:r>
    </w:p>
    <w:p w:rsidR="366FF58F" w:rsidP="74B24D56" w:rsidRDefault="366FF58F" w14:paraId="4FF80EBC" w14:textId="7ED02B68">
      <w:pPr>
        <w:pStyle w:val="Normal"/>
        <w:rPr>
          <w:rFonts w:ascii="Aptos" w:hAnsi="Aptos" w:eastAsia="Aptos" w:cs="Aptos"/>
          <w:noProof w:val="0"/>
          <w:sz w:val="22"/>
          <w:szCs w:val="22"/>
          <w:lang w:val="en-GB"/>
        </w:rPr>
      </w:pPr>
      <w:r w:rsidRPr="74B24D56" w:rsidR="249564A1">
        <w:rPr>
          <w:rFonts w:ascii="Arial" w:hAnsi="Arial" w:eastAsia="Arial" w:cs="Arial"/>
          <w:b w:val="0"/>
          <w:bCs w:val="0"/>
          <w:i w:val="0"/>
          <w:iCs w:val="0"/>
          <w:caps w:val="0"/>
          <w:smallCaps w:val="0"/>
          <w:noProof w:val="0"/>
          <w:color w:val="222222"/>
          <w:sz w:val="22"/>
          <w:szCs w:val="22"/>
          <w:lang w:val="en-GB"/>
        </w:rPr>
        <w:t xml:space="preserve">Aughterson, H., McKinlay, A.R., Fancourt, D. and Burton, A., 2021. Psychosocial impact on frontline health and social care professionals in the UK during the COVID-19 pandemic: a qualitative interview study. </w:t>
      </w:r>
      <w:r w:rsidRPr="74B24D56" w:rsidR="249564A1">
        <w:rPr>
          <w:rFonts w:ascii="Arial" w:hAnsi="Arial" w:eastAsia="Arial" w:cs="Arial"/>
          <w:b w:val="0"/>
          <w:bCs w:val="0"/>
          <w:i w:val="1"/>
          <w:iCs w:val="1"/>
          <w:caps w:val="0"/>
          <w:smallCaps w:val="0"/>
          <w:noProof w:val="0"/>
          <w:color w:val="222222"/>
          <w:sz w:val="22"/>
          <w:szCs w:val="22"/>
          <w:lang w:val="en-GB"/>
        </w:rPr>
        <w:t>BMJ open</w:t>
      </w:r>
      <w:r w:rsidRPr="74B24D56" w:rsidR="249564A1">
        <w:rPr>
          <w:rFonts w:ascii="Arial" w:hAnsi="Arial" w:eastAsia="Arial" w:cs="Arial"/>
          <w:b w:val="0"/>
          <w:bCs w:val="0"/>
          <w:i w:val="0"/>
          <w:iCs w:val="0"/>
          <w:caps w:val="0"/>
          <w:smallCaps w:val="0"/>
          <w:noProof w:val="0"/>
          <w:color w:val="222222"/>
          <w:sz w:val="22"/>
          <w:szCs w:val="22"/>
          <w:lang w:val="en-GB"/>
        </w:rPr>
        <w:t xml:space="preserve">, </w:t>
      </w:r>
      <w:r w:rsidRPr="74B24D56" w:rsidR="249564A1">
        <w:rPr>
          <w:rFonts w:ascii="Arial" w:hAnsi="Arial" w:eastAsia="Arial" w:cs="Arial"/>
          <w:b w:val="0"/>
          <w:bCs w:val="0"/>
          <w:i w:val="1"/>
          <w:iCs w:val="1"/>
          <w:caps w:val="0"/>
          <w:smallCaps w:val="0"/>
          <w:noProof w:val="0"/>
          <w:color w:val="222222"/>
          <w:sz w:val="22"/>
          <w:szCs w:val="22"/>
          <w:lang w:val="en-GB"/>
        </w:rPr>
        <w:t>11</w:t>
      </w:r>
      <w:r w:rsidRPr="74B24D56" w:rsidR="249564A1">
        <w:rPr>
          <w:rFonts w:ascii="Arial" w:hAnsi="Arial" w:eastAsia="Arial" w:cs="Arial"/>
          <w:b w:val="0"/>
          <w:bCs w:val="0"/>
          <w:i w:val="0"/>
          <w:iCs w:val="0"/>
          <w:caps w:val="0"/>
          <w:smallCaps w:val="0"/>
          <w:noProof w:val="0"/>
          <w:color w:val="222222"/>
          <w:sz w:val="22"/>
          <w:szCs w:val="22"/>
          <w:lang w:val="en-GB"/>
        </w:rPr>
        <w:t>(2), p.e047353.</w:t>
      </w:r>
    </w:p>
    <w:tbl>
      <w:tblPr>
        <w:tblStyle w:val="TableNormal"/>
        <w:bidiVisual w:val="0"/>
        <w:tblW w:w="0" w:type="auto"/>
        <w:tblBorders>
          <w:top w:val="single" w:sz="0"/>
          <w:left w:val="single" w:sz="0"/>
          <w:bottom w:val="single" w:sz="0"/>
          <w:right w:val="single" w:sz="0"/>
        </w:tblBorders>
        <w:tblLayout w:type="fixed"/>
        <w:tblLook w:val="06A0" w:firstRow="1" w:lastRow="0" w:firstColumn="1" w:lastColumn="0" w:noHBand="1" w:noVBand="1"/>
      </w:tblPr>
      <w:tblGrid>
        <w:gridCol w:w="6870"/>
      </w:tblGrid>
      <w:tr w:rsidR="0D7F74A2" w:rsidTr="74B24D56" w14:paraId="59BAF35A">
        <w:trPr>
          <w:trHeight w:val="300"/>
        </w:trPr>
        <w:tc>
          <w:tcPr>
            <w:tcW w:w="6870" w:type="dxa"/>
            <w:shd w:val="clear" w:color="auto" w:fill="FFFFFF" w:themeFill="background1"/>
            <w:tcMar>
              <w:top w:w="120" w:type="dxa"/>
              <w:bottom w:w="120" w:type="dxa"/>
            </w:tcMar>
            <w:vAlign w:val="top"/>
          </w:tcPr>
          <w:p w:rsidR="0D7F74A2" w:rsidP="74B24D56" w:rsidRDefault="0D7F74A2" w14:paraId="037BEF50" w14:textId="3394F3ED">
            <w:pPr>
              <w:spacing w:before="0" w:beforeAutospacing="off" w:after="0" w:afterAutospacing="off"/>
              <w:jc w:val="left"/>
              <w:rPr>
                <w:rFonts w:ascii="Arial" w:hAnsi="Arial" w:eastAsia="Arial" w:cs="Arial"/>
                <w:b w:val="0"/>
                <w:bCs w:val="0"/>
                <w:i w:val="0"/>
                <w:iCs w:val="0"/>
                <w:caps w:val="0"/>
                <w:smallCaps w:val="0"/>
                <w:color w:val="222222"/>
                <w:sz w:val="22"/>
                <w:szCs w:val="22"/>
              </w:rPr>
            </w:pPr>
            <w:r w:rsidRPr="74B24D56" w:rsidR="5F9BA8EF">
              <w:rPr>
                <w:rFonts w:ascii="Arial" w:hAnsi="Arial" w:eastAsia="Arial" w:cs="Arial"/>
                <w:b w:val="0"/>
                <w:bCs w:val="0"/>
                <w:i w:val="0"/>
                <w:iCs w:val="0"/>
                <w:caps w:val="0"/>
                <w:smallCaps w:val="0"/>
                <w:color w:val="222222"/>
                <w:sz w:val="22"/>
                <w:szCs w:val="22"/>
              </w:rPr>
              <w:t xml:space="preserve">Nyashanu, M., Pfende, F. and Ekpenyong, M., 2020. Exploring the challenges faced by frontline workers in health and social care amid the COVID-19 pandemic: experiences of frontline workers in the English Midlands region, UK. </w:t>
            </w:r>
            <w:r w:rsidRPr="74B24D56" w:rsidR="5F9BA8EF">
              <w:rPr>
                <w:rFonts w:ascii="Arial" w:hAnsi="Arial" w:eastAsia="Arial" w:cs="Arial"/>
                <w:b w:val="0"/>
                <w:bCs w:val="0"/>
                <w:i w:val="1"/>
                <w:iCs w:val="1"/>
                <w:caps w:val="0"/>
                <w:smallCaps w:val="0"/>
                <w:color w:val="222222"/>
                <w:sz w:val="22"/>
                <w:szCs w:val="22"/>
              </w:rPr>
              <w:t>Journal of interprofessional care</w:t>
            </w:r>
            <w:r w:rsidRPr="74B24D56" w:rsidR="5F9BA8EF">
              <w:rPr>
                <w:rFonts w:ascii="Arial" w:hAnsi="Arial" w:eastAsia="Arial" w:cs="Arial"/>
                <w:b w:val="0"/>
                <w:bCs w:val="0"/>
                <w:i w:val="0"/>
                <w:iCs w:val="0"/>
                <w:caps w:val="0"/>
                <w:smallCaps w:val="0"/>
                <w:color w:val="222222"/>
                <w:sz w:val="22"/>
                <w:szCs w:val="22"/>
              </w:rPr>
              <w:t xml:space="preserve">, </w:t>
            </w:r>
            <w:r w:rsidRPr="74B24D56" w:rsidR="5F9BA8EF">
              <w:rPr>
                <w:rFonts w:ascii="Arial" w:hAnsi="Arial" w:eastAsia="Arial" w:cs="Arial"/>
                <w:b w:val="0"/>
                <w:bCs w:val="0"/>
                <w:i w:val="1"/>
                <w:iCs w:val="1"/>
                <w:caps w:val="0"/>
                <w:smallCaps w:val="0"/>
                <w:color w:val="222222"/>
                <w:sz w:val="22"/>
                <w:szCs w:val="22"/>
              </w:rPr>
              <w:t>34</w:t>
            </w:r>
            <w:r w:rsidRPr="74B24D56" w:rsidR="5F9BA8EF">
              <w:rPr>
                <w:rFonts w:ascii="Arial" w:hAnsi="Arial" w:eastAsia="Arial" w:cs="Arial"/>
                <w:b w:val="0"/>
                <w:bCs w:val="0"/>
                <w:i w:val="0"/>
                <w:iCs w:val="0"/>
                <w:caps w:val="0"/>
                <w:smallCaps w:val="0"/>
                <w:color w:val="222222"/>
                <w:sz w:val="22"/>
                <w:szCs w:val="22"/>
              </w:rPr>
              <w:t>(5), pp.655-661.</w:t>
            </w:r>
          </w:p>
          <w:p w:rsidR="0D7F74A2" w:rsidP="74B24D56" w:rsidRDefault="0D7F74A2" w14:paraId="170BFFE1" w14:textId="46A61A32">
            <w:pPr>
              <w:spacing w:before="0" w:beforeAutospacing="off" w:after="0" w:afterAutospacing="off"/>
              <w:jc w:val="left"/>
              <w:rPr>
                <w:rFonts w:ascii="Arial" w:hAnsi="Arial" w:eastAsia="Arial" w:cs="Arial"/>
                <w:b w:val="0"/>
                <w:bCs w:val="0"/>
                <w:i w:val="0"/>
                <w:iCs w:val="0"/>
                <w:caps w:val="0"/>
                <w:smallCaps w:val="0"/>
                <w:color w:val="222222"/>
                <w:sz w:val="22"/>
                <w:szCs w:val="22"/>
              </w:rPr>
            </w:pPr>
          </w:p>
        </w:tc>
      </w:tr>
      <w:tr w:rsidR="0D7F74A2" w:rsidTr="74B24D56" w14:paraId="4D739F54">
        <w:trPr>
          <w:trHeight w:val="300"/>
        </w:trPr>
        <w:tc>
          <w:tcPr>
            <w:tcW w:w="6870" w:type="dxa"/>
            <w:shd w:val="clear" w:color="auto" w:fill="FFFFFF" w:themeFill="background1"/>
            <w:tcMar>
              <w:top w:w="120" w:type="dxa"/>
              <w:bottom w:w="120" w:type="dxa"/>
            </w:tcMar>
            <w:vAlign w:val="top"/>
          </w:tcPr>
          <w:p w:rsidR="0D7F74A2" w:rsidP="777AA44C" w:rsidRDefault="0D7F74A2" w14:paraId="0AB120D7" w14:textId="6EE3233E">
            <w:pPr>
              <w:shd w:val="clear" w:color="auto" w:fill="FFFFFF" w:themeFill="background1"/>
              <w:spacing w:before="0" w:beforeAutospacing="off" w:after="240" w:afterAutospacing="off"/>
              <w:rPr>
                <w:sz w:val="22"/>
                <w:szCs w:val="22"/>
              </w:rPr>
            </w:pPr>
            <w:r w:rsidRPr="777AA44C" w:rsidR="00A75063">
              <w:rPr>
                <w:rFonts w:ascii="Segoe UI" w:hAnsi="Segoe UI" w:eastAsia="Segoe UI" w:cs="Segoe UI"/>
                <w:b w:val="0"/>
                <w:bCs w:val="0"/>
                <w:i w:val="0"/>
                <w:iCs w:val="0"/>
                <w:caps w:val="0"/>
                <w:smallCaps w:val="0"/>
                <w:noProof w:val="0"/>
                <w:color w:val="222222"/>
                <w:sz w:val="22"/>
                <w:szCs w:val="22"/>
                <w:lang w:val="en-GB"/>
              </w:rPr>
              <w:t xml:space="preserve">Williams, B.A., Jones, C.H., Welch, V. </w:t>
            </w:r>
            <w:r w:rsidRPr="777AA44C" w:rsidR="00A75063">
              <w:rPr>
                <w:rFonts w:ascii="Segoe UI" w:hAnsi="Segoe UI" w:eastAsia="Segoe UI" w:cs="Segoe UI"/>
                <w:b w:val="0"/>
                <w:bCs w:val="0"/>
                <w:i w:val="1"/>
                <w:iCs w:val="1"/>
                <w:caps w:val="0"/>
                <w:smallCaps w:val="0"/>
                <w:noProof w:val="0"/>
                <w:color w:val="222222"/>
                <w:sz w:val="22"/>
                <w:szCs w:val="22"/>
                <w:lang w:val="en-GB"/>
              </w:rPr>
              <w:t>et al.</w:t>
            </w:r>
            <w:r w:rsidRPr="777AA44C" w:rsidR="00A75063">
              <w:rPr>
                <w:rFonts w:ascii="Segoe UI" w:hAnsi="Segoe UI" w:eastAsia="Segoe UI" w:cs="Segoe UI"/>
                <w:b w:val="0"/>
                <w:bCs w:val="0"/>
                <w:i w:val="0"/>
                <w:iCs w:val="0"/>
                <w:caps w:val="0"/>
                <w:smallCaps w:val="0"/>
                <w:noProof w:val="0"/>
                <w:color w:val="222222"/>
                <w:sz w:val="22"/>
                <w:szCs w:val="22"/>
                <w:lang w:val="en-GB"/>
              </w:rPr>
              <w:t xml:space="preserve"> Outlook of pandemic preparedness in a post-COVID-19 world. </w:t>
            </w:r>
            <w:r w:rsidRPr="777AA44C" w:rsidR="00A75063">
              <w:rPr>
                <w:rFonts w:ascii="Segoe UI" w:hAnsi="Segoe UI" w:eastAsia="Segoe UI" w:cs="Segoe UI"/>
                <w:b w:val="0"/>
                <w:bCs w:val="0"/>
                <w:i w:val="1"/>
                <w:iCs w:val="1"/>
                <w:caps w:val="0"/>
                <w:smallCaps w:val="0"/>
                <w:noProof w:val="0"/>
                <w:color w:val="222222"/>
                <w:sz w:val="22"/>
                <w:szCs w:val="22"/>
                <w:lang w:val="en-GB"/>
              </w:rPr>
              <w:t>npj Vaccines</w:t>
            </w:r>
            <w:r w:rsidRPr="777AA44C" w:rsidR="00A75063">
              <w:rPr>
                <w:rFonts w:ascii="Segoe UI" w:hAnsi="Segoe UI" w:eastAsia="Segoe UI" w:cs="Segoe UI"/>
                <w:b w:val="0"/>
                <w:bCs w:val="0"/>
                <w:i w:val="0"/>
                <w:iCs w:val="0"/>
                <w:caps w:val="0"/>
                <w:smallCaps w:val="0"/>
                <w:noProof w:val="0"/>
                <w:color w:val="222222"/>
                <w:sz w:val="22"/>
                <w:szCs w:val="22"/>
                <w:lang w:val="en-GB"/>
              </w:rPr>
              <w:t xml:space="preserve"> </w:t>
            </w:r>
            <w:r w:rsidRPr="777AA44C" w:rsidR="00A75063">
              <w:rPr>
                <w:rFonts w:ascii="Segoe UI" w:hAnsi="Segoe UI" w:eastAsia="Segoe UI" w:cs="Segoe UI"/>
                <w:b w:val="1"/>
                <w:bCs w:val="1"/>
                <w:i w:val="0"/>
                <w:iCs w:val="0"/>
                <w:caps w:val="0"/>
                <w:smallCaps w:val="0"/>
                <w:noProof w:val="0"/>
                <w:color w:val="222222"/>
                <w:sz w:val="22"/>
                <w:szCs w:val="22"/>
                <w:lang w:val="en-GB"/>
              </w:rPr>
              <w:t>8</w:t>
            </w:r>
            <w:r w:rsidRPr="777AA44C" w:rsidR="00A75063">
              <w:rPr>
                <w:rFonts w:ascii="Segoe UI" w:hAnsi="Segoe UI" w:eastAsia="Segoe UI" w:cs="Segoe UI"/>
                <w:b w:val="0"/>
                <w:bCs w:val="0"/>
                <w:i w:val="0"/>
                <w:iCs w:val="0"/>
                <w:caps w:val="0"/>
                <w:smallCaps w:val="0"/>
                <w:noProof w:val="0"/>
                <w:color w:val="222222"/>
                <w:sz w:val="22"/>
                <w:szCs w:val="22"/>
                <w:lang w:val="en-GB"/>
              </w:rPr>
              <w:t xml:space="preserve">, 178 (2023). </w:t>
            </w:r>
            <w:hyperlink r:id="R0885e8d14765479d">
              <w:r w:rsidRPr="777AA44C" w:rsidR="00A75063">
                <w:rPr>
                  <w:rStyle w:val="Hyperlink"/>
                  <w:rFonts w:ascii="Segoe UI" w:hAnsi="Segoe UI" w:eastAsia="Segoe UI" w:cs="Segoe UI"/>
                  <w:b w:val="0"/>
                  <w:bCs w:val="0"/>
                  <w:i w:val="0"/>
                  <w:iCs w:val="0"/>
                  <w:caps w:val="0"/>
                  <w:smallCaps w:val="0"/>
                  <w:noProof w:val="0"/>
                  <w:sz w:val="22"/>
                  <w:szCs w:val="22"/>
                  <w:lang w:val="en-GB"/>
                </w:rPr>
                <w:t>https://doi.org/10.1038/s41541-023-00773-0</w:t>
              </w:r>
            </w:hyperlink>
          </w:p>
          <w:p w:rsidR="0D7F74A2" w:rsidP="74B24D56" w:rsidRDefault="0D7F74A2" w14:paraId="424F0B03" w14:textId="00581728">
            <w:pPr>
              <w:shd w:val="clear" w:color="auto" w:fill="FFFFFF" w:themeFill="background1"/>
              <w:spacing w:before="0" w:beforeAutospacing="off" w:after="240" w:afterAutospacing="off"/>
              <w:rPr>
                <w:rFonts w:ascii="Segoe UI" w:hAnsi="Segoe UI" w:eastAsia="Segoe UI" w:cs="Segoe UI"/>
                <w:b w:val="0"/>
                <w:bCs w:val="0"/>
                <w:i w:val="0"/>
                <w:iCs w:val="0"/>
                <w:caps w:val="0"/>
                <w:smallCaps w:val="0"/>
                <w:strike w:val="0"/>
                <w:dstrike w:val="0"/>
                <w:noProof w:val="0"/>
                <w:color w:val="006699"/>
                <w:sz w:val="22"/>
                <w:szCs w:val="22"/>
                <w:u w:val="single"/>
                <w:lang w:val="en-GB"/>
              </w:rPr>
            </w:pPr>
          </w:p>
          <w:p w:rsidR="0D7F74A2" w:rsidP="74B24D56" w:rsidRDefault="0D7F74A2" w14:paraId="65F3AA5A" w14:textId="65D9874E">
            <w:pPr>
              <w:rPr>
                <w:sz w:val="22"/>
                <w:szCs w:val="22"/>
              </w:rPr>
            </w:pPr>
          </w:p>
        </w:tc>
      </w:tr>
    </w:tbl>
    <w:p w:rsidR="0D7F74A2" w:rsidP="74B24D56" w:rsidRDefault="0D7F74A2" w14:paraId="5EAC434C" w14:textId="7D8B0615">
      <w:pPr>
        <w:rPr>
          <w:sz w:val="22"/>
          <w:szCs w:val="22"/>
        </w:rPr>
      </w:pPr>
    </w:p>
    <w:p w:rsidR="0D7F74A2" w:rsidP="0D7F74A2" w:rsidRDefault="0D7F74A2" w14:paraId="0AD7E26C" w14:textId="7A1729E2">
      <w:pPr>
        <w:pStyle w:val="Normal"/>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QZsUq1Ca" int2:invalidationBookmarkName="" int2:hashCode="rm4SZlgYkr6dHq" int2:id="bBUzQIlJ">
      <int2:extLst>
        <oel:ext uri="426473B9-03D8-482F-96C9-C2C85392BACA">
          <int2:similarityCritique int2:version="1" int2:context="Flaxman S., Mishra S., Gandy A., et al. Estimating the effects of non-pharmaceutical interventions on COVID-19 in Europe.">
            <int2:source int2:sourceType="Online" int2:sourceTitle="Seth Flaxman » Papers" int2:sourceUrl="https://sethrf.com/papers/" int2:sourceSnippet="Flaxman, S., Mishra, S., Gandy, A. et al. “Estimating the effects of non-pharmaceutical interventions on COVID-19 in Europe.” Nature (2020). Okell, L., Verity, R., Watson, OJ, et al. Have deaths from COVID-19 in Europe plateaued due to herd immunity? Lancet (2020). [supplementary figures.] Lisi, Malekzadeh, Haddadi, Lau, Flaxman.">
              <int2:suggestions int2:citationType="Inline">
                <int2:suggestion int2:citationStyle="Mla" int2:isIdentical="0">
                  <int2:citationText>(“Seth Flaxman » Papers”)</int2:citationText>
                </int2:suggestion>
                <int2:suggestion int2:citationStyle="Apa" int2:isIdentical="0">
                  <int2:citationText>(“Seth Flaxman » Papers”)</int2:citationText>
                </int2:suggestion>
                <int2:suggestion int2:citationStyle="Chicago" int2:isIdentical="0">
                  <int2:citationText>(“Seth Flaxman » Papers”)</int2:citationText>
                </int2:suggestion>
              </int2:suggestions>
              <int2:suggestions int2:citationType="Full">
                <int2:suggestion int2:citationStyle="Mla" int2:isIdentical="0">
                  <int2:citationText>&lt;i&gt;Seth Flaxman » Papers&lt;/i&gt;, https://sethrf.com/papers/.</int2:citationText>
                </int2:suggestion>
                <int2:suggestion int2:citationStyle="Apa" int2:isIdentical="0">
                  <int2:citationText>&lt;i&gt;Seth Flaxman » Papers&lt;/i&gt;. (n.d.). Retrieved from https://sethrf.com/papers/</int2:citationText>
                </int2:suggestion>
                <int2:suggestion int2:citationStyle="Chicago" int2:isIdentical="0">
                  <int2:citationText>“Seth Flaxman » Papers” n.d., https://sethrf.com/papers/.</int2:citationText>
                </int2:suggestion>
              </int2:suggestions>
            </int2:source>
            <int2:source int2:sourceType="Online" int2:sourceTitle="Estimating the effects of non-pharmaceutical interventions on COVID-19 ..." int2:sourceUrl="https://kylieainslie.github.io/pubs/flaxman_2020_nature/" int2:sourceSnippet="Continued intervention should be considered to keep transmission of SARS-CoV-2 under control. Citation Flaxman, S., Mishra, S., Gandy, A. et al. Estimating the effects of non-pharmaceutical interventions on COVID-19 in Europe. Nature 584, 257–261 (2020). DOI">
              <int2:suggestions int2:citationType="Inline">
                <int2:suggestion int2:citationStyle="Mla" int2:isIdentical="0">
                  <int2:citationText>(“Estimating the effects of non-pharmaceutical interventions on COVID-19 ...”)</int2:citationText>
                </int2:suggestion>
                <int2:suggestion int2:citationStyle="Apa" int2:isIdentical="0">
                  <int2:citationText>(“Estimating the effects of non-pharmaceutical interventions on COVID-19 ...”)</int2:citationText>
                </int2:suggestion>
                <int2:suggestion int2:citationStyle="Chicago" int2:isIdentical="0">
                  <int2:citationText>(“Estimating the effects of non-pharmaceutical interventions on COVID-19 ...”)</int2:citationText>
                </int2:suggestion>
              </int2:suggestions>
              <int2:suggestions int2:citationType="Full">
                <int2:suggestion int2:citationStyle="Mla" int2:isIdentical="0">
                  <int2:citationText>&lt;i&gt;Estimating the effects of non-pharmaceutical interventions on COVID-19 ...&lt;/i&gt;, https://kylieainslie.github.io/pubs/flaxman_2020_nature/.</int2:citationText>
                </int2:suggestion>
                <int2:suggestion int2:citationStyle="Apa" int2:isIdentical="0">
                  <int2:citationText>&lt;i&gt;Estimating the effects of non-pharmaceutical interventions on COVID-19 ...&lt;/i&gt;. (n.d.). Retrieved from https://kylieainslie.github.io/pubs/flaxman_2020_nature/</int2:citationText>
                </int2:suggestion>
                <int2:suggestion int2:citationStyle="Chicago" int2:isIdentical="0">
                  <int2:citationText>“Estimating the effects of non-pharmaceutical interventions on COVID-19 ...” n.d., https://kylieainslie.github.io/pubs/flaxman_2020_nature/.</int2:citationText>
                </int2:suggestion>
              </int2:suggestions>
            </int2:source>
            <int2:source int2:sourceType="Online" int2:sourceTitle="Review of “Estimating the effects of non-pharmaceutical interventions ..." int2:sourceUrl="https://www.publichealthontario.ca/-/media/documents/ncov/research/2020/06/research-nature-estimating-effects-of-non-pharmaceutical.pdf?la=en" int2:sourceSnippet="Article citation: Flaxman S, Mishra S, Gandy A, Unwin HJT, Mellan TA, Coupland H, et al. Estimating the effects of non-pharmaceutical interventions on COVID-19 in Europe.">
              <int2:suggestions int2:citationType="Inline">
                <int2:suggestion int2:citationStyle="Mla" int2:isIdentical="0">
                  <int2:citationText>(“Review of “Estimating the effects of non-pharmaceutical interventions ...”)</int2:citationText>
                </int2:suggestion>
                <int2:suggestion int2:citationStyle="Apa" int2:isIdentical="0">
                  <int2:citationText>(“Review of “Estimating the effects of non-pharmaceutical interventions ...”)</int2:citationText>
                </int2:suggestion>
                <int2:suggestion int2:citationStyle="Chicago" int2:isIdentical="0">
                  <int2:citationText>(“Review of “Estimating the effects of non-pharmaceutical interventions ...”)</int2:citationText>
                </int2:suggestion>
              </int2:suggestions>
              <int2:suggestions int2:citationType="Full">
                <int2:suggestion int2:citationStyle="Mla" int2:isIdentical="0">
                  <int2:citationText>&lt;i&gt;Review of “Estimating the effects of non-pharmaceutical interventions ...&lt;/i&gt;, https://www.publichealthontario.ca/-/media/documents/ncov/research/2020/06/research-nature-estimating-effects-of-non-pharmaceutical.pdf?la=en.</int2:citationText>
                </int2:suggestion>
                <int2:suggestion int2:citationStyle="Apa" int2:isIdentical="0">
                  <int2:citationText>&lt;i&gt;Review of “Estimating the effects of non-pharmaceutical interventions ...&lt;/i&gt;. (n.d.). Retrieved from https://www.publichealthontario.ca/-/media/documents/ncov/research/2020/06/research-nature-estimating-effects-of-non-pharmaceutical.pdf?la=en</int2:citationText>
                </int2:suggestion>
                <int2:suggestion int2:citationStyle="Chicago" int2:isIdentical="0">
                  <int2:citationText>“Review of “Estimating the effects of non-pharmaceutical interventions ...” n.d., https://www.publichealthontario.ca/-/media/documents/ncov/research/2020/06/research-nature-estimating-effects-of-non-pharmaceutical.pdf?la=en.</int2:citationText>
                </int2:suggestion>
              </int2:suggestions>
            </int2:source>
          </int2:similarityCritique>
        </oel:ext>
      </int2:extLst>
    </int2:bookmark>
    <int2:bookmark int2:bookmarkName="_Int_yv1PlJcO" int2:invalidationBookmarkName="" int2:hashCode="cDHDke339e/Kqc" int2:id="VNPpwRlb">
      <int2:extLst>
        <oel:ext uri="426473B9-03D8-482F-96C9-C2C85392BACA">
          <int2:similarityCritique int2:version="1" int2:context="Strategic Preparedness, Readiness and Response Plan to End the Global COVID-19 Emergency in 2022 (SPRP 2022).">
            <int2:source int2:sourceType="Online" int2:sourceTitle="Strategic preparedness, readiness and response plan to end the global ..." int2:sourceUrl="https://www.who.int/publications/i/item/WHO-WHE-SPP-2022.1" int2:sourceSnippet="Overview More than two years since the first SARS-CoV-2 infections were reported, the COVID-19 pandemic remains an acute global emergency. In this Strategic Preparedness, Readiness and Response plan for 2022, WHO sets out a number of key strategic adjustments that, if implemented rapidly and consistently at national, regional, and global levels, will enable the world to end the acute phase of ...">
              <int2:suggestions int2:citationType="Inline">
                <int2:suggestion int2:citationStyle="Mla" int2:isIdentical="0">
                  <int2:citationText>(“Strategic preparedness, readiness and response plan to end the global ...”)</int2:citationText>
                </int2:suggestion>
                <int2:suggestion int2:citationStyle="Apa" int2:isIdentical="0">
                  <int2:citationText>(“Strategic preparedness, readiness and response plan to end the global ...”)</int2:citationText>
                </int2:suggestion>
                <int2:suggestion int2:citationStyle="Chicago" int2:isIdentical="0">
                  <int2:citationText>(“Strategic preparedness, readiness and response plan to end the global ...”)</int2:citationText>
                </int2:suggestion>
              </int2:suggestions>
              <int2:suggestions int2:citationType="Full">
                <int2:suggestion int2:citationStyle="Mla" int2:isIdentical="0">
                  <int2:citationText>&lt;i&gt;Strategic preparedness, readiness and response plan to end the global ...&lt;/i&gt;, https://www.who.int/publications/i/item/WHO-WHE-SPP-2022.1.</int2:citationText>
                </int2:suggestion>
                <int2:suggestion int2:citationStyle="Apa" int2:isIdentical="0">
                  <int2:citationText>&lt;i&gt;Strategic preparedness, readiness and response plan to end the global ...&lt;/i&gt;. (n.d.). Retrieved from https://www.who.int/publications/i/item/WHO-WHE-SPP-2022.1</int2:citationText>
                </int2:suggestion>
                <int2:suggestion int2:citationStyle="Chicago" int2:isIdentical="0">
                  <int2:citationText>“Strategic preparedness, readiness and response plan to end the global ...” n.d., https://www.who.int/publications/i/item/WHO-WHE-SPP-2022.1.</int2:citationText>
                </int2:suggestion>
              </int2:suggestions>
            </int2:source>
            <int2:source int2:sourceType="Online" int2:sourceTitle="Strategy and planning - World Health Organization (WHO)" int2:sourceUrl="https://www.who.int/emergencies/diseases/novel-coronavirus-2019/strategies-and-plans" int2:sourceSnippet="Strategic preparedness, readiness and response plan to end the global COVID-19 emergency in 2022 More than two years since the first SARS-CoV-2 infections were reported, the COVID-19 pandemic remains an acute global emergency. In this Strategic Preparedness,...">
              <int2:suggestions int2:citationType="Inline">
                <int2:suggestion int2:citationStyle="Mla" int2:isIdentical="0">
                  <int2:citationText>(“Strategy and planning - World Health Organization (WHO)”)</int2:citationText>
                </int2:suggestion>
                <int2:suggestion int2:citationStyle="Apa" int2:isIdentical="0">
                  <int2:citationText>(“Strategy and planning - World Health Organization (WHO)”)</int2:citationText>
                </int2:suggestion>
                <int2:suggestion int2:citationStyle="Chicago" int2:isIdentical="0">
                  <int2:citationText>(“Strategy and planning - World Health Organization (WHO)”)</int2:citationText>
                </int2:suggestion>
              </int2:suggestions>
              <int2:suggestions int2:citationType="Full">
                <int2:suggestion int2:citationStyle="Mla" int2:isIdentical="0">
                  <int2:citationText>&lt;i&gt;Strategy and planning - World Health Organization (WHO)&lt;/i&gt;, https://www.who.int/emergencies/diseases/novel-coronavirus-2019/strategies-and-plans.</int2:citationText>
                </int2:suggestion>
                <int2:suggestion int2:citationStyle="Apa" int2:isIdentical="0">
                  <int2:citationText>&lt;i&gt;Strategy and planning - World Health Organization (WHO)&lt;/i&gt;. (n.d.). Retrieved from https://www.who.int/emergencies/diseases/novel-coronavirus-2019/strategies-and-plans</int2:citationText>
                </int2:suggestion>
                <int2:suggestion int2:citationStyle="Chicago" int2:isIdentical="0">
                  <int2:citationText>“Strategy and planning - World Health Organization (WHO)” n.d., https://www.who.int/emergencies/diseases/novel-coronavirus-2019/strategies-and-plans.</int2:citationText>
                </int2:suggestion>
              </int2:suggestions>
            </int2:source>
            <int2:source int2:sourceType="Online" int2:sourceTitle="Strategic Preparedness, Readiness and Response Plan to END THE GLOBAL ..." int2:sourceUrl="https://www.jstor.org/stable/resrep44394.1" int2:sourceSnippet="END THE GLOBAL COVID-19 EMERGENCY IN 2022 Strategic preparedness, readiness and response plan to end the global COVID-19 emergency in 2022">
              <int2:suggestions int2:citationType="Inline">
                <int2:suggestion int2:citationStyle="Mla" int2:isIdentical="0">
                  <int2:citationText>(“Strategic Preparedness, Readiness and Response Plan to END THE GLOBAL ...”)</int2:citationText>
                </int2:suggestion>
                <int2:suggestion int2:citationStyle="Apa" int2:isIdentical="0">
                  <int2:citationText>(“Strategic Preparedness, Readiness and Response Plan to END THE GLOBAL ...”)</int2:citationText>
                </int2:suggestion>
                <int2:suggestion int2:citationStyle="Chicago" int2:isIdentical="0">
                  <int2:citationText>(“Strategic Preparedness, Readiness and Response Plan to END THE GLOBAL ...”)</int2:citationText>
                </int2:suggestion>
              </int2:suggestions>
              <int2:suggestions int2:citationType="Full">
                <int2:suggestion int2:citationStyle="Mla" int2:isIdentical="0">
                  <int2:citationText>&lt;i&gt;Strategic Preparedness, Readiness and Response Plan to END THE GLOBAL ...&lt;/i&gt;, https://www.jstor.org/stable/resrep44394.1.</int2:citationText>
                </int2:suggestion>
                <int2:suggestion int2:citationStyle="Apa" int2:isIdentical="0">
                  <int2:citationText>&lt;i&gt;Strategic Preparedness, Readiness and Response Plan to END THE GLOBAL ...&lt;/i&gt;. (n.d.). Retrieved from https://www.jstor.org/stable/resrep44394.1</int2:citationText>
                </int2:suggestion>
                <int2:suggestion int2:citationStyle="Chicago" int2:isIdentical="0">
                  <int2:citationText>“Strategic Preparedness, Readiness and Response Plan to END THE GLOBAL ...” n.d., https://www.jstor.org/stable/resrep44394.1.</int2:citationText>
                </int2:suggestion>
              </int2:suggestions>
            </int2:source>
          </int2:similarityCritique>
        </oel:ext>
      </int2:extLst>
    </int2:bookmark>
    <int2:entireDocument int2:id="b2fLg3Na">
      <int2:extLst>
        <oel:ext uri="E302BA01-7950-474C-9AD3-286E660C40A8">
          <int2:similaritySummary int2:version="1" int2:runId="1762795820423" int2:tilesCheckedInThisRun="29" int2:totalNumOfTiles="29" int2:similarityAnnotationCount="2" int2:numWords="1044" int2:numFlaggedWords="34"/>
        </oel:ext>
      </int2:extLst>
    </int2:entireDocument>
  </int2:observations>
  <int2:intelligenceSettings/>
  <int2:onDemandWorkflows>
    <int2:onDemandWorkflow int2:type="SimilarityCheck" int2:paragraphVersions="3BBAA7C7-640FF5C3 0BDD5C8E-6564F8F9 4483751F-43FA1121 49F62FF3-78765744 7B66CD3E-7CAAA335 60B1EE90-09BD93FC 786A5311-54C4536F 707BB4CF-59784260 49756831-5E5DF6D0 153D9252-23677508 6B3316DD-4B02EDE6 1277468B-567052BB 2462B8FC-6F0FA33A 603A69F5-75CF6B34 22590F53-0EC949E9 619A906A-3CA20C28 492DD69E-21D525E6 3251008F-437BD2F5 3DD76114-5FF9210B 104E22D5-76A4C11E 460DABAF-3938A49B 6A577423-55C31CD3 13BAFB83-0F4610E9 70116EE6-6C15DE26 67078F9C-31746305 7BF17033-39558A87 5C999C94-113F04B1 7FB75B35-54AFFDD8 11CDF60F-48C7F788 46FD509B-0BCD9FB7 7C975900-158F7E06 2D87290B-1525A470 04EEF015-7DEF8B8F 4FF80EBC-64FD7DBB"/>
  </int2:onDemandWorkflows>
</int2:intelligence>
</file>

<file path=word/numbering.xml><?xml version="1.0" encoding="utf-8"?>
<w:numbering xmlns:w="http://schemas.openxmlformats.org/wordprocessingml/2006/main">
  <w:abstractNum xmlns:w="http://schemas.openxmlformats.org/wordprocessingml/2006/main" w:abstractNumId="5">
    <w:nsid w:val="38ae9a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9b126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c0710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9d7e3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5870c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3CE74D"/>
    <w:rsid w:val="009D491A"/>
    <w:rsid w:val="00A75063"/>
    <w:rsid w:val="00F044B2"/>
    <w:rsid w:val="01628B61"/>
    <w:rsid w:val="01C12CED"/>
    <w:rsid w:val="0235202B"/>
    <w:rsid w:val="0287752C"/>
    <w:rsid w:val="02F57F4D"/>
    <w:rsid w:val="0386E635"/>
    <w:rsid w:val="039A3B71"/>
    <w:rsid w:val="03FD9963"/>
    <w:rsid w:val="04042F78"/>
    <w:rsid w:val="04042F78"/>
    <w:rsid w:val="045D6C97"/>
    <w:rsid w:val="04820723"/>
    <w:rsid w:val="0523A943"/>
    <w:rsid w:val="05ABD8C9"/>
    <w:rsid w:val="05CF36D1"/>
    <w:rsid w:val="05D3541E"/>
    <w:rsid w:val="06006027"/>
    <w:rsid w:val="069D3D69"/>
    <w:rsid w:val="06B546E4"/>
    <w:rsid w:val="0705FE9C"/>
    <w:rsid w:val="070A4D52"/>
    <w:rsid w:val="073FDCD7"/>
    <w:rsid w:val="0773BC24"/>
    <w:rsid w:val="07955AB6"/>
    <w:rsid w:val="07AEF31D"/>
    <w:rsid w:val="07C64B14"/>
    <w:rsid w:val="081DA796"/>
    <w:rsid w:val="0866D83F"/>
    <w:rsid w:val="0868E967"/>
    <w:rsid w:val="08972AFD"/>
    <w:rsid w:val="08D653EF"/>
    <w:rsid w:val="08F36974"/>
    <w:rsid w:val="08FBDC06"/>
    <w:rsid w:val="092E1132"/>
    <w:rsid w:val="094D4477"/>
    <w:rsid w:val="0996D3FA"/>
    <w:rsid w:val="09AE76F8"/>
    <w:rsid w:val="0A014F68"/>
    <w:rsid w:val="0A3CB88A"/>
    <w:rsid w:val="0AD6C960"/>
    <w:rsid w:val="0AFEB133"/>
    <w:rsid w:val="0B22C6ED"/>
    <w:rsid w:val="0B2C89D4"/>
    <w:rsid w:val="0B40439D"/>
    <w:rsid w:val="0B413E92"/>
    <w:rsid w:val="0B452278"/>
    <w:rsid w:val="0B91D957"/>
    <w:rsid w:val="0BA69150"/>
    <w:rsid w:val="0BC678B6"/>
    <w:rsid w:val="0BE46CCE"/>
    <w:rsid w:val="0C1E5DF6"/>
    <w:rsid w:val="0C26879D"/>
    <w:rsid w:val="0C31F99A"/>
    <w:rsid w:val="0C48B21E"/>
    <w:rsid w:val="0CE3C853"/>
    <w:rsid w:val="0CE9B77B"/>
    <w:rsid w:val="0D47DA70"/>
    <w:rsid w:val="0D636006"/>
    <w:rsid w:val="0D72CA8E"/>
    <w:rsid w:val="0D7F74A2"/>
    <w:rsid w:val="0DABA460"/>
    <w:rsid w:val="0E539BA1"/>
    <w:rsid w:val="0E805054"/>
    <w:rsid w:val="0EF8625E"/>
    <w:rsid w:val="0F735D6D"/>
    <w:rsid w:val="0F8DB3D2"/>
    <w:rsid w:val="0FAF35B7"/>
    <w:rsid w:val="0FE78626"/>
    <w:rsid w:val="10F1D51E"/>
    <w:rsid w:val="118B7A88"/>
    <w:rsid w:val="11CC61F9"/>
    <w:rsid w:val="11F514EC"/>
    <w:rsid w:val="1228C7FE"/>
    <w:rsid w:val="123B516B"/>
    <w:rsid w:val="1260FCC5"/>
    <w:rsid w:val="12C27ECF"/>
    <w:rsid w:val="12C40716"/>
    <w:rsid w:val="12C9DAC3"/>
    <w:rsid w:val="13081396"/>
    <w:rsid w:val="131DD759"/>
    <w:rsid w:val="1348851E"/>
    <w:rsid w:val="13512147"/>
    <w:rsid w:val="13889441"/>
    <w:rsid w:val="1388BF05"/>
    <w:rsid w:val="1388BF05"/>
    <w:rsid w:val="13E4F7CD"/>
    <w:rsid w:val="14BB1208"/>
    <w:rsid w:val="158AE62B"/>
    <w:rsid w:val="15BD06DC"/>
    <w:rsid w:val="15C19783"/>
    <w:rsid w:val="1615C8B5"/>
    <w:rsid w:val="162FCFE9"/>
    <w:rsid w:val="168C8B28"/>
    <w:rsid w:val="16A1C02C"/>
    <w:rsid w:val="17249046"/>
    <w:rsid w:val="172F7828"/>
    <w:rsid w:val="1766FB6D"/>
    <w:rsid w:val="179992B7"/>
    <w:rsid w:val="17D4FF14"/>
    <w:rsid w:val="1819557D"/>
    <w:rsid w:val="18442C68"/>
    <w:rsid w:val="18EDBBD9"/>
    <w:rsid w:val="192DC39C"/>
    <w:rsid w:val="19AEB46B"/>
    <w:rsid w:val="19D0DEEA"/>
    <w:rsid w:val="19DF4B3B"/>
    <w:rsid w:val="19F1DC87"/>
    <w:rsid w:val="1A3C7F9F"/>
    <w:rsid w:val="1ACAF550"/>
    <w:rsid w:val="1BA9CBA4"/>
    <w:rsid w:val="1BE07D0D"/>
    <w:rsid w:val="1C465FD9"/>
    <w:rsid w:val="1C9A5169"/>
    <w:rsid w:val="1D4CE372"/>
    <w:rsid w:val="1DDE06D0"/>
    <w:rsid w:val="1E63328B"/>
    <w:rsid w:val="1E690574"/>
    <w:rsid w:val="1EC350CE"/>
    <w:rsid w:val="1F7076B0"/>
    <w:rsid w:val="1FA385E2"/>
    <w:rsid w:val="2028D5A7"/>
    <w:rsid w:val="203DD396"/>
    <w:rsid w:val="206D4FC2"/>
    <w:rsid w:val="20BCC9EA"/>
    <w:rsid w:val="210AFDD9"/>
    <w:rsid w:val="212D554E"/>
    <w:rsid w:val="21373FC8"/>
    <w:rsid w:val="216D141B"/>
    <w:rsid w:val="2181A5D1"/>
    <w:rsid w:val="21865683"/>
    <w:rsid w:val="219C27AD"/>
    <w:rsid w:val="21C95DB2"/>
    <w:rsid w:val="21DBD59D"/>
    <w:rsid w:val="21F79400"/>
    <w:rsid w:val="220586F6"/>
    <w:rsid w:val="2220F7A6"/>
    <w:rsid w:val="229DA54D"/>
    <w:rsid w:val="22A51F1A"/>
    <w:rsid w:val="23D3AA76"/>
    <w:rsid w:val="23D9BA0F"/>
    <w:rsid w:val="23F18478"/>
    <w:rsid w:val="24008523"/>
    <w:rsid w:val="245A5F14"/>
    <w:rsid w:val="245F8DE6"/>
    <w:rsid w:val="249564A1"/>
    <w:rsid w:val="254748AF"/>
    <w:rsid w:val="2565B6C0"/>
    <w:rsid w:val="259D7683"/>
    <w:rsid w:val="25E404D4"/>
    <w:rsid w:val="25F4A3F6"/>
    <w:rsid w:val="264BFF1F"/>
    <w:rsid w:val="2674A420"/>
    <w:rsid w:val="269CC903"/>
    <w:rsid w:val="269DED10"/>
    <w:rsid w:val="26A243EA"/>
    <w:rsid w:val="270CAEF6"/>
    <w:rsid w:val="27409C28"/>
    <w:rsid w:val="274892A9"/>
    <w:rsid w:val="2771367F"/>
    <w:rsid w:val="27714375"/>
    <w:rsid w:val="277F19A9"/>
    <w:rsid w:val="27C966A6"/>
    <w:rsid w:val="27CAE85A"/>
    <w:rsid w:val="28108BE6"/>
    <w:rsid w:val="2842A3E2"/>
    <w:rsid w:val="28BB7AE5"/>
    <w:rsid w:val="28CC1A9A"/>
    <w:rsid w:val="28DCA6D2"/>
    <w:rsid w:val="290754E9"/>
    <w:rsid w:val="291313A3"/>
    <w:rsid w:val="291877BF"/>
    <w:rsid w:val="29712D19"/>
    <w:rsid w:val="298363C2"/>
    <w:rsid w:val="29FD69A2"/>
    <w:rsid w:val="2A0976BA"/>
    <w:rsid w:val="2A1DA3E9"/>
    <w:rsid w:val="2A3669B4"/>
    <w:rsid w:val="2A5F50CE"/>
    <w:rsid w:val="2A62D690"/>
    <w:rsid w:val="2AD5B0CD"/>
    <w:rsid w:val="2AD9523B"/>
    <w:rsid w:val="2B003285"/>
    <w:rsid w:val="2B27B468"/>
    <w:rsid w:val="2B4837A9"/>
    <w:rsid w:val="2B7BFC12"/>
    <w:rsid w:val="2C03AFDD"/>
    <w:rsid w:val="2C1A6CE3"/>
    <w:rsid w:val="2C41FC7E"/>
    <w:rsid w:val="2C49BC68"/>
    <w:rsid w:val="2C5DAB64"/>
    <w:rsid w:val="2CC2AA7B"/>
    <w:rsid w:val="2D197D3C"/>
    <w:rsid w:val="2D657448"/>
    <w:rsid w:val="2D666615"/>
    <w:rsid w:val="2D6BB163"/>
    <w:rsid w:val="2DC1B9C9"/>
    <w:rsid w:val="2E524EFE"/>
    <w:rsid w:val="2E56D652"/>
    <w:rsid w:val="2EE13291"/>
    <w:rsid w:val="2F41A353"/>
    <w:rsid w:val="2F4797CC"/>
    <w:rsid w:val="2F89B1FD"/>
    <w:rsid w:val="2FC32B8C"/>
    <w:rsid w:val="3036DDE3"/>
    <w:rsid w:val="30417C17"/>
    <w:rsid w:val="304CECA8"/>
    <w:rsid w:val="305CEB6E"/>
    <w:rsid w:val="3064B1C8"/>
    <w:rsid w:val="30B65E1F"/>
    <w:rsid w:val="30D2F060"/>
    <w:rsid w:val="30EEA699"/>
    <w:rsid w:val="30F2C911"/>
    <w:rsid w:val="3163B744"/>
    <w:rsid w:val="317F566D"/>
    <w:rsid w:val="31B50BDA"/>
    <w:rsid w:val="31E8F59F"/>
    <w:rsid w:val="320B8A6E"/>
    <w:rsid w:val="32C97923"/>
    <w:rsid w:val="338D22CC"/>
    <w:rsid w:val="33AA0879"/>
    <w:rsid w:val="33CD0F73"/>
    <w:rsid w:val="33FC7E5B"/>
    <w:rsid w:val="344C2E44"/>
    <w:rsid w:val="3451A595"/>
    <w:rsid w:val="34576471"/>
    <w:rsid w:val="346D34B3"/>
    <w:rsid w:val="34A6879D"/>
    <w:rsid w:val="34A8594D"/>
    <w:rsid w:val="34C70491"/>
    <w:rsid w:val="34E9330D"/>
    <w:rsid w:val="354561C0"/>
    <w:rsid w:val="356FC563"/>
    <w:rsid w:val="35DA6982"/>
    <w:rsid w:val="35E37F13"/>
    <w:rsid w:val="3636FDB9"/>
    <w:rsid w:val="366C68F6"/>
    <w:rsid w:val="366FF58F"/>
    <w:rsid w:val="36975D00"/>
    <w:rsid w:val="36A60D1A"/>
    <w:rsid w:val="36E4846C"/>
    <w:rsid w:val="382D016D"/>
    <w:rsid w:val="383DA8C2"/>
    <w:rsid w:val="387438A9"/>
    <w:rsid w:val="388C103A"/>
    <w:rsid w:val="38E8CBF8"/>
    <w:rsid w:val="38E8CBF8"/>
    <w:rsid w:val="390CD692"/>
    <w:rsid w:val="3A314313"/>
    <w:rsid w:val="3A50959A"/>
    <w:rsid w:val="3A672598"/>
    <w:rsid w:val="3AC82ADD"/>
    <w:rsid w:val="3AF0C99A"/>
    <w:rsid w:val="3B448E72"/>
    <w:rsid w:val="3BF55D53"/>
    <w:rsid w:val="3C25F00D"/>
    <w:rsid w:val="3D1B364A"/>
    <w:rsid w:val="3D8D441D"/>
    <w:rsid w:val="3D927091"/>
    <w:rsid w:val="3D928EBB"/>
    <w:rsid w:val="3DCC1CA1"/>
    <w:rsid w:val="3DD1CF7D"/>
    <w:rsid w:val="3DF41E18"/>
    <w:rsid w:val="3E679DF6"/>
    <w:rsid w:val="3EF0CB0D"/>
    <w:rsid w:val="3F45EEF2"/>
    <w:rsid w:val="3F711E93"/>
    <w:rsid w:val="3F8A5EA1"/>
    <w:rsid w:val="4004BAAD"/>
    <w:rsid w:val="401CAA3A"/>
    <w:rsid w:val="404CCEF0"/>
    <w:rsid w:val="40D3E68B"/>
    <w:rsid w:val="41597C84"/>
    <w:rsid w:val="4167D4BA"/>
    <w:rsid w:val="41C17F97"/>
    <w:rsid w:val="421A711B"/>
    <w:rsid w:val="4266960E"/>
    <w:rsid w:val="428C15FA"/>
    <w:rsid w:val="42CF2E5D"/>
    <w:rsid w:val="4301E1B2"/>
    <w:rsid w:val="4326D324"/>
    <w:rsid w:val="433BC117"/>
    <w:rsid w:val="43733EEB"/>
    <w:rsid w:val="43A3E4CD"/>
    <w:rsid w:val="43C26D30"/>
    <w:rsid w:val="4400DF50"/>
    <w:rsid w:val="4400EAA5"/>
    <w:rsid w:val="449A6FC7"/>
    <w:rsid w:val="44B992D4"/>
    <w:rsid w:val="45284559"/>
    <w:rsid w:val="45C8E379"/>
    <w:rsid w:val="45EFF58B"/>
    <w:rsid w:val="463F3523"/>
    <w:rsid w:val="46D5D61F"/>
    <w:rsid w:val="46E242A7"/>
    <w:rsid w:val="47401A1D"/>
    <w:rsid w:val="47658AF3"/>
    <w:rsid w:val="476A4C29"/>
    <w:rsid w:val="4797715C"/>
    <w:rsid w:val="47B8A5C8"/>
    <w:rsid w:val="47E27B4D"/>
    <w:rsid w:val="47E788F3"/>
    <w:rsid w:val="4834AE48"/>
    <w:rsid w:val="48BC53B7"/>
    <w:rsid w:val="48F3DDB5"/>
    <w:rsid w:val="49337E84"/>
    <w:rsid w:val="49558D70"/>
    <w:rsid w:val="4A042211"/>
    <w:rsid w:val="4AAB35CA"/>
    <w:rsid w:val="4B0679AD"/>
    <w:rsid w:val="4B10D5EB"/>
    <w:rsid w:val="4B3D3C71"/>
    <w:rsid w:val="4B5A06EA"/>
    <w:rsid w:val="4BCCDD1B"/>
    <w:rsid w:val="4C7EB657"/>
    <w:rsid w:val="4CBA06BD"/>
    <w:rsid w:val="4CC6A767"/>
    <w:rsid w:val="4CC6C32E"/>
    <w:rsid w:val="4D16B850"/>
    <w:rsid w:val="4D3A98BB"/>
    <w:rsid w:val="4D65287B"/>
    <w:rsid w:val="4DAC3F0D"/>
    <w:rsid w:val="4E2CE52A"/>
    <w:rsid w:val="4E3D09D9"/>
    <w:rsid w:val="4E41828F"/>
    <w:rsid w:val="4F3442C3"/>
    <w:rsid w:val="4F76E136"/>
    <w:rsid w:val="500418EE"/>
    <w:rsid w:val="504AA603"/>
    <w:rsid w:val="507A5516"/>
    <w:rsid w:val="5095C46A"/>
    <w:rsid w:val="50A2AFA9"/>
    <w:rsid w:val="5145FF9A"/>
    <w:rsid w:val="5160D8C4"/>
    <w:rsid w:val="51B96CA6"/>
    <w:rsid w:val="51B9FAEC"/>
    <w:rsid w:val="51DF84E4"/>
    <w:rsid w:val="51E95A26"/>
    <w:rsid w:val="52163775"/>
    <w:rsid w:val="524B35F3"/>
    <w:rsid w:val="52664AED"/>
    <w:rsid w:val="526CA971"/>
    <w:rsid w:val="529714E5"/>
    <w:rsid w:val="53224A1A"/>
    <w:rsid w:val="539D2535"/>
    <w:rsid w:val="53C4C092"/>
    <w:rsid w:val="53F5FFC8"/>
    <w:rsid w:val="54B348DD"/>
    <w:rsid w:val="54BEE765"/>
    <w:rsid w:val="558DEFD5"/>
    <w:rsid w:val="559A43E1"/>
    <w:rsid w:val="56ACC575"/>
    <w:rsid w:val="572B392E"/>
    <w:rsid w:val="5745FBD1"/>
    <w:rsid w:val="576FCB6E"/>
    <w:rsid w:val="57A06176"/>
    <w:rsid w:val="57E67961"/>
    <w:rsid w:val="5815CF22"/>
    <w:rsid w:val="5833C677"/>
    <w:rsid w:val="58847605"/>
    <w:rsid w:val="5912DA10"/>
    <w:rsid w:val="5934E028"/>
    <w:rsid w:val="59979662"/>
    <w:rsid w:val="59AE75C0"/>
    <w:rsid w:val="59F3BD5F"/>
    <w:rsid w:val="5A88C9EE"/>
    <w:rsid w:val="5A9911B5"/>
    <w:rsid w:val="5AC44F88"/>
    <w:rsid w:val="5AEEC03B"/>
    <w:rsid w:val="5C5E7A14"/>
    <w:rsid w:val="5C9D7385"/>
    <w:rsid w:val="5CA1742F"/>
    <w:rsid w:val="5CA91EEB"/>
    <w:rsid w:val="5CCE236E"/>
    <w:rsid w:val="5D751368"/>
    <w:rsid w:val="5DBA0BC6"/>
    <w:rsid w:val="5EF5E443"/>
    <w:rsid w:val="5F00084C"/>
    <w:rsid w:val="5F621A96"/>
    <w:rsid w:val="5F9BA8EF"/>
    <w:rsid w:val="5FC9DD8B"/>
    <w:rsid w:val="5FDAB7C0"/>
    <w:rsid w:val="60056F80"/>
    <w:rsid w:val="603161C8"/>
    <w:rsid w:val="6076BCE5"/>
    <w:rsid w:val="607C4834"/>
    <w:rsid w:val="60B8C3EF"/>
    <w:rsid w:val="60E414E9"/>
    <w:rsid w:val="61158CAA"/>
    <w:rsid w:val="616D7AF9"/>
    <w:rsid w:val="617CFA14"/>
    <w:rsid w:val="619F5454"/>
    <w:rsid w:val="61B3A11B"/>
    <w:rsid w:val="62119573"/>
    <w:rsid w:val="6223CFD8"/>
    <w:rsid w:val="62426312"/>
    <w:rsid w:val="62728DF7"/>
    <w:rsid w:val="62F68C54"/>
    <w:rsid w:val="6300B10B"/>
    <w:rsid w:val="631AF7B3"/>
    <w:rsid w:val="634607FB"/>
    <w:rsid w:val="638A936E"/>
    <w:rsid w:val="63D1D496"/>
    <w:rsid w:val="63F64F0B"/>
    <w:rsid w:val="645A819D"/>
    <w:rsid w:val="64B7D736"/>
    <w:rsid w:val="65886AFC"/>
    <w:rsid w:val="659AA625"/>
    <w:rsid w:val="65A7AD5E"/>
    <w:rsid w:val="67360E06"/>
    <w:rsid w:val="6769BA47"/>
    <w:rsid w:val="6783F0EE"/>
    <w:rsid w:val="67AA5F2C"/>
    <w:rsid w:val="67B41530"/>
    <w:rsid w:val="67FAFAD6"/>
    <w:rsid w:val="684C0987"/>
    <w:rsid w:val="6887F310"/>
    <w:rsid w:val="68D375E9"/>
    <w:rsid w:val="699F574B"/>
    <w:rsid w:val="69CB26A5"/>
    <w:rsid w:val="6A13FFF7"/>
    <w:rsid w:val="6AB3C8A8"/>
    <w:rsid w:val="6B1310F7"/>
    <w:rsid w:val="6B1D308C"/>
    <w:rsid w:val="6B6AB34D"/>
    <w:rsid w:val="6BA23F7C"/>
    <w:rsid w:val="6C5DFF60"/>
    <w:rsid w:val="6C5E92E0"/>
    <w:rsid w:val="6C67B0EE"/>
    <w:rsid w:val="6C9234F7"/>
    <w:rsid w:val="6CEDDEC0"/>
    <w:rsid w:val="6D52DA36"/>
    <w:rsid w:val="6E62E5ED"/>
    <w:rsid w:val="6E704F8C"/>
    <w:rsid w:val="6EA224A2"/>
    <w:rsid w:val="6F1420C0"/>
    <w:rsid w:val="6F88367E"/>
    <w:rsid w:val="7003EFFE"/>
    <w:rsid w:val="7016D20F"/>
    <w:rsid w:val="7046AB73"/>
    <w:rsid w:val="705A2D8C"/>
    <w:rsid w:val="70825B46"/>
    <w:rsid w:val="70C379D5"/>
    <w:rsid w:val="70CAAE8A"/>
    <w:rsid w:val="712683F4"/>
    <w:rsid w:val="716F2944"/>
    <w:rsid w:val="7172B54D"/>
    <w:rsid w:val="7257787C"/>
    <w:rsid w:val="72B1FA23"/>
    <w:rsid w:val="72D17B00"/>
    <w:rsid w:val="7330B2C9"/>
    <w:rsid w:val="733CE74D"/>
    <w:rsid w:val="733DC517"/>
    <w:rsid w:val="73535165"/>
    <w:rsid w:val="7387DA47"/>
    <w:rsid w:val="73AD265D"/>
    <w:rsid w:val="73BD0833"/>
    <w:rsid w:val="73E82068"/>
    <w:rsid w:val="7425903B"/>
    <w:rsid w:val="74527B35"/>
    <w:rsid w:val="745D3B08"/>
    <w:rsid w:val="74AFBF56"/>
    <w:rsid w:val="74B24D56"/>
    <w:rsid w:val="751388C9"/>
    <w:rsid w:val="76209850"/>
    <w:rsid w:val="7642CAE8"/>
    <w:rsid w:val="765917A2"/>
    <w:rsid w:val="777AA44C"/>
    <w:rsid w:val="778D4804"/>
    <w:rsid w:val="77AB981E"/>
    <w:rsid w:val="77BA85F7"/>
    <w:rsid w:val="77D8B689"/>
    <w:rsid w:val="77E92DA1"/>
    <w:rsid w:val="77ED6967"/>
    <w:rsid w:val="77F0D981"/>
    <w:rsid w:val="7816C3EF"/>
    <w:rsid w:val="785679B1"/>
    <w:rsid w:val="787FC1E5"/>
    <w:rsid w:val="789F3867"/>
    <w:rsid w:val="790E7836"/>
    <w:rsid w:val="7914AEE1"/>
    <w:rsid w:val="7915E9A1"/>
    <w:rsid w:val="7969E15E"/>
    <w:rsid w:val="7A13E2B1"/>
    <w:rsid w:val="7A5395FA"/>
    <w:rsid w:val="7AF80044"/>
    <w:rsid w:val="7B649361"/>
    <w:rsid w:val="7B76F385"/>
    <w:rsid w:val="7BCA5AD2"/>
    <w:rsid w:val="7C6C9720"/>
    <w:rsid w:val="7CFBC200"/>
    <w:rsid w:val="7D4B8847"/>
    <w:rsid w:val="7D8DDBF6"/>
    <w:rsid w:val="7E2E95CC"/>
    <w:rsid w:val="7E3B6CAA"/>
    <w:rsid w:val="7E8788BD"/>
    <w:rsid w:val="7E9B58A6"/>
    <w:rsid w:val="7EB13E13"/>
    <w:rsid w:val="7ED8A2C6"/>
    <w:rsid w:val="7F03744B"/>
    <w:rsid w:val="7F48E753"/>
    <w:rsid w:val="7FAED31D"/>
    <w:rsid w:val="7FBE39AB"/>
    <w:rsid w:val="7FF4A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CE74D"/>
  <w15:chartTrackingRefBased/>
  <w15:docId w15:val="{CAB8DB5A-8785-44E6-840B-EBD544BD42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66FF58F"/>
    <w:pPr>
      <w:spacing/>
      <w:ind w:left="720"/>
      <w:contextualSpacing/>
    </w:pPr>
  </w:style>
  <w:style w:type="character" w:styleId="Hyperlink">
    <w:uiPriority w:val="99"/>
    <w:name w:val="Hyperlink"/>
    <w:basedOn w:val="DefaultParagraphFont"/>
    <w:unhideWhenUsed/>
    <w:rsid w:val="366FF58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f268140cdd742c8" /><Relationship Type="http://schemas.openxmlformats.org/officeDocument/2006/relationships/numbering" Target="/word/numbering.xml" Id="Rdf6ebeda9ab743fc" /><Relationship Type="http://schemas.openxmlformats.org/officeDocument/2006/relationships/hyperlink" Target="https://www.gov.uk/government/news/new-guidance-sets-out-how-to-live-safely-with-covid-19?utm_source=chatgpt.com" TargetMode="External" Id="R23c28321a3314098" /><Relationship Type="http://schemas.openxmlformats.org/officeDocument/2006/relationships/hyperlink" Target="https://commonslibrary.parliament.uk/research-briefings/cbp-9474/?utm_source=chatgpt.com" TargetMode="External" Id="Ra29b67291932417f" /><Relationship Type="http://schemas.openxmlformats.org/officeDocument/2006/relationships/hyperlink" Target="https://www.legislation.gov.uk/ukpga/2020/7/notes/division/2/index.htm?utm_source=chatgpt.com" TargetMode="External" Id="R62520411f09c496a" /><Relationship Type="http://schemas.openxmlformats.org/officeDocument/2006/relationships/hyperlink" Target="https://www.who.int/publications/i/item/WHO-WHE-SPP-2022.1?utm_source=chatgpt.com" TargetMode="External" Id="R53da31a6d7d84abe" /><Relationship Type="http://schemas.openxmlformats.org/officeDocument/2006/relationships/hyperlink" Target="https://doi.org/10.1371/journal.pone.0258495" TargetMode="External" Id="R23dce83302624ee6" /><Relationship Type="http://schemas.openxmlformats.org/officeDocument/2006/relationships/hyperlink" Target="https://www.gov.uk/government/collections/coronavirus-covid-19-list-of-guidance?utm_source=chatgpt.com" TargetMode="External" Id="R8655a3e6998340ce" /><Relationship Type="http://schemas.openxmlformats.org/officeDocument/2006/relationships/hyperlink" Target="https://www.nature.com/articles/s41586-020-2405-7?utm_source=chatgpt.com" TargetMode="External" Id="Rfbae58cec7e54daf" /><Relationship Type="http://schemas.openxmlformats.org/officeDocument/2006/relationships/hyperlink" Target="https://www.cdc.gov/covid/prevention/index.html?utm_source=chatgpt.com" TargetMode="External" Id="Rd9c60174f7c94a9b" /><Relationship Type="http://schemas.openxmlformats.org/officeDocument/2006/relationships/hyperlink" Target="https://www.legislation.gov.uk/ukpga/2020/7?utm_source=chatgpt.com" TargetMode="External" Id="R4f52a0e63c7b42d1" /><Relationship Type="http://schemas.openxmlformats.org/officeDocument/2006/relationships/hyperlink" Target="https://doi.org/10.1038/s41541-023-00773-0" TargetMode="External" Id="R0885e8d14765479d" /><Relationship Type="http://schemas.openxmlformats.org/officeDocument/2006/relationships/hyperlink" Target="https://bmjopen.bmj.com/content/11/2/e047353?utm_source=chatgpt.com" TargetMode="External" Id="R9f16be58fa6d4305" /><Relationship Type="http://schemas.openxmlformats.org/officeDocument/2006/relationships/hyperlink" Target="https://pmc.ncbi.nlm.nih.gov/articles/PMC9538825/?utm_source=chatgpt.com" TargetMode="External" Id="R446355032ea54e79" /><Relationship Type="http://schemas.openxmlformats.org/officeDocument/2006/relationships/hyperlink" Target="https://academic.oup.com/bjsw/article/54/3/885/7343238?utm_source=chatgpt.com" TargetMode="External" Id="R5df8e2c808524ec3" /><Relationship Type="http://schemas.openxmlformats.org/officeDocument/2006/relationships/hyperlink" Target="https://www.kingsfund.org.uk/insight-and-analysis/long-reads/covid-19-magnified-social-care-problems?utm_source=chatgpt.com" TargetMode="External" Id="R04bcabd9921746b5" /><Relationship Type="http://schemas.openxmlformats.org/officeDocument/2006/relationships/hyperlink" Target="https://www.bma.org.uk/advice-and-support/covid-19/what-the-bma-is-doing/covid-19-impact-of-the-pandemic-on-healthcare-delivery?utm_source=chatgpt.com" TargetMode="External" Id="R00b88614dc814e72" /><Relationship Type="http://schemas.openxmlformats.org/officeDocument/2006/relationships/hyperlink" Target="https://www.gov.uk/government/publications/childrens-social-care-2022-recovering-from-the-covid-19-pandemic/childrens-social-care-2022-recovering-from-the-covid-19-pandemic?utm_source=chatgpt.com" TargetMode="External" Id="Rdf98589b62fb4c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Sonia Ali (2311446)</dc:creator>
  <keywords/>
  <dc:description/>
  <lastModifiedBy>Sonia Ali (2311446)</lastModifiedBy>
  <revision>6</revision>
  <dcterms:created xsi:type="dcterms:W3CDTF">2025-11-10T16:09:41.6904394Z</dcterms:created>
  <dcterms:modified xsi:type="dcterms:W3CDTF">2025-11-11T16:50:16.1358703Z</dcterms:modified>
</coreProperties>
</file>