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8E943F" w14:textId="41AF8ADD" w:rsidR="00CA4F1E" w:rsidRPr="00005F20" w:rsidRDefault="00CA4F1E" w:rsidP="00CA4F1E">
      <w:pPr>
        <w:spacing w:after="0" w:line="360" w:lineRule="auto"/>
        <w:contextualSpacing/>
        <w:jc w:val="center"/>
        <w:rPr>
          <w:rFonts w:ascii="Arial" w:hAnsi="Arial" w:cs="Arial"/>
          <w:b/>
          <w:bCs/>
          <w:sz w:val="22"/>
          <w:szCs w:val="22"/>
        </w:rPr>
      </w:pPr>
    </w:p>
    <w:p w14:paraId="449C9602" w14:textId="77777777" w:rsidR="00A52148" w:rsidRPr="00005F20" w:rsidRDefault="00A52148" w:rsidP="003A4A3B">
      <w:pPr>
        <w:spacing w:after="0" w:line="360" w:lineRule="auto"/>
        <w:contextualSpacing/>
        <w:jc w:val="center"/>
        <w:rPr>
          <w:rFonts w:ascii="Arial" w:hAnsi="Arial" w:cs="Arial"/>
          <w:sz w:val="22"/>
          <w:szCs w:val="22"/>
        </w:rPr>
      </w:pPr>
    </w:p>
    <w:p w14:paraId="4725F5DF" w14:textId="77777777" w:rsidR="00A52148" w:rsidRPr="00005F20" w:rsidRDefault="00A52148" w:rsidP="003A4A3B">
      <w:pPr>
        <w:spacing w:after="0" w:line="360" w:lineRule="auto"/>
        <w:contextualSpacing/>
        <w:jc w:val="center"/>
        <w:rPr>
          <w:rFonts w:ascii="Arial" w:hAnsi="Arial" w:cs="Arial"/>
          <w:sz w:val="22"/>
          <w:szCs w:val="22"/>
        </w:rPr>
      </w:pPr>
    </w:p>
    <w:p w14:paraId="3D97D7DB" w14:textId="77777777" w:rsidR="000667B7" w:rsidRDefault="000667B7" w:rsidP="000667B7">
      <w:pPr>
        <w:spacing w:after="0" w:line="360" w:lineRule="auto"/>
        <w:contextualSpacing/>
        <w:rPr>
          <w:rFonts w:ascii="Arial" w:hAnsi="Arial" w:cs="Arial"/>
          <w:sz w:val="22"/>
          <w:szCs w:val="22"/>
        </w:rPr>
      </w:pPr>
      <w:r>
        <w:rPr>
          <w:rFonts w:ascii="Arial" w:hAnsi="Arial" w:cs="Arial"/>
          <w:sz w:val="22"/>
          <w:szCs w:val="22"/>
        </w:rPr>
        <w:t xml:space="preserve">NAME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 MAHAMADFARAZ HANIFBHAI BELIM</w:t>
      </w:r>
    </w:p>
    <w:p w14:paraId="0540C833" w14:textId="77777777" w:rsidR="000667B7" w:rsidRDefault="000667B7" w:rsidP="000667B7">
      <w:pPr>
        <w:spacing w:after="0" w:line="360" w:lineRule="auto"/>
        <w:contextualSpacing/>
        <w:rPr>
          <w:rFonts w:ascii="Arial" w:hAnsi="Arial" w:cs="Arial"/>
          <w:sz w:val="22"/>
          <w:szCs w:val="22"/>
        </w:rPr>
      </w:pPr>
    </w:p>
    <w:p w14:paraId="214D05A0" w14:textId="77777777" w:rsidR="000667B7" w:rsidRDefault="000667B7" w:rsidP="000667B7">
      <w:pPr>
        <w:spacing w:after="0" w:line="360" w:lineRule="auto"/>
        <w:contextualSpacing/>
        <w:rPr>
          <w:rFonts w:ascii="Arial" w:hAnsi="Arial" w:cs="Arial"/>
          <w:sz w:val="22"/>
          <w:szCs w:val="22"/>
        </w:rPr>
      </w:pPr>
      <w:r>
        <w:rPr>
          <w:rFonts w:ascii="Arial" w:hAnsi="Arial" w:cs="Arial"/>
          <w:sz w:val="22"/>
          <w:szCs w:val="22"/>
        </w:rPr>
        <w:t xml:space="preserve">STUDENT ID </w:t>
      </w:r>
      <w:r>
        <w:rPr>
          <w:rFonts w:ascii="Arial" w:hAnsi="Arial" w:cs="Arial"/>
          <w:sz w:val="22"/>
          <w:szCs w:val="22"/>
        </w:rPr>
        <w:tab/>
      </w:r>
      <w:r>
        <w:rPr>
          <w:rFonts w:ascii="Arial" w:hAnsi="Arial" w:cs="Arial"/>
          <w:sz w:val="22"/>
          <w:szCs w:val="22"/>
        </w:rPr>
        <w:tab/>
        <w:t xml:space="preserve"> : 2504518</w:t>
      </w:r>
    </w:p>
    <w:p w14:paraId="22DD8E56" w14:textId="77777777" w:rsidR="000667B7" w:rsidRDefault="000667B7" w:rsidP="000667B7">
      <w:pPr>
        <w:spacing w:after="0" w:line="360" w:lineRule="auto"/>
        <w:contextualSpacing/>
        <w:rPr>
          <w:rFonts w:ascii="Arial" w:hAnsi="Arial" w:cs="Arial"/>
          <w:sz w:val="22"/>
          <w:szCs w:val="22"/>
        </w:rPr>
      </w:pPr>
    </w:p>
    <w:p w14:paraId="28AA5076" w14:textId="77777777" w:rsidR="000667B7" w:rsidRDefault="000667B7" w:rsidP="000667B7">
      <w:pPr>
        <w:spacing w:after="0" w:line="360" w:lineRule="auto"/>
        <w:contextualSpacing/>
        <w:rPr>
          <w:rFonts w:ascii="Arial" w:hAnsi="Arial" w:cs="Arial"/>
          <w:sz w:val="22"/>
          <w:szCs w:val="22"/>
        </w:rPr>
      </w:pPr>
      <w:r>
        <w:rPr>
          <w:rFonts w:ascii="Arial" w:hAnsi="Arial" w:cs="Arial"/>
          <w:sz w:val="22"/>
          <w:szCs w:val="22"/>
        </w:rPr>
        <w:t>PROGRAMME</w:t>
      </w:r>
      <w:r>
        <w:rPr>
          <w:rFonts w:ascii="Arial" w:hAnsi="Arial" w:cs="Arial"/>
          <w:sz w:val="22"/>
          <w:szCs w:val="22"/>
        </w:rPr>
        <w:tab/>
        <w:t xml:space="preserve"> : MSC PUBLIC HEALTH AND SOCIAL CARE IN PRACTICE </w:t>
      </w:r>
    </w:p>
    <w:p w14:paraId="28DD82D4" w14:textId="77777777" w:rsidR="000667B7" w:rsidRDefault="000667B7" w:rsidP="000667B7">
      <w:pPr>
        <w:spacing w:after="0" w:line="360" w:lineRule="auto"/>
        <w:contextualSpacing/>
        <w:rPr>
          <w:rFonts w:ascii="Arial" w:hAnsi="Arial" w:cs="Arial"/>
          <w:sz w:val="22"/>
          <w:szCs w:val="22"/>
        </w:rPr>
      </w:pPr>
    </w:p>
    <w:p w14:paraId="54F0CF30" w14:textId="77777777" w:rsidR="000667B7" w:rsidRDefault="000667B7" w:rsidP="000667B7">
      <w:pPr>
        <w:spacing w:after="0" w:line="360" w:lineRule="auto"/>
        <w:contextualSpacing/>
        <w:rPr>
          <w:rFonts w:ascii="Arial" w:hAnsi="Arial" w:cs="Arial"/>
          <w:sz w:val="22"/>
          <w:szCs w:val="22"/>
        </w:rPr>
      </w:pPr>
      <w:r>
        <w:rPr>
          <w:rFonts w:ascii="Arial" w:hAnsi="Arial" w:cs="Arial"/>
          <w:sz w:val="22"/>
          <w:szCs w:val="22"/>
        </w:rPr>
        <w:t xml:space="preserve">MODULE NAME </w:t>
      </w:r>
      <w:r>
        <w:rPr>
          <w:rFonts w:ascii="Arial" w:hAnsi="Arial" w:cs="Arial"/>
          <w:sz w:val="22"/>
          <w:szCs w:val="22"/>
        </w:rPr>
        <w:tab/>
        <w:t xml:space="preserve"> : SOCIAL EPIDEMIOLOGY AND PUBLIC HEALTH DEVELOPMENT</w:t>
      </w:r>
    </w:p>
    <w:p w14:paraId="35494BEA" w14:textId="77777777" w:rsidR="000667B7" w:rsidRDefault="000667B7" w:rsidP="000667B7">
      <w:pPr>
        <w:spacing w:after="0" w:line="360" w:lineRule="auto"/>
        <w:contextualSpacing/>
        <w:rPr>
          <w:rFonts w:ascii="Arial" w:hAnsi="Arial" w:cs="Arial"/>
          <w:sz w:val="22"/>
          <w:szCs w:val="22"/>
        </w:rPr>
      </w:pPr>
    </w:p>
    <w:p w14:paraId="57F223ED" w14:textId="77777777" w:rsidR="000667B7" w:rsidRDefault="000667B7" w:rsidP="000667B7">
      <w:pPr>
        <w:spacing w:after="0" w:line="360" w:lineRule="auto"/>
        <w:contextualSpacing/>
        <w:rPr>
          <w:rFonts w:ascii="Arial" w:hAnsi="Arial" w:cs="Arial"/>
          <w:sz w:val="22"/>
          <w:szCs w:val="22"/>
        </w:rPr>
      </w:pPr>
      <w:r>
        <w:rPr>
          <w:rFonts w:ascii="Arial" w:hAnsi="Arial" w:cs="Arial"/>
          <w:sz w:val="22"/>
          <w:szCs w:val="22"/>
        </w:rPr>
        <w:t xml:space="preserve">MODULE CODE </w:t>
      </w:r>
      <w:r>
        <w:rPr>
          <w:rFonts w:ascii="Arial" w:hAnsi="Arial" w:cs="Arial"/>
          <w:sz w:val="22"/>
          <w:szCs w:val="22"/>
        </w:rPr>
        <w:tab/>
        <w:t xml:space="preserve"> : LCHS7000</w:t>
      </w:r>
    </w:p>
    <w:p w14:paraId="7F5925B8" w14:textId="77777777" w:rsidR="000667B7" w:rsidRDefault="000667B7" w:rsidP="000667B7">
      <w:pPr>
        <w:spacing w:after="0" w:line="360" w:lineRule="auto"/>
        <w:contextualSpacing/>
        <w:rPr>
          <w:rFonts w:ascii="Arial" w:hAnsi="Arial" w:cs="Arial"/>
          <w:sz w:val="22"/>
          <w:szCs w:val="22"/>
        </w:rPr>
      </w:pPr>
    </w:p>
    <w:p w14:paraId="1A08EFE5" w14:textId="77777777" w:rsidR="000667B7" w:rsidRDefault="000667B7" w:rsidP="000667B7">
      <w:pPr>
        <w:spacing w:after="0" w:line="360" w:lineRule="auto"/>
        <w:contextualSpacing/>
        <w:rPr>
          <w:rFonts w:ascii="Arial" w:hAnsi="Arial" w:cs="Arial"/>
          <w:sz w:val="22"/>
          <w:szCs w:val="22"/>
        </w:rPr>
      </w:pPr>
      <w:r>
        <w:rPr>
          <w:rFonts w:ascii="Arial" w:hAnsi="Arial" w:cs="Arial"/>
          <w:sz w:val="22"/>
          <w:szCs w:val="22"/>
        </w:rPr>
        <w:t xml:space="preserve">LECTURER </w:t>
      </w:r>
      <w:r>
        <w:rPr>
          <w:rFonts w:ascii="Arial" w:hAnsi="Arial" w:cs="Arial"/>
          <w:sz w:val="22"/>
          <w:szCs w:val="22"/>
        </w:rPr>
        <w:tab/>
      </w:r>
      <w:r>
        <w:rPr>
          <w:rFonts w:ascii="Arial" w:hAnsi="Arial" w:cs="Arial"/>
          <w:sz w:val="22"/>
          <w:szCs w:val="22"/>
        </w:rPr>
        <w:tab/>
        <w:t xml:space="preserve"> : DR.HAMDI HUSSAIN</w:t>
      </w:r>
    </w:p>
    <w:p w14:paraId="63E7D4F8" w14:textId="77777777" w:rsidR="000667B7" w:rsidRPr="003A4A3B" w:rsidRDefault="000667B7" w:rsidP="000667B7">
      <w:pPr>
        <w:spacing w:after="0" w:line="360" w:lineRule="auto"/>
        <w:contextualSpacing/>
        <w:rPr>
          <w:rFonts w:ascii="Arial" w:hAnsi="Arial" w:cs="Arial"/>
          <w:sz w:val="22"/>
          <w:szCs w:val="22"/>
        </w:rPr>
      </w:pPr>
    </w:p>
    <w:p w14:paraId="4FE21173" w14:textId="77777777" w:rsidR="000667B7" w:rsidRPr="003A4A3B" w:rsidRDefault="000667B7" w:rsidP="000667B7">
      <w:pPr>
        <w:spacing w:after="0" w:line="360" w:lineRule="auto"/>
        <w:contextualSpacing/>
        <w:rPr>
          <w:rFonts w:ascii="Arial" w:hAnsi="Arial" w:cs="Arial"/>
          <w:sz w:val="22"/>
          <w:szCs w:val="22"/>
        </w:rPr>
      </w:pPr>
      <w:r>
        <w:rPr>
          <w:rFonts w:ascii="Arial" w:hAnsi="Arial" w:cs="Arial"/>
          <w:sz w:val="22"/>
          <w:szCs w:val="22"/>
        </w:rPr>
        <w:t xml:space="preserve">ASSIGNMENT TITLE  : COMPONENT 2 ANALYTICAL REPORT </w:t>
      </w:r>
    </w:p>
    <w:p w14:paraId="44C5F06B" w14:textId="77777777" w:rsidR="00A52148" w:rsidRPr="00005F20" w:rsidRDefault="00370E8D" w:rsidP="00A52148">
      <w:pPr>
        <w:jc w:val="center"/>
        <w:rPr>
          <w:rFonts w:ascii="Arial" w:hAnsi="Arial" w:cs="Arial"/>
          <w:b/>
          <w:bCs/>
          <w:sz w:val="22"/>
          <w:szCs w:val="22"/>
        </w:rPr>
      </w:pPr>
      <w:r w:rsidRPr="00005F20">
        <w:rPr>
          <w:rFonts w:ascii="Arial" w:hAnsi="Arial" w:cs="Arial"/>
          <w:b/>
          <w:bCs/>
          <w:sz w:val="22"/>
          <w:szCs w:val="22"/>
        </w:rPr>
        <w:br w:type="page"/>
      </w:r>
    </w:p>
    <w:p w14:paraId="31C7C154" w14:textId="48824B46" w:rsidR="00CA4F1E" w:rsidRPr="00005F20" w:rsidRDefault="00CA4F1E" w:rsidP="00CA4F1E">
      <w:pPr>
        <w:spacing w:after="0" w:line="360" w:lineRule="auto"/>
        <w:contextualSpacing/>
        <w:jc w:val="center"/>
        <w:rPr>
          <w:rFonts w:ascii="Arial" w:hAnsi="Arial" w:cs="Arial"/>
          <w:b/>
          <w:bCs/>
          <w:sz w:val="22"/>
          <w:szCs w:val="22"/>
        </w:rPr>
      </w:pPr>
      <w:bookmarkStart w:id="0" w:name="_Hlk213510860"/>
      <w:r w:rsidRPr="00005F20">
        <w:rPr>
          <w:rFonts w:ascii="Arial" w:hAnsi="Arial" w:cs="Arial"/>
          <w:b/>
          <w:bCs/>
          <w:sz w:val="22"/>
          <w:szCs w:val="22"/>
        </w:rPr>
        <w:lastRenderedPageBreak/>
        <w:t>Ethnicity and Health Inequalities in the UK</w:t>
      </w:r>
    </w:p>
    <w:p w14:paraId="3D13E858" w14:textId="2B8BEB1F" w:rsidR="003F2632" w:rsidRPr="00005F20" w:rsidRDefault="00370E8D" w:rsidP="00175F72">
      <w:pPr>
        <w:spacing w:after="0" w:line="360" w:lineRule="auto"/>
        <w:contextualSpacing/>
        <w:rPr>
          <w:rFonts w:ascii="Arial" w:hAnsi="Arial" w:cs="Arial"/>
          <w:sz w:val="22"/>
          <w:szCs w:val="22"/>
        </w:rPr>
      </w:pPr>
      <w:r w:rsidRPr="00005F20">
        <w:rPr>
          <w:rFonts w:ascii="Arial" w:hAnsi="Arial" w:cs="Arial"/>
          <w:b/>
          <w:bCs/>
          <w:sz w:val="22"/>
          <w:szCs w:val="22"/>
        </w:rPr>
        <w:t>Task 1</w:t>
      </w:r>
      <w:r w:rsidRPr="00005F20">
        <w:rPr>
          <w:rFonts w:ascii="Arial" w:hAnsi="Arial" w:cs="Arial"/>
          <w:sz w:val="22"/>
          <w:szCs w:val="22"/>
        </w:rPr>
        <w:t xml:space="preserve"> </w:t>
      </w:r>
    </w:p>
    <w:bookmarkEnd w:id="0"/>
    <w:p w14:paraId="5B4593FB" w14:textId="77777777" w:rsidR="00E976B2" w:rsidRPr="00005F20" w:rsidRDefault="00370E8D" w:rsidP="00175F72">
      <w:pPr>
        <w:spacing w:after="0" w:line="360" w:lineRule="auto"/>
        <w:contextualSpacing/>
        <w:rPr>
          <w:rFonts w:ascii="Arial" w:hAnsi="Arial" w:cs="Arial"/>
          <w:b/>
          <w:bCs/>
          <w:sz w:val="22"/>
          <w:szCs w:val="22"/>
        </w:rPr>
      </w:pPr>
      <w:r w:rsidRPr="00005F20">
        <w:rPr>
          <w:rFonts w:ascii="Arial" w:hAnsi="Arial" w:cs="Arial"/>
          <w:b/>
          <w:bCs/>
          <w:sz w:val="22"/>
          <w:szCs w:val="22"/>
        </w:rPr>
        <w:t>Introduction</w:t>
      </w:r>
    </w:p>
    <w:p w14:paraId="6AC56154" w14:textId="77777777" w:rsidR="00472DC5" w:rsidRPr="00005F20" w:rsidRDefault="00472DC5" w:rsidP="00602C11">
      <w:pPr>
        <w:spacing w:after="0" w:line="360" w:lineRule="auto"/>
        <w:ind w:firstLine="720"/>
        <w:contextualSpacing/>
        <w:rPr>
          <w:rFonts w:ascii="Arial" w:hAnsi="Arial" w:cs="Arial"/>
          <w:sz w:val="22"/>
          <w:szCs w:val="22"/>
        </w:rPr>
      </w:pPr>
      <w:bookmarkStart w:id="1" w:name="_Hlk213523279"/>
      <w:bookmarkStart w:id="2" w:name="_Hlk211509297"/>
      <w:r w:rsidRPr="00005F20">
        <w:rPr>
          <w:rFonts w:ascii="Arial" w:hAnsi="Arial" w:cs="Arial"/>
          <w:sz w:val="22"/>
          <w:szCs w:val="22"/>
        </w:rPr>
        <w:t>Ethnic health inequalities, particularly among the blacks and South Asians people in the UK, are still a significant issue. These are linked to chronic and mental disorders and socioeconomic conditions (Meng et al., 2024). Systemic factors, such as institutional racism, socioeconomic deprivation, inadequate access to culturally competent care, and many other conditions, have also become more prevalent in these groups of the population (cardiovascular diseases, CVD, diabetes, and mental health, among others), which are largely attributable to systemic factors (Marmot, 2024; Jackson et al., 2025). Moreover, these health disparities became more intensive due to COVID-19, and, therefore, it was required to transform the system into facilitating health equity (Bhui et al., 2025). In resolving these inequalities, there is a need to take healthy and certain steps towards ensuring that all ethnicities receive equal healthcare</w:t>
      </w:r>
      <w:bookmarkStart w:id="3" w:name="_Hlk213508926"/>
      <w:r w:rsidRPr="00005F20">
        <w:rPr>
          <w:rFonts w:ascii="Arial" w:hAnsi="Arial" w:cs="Arial"/>
          <w:sz w:val="22"/>
          <w:szCs w:val="22"/>
        </w:rPr>
        <w:t xml:space="preserve"> (English et al., 2024).</w:t>
      </w:r>
      <w:bookmarkEnd w:id="3"/>
    </w:p>
    <w:p w14:paraId="3E4AF899" w14:textId="268A1273" w:rsidR="00E976B2" w:rsidRPr="00005F20" w:rsidRDefault="00370E8D" w:rsidP="00602C11">
      <w:pPr>
        <w:spacing w:after="0" w:line="360" w:lineRule="auto"/>
        <w:contextualSpacing/>
        <w:rPr>
          <w:rFonts w:ascii="Arial" w:hAnsi="Arial" w:cs="Arial"/>
          <w:b/>
          <w:bCs/>
          <w:sz w:val="22"/>
          <w:szCs w:val="22"/>
        </w:rPr>
      </w:pPr>
      <w:r w:rsidRPr="00005F20">
        <w:rPr>
          <w:rFonts w:ascii="Arial" w:hAnsi="Arial" w:cs="Arial"/>
          <w:b/>
          <w:bCs/>
          <w:sz w:val="22"/>
          <w:szCs w:val="22"/>
        </w:rPr>
        <w:t>Background Information and Background Factor.</w:t>
      </w:r>
    </w:p>
    <w:p w14:paraId="5D2FE557" w14:textId="77777777" w:rsidR="00E976B2" w:rsidRPr="00005F20" w:rsidRDefault="00370E8D" w:rsidP="00602C11">
      <w:pPr>
        <w:spacing w:after="0" w:line="360" w:lineRule="auto"/>
        <w:contextualSpacing/>
        <w:rPr>
          <w:rFonts w:ascii="Arial" w:hAnsi="Arial" w:cs="Arial"/>
          <w:b/>
          <w:bCs/>
          <w:sz w:val="22"/>
          <w:szCs w:val="22"/>
        </w:rPr>
      </w:pPr>
      <w:r w:rsidRPr="00005F20">
        <w:rPr>
          <w:rFonts w:ascii="Arial" w:hAnsi="Arial" w:cs="Arial"/>
          <w:b/>
          <w:bCs/>
          <w:sz w:val="22"/>
          <w:szCs w:val="22"/>
        </w:rPr>
        <w:t>Diseases and Illnesses</w:t>
      </w:r>
    </w:p>
    <w:p w14:paraId="117E19B1" w14:textId="755C2B22" w:rsidR="00E976B2" w:rsidRPr="00005F20" w:rsidRDefault="00370E8D" w:rsidP="00005F20">
      <w:pPr>
        <w:pStyle w:val="ListParagraph"/>
        <w:numPr>
          <w:ilvl w:val="0"/>
          <w:numId w:val="26"/>
        </w:numPr>
        <w:spacing w:after="0" w:line="360" w:lineRule="auto"/>
        <w:rPr>
          <w:rFonts w:ascii="Arial" w:hAnsi="Arial" w:cs="Arial"/>
          <w:b/>
          <w:bCs/>
          <w:sz w:val="22"/>
          <w:szCs w:val="22"/>
        </w:rPr>
      </w:pPr>
      <w:r w:rsidRPr="00005F20">
        <w:rPr>
          <w:rFonts w:ascii="Arial" w:hAnsi="Arial" w:cs="Arial"/>
          <w:b/>
          <w:bCs/>
          <w:sz w:val="22"/>
          <w:szCs w:val="22"/>
        </w:rPr>
        <w:t>Heart Diseases in South Asians.</w:t>
      </w:r>
    </w:p>
    <w:p w14:paraId="05685375" w14:textId="22F92412" w:rsidR="00ED191E" w:rsidRPr="00005F20" w:rsidRDefault="00ED191E" w:rsidP="00005F20">
      <w:pPr>
        <w:pStyle w:val="ListParagraph"/>
        <w:spacing w:after="0" w:line="360" w:lineRule="auto"/>
        <w:ind w:left="1440"/>
        <w:rPr>
          <w:rFonts w:ascii="Arial" w:hAnsi="Arial" w:cs="Arial"/>
          <w:sz w:val="22"/>
          <w:szCs w:val="22"/>
        </w:rPr>
      </w:pPr>
      <w:r w:rsidRPr="00005F20">
        <w:rPr>
          <w:rFonts w:ascii="Arial" w:hAnsi="Arial" w:cs="Arial"/>
          <w:sz w:val="22"/>
          <w:szCs w:val="22"/>
        </w:rPr>
        <w:t>The incidence of contracting cardiovascular diseases (CVD) is exceptionally high among the South Asian people (which includes the Pakistan and the Bangladeshi groups) in comparison with the White British</w:t>
      </w:r>
      <w:r w:rsidR="00602C11" w:rsidRPr="00005F20">
        <w:rPr>
          <w:rFonts w:ascii="Arial" w:hAnsi="Arial" w:cs="Arial"/>
          <w:sz w:val="22"/>
          <w:szCs w:val="22"/>
        </w:rPr>
        <w:t xml:space="preserve"> (Kar, 2025)</w:t>
      </w:r>
      <w:r w:rsidRPr="00005F20">
        <w:rPr>
          <w:rFonts w:ascii="Arial" w:hAnsi="Arial" w:cs="Arial"/>
          <w:sz w:val="22"/>
          <w:szCs w:val="22"/>
        </w:rPr>
        <w:t>. The South Asian males have been known to be 40% more prone to becoming patients of heart diseases as compared to the Whites (Re et al., 2023). That gap appears to be highly apparent among such communities, and it appears to be the cause of both the predisposition and the socioeconomic factors (poor access to preventative health care, unhealthy diet, and sedentary lifestyles) (Anand et al., 2025). The health interventions, including physical exercise, heart-diet, and regular health check-ups, would be helpful in the reduction of the risk of CVD in the members of these communities (Brady et al., 2025).</w:t>
      </w:r>
    </w:p>
    <w:p w14:paraId="4939B8BA" w14:textId="54855D1B" w:rsidR="00E976B2" w:rsidRPr="00005F20" w:rsidRDefault="00472DC5" w:rsidP="00005F20">
      <w:pPr>
        <w:pStyle w:val="ListParagraph"/>
        <w:numPr>
          <w:ilvl w:val="0"/>
          <w:numId w:val="26"/>
        </w:numPr>
        <w:spacing w:after="0" w:line="360" w:lineRule="auto"/>
        <w:rPr>
          <w:rFonts w:ascii="Arial" w:hAnsi="Arial" w:cs="Arial"/>
          <w:b/>
          <w:bCs/>
          <w:sz w:val="22"/>
          <w:szCs w:val="22"/>
        </w:rPr>
      </w:pPr>
      <w:r w:rsidRPr="00005F20">
        <w:rPr>
          <w:rFonts w:ascii="Arial" w:hAnsi="Arial" w:cs="Arial"/>
          <w:b/>
          <w:bCs/>
          <w:sz w:val="22"/>
          <w:szCs w:val="22"/>
        </w:rPr>
        <w:t>Mental health issues of black people</w:t>
      </w:r>
    </w:p>
    <w:p w14:paraId="0F96BD26" w14:textId="29636981" w:rsidR="00472DC5" w:rsidRPr="00005F20" w:rsidRDefault="00472DC5" w:rsidP="00005F20">
      <w:pPr>
        <w:spacing w:after="0" w:line="360" w:lineRule="auto"/>
        <w:ind w:left="1440"/>
        <w:rPr>
          <w:rFonts w:ascii="Arial" w:hAnsi="Arial" w:cs="Arial"/>
          <w:sz w:val="22"/>
          <w:szCs w:val="22"/>
        </w:rPr>
      </w:pPr>
      <w:r w:rsidRPr="00005F20">
        <w:rPr>
          <w:rFonts w:ascii="Arial" w:hAnsi="Arial" w:cs="Arial"/>
          <w:sz w:val="22"/>
          <w:szCs w:val="22"/>
        </w:rPr>
        <w:t xml:space="preserve">Black Caribbean and Black African ethnic minority groups are more prone to the worst mental conditions, such as schizophrenic and psychotic conditions. The prevalence of schizophrenia is nearly three times higher in Blacks than in Whites (Stepanova, 2025). Racial stereotyping adds to the differences, and negative encounters with mental services and social isolation. Imprisonment of the black people against their desire is also possible, and they normally get </w:t>
      </w:r>
      <w:r w:rsidRPr="00005F20">
        <w:rPr>
          <w:rFonts w:ascii="Arial" w:hAnsi="Arial" w:cs="Arial"/>
          <w:sz w:val="22"/>
          <w:szCs w:val="22"/>
        </w:rPr>
        <w:lastRenderedPageBreak/>
        <w:t>more violent treatment, like physical restraints in a psychiatric ward (Bhui et al., 2025). Partially, these problems can be attributed to the absence of culturally competent care and institutional racism (Pedersen et al., 2025).</w:t>
      </w:r>
      <w:r w:rsidR="003B2EA3" w:rsidRPr="00005F20">
        <w:rPr>
          <w:rFonts w:ascii="Arial" w:hAnsi="Arial" w:cs="Arial"/>
          <w:sz w:val="22"/>
          <w:szCs w:val="22"/>
        </w:rPr>
        <w:t xml:space="preserve"> Providing culturally competent mental health care and increasing diversity in the healthcare workforce can reduce discrimination and improve care outcomes for Black communities</w:t>
      </w:r>
      <w:r w:rsidR="00FC6F5D" w:rsidRPr="00005F20">
        <w:rPr>
          <w:rFonts w:ascii="Arial" w:hAnsi="Arial" w:cs="Arial"/>
          <w:sz w:val="22"/>
          <w:szCs w:val="22"/>
        </w:rPr>
        <w:t>(Marmot, 2024).</w:t>
      </w:r>
    </w:p>
    <w:p w14:paraId="69B7C198" w14:textId="1B5DF4B4" w:rsidR="00E976B2" w:rsidRPr="00005F20" w:rsidRDefault="00370E8D" w:rsidP="00005F20">
      <w:pPr>
        <w:pStyle w:val="ListParagraph"/>
        <w:numPr>
          <w:ilvl w:val="0"/>
          <w:numId w:val="26"/>
        </w:numPr>
        <w:spacing w:after="0" w:line="360" w:lineRule="auto"/>
        <w:rPr>
          <w:rFonts w:ascii="Arial" w:hAnsi="Arial" w:cs="Arial"/>
          <w:b/>
          <w:bCs/>
          <w:sz w:val="22"/>
          <w:szCs w:val="22"/>
        </w:rPr>
      </w:pPr>
      <w:r w:rsidRPr="00005F20">
        <w:rPr>
          <w:rFonts w:ascii="Arial" w:hAnsi="Arial" w:cs="Arial"/>
          <w:b/>
          <w:bCs/>
          <w:sz w:val="22"/>
          <w:szCs w:val="22"/>
        </w:rPr>
        <w:t>Diabetes and Obesity in Ethnic Minorities</w:t>
      </w:r>
    </w:p>
    <w:p w14:paraId="51CF8FB7" w14:textId="77777777" w:rsidR="00255EE3" w:rsidRPr="00005F20" w:rsidRDefault="00472DC5" w:rsidP="00005F20">
      <w:pPr>
        <w:pStyle w:val="ListParagraph"/>
        <w:spacing w:after="0" w:line="360" w:lineRule="auto"/>
        <w:ind w:left="1440"/>
        <w:rPr>
          <w:rFonts w:ascii="Arial" w:hAnsi="Arial" w:cs="Arial"/>
          <w:sz w:val="22"/>
          <w:szCs w:val="22"/>
        </w:rPr>
      </w:pPr>
      <w:r w:rsidRPr="00005F20">
        <w:rPr>
          <w:rFonts w:ascii="Arial" w:hAnsi="Arial" w:cs="Arial"/>
          <w:sz w:val="22"/>
          <w:szCs w:val="22"/>
        </w:rPr>
        <w:t xml:space="preserve">This is because the incidence of type 2 diabetes is significantly higher in South Asians, particularly in Pakistan and Bangladeshi populations, compared to population groups in White Britain (Wu et al., 2025). Socioeconomic factors that lead to obesity and diabetes in these communities are poverty, unhealthy food, and the inability to access healthcare (Beulens et al., 2024). </w:t>
      </w:r>
      <w:r w:rsidR="00255EE3" w:rsidRPr="00005F20">
        <w:rPr>
          <w:rFonts w:ascii="Arial" w:hAnsi="Arial" w:cs="Arial"/>
          <w:sz w:val="22"/>
          <w:szCs w:val="22"/>
        </w:rPr>
        <w:t xml:space="preserve">Addressing the issue by the early screening program and community-based health intervention based on nutrition, exercise, and weight control (Re et al., 2023). </w:t>
      </w:r>
    </w:p>
    <w:p w14:paraId="70A63230" w14:textId="22C92ED5" w:rsidR="00E976B2" w:rsidRPr="00005F20" w:rsidRDefault="00370E8D" w:rsidP="00602C11">
      <w:pPr>
        <w:spacing w:after="0" w:line="360" w:lineRule="auto"/>
        <w:rPr>
          <w:rFonts w:ascii="Arial" w:hAnsi="Arial" w:cs="Arial"/>
          <w:b/>
          <w:bCs/>
          <w:sz w:val="22"/>
          <w:szCs w:val="22"/>
        </w:rPr>
      </w:pPr>
      <w:r w:rsidRPr="00005F20">
        <w:rPr>
          <w:rFonts w:ascii="Arial" w:hAnsi="Arial" w:cs="Arial"/>
          <w:b/>
          <w:bCs/>
          <w:sz w:val="22"/>
          <w:szCs w:val="22"/>
        </w:rPr>
        <w:t>Social Issues</w:t>
      </w:r>
    </w:p>
    <w:p w14:paraId="32E05160" w14:textId="709D8725" w:rsidR="00E976B2" w:rsidRPr="00005F20" w:rsidRDefault="00370E8D" w:rsidP="00005F20">
      <w:pPr>
        <w:pStyle w:val="ListParagraph"/>
        <w:numPr>
          <w:ilvl w:val="1"/>
          <w:numId w:val="28"/>
        </w:numPr>
        <w:spacing w:after="0" w:line="360" w:lineRule="auto"/>
        <w:rPr>
          <w:rFonts w:ascii="Arial" w:hAnsi="Arial" w:cs="Arial"/>
          <w:b/>
          <w:bCs/>
          <w:sz w:val="22"/>
          <w:szCs w:val="22"/>
        </w:rPr>
      </w:pPr>
      <w:r w:rsidRPr="00005F20">
        <w:rPr>
          <w:rFonts w:ascii="Arial" w:hAnsi="Arial" w:cs="Arial"/>
          <w:b/>
          <w:bCs/>
          <w:sz w:val="22"/>
          <w:szCs w:val="22"/>
        </w:rPr>
        <w:t>Socioeconomic Deprivation</w:t>
      </w:r>
    </w:p>
    <w:p w14:paraId="6A093E66" w14:textId="5338689C" w:rsidR="00255EE3" w:rsidRPr="00005F20" w:rsidRDefault="00255EE3" w:rsidP="00005F20">
      <w:pPr>
        <w:pStyle w:val="ListParagraph"/>
        <w:spacing w:after="0" w:line="360" w:lineRule="auto"/>
        <w:ind w:left="1440"/>
        <w:rPr>
          <w:rFonts w:ascii="Arial" w:hAnsi="Arial" w:cs="Arial"/>
          <w:b/>
          <w:bCs/>
          <w:sz w:val="22"/>
          <w:szCs w:val="22"/>
        </w:rPr>
      </w:pPr>
      <w:r w:rsidRPr="00005F20">
        <w:rPr>
          <w:rFonts w:ascii="Arial" w:hAnsi="Arial" w:cs="Arial"/>
          <w:sz w:val="22"/>
          <w:szCs w:val="22"/>
        </w:rPr>
        <w:t>The South Asians and Blacks, especially, Pakistan and Bangladesh groups, are disenfranchised of socioeconomic determinants, to a great extent, and spend six months in the deprived territory (McAllister et al., 2024). It turns them into the source of chronic diseases such as diabetes, CVDs, and mental sickness since they cannot afford a place to live and healthcare services</w:t>
      </w:r>
      <w:r w:rsidR="00602C11" w:rsidRPr="00005F20">
        <w:rPr>
          <w:rFonts w:ascii="Arial" w:hAnsi="Arial" w:cs="Arial"/>
          <w:sz w:val="22"/>
          <w:szCs w:val="22"/>
        </w:rPr>
        <w:t xml:space="preserve"> (Blake et al., 2025)</w:t>
      </w:r>
      <w:r w:rsidRPr="00005F20">
        <w:rPr>
          <w:rFonts w:ascii="Arial" w:hAnsi="Arial" w:cs="Arial"/>
          <w:sz w:val="22"/>
          <w:szCs w:val="22"/>
        </w:rPr>
        <w:t>. The issues can be addressed through government programs, including housing and access to preventive health services (Marmot, 2024; Bhui et al., 2025).</w:t>
      </w:r>
    </w:p>
    <w:p w14:paraId="7B57A95B" w14:textId="6B63ADA3" w:rsidR="00E976B2" w:rsidRPr="00005F20" w:rsidRDefault="00370E8D" w:rsidP="00005F20">
      <w:pPr>
        <w:pStyle w:val="ListParagraph"/>
        <w:numPr>
          <w:ilvl w:val="1"/>
          <w:numId w:val="28"/>
        </w:numPr>
        <w:spacing w:after="0" w:line="360" w:lineRule="auto"/>
        <w:rPr>
          <w:rFonts w:ascii="Arial" w:hAnsi="Arial" w:cs="Arial"/>
          <w:b/>
          <w:bCs/>
          <w:sz w:val="22"/>
          <w:szCs w:val="22"/>
        </w:rPr>
      </w:pPr>
      <w:r w:rsidRPr="00005F20">
        <w:rPr>
          <w:rFonts w:ascii="Arial" w:hAnsi="Arial" w:cs="Arial"/>
          <w:b/>
          <w:bCs/>
          <w:sz w:val="22"/>
          <w:szCs w:val="22"/>
        </w:rPr>
        <w:t>Healthcare Discrimination and Racism.</w:t>
      </w:r>
    </w:p>
    <w:p w14:paraId="66616D73" w14:textId="77777777" w:rsidR="00ED191E" w:rsidRPr="00005F20" w:rsidRDefault="00ED191E" w:rsidP="00005F20">
      <w:pPr>
        <w:pStyle w:val="ListParagraph"/>
        <w:spacing w:after="0" w:line="360" w:lineRule="auto"/>
        <w:ind w:left="1440"/>
        <w:rPr>
          <w:rFonts w:ascii="Arial" w:hAnsi="Arial" w:cs="Arial"/>
          <w:sz w:val="22"/>
          <w:szCs w:val="22"/>
        </w:rPr>
      </w:pPr>
      <w:r w:rsidRPr="00005F20">
        <w:rPr>
          <w:rFonts w:ascii="Arial" w:hAnsi="Arial" w:cs="Arial"/>
          <w:sz w:val="22"/>
          <w:szCs w:val="22"/>
        </w:rPr>
        <w:t>The problem of racial discrimination is also a significant hindrance to healthcare since forty percent of the Black Caribbean patients fail to seek health services due to racism (Fong et al., 2025). This perpetuates the disparity in health and non-interaction with healthcare (Beulens et al., 2024). The policies on racism and cultural competence training of the personnel can help reduce discrimination and provide underserved populations with help (Meng et al., 2024).</w:t>
      </w:r>
    </w:p>
    <w:p w14:paraId="0F637A85" w14:textId="1FEFC20D" w:rsidR="00E976B2" w:rsidRPr="00005F20" w:rsidRDefault="00370E8D" w:rsidP="00005F20">
      <w:pPr>
        <w:pStyle w:val="ListParagraph"/>
        <w:numPr>
          <w:ilvl w:val="1"/>
          <w:numId w:val="28"/>
        </w:numPr>
        <w:spacing w:after="0" w:line="360" w:lineRule="auto"/>
        <w:rPr>
          <w:rFonts w:ascii="Arial" w:hAnsi="Arial" w:cs="Arial"/>
          <w:b/>
          <w:bCs/>
          <w:sz w:val="22"/>
          <w:szCs w:val="22"/>
        </w:rPr>
      </w:pPr>
      <w:r w:rsidRPr="00005F20">
        <w:rPr>
          <w:rFonts w:ascii="Arial" w:hAnsi="Arial" w:cs="Arial"/>
          <w:b/>
          <w:bCs/>
          <w:sz w:val="22"/>
          <w:szCs w:val="22"/>
        </w:rPr>
        <w:t>Obstacles to Accessing Healthcare.</w:t>
      </w:r>
    </w:p>
    <w:bookmarkEnd w:id="1"/>
    <w:p w14:paraId="1F955152" w14:textId="77777777" w:rsidR="004270AD" w:rsidRPr="00005F20" w:rsidRDefault="004270AD" w:rsidP="00005F20">
      <w:pPr>
        <w:pStyle w:val="ListParagraph"/>
        <w:spacing w:after="0" w:line="360" w:lineRule="auto"/>
        <w:ind w:left="1440"/>
        <w:rPr>
          <w:rFonts w:ascii="Arial" w:hAnsi="Arial" w:cs="Arial"/>
          <w:sz w:val="22"/>
          <w:szCs w:val="22"/>
        </w:rPr>
      </w:pPr>
      <w:r w:rsidRPr="00005F20">
        <w:rPr>
          <w:rFonts w:ascii="Arial" w:hAnsi="Arial" w:cs="Arial"/>
          <w:sz w:val="22"/>
          <w:szCs w:val="22"/>
        </w:rPr>
        <w:t xml:space="preserve">The ethnic minorities have a problem in access to healthcare in the form of language, lack of culturally appropriate care, and poverty. The problem of </w:t>
      </w:r>
      <w:r w:rsidRPr="00005F20">
        <w:rPr>
          <w:rFonts w:ascii="Arial" w:hAnsi="Arial" w:cs="Arial"/>
          <w:sz w:val="22"/>
          <w:szCs w:val="22"/>
        </w:rPr>
        <w:lastRenderedPageBreak/>
        <w:t>medical and mental care access among the population of more than 30% in South Asia is identified (Chatzi et al., 2023). Expanding culturally sensitive care, providing translators, and subsidising services in low-income areas can help overcome these barriers, ensuring ethnic minorities receive timely and appropriate care (Pemberton et al., 2025).</w:t>
      </w:r>
    </w:p>
    <w:p w14:paraId="3EB13335" w14:textId="77777777" w:rsidR="004270AD" w:rsidRPr="00005F20" w:rsidRDefault="004270AD" w:rsidP="00602C11">
      <w:pPr>
        <w:spacing w:after="0" w:line="360" w:lineRule="auto"/>
        <w:contextualSpacing/>
        <w:rPr>
          <w:rFonts w:ascii="Arial" w:hAnsi="Arial" w:cs="Arial"/>
          <w:b/>
          <w:bCs/>
          <w:sz w:val="22"/>
          <w:szCs w:val="22"/>
        </w:rPr>
      </w:pPr>
      <w:r w:rsidRPr="00005F20">
        <w:rPr>
          <w:rFonts w:ascii="Arial" w:hAnsi="Arial" w:cs="Arial"/>
          <w:b/>
          <w:bCs/>
          <w:sz w:val="22"/>
          <w:szCs w:val="22"/>
        </w:rPr>
        <w:t>Response to Reducing the Health Inequality on the National Level.</w:t>
      </w:r>
    </w:p>
    <w:p w14:paraId="2F063F23" w14:textId="77777777" w:rsidR="004270AD" w:rsidRPr="00005F20" w:rsidRDefault="004270AD" w:rsidP="00602C11">
      <w:pPr>
        <w:spacing w:after="0" w:line="360" w:lineRule="auto"/>
        <w:ind w:firstLine="720"/>
        <w:contextualSpacing/>
        <w:rPr>
          <w:rFonts w:ascii="Arial" w:hAnsi="Arial" w:cs="Arial"/>
          <w:sz w:val="22"/>
          <w:szCs w:val="22"/>
        </w:rPr>
      </w:pPr>
      <w:r w:rsidRPr="00005F20">
        <w:rPr>
          <w:rFonts w:ascii="Arial" w:hAnsi="Arial" w:cs="Arial"/>
          <w:sz w:val="22"/>
          <w:szCs w:val="22"/>
        </w:rPr>
        <w:t>NHS Race and Health Observatory assists the UK government in the management of the health disparities and optimizes the access of ethnic minorities (Spencer et al., 2023; Naqvi, 2022). These populations of individuals can be supported by informing them about the issue of cardiovascular disease and mental illness (Marmot, 2024). However, the gaps are essential, and the system level is yet to be developed in order to reduce the differences to a minimum (Spencer et al., 2023).</w:t>
      </w:r>
    </w:p>
    <w:p w14:paraId="1DB0F51D" w14:textId="77777777" w:rsidR="004270AD" w:rsidRPr="00005F20" w:rsidRDefault="004270AD" w:rsidP="00602C11">
      <w:pPr>
        <w:spacing w:after="0" w:line="360" w:lineRule="auto"/>
        <w:contextualSpacing/>
        <w:rPr>
          <w:rFonts w:ascii="Arial" w:hAnsi="Arial" w:cs="Arial"/>
          <w:b/>
          <w:bCs/>
          <w:sz w:val="22"/>
          <w:szCs w:val="22"/>
        </w:rPr>
      </w:pPr>
      <w:r w:rsidRPr="00005F20">
        <w:rPr>
          <w:rFonts w:ascii="Arial" w:hAnsi="Arial" w:cs="Arial"/>
          <w:b/>
          <w:bCs/>
          <w:sz w:val="22"/>
          <w:szCs w:val="22"/>
        </w:rPr>
        <w:t>Organisational Funders of the Selected Group.</w:t>
      </w:r>
    </w:p>
    <w:p w14:paraId="28B81362" w14:textId="77777777" w:rsidR="004270AD" w:rsidRPr="00005F20" w:rsidRDefault="004270AD" w:rsidP="00602C11">
      <w:pPr>
        <w:spacing w:after="0" w:line="360" w:lineRule="auto"/>
        <w:contextualSpacing/>
        <w:rPr>
          <w:rFonts w:ascii="Arial" w:hAnsi="Arial" w:cs="Arial"/>
          <w:b/>
          <w:bCs/>
          <w:sz w:val="22"/>
          <w:szCs w:val="22"/>
        </w:rPr>
      </w:pPr>
      <w:r w:rsidRPr="00005F20">
        <w:rPr>
          <w:rFonts w:ascii="Arial" w:hAnsi="Arial" w:cs="Arial"/>
          <w:b/>
          <w:bCs/>
          <w:sz w:val="22"/>
          <w:szCs w:val="22"/>
        </w:rPr>
        <w:t>The Inequality in Health in the NHS:</w:t>
      </w:r>
    </w:p>
    <w:p w14:paraId="38CC52C5" w14:textId="42445D17" w:rsidR="004270AD" w:rsidRPr="00005F20" w:rsidRDefault="004270AD" w:rsidP="00602C11">
      <w:pPr>
        <w:spacing w:after="0" w:line="360" w:lineRule="auto"/>
        <w:ind w:firstLine="720"/>
        <w:contextualSpacing/>
        <w:rPr>
          <w:rFonts w:ascii="Arial" w:hAnsi="Arial" w:cs="Arial"/>
          <w:sz w:val="22"/>
          <w:szCs w:val="22"/>
        </w:rPr>
      </w:pPr>
      <w:r w:rsidRPr="00005F20">
        <w:rPr>
          <w:rFonts w:ascii="Arial" w:hAnsi="Arial" w:cs="Arial"/>
          <w:sz w:val="22"/>
          <w:szCs w:val="22"/>
        </w:rPr>
        <w:t>Impactful in terms of securing a reduction of ethnic health inequality is the NHS Race and Health Observatory</w:t>
      </w:r>
      <w:r w:rsidR="00602C11" w:rsidRPr="00005F20">
        <w:rPr>
          <w:rFonts w:ascii="Arial" w:hAnsi="Arial" w:cs="Arial"/>
          <w:sz w:val="22"/>
          <w:szCs w:val="22"/>
        </w:rPr>
        <w:t xml:space="preserve"> (Okeahialam et al., 2025)</w:t>
      </w:r>
      <w:r w:rsidRPr="00005F20">
        <w:rPr>
          <w:rFonts w:ascii="Arial" w:hAnsi="Arial" w:cs="Arial"/>
          <w:sz w:val="22"/>
          <w:szCs w:val="22"/>
        </w:rPr>
        <w:t>. The Observatory provides a research publication, controls the field of access to healthcare, and declares the policy suggestions on systemic racism in the NHS. Focus on changing healthcare services into equitable and culturally competent for all ethnic groups (Naqvi, 2022).</w:t>
      </w:r>
    </w:p>
    <w:p w14:paraId="6D0AF2D0" w14:textId="2EE1CD00" w:rsidR="00472DC5" w:rsidRPr="00005F20" w:rsidRDefault="00472DC5" w:rsidP="00602C11">
      <w:pPr>
        <w:spacing w:after="0" w:line="360" w:lineRule="auto"/>
        <w:contextualSpacing/>
        <w:rPr>
          <w:rFonts w:ascii="Arial" w:hAnsi="Arial" w:cs="Arial"/>
          <w:b/>
          <w:bCs/>
          <w:sz w:val="22"/>
          <w:szCs w:val="22"/>
        </w:rPr>
      </w:pPr>
      <w:r w:rsidRPr="00005F20">
        <w:rPr>
          <w:rFonts w:ascii="Arial" w:hAnsi="Arial" w:cs="Arial"/>
          <w:b/>
          <w:bCs/>
          <w:sz w:val="22"/>
          <w:szCs w:val="22"/>
        </w:rPr>
        <w:t>Race Equality Foundation:</w:t>
      </w:r>
    </w:p>
    <w:p w14:paraId="5811FB50" w14:textId="69ABCC2D" w:rsidR="00472DC5" w:rsidRPr="00005F20" w:rsidRDefault="00472DC5" w:rsidP="00602C11">
      <w:pPr>
        <w:spacing w:after="0" w:line="360" w:lineRule="auto"/>
        <w:ind w:firstLine="720"/>
        <w:contextualSpacing/>
        <w:rPr>
          <w:rFonts w:ascii="Arial" w:hAnsi="Arial" w:cs="Arial"/>
          <w:sz w:val="22"/>
          <w:szCs w:val="22"/>
        </w:rPr>
      </w:pPr>
      <w:r w:rsidRPr="00005F20">
        <w:rPr>
          <w:rFonts w:ascii="Arial" w:hAnsi="Arial" w:cs="Arial"/>
          <w:sz w:val="22"/>
          <w:szCs w:val="22"/>
        </w:rPr>
        <w:t>The Race Equality Foundation calls to have superior access to healthcare services among ethnic minorities</w:t>
      </w:r>
      <w:r w:rsidR="00D96902" w:rsidRPr="00005F20">
        <w:rPr>
          <w:rFonts w:ascii="Arial" w:hAnsi="Arial" w:cs="Arial"/>
          <w:sz w:val="22"/>
          <w:szCs w:val="22"/>
        </w:rPr>
        <w:t xml:space="preserve"> (Stepanova, 2025)</w:t>
      </w:r>
      <w:r w:rsidRPr="00005F20">
        <w:rPr>
          <w:rFonts w:ascii="Arial" w:hAnsi="Arial" w:cs="Arial"/>
          <w:sz w:val="22"/>
          <w:szCs w:val="22"/>
        </w:rPr>
        <w:t>. It offers services of support, conducting research, and collaborating with healthcare providers to ensure the care is culturally acceptable and fulfills the needs of such communities distinctly (Yip et al., 2024).</w:t>
      </w:r>
    </w:p>
    <w:p w14:paraId="34C0CB55" w14:textId="3BF8B029" w:rsidR="00AB1CEF" w:rsidRPr="00005F20" w:rsidRDefault="009F0996" w:rsidP="00602C11">
      <w:pPr>
        <w:spacing w:after="0" w:line="360" w:lineRule="auto"/>
        <w:contextualSpacing/>
        <w:rPr>
          <w:rFonts w:ascii="Arial" w:hAnsi="Arial" w:cs="Arial"/>
          <w:b/>
          <w:bCs/>
          <w:sz w:val="22"/>
          <w:szCs w:val="22"/>
        </w:rPr>
      </w:pPr>
      <w:r>
        <w:rPr>
          <w:rFonts w:ascii="Arial" w:hAnsi="Arial" w:cs="Arial"/>
          <w:b/>
          <w:bCs/>
          <w:sz w:val="22"/>
          <w:szCs w:val="22"/>
        </w:rPr>
        <w:t>Conclusion</w:t>
      </w:r>
    </w:p>
    <w:p w14:paraId="7DE0142C" w14:textId="38AA9241" w:rsidR="00FC6F5D" w:rsidRPr="00005F20" w:rsidRDefault="009F0996" w:rsidP="00602C11">
      <w:pPr>
        <w:spacing w:after="0" w:line="360" w:lineRule="auto"/>
        <w:ind w:firstLine="720"/>
        <w:contextualSpacing/>
        <w:rPr>
          <w:rFonts w:ascii="Arial" w:hAnsi="Arial" w:cs="Arial"/>
          <w:b/>
          <w:bCs/>
          <w:sz w:val="22"/>
          <w:szCs w:val="22"/>
        </w:rPr>
      </w:pPr>
      <w:r>
        <w:rPr>
          <w:rFonts w:ascii="Arial" w:hAnsi="Arial" w:cs="Arial"/>
          <w:sz w:val="22"/>
          <w:szCs w:val="22"/>
        </w:rPr>
        <w:t>In summary</w:t>
      </w:r>
      <w:r w:rsidR="00AB1CEF" w:rsidRPr="00005F20">
        <w:rPr>
          <w:rFonts w:ascii="Arial" w:hAnsi="Arial" w:cs="Arial"/>
          <w:sz w:val="22"/>
          <w:szCs w:val="22"/>
        </w:rPr>
        <w:t>, the ethnic health inequality determinants in the UK are socioeconomic, discrimination, and cultural determinants</w:t>
      </w:r>
      <w:r w:rsidR="00602C11" w:rsidRPr="00005F20">
        <w:rPr>
          <w:rFonts w:ascii="Arial" w:hAnsi="Arial" w:cs="Arial"/>
          <w:sz w:val="22"/>
          <w:szCs w:val="22"/>
        </w:rPr>
        <w:t xml:space="preserve"> (Okeahialam et al., 2025)</w:t>
      </w:r>
      <w:r w:rsidR="00AB1CEF" w:rsidRPr="00005F20">
        <w:rPr>
          <w:rFonts w:ascii="Arial" w:hAnsi="Arial" w:cs="Arial"/>
          <w:sz w:val="22"/>
          <w:szCs w:val="22"/>
        </w:rPr>
        <w:t>. The black people (Caribbean is the leading source) and the South Asians are overrepresented there, and they also appear in the list of individuals with chronic illnesses, such as Type 2 diabetes</w:t>
      </w:r>
      <w:r w:rsidR="00602C11" w:rsidRPr="00005F20">
        <w:rPr>
          <w:rFonts w:ascii="Arial" w:hAnsi="Arial" w:cs="Arial"/>
          <w:sz w:val="22"/>
          <w:szCs w:val="22"/>
        </w:rPr>
        <w:t xml:space="preserve"> (Marmot, 2024)</w:t>
      </w:r>
      <w:r w:rsidR="00AB1CEF" w:rsidRPr="00005F20">
        <w:rPr>
          <w:rFonts w:ascii="Arial" w:hAnsi="Arial" w:cs="Arial"/>
          <w:sz w:val="22"/>
          <w:szCs w:val="22"/>
        </w:rPr>
        <w:t>. Though the NHS Race and Health Observatory has tried to solve those issues to a certain degree, it is too early to evaluate whether it is efficient or not</w:t>
      </w:r>
      <w:r w:rsidR="00602C11" w:rsidRPr="00005F20">
        <w:rPr>
          <w:rFonts w:ascii="Arial" w:hAnsi="Arial" w:cs="Arial"/>
          <w:sz w:val="22"/>
          <w:szCs w:val="22"/>
        </w:rPr>
        <w:t xml:space="preserve"> (Kar, 2025)</w:t>
      </w:r>
      <w:r w:rsidR="00AB1CEF" w:rsidRPr="00005F20">
        <w:rPr>
          <w:rFonts w:ascii="Arial" w:hAnsi="Arial" w:cs="Arial"/>
          <w:sz w:val="22"/>
          <w:szCs w:val="22"/>
        </w:rPr>
        <w:t>. Such disparities must be mitigated by policies in the future that are oriented towards cultural competence, data collection, and equal access to healthcare for all populations.</w:t>
      </w:r>
    </w:p>
    <w:p w14:paraId="0B13DC91" w14:textId="77777777" w:rsidR="00FC6F5D" w:rsidRPr="00005F20" w:rsidRDefault="00FC6F5D" w:rsidP="0076769D">
      <w:pPr>
        <w:spacing w:after="0" w:line="360" w:lineRule="auto"/>
        <w:ind w:firstLine="720"/>
        <w:contextualSpacing/>
        <w:jc w:val="center"/>
        <w:rPr>
          <w:rFonts w:ascii="Arial" w:hAnsi="Arial" w:cs="Arial"/>
          <w:b/>
          <w:bCs/>
          <w:sz w:val="22"/>
          <w:szCs w:val="22"/>
        </w:rPr>
      </w:pPr>
    </w:p>
    <w:p w14:paraId="11348FA1" w14:textId="77777777" w:rsidR="00FC6F5D" w:rsidRPr="00005F20" w:rsidRDefault="00FC6F5D" w:rsidP="0076769D">
      <w:pPr>
        <w:spacing w:after="0" w:line="360" w:lineRule="auto"/>
        <w:ind w:firstLine="720"/>
        <w:contextualSpacing/>
        <w:jc w:val="center"/>
        <w:rPr>
          <w:rFonts w:ascii="Arial" w:hAnsi="Arial" w:cs="Arial"/>
          <w:b/>
          <w:bCs/>
          <w:sz w:val="22"/>
          <w:szCs w:val="22"/>
        </w:rPr>
      </w:pPr>
      <w:bookmarkStart w:id="4" w:name="_GoBack"/>
      <w:bookmarkEnd w:id="4"/>
    </w:p>
    <w:p w14:paraId="29126CA0" w14:textId="77777777" w:rsidR="00AB1CEF" w:rsidRPr="00005F20" w:rsidRDefault="00AB1CEF" w:rsidP="00602C11">
      <w:pPr>
        <w:spacing w:after="0" w:line="360" w:lineRule="auto"/>
        <w:contextualSpacing/>
        <w:rPr>
          <w:rFonts w:ascii="Arial" w:hAnsi="Arial" w:cs="Arial"/>
          <w:b/>
          <w:bCs/>
          <w:sz w:val="22"/>
          <w:szCs w:val="22"/>
        </w:rPr>
      </w:pPr>
    </w:p>
    <w:p w14:paraId="2B338AE0" w14:textId="1BB27A81" w:rsidR="00472DC5" w:rsidRPr="004B183D" w:rsidRDefault="0076769D" w:rsidP="0076769D">
      <w:pPr>
        <w:spacing w:after="0" w:line="360" w:lineRule="auto"/>
        <w:ind w:firstLine="720"/>
        <w:contextualSpacing/>
        <w:jc w:val="center"/>
        <w:rPr>
          <w:rFonts w:ascii="Arial" w:hAnsi="Arial" w:cs="Arial"/>
          <w:b/>
          <w:bCs/>
          <w:sz w:val="22"/>
          <w:szCs w:val="22"/>
        </w:rPr>
      </w:pPr>
      <w:r w:rsidRPr="004B183D">
        <w:rPr>
          <w:rFonts w:ascii="Arial" w:hAnsi="Arial" w:cs="Arial"/>
          <w:b/>
          <w:bCs/>
          <w:sz w:val="22"/>
          <w:szCs w:val="22"/>
        </w:rPr>
        <w:lastRenderedPageBreak/>
        <w:t>Diabetes Epidemiological Analysis UK.</w:t>
      </w:r>
    </w:p>
    <w:p w14:paraId="792254D0" w14:textId="69884107" w:rsidR="00E976B2" w:rsidRPr="004B183D" w:rsidRDefault="00370E8D" w:rsidP="0076769D">
      <w:pPr>
        <w:spacing w:after="0" w:line="360" w:lineRule="auto"/>
        <w:contextualSpacing/>
        <w:jc w:val="both"/>
        <w:rPr>
          <w:rFonts w:ascii="Arial" w:hAnsi="Arial" w:cs="Arial"/>
          <w:b/>
          <w:bCs/>
          <w:sz w:val="22"/>
          <w:szCs w:val="22"/>
        </w:rPr>
      </w:pPr>
      <w:r w:rsidRPr="004B183D">
        <w:rPr>
          <w:rFonts w:ascii="Arial" w:hAnsi="Arial" w:cs="Arial"/>
          <w:b/>
          <w:bCs/>
          <w:sz w:val="22"/>
          <w:szCs w:val="22"/>
        </w:rPr>
        <w:t>Task 2</w:t>
      </w:r>
    </w:p>
    <w:p w14:paraId="26A439FE" w14:textId="77777777" w:rsidR="00E976B2" w:rsidRPr="004B183D" w:rsidRDefault="00370E8D" w:rsidP="0076769D">
      <w:pPr>
        <w:spacing w:after="0" w:line="360" w:lineRule="auto"/>
        <w:contextualSpacing/>
        <w:jc w:val="both"/>
        <w:rPr>
          <w:rFonts w:ascii="Arial" w:hAnsi="Arial" w:cs="Arial"/>
          <w:b/>
          <w:bCs/>
          <w:sz w:val="22"/>
          <w:szCs w:val="22"/>
        </w:rPr>
      </w:pPr>
      <w:r w:rsidRPr="004B183D">
        <w:rPr>
          <w:rFonts w:ascii="Arial" w:hAnsi="Arial" w:cs="Arial"/>
          <w:b/>
          <w:bCs/>
          <w:sz w:val="22"/>
          <w:szCs w:val="22"/>
        </w:rPr>
        <w:t>Introduction</w:t>
      </w:r>
    </w:p>
    <w:p w14:paraId="633AC855" w14:textId="5CAE7E0C" w:rsidR="00175F72" w:rsidRPr="004B183D" w:rsidRDefault="00175F72" w:rsidP="0076769D">
      <w:pPr>
        <w:spacing w:after="0" w:line="360" w:lineRule="auto"/>
        <w:contextualSpacing/>
        <w:jc w:val="both"/>
        <w:rPr>
          <w:rFonts w:ascii="Arial" w:hAnsi="Arial" w:cs="Arial"/>
          <w:b/>
          <w:bCs/>
          <w:sz w:val="22"/>
          <w:szCs w:val="22"/>
        </w:rPr>
      </w:pPr>
      <w:r w:rsidRPr="004B183D">
        <w:rPr>
          <w:rFonts w:ascii="Arial" w:hAnsi="Arial" w:cs="Arial"/>
          <w:b/>
          <w:bCs/>
          <w:sz w:val="22"/>
          <w:szCs w:val="22"/>
        </w:rPr>
        <w:t>Definition of health problem</w:t>
      </w:r>
    </w:p>
    <w:p w14:paraId="27346D46" w14:textId="77777777" w:rsidR="004B183D" w:rsidRPr="004B183D" w:rsidRDefault="004B183D" w:rsidP="004B183D">
      <w:pPr>
        <w:spacing w:after="0" w:line="360" w:lineRule="auto"/>
        <w:ind w:firstLine="720"/>
        <w:contextualSpacing/>
        <w:rPr>
          <w:rFonts w:ascii="Arial" w:hAnsi="Arial" w:cs="Arial"/>
          <w:sz w:val="22"/>
          <w:szCs w:val="22"/>
        </w:rPr>
      </w:pPr>
      <w:r w:rsidRPr="004B183D">
        <w:rPr>
          <w:rFonts w:ascii="Arial" w:hAnsi="Arial" w:cs="Arial"/>
          <w:sz w:val="22"/>
          <w:szCs w:val="22"/>
        </w:rPr>
        <w:t>Type 2 diabetes is a non-communicable disease that results in the rise of the glucose level in the blood (Jordão et al., 2025). The outcomes that it can cause are heart disease, kidney failure, and amputations, which can be considered serious complication (Elliott et al., 2025).</w:t>
      </w:r>
    </w:p>
    <w:p w14:paraId="577D06CF" w14:textId="5CAFFCDF" w:rsidR="00FC2F8C" w:rsidRPr="004B183D" w:rsidRDefault="00FC2F8C" w:rsidP="00005F20">
      <w:pPr>
        <w:spacing w:after="0" w:line="360" w:lineRule="auto"/>
        <w:contextualSpacing/>
        <w:rPr>
          <w:rFonts w:ascii="Arial" w:hAnsi="Arial" w:cs="Arial"/>
          <w:b/>
          <w:bCs/>
          <w:sz w:val="22"/>
          <w:szCs w:val="22"/>
        </w:rPr>
      </w:pPr>
      <w:r w:rsidRPr="004B183D">
        <w:rPr>
          <w:rFonts w:ascii="Arial" w:hAnsi="Arial" w:cs="Arial"/>
          <w:b/>
          <w:bCs/>
          <w:sz w:val="22"/>
          <w:szCs w:val="22"/>
        </w:rPr>
        <w:t>Level of Incidence/Prevelance</w:t>
      </w:r>
    </w:p>
    <w:p w14:paraId="6C3BA4B5" w14:textId="445BD55B" w:rsidR="00FC2F8C" w:rsidRPr="004B183D" w:rsidRDefault="00FC2F8C" w:rsidP="00602C11">
      <w:pPr>
        <w:spacing w:after="0" w:line="360" w:lineRule="auto"/>
        <w:ind w:firstLine="720"/>
        <w:contextualSpacing/>
        <w:rPr>
          <w:rFonts w:ascii="Arial" w:hAnsi="Arial" w:cs="Arial"/>
          <w:sz w:val="22"/>
          <w:szCs w:val="22"/>
        </w:rPr>
      </w:pPr>
      <w:r w:rsidRPr="004B183D">
        <w:rPr>
          <w:rFonts w:ascii="Arial" w:hAnsi="Arial" w:cs="Arial"/>
          <w:sz w:val="22"/>
          <w:szCs w:val="22"/>
        </w:rPr>
        <w:t>With the statistics indicating that the prevalence rates of type 2 diabetes are rising in the UK, 4.9 million individuals are already appropriately diagnosed with the disease, and 90 percent of all patients have type 2 diabetes ( Diabetes UK, 2025</w:t>
      </w:r>
      <w:r w:rsidR="004B183D">
        <w:rPr>
          <w:rFonts w:ascii="Arial" w:hAnsi="Arial" w:cs="Arial"/>
          <w:sz w:val="22"/>
          <w:szCs w:val="22"/>
        </w:rPr>
        <w:t xml:space="preserve"> ;</w:t>
      </w:r>
      <w:r w:rsidR="00FC6F5D" w:rsidRPr="004B183D">
        <w:rPr>
          <w:rFonts w:ascii="Arial" w:hAnsi="Arial" w:cs="Arial"/>
          <w:sz w:val="22"/>
          <w:szCs w:val="22"/>
        </w:rPr>
        <w:t>Taylor-Robinson et al., 2025)</w:t>
      </w:r>
      <w:r w:rsidRPr="004B183D">
        <w:rPr>
          <w:rFonts w:ascii="Arial" w:hAnsi="Arial" w:cs="Arial"/>
          <w:sz w:val="22"/>
          <w:szCs w:val="22"/>
        </w:rPr>
        <w:t>. The case of the ethnic minorities, the South Asians and the Blacks cannot be compared with the South Asians having 6-10 more favorable opportunities to develop diabetes as opposed to the Whites (Wu et al., 2025). It is an imbalanced situation that is mainly explained by the genetic factors, socioeconomic factors, and other lifestyle factors</w:t>
      </w:r>
      <w:r w:rsidR="00FC6F5D" w:rsidRPr="004B183D">
        <w:rPr>
          <w:rFonts w:ascii="Arial" w:hAnsi="Arial" w:cs="Arial"/>
          <w:sz w:val="22"/>
          <w:szCs w:val="22"/>
        </w:rPr>
        <w:t>(Ward et al., 2025)</w:t>
      </w:r>
      <w:r w:rsidRPr="004B183D">
        <w:rPr>
          <w:rFonts w:ascii="Arial" w:hAnsi="Arial" w:cs="Arial"/>
          <w:sz w:val="22"/>
          <w:szCs w:val="22"/>
        </w:rPr>
        <w:t>.</w:t>
      </w:r>
    </w:p>
    <w:bookmarkEnd w:id="2"/>
    <w:p w14:paraId="139716ED" w14:textId="77777777" w:rsidR="002D474B" w:rsidRPr="004B183D" w:rsidRDefault="002D474B" w:rsidP="00005F20">
      <w:pPr>
        <w:spacing w:after="0" w:line="360" w:lineRule="auto"/>
        <w:contextualSpacing/>
        <w:rPr>
          <w:rFonts w:ascii="Arial" w:hAnsi="Arial" w:cs="Arial"/>
          <w:sz w:val="22"/>
          <w:szCs w:val="22"/>
        </w:rPr>
      </w:pPr>
      <w:r w:rsidRPr="004B183D">
        <w:rPr>
          <w:rFonts w:ascii="Arial" w:hAnsi="Arial" w:cs="Arial"/>
          <w:b/>
          <w:bCs/>
          <w:sz w:val="22"/>
          <w:szCs w:val="22"/>
        </w:rPr>
        <w:t>Reported Social, Cultural, and Health Consequences</w:t>
      </w:r>
      <w:r w:rsidRPr="004B183D">
        <w:rPr>
          <w:rFonts w:ascii="Arial" w:hAnsi="Arial" w:cs="Arial"/>
          <w:sz w:val="22"/>
          <w:szCs w:val="22"/>
        </w:rPr>
        <w:t xml:space="preserve"> </w:t>
      </w:r>
    </w:p>
    <w:p w14:paraId="24F9F209" w14:textId="77777777" w:rsidR="004B183D" w:rsidRDefault="00472DC5" w:rsidP="004B183D">
      <w:pPr>
        <w:spacing w:after="0" w:line="360" w:lineRule="auto"/>
        <w:ind w:firstLine="720"/>
        <w:contextualSpacing/>
        <w:rPr>
          <w:rFonts w:ascii="Arial" w:hAnsi="Arial" w:cs="Arial"/>
          <w:sz w:val="22"/>
          <w:szCs w:val="22"/>
        </w:rPr>
      </w:pPr>
      <w:r w:rsidRPr="004B183D">
        <w:rPr>
          <w:rFonts w:ascii="Arial" w:hAnsi="Arial" w:cs="Arial"/>
          <w:sz w:val="22"/>
          <w:szCs w:val="22"/>
        </w:rPr>
        <w:t>This will be an intervention targeting the community of Tower Hamlets, which is a borough in London with a high population of South Asians and Blacks in minority</w:t>
      </w:r>
      <w:r w:rsidR="007E241C" w:rsidRPr="004B183D">
        <w:rPr>
          <w:rFonts w:ascii="Arial" w:hAnsi="Arial" w:cs="Arial"/>
          <w:sz w:val="22"/>
          <w:szCs w:val="22"/>
        </w:rPr>
        <w:t>(Bhui et al., 2025)</w:t>
      </w:r>
      <w:r w:rsidRPr="004B183D">
        <w:rPr>
          <w:rFonts w:ascii="Arial" w:hAnsi="Arial" w:cs="Arial"/>
          <w:sz w:val="22"/>
          <w:szCs w:val="22"/>
        </w:rPr>
        <w:t xml:space="preserve">. </w:t>
      </w:r>
      <w:r w:rsidR="004B183D" w:rsidRPr="004B183D">
        <w:rPr>
          <w:rFonts w:ascii="Arial" w:hAnsi="Arial" w:cs="Arial"/>
          <w:sz w:val="22"/>
          <w:szCs w:val="22"/>
        </w:rPr>
        <w:t>Some of the factors that have predisposed this population to type 2 diabetes include a socio-economic deprivation, cultural eating habits, and the unavailability of preventive medical care(Meng et al., 2024). The target population that is to be intervened in this case will be persons aged 40 years and above since they are more susceptible to diabetes, particularly those with obesity, lack of exercise, and those with diabetes in the family history(Re et al., 2023).</w:t>
      </w:r>
    </w:p>
    <w:p w14:paraId="5AFB50E4" w14:textId="7EE15154" w:rsidR="002D474B" w:rsidRPr="004B183D" w:rsidRDefault="002D474B" w:rsidP="004B183D">
      <w:pPr>
        <w:spacing w:after="0" w:line="360" w:lineRule="auto"/>
        <w:ind w:firstLine="720"/>
        <w:contextualSpacing/>
        <w:rPr>
          <w:rFonts w:ascii="Arial" w:hAnsi="Arial" w:cs="Arial"/>
          <w:b/>
          <w:bCs/>
          <w:sz w:val="22"/>
          <w:szCs w:val="22"/>
        </w:rPr>
      </w:pPr>
      <w:r w:rsidRPr="004B183D">
        <w:rPr>
          <w:rFonts w:ascii="Arial" w:hAnsi="Arial" w:cs="Arial"/>
          <w:b/>
          <w:bCs/>
          <w:sz w:val="22"/>
          <w:szCs w:val="22"/>
        </w:rPr>
        <w:t>Public Health Measures</w:t>
      </w:r>
    </w:p>
    <w:p w14:paraId="1C7A4F23" w14:textId="2D61EEC4" w:rsidR="002D474B" w:rsidRPr="004B183D" w:rsidRDefault="002D474B" w:rsidP="00602C11">
      <w:pPr>
        <w:spacing w:after="0" w:line="360" w:lineRule="auto"/>
        <w:ind w:firstLine="720"/>
        <w:contextualSpacing/>
        <w:rPr>
          <w:rFonts w:ascii="Arial" w:hAnsi="Arial" w:cs="Arial"/>
          <w:sz w:val="22"/>
          <w:szCs w:val="22"/>
        </w:rPr>
      </w:pPr>
      <w:r w:rsidRPr="004B183D">
        <w:rPr>
          <w:rFonts w:ascii="Arial" w:hAnsi="Arial" w:cs="Arial"/>
          <w:sz w:val="22"/>
          <w:szCs w:val="22"/>
        </w:rPr>
        <w:t>A number of community health interventions are introduced to manage T2DM in Tower Hamlets, which focus on the 3 Ps (Prevention, Protection and Promotion).</w:t>
      </w:r>
    </w:p>
    <w:p w14:paraId="41EBC910" w14:textId="77777777" w:rsidR="00CA4F1E" w:rsidRPr="004B183D" w:rsidRDefault="00CA4F1E" w:rsidP="00005F20">
      <w:pPr>
        <w:pStyle w:val="ListParagraph"/>
        <w:numPr>
          <w:ilvl w:val="1"/>
          <w:numId w:val="25"/>
        </w:numPr>
        <w:spacing w:after="0" w:line="360" w:lineRule="auto"/>
        <w:rPr>
          <w:rFonts w:ascii="Arial" w:hAnsi="Arial" w:cs="Arial"/>
          <w:b/>
          <w:bCs/>
          <w:sz w:val="22"/>
          <w:szCs w:val="22"/>
        </w:rPr>
      </w:pPr>
      <w:r w:rsidRPr="004B183D">
        <w:rPr>
          <w:rFonts w:ascii="Arial" w:hAnsi="Arial" w:cs="Arial"/>
          <w:b/>
          <w:bCs/>
          <w:sz w:val="22"/>
          <w:szCs w:val="22"/>
        </w:rPr>
        <w:t>Prevention:</w:t>
      </w:r>
    </w:p>
    <w:p w14:paraId="6EA65CDD" w14:textId="11165AB8" w:rsidR="009E4991" w:rsidRPr="004B183D" w:rsidRDefault="009E4991" w:rsidP="00005F20">
      <w:pPr>
        <w:pStyle w:val="ListParagraph"/>
        <w:spacing w:after="0" w:line="360" w:lineRule="auto"/>
        <w:ind w:left="1440"/>
        <w:rPr>
          <w:rFonts w:ascii="Arial" w:eastAsia="Times New Roman" w:hAnsi="Arial" w:cs="Arial"/>
          <w:kern w:val="0"/>
          <w:sz w:val="22"/>
          <w:szCs w:val="22"/>
          <w14:ligatures w14:val="none"/>
        </w:rPr>
      </w:pPr>
      <w:r w:rsidRPr="004B183D">
        <w:rPr>
          <w:rFonts w:ascii="Arial" w:eastAsia="Times New Roman" w:hAnsi="Arial" w:cs="Arial"/>
          <w:kern w:val="0"/>
          <w:sz w:val="22"/>
          <w:szCs w:val="22"/>
          <w14:ligatures w14:val="none"/>
        </w:rPr>
        <w:t xml:space="preserve">Prevention of Type 2 diabetes focuses on education, lifestyle changes, healthy eating, exercise, and weight management. The WHO estimates 70% of cases are preventable (Beulens et al., 2024). The NHS Diabetes Prevention Programme reduces incidence by 58% (Pemberton et al., 2025). Regular screenings for high-risk populations will be conducted at community </w:t>
      </w:r>
      <w:r w:rsidR="00E61DA3" w:rsidRPr="004B183D">
        <w:rPr>
          <w:rFonts w:ascii="Arial" w:eastAsia="Times New Roman" w:hAnsi="Arial" w:cs="Arial"/>
          <w:kern w:val="0"/>
          <w:sz w:val="22"/>
          <w:szCs w:val="22"/>
          <w14:ligatures w14:val="none"/>
        </w:rPr>
        <w:t>centres</w:t>
      </w:r>
      <w:r w:rsidRPr="004B183D">
        <w:rPr>
          <w:rFonts w:ascii="Arial" w:eastAsia="Times New Roman" w:hAnsi="Arial" w:cs="Arial"/>
          <w:kern w:val="0"/>
          <w:sz w:val="22"/>
          <w:szCs w:val="22"/>
          <w14:ligatures w14:val="none"/>
        </w:rPr>
        <w:t xml:space="preserve"> and GP practices (Spencer et al., 2023).</w:t>
      </w:r>
    </w:p>
    <w:p w14:paraId="4B06A7BE" w14:textId="77777777" w:rsidR="00CA4F1E" w:rsidRPr="004B183D" w:rsidRDefault="00CA4F1E" w:rsidP="00005F20">
      <w:pPr>
        <w:pStyle w:val="ListParagraph"/>
        <w:numPr>
          <w:ilvl w:val="1"/>
          <w:numId w:val="25"/>
        </w:numPr>
        <w:spacing w:after="0" w:line="360" w:lineRule="auto"/>
        <w:rPr>
          <w:rFonts w:ascii="Arial" w:hAnsi="Arial" w:cs="Arial"/>
          <w:b/>
          <w:bCs/>
          <w:sz w:val="22"/>
          <w:szCs w:val="22"/>
        </w:rPr>
      </w:pPr>
      <w:r w:rsidRPr="004B183D">
        <w:rPr>
          <w:rFonts w:ascii="Arial" w:hAnsi="Arial" w:cs="Arial"/>
          <w:b/>
          <w:bCs/>
          <w:sz w:val="22"/>
          <w:szCs w:val="22"/>
        </w:rPr>
        <w:lastRenderedPageBreak/>
        <w:t>Protection:</w:t>
      </w:r>
    </w:p>
    <w:p w14:paraId="05681E65" w14:textId="35C13C86" w:rsidR="00CA4F1E" w:rsidRPr="004B183D" w:rsidRDefault="00CA4F1E" w:rsidP="00005F20">
      <w:pPr>
        <w:pStyle w:val="ListParagraph"/>
        <w:spacing w:after="0" w:line="360" w:lineRule="auto"/>
        <w:ind w:left="1440"/>
        <w:rPr>
          <w:rFonts w:ascii="Arial" w:hAnsi="Arial" w:cs="Arial"/>
          <w:sz w:val="22"/>
          <w:szCs w:val="22"/>
        </w:rPr>
      </w:pPr>
      <w:r w:rsidRPr="004B183D">
        <w:rPr>
          <w:rFonts w:ascii="Arial" w:hAnsi="Arial" w:cs="Arial"/>
          <w:sz w:val="22"/>
          <w:szCs w:val="22"/>
        </w:rPr>
        <w:t>The safeguards will also ensure that those who have probably been diagnosed with type 2 diabetes will be treated accordingly and timely manner</w:t>
      </w:r>
      <w:r w:rsidR="00A67B6E" w:rsidRPr="004B183D">
        <w:rPr>
          <w:rFonts w:ascii="Arial" w:hAnsi="Arial" w:cs="Arial"/>
          <w:sz w:val="22"/>
          <w:szCs w:val="22"/>
        </w:rPr>
        <w:t>(Brady et al., 2025)</w:t>
      </w:r>
      <w:r w:rsidRPr="004B183D">
        <w:rPr>
          <w:rFonts w:ascii="Arial" w:hAnsi="Arial" w:cs="Arial"/>
          <w:sz w:val="22"/>
          <w:szCs w:val="22"/>
        </w:rPr>
        <w:t>. Regular blood sugar monitoring and control of the diabetes complications (e.g., diabetic retinopathy and nephropathy) and availability of medication accompany it</w:t>
      </w:r>
      <w:r w:rsidR="00D96902" w:rsidRPr="004B183D">
        <w:rPr>
          <w:rFonts w:ascii="Arial" w:hAnsi="Arial" w:cs="Arial"/>
          <w:sz w:val="22"/>
          <w:szCs w:val="22"/>
        </w:rPr>
        <w:t xml:space="preserve"> (Stepanova, 2025)</w:t>
      </w:r>
      <w:r w:rsidRPr="004B183D">
        <w:rPr>
          <w:rFonts w:ascii="Arial" w:hAnsi="Arial" w:cs="Arial"/>
          <w:sz w:val="22"/>
          <w:szCs w:val="22"/>
        </w:rPr>
        <w:t>. NHS statistics indicate that diabetic retinopathy is currently one of the top causes of blindness, and the prevalence of diabetic patients who develop the issue in the UK is 22</w:t>
      </w:r>
      <w:r w:rsidR="00BA74C5" w:rsidRPr="004B183D">
        <w:rPr>
          <w:rFonts w:ascii="Arial" w:hAnsi="Arial" w:cs="Arial"/>
          <w:sz w:val="22"/>
          <w:szCs w:val="22"/>
        </w:rPr>
        <w:t>%</w:t>
      </w:r>
      <w:r w:rsidRPr="004B183D">
        <w:rPr>
          <w:rFonts w:ascii="Arial" w:hAnsi="Arial" w:cs="Arial"/>
          <w:sz w:val="22"/>
          <w:szCs w:val="22"/>
        </w:rPr>
        <w:t xml:space="preserve"> (Pemberton et al., 2025). To eliminate the discrepancies in the delivery of care, it is remarkable that culturally competent medical care services should be available</w:t>
      </w:r>
      <w:r w:rsidR="00C1284B" w:rsidRPr="004B183D">
        <w:rPr>
          <w:rFonts w:ascii="Arial" w:hAnsi="Arial" w:cs="Arial"/>
          <w:sz w:val="22"/>
          <w:szCs w:val="22"/>
        </w:rPr>
        <w:t xml:space="preserve"> </w:t>
      </w:r>
      <w:r w:rsidR="00A67B6E" w:rsidRPr="004B183D">
        <w:rPr>
          <w:rFonts w:ascii="Arial" w:hAnsi="Arial" w:cs="Arial"/>
          <w:sz w:val="22"/>
          <w:szCs w:val="22"/>
        </w:rPr>
        <w:t>(Brady et al., 2025)</w:t>
      </w:r>
      <w:r w:rsidRPr="004B183D">
        <w:rPr>
          <w:rFonts w:ascii="Arial" w:hAnsi="Arial" w:cs="Arial"/>
          <w:sz w:val="22"/>
          <w:szCs w:val="22"/>
        </w:rPr>
        <w:t>.</w:t>
      </w:r>
    </w:p>
    <w:p w14:paraId="0662A8FD" w14:textId="77777777" w:rsidR="00CA4F1E" w:rsidRPr="004B183D" w:rsidRDefault="00CA4F1E" w:rsidP="00005F20">
      <w:pPr>
        <w:pStyle w:val="ListParagraph"/>
        <w:numPr>
          <w:ilvl w:val="1"/>
          <w:numId w:val="25"/>
        </w:numPr>
        <w:spacing w:after="0" w:line="360" w:lineRule="auto"/>
        <w:rPr>
          <w:rFonts w:ascii="Arial" w:hAnsi="Arial" w:cs="Arial"/>
          <w:b/>
          <w:bCs/>
          <w:sz w:val="22"/>
          <w:szCs w:val="22"/>
        </w:rPr>
      </w:pPr>
      <w:r w:rsidRPr="004B183D">
        <w:rPr>
          <w:rFonts w:ascii="Arial" w:hAnsi="Arial" w:cs="Arial"/>
          <w:b/>
          <w:bCs/>
          <w:sz w:val="22"/>
          <w:szCs w:val="22"/>
        </w:rPr>
        <w:t>Promotion:</w:t>
      </w:r>
    </w:p>
    <w:p w14:paraId="32F125A0" w14:textId="1BCDA294" w:rsidR="00CA4F1E" w:rsidRPr="004B183D" w:rsidRDefault="00CA4F1E" w:rsidP="00005F20">
      <w:pPr>
        <w:pStyle w:val="ListParagraph"/>
        <w:spacing w:after="0" w:line="360" w:lineRule="auto"/>
        <w:ind w:left="1440"/>
        <w:rPr>
          <w:rFonts w:ascii="Arial" w:hAnsi="Arial" w:cs="Arial"/>
          <w:sz w:val="22"/>
          <w:szCs w:val="22"/>
        </w:rPr>
      </w:pPr>
      <w:r w:rsidRPr="004B183D">
        <w:rPr>
          <w:rFonts w:ascii="Arial" w:hAnsi="Arial" w:cs="Arial"/>
          <w:sz w:val="22"/>
          <w:szCs w:val="22"/>
        </w:rPr>
        <w:t>The promotion strategy will be aimed at the creation of awareness about type 2 diabetes, its dangers, and the need to diagnose it at the earliest stages</w:t>
      </w:r>
      <w:r w:rsidR="00A67B6E" w:rsidRPr="004B183D">
        <w:rPr>
          <w:rFonts w:ascii="Arial" w:hAnsi="Arial" w:cs="Arial"/>
          <w:sz w:val="22"/>
          <w:szCs w:val="22"/>
        </w:rPr>
        <w:t>(Taylor-Robinson et al., 2025)</w:t>
      </w:r>
      <w:r w:rsidRPr="004B183D">
        <w:rPr>
          <w:rFonts w:ascii="Arial" w:hAnsi="Arial" w:cs="Arial"/>
          <w:sz w:val="22"/>
          <w:szCs w:val="22"/>
        </w:rPr>
        <w:t>. One such campaign is the Know Your Risk campaign, which provides people with an opportunity to evaluate their risk of diabetes through online apps and local screening</w:t>
      </w:r>
      <w:r w:rsidR="00602C11" w:rsidRPr="004B183D">
        <w:rPr>
          <w:rFonts w:ascii="Arial" w:hAnsi="Arial" w:cs="Arial"/>
          <w:sz w:val="22"/>
          <w:szCs w:val="22"/>
        </w:rPr>
        <w:t xml:space="preserve"> (English et al., 2024)</w:t>
      </w:r>
      <w:r w:rsidRPr="004B183D">
        <w:rPr>
          <w:rFonts w:ascii="Arial" w:hAnsi="Arial" w:cs="Arial"/>
          <w:sz w:val="22"/>
          <w:szCs w:val="22"/>
        </w:rPr>
        <w:t xml:space="preserve">. Research evidence suggests that the availability of publicly available health campaigns would lead to the desire of more individuals to screen and take care (Chatzi et al., 2023). </w:t>
      </w:r>
    </w:p>
    <w:p w14:paraId="12ADDC58" w14:textId="7C3223D1" w:rsidR="00CA4F1E" w:rsidRPr="004B183D" w:rsidRDefault="002D474B" w:rsidP="00005F20">
      <w:pPr>
        <w:spacing w:after="0" w:line="360" w:lineRule="auto"/>
        <w:contextualSpacing/>
        <w:rPr>
          <w:rFonts w:ascii="Arial" w:hAnsi="Arial" w:cs="Arial"/>
          <w:b/>
          <w:bCs/>
          <w:sz w:val="22"/>
          <w:szCs w:val="22"/>
        </w:rPr>
      </w:pPr>
      <w:r w:rsidRPr="004B183D">
        <w:rPr>
          <w:rFonts w:ascii="Arial" w:hAnsi="Arial" w:cs="Arial"/>
          <w:b/>
          <w:bCs/>
          <w:sz w:val="22"/>
          <w:szCs w:val="22"/>
        </w:rPr>
        <w:t xml:space="preserve">Key </w:t>
      </w:r>
      <w:r w:rsidR="00CA4F1E" w:rsidRPr="004B183D">
        <w:rPr>
          <w:rFonts w:ascii="Arial" w:hAnsi="Arial" w:cs="Arial"/>
          <w:b/>
          <w:bCs/>
          <w:sz w:val="22"/>
          <w:szCs w:val="22"/>
        </w:rPr>
        <w:t>Determinants</w:t>
      </w:r>
      <w:r w:rsidRPr="004B183D">
        <w:rPr>
          <w:rFonts w:ascii="Arial" w:hAnsi="Arial" w:cs="Arial"/>
          <w:b/>
          <w:bCs/>
          <w:sz w:val="22"/>
          <w:szCs w:val="22"/>
        </w:rPr>
        <w:t>/</w:t>
      </w:r>
      <w:r w:rsidR="00CA4F1E" w:rsidRPr="004B183D">
        <w:rPr>
          <w:rFonts w:ascii="Arial" w:hAnsi="Arial" w:cs="Arial"/>
          <w:b/>
          <w:bCs/>
          <w:sz w:val="22"/>
          <w:szCs w:val="22"/>
        </w:rPr>
        <w:t>Risk Factors</w:t>
      </w:r>
      <w:r w:rsidRPr="004B183D">
        <w:rPr>
          <w:rFonts w:ascii="Arial" w:hAnsi="Arial" w:cs="Arial"/>
          <w:b/>
          <w:bCs/>
          <w:sz w:val="22"/>
          <w:szCs w:val="22"/>
        </w:rPr>
        <w:t xml:space="preserve"> of type 2 Diabetes</w:t>
      </w:r>
      <w:r w:rsidR="00CA4F1E" w:rsidRPr="004B183D">
        <w:rPr>
          <w:rFonts w:ascii="Arial" w:hAnsi="Arial" w:cs="Arial"/>
          <w:b/>
          <w:bCs/>
          <w:sz w:val="22"/>
          <w:szCs w:val="22"/>
        </w:rPr>
        <w:t>:</w:t>
      </w:r>
    </w:p>
    <w:p w14:paraId="75F130E7" w14:textId="65153A60" w:rsidR="00CA4F1E" w:rsidRPr="004B183D" w:rsidRDefault="00CA4F1E" w:rsidP="00602C11">
      <w:pPr>
        <w:spacing w:after="0" w:line="360" w:lineRule="auto"/>
        <w:ind w:firstLine="720"/>
        <w:contextualSpacing/>
        <w:rPr>
          <w:rFonts w:ascii="Arial" w:hAnsi="Arial" w:cs="Arial"/>
          <w:sz w:val="22"/>
          <w:szCs w:val="22"/>
        </w:rPr>
      </w:pPr>
      <w:r w:rsidRPr="004B183D">
        <w:rPr>
          <w:rFonts w:ascii="Arial" w:hAnsi="Arial" w:cs="Arial"/>
          <w:sz w:val="22"/>
          <w:szCs w:val="22"/>
        </w:rPr>
        <w:t xml:space="preserve">Risk factors </w:t>
      </w:r>
      <w:r w:rsidR="002D474B" w:rsidRPr="004B183D">
        <w:rPr>
          <w:rFonts w:ascii="Arial" w:hAnsi="Arial" w:cs="Arial"/>
          <w:sz w:val="22"/>
          <w:szCs w:val="22"/>
        </w:rPr>
        <w:t xml:space="preserve">/Key </w:t>
      </w:r>
      <w:r w:rsidRPr="004B183D">
        <w:rPr>
          <w:rFonts w:ascii="Arial" w:hAnsi="Arial" w:cs="Arial"/>
          <w:sz w:val="22"/>
          <w:szCs w:val="22"/>
        </w:rPr>
        <w:t>determinants of type 2 diabetes are a variety of factors, which include:</w:t>
      </w:r>
    </w:p>
    <w:p w14:paraId="40EDF59E" w14:textId="2110EA15" w:rsidR="00CA4F1E" w:rsidRPr="004B183D" w:rsidRDefault="00C25F5D" w:rsidP="00C25F5D">
      <w:pPr>
        <w:pStyle w:val="ListParagraph"/>
        <w:spacing w:after="0" w:line="360" w:lineRule="auto"/>
        <w:rPr>
          <w:rFonts w:ascii="Arial" w:hAnsi="Arial" w:cs="Arial"/>
          <w:b/>
          <w:bCs/>
          <w:sz w:val="22"/>
          <w:szCs w:val="22"/>
        </w:rPr>
      </w:pPr>
      <w:r>
        <w:rPr>
          <w:rFonts w:ascii="Arial" w:hAnsi="Arial" w:cs="Arial"/>
          <w:b/>
          <w:bCs/>
          <w:sz w:val="22"/>
          <w:szCs w:val="22"/>
        </w:rPr>
        <w:t>1.</w:t>
      </w:r>
      <w:r w:rsidR="00CA4F1E" w:rsidRPr="004B183D">
        <w:rPr>
          <w:rFonts w:ascii="Arial" w:hAnsi="Arial" w:cs="Arial"/>
          <w:b/>
          <w:bCs/>
          <w:sz w:val="22"/>
          <w:szCs w:val="22"/>
        </w:rPr>
        <w:t>Genetics:</w:t>
      </w:r>
    </w:p>
    <w:p w14:paraId="595A43F7" w14:textId="616954B4" w:rsidR="00CA4F1E" w:rsidRPr="004B183D" w:rsidRDefault="00CA4F1E" w:rsidP="00005F20">
      <w:pPr>
        <w:spacing w:after="0" w:line="360" w:lineRule="auto"/>
        <w:ind w:left="720"/>
        <w:rPr>
          <w:rFonts w:ascii="Arial" w:hAnsi="Arial" w:cs="Arial"/>
          <w:sz w:val="22"/>
          <w:szCs w:val="22"/>
        </w:rPr>
      </w:pPr>
      <w:r w:rsidRPr="004B183D">
        <w:rPr>
          <w:rFonts w:ascii="Arial" w:hAnsi="Arial" w:cs="Arial"/>
          <w:sz w:val="22"/>
          <w:szCs w:val="22"/>
        </w:rPr>
        <w:t>A history of diabetes in the family exposes a person to a great risk of being affected by diabetes</w:t>
      </w:r>
      <w:r w:rsidR="00A67B6E" w:rsidRPr="004B183D">
        <w:rPr>
          <w:rFonts w:ascii="Arial" w:hAnsi="Arial" w:cs="Arial"/>
          <w:sz w:val="22"/>
          <w:szCs w:val="22"/>
        </w:rPr>
        <w:t>(Taylor-Robinson et al., 2025)</w:t>
      </w:r>
      <w:r w:rsidRPr="004B183D">
        <w:rPr>
          <w:rFonts w:ascii="Arial" w:hAnsi="Arial" w:cs="Arial"/>
          <w:sz w:val="22"/>
          <w:szCs w:val="22"/>
        </w:rPr>
        <w:t>. Insulin resistance has been proven to be more of a genetic form in the South Asian and Pakistani, and Bangladeshi origins in particular (Re et al., 2023).</w:t>
      </w:r>
    </w:p>
    <w:p w14:paraId="76EE47E6" w14:textId="0378F26E" w:rsidR="00CA4F1E" w:rsidRPr="004B183D" w:rsidRDefault="00C25F5D" w:rsidP="00C25F5D">
      <w:pPr>
        <w:pStyle w:val="ListParagraph"/>
        <w:spacing w:after="0" w:line="360" w:lineRule="auto"/>
        <w:rPr>
          <w:rFonts w:ascii="Arial" w:hAnsi="Arial" w:cs="Arial"/>
          <w:b/>
          <w:bCs/>
          <w:sz w:val="22"/>
          <w:szCs w:val="22"/>
        </w:rPr>
      </w:pPr>
      <w:r>
        <w:rPr>
          <w:rFonts w:ascii="Arial" w:hAnsi="Arial" w:cs="Arial"/>
          <w:b/>
          <w:bCs/>
          <w:sz w:val="22"/>
          <w:szCs w:val="22"/>
        </w:rPr>
        <w:t>2.</w:t>
      </w:r>
      <w:r w:rsidR="00CA4F1E" w:rsidRPr="004B183D">
        <w:rPr>
          <w:rFonts w:ascii="Arial" w:hAnsi="Arial" w:cs="Arial"/>
          <w:b/>
          <w:bCs/>
          <w:sz w:val="22"/>
          <w:szCs w:val="22"/>
        </w:rPr>
        <w:t>Obesity:</w:t>
      </w:r>
    </w:p>
    <w:p w14:paraId="4990554C" w14:textId="0AAB4974" w:rsidR="00CA4F1E" w:rsidRPr="004B183D" w:rsidRDefault="00CA4F1E" w:rsidP="00005F20">
      <w:pPr>
        <w:spacing w:after="0" w:line="360" w:lineRule="auto"/>
        <w:ind w:left="720"/>
        <w:rPr>
          <w:rFonts w:ascii="Arial" w:hAnsi="Arial" w:cs="Arial"/>
          <w:sz w:val="22"/>
          <w:szCs w:val="22"/>
        </w:rPr>
      </w:pPr>
      <w:r w:rsidRPr="004B183D">
        <w:rPr>
          <w:rFonts w:ascii="Arial" w:hAnsi="Arial" w:cs="Arial"/>
          <w:sz w:val="22"/>
          <w:szCs w:val="22"/>
        </w:rPr>
        <w:t>The obesity is closely related to the insulin resistance, which are characteristic of the type 2 diabetes, and, specifically, the obesity. The obesity rates amongst South Asian communities and the Black community in the UK are extremely high compared to the obesity rates in the White British communities</w:t>
      </w:r>
      <w:r w:rsidR="00D96902" w:rsidRPr="004B183D">
        <w:rPr>
          <w:rFonts w:ascii="Arial" w:hAnsi="Arial" w:cs="Arial"/>
          <w:sz w:val="22"/>
          <w:szCs w:val="22"/>
        </w:rPr>
        <w:t xml:space="preserve"> (Re et al., 2023)</w:t>
      </w:r>
      <w:r w:rsidRPr="004B183D">
        <w:rPr>
          <w:rFonts w:ascii="Arial" w:hAnsi="Arial" w:cs="Arial"/>
          <w:sz w:val="22"/>
          <w:szCs w:val="22"/>
        </w:rPr>
        <w:t>. It was discovered that more than 60</w:t>
      </w:r>
      <w:r w:rsidR="00FC6F5D" w:rsidRPr="004B183D">
        <w:rPr>
          <w:rFonts w:ascii="Arial" w:hAnsi="Arial" w:cs="Arial"/>
          <w:sz w:val="22"/>
          <w:szCs w:val="22"/>
        </w:rPr>
        <w:t>%</w:t>
      </w:r>
      <w:r w:rsidRPr="004B183D">
        <w:rPr>
          <w:rFonts w:ascii="Arial" w:hAnsi="Arial" w:cs="Arial"/>
          <w:sz w:val="22"/>
          <w:szCs w:val="22"/>
        </w:rPr>
        <w:t xml:space="preserve"> and half of the Black Caribbeans in the UK are fat or obese, in South Asians (Wu et al., 2025). It is among the major factors why cases of type 2 diabetes are on the increase among such populations</w:t>
      </w:r>
      <w:r w:rsidR="007E241C" w:rsidRPr="004B183D">
        <w:rPr>
          <w:rFonts w:ascii="Arial" w:hAnsi="Arial" w:cs="Arial"/>
          <w:sz w:val="22"/>
          <w:szCs w:val="22"/>
        </w:rPr>
        <w:t>(Stepanova, 2025)</w:t>
      </w:r>
      <w:r w:rsidRPr="004B183D">
        <w:rPr>
          <w:rFonts w:ascii="Arial" w:hAnsi="Arial" w:cs="Arial"/>
          <w:sz w:val="22"/>
          <w:szCs w:val="22"/>
        </w:rPr>
        <w:t>.</w:t>
      </w:r>
    </w:p>
    <w:p w14:paraId="412526C4" w14:textId="1402967B" w:rsidR="00CA4F1E" w:rsidRPr="004B183D" w:rsidRDefault="00C25F5D" w:rsidP="00C25F5D">
      <w:pPr>
        <w:pStyle w:val="ListParagraph"/>
        <w:spacing w:after="0" w:line="360" w:lineRule="auto"/>
        <w:rPr>
          <w:rFonts w:ascii="Arial" w:hAnsi="Arial" w:cs="Arial"/>
          <w:b/>
          <w:bCs/>
          <w:sz w:val="22"/>
          <w:szCs w:val="22"/>
        </w:rPr>
      </w:pPr>
      <w:r>
        <w:rPr>
          <w:rFonts w:ascii="Arial" w:hAnsi="Arial" w:cs="Arial"/>
          <w:b/>
          <w:bCs/>
          <w:sz w:val="22"/>
          <w:szCs w:val="22"/>
        </w:rPr>
        <w:lastRenderedPageBreak/>
        <w:t>3.</w:t>
      </w:r>
      <w:r w:rsidR="00CA4F1E" w:rsidRPr="004B183D">
        <w:rPr>
          <w:rFonts w:ascii="Arial" w:hAnsi="Arial" w:cs="Arial"/>
          <w:b/>
          <w:bCs/>
          <w:sz w:val="22"/>
          <w:szCs w:val="22"/>
        </w:rPr>
        <w:t>Physical Inactivity:</w:t>
      </w:r>
    </w:p>
    <w:p w14:paraId="2482D765" w14:textId="77777777" w:rsidR="00C25F5D" w:rsidRPr="00C25F5D" w:rsidRDefault="00C25F5D" w:rsidP="00C25F5D">
      <w:pPr>
        <w:spacing w:after="0" w:line="360" w:lineRule="auto"/>
        <w:ind w:left="720"/>
        <w:rPr>
          <w:rFonts w:ascii="Arial" w:hAnsi="Arial" w:cs="Arial"/>
          <w:sz w:val="22"/>
          <w:szCs w:val="22"/>
        </w:rPr>
      </w:pPr>
      <w:r w:rsidRPr="00C25F5D">
        <w:rPr>
          <w:rFonts w:ascii="Arial" w:hAnsi="Arial" w:cs="Arial"/>
          <w:sz w:val="22"/>
          <w:szCs w:val="22"/>
        </w:rPr>
        <w:t>Inactivity is another important factor that can cause type 2 diabetes. This is more than 30 and 25 percent of the Black Caribbeans and South Asians respectively and one of the causes that are also contributing to an increasing obese and diabetes (Anand et al., 2025).</w:t>
      </w:r>
    </w:p>
    <w:p w14:paraId="4A8DFD28" w14:textId="01A51AD9" w:rsidR="00C25F5D" w:rsidRPr="00C25F5D" w:rsidRDefault="00C25F5D" w:rsidP="00C25F5D">
      <w:pPr>
        <w:spacing w:after="0" w:line="360" w:lineRule="auto"/>
        <w:ind w:left="720"/>
        <w:rPr>
          <w:rFonts w:ascii="Arial" w:hAnsi="Arial" w:cs="Arial"/>
          <w:b/>
          <w:bCs/>
          <w:sz w:val="22"/>
          <w:szCs w:val="22"/>
        </w:rPr>
      </w:pPr>
      <w:r w:rsidRPr="00C25F5D">
        <w:rPr>
          <w:rFonts w:ascii="Arial" w:hAnsi="Arial" w:cs="Arial"/>
          <w:b/>
          <w:bCs/>
          <w:sz w:val="22"/>
          <w:szCs w:val="22"/>
        </w:rPr>
        <w:t>4.Socioeconomic Factors:</w:t>
      </w:r>
    </w:p>
    <w:p w14:paraId="097FA9E3" w14:textId="77777777" w:rsidR="00C25F5D" w:rsidRDefault="00C25F5D" w:rsidP="00C25F5D">
      <w:pPr>
        <w:spacing w:after="0" w:line="360" w:lineRule="auto"/>
        <w:ind w:left="720"/>
        <w:rPr>
          <w:rFonts w:ascii="Arial" w:hAnsi="Arial" w:cs="Arial"/>
          <w:sz w:val="22"/>
          <w:szCs w:val="22"/>
        </w:rPr>
      </w:pPr>
      <w:r w:rsidRPr="00C25F5D">
        <w:rPr>
          <w:rFonts w:ascii="Arial" w:hAnsi="Arial" w:cs="Arial"/>
          <w:sz w:val="22"/>
          <w:szCs w:val="22"/>
        </w:rPr>
        <w:t>There is a strong correlation between the type 2 diabetes and low socioeconomic status. The South Asians and the Blacks of the UK will probably hold the undesirable position of being able to enjoy healthy foods, to safe places where they can do exercises, and health institutions (English et al., 2024). This places an additional risk on their exposure to the risk of diabetes and other complications (Beulens et al., 2024).</w:t>
      </w:r>
    </w:p>
    <w:p w14:paraId="36DC37C8" w14:textId="5C6AD524" w:rsidR="0076769D" w:rsidRPr="004B183D" w:rsidRDefault="0076769D" w:rsidP="00C25F5D">
      <w:pPr>
        <w:spacing w:after="0" w:line="360" w:lineRule="auto"/>
        <w:rPr>
          <w:rFonts w:ascii="Arial" w:hAnsi="Arial" w:cs="Arial"/>
          <w:b/>
          <w:bCs/>
          <w:sz w:val="22"/>
          <w:szCs w:val="22"/>
        </w:rPr>
      </w:pPr>
      <w:r w:rsidRPr="004B183D">
        <w:rPr>
          <w:rFonts w:ascii="Arial" w:hAnsi="Arial" w:cs="Arial"/>
          <w:b/>
          <w:bCs/>
          <w:sz w:val="22"/>
          <w:szCs w:val="22"/>
        </w:rPr>
        <w:t>Epidemiological Studies and Health Needs Assessment</w:t>
      </w:r>
    </w:p>
    <w:p w14:paraId="1409706B" w14:textId="43052153" w:rsidR="0076769D" w:rsidRPr="004B183D" w:rsidRDefault="0076769D" w:rsidP="00005F20">
      <w:pPr>
        <w:spacing w:after="0" w:line="360" w:lineRule="auto"/>
        <w:contextualSpacing/>
        <w:rPr>
          <w:rFonts w:ascii="Arial" w:hAnsi="Arial" w:cs="Arial"/>
          <w:b/>
          <w:bCs/>
          <w:sz w:val="22"/>
          <w:szCs w:val="22"/>
        </w:rPr>
      </w:pPr>
      <w:r w:rsidRPr="004B183D">
        <w:rPr>
          <w:rFonts w:ascii="Arial" w:hAnsi="Arial" w:cs="Arial"/>
          <w:b/>
          <w:bCs/>
          <w:sz w:val="22"/>
          <w:szCs w:val="22"/>
        </w:rPr>
        <w:t>Prevalence</w:t>
      </w:r>
    </w:p>
    <w:p w14:paraId="492A653A" w14:textId="15CC55AA" w:rsidR="0076769D" w:rsidRPr="004B183D" w:rsidRDefault="0076769D" w:rsidP="00602C11">
      <w:pPr>
        <w:spacing w:after="0" w:line="360" w:lineRule="auto"/>
        <w:ind w:firstLine="720"/>
        <w:contextualSpacing/>
        <w:rPr>
          <w:rFonts w:ascii="Arial" w:hAnsi="Arial" w:cs="Arial"/>
          <w:sz w:val="22"/>
          <w:szCs w:val="22"/>
        </w:rPr>
      </w:pPr>
      <w:r w:rsidRPr="004B183D">
        <w:rPr>
          <w:rFonts w:ascii="Arial" w:hAnsi="Arial" w:cs="Arial"/>
          <w:sz w:val="22"/>
          <w:szCs w:val="22"/>
        </w:rPr>
        <w:t>Diabetes in the UK has grown to mammoth proportions, whereby the cases diagnosed with diabetes have been 4.9million, and 90</w:t>
      </w:r>
      <w:r w:rsidR="00C1284B" w:rsidRPr="004B183D">
        <w:rPr>
          <w:rFonts w:ascii="Arial" w:hAnsi="Arial" w:cs="Arial"/>
          <w:sz w:val="22"/>
          <w:szCs w:val="22"/>
        </w:rPr>
        <w:t>%</w:t>
      </w:r>
      <w:r w:rsidRPr="004B183D">
        <w:rPr>
          <w:rFonts w:ascii="Arial" w:hAnsi="Arial" w:cs="Arial"/>
          <w:sz w:val="22"/>
          <w:szCs w:val="22"/>
        </w:rPr>
        <w:t xml:space="preserve"> of the 4.9million are type 2 diabetes (Diabetes UK, 2025). The ethnic minorities, ie, the South Asians and the Black population, are prevalent, and the South Asians have higher chances of getting infected by diabetes 6-10 times than the Whites (Wu et al., 2025). It has been pegged on the genetic, socioeconomic and lifestyle factors</w:t>
      </w:r>
      <w:r w:rsidR="007E241C" w:rsidRPr="004B183D">
        <w:rPr>
          <w:rFonts w:ascii="Arial" w:hAnsi="Arial" w:cs="Arial"/>
          <w:sz w:val="22"/>
          <w:szCs w:val="22"/>
        </w:rPr>
        <w:t>(O’Dowd, 2025)</w:t>
      </w:r>
      <w:r w:rsidRPr="004B183D">
        <w:rPr>
          <w:rFonts w:ascii="Arial" w:hAnsi="Arial" w:cs="Arial"/>
          <w:sz w:val="22"/>
          <w:szCs w:val="22"/>
        </w:rPr>
        <w:t>.</w:t>
      </w:r>
    </w:p>
    <w:p w14:paraId="41670824" w14:textId="0C767D5F" w:rsidR="0076769D" w:rsidRPr="004B183D" w:rsidRDefault="0076769D" w:rsidP="00005F20">
      <w:pPr>
        <w:spacing w:after="0" w:line="360" w:lineRule="auto"/>
        <w:contextualSpacing/>
        <w:rPr>
          <w:rFonts w:ascii="Arial" w:hAnsi="Arial" w:cs="Arial"/>
          <w:b/>
          <w:bCs/>
          <w:sz w:val="22"/>
          <w:szCs w:val="22"/>
        </w:rPr>
      </w:pPr>
      <w:r w:rsidRPr="004B183D">
        <w:rPr>
          <w:rFonts w:ascii="Arial" w:hAnsi="Arial" w:cs="Arial"/>
          <w:b/>
          <w:bCs/>
          <w:sz w:val="22"/>
          <w:szCs w:val="22"/>
        </w:rPr>
        <w:t>Health Needs</w:t>
      </w:r>
    </w:p>
    <w:p w14:paraId="02B94726" w14:textId="0282C71A" w:rsidR="0076769D" w:rsidRPr="004B183D" w:rsidRDefault="0076769D" w:rsidP="00602C11">
      <w:pPr>
        <w:spacing w:after="0" w:line="360" w:lineRule="auto"/>
        <w:ind w:firstLine="720"/>
        <w:contextualSpacing/>
        <w:rPr>
          <w:rFonts w:ascii="Arial" w:hAnsi="Arial" w:cs="Arial"/>
          <w:sz w:val="22"/>
          <w:szCs w:val="22"/>
        </w:rPr>
      </w:pPr>
      <w:r w:rsidRPr="004B183D">
        <w:rPr>
          <w:rFonts w:ascii="Arial" w:hAnsi="Arial" w:cs="Arial"/>
          <w:sz w:val="22"/>
          <w:szCs w:val="22"/>
        </w:rPr>
        <w:t>The health needs assessment can expose some of the issues in the populations, such as the language barrier, the inability to obtain culturally competent care, and socioeconomic conditions</w:t>
      </w:r>
      <w:r w:rsidR="00D96902" w:rsidRPr="004B183D">
        <w:rPr>
          <w:rFonts w:ascii="Arial" w:hAnsi="Arial" w:cs="Arial"/>
          <w:sz w:val="22"/>
          <w:szCs w:val="22"/>
        </w:rPr>
        <w:t xml:space="preserve"> (Looi, 2025)</w:t>
      </w:r>
      <w:r w:rsidRPr="004B183D">
        <w:rPr>
          <w:rFonts w:ascii="Arial" w:hAnsi="Arial" w:cs="Arial"/>
          <w:sz w:val="22"/>
          <w:szCs w:val="22"/>
        </w:rPr>
        <w:t>. They require specialist healthcare services, screening and outreach services to help them manage the personal health needs of such vulnerable groups (Chatzi et al., 2023).</w:t>
      </w:r>
    </w:p>
    <w:p w14:paraId="03E6B4EA" w14:textId="05860D4F" w:rsidR="00472DC5" w:rsidRPr="004B183D" w:rsidRDefault="00472DC5" w:rsidP="00005F20">
      <w:pPr>
        <w:spacing w:after="0" w:line="360" w:lineRule="auto"/>
        <w:contextualSpacing/>
        <w:rPr>
          <w:rFonts w:ascii="Arial" w:hAnsi="Arial" w:cs="Arial"/>
          <w:b/>
          <w:bCs/>
          <w:sz w:val="22"/>
          <w:szCs w:val="22"/>
        </w:rPr>
      </w:pPr>
      <w:r w:rsidRPr="004B183D">
        <w:rPr>
          <w:rFonts w:ascii="Arial" w:hAnsi="Arial" w:cs="Arial"/>
          <w:b/>
          <w:bCs/>
          <w:sz w:val="22"/>
          <w:szCs w:val="22"/>
        </w:rPr>
        <w:t>Surveillance and Interventions to be employed in monitoring Public Health:</w:t>
      </w:r>
    </w:p>
    <w:p w14:paraId="44B72650" w14:textId="77777777" w:rsidR="00472DC5" w:rsidRPr="004B183D" w:rsidRDefault="00472DC5" w:rsidP="00602C11">
      <w:pPr>
        <w:spacing w:after="0" w:line="360" w:lineRule="auto"/>
        <w:ind w:firstLine="720"/>
        <w:contextualSpacing/>
        <w:rPr>
          <w:rFonts w:ascii="Arial" w:hAnsi="Arial" w:cs="Arial"/>
          <w:sz w:val="22"/>
          <w:szCs w:val="22"/>
        </w:rPr>
      </w:pPr>
      <w:r w:rsidRPr="004B183D">
        <w:rPr>
          <w:rFonts w:ascii="Arial" w:hAnsi="Arial" w:cs="Arial"/>
          <w:sz w:val="22"/>
          <w:szCs w:val="22"/>
        </w:rPr>
        <w:t>The management of the disease should pay attention to the prevalence and incidence of type 2 diabetes. The strategies that will be used to monitor the disease in Tower Hamlets will be as follows:</w:t>
      </w:r>
    </w:p>
    <w:p w14:paraId="41459278" w14:textId="52F93161" w:rsidR="00472DC5" w:rsidRPr="004B183D" w:rsidRDefault="00472DC5" w:rsidP="00005F20">
      <w:pPr>
        <w:spacing w:after="0" w:line="360" w:lineRule="auto"/>
        <w:contextualSpacing/>
        <w:rPr>
          <w:rFonts w:ascii="Arial" w:hAnsi="Arial" w:cs="Arial"/>
          <w:b/>
          <w:bCs/>
          <w:sz w:val="22"/>
          <w:szCs w:val="22"/>
        </w:rPr>
      </w:pPr>
      <w:r w:rsidRPr="004B183D">
        <w:rPr>
          <w:rFonts w:ascii="Arial" w:hAnsi="Arial" w:cs="Arial"/>
          <w:b/>
          <w:bCs/>
          <w:sz w:val="22"/>
          <w:szCs w:val="22"/>
        </w:rPr>
        <w:t>Surveillance Systems:</w:t>
      </w:r>
    </w:p>
    <w:p w14:paraId="2510E368" w14:textId="596C9A57" w:rsidR="00472DC5" w:rsidRPr="004B183D" w:rsidRDefault="00472DC5" w:rsidP="00602C11">
      <w:pPr>
        <w:spacing w:after="0" w:line="360" w:lineRule="auto"/>
        <w:ind w:firstLine="720"/>
        <w:contextualSpacing/>
        <w:rPr>
          <w:rFonts w:ascii="Arial" w:hAnsi="Arial" w:cs="Arial"/>
          <w:sz w:val="22"/>
          <w:szCs w:val="22"/>
        </w:rPr>
      </w:pPr>
      <w:r w:rsidRPr="004B183D">
        <w:rPr>
          <w:rFonts w:ascii="Arial" w:hAnsi="Arial" w:cs="Arial"/>
          <w:sz w:val="22"/>
          <w:szCs w:val="22"/>
        </w:rPr>
        <w:t>The Diabetes UK National Diabetes Audit will also provide statistics of the prevalence of diabetes and the local surveillance systems that track the cases of diabetes in Tower Hamlets in order to establish the trends and areas at risk</w:t>
      </w:r>
      <w:r w:rsidR="00D96902" w:rsidRPr="004B183D">
        <w:rPr>
          <w:rFonts w:ascii="Arial" w:hAnsi="Arial" w:cs="Arial"/>
          <w:sz w:val="22"/>
          <w:szCs w:val="22"/>
        </w:rPr>
        <w:t xml:space="preserve"> (Hu et al., 2023)</w:t>
      </w:r>
      <w:r w:rsidRPr="004B183D">
        <w:rPr>
          <w:rFonts w:ascii="Arial" w:hAnsi="Arial" w:cs="Arial"/>
          <w:sz w:val="22"/>
          <w:szCs w:val="22"/>
        </w:rPr>
        <w:t>.</w:t>
      </w:r>
    </w:p>
    <w:p w14:paraId="13F0D025" w14:textId="28207C2C" w:rsidR="00472DC5" w:rsidRPr="004B183D" w:rsidRDefault="00472DC5" w:rsidP="00005F20">
      <w:pPr>
        <w:spacing w:after="0" w:line="360" w:lineRule="auto"/>
        <w:contextualSpacing/>
        <w:rPr>
          <w:rFonts w:ascii="Arial" w:hAnsi="Arial" w:cs="Arial"/>
          <w:b/>
          <w:bCs/>
          <w:sz w:val="22"/>
          <w:szCs w:val="22"/>
        </w:rPr>
      </w:pPr>
      <w:r w:rsidRPr="004B183D">
        <w:rPr>
          <w:rFonts w:ascii="Arial" w:hAnsi="Arial" w:cs="Arial"/>
          <w:b/>
          <w:bCs/>
          <w:sz w:val="22"/>
          <w:szCs w:val="22"/>
        </w:rPr>
        <w:t>Data Linkage:</w:t>
      </w:r>
    </w:p>
    <w:p w14:paraId="7F158052" w14:textId="77777777" w:rsidR="00026B8F" w:rsidRPr="00026B8F" w:rsidRDefault="00C1284B" w:rsidP="00026B8F">
      <w:pPr>
        <w:spacing w:line="360" w:lineRule="auto"/>
        <w:ind w:firstLine="720"/>
        <w:contextualSpacing/>
        <w:rPr>
          <w:rFonts w:ascii="Arial" w:hAnsi="Arial" w:cs="Arial"/>
          <w:sz w:val="22"/>
          <w:szCs w:val="22"/>
        </w:rPr>
      </w:pPr>
      <w:r w:rsidRPr="004B183D">
        <w:rPr>
          <w:rFonts w:ascii="Arial" w:hAnsi="Arial" w:cs="Arial"/>
          <w:sz w:val="22"/>
          <w:szCs w:val="22"/>
        </w:rPr>
        <w:lastRenderedPageBreak/>
        <w:t>The data shared between the healthcare providers (GPs, hospitals, and community health centers) will help to keep track of the diabetes outcomes and predict the long-term outcomes</w:t>
      </w:r>
      <w:r w:rsidR="00D96902" w:rsidRPr="004B183D">
        <w:rPr>
          <w:rFonts w:ascii="Arial" w:hAnsi="Arial" w:cs="Arial"/>
          <w:sz w:val="22"/>
          <w:szCs w:val="22"/>
        </w:rPr>
        <w:t xml:space="preserve"> (Hu et al., 2023)</w:t>
      </w:r>
      <w:r w:rsidRPr="004B183D">
        <w:rPr>
          <w:rFonts w:ascii="Arial" w:hAnsi="Arial" w:cs="Arial"/>
          <w:sz w:val="22"/>
          <w:szCs w:val="22"/>
        </w:rPr>
        <w:t xml:space="preserve">. </w:t>
      </w:r>
      <w:r w:rsidR="00026B8F" w:rsidRPr="00026B8F">
        <w:rPr>
          <w:rFonts w:ascii="Arial" w:hAnsi="Arial" w:cs="Arial"/>
          <w:sz w:val="22"/>
          <w:szCs w:val="22"/>
        </w:rPr>
        <w:t>The information presented by NHS Digital has the potential to help deliver the information on the quality of care and patient outcomes in cases of diabetes patients. (Pedersen et al., 2025).</w:t>
      </w:r>
    </w:p>
    <w:p w14:paraId="76E8BA1B" w14:textId="77777777" w:rsidR="00026B8F" w:rsidRPr="00026B8F" w:rsidRDefault="00026B8F" w:rsidP="00026B8F">
      <w:pPr>
        <w:spacing w:after="0" w:line="360" w:lineRule="auto"/>
        <w:contextualSpacing/>
        <w:rPr>
          <w:rFonts w:ascii="Arial" w:hAnsi="Arial" w:cs="Arial"/>
          <w:sz w:val="22"/>
          <w:szCs w:val="22"/>
        </w:rPr>
      </w:pPr>
      <w:r w:rsidRPr="00026B8F">
        <w:rPr>
          <w:rFonts w:ascii="Arial" w:hAnsi="Arial" w:cs="Arial"/>
          <w:b/>
          <w:bCs/>
          <w:sz w:val="22"/>
          <w:szCs w:val="22"/>
        </w:rPr>
        <w:t>Community-based Monitoring:</w:t>
      </w:r>
    </w:p>
    <w:p w14:paraId="59388270" w14:textId="77777777" w:rsidR="00026B8F" w:rsidRPr="00026B8F" w:rsidRDefault="00026B8F" w:rsidP="00026B8F">
      <w:pPr>
        <w:spacing w:after="0" w:line="360" w:lineRule="auto"/>
        <w:ind w:firstLine="720"/>
        <w:contextualSpacing/>
        <w:rPr>
          <w:rFonts w:ascii="Arial" w:hAnsi="Arial" w:cs="Arial"/>
          <w:sz w:val="22"/>
          <w:szCs w:val="22"/>
        </w:rPr>
      </w:pPr>
      <w:r w:rsidRPr="00026B8F">
        <w:rPr>
          <w:rFonts w:ascii="Arial" w:hAnsi="Arial" w:cs="Arial"/>
          <w:sz w:val="22"/>
          <w:szCs w:val="22"/>
        </w:rPr>
        <w:t>Regular health checks and screening in society will come in handy in determining the effectiveness of the interventions and the detection of novel risk communities.</w:t>
      </w:r>
    </w:p>
    <w:p w14:paraId="67F0DA6D" w14:textId="77777777" w:rsidR="00026B8F" w:rsidRPr="00026B8F" w:rsidRDefault="00026B8F" w:rsidP="00026B8F">
      <w:pPr>
        <w:spacing w:after="0" w:line="360" w:lineRule="auto"/>
        <w:contextualSpacing/>
        <w:rPr>
          <w:rFonts w:ascii="Arial" w:hAnsi="Arial" w:cs="Arial"/>
          <w:sz w:val="22"/>
          <w:szCs w:val="22"/>
        </w:rPr>
      </w:pPr>
      <w:r w:rsidRPr="00026B8F">
        <w:rPr>
          <w:rFonts w:ascii="Arial" w:hAnsi="Arial" w:cs="Arial"/>
          <w:b/>
          <w:bCs/>
          <w:sz w:val="22"/>
          <w:szCs w:val="22"/>
        </w:rPr>
        <w:t>Long-term and Short-term outcomes: Sigma Health Effect.</w:t>
      </w:r>
    </w:p>
    <w:p w14:paraId="1DF87C57" w14:textId="77777777" w:rsidR="00026B8F" w:rsidRPr="00026B8F" w:rsidRDefault="00026B8F" w:rsidP="00026B8F">
      <w:pPr>
        <w:spacing w:after="0" w:line="360" w:lineRule="auto"/>
        <w:ind w:firstLine="720"/>
        <w:contextualSpacing/>
        <w:rPr>
          <w:rFonts w:ascii="Arial" w:hAnsi="Arial" w:cs="Arial"/>
          <w:sz w:val="22"/>
          <w:szCs w:val="22"/>
        </w:rPr>
      </w:pPr>
      <w:r w:rsidRPr="00026B8F">
        <w:rPr>
          <w:rFonts w:ascii="Arial" w:hAnsi="Arial" w:cs="Arial"/>
          <w:sz w:val="22"/>
          <w:szCs w:val="22"/>
        </w:rPr>
        <w:t>The acute effects of Type 2 diabetes include hyperglycaemic effects and infections. In contrast, other chronic effects, such as cardiovascular diseases, kidney failure, and neuropathy, would be associated with a significant healthcare burden (Looi, 2025). Costs and quality of life can be reduced with the help of education, early treatment, and screening (Wu et al., 2025).</w:t>
      </w:r>
    </w:p>
    <w:p w14:paraId="60C6C8EE" w14:textId="77777777" w:rsidR="00026B8F" w:rsidRPr="00026B8F" w:rsidRDefault="00026B8F" w:rsidP="00026B8F">
      <w:pPr>
        <w:spacing w:after="0" w:line="360" w:lineRule="auto"/>
        <w:contextualSpacing/>
        <w:rPr>
          <w:rFonts w:ascii="Arial" w:hAnsi="Arial" w:cs="Arial"/>
          <w:sz w:val="22"/>
          <w:szCs w:val="22"/>
        </w:rPr>
      </w:pPr>
      <w:r w:rsidRPr="00026B8F">
        <w:rPr>
          <w:rFonts w:ascii="Arial" w:hAnsi="Arial" w:cs="Arial"/>
          <w:b/>
          <w:bCs/>
          <w:sz w:val="22"/>
          <w:szCs w:val="22"/>
        </w:rPr>
        <w:t>Health Intervention Programme and Evaluation:</w:t>
      </w:r>
    </w:p>
    <w:p w14:paraId="45173C8F" w14:textId="77777777" w:rsidR="00026B8F" w:rsidRPr="00026B8F" w:rsidRDefault="00026B8F" w:rsidP="00026B8F">
      <w:pPr>
        <w:spacing w:after="0" w:line="360" w:lineRule="auto"/>
        <w:ind w:firstLine="720"/>
        <w:contextualSpacing/>
        <w:rPr>
          <w:rFonts w:ascii="Arial" w:hAnsi="Arial" w:cs="Arial"/>
          <w:sz w:val="22"/>
          <w:szCs w:val="22"/>
        </w:rPr>
      </w:pPr>
      <w:r w:rsidRPr="00026B8F">
        <w:rPr>
          <w:rFonts w:ascii="Arial" w:hAnsi="Arial" w:cs="Arial"/>
          <w:sz w:val="22"/>
          <w:szCs w:val="22"/>
        </w:rPr>
        <w:t>The health intervention of Tower Hamlets will entail:</w:t>
      </w:r>
    </w:p>
    <w:p w14:paraId="277B1B95" w14:textId="73F95726" w:rsidR="00026B8F" w:rsidRPr="00026B8F" w:rsidRDefault="00026B8F" w:rsidP="00026B8F">
      <w:pPr>
        <w:pStyle w:val="ListParagraph"/>
        <w:numPr>
          <w:ilvl w:val="0"/>
          <w:numId w:val="29"/>
        </w:numPr>
        <w:spacing w:after="0" w:line="360" w:lineRule="auto"/>
        <w:rPr>
          <w:rFonts w:ascii="Arial" w:hAnsi="Arial" w:cs="Arial"/>
          <w:sz w:val="22"/>
          <w:szCs w:val="22"/>
        </w:rPr>
      </w:pPr>
      <w:r w:rsidRPr="00026B8F">
        <w:rPr>
          <w:rFonts w:ascii="Arial" w:hAnsi="Arial" w:cs="Arial"/>
          <w:b/>
          <w:bCs/>
          <w:sz w:val="22"/>
          <w:szCs w:val="22"/>
        </w:rPr>
        <w:t>Screening and Early Detection:</w:t>
      </w:r>
      <w:r w:rsidRPr="00026B8F">
        <w:rPr>
          <w:rFonts w:ascii="Arial" w:hAnsi="Arial" w:cs="Arial"/>
          <w:sz w:val="22"/>
          <w:szCs w:val="22"/>
        </w:rPr>
        <w:t xml:space="preserve"> Screening of the high-risk groups of the community, GP practices, and workplaces should be done frequently.</w:t>
      </w:r>
    </w:p>
    <w:p w14:paraId="38DDF09B" w14:textId="77FD0A45" w:rsidR="00026B8F" w:rsidRPr="00026B8F" w:rsidRDefault="00026B8F" w:rsidP="00026B8F">
      <w:pPr>
        <w:pStyle w:val="ListParagraph"/>
        <w:numPr>
          <w:ilvl w:val="0"/>
          <w:numId w:val="29"/>
        </w:numPr>
        <w:spacing w:after="0" w:line="360" w:lineRule="auto"/>
        <w:rPr>
          <w:rFonts w:ascii="Arial" w:hAnsi="Arial" w:cs="Arial"/>
          <w:sz w:val="22"/>
          <w:szCs w:val="22"/>
        </w:rPr>
      </w:pPr>
      <w:r w:rsidRPr="00026B8F">
        <w:rPr>
          <w:rFonts w:ascii="Arial" w:hAnsi="Arial" w:cs="Arial"/>
          <w:b/>
          <w:bCs/>
          <w:sz w:val="22"/>
          <w:szCs w:val="22"/>
        </w:rPr>
        <w:t>Education and Lifestyle Interventions:</w:t>
      </w:r>
      <w:r w:rsidRPr="00026B8F">
        <w:rPr>
          <w:rFonts w:ascii="Arial" w:hAnsi="Arial" w:cs="Arial"/>
          <w:sz w:val="22"/>
          <w:szCs w:val="22"/>
        </w:rPr>
        <w:t xml:space="preserve"> These programs include diet, physical activity, and stress management programs. The programs will be culturally acceptable to the post-South Asian and the Black communities (Fong et al., 2025).</w:t>
      </w:r>
    </w:p>
    <w:p w14:paraId="14E7BA27" w14:textId="35643D1B" w:rsidR="00472DC5" w:rsidRPr="00026B8F" w:rsidRDefault="00472DC5" w:rsidP="00026B8F">
      <w:pPr>
        <w:pStyle w:val="ListParagraph"/>
        <w:numPr>
          <w:ilvl w:val="0"/>
          <w:numId w:val="29"/>
        </w:numPr>
        <w:spacing w:after="0" w:line="360" w:lineRule="auto"/>
        <w:rPr>
          <w:rFonts w:ascii="Arial" w:hAnsi="Arial" w:cs="Arial"/>
          <w:sz w:val="22"/>
          <w:szCs w:val="22"/>
        </w:rPr>
      </w:pPr>
      <w:r w:rsidRPr="00026B8F">
        <w:rPr>
          <w:rFonts w:ascii="Arial" w:hAnsi="Arial" w:cs="Arial"/>
          <w:b/>
          <w:bCs/>
          <w:sz w:val="22"/>
          <w:szCs w:val="22"/>
        </w:rPr>
        <w:t>Improved Access to Care:</w:t>
      </w:r>
      <w:r w:rsidRPr="00026B8F">
        <w:rPr>
          <w:rFonts w:ascii="Arial" w:hAnsi="Arial" w:cs="Arial"/>
          <w:sz w:val="22"/>
          <w:szCs w:val="22"/>
        </w:rPr>
        <w:t xml:space="preserve"> To make care available, particularly in underserved ethnic groups</w:t>
      </w:r>
      <w:r w:rsidR="00C2545D" w:rsidRPr="00026B8F">
        <w:rPr>
          <w:rFonts w:ascii="Arial" w:hAnsi="Arial" w:cs="Arial"/>
          <w:sz w:val="22"/>
          <w:szCs w:val="22"/>
        </w:rPr>
        <w:t>(Taylor-Robinson et al., 2025)</w:t>
      </w:r>
      <w:r w:rsidRPr="00026B8F">
        <w:rPr>
          <w:rFonts w:ascii="Arial" w:hAnsi="Arial" w:cs="Arial"/>
          <w:sz w:val="22"/>
          <w:szCs w:val="22"/>
        </w:rPr>
        <w:t>. This will include language and outreach services to high-risk groups.The main indicators that will evaluate the success of this program will be a decrease in incidences, the level of HbA1c improvement, and the increase in screening programs.</w:t>
      </w:r>
    </w:p>
    <w:p w14:paraId="18DD333A" w14:textId="62648AB6" w:rsidR="00472DC5" w:rsidRPr="004B183D" w:rsidRDefault="00472DC5" w:rsidP="00602C11">
      <w:pPr>
        <w:spacing w:after="0" w:line="360" w:lineRule="auto"/>
        <w:contextualSpacing/>
        <w:rPr>
          <w:rFonts w:ascii="Arial" w:hAnsi="Arial" w:cs="Arial"/>
          <w:b/>
          <w:bCs/>
          <w:sz w:val="22"/>
          <w:szCs w:val="22"/>
        </w:rPr>
      </w:pPr>
      <w:r w:rsidRPr="004B183D">
        <w:rPr>
          <w:rFonts w:ascii="Arial" w:hAnsi="Arial" w:cs="Arial"/>
          <w:b/>
          <w:bCs/>
          <w:sz w:val="22"/>
          <w:szCs w:val="22"/>
        </w:rPr>
        <w:t>Strengths and weaknesses of the Epidemiological Approach:</w:t>
      </w:r>
    </w:p>
    <w:p w14:paraId="5D9D10B9" w14:textId="4A7563AE" w:rsidR="006E020A" w:rsidRPr="004B183D" w:rsidRDefault="006E020A" w:rsidP="00602C11">
      <w:pPr>
        <w:spacing w:after="0" w:line="360" w:lineRule="auto"/>
        <w:ind w:firstLine="720"/>
        <w:contextualSpacing/>
        <w:rPr>
          <w:rFonts w:ascii="Arial" w:hAnsi="Arial" w:cs="Arial"/>
          <w:sz w:val="22"/>
          <w:szCs w:val="22"/>
        </w:rPr>
      </w:pPr>
      <w:r w:rsidRPr="004B183D">
        <w:rPr>
          <w:rFonts w:ascii="Arial" w:hAnsi="Arial" w:cs="Arial"/>
          <w:sz w:val="22"/>
          <w:szCs w:val="22"/>
        </w:rPr>
        <w:t>Epidemiological methods, such as data collecting in the form of health needs assessments and surveillance, are necessary to identify the prevalence of Type 2 diabetes and to implement social interventions that support and guide policy and resource allocation (Ward et al., 2025). However, the issues of non-reporting diabetes, the lack of data on ethnic minorities, and the difficulty of measuring socioeconomic variables limit their usefulness. Additionally, self-reported data may be biased, and cross-sectional designs are not appropriate for detecting changes over time (</w:t>
      </w:r>
      <w:r w:rsidR="00D96902" w:rsidRPr="004B183D">
        <w:rPr>
          <w:rFonts w:ascii="Arial" w:hAnsi="Arial" w:cs="Arial"/>
          <w:sz w:val="22"/>
          <w:szCs w:val="22"/>
        </w:rPr>
        <w:t>Jordão</w:t>
      </w:r>
      <w:r w:rsidRPr="004B183D">
        <w:rPr>
          <w:rFonts w:ascii="Arial" w:hAnsi="Arial" w:cs="Arial"/>
          <w:sz w:val="22"/>
          <w:szCs w:val="22"/>
        </w:rPr>
        <w:t xml:space="preserve"> et al., 2025).</w:t>
      </w:r>
    </w:p>
    <w:p w14:paraId="218E016E" w14:textId="77777777" w:rsidR="000667B7" w:rsidRDefault="000667B7" w:rsidP="00602C11">
      <w:pPr>
        <w:spacing w:after="0" w:line="360" w:lineRule="auto"/>
        <w:contextualSpacing/>
        <w:rPr>
          <w:rFonts w:ascii="Arial" w:hAnsi="Arial" w:cs="Arial"/>
          <w:b/>
          <w:bCs/>
          <w:sz w:val="22"/>
          <w:szCs w:val="22"/>
        </w:rPr>
      </w:pPr>
    </w:p>
    <w:p w14:paraId="304D4D3F" w14:textId="6ACBBD2A" w:rsidR="00472DC5" w:rsidRPr="004B183D" w:rsidRDefault="009F0996" w:rsidP="00602C11">
      <w:pPr>
        <w:spacing w:after="0" w:line="360" w:lineRule="auto"/>
        <w:contextualSpacing/>
        <w:rPr>
          <w:rFonts w:ascii="Arial" w:hAnsi="Arial" w:cs="Arial"/>
          <w:b/>
          <w:bCs/>
          <w:sz w:val="22"/>
          <w:szCs w:val="22"/>
        </w:rPr>
      </w:pPr>
      <w:r>
        <w:rPr>
          <w:rFonts w:ascii="Arial" w:hAnsi="Arial" w:cs="Arial"/>
          <w:b/>
          <w:bCs/>
          <w:sz w:val="22"/>
          <w:szCs w:val="22"/>
        </w:rPr>
        <w:lastRenderedPageBreak/>
        <w:t>Conclusion</w:t>
      </w:r>
    </w:p>
    <w:p w14:paraId="20992622" w14:textId="5399CE40" w:rsidR="00472DC5" w:rsidRPr="004B183D" w:rsidRDefault="009F0996" w:rsidP="00602C11">
      <w:pPr>
        <w:spacing w:after="0" w:line="360" w:lineRule="auto"/>
        <w:ind w:firstLine="720"/>
        <w:contextualSpacing/>
        <w:rPr>
          <w:rFonts w:ascii="Arial" w:hAnsi="Arial" w:cs="Arial"/>
          <w:sz w:val="22"/>
          <w:szCs w:val="22"/>
        </w:rPr>
      </w:pPr>
      <w:r>
        <w:rPr>
          <w:rFonts w:ascii="Arial" w:hAnsi="Arial" w:cs="Arial"/>
          <w:sz w:val="22"/>
          <w:szCs w:val="22"/>
        </w:rPr>
        <w:t>In summary</w:t>
      </w:r>
      <w:r w:rsidR="00880022" w:rsidRPr="004B183D">
        <w:rPr>
          <w:rFonts w:ascii="Arial" w:hAnsi="Arial" w:cs="Arial"/>
          <w:sz w:val="22"/>
          <w:szCs w:val="22"/>
        </w:rPr>
        <w:t>,d</w:t>
      </w:r>
      <w:r w:rsidR="00472DC5" w:rsidRPr="004B183D">
        <w:rPr>
          <w:rFonts w:ascii="Arial" w:hAnsi="Arial" w:cs="Arial"/>
          <w:sz w:val="22"/>
          <w:szCs w:val="22"/>
        </w:rPr>
        <w:t>iabetes type 2 is a significant issue for the population, particularly among the ethnic minority population residing in the UK</w:t>
      </w:r>
      <w:r w:rsidR="00D96902" w:rsidRPr="004B183D">
        <w:rPr>
          <w:rFonts w:ascii="Arial" w:hAnsi="Arial" w:cs="Arial"/>
          <w:sz w:val="22"/>
          <w:szCs w:val="22"/>
        </w:rPr>
        <w:t xml:space="preserve"> (Looi, 2025)</w:t>
      </w:r>
      <w:r w:rsidR="00472DC5" w:rsidRPr="004B183D">
        <w:rPr>
          <w:rFonts w:ascii="Arial" w:hAnsi="Arial" w:cs="Arial"/>
          <w:sz w:val="22"/>
          <w:szCs w:val="22"/>
        </w:rPr>
        <w:t>. Prevention, Protection, and promotion strategies will be required in order to reduce the burden of the disease. Monitoring of intervention effectiveness will be important using community-based monitoring, data linkage, and surveillance</w:t>
      </w:r>
      <w:r w:rsidR="00D96902" w:rsidRPr="004B183D">
        <w:rPr>
          <w:rFonts w:ascii="Arial" w:hAnsi="Arial" w:cs="Arial"/>
          <w:sz w:val="22"/>
          <w:szCs w:val="22"/>
        </w:rPr>
        <w:t xml:space="preserve"> (Pedersen et al., 2025)</w:t>
      </w:r>
      <w:r w:rsidR="00472DC5" w:rsidRPr="004B183D">
        <w:rPr>
          <w:rFonts w:ascii="Arial" w:hAnsi="Arial" w:cs="Arial"/>
          <w:sz w:val="22"/>
          <w:szCs w:val="22"/>
        </w:rPr>
        <w:t>. The disease control and reduction of its long-term effects are primarily culturally competent care, lifestyle changes, and the early identification of the disease</w:t>
      </w:r>
      <w:r w:rsidR="00602C11" w:rsidRPr="004B183D">
        <w:rPr>
          <w:rFonts w:ascii="Arial" w:hAnsi="Arial" w:cs="Arial"/>
          <w:sz w:val="22"/>
          <w:szCs w:val="22"/>
        </w:rPr>
        <w:t xml:space="preserve"> (Marmot, 2024)</w:t>
      </w:r>
      <w:r w:rsidR="00472DC5" w:rsidRPr="004B183D">
        <w:rPr>
          <w:rFonts w:ascii="Arial" w:hAnsi="Arial" w:cs="Arial"/>
          <w:sz w:val="22"/>
          <w:szCs w:val="22"/>
        </w:rPr>
        <w:t>. Although the collection of epidemiological data, as well as inactivation of all the social determinants of health, may pose certain challenges, there are certain interventions that may work wonders with the outcomes of at-risk groups.</w:t>
      </w:r>
    </w:p>
    <w:p w14:paraId="3D480024" w14:textId="77777777" w:rsidR="00D74BB8" w:rsidRPr="00005F20" w:rsidRDefault="00D74BB8" w:rsidP="00D70F1B">
      <w:pPr>
        <w:spacing w:after="0" w:line="480" w:lineRule="auto"/>
        <w:ind w:firstLine="720"/>
        <w:contextualSpacing/>
        <w:jc w:val="right"/>
        <w:rPr>
          <w:rFonts w:ascii="Arial" w:hAnsi="Arial" w:cs="Arial"/>
          <w:sz w:val="22"/>
          <w:szCs w:val="22"/>
        </w:rPr>
      </w:pPr>
    </w:p>
    <w:p w14:paraId="085E1E3B" w14:textId="77777777" w:rsidR="003A4A3B" w:rsidRPr="00005F20" w:rsidRDefault="003A4A3B" w:rsidP="00D74BB8">
      <w:pPr>
        <w:spacing w:after="0" w:line="480" w:lineRule="auto"/>
        <w:ind w:firstLine="720"/>
        <w:contextualSpacing/>
        <w:jc w:val="both"/>
        <w:rPr>
          <w:rFonts w:ascii="Arial" w:hAnsi="Arial" w:cs="Arial"/>
          <w:sz w:val="22"/>
          <w:szCs w:val="22"/>
        </w:rPr>
      </w:pPr>
    </w:p>
    <w:p w14:paraId="15D21D93" w14:textId="77777777" w:rsidR="003A4A3B" w:rsidRPr="00005F20" w:rsidRDefault="003A4A3B" w:rsidP="00D74BB8">
      <w:pPr>
        <w:spacing w:after="0" w:line="480" w:lineRule="auto"/>
        <w:ind w:firstLine="720"/>
        <w:contextualSpacing/>
        <w:jc w:val="both"/>
        <w:rPr>
          <w:rFonts w:ascii="Arial" w:hAnsi="Arial" w:cs="Arial"/>
          <w:sz w:val="22"/>
          <w:szCs w:val="22"/>
        </w:rPr>
      </w:pPr>
    </w:p>
    <w:p w14:paraId="762CE6F3" w14:textId="77777777" w:rsidR="003A4A3B" w:rsidRPr="00005F20" w:rsidRDefault="003A4A3B" w:rsidP="00FC2F8C">
      <w:pPr>
        <w:spacing w:after="0" w:line="480" w:lineRule="auto"/>
        <w:contextualSpacing/>
        <w:jc w:val="both"/>
        <w:rPr>
          <w:rFonts w:ascii="Arial" w:hAnsi="Arial" w:cs="Arial"/>
          <w:sz w:val="22"/>
          <w:szCs w:val="22"/>
        </w:rPr>
      </w:pPr>
    </w:p>
    <w:p w14:paraId="27A7C6D5" w14:textId="77777777" w:rsidR="00920E38" w:rsidRPr="00005F20" w:rsidRDefault="00920E38" w:rsidP="00FC2F8C">
      <w:pPr>
        <w:spacing w:after="0" w:line="480" w:lineRule="auto"/>
        <w:contextualSpacing/>
        <w:jc w:val="both"/>
        <w:rPr>
          <w:rFonts w:ascii="Arial" w:hAnsi="Arial" w:cs="Arial"/>
          <w:sz w:val="22"/>
          <w:szCs w:val="22"/>
        </w:rPr>
      </w:pPr>
    </w:p>
    <w:p w14:paraId="65989BC9" w14:textId="77777777" w:rsidR="009E4991" w:rsidRPr="00005F20" w:rsidRDefault="009E4991" w:rsidP="00FC2F8C">
      <w:pPr>
        <w:spacing w:after="0" w:line="480" w:lineRule="auto"/>
        <w:contextualSpacing/>
        <w:jc w:val="both"/>
        <w:rPr>
          <w:rFonts w:ascii="Arial" w:hAnsi="Arial" w:cs="Arial"/>
          <w:sz w:val="22"/>
          <w:szCs w:val="22"/>
        </w:rPr>
      </w:pPr>
    </w:p>
    <w:p w14:paraId="73610079" w14:textId="77777777" w:rsidR="009E4991" w:rsidRPr="00005F20" w:rsidRDefault="009E4991" w:rsidP="00FC2F8C">
      <w:pPr>
        <w:spacing w:after="0" w:line="480" w:lineRule="auto"/>
        <w:contextualSpacing/>
        <w:jc w:val="both"/>
        <w:rPr>
          <w:rFonts w:ascii="Arial" w:hAnsi="Arial" w:cs="Arial"/>
          <w:sz w:val="22"/>
          <w:szCs w:val="22"/>
        </w:rPr>
      </w:pPr>
    </w:p>
    <w:p w14:paraId="46D9C49D" w14:textId="77777777" w:rsidR="009E4991" w:rsidRPr="00005F20" w:rsidRDefault="009E4991" w:rsidP="00FC2F8C">
      <w:pPr>
        <w:spacing w:after="0" w:line="480" w:lineRule="auto"/>
        <w:contextualSpacing/>
        <w:jc w:val="both"/>
        <w:rPr>
          <w:rFonts w:ascii="Arial" w:hAnsi="Arial" w:cs="Arial"/>
          <w:sz w:val="22"/>
          <w:szCs w:val="22"/>
        </w:rPr>
      </w:pPr>
    </w:p>
    <w:p w14:paraId="7E433ED7" w14:textId="77777777" w:rsidR="009E4991" w:rsidRPr="00005F20" w:rsidRDefault="009E4991" w:rsidP="00FC2F8C">
      <w:pPr>
        <w:spacing w:after="0" w:line="480" w:lineRule="auto"/>
        <w:contextualSpacing/>
        <w:jc w:val="both"/>
        <w:rPr>
          <w:rFonts w:ascii="Arial" w:hAnsi="Arial" w:cs="Arial"/>
          <w:sz w:val="22"/>
          <w:szCs w:val="22"/>
        </w:rPr>
      </w:pPr>
    </w:p>
    <w:p w14:paraId="57DB8FE5" w14:textId="77777777" w:rsidR="00920E38" w:rsidRPr="00005F20" w:rsidRDefault="00920E38" w:rsidP="00FC2F8C">
      <w:pPr>
        <w:spacing w:after="0" w:line="480" w:lineRule="auto"/>
        <w:contextualSpacing/>
        <w:jc w:val="both"/>
        <w:rPr>
          <w:rFonts w:ascii="Arial" w:hAnsi="Arial" w:cs="Arial"/>
          <w:sz w:val="22"/>
          <w:szCs w:val="22"/>
        </w:rPr>
      </w:pPr>
    </w:p>
    <w:p w14:paraId="2C3B1E2E" w14:textId="77777777" w:rsidR="00602C11" w:rsidRPr="00005F20" w:rsidRDefault="00602C11" w:rsidP="00FC2F8C">
      <w:pPr>
        <w:spacing w:after="0" w:line="480" w:lineRule="auto"/>
        <w:contextualSpacing/>
        <w:jc w:val="both"/>
        <w:rPr>
          <w:rFonts w:ascii="Arial" w:hAnsi="Arial" w:cs="Arial"/>
          <w:sz w:val="22"/>
          <w:szCs w:val="22"/>
        </w:rPr>
      </w:pPr>
    </w:p>
    <w:p w14:paraId="1FD09562" w14:textId="77777777" w:rsidR="00602C11" w:rsidRPr="00005F20" w:rsidRDefault="00602C11" w:rsidP="00FC2F8C">
      <w:pPr>
        <w:spacing w:after="0" w:line="480" w:lineRule="auto"/>
        <w:contextualSpacing/>
        <w:jc w:val="both"/>
        <w:rPr>
          <w:rFonts w:ascii="Arial" w:hAnsi="Arial" w:cs="Arial"/>
          <w:sz w:val="22"/>
          <w:szCs w:val="22"/>
        </w:rPr>
      </w:pPr>
    </w:p>
    <w:p w14:paraId="289D4363" w14:textId="77777777" w:rsidR="00602C11" w:rsidRPr="00005F20" w:rsidRDefault="00602C11" w:rsidP="00FC2F8C">
      <w:pPr>
        <w:spacing w:after="0" w:line="480" w:lineRule="auto"/>
        <w:contextualSpacing/>
        <w:jc w:val="both"/>
        <w:rPr>
          <w:rFonts w:ascii="Arial" w:hAnsi="Arial" w:cs="Arial"/>
          <w:sz w:val="22"/>
          <w:szCs w:val="22"/>
        </w:rPr>
      </w:pPr>
    </w:p>
    <w:p w14:paraId="096A326D" w14:textId="77777777" w:rsidR="00602C11" w:rsidRPr="00005F20" w:rsidRDefault="00602C11" w:rsidP="00FC2F8C">
      <w:pPr>
        <w:spacing w:after="0" w:line="480" w:lineRule="auto"/>
        <w:contextualSpacing/>
        <w:jc w:val="both"/>
        <w:rPr>
          <w:rFonts w:ascii="Arial" w:hAnsi="Arial" w:cs="Arial"/>
          <w:sz w:val="22"/>
          <w:szCs w:val="22"/>
        </w:rPr>
      </w:pPr>
    </w:p>
    <w:p w14:paraId="604B0E65" w14:textId="77777777" w:rsidR="00602C11" w:rsidRPr="00005F20" w:rsidRDefault="00602C11" w:rsidP="00FC2F8C">
      <w:pPr>
        <w:spacing w:after="0" w:line="480" w:lineRule="auto"/>
        <w:contextualSpacing/>
        <w:jc w:val="both"/>
        <w:rPr>
          <w:rFonts w:ascii="Arial" w:hAnsi="Arial" w:cs="Arial"/>
          <w:sz w:val="22"/>
          <w:szCs w:val="22"/>
        </w:rPr>
      </w:pPr>
    </w:p>
    <w:p w14:paraId="16644A20" w14:textId="77777777" w:rsidR="00602C11" w:rsidRPr="00005F20" w:rsidRDefault="00602C11" w:rsidP="00FC2F8C">
      <w:pPr>
        <w:spacing w:after="0" w:line="480" w:lineRule="auto"/>
        <w:contextualSpacing/>
        <w:jc w:val="both"/>
        <w:rPr>
          <w:rFonts w:ascii="Arial" w:hAnsi="Arial" w:cs="Arial"/>
          <w:sz w:val="22"/>
          <w:szCs w:val="22"/>
        </w:rPr>
      </w:pPr>
    </w:p>
    <w:p w14:paraId="1877252C" w14:textId="77777777" w:rsidR="00602C11" w:rsidRDefault="00602C11" w:rsidP="00FC2F8C">
      <w:pPr>
        <w:spacing w:after="0" w:line="480" w:lineRule="auto"/>
        <w:contextualSpacing/>
        <w:jc w:val="both"/>
        <w:rPr>
          <w:rFonts w:ascii="Arial" w:hAnsi="Arial" w:cs="Arial"/>
          <w:sz w:val="22"/>
          <w:szCs w:val="22"/>
        </w:rPr>
      </w:pPr>
    </w:p>
    <w:p w14:paraId="6C6F8731" w14:textId="77777777" w:rsidR="00A55090" w:rsidRDefault="00A55090" w:rsidP="00FC2F8C">
      <w:pPr>
        <w:spacing w:after="0" w:line="480" w:lineRule="auto"/>
        <w:contextualSpacing/>
        <w:jc w:val="both"/>
        <w:rPr>
          <w:rFonts w:ascii="Arial" w:hAnsi="Arial" w:cs="Arial"/>
          <w:sz w:val="22"/>
          <w:szCs w:val="22"/>
        </w:rPr>
      </w:pPr>
    </w:p>
    <w:p w14:paraId="27C5E5AB" w14:textId="77777777" w:rsidR="00A55090" w:rsidRDefault="00A55090" w:rsidP="00FC2F8C">
      <w:pPr>
        <w:spacing w:after="0" w:line="480" w:lineRule="auto"/>
        <w:contextualSpacing/>
        <w:jc w:val="both"/>
        <w:rPr>
          <w:rFonts w:ascii="Arial" w:hAnsi="Arial" w:cs="Arial"/>
          <w:sz w:val="22"/>
          <w:szCs w:val="22"/>
        </w:rPr>
      </w:pPr>
    </w:p>
    <w:p w14:paraId="5C5A1F22" w14:textId="77777777" w:rsidR="00A55090" w:rsidRDefault="00A55090" w:rsidP="00FC2F8C">
      <w:pPr>
        <w:spacing w:after="0" w:line="480" w:lineRule="auto"/>
        <w:contextualSpacing/>
        <w:jc w:val="both"/>
        <w:rPr>
          <w:rFonts w:ascii="Arial" w:hAnsi="Arial" w:cs="Arial"/>
          <w:sz w:val="22"/>
          <w:szCs w:val="22"/>
        </w:rPr>
      </w:pPr>
    </w:p>
    <w:p w14:paraId="60496610" w14:textId="77777777" w:rsidR="00A55090" w:rsidRPr="00005F20" w:rsidRDefault="00A55090" w:rsidP="00FC2F8C">
      <w:pPr>
        <w:spacing w:after="0" w:line="480" w:lineRule="auto"/>
        <w:contextualSpacing/>
        <w:jc w:val="both"/>
        <w:rPr>
          <w:rFonts w:ascii="Arial" w:hAnsi="Arial" w:cs="Arial"/>
          <w:sz w:val="22"/>
          <w:szCs w:val="22"/>
        </w:rPr>
      </w:pPr>
    </w:p>
    <w:p w14:paraId="4161C40A" w14:textId="79442C3B" w:rsidR="008C23E8" w:rsidRPr="00005F20" w:rsidRDefault="00370E8D" w:rsidP="003A4A3B">
      <w:pPr>
        <w:spacing w:after="0" w:line="360" w:lineRule="auto"/>
        <w:jc w:val="both"/>
        <w:rPr>
          <w:rFonts w:ascii="Arial" w:hAnsi="Arial" w:cs="Arial"/>
          <w:b/>
          <w:bCs/>
          <w:sz w:val="22"/>
          <w:szCs w:val="22"/>
        </w:rPr>
      </w:pPr>
      <w:r w:rsidRPr="00005F20">
        <w:rPr>
          <w:rFonts w:ascii="Arial" w:hAnsi="Arial" w:cs="Arial"/>
          <w:b/>
          <w:bCs/>
          <w:sz w:val="22"/>
          <w:szCs w:val="22"/>
        </w:rPr>
        <w:t>References list</w:t>
      </w:r>
    </w:p>
    <w:p w14:paraId="52B1752C" w14:textId="5350585F"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Re, F, Oguntade, AS, Bohrmann, B, Bragg, F &amp; Carter, J.L. 2023, 'Associations of general and central adiposity with hypertension and cardiovascular disease among South Asian populations: a systematic review and meta-analysis', </w:t>
      </w:r>
      <w:r w:rsidRPr="00005F20">
        <w:rPr>
          <w:rFonts w:ascii="Arial" w:hAnsi="Arial" w:cs="Arial"/>
          <w:i/>
          <w:iCs/>
          <w:sz w:val="22"/>
          <w:szCs w:val="22"/>
        </w:rPr>
        <w:t>BMJ Open</w:t>
      </w:r>
      <w:r w:rsidRPr="00005F20">
        <w:rPr>
          <w:rFonts w:ascii="Arial" w:hAnsi="Arial" w:cs="Arial"/>
          <w:sz w:val="22"/>
          <w:szCs w:val="22"/>
        </w:rPr>
        <w:t xml:space="preserve">, vol. 13, BMJ, no. 12, p. e074050, viewed 16 October 2025, </w:t>
      </w:r>
      <w:hyperlink r:id="rId8" w:history="1">
        <w:r w:rsidR="008C23E8" w:rsidRPr="00005F20">
          <w:rPr>
            <w:rStyle w:val="Hyperlink"/>
            <w:rFonts w:ascii="Arial" w:hAnsi="Arial" w:cs="Arial"/>
            <w:sz w:val="22"/>
            <w:szCs w:val="22"/>
          </w:rPr>
          <w:t>https://bmjopen.bmj.com/content/13/12/e074050</w:t>
        </w:r>
      </w:hyperlink>
      <w:r w:rsidRPr="00005F20">
        <w:rPr>
          <w:rFonts w:ascii="Arial" w:hAnsi="Arial" w:cs="Arial"/>
          <w:sz w:val="22"/>
          <w:szCs w:val="22"/>
        </w:rPr>
        <w:t>.</w:t>
      </w:r>
    </w:p>
    <w:p w14:paraId="20A4C7A6"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Anand, S. S., et al. (2025). Reducing inequalities in cardiovascular disease: focus on South Asian populations. </w:t>
      </w:r>
      <w:r w:rsidRPr="00005F20">
        <w:rPr>
          <w:rFonts w:ascii="Arial" w:hAnsi="Arial" w:cs="Arial"/>
          <w:i/>
          <w:iCs/>
          <w:sz w:val="22"/>
          <w:szCs w:val="22"/>
        </w:rPr>
        <w:t>The Lancet Regional Health – Europe</w:t>
      </w:r>
      <w:r w:rsidRPr="00005F20">
        <w:rPr>
          <w:rFonts w:ascii="Arial" w:hAnsi="Arial" w:cs="Arial"/>
          <w:sz w:val="22"/>
          <w:szCs w:val="22"/>
        </w:rPr>
        <w:t>, 10, 100163. https://doi.org/10.1016/j.lanepe.2025.100163</w:t>
      </w:r>
    </w:p>
    <w:p w14:paraId="6C8BF675"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Wu, S., et al. (2025). Identification of protein targets for dyslipidaemia and cardiovascular diseases in South Asians. </w:t>
      </w:r>
      <w:r w:rsidRPr="00005F20">
        <w:rPr>
          <w:rFonts w:ascii="Arial" w:hAnsi="Arial" w:cs="Arial"/>
          <w:i/>
          <w:iCs/>
          <w:sz w:val="22"/>
          <w:szCs w:val="22"/>
        </w:rPr>
        <w:t>The Lancet Regional Health – Southeast Asia</w:t>
      </w:r>
      <w:r w:rsidRPr="00005F20">
        <w:rPr>
          <w:rFonts w:ascii="Arial" w:hAnsi="Arial" w:cs="Arial"/>
          <w:sz w:val="22"/>
          <w:szCs w:val="22"/>
        </w:rPr>
        <w:t>, 5, 100092. https://doi.org/10.1016/j.lansea.2025.100092</w:t>
      </w:r>
    </w:p>
    <w:p w14:paraId="4C059552"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Stepanova, E. (2025). “I am not a priority”: ethnic minority experiences of mental health services. </w:t>
      </w:r>
      <w:r w:rsidRPr="00005F20">
        <w:rPr>
          <w:rFonts w:ascii="Arial" w:hAnsi="Arial" w:cs="Arial"/>
          <w:i/>
          <w:iCs/>
          <w:sz w:val="22"/>
          <w:szCs w:val="22"/>
        </w:rPr>
        <w:t>BMJ Mental Health</w:t>
      </w:r>
      <w:r w:rsidRPr="00005F20">
        <w:rPr>
          <w:rFonts w:ascii="Arial" w:hAnsi="Arial" w:cs="Arial"/>
          <w:sz w:val="22"/>
          <w:szCs w:val="22"/>
        </w:rPr>
        <w:t>, 28(1), e301481. https://doi.org/10.1136/bmjmental-2023-301481</w:t>
      </w:r>
    </w:p>
    <w:p w14:paraId="0D3E545E"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Bhui, K., et al. (2025). Racialized experience of detention under the Mental Health Act in the UK. </w:t>
      </w:r>
      <w:r w:rsidRPr="00005F20">
        <w:rPr>
          <w:rFonts w:ascii="Arial" w:hAnsi="Arial" w:cs="Arial"/>
          <w:i/>
          <w:iCs/>
          <w:sz w:val="22"/>
          <w:szCs w:val="22"/>
        </w:rPr>
        <w:t>BMJ Mental Health</w:t>
      </w:r>
      <w:r w:rsidRPr="00005F20">
        <w:rPr>
          <w:rFonts w:ascii="Arial" w:hAnsi="Arial" w:cs="Arial"/>
          <w:sz w:val="22"/>
          <w:szCs w:val="22"/>
        </w:rPr>
        <w:t>, 28(1), e301655. https://doi.org/10.1136/bmjmental-2023-301655</w:t>
      </w:r>
    </w:p>
    <w:p w14:paraId="2B374B01"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Pedersen, M. L., et al. (2025). Ethnic disparities in rapid tranquillization use and seclusion in mental health inpatient settings. </w:t>
      </w:r>
      <w:r w:rsidRPr="00005F20">
        <w:rPr>
          <w:rFonts w:ascii="Arial" w:hAnsi="Arial" w:cs="Arial"/>
          <w:i/>
          <w:iCs/>
          <w:sz w:val="22"/>
          <w:szCs w:val="22"/>
        </w:rPr>
        <w:t>BMJ Mental Health</w:t>
      </w:r>
      <w:r w:rsidRPr="00005F20">
        <w:rPr>
          <w:rFonts w:ascii="Arial" w:hAnsi="Arial" w:cs="Arial"/>
          <w:sz w:val="22"/>
          <w:szCs w:val="22"/>
        </w:rPr>
        <w:t>, 28(1), e301399. https://doi.org/10.1136/bmjmental-2023-301399</w:t>
      </w:r>
    </w:p>
    <w:p w14:paraId="6A57C8A1"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Beulens, J. W. J., et al. (2024). Type 2 diabetes complications in ethnic minority populations compared to White populations: a systematic review and meta-analysis. </w:t>
      </w:r>
      <w:r w:rsidRPr="00005F20">
        <w:rPr>
          <w:rFonts w:ascii="Arial" w:hAnsi="Arial" w:cs="Arial"/>
          <w:i/>
          <w:iCs/>
          <w:sz w:val="22"/>
          <w:szCs w:val="22"/>
        </w:rPr>
        <w:t>Diabetes Research and Clinical Practice</w:t>
      </w:r>
      <w:r w:rsidRPr="00005F20">
        <w:rPr>
          <w:rFonts w:ascii="Arial" w:hAnsi="Arial" w:cs="Arial"/>
          <w:sz w:val="22"/>
          <w:szCs w:val="22"/>
        </w:rPr>
        <w:t>, 12(6), e004345. https://doi.org/10.1016/j.diabres.2024.004345</w:t>
      </w:r>
    </w:p>
    <w:p w14:paraId="44B8B369"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Pemberton, J. S., et al. (2025). Ethnic disparities in HbA1c and hypoglycaemia among Black and South Asian individuals with type 2 diabetes. </w:t>
      </w:r>
      <w:r w:rsidRPr="00005F20">
        <w:rPr>
          <w:rFonts w:ascii="Arial" w:hAnsi="Arial" w:cs="Arial"/>
          <w:i/>
          <w:iCs/>
          <w:sz w:val="22"/>
          <w:szCs w:val="22"/>
        </w:rPr>
        <w:t>Diabetes Research and Clinical Practice</w:t>
      </w:r>
      <w:r w:rsidRPr="00005F20">
        <w:rPr>
          <w:rFonts w:ascii="Arial" w:hAnsi="Arial" w:cs="Arial"/>
          <w:sz w:val="22"/>
          <w:szCs w:val="22"/>
        </w:rPr>
        <w:t>, 13(1), e004369. https://doi.org/10.1016/j.diabres.2025.004369</w:t>
      </w:r>
    </w:p>
    <w:p w14:paraId="7CC7A4B3"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Spencer, L. H., et al. (2023). Uptake of diabetes follow-up checks by minority community groups in the UK. </w:t>
      </w:r>
      <w:r w:rsidRPr="00005F20">
        <w:rPr>
          <w:rFonts w:ascii="Arial" w:hAnsi="Arial" w:cs="Arial"/>
          <w:i/>
          <w:iCs/>
          <w:sz w:val="22"/>
          <w:szCs w:val="22"/>
        </w:rPr>
        <w:t>PubMed</w:t>
      </w:r>
      <w:r w:rsidRPr="00005F20">
        <w:rPr>
          <w:rFonts w:ascii="Arial" w:hAnsi="Arial" w:cs="Arial"/>
          <w:sz w:val="22"/>
          <w:szCs w:val="22"/>
        </w:rPr>
        <w:t>. https://pubmed.ncbi.nlm.nih.gov/37997132/</w:t>
      </w:r>
    </w:p>
    <w:p w14:paraId="120653E7"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Chatzi, G., et al. (2023). Could diabetes prevention programmes result in the under-representation of minority ethnic groups? </w:t>
      </w:r>
      <w:r w:rsidRPr="00005F20">
        <w:rPr>
          <w:rFonts w:ascii="Arial" w:hAnsi="Arial" w:cs="Arial"/>
          <w:i/>
          <w:iCs/>
          <w:sz w:val="22"/>
          <w:szCs w:val="22"/>
        </w:rPr>
        <w:t>Journal of Epidemiology &amp; Community Health</w:t>
      </w:r>
      <w:r w:rsidRPr="00005F20">
        <w:rPr>
          <w:rFonts w:ascii="Arial" w:hAnsi="Arial" w:cs="Arial"/>
          <w:sz w:val="22"/>
          <w:szCs w:val="22"/>
        </w:rPr>
        <w:t>, 77(9), 565–570. https://doi.org/10.1136/jech-2022-219654</w:t>
      </w:r>
    </w:p>
    <w:p w14:paraId="25F1ED55"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lastRenderedPageBreak/>
        <w:t xml:space="preserve">Taylor-Robinson, D., et al. (2025). Addressing ethnic and socioeconomic inequalities in child mortality: a nationwide cohort study in England and Wales. </w:t>
      </w:r>
      <w:r w:rsidRPr="00005F20">
        <w:rPr>
          <w:rFonts w:ascii="Arial" w:hAnsi="Arial" w:cs="Arial"/>
          <w:i/>
          <w:iCs/>
          <w:sz w:val="22"/>
          <w:szCs w:val="22"/>
        </w:rPr>
        <w:t>The Lancet Public Health</w:t>
      </w:r>
      <w:r w:rsidRPr="00005F20">
        <w:rPr>
          <w:rFonts w:ascii="Arial" w:hAnsi="Arial" w:cs="Arial"/>
          <w:sz w:val="22"/>
          <w:szCs w:val="22"/>
        </w:rPr>
        <w:t>, 10, e774–e783. https://doi.org/10.1016/j.lanpub.2025.07.001</w:t>
      </w:r>
    </w:p>
    <w:p w14:paraId="4D2A95DE"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Ward, I. L., et al. (2025). Maternal ethnic group, socioeconomic status, and neonatal and child mortality: a nationwide cohort study in England and Wales. </w:t>
      </w:r>
      <w:r w:rsidRPr="00005F20">
        <w:rPr>
          <w:rFonts w:ascii="Arial" w:hAnsi="Arial" w:cs="Arial"/>
          <w:i/>
          <w:iCs/>
          <w:sz w:val="22"/>
          <w:szCs w:val="22"/>
        </w:rPr>
        <w:t>The Lancet Public Health</w:t>
      </w:r>
      <w:r w:rsidRPr="00005F20">
        <w:rPr>
          <w:rFonts w:ascii="Arial" w:hAnsi="Arial" w:cs="Arial"/>
          <w:sz w:val="22"/>
          <w:szCs w:val="22"/>
        </w:rPr>
        <w:t>, 10, e774–e783. https://doi.org/10.1016/j.lanpub.2025.07.002</w:t>
      </w:r>
    </w:p>
    <w:p w14:paraId="75C44421"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Marmot, M. (2024). A programme for greater health equity for the next UK government. </w:t>
      </w:r>
      <w:r w:rsidRPr="00005F20">
        <w:rPr>
          <w:rFonts w:ascii="Arial" w:hAnsi="Arial" w:cs="Arial"/>
          <w:i/>
          <w:iCs/>
          <w:sz w:val="22"/>
          <w:szCs w:val="22"/>
        </w:rPr>
        <w:t>The Lancet</w:t>
      </w:r>
      <w:r w:rsidRPr="00005F20">
        <w:rPr>
          <w:rFonts w:ascii="Arial" w:hAnsi="Arial" w:cs="Arial"/>
          <w:sz w:val="22"/>
          <w:szCs w:val="22"/>
        </w:rPr>
        <w:t>, 404(10302), 1243–1244. https://doi.org/10.1016/S0140-6736(24)01243-1</w:t>
      </w:r>
    </w:p>
    <w:p w14:paraId="0576A811"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English, S., et al. (2024). Protecting children from racism: urgent health system actions. </w:t>
      </w:r>
      <w:r w:rsidRPr="00005F20">
        <w:rPr>
          <w:rFonts w:ascii="Arial" w:hAnsi="Arial" w:cs="Arial"/>
          <w:i/>
          <w:iCs/>
          <w:sz w:val="22"/>
          <w:szCs w:val="22"/>
        </w:rPr>
        <w:t>The Lancet</w:t>
      </w:r>
      <w:r w:rsidRPr="00005F20">
        <w:rPr>
          <w:rFonts w:ascii="Arial" w:hAnsi="Arial" w:cs="Arial"/>
          <w:sz w:val="22"/>
          <w:szCs w:val="22"/>
        </w:rPr>
        <w:t>, 404(10302), 1245–1246. https://doi.org/10.1016/S0140-6736(24)01245-1</w:t>
      </w:r>
    </w:p>
    <w:p w14:paraId="341A543E"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Looi, M. K. (2025). Michael Marmot: “There's enough in the world to make one weep”. </w:t>
      </w:r>
      <w:r w:rsidRPr="00005F20">
        <w:rPr>
          <w:rFonts w:ascii="Arial" w:hAnsi="Arial" w:cs="Arial"/>
          <w:i/>
          <w:iCs/>
          <w:sz w:val="22"/>
          <w:szCs w:val="22"/>
        </w:rPr>
        <w:t>The BMJ</w:t>
      </w:r>
      <w:r w:rsidRPr="00005F20">
        <w:rPr>
          <w:rFonts w:ascii="Arial" w:hAnsi="Arial" w:cs="Arial"/>
          <w:sz w:val="22"/>
          <w:szCs w:val="22"/>
        </w:rPr>
        <w:t>, 390, bmj.r990. https://doi.org/10.1136/bmj.r990</w:t>
      </w:r>
    </w:p>
    <w:p w14:paraId="6F64BC00"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O’Dowd, A. (2025). Patients face discrimination in primary care, survey finds. </w:t>
      </w:r>
      <w:r w:rsidRPr="00005F20">
        <w:rPr>
          <w:rFonts w:ascii="Arial" w:hAnsi="Arial" w:cs="Arial"/>
          <w:i/>
          <w:iCs/>
          <w:sz w:val="22"/>
          <w:szCs w:val="22"/>
        </w:rPr>
        <w:t>The BMJ</w:t>
      </w:r>
      <w:r w:rsidRPr="00005F20">
        <w:rPr>
          <w:rFonts w:ascii="Arial" w:hAnsi="Arial" w:cs="Arial"/>
          <w:sz w:val="22"/>
          <w:szCs w:val="22"/>
        </w:rPr>
        <w:t>, 388, bmj.r486. https://doi.org/10.1136/bmj.r486</w:t>
      </w:r>
    </w:p>
    <w:p w14:paraId="068D34E7"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Yip, J. L. Y., et al. (2024). Anti-racist interventions to reduce ethnic disparities in healthcare: a systematic review. </w:t>
      </w:r>
      <w:r w:rsidRPr="00005F20">
        <w:rPr>
          <w:rFonts w:ascii="Arial" w:hAnsi="Arial" w:cs="Arial"/>
          <w:i/>
          <w:iCs/>
          <w:sz w:val="22"/>
          <w:szCs w:val="22"/>
        </w:rPr>
        <w:t>BMJ Open</w:t>
      </w:r>
      <w:r w:rsidRPr="00005F20">
        <w:rPr>
          <w:rFonts w:ascii="Arial" w:hAnsi="Arial" w:cs="Arial"/>
          <w:sz w:val="22"/>
          <w:szCs w:val="22"/>
        </w:rPr>
        <w:t>, 14(2), e075711. https://doi.org/10.1136/bmjopen-2023-075711</w:t>
      </w:r>
    </w:p>
    <w:p w14:paraId="723340C8"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Okeahialam, N., et al. (2025). Effects of strategies to tackle racism experienced by healthcare professionals: a systematic review. </w:t>
      </w:r>
      <w:r w:rsidRPr="00005F20">
        <w:rPr>
          <w:rFonts w:ascii="Arial" w:hAnsi="Arial" w:cs="Arial"/>
          <w:i/>
          <w:iCs/>
          <w:sz w:val="22"/>
          <w:szCs w:val="22"/>
        </w:rPr>
        <w:t>BMJ Open</w:t>
      </w:r>
      <w:r w:rsidRPr="00005F20">
        <w:rPr>
          <w:rFonts w:ascii="Arial" w:hAnsi="Arial" w:cs="Arial"/>
          <w:sz w:val="22"/>
          <w:szCs w:val="22"/>
        </w:rPr>
        <w:t>, 15(1), e091811. https://doi.org/10.1136/bmjopen-2023-091811</w:t>
      </w:r>
    </w:p>
    <w:p w14:paraId="334921B5"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Blake, H., et al. (2025). Mixed-methods evaluation of targeted leadership programmes to promote diversity in NHS leadership. </w:t>
      </w:r>
      <w:r w:rsidRPr="00005F20">
        <w:rPr>
          <w:rFonts w:ascii="Arial" w:hAnsi="Arial" w:cs="Arial"/>
          <w:i/>
          <w:iCs/>
          <w:sz w:val="22"/>
          <w:szCs w:val="22"/>
        </w:rPr>
        <w:t>BMJ Leader</w:t>
      </w:r>
      <w:r w:rsidRPr="00005F20">
        <w:rPr>
          <w:rFonts w:ascii="Arial" w:hAnsi="Arial" w:cs="Arial"/>
          <w:sz w:val="22"/>
          <w:szCs w:val="22"/>
        </w:rPr>
        <w:t>. https://doi.org/10.1136/leader-2024-001175</w:t>
      </w:r>
    </w:p>
    <w:p w14:paraId="179EE9B5"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Kar, P. (2025). MWRES five years on—an opportunity for NHS leaders to confront racism. </w:t>
      </w:r>
      <w:r w:rsidRPr="00005F20">
        <w:rPr>
          <w:rFonts w:ascii="Arial" w:hAnsi="Arial" w:cs="Arial"/>
          <w:i/>
          <w:iCs/>
          <w:sz w:val="22"/>
          <w:szCs w:val="22"/>
        </w:rPr>
        <w:t>The BMJ</w:t>
      </w:r>
      <w:r w:rsidRPr="00005F20">
        <w:rPr>
          <w:rFonts w:ascii="Arial" w:hAnsi="Arial" w:cs="Arial"/>
          <w:sz w:val="22"/>
          <w:szCs w:val="22"/>
        </w:rPr>
        <w:t>, 390, bmj.r2041. https://doi.org/10.1136/bmj.r2041</w:t>
      </w:r>
    </w:p>
    <w:p w14:paraId="24F0E9B2"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Fong, W. L. E., et al. (2025). Estimating the risk of post-COVID condition in deprived and ethnic minority groups: a cohort study. </w:t>
      </w:r>
      <w:r w:rsidRPr="00005F20">
        <w:rPr>
          <w:rFonts w:ascii="Arial" w:hAnsi="Arial" w:cs="Arial"/>
          <w:i/>
          <w:iCs/>
          <w:sz w:val="22"/>
          <w:szCs w:val="22"/>
        </w:rPr>
        <w:t>Journal of Epidemiology &amp; Community Health</w:t>
      </w:r>
      <w:r w:rsidRPr="00005F20">
        <w:rPr>
          <w:rFonts w:ascii="Arial" w:hAnsi="Arial" w:cs="Arial"/>
          <w:sz w:val="22"/>
          <w:szCs w:val="22"/>
        </w:rPr>
        <w:t>. https://doi.org/10.1136/jech-2024-223491</w:t>
      </w:r>
    </w:p>
    <w:p w14:paraId="49421553"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Naqvi, H. (2022). The critical role of the NHS Race and Health Observatory. </w:t>
      </w:r>
      <w:r w:rsidRPr="00005F20">
        <w:rPr>
          <w:rFonts w:ascii="Arial" w:hAnsi="Arial" w:cs="Arial"/>
          <w:i/>
          <w:iCs/>
          <w:sz w:val="22"/>
          <w:szCs w:val="22"/>
        </w:rPr>
        <w:t>BMJ Leader</w:t>
      </w:r>
      <w:r w:rsidRPr="00005F20">
        <w:rPr>
          <w:rFonts w:ascii="Arial" w:hAnsi="Arial" w:cs="Arial"/>
          <w:sz w:val="22"/>
          <w:szCs w:val="22"/>
        </w:rPr>
        <w:t>, 6(2), 130–132. https://doi.org/10.1136/leader-2022-00130</w:t>
      </w:r>
    </w:p>
    <w:p w14:paraId="0738EBD2"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Elliott, H., et al. (2025). From action policy: a document content analysis of health inequalities strategies in England. </w:t>
      </w:r>
      <w:r w:rsidRPr="00005F20">
        <w:rPr>
          <w:rFonts w:ascii="Arial" w:hAnsi="Arial" w:cs="Arial"/>
          <w:i/>
          <w:iCs/>
          <w:sz w:val="22"/>
          <w:szCs w:val="22"/>
        </w:rPr>
        <w:t>BMJ Open</w:t>
      </w:r>
      <w:r w:rsidRPr="00005F20">
        <w:rPr>
          <w:rFonts w:ascii="Arial" w:hAnsi="Arial" w:cs="Arial"/>
          <w:sz w:val="22"/>
          <w:szCs w:val="22"/>
        </w:rPr>
        <w:t>, 15(10), e102163. https://doi.org/10.1136/bmjopen-2025-102163</w:t>
      </w:r>
    </w:p>
    <w:p w14:paraId="2DBB8286"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Brady, S. M., et al. (2025). Exploring ethnic minority and underserved groups' experiences with cardiovascular disease prevention services in the UK. </w:t>
      </w:r>
      <w:r w:rsidRPr="00005F20">
        <w:rPr>
          <w:rFonts w:ascii="Arial" w:hAnsi="Arial" w:cs="Arial"/>
          <w:i/>
          <w:iCs/>
          <w:sz w:val="22"/>
          <w:szCs w:val="22"/>
        </w:rPr>
        <w:t>BMJ Open</w:t>
      </w:r>
      <w:r w:rsidRPr="00005F20">
        <w:rPr>
          <w:rFonts w:ascii="Arial" w:hAnsi="Arial" w:cs="Arial"/>
          <w:sz w:val="22"/>
          <w:szCs w:val="22"/>
        </w:rPr>
        <w:t>, 15(9), e096500. https://doi.org/10.1136/bmjopen-2025-096500</w:t>
      </w:r>
    </w:p>
    <w:p w14:paraId="0D8B211B"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lastRenderedPageBreak/>
        <w:t xml:space="preserve">Meng, R., et al. (2024). Tackling social and behavioural risk factors for cardiovascular disease among Chinese women in the UK. </w:t>
      </w:r>
      <w:r w:rsidRPr="00005F20">
        <w:rPr>
          <w:rFonts w:ascii="Arial" w:hAnsi="Arial" w:cs="Arial"/>
          <w:i/>
          <w:iCs/>
          <w:sz w:val="22"/>
          <w:szCs w:val="22"/>
        </w:rPr>
        <w:t>The BMJ</w:t>
      </w:r>
      <w:r w:rsidRPr="00005F20">
        <w:rPr>
          <w:rFonts w:ascii="Arial" w:hAnsi="Arial" w:cs="Arial"/>
          <w:sz w:val="22"/>
          <w:szCs w:val="22"/>
        </w:rPr>
        <w:t>, 386, bmj-2023-078638. https://doi.org/10.1136/bmj-2023-078638</w:t>
      </w:r>
    </w:p>
    <w:p w14:paraId="2D81B4CB"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Jordão, M., et al. (2025). Minoritized ethnic groups and modifiable dementia risk factors: a systematic review. </w:t>
      </w:r>
      <w:r w:rsidRPr="00005F20">
        <w:rPr>
          <w:rFonts w:ascii="Arial" w:hAnsi="Arial" w:cs="Arial"/>
          <w:i/>
          <w:iCs/>
          <w:sz w:val="22"/>
          <w:szCs w:val="22"/>
        </w:rPr>
        <w:t>Journal of Epidemiology &amp; Community Health</w:t>
      </w:r>
      <w:r w:rsidRPr="00005F20">
        <w:rPr>
          <w:rFonts w:ascii="Arial" w:hAnsi="Arial" w:cs="Arial"/>
          <w:sz w:val="22"/>
          <w:szCs w:val="22"/>
        </w:rPr>
        <w:t>, 79(9), 670–678. https://doi.org/10.1136/jech-2024-218907</w:t>
      </w:r>
    </w:p>
    <w:p w14:paraId="64019B1F"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Wise, J. (2025). One million excess deaths linked to deprivation over a decade, says Marmot. </w:t>
      </w:r>
      <w:r w:rsidRPr="00005F20">
        <w:rPr>
          <w:rFonts w:ascii="Arial" w:hAnsi="Arial" w:cs="Arial"/>
          <w:i/>
          <w:iCs/>
          <w:sz w:val="22"/>
          <w:szCs w:val="22"/>
        </w:rPr>
        <w:t>The BMJ</w:t>
      </w:r>
      <w:r w:rsidRPr="00005F20">
        <w:rPr>
          <w:rFonts w:ascii="Arial" w:hAnsi="Arial" w:cs="Arial"/>
          <w:sz w:val="22"/>
          <w:szCs w:val="22"/>
        </w:rPr>
        <w:t>, 389, bmj.r1147. https://doi.org/10.1136/bmj.r1147</w:t>
      </w:r>
    </w:p>
    <w:p w14:paraId="2CA8EA20"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Hu, F., et al. (2023). Racial inequality should be a regulatory matter. </w:t>
      </w:r>
      <w:r w:rsidRPr="00005F20">
        <w:rPr>
          <w:rFonts w:ascii="Arial" w:hAnsi="Arial" w:cs="Arial"/>
          <w:i/>
          <w:iCs/>
          <w:sz w:val="22"/>
          <w:szCs w:val="22"/>
        </w:rPr>
        <w:t>The BMJ</w:t>
      </w:r>
      <w:r w:rsidRPr="00005F20">
        <w:rPr>
          <w:rFonts w:ascii="Arial" w:hAnsi="Arial" w:cs="Arial"/>
          <w:sz w:val="22"/>
          <w:szCs w:val="22"/>
        </w:rPr>
        <w:t>, 381, bmj.p1136. https://doi.org/10.1136/bmj.p1136</w:t>
      </w:r>
    </w:p>
    <w:p w14:paraId="672A9CBF"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Jackson, S., et al. (2025). Trends in health-related economic inactivity by smoking status and ethnicity in the UK. </w:t>
      </w:r>
      <w:r w:rsidRPr="00005F20">
        <w:rPr>
          <w:rFonts w:ascii="Arial" w:hAnsi="Arial" w:cs="Arial"/>
          <w:i/>
          <w:iCs/>
          <w:sz w:val="22"/>
          <w:szCs w:val="22"/>
        </w:rPr>
        <w:t>The Lancet Regional Health – Europe</w:t>
      </w:r>
      <w:r w:rsidRPr="00005F20">
        <w:rPr>
          <w:rFonts w:ascii="Arial" w:hAnsi="Arial" w:cs="Arial"/>
          <w:sz w:val="22"/>
          <w:szCs w:val="22"/>
        </w:rPr>
        <w:t>, 10, 100211. https://doi.org/10.1016/j.lanepe.2025.100211</w:t>
      </w:r>
    </w:p>
    <w:p w14:paraId="68CC4465" w14:textId="77777777" w:rsidR="008C23E8" w:rsidRPr="00005F20" w:rsidRDefault="00370E8D" w:rsidP="00602C11">
      <w:pPr>
        <w:spacing w:after="0" w:line="360" w:lineRule="auto"/>
        <w:ind w:left="720" w:hanging="720"/>
        <w:contextualSpacing/>
        <w:rPr>
          <w:rFonts w:ascii="Arial" w:hAnsi="Arial" w:cs="Arial"/>
          <w:sz w:val="22"/>
          <w:szCs w:val="22"/>
        </w:rPr>
      </w:pPr>
      <w:r w:rsidRPr="00005F20">
        <w:rPr>
          <w:rFonts w:ascii="Arial" w:hAnsi="Arial" w:cs="Arial"/>
          <w:sz w:val="22"/>
          <w:szCs w:val="22"/>
        </w:rPr>
        <w:t xml:space="preserve">McAllister, J., et al. (2024). Likelihood and predictors of cardiac rehabilitation uptake among South Asian service users in the UK. </w:t>
      </w:r>
      <w:r w:rsidRPr="00005F20">
        <w:rPr>
          <w:rFonts w:ascii="Arial" w:hAnsi="Arial" w:cs="Arial"/>
          <w:i/>
          <w:iCs/>
          <w:sz w:val="22"/>
          <w:szCs w:val="22"/>
        </w:rPr>
        <w:t>Heart</w:t>
      </w:r>
      <w:r w:rsidRPr="00005F20">
        <w:rPr>
          <w:rFonts w:ascii="Arial" w:hAnsi="Arial" w:cs="Arial"/>
          <w:sz w:val="22"/>
          <w:szCs w:val="22"/>
        </w:rPr>
        <w:t>, 110(Suppl 5), A20. https://doi.org/10.1136/heartjnl-2024</w:t>
      </w:r>
    </w:p>
    <w:p w14:paraId="1C0EA4C0" w14:textId="77777777" w:rsidR="008C23E8" w:rsidRPr="00005F20" w:rsidRDefault="008C23E8" w:rsidP="008C23E8">
      <w:pPr>
        <w:rPr>
          <w:rFonts w:ascii="Arial" w:hAnsi="Arial" w:cs="Arial"/>
          <w:sz w:val="22"/>
          <w:szCs w:val="22"/>
        </w:rPr>
      </w:pPr>
    </w:p>
    <w:p w14:paraId="7CE8EF26" w14:textId="77777777" w:rsidR="008C23E8" w:rsidRPr="00005F20" w:rsidRDefault="00370E8D" w:rsidP="008C23E8">
      <w:pPr>
        <w:rPr>
          <w:rFonts w:ascii="Arial" w:hAnsi="Arial" w:cs="Arial"/>
          <w:sz w:val="22"/>
          <w:szCs w:val="22"/>
        </w:rPr>
      </w:pPr>
      <w:r w:rsidRPr="00005F20">
        <w:rPr>
          <w:rFonts w:ascii="Arial" w:hAnsi="Arial" w:cs="Arial"/>
          <w:sz w:val="22"/>
          <w:szCs w:val="22"/>
        </w:rPr>
        <w:t>‌</w:t>
      </w:r>
    </w:p>
    <w:p w14:paraId="4DF4FDCD" w14:textId="77777777" w:rsidR="008C23E8" w:rsidRPr="00005F20" w:rsidRDefault="008C23E8" w:rsidP="00E976B2">
      <w:pPr>
        <w:rPr>
          <w:rFonts w:ascii="Arial" w:hAnsi="Arial" w:cs="Arial"/>
          <w:sz w:val="22"/>
          <w:szCs w:val="22"/>
        </w:rPr>
      </w:pPr>
    </w:p>
    <w:sectPr w:rsidR="008C23E8" w:rsidRPr="00005F2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38A5A8" w14:textId="77777777" w:rsidR="0042750D" w:rsidRDefault="0042750D">
      <w:pPr>
        <w:spacing w:after="0" w:line="240" w:lineRule="auto"/>
      </w:pPr>
      <w:r>
        <w:separator/>
      </w:r>
    </w:p>
  </w:endnote>
  <w:endnote w:type="continuationSeparator" w:id="0">
    <w:p w14:paraId="6171469D" w14:textId="77777777" w:rsidR="0042750D" w:rsidRDefault="00427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B552FD" w14:textId="77777777" w:rsidR="0042750D" w:rsidRDefault="0042750D">
      <w:pPr>
        <w:spacing w:after="0" w:line="240" w:lineRule="auto"/>
      </w:pPr>
      <w:r>
        <w:separator/>
      </w:r>
    </w:p>
  </w:footnote>
  <w:footnote w:type="continuationSeparator" w:id="0">
    <w:p w14:paraId="3B84B8A0" w14:textId="77777777" w:rsidR="0042750D" w:rsidRDefault="00427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3725921"/>
      <w:docPartObj>
        <w:docPartGallery w:val="Page Numbers (Top of Page)"/>
        <w:docPartUnique/>
      </w:docPartObj>
    </w:sdtPr>
    <w:sdtEndPr>
      <w:rPr>
        <w:noProof/>
      </w:rPr>
    </w:sdtEndPr>
    <w:sdtContent>
      <w:p w14:paraId="114F9102" w14:textId="39FE7F20" w:rsidR="00A52148" w:rsidRDefault="00370E8D">
        <w:pPr>
          <w:pStyle w:val="Header"/>
          <w:jc w:val="right"/>
        </w:pPr>
        <w:r>
          <w:fldChar w:fldCharType="begin"/>
        </w:r>
        <w:r>
          <w:instrText xml:space="preserve"> PAGE   \* MERGEFORMAT </w:instrText>
        </w:r>
        <w:r>
          <w:fldChar w:fldCharType="separate"/>
        </w:r>
        <w:r w:rsidR="009F0996">
          <w:rPr>
            <w:noProof/>
          </w:rPr>
          <w:t>10</w:t>
        </w:r>
        <w:r>
          <w:rPr>
            <w:noProof/>
          </w:rPr>
          <w:fldChar w:fldCharType="end"/>
        </w:r>
      </w:p>
    </w:sdtContent>
  </w:sdt>
  <w:p w14:paraId="3BAE5382" w14:textId="77777777" w:rsidR="00E37BCB" w:rsidRDefault="00E37BC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A0EC1"/>
    <w:multiLevelType w:val="hybridMultilevel"/>
    <w:tmpl w:val="8984120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nsid w:val="04D33CCA"/>
    <w:multiLevelType w:val="hybridMultilevel"/>
    <w:tmpl w:val="8160BB9A"/>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
    <w:nsid w:val="08322430"/>
    <w:multiLevelType w:val="multilevel"/>
    <w:tmpl w:val="E6B09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8704EC"/>
    <w:multiLevelType w:val="hybridMultilevel"/>
    <w:tmpl w:val="ED384248"/>
    <w:lvl w:ilvl="0" w:tplc="395A8DB4">
      <w:start w:val="1"/>
      <w:numFmt w:val="decimal"/>
      <w:lvlText w:val="%1."/>
      <w:lvlJc w:val="left"/>
      <w:pPr>
        <w:ind w:left="1440" w:hanging="360"/>
      </w:pPr>
    </w:lvl>
    <w:lvl w:ilvl="1" w:tplc="94505E8E" w:tentative="1">
      <w:start w:val="1"/>
      <w:numFmt w:val="lowerLetter"/>
      <w:lvlText w:val="%2."/>
      <w:lvlJc w:val="left"/>
      <w:pPr>
        <w:ind w:left="2160" w:hanging="360"/>
      </w:pPr>
    </w:lvl>
    <w:lvl w:ilvl="2" w:tplc="F490B8F0" w:tentative="1">
      <w:start w:val="1"/>
      <w:numFmt w:val="lowerRoman"/>
      <w:lvlText w:val="%3."/>
      <w:lvlJc w:val="right"/>
      <w:pPr>
        <w:ind w:left="2880" w:hanging="180"/>
      </w:pPr>
    </w:lvl>
    <w:lvl w:ilvl="3" w:tplc="56709E16" w:tentative="1">
      <w:start w:val="1"/>
      <w:numFmt w:val="decimal"/>
      <w:lvlText w:val="%4."/>
      <w:lvlJc w:val="left"/>
      <w:pPr>
        <w:ind w:left="3600" w:hanging="360"/>
      </w:pPr>
    </w:lvl>
    <w:lvl w:ilvl="4" w:tplc="22742286" w:tentative="1">
      <w:start w:val="1"/>
      <w:numFmt w:val="lowerLetter"/>
      <w:lvlText w:val="%5."/>
      <w:lvlJc w:val="left"/>
      <w:pPr>
        <w:ind w:left="4320" w:hanging="360"/>
      </w:pPr>
    </w:lvl>
    <w:lvl w:ilvl="5" w:tplc="BEFE98DE" w:tentative="1">
      <w:start w:val="1"/>
      <w:numFmt w:val="lowerRoman"/>
      <w:lvlText w:val="%6."/>
      <w:lvlJc w:val="right"/>
      <w:pPr>
        <w:ind w:left="5040" w:hanging="180"/>
      </w:pPr>
    </w:lvl>
    <w:lvl w:ilvl="6" w:tplc="F9EC6254" w:tentative="1">
      <w:start w:val="1"/>
      <w:numFmt w:val="decimal"/>
      <w:lvlText w:val="%7."/>
      <w:lvlJc w:val="left"/>
      <w:pPr>
        <w:ind w:left="5760" w:hanging="360"/>
      </w:pPr>
    </w:lvl>
    <w:lvl w:ilvl="7" w:tplc="C8FC017C" w:tentative="1">
      <w:start w:val="1"/>
      <w:numFmt w:val="lowerLetter"/>
      <w:lvlText w:val="%8."/>
      <w:lvlJc w:val="left"/>
      <w:pPr>
        <w:ind w:left="6480" w:hanging="360"/>
      </w:pPr>
    </w:lvl>
    <w:lvl w:ilvl="8" w:tplc="4AAAC5C6" w:tentative="1">
      <w:start w:val="1"/>
      <w:numFmt w:val="lowerRoman"/>
      <w:lvlText w:val="%9."/>
      <w:lvlJc w:val="right"/>
      <w:pPr>
        <w:ind w:left="7200" w:hanging="180"/>
      </w:pPr>
    </w:lvl>
  </w:abstractNum>
  <w:abstractNum w:abstractNumId="4">
    <w:nsid w:val="147E58B0"/>
    <w:multiLevelType w:val="hybridMultilevel"/>
    <w:tmpl w:val="9B0CBE4C"/>
    <w:lvl w:ilvl="0" w:tplc="519C4A16">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
    <w:nsid w:val="158D0996"/>
    <w:multiLevelType w:val="hybridMultilevel"/>
    <w:tmpl w:val="4162B82C"/>
    <w:lvl w:ilvl="0" w:tplc="3496E2FA">
      <w:numFmt w:val="bullet"/>
      <w:lvlText w:val="•"/>
      <w:lvlJc w:val="left"/>
      <w:pPr>
        <w:ind w:left="1080" w:hanging="360"/>
      </w:pPr>
      <w:rPr>
        <w:rFonts w:ascii="Arial" w:eastAsiaTheme="minorHAnsi" w:hAnsi="Arial" w:cs="Arial" w:hint="default"/>
        <w:b/>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nsid w:val="191D31B0"/>
    <w:multiLevelType w:val="hybridMultilevel"/>
    <w:tmpl w:val="B6B495E6"/>
    <w:lvl w:ilvl="0" w:tplc="2000000D">
      <w:start w:val="1"/>
      <w:numFmt w:val="bullet"/>
      <w:lvlText w:val=""/>
      <w:lvlJc w:val="left"/>
      <w:pPr>
        <w:ind w:left="720" w:hanging="360"/>
      </w:pPr>
      <w:rPr>
        <w:rFonts w:ascii="Wingdings" w:hAnsi="Wingdings"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nsid w:val="1EC8109A"/>
    <w:multiLevelType w:val="multilevel"/>
    <w:tmpl w:val="C5D4E4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F5709A2"/>
    <w:multiLevelType w:val="hybridMultilevel"/>
    <w:tmpl w:val="65F6E9D6"/>
    <w:lvl w:ilvl="0" w:tplc="2000000D">
      <w:start w:val="1"/>
      <w:numFmt w:val="bullet"/>
      <w:lvlText w:val=""/>
      <w:lvlJc w:val="left"/>
      <w:pPr>
        <w:ind w:left="720" w:hanging="360"/>
      </w:pPr>
      <w:rPr>
        <w:rFonts w:ascii="Wingdings" w:hAnsi="Wingdings"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nsid w:val="25810179"/>
    <w:multiLevelType w:val="multilevel"/>
    <w:tmpl w:val="C5D4E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AAF3B22"/>
    <w:multiLevelType w:val="hybridMultilevel"/>
    <w:tmpl w:val="88C674B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1">
    <w:nsid w:val="2C626706"/>
    <w:multiLevelType w:val="multilevel"/>
    <w:tmpl w:val="C5D4E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187372D"/>
    <w:multiLevelType w:val="multilevel"/>
    <w:tmpl w:val="C5D4E41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3A04C09"/>
    <w:multiLevelType w:val="multilevel"/>
    <w:tmpl w:val="59AED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41250BF"/>
    <w:multiLevelType w:val="multilevel"/>
    <w:tmpl w:val="C5D4E4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922C2F"/>
    <w:multiLevelType w:val="multilevel"/>
    <w:tmpl w:val="AA82A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20C15E1"/>
    <w:multiLevelType w:val="hybridMultilevel"/>
    <w:tmpl w:val="4C5AA99C"/>
    <w:lvl w:ilvl="0" w:tplc="70D87912">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7">
    <w:nsid w:val="4266791F"/>
    <w:multiLevelType w:val="multilevel"/>
    <w:tmpl w:val="C5D4E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275528D"/>
    <w:multiLevelType w:val="multilevel"/>
    <w:tmpl w:val="C5D4E4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AE6F47"/>
    <w:multiLevelType w:val="hybridMultilevel"/>
    <w:tmpl w:val="7880419E"/>
    <w:lvl w:ilvl="0" w:tplc="FFFFFFFF">
      <w:start w:val="1"/>
      <w:numFmt w:val="bullet"/>
      <w:lvlText w:val=""/>
      <w:lvlJc w:val="left"/>
      <w:pPr>
        <w:ind w:left="720" w:hanging="360"/>
      </w:pPr>
      <w:rPr>
        <w:rFonts w:ascii="Wingdings" w:hAnsi="Wingdings" w:hint="default"/>
      </w:rPr>
    </w:lvl>
    <w:lvl w:ilvl="1" w:tplc="2000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4CC97CF4"/>
    <w:multiLevelType w:val="hybridMultilevel"/>
    <w:tmpl w:val="ED1AB90E"/>
    <w:lvl w:ilvl="0" w:tplc="2000000D">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1">
    <w:nsid w:val="4E264FF6"/>
    <w:multiLevelType w:val="multilevel"/>
    <w:tmpl w:val="C5D4E416"/>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1AF6E6A"/>
    <w:multiLevelType w:val="hybridMultilevel"/>
    <w:tmpl w:val="5E5C625E"/>
    <w:lvl w:ilvl="0" w:tplc="2000000D">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3">
    <w:nsid w:val="552E0B4F"/>
    <w:multiLevelType w:val="multilevel"/>
    <w:tmpl w:val="201EA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1F717EE"/>
    <w:multiLevelType w:val="hybridMultilevel"/>
    <w:tmpl w:val="F592A886"/>
    <w:lvl w:ilvl="0" w:tplc="1608AE88">
      <w:start w:val="1"/>
      <w:numFmt w:val="decimal"/>
      <w:lvlText w:val="%1."/>
      <w:lvlJc w:val="left"/>
      <w:pPr>
        <w:ind w:left="1440" w:hanging="720"/>
      </w:pPr>
      <w:rPr>
        <w:rFonts w:hint="default"/>
      </w:rPr>
    </w:lvl>
    <w:lvl w:ilvl="1" w:tplc="1B4EE56E" w:tentative="1">
      <w:start w:val="1"/>
      <w:numFmt w:val="lowerLetter"/>
      <w:lvlText w:val="%2."/>
      <w:lvlJc w:val="left"/>
      <w:pPr>
        <w:ind w:left="1800" w:hanging="360"/>
      </w:pPr>
    </w:lvl>
    <w:lvl w:ilvl="2" w:tplc="2BB4DD06" w:tentative="1">
      <w:start w:val="1"/>
      <w:numFmt w:val="lowerRoman"/>
      <w:lvlText w:val="%3."/>
      <w:lvlJc w:val="right"/>
      <w:pPr>
        <w:ind w:left="2520" w:hanging="180"/>
      </w:pPr>
    </w:lvl>
    <w:lvl w:ilvl="3" w:tplc="E090763A" w:tentative="1">
      <w:start w:val="1"/>
      <w:numFmt w:val="decimal"/>
      <w:lvlText w:val="%4."/>
      <w:lvlJc w:val="left"/>
      <w:pPr>
        <w:ind w:left="3240" w:hanging="360"/>
      </w:pPr>
    </w:lvl>
    <w:lvl w:ilvl="4" w:tplc="049C148E" w:tentative="1">
      <w:start w:val="1"/>
      <w:numFmt w:val="lowerLetter"/>
      <w:lvlText w:val="%5."/>
      <w:lvlJc w:val="left"/>
      <w:pPr>
        <w:ind w:left="3960" w:hanging="360"/>
      </w:pPr>
    </w:lvl>
    <w:lvl w:ilvl="5" w:tplc="FFE22208" w:tentative="1">
      <w:start w:val="1"/>
      <w:numFmt w:val="lowerRoman"/>
      <w:lvlText w:val="%6."/>
      <w:lvlJc w:val="right"/>
      <w:pPr>
        <w:ind w:left="4680" w:hanging="180"/>
      </w:pPr>
    </w:lvl>
    <w:lvl w:ilvl="6" w:tplc="081C9852" w:tentative="1">
      <w:start w:val="1"/>
      <w:numFmt w:val="decimal"/>
      <w:lvlText w:val="%7."/>
      <w:lvlJc w:val="left"/>
      <w:pPr>
        <w:ind w:left="5400" w:hanging="360"/>
      </w:pPr>
    </w:lvl>
    <w:lvl w:ilvl="7" w:tplc="097AFEC4" w:tentative="1">
      <w:start w:val="1"/>
      <w:numFmt w:val="lowerLetter"/>
      <w:lvlText w:val="%8."/>
      <w:lvlJc w:val="left"/>
      <w:pPr>
        <w:ind w:left="6120" w:hanging="360"/>
      </w:pPr>
    </w:lvl>
    <w:lvl w:ilvl="8" w:tplc="71924670" w:tentative="1">
      <w:start w:val="1"/>
      <w:numFmt w:val="lowerRoman"/>
      <w:lvlText w:val="%9."/>
      <w:lvlJc w:val="right"/>
      <w:pPr>
        <w:ind w:left="6840" w:hanging="180"/>
      </w:pPr>
    </w:lvl>
  </w:abstractNum>
  <w:abstractNum w:abstractNumId="25">
    <w:nsid w:val="63F20833"/>
    <w:multiLevelType w:val="hybridMultilevel"/>
    <w:tmpl w:val="1548B56E"/>
    <w:lvl w:ilvl="0" w:tplc="FFFFFFFF">
      <w:start w:val="1"/>
      <w:numFmt w:val="bullet"/>
      <w:lvlText w:val=""/>
      <w:lvlJc w:val="left"/>
      <w:pPr>
        <w:ind w:left="720" w:hanging="360"/>
      </w:pPr>
      <w:rPr>
        <w:rFonts w:ascii="Wingdings" w:hAnsi="Wingdings" w:hint="default"/>
      </w:rPr>
    </w:lvl>
    <w:lvl w:ilvl="1" w:tplc="2000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668C5742"/>
    <w:multiLevelType w:val="hybridMultilevel"/>
    <w:tmpl w:val="90A458B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nsid w:val="738C0B7F"/>
    <w:multiLevelType w:val="hybridMultilevel"/>
    <w:tmpl w:val="7CC86106"/>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nsid w:val="74C337AA"/>
    <w:multiLevelType w:val="hybridMultilevel"/>
    <w:tmpl w:val="4B128A4C"/>
    <w:lvl w:ilvl="0" w:tplc="2000000D">
      <w:start w:val="1"/>
      <w:numFmt w:val="bullet"/>
      <w:lvlText w:val=""/>
      <w:lvlJc w:val="left"/>
      <w:pPr>
        <w:ind w:left="720" w:hanging="360"/>
      </w:pPr>
      <w:rPr>
        <w:rFonts w:ascii="Wingdings" w:hAnsi="Wingdings"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nsid w:val="75B14B37"/>
    <w:multiLevelType w:val="hybridMultilevel"/>
    <w:tmpl w:val="5D4C85E2"/>
    <w:lvl w:ilvl="0" w:tplc="BE4E5A60">
      <w:start w:val="1"/>
      <w:numFmt w:val="decimal"/>
      <w:lvlText w:val="%1."/>
      <w:lvlJc w:val="left"/>
      <w:pPr>
        <w:ind w:left="720" w:hanging="360"/>
      </w:pPr>
    </w:lvl>
    <w:lvl w:ilvl="1" w:tplc="8E32987C" w:tentative="1">
      <w:start w:val="1"/>
      <w:numFmt w:val="lowerLetter"/>
      <w:lvlText w:val="%2."/>
      <w:lvlJc w:val="left"/>
      <w:pPr>
        <w:ind w:left="1440" w:hanging="360"/>
      </w:pPr>
    </w:lvl>
    <w:lvl w:ilvl="2" w:tplc="343668E0" w:tentative="1">
      <w:start w:val="1"/>
      <w:numFmt w:val="lowerRoman"/>
      <w:lvlText w:val="%3."/>
      <w:lvlJc w:val="right"/>
      <w:pPr>
        <w:ind w:left="2160" w:hanging="180"/>
      </w:pPr>
    </w:lvl>
    <w:lvl w:ilvl="3" w:tplc="E5801DD4" w:tentative="1">
      <w:start w:val="1"/>
      <w:numFmt w:val="decimal"/>
      <w:lvlText w:val="%4."/>
      <w:lvlJc w:val="left"/>
      <w:pPr>
        <w:ind w:left="2880" w:hanging="360"/>
      </w:pPr>
    </w:lvl>
    <w:lvl w:ilvl="4" w:tplc="A008E37E" w:tentative="1">
      <w:start w:val="1"/>
      <w:numFmt w:val="lowerLetter"/>
      <w:lvlText w:val="%5."/>
      <w:lvlJc w:val="left"/>
      <w:pPr>
        <w:ind w:left="3600" w:hanging="360"/>
      </w:pPr>
    </w:lvl>
    <w:lvl w:ilvl="5" w:tplc="E2F449BE" w:tentative="1">
      <w:start w:val="1"/>
      <w:numFmt w:val="lowerRoman"/>
      <w:lvlText w:val="%6."/>
      <w:lvlJc w:val="right"/>
      <w:pPr>
        <w:ind w:left="4320" w:hanging="180"/>
      </w:pPr>
    </w:lvl>
    <w:lvl w:ilvl="6" w:tplc="4E2C42C8" w:tentative="1">
      <w:start w:val="1"/>
      <w:numFmt w:val="decimal"/>
      <w:lvlText w:val="%7."/>
      <w:lvlJc w:val="left"/>
      <w:pPr>
        <w:ind w:left="5040" w:hanging="360"/>
      </w:pPr>
    </w:lvl>
    <w:lvl w:ilvl="7" w:tplc="5EC2AED2" w:tentative="1">
      <w:start w:val="1"/>
      <w:numFmt w:val="lowerLetter"/>
      <w:lvlText w:val="%8."/>
      <w:lvlJc w:val="left"/>
      <w:pPr>
        <w:ind w:left="5760" w:hanging="360"/>
      </w:pPr>
    </w:lvl>
    <w:lvl w:ilvl="8" w:tplc="37DC4F6E" w:tentative="1">
      <w:start w:val="1"/>
      <w:numFmt w:val="lowerRoman"/>
      <w:lvlText w:val="%9."/>
      <w:lvlJc w:val="right"/>
      <w:pPr>
        <w:ind w:left="6480" w:hanging="180"/>
      </w:pPr>
    </w:lvl>
  </w:abstractNum>
  <w:num w:numId="1">
    <w:abstractNumId w:val="23"/>
  </w:num>
  <w:num w:numId="2">
    <w:abstractNumId w:val="2"/>
  </w:num>
  <w:num w:numId="3">
    <w:abstractNumId w:val="15"/>
  </w:num>
  <w:num w:numId="4">
    <w:abstractNumId w:val="13"/>
  </w:num>
  <w:num w:numId="5">
    <w:abstractNumId w:val="17"/>
  </w:num>
  <w:num w:numId="6">
    <w:abstractNumId w:val="14"/>
  </w:num>
  <w:num w:numId="7">
    <w:abstractNumId w:val="7"/>
  </w:num>
  <w:num w:numId="8">
    <w:abstractNumId w:val="12"/>
  </w:num>
  <w:num w:numId="9">
    <w:abstractNumId w:val="18"/>
  </w:num>
  <w:num w:numId="10">
    <w:abstractNumId w:val="21"/>
  </w:num>
  <w:num w:numId="11">
    <w:abstractNumId w:val="29"/>
  </w:num>
  <w:num w:numId="12">
    <w:abstractNumId w:val="11"/>
  </w:num>
  <w:num w:numId="13">
    <w:abstractNumId w:val="9"/>
  </w:num>
  <w:num w:numId="14">
    <w:abstractNumId w:val="3"/>
  </w:num>
  <w:num w:numId="15">
    <w:abstractNumId w:val="24"/>
  </w:num>
  <w:num w:numId="16">
    <w:abstractNumId w:val="6"/>
  </w:num>
  <w:num w:numId="17">
    <w:abstractNumId w:val="4"/>
  </w:num>
  <w:num w:numId="18">
    <w:abstractNumId w:val="16"/>
  </w:num>
  <w:num w:numId="19">
    <w:abstractNumId w:val="26"/>
  </w:num>
  <w:num w:numId="20">
    <w:abstractNumId w:val="22"/>
  </w:num>
  <w:num w:numId="21">
    <w:abstractNumId w:val="1"/>
  </w:num>
  <w:num w:numId="22">
    <w:abstractNumId w:val="0"/>
  </w:num>
  <w:num w:numId="23">
    <w:abstractNumId w:val="27"/>
  </w:num>
  <w:num w:numId="24">
    <w:abstractNumId w:val="8"/>
  </w:num>
  <w:num w:numId="25">
    <w:abstractNumId w:val="25"/>
  </w:num>
  <w:num w:numId="26">
    <w:abstractNumId w:val="20"/>
  </w:num>
  <w:num w:numId="27">
    <w:abstractNumId w:val="28"/>
  </w:num>
  <w:num w:numId="28">
    <w:abstractNumId w:val="19"/>
  </w:num>
  <w:num w:numId="29">
    <w:abstractNumId w:val="10"/>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632"/>
    <w:rsid w:val="00005F20"/>
    <w:rsid w:val="00026B8F"/>
    <w:rsid w:val="000317DE"/>
    <w:rsid w:val="000667B7"/>
    <w:rsid w:val="000B221B"/>
    <w:rsid w:val="000D1F1A"/>
    <w:rsid w:val="00175F72"/>
    <w:rsid w:val="001E0E2B"/>
    <w:rsid w:val="001E11D7"/>
    <w:rsid w:val="001F23B8"/>
    <w:rsid w:val="001F28CF"/>
    <w:rsid w:val="00225FCD"/>
    <w:rsid w:val="00233D67"/>
    <w:rsid w:val="00255EE3"/>
    <w:rsid w:val="00271BB4"/>
    <w:rsid w:val="00275E5C"/>
    <w:rsid w:val="002D474B"/>
    <w:rsid w:val="00320B07"/>
    <w:rsid w:val="003364C9"/>
    <w:rsid w:val="00370E8D"/>
    <w:rsid w:val="003A4A3B"/>
    <w:rsid w:val="003B2EA3"/>
    <w:rsid w:val="003D6D5F"/>
    <w:rsid w:val="003E4881"/>
    <w:rsid w:val="003F1791"/>
    <w:rsid w:val="003F2632"/>
    <w:rsid w:val="004270AD"/>
    <w:rsid w:val="0042750D"/>
    <w:rsid w:val="0045768C"/>
    <w:rsid w:val="00472DC5"/>
    <w:rsid w:val="004813F4"/>
    <w:rsid w:val="004B183D"/>
    <w:rsid w:val="004C770B"/>
    <w:rsid w:val="005342FF"/>
    <w:rsid w:val="00575B18"/>
    <w:rsid w:val="005A600D"/>
    <w:rsid w:val="005C3A29"/>
    <w:rsid w:val="005F45C3"/>
    <w:rsid w:val="00600335"/>
    <w:rsid w:val="00601FA8"/>
    <w:rsid w:val="00602C11"/>
    <w:rsid w:val="006E020A"/>
    <w:rsid w:val="006E438F"/>
    <w:rsid w:val="00727572"/>
    <w:rsid w:val="00750670"/>
    <w:rsid w:val="00763901"/>
    <w:rsid w:val="0076769D"/>
    <w:rsid w:val="007724FF"/>
    <w:rsid w:val="007B1ED6"/>
    <w:rsid w:val="007E241C"/>
    <w:rsid w:val="007E759C"/>
    <w:rsid w:val="008026EB"/>
    <w:rsid w:val="008620D8"/>
    <w:rsid w:val="00880022"/>
    <w:rsid w:val="008C23E8"/>
    <w:rsid w:val="008E1F2B"/>
    <w:rsid w:val="00920E38"/>
    <w:rsid w:val="009B6D10"/>
    <w:rsid w:val="009E4991"/>
    <w:rsid w:val="009F0996"/>
    <w:rsid w:val="00A52148"/>
    <w:rsid w:val="00A55090"/>
    <w:rsid w:val="00A67B6E"/>
    <w:rsid w:val="00A7180A"/>
    <w:rsid w:val="00AB1CEF"/>
    <w:rsid w:val="00AF01EA"/>
    <w:rsid w:val="00B23638"/>
    <w:rsid w:val="00B349F9"/>
    <w:rsid w:val="00B35A15"/>
    <w:rsid w:val="00B675FF"/>
    <w:rsid w:val="00BA74C5"/>
    <w:rsid w:val="00BB3BBD"/>
    <w:rsid w:val="00BD289A"/>
    <w:rsid w:val="00C1284B"/>
    <w:rsid w:val="00C2545D"/>
    <w:rsid w:val="00C25F5D"/>
    <w:rsid w:val="00C75E33"/>
    <w:rsid w:val="00C92989"/>
    <w:rsid w:val="00CA4F1E"/>
    <w:rsid w:val="00CD1E47"/>
    <w:rsid w:val="00D70F1B"/>
    <w:rsid w:val="00D74BB8"/>
    <w:rsid w:val="00D96902"/>
    <w:rsid w:val="00E13BB9"/>
    <w:rsid w:val="00E21C2F"/>
    <w:rsid w:val="00E37BCB"/>
    <w:rsid w:val="00E61DA3"/>
    <w:rsid w:val="00E66A02"/>
    <w:rsid w:val="00E976B2"/>
    <w:rsid w:val="00ED191E"/>
    <w:rsid w:val="00EF4AFD"/>
    <w:rsid w:val="00F90184"/>
    <w:rsid w:val="00F911E7"/>
    <w:rsid w:val="00FC2F8C"/>
    <w:rsid w:val="00FC6F5D"/>
    <w:rsid w:val="00FD28C1"/>
    <w:rsid w:val="00FE42E7"/>
    <w:rsid w:val="00FF1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D5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F26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F26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F26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F26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F26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F26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6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6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6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6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F26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F26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F26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F26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F26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6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6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632"/>
    <w:rPr>
      <w:rFonts w:eastAsiaTheme="majorEastAsia" w:cstheme="majorBidi"/>
      <w:color w:val="272727" w:themeColor="text1" w:themeTint="D8"/>
    </w:rPr>
  </w:style>
  <w:style w:type="paragraph" w:styleId="Title">
    <w:name w:val="Title"/>
    <w:basedOn w:val="Normal"/>
    <w:next w:val="Normal"/>
    <w:link w:val="TitleChar"/>
    <w:uiPriority w:val="10"/>
    <w:qFormat/>
    <w:rsid w:val="003F2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6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6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6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632"/>
    <w:pPr>
      <w:spacing w:before="160"/>
      <w:jc w:val="center"/>
    </w:pPr>
    <w:rPr>
      <w:i/>
      <w:iCs/>
      <w:color w:val="404040" w:themeColor="text1" w:themeTint="BF"/>
    </w:rPr>
  </w:style>
  <w:style w:type="character" w:customStyle="1" w:styleId="QuoteChar">
    <w:name w:val="Quote Char"/>
    <w:basedOn w:val="DefaultParagraphFont"/>
    <w:link w:val="Quote"/>
    <w:uiPriority w:val="29"/>
    <w:rsid w:val="003F2632"/>
    <w:rPr>
      <w:i/>
      <w:iCs/>
      <w:color w:val="404040" w:themeColor="text1" w:themeTint="BF"/>
    </w:rPr>
  </w:style>
  <w:style w:type="paragraph" w:styleId="ListParagraph">
    <w:name w:val="List Paragraph"/>
    <w:basedOn w:val="Normal"/>
    <w:uiPriority w:val="34"/>
    <w:qFormat/>
    <w:rsid w:val="003F2632"/>
    <w:pPr>
      <w:ind w:left="720"/>
      <w:contextualSpacing/>
    </w:pPr>
  </w:style>
  <w:style w:type="character" w:styleId="IntenseEmphasis">
    <w:name w:val="Intense Emphasis"/>
    <w:basedOn w:val="DefaultParagraphFont"/>
    <w:uiPriority w:val="21"/>
    <w:qFormat/>
    <w:rsid w:val="003F2632"/>
    <w:rPr>
      <w:i/>
      <w:iCs/>
      <w:color w:val="2F5496" w:themeColor="accent1" w:themeShade="BF"/>
    </w:rPr>
  </w:style>
  <w:style w:type="paragraph" w:styleId="IntenseQuote">
    <w:name w:val="Intense Quote"/>
    <w:basedOn w:val="Normal"/>
    <w:next w:val="Normal"/>
    <w:link w:val="IntenseQuoteChar"/>
    <w:uiPriority w:val="30"/>
    <w:qFormat/>
    <w:rsid w:val="003F26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2632"/>
    <w:rPr>
      <w:i/>
      <w:iCs/>
      <w:color w:val="2F5496" w:themeColor="accent1" w:themeShade="BF"/>
    </w:rPr>
  </w:style>
  <w:style w:type="character" w:styleId="IntenseReference">
    <w:name w:val="Intense Reference"/>
    <w:basedOn w:val="DefaultParagraphFont"/>
    <w:uiPriority w:val="32"/>
    <w:qFormat/>
    <w:rsid w:val="003F2632"/>
    <w:rPr>
      <w:b/>
      <w:bCs/>
      <w:smallCaps/>
      <w:color w:val="2F5496" w:themeColor="accent1" w:themeShade="BF"/>
      <w:spacing w:val="5"/>
    </w:rPr>
  </w:style>
  <w:style w:type="character" w:styleId="Hyperlink">
    <w:name w:val="Hyperlink"/>
    <w:basedOn w:val="DefaultParagraphFont"/>
    <w:uiPriority w:val="99"/>
    <w:unhideWhenUsed/>
    <w:rsid w:val="008C23E8"/>
    <w:rPr>
      <w:color w:val="0563C1" w:themeColor="hyperlink"/>
      <w:u w:val="single"/>
    </w:rPr>
  </w:style>
  <w:style w:type="character" w:customStyle="1" w:styleId="UnresolvedMention">
    <w:name w:val="Unresolved Mention"/>
    <w:basedOn w:val="DefaultParagraphFont"/>
    <w:uiPriority w:val="99"/>
    <w:semiHidden/>
    <w:unhideWhenUsed/>
    <w:rsid w:val="008C23E8"/>
    <w:rPr>
      <w:color w:val="605E5C"/>
      <w:shd w:val="clear" w:color="auto" w:fill="E1DFDD"/>
    </w:rPr>
  </w:style>
  <w:style w:type="paragraph" w:styleId="Header">
    <w:name w:val="header"/>
    <w:basedOn w:val="Normal"/>
    <w:link w:val="HeaderChar"/>
    <w:uiPriority w:val="99"/>
    <w:unhideWhenUsed/>
    <w:rsid w:val="00A52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148"/>
  </w:style>
  <w:style w:type="paragraph" w:styleId="Footer">
    <w:name w:val="footer"/>
    <w:basedOn w:val="Normal"/>
    <w:link w:val="FooterChar"/>
    <w:uiPriority w:val="99"/>
    <w:unhideWhenUsed/>
    <w:rsid w:val="00A52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148"/>
  </w:style>
  <w:style w:type="paragraph" w:styleId="NormalWeb">
    <w:name w:val="Normal (Web)"/>
    <w:basedOn w:val="Normal"/>
    <w:uiPriority w:val="99"/>
    <w:semiHidden/>
    <w:unhideWhenUsed/>
    <w:rsid w:val="003B2EA3"/>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F26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F26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F26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F26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F26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F26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6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6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6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6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F26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F26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F26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F26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F26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6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6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632"/>
    <w:rPr>
      <w:rFonts w:eastAsiaTheme="majorEastAsia" w:cstheme="majorBidi"/>
      <w:color w:val="272727" w:themeColor="text1" w:themeTint="D8"/>
    </w:rPr>
  </w:style>
  <w:style w:type="paragraph" w:styleId="Title">
    <w:name w:val="Title"/>
    <w:basedOn w:val="Normal"/>
    <w:next w:val="Normal"/>
    <w:link w:val="TitleChar"/>
    <w:uiPriority w:val="10"/>
    <w:qFormat/>
    <w:rsid w:val="003F2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6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6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6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632"/>
    <w:pPr>
      <w:spacing w:before="160"/>
      <w:jc w:val="center"/>
    </w:pPr>
    <w:rPr>
      <w:i/>
      <w:iCs/>
      <w:color w:val="404040" w:themeColor="text1" w:themeTint="BF"/>
    </w:rPr>
  </w:style>
  <w:style w:type="character" w:customStyle="1" w:styleId="QuoteChar">
    <w:name w:val="Quote Char"/>
    <w:basedOn w:val="DefaultParagraphFont"/>
    <w:link w:val="Quote"/>
    <w:uiPriority w:val="29"/>
    <w:rsid w:val="003F2632"/>
    <w:rPr>
      <w:i/>
      <w:iCs/>
      <w:color w:val="404040" w:themeColor="text1" w:themeTint="BF"/>
    </w:rPr>
  </w:style>
  <w:style w:type="paragraph" w:styleId="ListParagraph">
    <w:name w:val="List Paragraph"/>
    <w:basedOn w:val="Normal"/>
    <w:uiPriority w:val="34"/>
    <w:qFormat/>
    <w:rsid w:val="003F2632"/>
    <w:pPr>
      <w:ind w:left="720"/>
      <w:contextualSpacing/>
    </w:pPr>
  </w:style>
  <w:style w:type="character" w:styleId="IntenseEmphasis">
    <w:name w:val="Intense Emphasis"/>
    <w:basedOn w:val="DefaultParagraphFont"/>
    <w:uiPriority w:val="21"/>
    <w:qFormat/>
    <w:rsid w:val="003F2632"/>
    <w:rPr>
      <w:i/>
      <w:iCs/>
      <w:color w:val="2F5496" w:themeColor="accent1" w:themeShade="BF"/>
    </w:rPr>
  </w:style>
  <w:style w:type="paragraph" w:styleId="IntenseQuote">
    <w:name w:val="Intense Quote"/>
    <w:basedOn w:val="Normal"/>
    <w:next w:val="Normal"/>
    <w:link w:val="IntenseQuoteChar"/>
    <w:uiPriority w:val="30"/>
    <w:qFormat/>
    <w:rsid w:val="003F26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2632"/>
    <w:rPr>
      <w:i/>
      <w:iCs/>
      <w:color w:val="2F5496" w:themeColor="accent1" w:themeShade="BF"/>
    </w:rPr>
  </w:style>
  <w:style w:type="character" w:styleId="IntenseReference">
    <w:name w:val="Intense Reference"/>
    <w:basedOn w:val="DefaultParagraphFont"/>
    <w:uiPriority w:val="32"/>
    <w:qFormat/>
    <w:rsid w:val="003F2632"/>
    <w:rPr>
      <w:b/>
      <w:bCs/>
      <w:smallCaps/>
      <w:color w:val="2F5496" w:themeColor="accent1" w:themeShade="BF"/>
      <w:spacing w:val="5"/>
    </w:rPr>
  </w:style>
  <w:style w:type="character" w:styleId="Hyperlink">
    <w:name w:val="Hyperlink"/>
    <w:basedOn w:val="DefaultParagraphFont"/>
    <w:uiPriority w:val="99"/>
    <w:unhideWhenUsed/>
    <w:rsid w:val="008C23E8"/>
    <w:rPr>
      <w:color w:val="0563C1" w:themeColor="hyperlink"/>
      <w:u w:val="single"/>
    </w:rPr>
  </w:style>
  <w:style w:type="character" w:customStyle="1" w:styleId="UnresolvedMention">
    <w:name w:val="Unresolved Mention"/>
    <w:basedOn w:val="DefaultParagraphFont"/>
    <w:uiPriority w:val="99"/>
    <w:semiHidden/>
    <w:unhideWhenUsed/>
    <w:rsid w:val="008C23E8"/>
    <w:rPr>
      <w:color w:val="605E5C"/>
      <w:shd w:val="clear" w:color="auto" w:fill="E1DFDD"/>
    </w:rPr>
  </w:style>
  <w:style w:type="paragraph" w:styleId="Header">
    <w:name w:val="header"/>
    <w:basedOn w:val="Normal"/>
    <w:link w:val="HeaderChar"/>
    <w:uiPriority w:val="99"/>
    <w:unhideWhenUsed/>
    <w:rsid w:val="00A52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148"/>
  </w:style>
  <w:style w:type="paragraph" w:styleId="Footer">
    <w:name w:val="footer"/>
    <w:basedOn w:val="Normal"/>
    <w:link w:val="FooterChar"/>
    <w:uiPriority w:val="99"/>
    <w:unhideWhenUsed/>
    <w:rsid w:val="00A52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148"/>
  </w:style>
  <w:style w:type="paragraph" w:styleId="NormalWeb">
    <w:name w:val="Normal (Web)"/>
    <w:basedOn w:val="Normal"/>
    <w:uiPriority w:val="99"/>
    <w:semiHidden/>
    <w:unhideWhenUsed/>
    <w:rsid w:val="003B2EA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021356">
      <w:bodyDiv w:val="1"/>
      <w:marLeft w:val="0"/>
      <w:marRight w:val="0"/>
      <w:marTop w:val="0"/>
      <w:marBottom w:val="0"/>
      <w:divBdr>
        <w:top w:val="none" w:sz="0" w:space="0" w:color="auto"/>
        <w:left w:val="none" w:sz="0" w:space="0" w:color="auto"/>
        <w:bottom w:val="none" w:sz="0" w:space="0" w:color="auto"/>
        <w:right w:val="none" w:sz="0" w:space="0" w:color="auto"/>
      </w:divBdr>
    </w:div>
    <w:div w:id="193888220">
      <w:bodyDiv w:val="1"/>
      <w:marLeft w:val="0"/>
      <w:marRight w:val="0"/>
      <w:marTop w:val="0"/>
      <w:marBottom w:val="0"/>
      <w:divBdr>
        <w:top w:val="none" w:sz="0" w:space="0" w:color="auto"/>
        <w:left w:val="none" w:sz="0" w:space="0" w:color="auto"/>
        <w:bottom w:val="none" w:sz="0" w:space="0" w:color="auto"/>
        <w:right w:val="none" w:sz="0" w:space="0" w:color="auto"/>
      </w:divBdr>
    </w:div>
    <w:div w:id="368190093">
      <w:bodyDiv w:val="1"/>
      <w:marLeft w:val="0"/>
      <w:marRight w:val="0"/>
      <w:marTop w:val="0"/>
      <w:marBottom w:val="0"/>
      <w:divBdr>
        <w:top w:val="none" w:sz="0" w:space="0" w:color="auto"/>
        <w:left w:val="none" w:sz="0" w:space="0" w:color="auto"/>
        <w:bottom w:val="none" w:sz="0" w:space="0" w:color="auto"/>
        <w:right w:val="none" w:sz="0" w:space="0" w:color="auto"/>
      </w:divBdr>
    </w:div>
    <w:div w:id="477188394">
      <w:bodyDiv w:val="1"/>
      <w:marLeft w:val="0"/>
      <w:marRight w:val="0"/>
      <w:marTop w:val="0"/>
      <w:marBottom w:val="0"/>
      <w:divBdr>
        <w:top w:val="none" w:sz="0" w:space="0" w:color="auto"/>
        <w:left w:val="none" w:sz="0" w:space="0" w:color="auto"/>
        <w:bottom w:val="none" w:sz="0" w:space="0" w:color="auto"/>
        <w:right w:val="none" w:sz="0" w:space="0" w:color="auto"/>
      </w:divBdr>
    </w:div>
    <w:div w:id="716200115">
      <w:bodyDiv w:val="1"/>
      <w:marLeft w:val="0"/>
      <w:marRight w:val="0"/>
      <w:marTop w:val="0"/>
      <w:marBottom w:val="0"/>
      <w:divBdr>
        <w:top w:val="none" w:sz="0" w:space="0" w:color="auto"/>
        <w:left w:val="none" w:sz="0" w:space="0" w:color="auto"/>
        <w:bottom w:val="none" w:sz="0" w:space="0" w:color="auto"/>
        <w:right w:val="none" w:sz="0" w:space="0" w:color="auto"/>
      </w:divBdr>
    </w:div>
    <w:div w:id="786855245">
      <w:bodyDiv w:val="1"/>
      <w:marLeft w:val="0"/>
      <w:marRight w:val="0"/>
      <w:marTop w:val="0"/>
      <w:marBottom w:val="0"/>
      <w:divBdr>
        <w:top w:val="none" w:sz="0" w:space="0" w:color="auto"/>
        <w:left w:val="none" w:sz="0" w:space="0" w:color="auto"/>
        <w:bottom w:val="none" w:sz="0" w:space="0" w:color="auto"/>
        <w:right w:val="none" w:sz="0" w:space="0" w:color="auto"/>
      </w:divBdr>
    </w:div>
    <w:div w:id="1114599524">
      <w:bodyDiv w:val="1"/>
      <w:marLeft w:val="0"/>
      <w:marRight w:val="0"/>
      <w:marTop w:val="0"/>
      <w:marBottom w:val="0"/>
      <w:divBdr>
        <w:top w:val="none" w:sz="0" w:space="0" w:color="auto"/>
        <w:left w:val="none" w:sz="0" w:space="0" w:color="auto"/>
        <w:bottom w:val="none" w:sz="0" w:space="0" w:color="auto"/>
        <w:right w:val="none" w:sz="0" w:space="0" w:color="auto"/>
      </w:divBdr>
    </w:div>
    <w:div w:id="1428309382">
      <w:bodyDiv w:val="1"/>
      <w:marLeft w:val="0"/>
      <w:marRight w:val="0"/>
      <w:marTop w:val="0"/>
      <w:marBottom w:val="0"/>
      <w:divBdr>
        <w:top w:val="none" w:sz="0" w:space="0" w:color="auto"/>
        <w:left w:val="none" w:sz="0" w:space="0" w:color="auto"/>
        <w:bottom w:val="none" w:sz="0" w:space="0" w:color="auto"/>
        <w:right w:val="none" w:sz="0" w:space="0" w:color="auto"/>
      </w:divBdr>
    </w:div>
    <w:div w:id="1471023534">
      <w:bodyDiv w:val="1"/>
      <w:marLeft w:val="0"/>
      <w:marRight w:val="0"/>
      <w:marTop w:val="0"/>
      <w:marBottom w:val="0"/>
      <w:divBdr>
        <w:top w:val="none" w:sz="0" w:space="0" w:color="auto"/>
        <w:left w:val="none" w:sz="0" w:space="0" w:color="auto"/>
        <w:bottom w:val="none" w:sz="0" w:space="0" w:color="auto"/>
        <w:right w:val="none" w:sz="0" w:space="0" w:color="auto"/>
      </w:divBdr>
    </w:div>
    <w:div w:id="1681003446">
      <w:bodyDiv w:val="1"/>
      <w:marLeft w:val="0"/>
      <w:marRight w:val="0"/>
      <w:marTop w:val="0"/>
      <w:marBottom w:val="0"/>
      <w:divBdr>
        <w:top w:val="none" w:sz="0" w:space="0" w:color="auto"/>
        <w:left w:val="none" w:sz="0" w:space="0" w:color="auto"/>
        <w:bottom w:val="none" w:sz="0" w:space="0" w:color="auto"/>
        <w:right w:val="none" w:sz="0" w:space="0" w:color="auto"/>
      </w:divBdr>
    </w:div>
    <w:div w:id="210737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jopen.bmj.com/content/13/12/e07405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557</TotalTime>
  <Pages>1</Pages>
  <Words>3548</Words>
  <Characters>20228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2025-10-16T11:18:00Z</dcterms:created>
  <dcterms:modified xsi:type="dcterms:W3CDTF">2025-11-16T14:59:00Z</dcterms:modified>
</cp:coreProperties>
</file>