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p14:paraId="5E5787A5" wp14:textId="77777777"/>
    <w:p w:rsidR="5B0694BA" w:rsidRDefault="5B0694BA" w14:paraId="1DA29E69" w14:textId="409894FA"/>
    <w:p w:rsidR="5B0694BA" w:rsidP="5B0694BA" w:rsidRDefault="5B0694BA" w14:paraId="458F8ECA" w14:textId="5E2AF693">
      <w:pPr>
        <w:spacing w:line="360" w:lineRule="auto"/>
        <w:rPr>
          <w:rFonts w:ascii="Arial" w:hAnsi="Arial" w:eastAsia="Arial" w:cs="Arial"/>
          <w:sz w:val="22"/>
          <w:szCs w:val="22"/>
        </w:rPr>
      </w:pPr>
    </w:p>
    <w:p w:rsidR="5B0694BA" w:rsidP="5B0694BA" w:rsidRDefault="5B0694BA" w14:paraId="5A8AC80A" w14:textId="78E2D727">
      <w:pPr>
        <w:spacing w:line="360" w:lineRule="auto"/>
        <w:rPr>
          <w:rFonts w:ascii="Arial" w:hAnsi="Arial" w:eastAsia="Arial" w:cs="Arial"/>
          <w:sz w:val="22"/>
          <w:szCs w:val="22"/>
        </w:rPr>
      </w:pPr>
    </w:p>
    <w:p w:rsidR="5B0694BA" w:rsidP="5B0694BA" w:rsidRDefault="5B0694BA" w14:paraId="45D00B92" w14:textId="3EE672C6">
      <w:pPr>
        <w:spacing w:line="360" w:lineRule="auto"/>
        <w:rPr>
          <w:rFonts w:ascii="Arial" w:hAnsi="Arial" w:eastAsia="Arial" w:cs="Arial"/>
          <w:sz w:val="22"/>
          <w:szCs w:val="22"/>
        </w:rPr>
      </w:pPr>
    </w:p>
    <w:p w:rsidR="5B0694BA" w:rsidP="5B0694BA" w:rsidRDefault="5B0694BA" w14:paraId="048702B4" w14:textId="687CA01D">
      <w:pPr>
        <w:spacing w:line="360" w:lineRule="auto"/>
        <w:rPr>
          <w:rFonts w:ascii="Arial" w:hAnsi="Arial" w:eastAsia="Arial" w:cs="Arial"/>
          <w:sz w:val="22"/>
          <w:szCs w:val="22"/>
        </w:rPr>
      </w:pPr>
    </w:p>
    <w:p w:rsidR="5B0694BA" w:rsidP="5B0694BA" w:rsidRDefault="5B0694BA" w14:paraId="29027192" w14:textId="75D13492">
      <w:pPr>
        <w:spacing w:line="360" w:lineRule="auto"/>
        <w:rPr>
          <w:rFonts w:ascii="Arial" w:hAnsi="Arial" w:eastAsia="Arial" w:cs="Arial"/>
          <w:sz w:val="22"/>
          <w:szCs w:val="22"/>
        </w:rPr>
      </w:pPr>
    </w:p>
    <w:p w:rsidR="5B0694BA" w:rsidP="5B0694BA" w:rsidRDefault="5B0694BA" w14:paraId="2422BE1F" w14:textId="46E3D5DB">
      <w:pPr>
        <w:spacing w:line="360" w:lineRule="auto"/>
        <w:rPr>
          <w:rFonts w:ascii="Arial" w:hAnsi="Arial" w:eastAsia="Arial" w:cs="Arial"/>
          <w:sz w:val="22"/>
          <w:szCs w:val="22"/>
        </w:rPr>
      </w:pPr>
    </w:p>
    <w:p w:rsidR="5B0694BA" w:rsidP="5B0694BA" w:rsidRDefault="5B0694BA" w14:paraId="12353A17" w14:textId="1488BD89">
      <w:pPr>
        <w:spacing w:line="360" w:lineRule="auto"/>
        <w:rPr>
          <w:rFonts w:ascii="Arial" w:hAnsi="Arial" w:eastAsia="Arial" w:cs="Arial"/>
          <w:sz w:val="22"/>
          <w:szCs w:val="22"/>
        </w:rPr>
      </w:pPr>
    </w:p>
    <w:p w:rsidR="5B0694BA" w:rsidP="5B0694BA" w:rsidRDefault="5B0694BA" w14:paraId="565960AE" w14:textId="784DA1A4">
      <w:pPr>
        <w:spacing w:line="360" w:lineRule="auto"/>
        <w:rPr>
          <w:rFonts w:ascii="Arial" w:hAnsi="Arial" w:eastAsia="Arial" w:cs="Arial"/>
          <w:sz w:val="22"/>
          <w:szCs w:val="22"/>
        </w:rPr>
      </w:pPr>
    </w:p>
    <w:p w:rsidR="5B0694BA" w:rsidP="5B0694BA" w:rsidRDefault="5B0694BA" w14:paraId="6FE250B1" w14:textId="458BBCB6">
      <w:pPr>
        <w:spacing w:line="360" w:lineRule="auto"/>
        <w:rPr>
          <w:rFonts w:ascii="Arial" w:hAnsi="Arial" w:eastAsia="Arial" w:cs="Arial"/>
          <w:sz w:val="22"/>
          <w:szCs w:val="22"/>
        </w:rPr>
      </w:pPr>
    </w:p>
    <w:p w:rsidR="5B0694BA" w:rsidP="5B0694BA" w:rsidRDefault="5B0694BA" w14:paraId="6F82BF1F" w14:textId="378EED53">
      <w:pPr>
        <w:spacing w:line="360" w:lineRule="auto"/>
        <w:rPr>
          <w:rFonts w:ascii="Arial" w:hAnsi="Arial" w:eastAsia="Arial" w:cs="Arial"/>
          <w:sz w:val="22"/>
          <w:szCs w:val="22"/>
        </w:rPr>
      </w:pPr>
    </w:p>
    <w:p w:rsidR="5B0694BA" w:rsidP="5B0694BA" w:rsidRDefault="5B0694BA" w14:paraId="7358F812" w14:textId="02D48B31">
      <w:pPr>
        <w:spacing w:line="360" w:lineRule="auto"/>
        <w:rPr>
          <w:rFonts w:ascii="Arial" w:hAnsi="Arial" w:eastAsia="Arial" w:cs="Arial"/>
          <w:sz w:val="22"/>
          <w:szCs w:val="22"/>
        </w:rPr>
      </w:pPr>
    </w:p>
    <w:p w:rsidR="5B0694BA" w:rsidP="5B0694BA" w:rsidRDefault="5B0694BA" w14:paraId="0360F2B6" w14:textId="4CF38358">
      <w:pPr>
        <w:spacing w:line="360" w:lineRule="auto"/>
        <w:rPr>
          <w:rFonts w:ascii="Arial" w:hAnsi="Arial" w:eastAsia="Arial" w:cs="Arial"/>
          <w:sz w:val="22"/>
          <w:szCs w:val="22"/>
        </w:rPr>
      </w:pPr>
    </w:p>
    <w:p w:rsidR="5B0694BA" w:rsidP="5B0694BA" w:rsidRDefault="5B0694BA" w14:paraId="73A44C24" w14:textId="4BB7DAB0">
      <w:pPr>
        <w:spacing w:line="360" w:lineRule="auto"/>
        <w:rPr>
          <w:rFonts w:ascii="Arial" w:hAnsi="Arial" w:eastAsia="Arial" w:cs="Arial"/>
          <w:sz w:val="22"/>
          <w:szCs w:val="22"/>
        </w:rPr>
      </w:pPr>
    </w:p>
    <w:p w:rsidR="5B0694BA" w:rsidP="5B0694BA" w:rsidRDefault="5B0694BA" w14:paraId="38EB431A" w14:textId="3B713780">
      <w:pPr>
        <w:spacing w:line="360" w:lineRule="auto"/>
        <w:rPr>
          <w:rFonts w:ascii="Arial" w:hAnsi="Arial" w:eastAsia="Arial" w:cs="Arial"/>
          <w:sz w:val="22"/>
          <w:szCs w:val="22"/>
        </w:rPr>
      </w:pPr>
    </w:p>
    <w:p w:rsidR="5B0694BA" w:rsidP="5B0694BA" w:rsidRDefault="5B0694BA" w14:paraId="0ED7DAAE" w14:textId="06ACA399">
      <w:pPr>
        <w:spacing w:line="360" w:lineRule="auto"/>
        <w:rPr>
          <w:rFonts w:ascii="Arial" w:hAnsi="Arial" w:eastAsia="Arial" w:cs="Arial"/>
          <w:sz w:val="22"/>
          <w:szCs w:val="22"/>
        </w:rPr>
      </w:pPr>
    </w:p>
    <w:p w:rsidR="5B0694BA" w:rsidP="5B0694BA" w:rsidRDefault="5B0694BA" w14:paraId="35445C7C" w14:textId="728BC2AE">
      <w:pPr>
        <w:spacing w:line="360" w:lineRule="auto"/>
        <w:rPr>
          <w:rFonts w:ascii="Arial" w:hAnsi="Arial" w:eastAsia="Arial" w:cs="Arial"/>
          <w:sz w:val="22"/>
          <w:szCs w:val="22"/>
        </w:rPr>
      </w:pPr>
    </w:p>
    <w:p w:rsidR="5B0694BA" w:rsidP="5B0694BA" w:rsidRDefault="5B0694BA" w14:paraId="75F081AE" w14:textId="01AA1DD9">
      <w:pPr>
        <w:spacing w:line="360" w:lineRule="auto"/>
        <w:rPr>
          <w:rFonts w:ascii="Arial" w:hAnsi="Arial" w:eastAsia="Arial" w:cs="Arial"/>
          <w:sz w:val="22"/>
          <w:szCs w:val="22"/>
        </w:rPr>
      </w:pPr>
    </w:p>
    <w:p w:rsidR="5B0694BA" w:rsidP="5B0694BA" w:rsidRDefault="5B0694BA" w14:paraId="65A5D760" w14:textId="32B521BD">
      <w:pPr>
        <w:spacing w:line="360" w:lineRule="auto"/>
        <w:rPr>
          <w:rFonts w:ascii="Arial" w:hAnsi="Arial" w:eastAsia="Arial" w:cs="Arial"/>
          <w:sz w:val="22"/>
          <w:szCs w:val="22"/>
        </w:rPr>
      </w:pPr>
    </w:p>
    <w:p w:rsidR="10D7DAF7" w:rsidP="5B0694BA" w:rsidRDefault="10D7DAF7" w14:paraId="23FCEA2E" w14:textId="6CA0413D">
      <w:pPr>
        <w:pStyle w:val="Normal"/>
        <w:spacing w:line="360" w:lineRule="auto"/>
        <w:rPr>
          <w:rFonts w:ascii="Arial" w:hAnsi="Arial" w:eastAsia="Arial" w:cs="Arial"/>
          <w:sz w:val="22"/>
          <w:szCs w:val="22"/>
        </w:rPr>
      </w:pPr>
      <w:r w:rsidRPr="5B0694BA" w:rsidR="10D7DAF7">
        <w:rPr>
          <w:rFonts w:ascii="Arial" w:hAnsi="Arial" w:eastAsia="Arial" w:cs="Arial"/>
          <w:sz w:val="22"/>
          <w:szCs w:val="22"/>
        </w:rPr>
        <w:t>Name: Rihana Khanam</w:t>
      </w:r>
    </w:p>
    <w:p w:rsidR="10D7DAF7" w:rsidP="5B0694BA" w:rsidRDefault="10D7DAF7" w14:paraId="157B6DF1" w14:textId="0E309483">
      <w:pPr>
        <w:spacing w:line="360" w:lineRule="auto"/>
        <w:rPr>
          <w:rFonts w:ascii="Arial" w:hAnsi="Arial" w:eastAsia="Arial" w:cs="Arial"/>
          <w:sz w:val="22"/>
          <w:szCs w:val="22"/>
        </w:rPr>
      </w:pPr>
      <w:r w:rsidRPr="5B0694BA" w:rsidR="10D7DAF7">
        <w:rPr>
          <w:rFonts w:ascii="Arial" w:hAnsi="Arial" w:eastAsia="Arial" w:cs="Arial"/>
          <w:sz w:val="22"/>
          <w:szCs w:val="22"/>
        </w:rPr>
        <w:t>Student ID: 2521442</w:t>
      </w:r>
    </w:p>
    <w:p w:rsidR="10D7DAF7" w:rsidP="5B0694BA" w:rsidRDefault="10D7DAF7" w14:paraId="3696828F" w14:textId="5F2B15DD">
      <w:pPr>
        <w:spacing w:line="360" w:lineRule="auto"/>
        <w:rPr>
          <w:rFonts w:ascii="Arial" w:hAnsi="Arial" w:eastAsia="Arial" w:cs="Arial"/>
          <w:sz w:val="22"/>
          <w:szCs w:val="22"/>
        </w:rPr>
      </w:pPr>
      <w:r w:rsidRPr="5B0694BA" w:rsidR="10D7DAF7">
        <w:rPr>
          <w:rFonts w:ascii="Arial" w:hAnsi="Arial" w:eastAsia="Arial" w:cs="Arial"/>
          <w:sz w:val="22"/>
          <w:szCs w:val="22"/>
        </w:rPr>
        <w:t>Module Code:</w:t>
      </w:r>
      <w:r w:rsidRPr="5B0694BA" w:rsidR="2EB95FB2">
        <w:rPr>
          <w:rFonts w:ascii="Arial" w:hAnsi="Arial" w:eastAsia="Arial" w:cs="Arial"/>
          <w:sz w:val="22"/>
          <w:szCs w:val="22"/>
        </w:rPr>
        <w:t xml:space="preserve"> LCHS4008</w:t>
      </w:r>
    </w:p>
    <w:p w:rsidR="10D7DAF7" w:rsidP="5B0694BA" w:rsidRDefault="10D7DAF7" w14:paraId="18BBE9E1" w14:textId="41F4DB3D">
      <w:pPr>
        <w:spacing w:line="360" w:lineRule="auto"/>
        <w:rPr>
          <w:rFonts w:ascii="Arial" w:hAnsi="Arial" w:eastAsia="Arial" w:cs="Arial"/>
          <w:sz w:val="22"/>
          <w:szCs w:val="22"/>
        </w:rPr>
      </w:pPr>
      <w:r w:rsidRPr="5B0694BA" w:rsidR="10D7DAF7">
        <w:rPr>
          <w:rFonts w:ascii="Arial" w:hAnsi="Arial" w:eastAsia="Arial" w:cs="Arial"/>
          <w:sz w:val="22"/>
          <w:szCs w:val="22"/>
        </w:rPr>
        <w:t>Module:</w:t>
      </w:r>
      <w:r w:rsidRPr="5B0694BA" w:rsidR="5362A1D7">
        <w:rPr>
          <w:rFonts w:ascii="Arial" w:hAnsi="Arial" w:eastAsia="Arial" w:cs="Arial"/>
          <w:sz w:val="22"/>
          <w:szCs w:val="22"/>
        </w:rPr>
        <w:t xml:space="preserve"> Introduction to </w:t>
      </w:r>
      <w:r w:rsidRPr="5B0694BA" w:rsidR="1062F772">
        <w:rPr>
          <w:rFonts w:ascii="Arial" w:hAnsi="Arial" w:eastAsia="Arial" w:cs="Arial"/>
          <w:sz w:val="22"/>
          <w:szCs w:val="22"/>
        </w:rPr>
        <w:t xml:space="preserve">Public Health </w:t>
      </w:r>
    </w:p>
    <w:p w:rsidR="10D7DAF7" w:rsidP="5B0694BA" w:rsidRDefault="10D7DAF7" w14:paraId="76FE97C7" w14:textId="45C81656">
      <w:pPr>
        <w:spacing w:line="360" w:lineRule="auto"/>
        <w:rPr>
          <w:rFonts w:ascii="Arial" w:hAnsi="Arial" w:eastAsia="Arial" w:cs="Arial"/>
          <w:sz w:val="22"/>
          <w:szCs w:val="22"/>
        </w:rPr>
      </w:pPr>
      <w:r w:rsidRPr="5B0694BA" w:rsidR="10D7DAF7">
        <w:rPr>
          <w:rFonts w:ascii="Arial" w:hAnsi="Arial" w:eastAsia="Arial" w:cs="Arial"/>
          <w:sz w:val="22"/>
          <w:szCs w:val="22"/>
        </w:rPr>
        <w:t>Lecturer:</w:t>
      </w:r>
      <w:r w:rsidRPr="5B0694BA" w:rsidR="2ED89AA9">
        <w:rPr>
          <w:rFonts w:ascii="Arial" w:hAnsi="Arial" w:eastAsia="Arial" w:cs="Arial"/>
          <w:sz w:val="22"/>
          <w:szCs w:val="22"/>
        </w:rPr>
        <w:t xml:space="preserve"> Aishat Bakre</w:t>
      </w:r>
    </w:p>
    <w:p w:rsidR="10D7DAF7" w:rsidP="5B0694BA" w:rsidRDefault="10D7DAF7" w14:paraId="30EC2EFB" w14:textId="3C03F7E5">
      <w:pPr>
        <w:spacing w:line="360" w:lineRule="auto"/>
        <w:rPr>
          <w:rFonts w:ascii="Arial" w:hAnsi="Arial" w:eastAsia="Arial" w:cs="Arial"/>
          <w:sz w:val="22"/>
          <w:szCs w:val="22"/>
        </w:rPr>
      </w:pPr>
      <w:r w:rsidRPr="5B0694BA" w:rsidR="10D7DAF7">
        <w:rPr>
          <w:rFonts w:ascii="Arial" w:hAnsi="Arial" w:eastAsia="Arial" w:cs="Arial"/>
          <w:sz w:val="22"/>
          <w:szCs w:val="22"/>
        </w:rPr>
        <w:t>Submitted on: Tuesday 21</w:t>
      </w:r>
      <w:r w:rsidRPr="5B0694BA" w:rsidR="10D7DAF7">
        <w:rPr>
          <w:rFonts w:ascii="Arial" w:hAnsi="Arial" w:eastAsia="Arial" w:cs="Arial"/>
          <w:sz w:val="22"/>
          <w:szCs w:val="22"/>
          <w:vertAlign w:val="superscript"/>
        </w:rPr>
        <w:t>st</w:t>
      </w:r>
      <w:r w:rsidRPr="5B0694BA" w:rsidR="10D7DAF7">
        <w:rPr>
          <w:rFonts w:ascii="Arial" w:hAnsi="Arial" w:eastAsia="Arial" w:cs="Arial"/>
          <w:sz w:val="22"/>
          <w:szCs w:val="22"/>
        </w:rPr>
        <w:t xml:space="preserve"> July 2026</w:t>
      </w:r>
    </w:p>
    <w:p w:rsidR="6E020008" w:rsidP="5B0694BA" w:rsidRDefault="6E020008" w14:paraId="16E7D617" w14:textId="4757DA4F">
      <w:pPr>
        <w:spacing w:line="360" w:lineRule="auto"/>
        <w:jc w:val="center"/>
        <w:rPr>
          <w:rFonts w:ascii="Arial" w:hAnsi="Arial" w:eastAsia="Arial" w:cs="Arial"/>
          <w:b w:val="1"/>
          <w:bCs w:val="1"/>
          <w:sz w:val="22"/>
          <w:szCs w:val="22"/>
          <w:u w:val="single"/>
        </w:rPr>
      </w:pPr>
      <w:r w:rsidRPr="5B0694BA" w:rsidR="6E020008">
        <w:rPr>
          <w:rFonts w:ascii="Arial" w:hAnsi="Arial" w:eastAsia="Arial" w:cs="Arial"/>
          <w:b w:val="1"/>
          <w:bCs w:val="1"/>
          <w:sz w:val="22"/>
          <w:szCs w:val="22"/>
          <w:u w:val="single"/>
        </w:rPr>
        <w:t>Written report: Type 1 Diabetes</w:t>
      </w:r>
    </w:p>
    <w:p w:rsidR="0BDF9DE1" w:rsidP="5B0694BA" w:rsidRDefault="0BDF9DE1" w14:paraId="5809F21A" w14:textId="10905A76">
      <w:pPr>
        <w:pStyle w:val="Normal"/>
        <w:spacing w:line="360" w:lineRule="auto"/>
        <w:jc w:val="left"/>
        <w:rPr>
          <w:rFonts w:ascii="Arial" w:hAnsi="Arial" w:eastAsia="Arial" w:cs="Arial"/>
          <w:b w:val="0"/>
          <w:bCs w:val="0"/>
          <w:sz w:val="22"/>
          <w:szCs w:val="22"/>
          <w:u w:val="none"/>
        </w:rPr>
      </w:pPr>
      <w:r w:rsidRPr="5B0694BA" w:rsidR="0BDF9DE1">
        <w:rPr>
          <w:rFonts w:ascii="Arial" w:hAnsi="Arial" w:eastAsia="Arial" w:cs="Arial"/>
          <w:b w:val="0"/>
          <w:bCs w:val="0"/>
          <w:sz w:val="22"/>
          <w:szCs w:val="22"/>
          <w:u w:val="none"/>
        </w:rPr>
        <w:t xml:space="preserve">Introduction: </w:t>
      </w:r>
    </w:p>
    <w:p w:rsidR="64323077" w:rsidP="5B0694BA" w:rsidRDefault="64323077" w14:paraId="3F303A3F" w14:textId="1D616933">
      <w:pPr>
        <w:pStyle w:val="Normal"/>
        <w:spacing w:line="360" w:lineRule="auto"/>
        <w:jc w:val="left"/>
        <w:rPr>
          <w:rFonts w:ascii="Arial" w:hAnsi="Arial" w:eastAsia="Arial" w:cs="Arial"/>
          <w:noProof w:val="0"/>
          <w:color w:val="000000" w:themeColor="text1" w:themeTint="FF" w:themeShade="FF"/>
          <w:sz w:val="22"/>
          <w:szCs w:val="22"/>
          <w:lang w:val="en-GB"/>
        </w:rPr>
      </w:pPr>
      <w:r w:rsidRPr="5B0694BA" w:rsidR="64323077">
        <w:rPr>
          <w:rFonts w:ascii="Arial" w:hAnsi="Arial" w:eastAsia="Arial" w:cs="Arial"/>
          <w:noProof w:val="0"/>
          <w:color w:val="000000" w:themeColor="text1" w:themeTint="FF" w:themeShade="FF"/>
          <w:sz w:val="22"/>
          <w:szCs w:val="22"/>
          <w:lang w:val="en-GB"/>
        </w:rPr>
        <w:t xml:space="preserve">Type 1 diabetes mellitus (T1DM) is a lifelong autoimmune condition characterised by the destruction of the insulin-producing beta cells of the pancreatic islets of Langerhans (Diabetes UK, 2026). Without insulin the body cannot control blood glucose levels, and this leads to severe hyperglycaemia. The classic signs and symptoms of T1DM are sometimes called the “four Ts”: toilet (polyuria), thirsty (polydipsia), tired (extreme fatigue), and thinner (unexplained weight loss). </w:t>
      </w:r>
    </w:p>
    <w:p w:rsidR="2714CF1E" w:rsidP="5B0694BA" w:rsidRDefault="2714CF1E" w14:paraId="255D7EBA" w14:textId="69C27A2C">
      <w:pPr>
        <w:pStyle w:val="Normal"/>
        <w:spacing w:line="360" w:lineRule="auto"/>
        <w:jc w:val="left"/>
        <w:rPr>
          <w:rFonts w:ascii="Arial" w:hAnsi="Arial" w:eastAsia="Arial" w:cs="Arial"/>
          <w:noProof w:val="0"/>
          <w:color w:val="000000" w:themeColor="text1" w:themeTint="FF" w:themeShade="FF"/>
          <w:sz w:val="22"/>
          <w:szCs w:val="22"/>
          <w:lang w:val="en-GB"/>
        </w:rPr>
      </w:pPr>
      <w:r w:rsidRPr="5B0694BA" w:rsidR="2714CF1E">
        <w:rPr>
          <w:rFonts w:ascii="Arial" w:hAnsi="Arial" w:eastAsia="Arial" w:cs="Arial"/>
          <w:noProof w:val="0"/>
          <w:color w:val="000000" w:themeColor="text1" w:themeTint="FF" w:themeShade="FF"/>
          <w:sz w:val="22"/>
          <w:szCs w:val="22"/>
          <w:lang w:val="en-GB"/>
        </w:rPr>
        <w:t xml:space="preserve">T1DM is becoming more prevalent globally. The International Diabetes Federation (IDF) estimates that some 8.4 million people worldwide have T1DM, and this number is expected to increase. Diabetes is a significant public health issue in the UK. Recent figures show that there are </w:t>
      </w:r>
      <w:r w:rsidRPr="5B0694BA" w:rsidR="2714CF1E">
        <w:rPr>
          <w:rFonts w:ascii="Arial" w:hAnsi="Arial" w:eastAsia="Arial" w:cs="Arial"/>
          <w:noProof w:val="0"/>
          <w:color w:val="000000" w:themeColor="text1" w:themeTint="FF" w:themeShade="FF"/>
          <w:sz w:val="22"/>
          <w:szCs w:val="22"/>
          <w:lang w:val="en-GB"/>
        </w:rPr>
        <w:t>nearly 4.7</w:t>
      </w:r>
      <w:r w:rsidRPr="5B0694BA" w:rsidR="2714CF1E">
        <w:rPr>
          <w:rFonts w:ascii="Arial" w:hAnsi="Arial" w:eastAsia="Arial" w:cs="Arial"/>
          <w:noProof w:val="0"/>
          <w:color w:val="000000" w:themeColor="text1" w:themeTint="FF" w:themeShade="FF"/>
          <w:sz w:val="22"/>
          <w:szCs w:val="22"/>
          <w:lang w:val="en-GB"/>
        </w:rPr>
        <w:t xml:space="preserve"> million people in the UK with a diagnosed form of diabetes. T1DM makes up around 8% of these cases, which equates to </w:t>
      </w:r>
      <w:r w:rsidRPr="5B0694BA" w:rsidR="758DBEAD">
        <w:rPr>
          <w:rFonts w:ascii="Arial" w:hAnsi="Arial" w:eastAsia="Arial" w:cs="Arial"/>
          <w:noProof w:val="0"/>
          <w:color w:val="000000" w:themeColor="text1" w:themeTint="FF" w:themeShade="FF"/>
          <w:sz w:val="22"/>
          <w:szCs w:val="22"/>
          <w:lang w:val="en-GB"/>
        </w:rPr>
        <w:t>380,000</w:t>
      </w:r>
      <w:r w:rsidRPr="5B0694BA" w:rsidR="2714CF1E">
        <w:rPr>
          <w:rFonts w:ascii="Arial" w:hAnsi="Arial" w:eastAsia="Arial" w:cs="Arial"/>
          <w:noProof w:val="0"/>
          <w:color w:val="000000" w:themeColor="text1" w:themeTint="FF" w:themeShade="FF"/>
          <w:sz w:val="22"/>
          <w:szCs w:val="22"/>
          <w:lang w:val="en-GB"/>
        </w:rPr>
        <w:t xml:space="preserve"> to 400,000 people.</w:t>
      </w:r>
    </w:p>
    <w:p w:rsidR="47DFD904" w:rsidP="5B0694BA" w:rsidRDefault="47DFD904" w14:paraId="71D3FDBF" w14:textId="00F6A0EB">
      <w:pPr>
        <w:pStyle w:val="Normal"/>
        <w:spacing w:line="360" w:lineRule="auto"/>
        <w:jc w:val="left"/>
        <w:rPr>
          <w:rFonts w:ascii="Arial" w:hAnsi="Arial" w:eastAsia="Arial" w:cs="Arial"/>
          <w:noProof w:val="0"/>
          <w:color w:val="000000" w:themeColor="text1" w:themeTint="FF" w:themeShade="FF"/>
          <w:sz w:val="22"/>
          <w:szCs w:val="22"/>
          <w:lang w:val="en-GB"/>
        </w:rPr>
      </w:pPr>
      <w:r w:rsidRPr="5B0694BA" w:rsidR="47DFD904">
        <w:rPr>
          <w:rFonts w:ascii="Arial" w:hAnsi="Arial" w:eastAsia="Arial" w:cs="Arial"/>
          <w:noProof w:val="0"/>
          <w:color w:val="000000" w:themeColor="text1" w:themeTint="FF" w:themeShade="FF"/>
          <w:sz w:val="22"/>
          <w:szCs w:val="22"/>
          <w:lang w:val="en-GB"/>
        </w:rPr>
        <w:t xml:space="preserve">Main body: </w:t>
      </w:r>
    </w:p>
    <w:p w:rsidR="44848460" w:rsidP="5B0694BA" w:rsidRDefault="44848460" w14:paraId="55AFA974" w14:textId="69F46118">
      <w:pPr>
        <w:pStyle w:val="ListParagraph"/>
        <w:numPr>
          <w:ilvl w:val="0"/>
          <w:numId w:val="1"/>
        </w:numPr>
        <w:spacing w:line="360" w:lineRule="auto"/>
        <w:jc w:val="left"/>
        <w:rPr>
          <w:rFonts w:ascii="Arial" w:hAnsi="Arial" w:eastAsia="Arial" w:cs="Arial"/>
          <w:noProof w:val="0"/>
          <w:color w:val="000000" w:themeColor="text1" w:themeTint="FF" w:themeShade="FF"/>
          <w:sz w:val="22"/>
          <w:szCs w:val="22"/>
          <w:lang w:val="en-GB"/>
        </w:rPr>
      </w:pPr>
      <w:r w:rsidRPr="5B0694BA" w:rsidR="44848460">
        <w:rPr>
          <w:rFonts w:ascii="Arial" w:hAnsi="Arial" w:eastAsia="Arial" w:cs="Arial"/>
          <w:noProof w:val="0"/>
          <w:color w:val="000000" w:themeColor="text1" w:themeTint="FF" w:themeShade="FF"/>
          <w:sz w:val="22"/>
          <w:szCs w:val="22"/>
          <w:lang w:val="en-GB"/>
        </w:rPr>
        <w:t xml:space="preserve">Approaches used to measure and </w:t>
      </w:r>
      <w:r w:rsidRPr="5B0694BA" w:rsidR="44848460">
        <w:rPr>
          <w:rFonts w:ascii="Arial" w:hAnsi="Arial" w:eastAsia="Arial" w:cs="Arial"/>
          <w:noProof w:val="0"/>
          <w:color w:val="000000" w:themeColor="text1" w:themeTint="FF" w:themeShade="FF"/>
          <w:sz w:val="22"/>
          <w:szCs w:val="22"/>
          <w:lang w:val="en-GB"/>
        </w:rPr>
        <w:t>monitor</w:t>
      </w:r>
      <w:r w:rsidRPr="5B0694BA" w:rsidR="44848460">
        <w:rPr>
          <w:rFonts w:ascii="Arial" w:hAnsi="Arial" w:eastAsia="Arial" w:cs="Arial"/>
          <w:noProof w:val="0"/>
          <w:color w:val="000000" w:themeColor="text1" w:themeTint="FF" w:themeShade="FF"/>
          <w:sz w:val="22"/>
          <w:szCs w:val="22"/>
          <w:lang w:val="en-GB"/>
        </w:rPr>
        <w:t xml:space="preserve"> Type 1 Diabetes</w:t>
      </w:r>
      <w:r w:rsidRPr="5B0694BA" w:rsidR="22471E98">
        <w:rPr>
          <w:rFonts w:ascii="Arial" w:hAnsi="Arial" w:eastAsia="Arial" w:cs="Arial"/>
          <w:noProof w:val="0"/>
          <w:color w:val="000000" w:themeColor="text1" w:themeTint="FF" w:themeShade="FF"/>
          <w:sz w:val="22"/>
          <w:szCs w:val="22"/>
          <w:lang w:val="en-GB"/>
        </w:rPr>
        <w:t xml:space="preserve">: </w:t>
      </w:r>
    </w:p>
    <w:p w:rsidR="22471E98" w:rsidP="5B0694BA" w:rsidRDefault="22471E98" w14:paraId="4F2343BB" w14:textId="556B4BD3">
      <w:pPr>
        <w:pStyle w:val="Normal"/>
        <w:spacing w:line="360" w:lineRule="auto"/>
        <w:ind w:left="0"/>
        <w:jc w:val="left"/>
        <w:rPr>
          <w:rFonts w:ascii="Arial" w:hAnsi="Arial" w:eastAsia="Arial" w:cs="Arial"/>
          <w:noProof w:val="0"/>
          <w:color w:val="000000" w:themeColor="text1" w:themeTint="FF" w:themeShade="FF"/>
          <w:sz w:val="22"/>
          <w:szCs w:val="22"/>
          <w:lang w:val="en-GB"/>
        </w:rPr>
      </w:pPr>
      <w:r w:rsidRPr="5B0694BA" w:rsidR="22471E98">
        <w:rPr>
          <w:rFonts w:ascii="Arial" w:hAnsi="Arial" w:eastAsia="Arial" w:cs="Arial"/>
          <w:noProof w:val="0"/>
          <w:color w:val="000000" w:themeColor="text1" w:themeTint="FF" w:themeShade="FF"/>
          <w:sz w:val="22"/>
          <w:szCs w:val="22"/>
          <w:lang w:val="en-GB"/>
        </w:rPr>
        <w:t xml:space="preserve">To keep blood glucose levels within a safe target range (typically 4-7 mmol/L before meals), T1DM management requires </w:t>
      </w:r>
      <w:r w:rsidRPr="5B0694BA" w:rsidR="22471E98">
        <w:rPr>
          <w:rFonts w:ascii="Arial" w:hAnsi="Arial" w:eastAsia="Arial" w:cs="Arial"/>
          <w:noProof w:val="0"/>
          <w:color w:val="000000" w:themeColor="text1" w:themeTint="FF" w:themeShade="FF"/>
          <w:sz w:val="22"/>
          <w:szCs w:val="22"/>
          <w:lang w:val="en-GB"/>
        </w:rPr>
        <w:t>accurate</w:t>
      </w:r>
      <w:r w:rsidRPr="5B0694BA" w:rsidR="22471E98">
        <w:rPr>
          <w:rFonts w:ascii="Arial" w:hAnsi="Arial" w:eastAsia="Arial" w:cs="Arial"/>
          <w:noProof w:val="0"/>
          <w:color w:val="000000" w:themeColor="text1" w:themeTint="FF" w:themeShade="FF"/>
          <w:sz w:val="22"/>
          <w:szCs w:val="22"/>
          <w:lang w:val="en-GB"/>
        </w:rPr>
        <w:t xml:space="preserve"> physiological measurement and continuous monitoring. The HbA1c test continues to be the primary diagnostic and monitoring tool. This blood test </w:t>
      </w:r>
      <w:r w:rsidRPr="5B0694BA" w:rsidR="22471E98">
        <w:rPr>
          <w:rFonts w:ascii="Arial" w:hAnsi="Arial" w:eastAsia="Arial" w:cs="Arial"/>
          <w:noProof w:val="0"/>
          <w:color w:val="000000" w:themeColor="text1" w:themeTint="FF" w:themeShade="FF"/>
          <w:sz w:val="22"/>
          <w:szCs w:val="22"/>
          <w:lang w:val="en-GB"/>
        </w:rPr>
        <w:t>determines</w:t>
      </w:r>
      <w:r w:rsidRPr="5B0694BA" w:rsidR="22471E98">
        <w:rPr>
          <w:rFonts w:ascii="Arial" w:hAnsi="Arial" w:eastAsia="Arial" w:cs="Arial"/>
          <w:noProof w:val="0"/>
          <w:color w:val="000000" w:themeColor="text1" w:themeTint="FF" w:themeShade="FF"/>
          <w:sz w:val="22"/>
          <w:szCs w:val="22"/>
          <w:lang w:val="en-GB"/>
        </w:rPr>
        <w:t xml:space="preserve"> the average blood glucose levels over the last two to three months by calculating the percentage of glucose bound to red blood cells. To reduce the risk of long-term microvascular complications, National Institute for Health and Care Excellence (NICE) guidelines recommend that adults have a target HbA1c of 48 mmol/mol (6.5%) or lower.</w:t>
      </w:r>
    </w:p>
    <w:p w:rsidR="5B0694BA" w:rsidP="5B0694BA" w:rsidRDefault="5B0694BA" w14:paraId="78049681" w14:textId="7478CD01">
      <w:pPr>
        <w:spacing w:before="0" w:beforeAutospacing="off" w:after="0" w:afterAutospacing="off" w:line="360" w:lineRule="auto"/>
        <w:rPr>
          <w:rFonts w:ascii="Arial" w:hAnsi="Arial" w:eastAsia="Arial" w:cs="Arial"/>
          <w:sz w:val="22"/>
          <w:szCs w:val="22"/>
        </w:rPr>
      </w:pPr>
    </w:p>
    <w:p w:rsidR="045F3C72" w:rsidP="5B0694BA" w:rsidRDefault="045F3C72" w14:paraId="50ABBA53" w14:textId="26049F7C">
      <w:pPr>
        <w:spacing w:before="0" w:beforeAutospacing="off" w:after="0" w:afterAutospacing="off" w:line="360" w:lineRule="auto"/>
        <w:rPr>
          <w:rFonts w:ascii="Arial" w:hAnsi="Arial" w:eastAsia="Arial" w:cs="Arial"/>
          <w:noProof w:val="0"/>
          <w:color w:val="000000" w:themeColor="text1" w:themeTint="FF" w:themeShade="FF"/>
          <w:sz w:val="22"/>
          <w:szCs w:val="22"/>
          <w:lang w:val="en-GB"/>
        </w:rPr>
      </w:pPr>
      <w:r w:rsidRPr="5B0694BA" w:rsidR="045F3C72">
        <w:rPr>
          <w:rFonts w:ascii="Arial" w:hAnsi="Arial" w:eastAsia="Arial" w:cs="Arial"/>
          <w:noProof w:val="0"/>
          <w:color w:val="000000" w:themeColor="text1" w:themeTint="FF" w:themeShade="FF"/>
          <w:sz w:val="22"/>
          <w:szCs w:val="22"/>
          <w:lang w:val="en-GB"/>
        </w:rPr>
        <w:t>Daily</w:t>
      </w:r>
      <w:r w:rsidRPr="5B0694BA" w:rsidR="22471E98">
        <w:rPr>
          <w:rFonts w:ascii="Arial" w:hAnsi="Arial" w:eastAsia="Arial" w:cs="Arial"/>
          <w:noProof w:val="0"/>
          <w:color w:val="000000" w:themeColor="text1" w:themeTint="FF" w:themeShade="FF"/>
          <w:sz w:val="22"/>
          <w:szCs w:val="22"/>
          <w:lang w:val="en-GB"/>
        </w:rPr>
        <w:t xml:space="preserve">, patients use capillary finger-prick testing to self-monitor blood glucose (SMBG). However, modern clinical practice has shifted to Continuous Glucose Monitoring (CGM) and Flash Glucose Monitoring (Flash GM), such as the Freestyle Libre. Every few minutes, a small subcutaneous sensor measures glucose levels in the interstitial fluid and transmits real-time data or trends to a reader or smartphone. CGM technology measures "Time in Range" (TIR)—the percentage of the day a patient's glucose </w:t>
      </w:r>
      <w:r w:rsidRPr="5B0694BA" w:rsidR="22471E98">
        <w:rPr>
          <w:rFonts w:ascii="Arial" w:hAnsi="Arial" w:eastAsia="Arial" w:cs="Arial"/>
          <w:noProof w:val="0"/>
          <w:color w:val="000000" w:themeColor="text1" w:themeTint="FF" w:themeShade="FF"/>
          <w:sz w:val="22"/>
          <w:szCs w:val="22"/>
          <w:lang w:val="en-GB"/>
        </w:rPr>
        <w:t>remains</w:t>
      </w:r>
      <w:r w:rsidRPr="5B0694BA" w:rsidR="22471E98">
        <w:rPr>
          <w:rFonts w:ascii="Arial" w:hAnsi="Arial" w:eastAsia="Arial" w:cs="Arial"/>
          <w:noProof w:val="0"/>
          <w:color w:val="000000" w:themeColor="text1" w:themeTint="FF" w:themeShade="FF"/>
          <w:sz w:val="22"/>
          <w:szCs w:val="22"/>
          <w:lang w:val="en-GB"/>
        </w:rPr>
        <w:t xml:space="preserve"> between 3.9 and 10.0 mmol/L—which provides a more dynamic picture of glucose fluctuations than HbA1c alone.</w:t>
      </w:r>
    </w:p>
    <w:p w:rsidR="5B0694BA" w:rsidP="5B0694BA" w:rsidRDefault="5B0694BA" w14:paraId="638F084D" w14:textId="20B081EB">
      <w:pPr>
        <w:spacing w:before="0" w:beforeAutospacing="off" w:after="0" w:afterAutospacing="off" w:line="360" w:lineRule="auto"/>
        <w:rPr>
          <w:rFonts w:ascii="Arial" w:hAnsi="Arial" w:eastAsia="Arial" w:cs="Arial"/>
          <w:sz w:val="22"/>
          <w:szCs w:val="22"/>
        </w:rPr>
      </w:pPr>
    </w:p>
    <w:p w:rsidR="22471E98" w:rsidP="5B0694BA" w:rsidRDefault="22471E98" w14:paraId="30EA3474" w14:textId="6F132232">
      <w:pPr>
        <w:spacing w:before="0" w:beforeAutospacing="off" w:after="0" w:afterAutospacing="off" w:line="360" w:lineRule="auto"/>
        <w:rPr>
          <w:rFonts w:ascii="Arial" w:hAnsi="Arial" w:eastAsia="Arial" w:cs="Arial"/>
          <w:noProof w:val="0"/>
          <w:color w:val="000000" w:themeColor="text1" w:themeTint="FF" w:themeShade="FF"/>
          <w:sz w:val="22"/>
          <w:szCs w:val="22"/>
          <w:lang w:val="en-GB"/>
        </w:rPr>
      </w:pPr>
      <w:r w:rsidRPr="5B0694BA" w:rsidR="22471E98">
        <w:rPr>
          <w:rFonts w:ascii="Arial" w:hAnsi="Arial" w:eastAsia="Arial" w:cs="Arial"/>
          <w:noProof w:val="0"/>
          <w:color w:val="000000" w:themeColor="text1" w:themeTint="FF" w:themeShade="FF"/>
          <w:sz w:val="22"/>
          <w:szCs w:val="22"/>
          <w:lang w:val="en-GB"/>
        </w:rPr>
        <w:t xml:space="preserve">Medical screening programmes are also used to detect T1DM before it becomes clinically </w:t>
      </w:r>
      <w:r w:rsidRPr="5B0694BA" w:rsidR="22471E98">
        <w:rPr>
          <w:rFonts w:ascii="Arial" w:hAnsi="Arial" w:eastAsia="Arial" w:cs="Arial"/>
          <w:noProof w:val="0"/>
          <w:color w:val="000000" w:themeColor="text1" w:themeTint="FF" w:themeShade="FF"/>
          <w:sz w:val="22"/>
          <w:szCs w:val="22"/>
          <w:lang w:val="en-GB"/>
        </w:rPr>
        <w:t>apparent</w:t>
      </w:r>
      <w:r w:rsidRPr="5B0694BA" w:rsidR="22471E98">
        <w:rPr>
          <w:rFonts w:ascii="Arial" w:hAnsi="Arial" w:eastAsia="Arial" w:cs="Arial"/>
          <w:noProof w:val="0"/>
          <w:color w:val="000000" w:themeColor="text1" w:themeTint="FF" w:themeShade="FF"/>
          <w:sz w:val="22"/>
          <w:szCs w:val="22"/>
          <w:lang w:val="en-GB"/>
        </w:rPr>
        <w:t xml:space="preserve">. For example, the UK's ELSA (Early Surveillance for Autoimmune Diabetes) study tests children aged 2 to 17 for islet autoantibodies in their blood (University of Birmingham, 2026). Detecting these autoantibodies enables clinicians to </w:t>
      </w:r>
      <w:r w:rsidRPr="5B0694BA" w:rsidR="22471E98">
        <w:rPr>
          <w:rFonts w:ascii="Arial" w:hAnsi="Arial" w:eastAsia="Arial" w:cs="Arial"/>
          <w:noProof w:val="0"/>
          <w:color w:val="000000" w:themeColor="text1" w:themeTint="FF" w:themeShade="FF"/>
          <w:sz w:val="22"/>
          <w:szCs w:val="22"/>
          <w:lang w:val="en-GB"/>
        </w:rPr>
        <w:t>identify</w:t>
      </w:r>
      <w:r w:rsidRPr="5B0694BA" w:rsidR="22471E98">
        <w:rPr>
          <w:rFonts w:ascii="Arial" w:hAnsi="Arial" w:eastAsia="Arial" w:cs="Arial"/>
          <w:noProof w:val="0"/>
          <w:color w:val="000000" w:themeColor="text1" w:themeTint="FF" w:themeShade="FF"/>
          <w:sz w:val="22"/>
          <w:szCs w:val="22"/>
          <w:lang w:val="en-GB"/>
        </w:rPr>
        <w:t xml:space="preserve"> children at </w:t>
      </w:r>
      <w:r w:rsidRPr="5B0694BA" w:rsidR="07FC5E20">
        <w:rPr>
          <w:rFonts w:ascii="Arial" w:hAnsi="Arial" w:eastAsia="Arial" w:cs="Arial"/>
          <w:noProof w:val="0"/>
          <w:color w:val="000000" w:themeColor="text1" w:themeTint="FF" w:themeShade="FF"/>
          <w:sz w:val="22"/>
          <w:szCs w:val="22"/>
          <w:lang w:val="en-GB"/>
        </w:rPr>
        <w:t>considerable risk</w:t>
      </w:r>
      <w:r w:rsidRPr="5B0694BA" w:rsidR="22471E98">
        <w:rPr>
          <w:rFonts w:ascii="Arial" w:hAnsi="Arial" w:eastAsia="Arial" w:cs="Arial"/>
          <w:noProof w:val="0"/>
          <w:color w:val="000000" w:themeColor="text1" w:themeTint="FF" w:themeShade="FF"/>
          <w:sz w:val="22"/>
          <w:szCs w:val="22"/>
          <w:lang w:val="en-GB"/>
        </w:rPr>
        <w:t xml:space="preserve"> before clinical symptoms appear, lowering the number of emergency presentations.</w:t>
      </w:r>
      <w:r w:rsidRPr="5B0694BA" w:rsidR="10431B72">
        <w:rPr>
          <w:rFonts w:ascii="Arial" w:hAnsi="Arial" w:eastAsia="Arial" w:cs="Arial"/>
          <w:noProof w:val="0"/>
          <w:color w:val="000000" w:themeColor="text1" w:themeTint="FF" w:themeShade="FF"/>
          <w:sz w:val="22"/>
          <w:szCs w:val="22"/>
          <w:lang w:val="en-GB"/>
        </w:rPr>
        <w:t xml:space="preserve"> </w:t>
      </w:r>
    </w:p>
    <w:p w:rsidR="5B0694BA" w:rsidP="5B0694BA" w:rsidRDefault="5B0694BA" w14:paraId="35432A38" w14:textId="5B3243EC">
      <w:pPr>
        <w:pStyle w:val="Normal"/>
        <w:spacing w:before="0" w:beforeAutospacing="off" w:after="0" w:afterAutospacing="off" w:line="360" w:lineRule="auto"/>
        <w:rPr>
          <w:rFonts w:ascii="Arial" w:hAnsi="Arial" w:eastAsia="Arial" w:cs="Arial"/>
          <w:noProof w:val="0"/>
          <w:color w:val="000000" w:themeColor="text1" w:themeTint="FF" w:themeShade="FF"/>
          <w:sz w:val="22"/>
          <w:szCs w:val="22"/>
          <w:lang w:val="en-GB"/>
        </w:rPr>
      </w:pPr>
    </w:p>
    <w:p w:rsidR="09F0BBE2" w:rsidP="5B0694BA" w:rsidRDefault="09F0BBE2" w14:paraId="335AC62A" w14:textId="7D28A46D">
      <w:pPr>
        <w:pStyle w:val="ListParagraph"/>
        <w:numPr>
          <w:ilvl w:val="0"/>
          <w:numId w:val="1"/>
        </w:numPr>
        <w:spacing w:before="0" w:beforeAutospacing="off" w:after="0" w:afterAutospacing="off" w:line="360" w:lineRule="auto"/>
        <w:rPr>
          <w:rFonts w:ascii="Arial" w:hAnsi="Arial" w:eastAsia="Arial" w:cs="Arial"/>
          <w:noProof w:val="0"/>
          <w:color w:val="000000" w:themeColor="text1" w:themeTint="FF" w:themeShade="FF"/>
          <w:sz w:val="22"/>
          <w:szCs w:val="22"/>
          <w:lang w:val="en-GB"/>
        </w:rPr>
      </w:pPr>
      <w:r w:rsidRPr="5B0694BA" w:rsidR="09F0BBE2">
        <w:rPr>
          <w:rFonts w:ascii="Arial" w:hAnsi="Arial" w:eastAsia="Arial" w:cs="Arial"/>
          <w:noProof w:val="0"/>
          <w:color w:val="000000" w:themeColor="text1" w:themeTint="FF" w:themeShade="FF"/>
          <w:sz w:val="22"/>
          <w:szCs w:val="22"/>
          <w:lang w:val="en-GB"/>
        </w:rPr>
        <w:t xml:space="preserve">How the disease is controlled: </w:t>
      </w:r>
    </w:p>
    <w:p w:rsidR="6132DADD" w:rsidP="5B0694BA" w:rsidRDefault="6132DADD" w14:paraId="01FC684F" w14:textId="613B2D41">
      <w:pPr>
        <w:spacing w:before="0" w:beforeAutospacing="off" w:after="0" w:afterAutospacing="off" w:line="360" w:lineRule="auto"/>
        <w:rPr>
          <w:rFonts w:ascii="Arial" w:hAnsi="Arial" w:eastAsia="Arial" w:cs="Arial"/>
          <w:noProof w:val="0"/>
          <w:color w:val="000000" w:themeColor="text1" w:themeTint="FF" w:themeShade="FF"/>
          <w:sz w:val="22"/>
          <w:szCs w:val="22"/>
          <w:lang w:val="en-GB"/>
        </w:rPr>
      </w:pPr>
      <w:r w:rsidRPr="5B0694BA" w:rsidR="6132DADD">
        <w:rPr>
          <w:rFonts w:ascii="Arial" w:hAnsi="Arial" w:eastAsia="Arial" w:cs="Arial"/>
          <w:noProof w:val="0"/>
          <w:color w:val="000000" w:themeColor="text1" w:themeTint="FF" w:themeShade="FF"/>
          <w:sz w:val="22"/>
          <w:szCs w:val="22"/>
          <w:lang w:val="en-GB"/>
        </w:rPr>
        <w:t>Because the pancreas can no longer produce insulin, T1DM is managed with lifelong exogenous insulin treatment. This is administered through two main methods:</w:t>
      </w:r>
    </w:p>
    <w:p w:rsidR="5B0694BA" w:rsidP="5B0694BA" w:rsidRDefault="5B0694BA" w14:paraId="1AE79A4A" w14:textId="5A68DA86">
      <w:pPr>
        <w:spacing w:before="0" w:beforeAutospacing="off" w:after="0" w:afterAutospacing="off" w:line="360" w:lineRule="auto"/>
        <w:rPr>
          <w:rFonts w:ascii="Arial" w:hAnsi="Arial" w:eastAsia="Arial" w:cs="Arial"/>
          <w:sz w:val="22"/>
          <w:szCs w:val="22"/>
        </w:rPr>
      </w:pPr>
    </w:p>
    <w:p w:rsidR="6132DADD" w:rsidP="5B0694BA" w:rsidRDefault="6132DADD" w14:paraId="476B498E" w14:textId="1006493E">
      <w:pPr>
        <w:spacing w:before="0" w:beforeAutospacing="off" w:after="0" w:afterAutospacing="off" w:line="360" w:lineRule="auto"/>
        <w:rPr>
          <w:rFonts w:ascii="Arial" w:hAnsi="Arial" w:eastAsia="Arial" w:cs="Arial"/>
          <w:noProof w:val="0"/>
          <w:color w:val="000000" w:themeColor="text1" w:themeTint="FF" w:themeShade="FF"/>
          <w:sz w:val="22"/>
          <w:szCs w:val="22"/>
          <w:lang w:val="en-GB"/>
        </w:rPr>
      </w:pPr>
      <w:r w:rsidRPr="5B0694BA" w:rsidR="6132DADD">
        <w:rPr>
          <w:rFonts w:ascii="Arial" w:hAnsi="Arial" w:eastAsia="Arial" w:cs="Arial"/>
          <w:noProof w:val="0"/>
          <w:color w:val="000000" w:themeColor="text1" w:themeTint="FF" w:themeShade="FF"/>
          <w:sz w:val="22"/>
          <w:szCs w:val="22"/>
          <w:lang w:val="en-GB"/>
        </w:rPr>
        <w:t>• Multiple Daily Injections (MDI): This is a "basal-bolus" protocol. A long-acting (basal) insulin analogue is injected once or twice daily to provide background insulin, whereas rapid-acting (bolus) insulin is injected before meals and calculated based on the carbohydrate content of the food.</w:t>
      </w:r>
    </w:p>
    <w:p w:rsidR="5B0694BA" w:rsidP="5B0694BA" w:rsidRDefault="5B0694BA" w14:paraId="14E0FD9F" w14:textId="25EA8913">
      <w:pPr>
        <w:spacing w:before="0" w:beforeAutospacing="off" w:after="0" w:afterAutospacing="off" w:line="360" w:lineRule="auto"/>
        <w:rPr>
          <w:rFonts w:ascii="Arial" w:hAnsi="Arial" w:eastAsia="Arial" w:cs="Arial"/>
          <w:sz w:val="22"/>
          <w:szCs w:val="22"/>
        </w:rPr>
      </w:pPr>
    </w:p>
    <w:p w:rsidR="6132DADD" w:rsidP="5B0694BA" w:rsidRDefault="6132DADD" w14:paraId="5CF96D86" w14:textId="7D57451B">
      <w:pPr>
        <w:spacing w:before="0" w:beforeAutospacing="off" w:after="0" w:afterAutospacing="off" w:line="360" w:lineRule="auto"/>
        <w:rPr>
          <w:rFonts w:ascii="Arial" w:hAnsi="Arial" w:eastAsia="Arial" w:cs="Arial"/>
          <w:noProof w:val="0"/>
          <w:color w:val="000000" w:themeColor="text1" w:themeTint="FF" w:themeShade="FF"/>
          <w:sz w:val="22"/>
          <w:szCs w:val="22"/>
          <w:lang w:val="en-GB"/>
        </w:rPr>
      </w:pPr>
      <w:r w:rsidRPr="5B0694BA" w:rsidR="6132DADD">
        <w:rPr>
          <w:rFonts w:ascii="Arial" w:hAnsi="Arial" w:eastAsia="Arial" w:cs="Arial"/>
          <w:noProof w:val="0"/>
          <w:color w:val="000000" w:themeColor="text1" w:themeTint="FF" w:themeShade="FF"/>
          <w:sz w:val="22"/>
          <w:szCs w:val="22"/>
          <w:lang w:val="en-GB"/>
        </w:rPr>
        <w:t>• Continuous Subcutaneous Insulin Infusion (CSII)/Insulin Pumps: A small programmable device that delivers a continuous basal rate of rapid-acting insulin via a cannula inserted beneath the skin. The user manually programs bolus doses for meals.</w:t>
      </w:r>
    </w:p>
    <w:p w:rsidR="5B0694BA" w:rsidP="5B0694BA" w:rsidRDefault="5B0694BA" w14:paraId="754481CE" w14:textId="6BD9F549">
      <w:pPr>
        <w:spacing w:before="0" w:beforeAutospacing="off" w:after="0" w:afterAutospacing="off" w:line="360" w:lineRule="auto"/>
        <w:rPr>
          <w:rFonts w:ascii="Arial" w:hAnsi="Arial" w:eastAsia="Arial" w:cs="Arial"/>
          <w:sz w:val="22"/>
          <w:szCs w:val="22"/>
        </w:rPr>
      </w:pPr>
    </w:p>
    <w:p w:rsidR="6132DADD" w:rsidP="5B0694BA" w:rsidRDefault="6132DADD" w14:paraId="3AA54AC3" w14:textId="64BB9EBC">
      <w:pPr>
        <w:spacing w:before="0" w:beforeAutospacing="off" w:after="0" w:afterAutospacing="off" w:line="360" w:lineRule="auto"/>
        <w:rPr>
          <w:rFonts w:ascii="Arial" w:hAnsi="Arial" w:eastAsia="Arial" w:cs="Arial"/>
          <w:noProof w:val="0"/>
          <w:color w:val="000000" w:themeColor="text1" w:themeTint="FF" w:themeShade="FF"/>
          <w:sz w:val="22"/>
          <w:szCs w:val="22"/>
          <w:lang w:val="en-GB"/>
        </w:rPr>
      </w:pPr>
      <w:r w:rsidRPr="5B0694BA" w:rsidR="6132DADD">
        <w:rPr>
          <w:rFonts w:ascii="Arial" w:hAnsi="Arial" w:eastAsia="Arial" w:cs="Arial"/>
          <w:noProof w:val="0"/>
          <w:color w:val="000000" w:themeColor="text1" w:themeTint="FF" w:themeShade="FF"/>
          <w:sz w:val="22"/>
          <w:szCs w:val="22"/>
          <w:lang w:val="en-GB"/>
        </w:rPr>
        <w:t>Technological advancements have resulted in the creation of the hybrid closed-loop system, also known as an "artificial pancreas". Through an algorithm, this system connects a CGM sensor to an insulin pump. The pump automatically adjusts basal insulin delivery in real time based on the sensor's glucose readings, significantly improving glycaemic control and reducing nocturnal hypoglycaemia.</w:t>
      </w:r>
    </w:p>
    <w:p w:rsidR="5B0694BA" w:rsidP="5B0694BA" w:rsidRDefault="5B0694BA" w14:paraId="7F99B9C8" w14:textId="79230960">
      <w:pPr>
        <w:spacing w:before="0" w:beforeAutospacing="off" w:after="0" w:afterAutospacing="off" w:line="360" w:lineRule="auto"/>
        <w:rPr>
          <w:rFonts w:ascii="Arial" w:hAnsi="Arial" w:eastAsia="Arial" w:cs="Arial"/>
          <w:sz w:val="22"/>
          <w:szCs w:val="22"/>
        </w:rPr>
      </w:pPr>
    </w:p>
    <w:p w:rsidR="6132DADD" w:rsidP="5B0694BA" w:rsidRDefault="6132DADD" w14:paraId="2583887E" w14:textId="525F8F54">
      <w:pPr>
        <w:spacing w:before="0" w:beforeAutospacing="off" w:after="0" w:afterAutospacing="off" w:line="360" w:lineRule="auto"/>
        <w:rPr>
          <w:rFonts w:ascii="Arial" w:hAnsi="Arial" w:eastAsia="Arial" w:cs="Arial"/>
          <w:noProof w:val="0"/>
          <w:color w:val="000000" w:themeColor="text1" w:themeTint="FF" w:themeShade="FF"/>
          <w:sz w:val="22"/>
          <w:szCs w:val="22"/>
          <w:lang w:val="en-GB"/>
        </w:rPr>
      </w:pPr>
      <w:r w:rsidRPr="5B0694BA" w:rsidR="6132DADD">
        <w:rPr>
          <w:rFonts w:ascii="Arial" w:hAnsi="Arial" w:eastAsia="Arial" w:cs="Arial"/>
          <w:noProof w:val="0"/>
          <w:color w:val="000000" w:themeColor="text1" w:themeTint="FF" w:themeShade="FF"/>
          <w:sz w:val="22"/>
          <w:szCs w:val="22"/>
          <w:lang w:val="en-GB"/>
        </w:rPr>
        <w:t xml:space="preserve">Along with medical technology, strict dietary management (particularly carb counting) and regular physical activity are </w:t>
      </w:r>
      <w:r w:rsidRPr="5B0694BA" w:rsidR="6132DADD">
        <w:rPr>
          <w:rFonts w:ascii="Arial" w:hAnsi="Arial" w:eastAsia="Arial" w:cs="Arial"/>
          <w:noProof w:val="0"/>
          <w:color w:val="000000" w:themeColor="text1" w:themeTint="FF" w:themeShade="FF"/>
          <w:sz w:val="22"/>
          <w:szCs w:val="22"/>
          <w:lang w:val="en-GB"/>
        </w:rPr>
        <w:t>required</w:t>
      </w:r>
      <w:r w:rsidRPr="5B0694BA" w:rsidR="6132DADD">
        <w:rPr>
          <w:rFonts w:ascii="Arial" w:hAnsi="Arial" w:eastAsia="Arial" w:cs="Arial"/>
          <w:noProof w:val="0"/>
          <w:color w:val="000000" w:themeColor="text1" w:themeTint="FF" w:themeShade="FF"/>
          <w:sz w:val="22"/>
          <w:szCs w:val="22"/>
          <w:lang w:val="en-GB"/>
        </w:rPr>
        <w:t xml:space="preserve"> for control. Patients must balance exercise with carbohydrate intake and insulin dosages because physical activity increases insulin sensitivity and can cause sudden </w:t>
      </w:r>
      <w:r w:rsidRPr="5B0694BA" w:rsidR="16BFC75C">
        <w:rPr>
          <w:rFonts w:ascii="Arial" w:hAnsi="Arial" w:eastAsia="Arial" w:cs="Arial"/>
          <w:noProof w:val="0"/>
          <w:color w:val="000000" w:themeColor="text1" w:themeTint="FF" w:themeShade="FF"/>
          <w:sz w:val="22"/>
          <w:szCs w:val="22"/>
          <w:lang w:val="en-GB"/>
        </w:rPr>
        <w:t>hypoglycaemia</w:t>
      </w:r>
      <w:r w:rsidRPr="5B0694BA" w:rsidR="6132DADD">
        <w:rPr>
          <w:rFonts w:ascii="Arial" w:hAnsi="Arial" w:eastAsia="Arial" w:cs="Arial"/>
          <w:noProof w:val="0"/>
          <w:color w:val="000000" w:themeColor="text1" w:themeTint="FF" w:themeShade="FF"/>
          <w:sz w:val="22"/>
          <w:szCs w:val="22"/>
          <w:lang w:val="en-GB"/>
        </w:rPr>
        <w:t>.</w:t>
      </w:r>
      <w:r w:rsidRPr="5B0694BA" w:rsidR="2A501743">
        <w:rPr>
          <w:rFonts w:ascii="Arial" w:hAnsi="Arial" w:eastAsia="Arial" w:cs="Arial"/>
          <w:noProof w:val="0"/>
          <w:color w:val="000000" w:themeColor="text1" w:themeTint="FF" w:themeShade="FF"/>
          <w:sz w:val="22"/>
          <w:szCs w:val="22"/>
          <w:lang w:val="en-GB"/>
        </w:rPr>
        <w:t xml:space="preserve"> </w:t>
      </w:r>
    </w:p>
    <w:p w:rsidR="5B0694BA" w:rsidP="5B0694BA" w:rsidRDefault="5B0694BA" w14:paraId="14EA1E99" w14:textId="10590D39">
      <w:pPr>
        <w:spacing w:before="0" w:beforeAutospacing="off" w:after="0" w:afterAutospacing="off" w:line="360" w:lineRule="auto"/>
        <w:rPr>
          <w:rFonts w:ascii="Arial" w:hAnsi="Arial" w:eastAsia="Arial" w:cs="Arial"/>
          <w:noProof w:val="0"/>
          <w:color w:val="000000" w:themeColor="text1" w:themeTint="FF" w:themeShade="FF"/>
          <w:sz w:val="22"/>
          <w:szCs w:val="22"/>
          <w:lang w:val="en-GB"/>
        </w:rPr>
      </w:pPr>
    </w:p>
    <w:p w:rsidR="2A501743" w:rsidP="5B0694BA" w:rsidRDefault="2A501743" w14:paraId="61C89FB8" w14:textId="0C1601BC">
      <w:pPr>
        <w:pStyle w:val="ListParagraph"/>
        <w:numPr>
          <w:ilvl w:val="0"/>
          <w:numId w:val="1"/>
        </w:numPr>
        <w:spacing w:before="0" w:beforeAutospacing="off" w:after="0" w:afterAutospacing="off" w:line="360" w:lineRule="auto"/>
        <w:rPr>
          <w:rFonts w:ascii="Arial" w:hAnsi="Arial" w:eastAsia="Arial" w:cs="Arial"/>
          <w:noProof w:val="0"/>
          <w:color w:val="000000" w:themeColor="text1" w:themeTint="FF" w:themeShade="FF"/>
          <w:sz w:val="22"/>
          <w:szCs w:val="22"/>
          <w:lang w:val="en-GB"/>
        </w:rPr>
      </w:pPr>
      <w:r w:rsidRPr="5B0694BA" w:rsidR="2A501743">
        <w:rPr>
          <w:rFonts w:ascii="Arial" w:hAnsi="Arial" w:eastAsia="Arial" w:cs="Arial"/>
          <w:noProof w:val="0"/>
          <w:color w:val="000000" w:themeColor="text1" w:themeTint="FF" w:themeShade="FF"/>
          <w:sz w:val="22"/>
          <w:szCs w:val="22"/>
          <w:lang w:val="en-GB"/>
        </w:rPr>
        <w:t xml:space="preserve">Consequences of the illness on people in the community: </w:t>
      </w:r>
    </w:p>
    <w:p w:rsidR="0277890C" w:rsidP="5B0694BA" w:rsidRDefault="0277890C" w14:paraId="6D60A835" w14:textId="2D8B4223">
      <w:pPr>
        <w:pStyle w:val="Normal"/>
        <w:spacing w:before="0" w:beforeAutospacing="off" w:after="0" w:afterAutospacing="off" w:line="360" w:lineRule="auto"/>
        <w:rPr>
          <w:rFonts w:ascii="Arial" w:hAnsi="Arial" w:eastAsia="Arial" w:cs="Arial"/>
          <w:noProof w:val="0"/>
          <w:color w:val="000000" w:themeColor="text1" w:themeTint="FF" w:themeShade="FF"/>
          <w:sz w:val="22"/>
          <w:szCs w:val="22"/>
          <w:lang w:val="en-GB"/>
        </w:rPr>
      </w:pPr>
      <w:r w:rsidRPr="5B0694BA" w:rsidR="0277890C">
        <w:rPr>
          <w:rFonts w:ascii="Arial" w:hAnsi="Arial" w:eastAsia="Arial" w:cs="Arial"/>
          <w:noProof w:val="0"/>
          <w:color w:val="000000" w:themeColor="text1" w:themeTint="FF" w:themeShade="FF"/>
          <w:sz w:val="22"/>
          <w:szCs w:val="22"/>
          <w:lang w:val="en-GB"/>
        </w:rPr>
        <w:t>T1DM has several consequences, including acute medical emergencies, long-term chronic health complications, and significant psychological burdens.</w:t>
      </w:r>
    </w:p>
    <w:p w:rsidR="0277890C" w:rsidP="5B0694BA" w:rsidRDefault="0277890C" w14:paraId="6FD1FB2B" w14:textId="41508D6F">
      <w:pPr>
        <w:pStyle w:val="Normal"/>
        <w:spacing w:before="0" w:beforeAutospacing="off" w:after="0" w:afterAutospacing="off" w:line="360" w:lineRule="auto"/>
        <w:rPr>
          <w:rFonts w:ascii="Arial" w:hAnsi="Arial" w:eastAsia="Arial" w:cs="Arial"/>
          <w:noProof w:val="0"/>
          <w:color w:val="000000" w:themeColor="text1" w:themeTint="FF" w:themeShade="FF"/>
          <w:sz w:val="22"/>
          <w:szCs w:val="22"/>
          <w:lang w:val="en-GB"/>
        </w:rPr>
      </w:pPr>
      <w:r w:rsidRPr="5B0694BA" w:rsidR="0277890C">
        <w:rPr>
          <w:rFonts w:ascii="Arial" w:hAnsi="Arial" w:eastAsia="Arial" w:cs="Arial"/>
          <w:noProof w:val="0"/>
          <w:color w:val="000000" w:themeColor="text1" w:themeTint="FF" w:themeShade="FF"/>
          <w:sz w:val="22"/>
          <w:szCs w:val="22"/>
          <w:lang w:val="en-GB"/>
        </w:rPr>
        <w:t>Acute Complication:</w:t>
      </w:r>
    </w:p>
    <w:p w:rsidR="0277890C" w:rsidP="5B0694BA" w:rsidRDefault="0277890C" w14:paraId="34051734" w14:textId="6BF35719">
      <w:pPr>
        <w:pStyle w:val="Normal"/>
        <w:spacing w:before="0" w:beforeAutospacing="off" w:after="0" w:afterAutospacing="off" w:line="360" w:lineRule="auto"/>
        <w:rPr>
          <w:rFonts w:ascii="Arial" w:hAnsi="Arial" w:eastAsia="Arial" w:cs="Arial"/>
          <w:noProof w:val="0"/>
          <w:color w:val="000000" w:themeColor="text1" w:themeTint="FF" w:themeShade="FF"/>
          <w:sz w:val="22"/>
          <w:szCs w:val="22"/>
          <w:lang w:val="en-GB"/>
        </w:rPr>
      </w:pPr>
      <w:r w:rsidRPr="5B0694BA" w:rsidR="0277890C">
        <w:rPr>
          <w:rFonts w:ascii="Arial" w:hAnsi="Arial" w:eastAsia="Arial" w:cs="Arial"/>
          <w:noProof w:val="0"/>
          <w:color w:val="000000" w:themeColor="text1" w:themeTint="FF" w:themeShade="FF"/>
          <w:sz w:val="22"/>
          <w:szCs w:val="22"/>
          <w:lang w:val="en-GB"/>
        </w:rPr>
        <w:t xml:space="preserve">Blood glucose levels fall below 4.0 mmol/L, </w:t>
      </w:r>
      <w:r w:rsidRPr="5B0694BA" w:rsidR="0277890C">
        <w:rPr>
          <w:rFonts w:ascii="Arial" w:hAnsi="Arial" w:eastAsia="Arial" w:cs="Arial"/>
          <w:noProof w:val="0"/>
          <w:color w:val="000000" w:themeColor="text1" w:themeTint="FF" w:themeShade="FF"/>
          <w:sz w:val="22"/>
          <w:szCs w:val="22"/>
          <w:lang w:val="en-GB"/>
        </w:rPr>
        <w:t>indicating</w:t>
      </w:r>
      <w:r w:rsidRPr="5B0694BA" w:rsidR="0277890C">
        <w:rPr>
          <w:rFonts w:ascii="Arial" w:hAnsi="Arial" w:eastAsia="Arial" w:cs="Arial"/>
          <w:noProof w:val="0"/>
          <w:color w:val="000000" w:themeColor="text1" w:themeTint="FF" w:themeShade="FF"/>
          <w:sz w:val="22"/>
          <w:szCs w:val="22"/>
          <w:lang w:val="en-GB"/>
        </w:rPr>
        <w:t xml:space="preserve"> hypoglycaemia. Shaking, sweating, confusion, and, if not treated, loss of consciousness or seizures are </w:t>
      </w:r>
      <w:r w:rsidRPr="5B0694BA" w:rsidR="65F4F50B">
        <w:rPr>
          <w:rFonts w:ascii="Arial" w:hAnsi="Arial" w:eastAsia="Arial" w:cs="Arial"/>
          <w:noProof w:val="0"/>
          <w:color w:val="000000" w:themeColor="text1" w:themeTint="FF" w:themeShade="FF"/>
          <w:sz w:val="22"/>
          <w:szCs w:val="22"/>
          <w:lang w:val="en-GB"/>
        </w:rPr>
        <w:t>symptoms</w:t>
      </w:r>
      <w:r w:rsidRPr="5B0694BA" w:rsidR="0277890C">
        <w:rPr>
          <w:rFonts w:ascii="Arial" w:hAnsi="Arial" w:eastAsia="Arial" w:cs="Arial"/>
          <w:noProof w:val="0"/>
          <w:color w:val="000000" w:themeColor="text1" w:themeTint="FF" w:themeShade="FF"/>
          <w:sz w:val="22"/>
          <w:szCs w:val="22"/>
          <w:lang w:val="en-GB"/>
        </w:rPr>
        <w:t>. In contrast, severe insulin deficiency can lead to diabetic ketoacidosis. DKA is a life-threatening medical emergency caused by the body's breakdown of fat for energy, which produces toxic acidic ketones. Intravenous insulin and fluid resuscitation require immediate hospitalisation (NHS England Digital, 2026).</w:t>
      </w:r>
    </w:p>
    <w:p w:rsidR="5B0694BA" w:rsidP="5B0694BA" w:rsidRDefault="5B0694BA" w14:paraId="648D88CD" w14:textId="5B6A5001">
      <w:pPr>
        <w:spacing w:before="0" w:beforeAutospacing="off" w:after="0" w:afterAutospacing="off" w:line="360" w:lineRule="auto"/>
        <w:rPr>
          <w:rFonts w:ascii="Arial" w:hAnsi="Arial" w:eastAsia="Arial" w:cs="Arial"/>
          <w:sz w:val="22"/>
          <w:szCs w:val="22"/>
        </w:rPr>
      </w:pPr>
    </w:p>
    <w:p w:rsidR="0277890C" w:rsidP="5B0694BA" w:rsidRDefault="0277890C" w14:paraId="419F395F" w14:textId="73432E81">
      <w:pPr>
        <w:spacing w:before="0" w:beforeAutospacing="off" w:after="0" w:afterAutospacing="off" w:line="360" w:lineRule="auto"/>
        <w:rPr>
          <w:rFonts w:ascii="Arial" w:hAnsi="Arial" w:eastAsia="Arial" w:cs="Arial"/>
          <w:noProof w:val="0"/>
          <w:color w:val="000000" w:themeColor="text1" w:themeTint="FF" w:themeShade="FF"/>
          <w:sz w:val="22"/>
          <w:szCs w:val="22"/>
          <w:lang w:val="en-GB"/>
        </w:rPr>
      </w:pPr>
      <w:r w:rsidRPr="5B0694BA" w:rsidR="0277890C">
        <w:rPr>
          <w:rFonts w:ascii="Arial" w:hAnsi="Arial" w:eastAsia="Arial" w:cs="Arial"/>
          <w:noProof w:val="0"/>
          <w:color w:val="000000" w:themeColor="text1" w:themeTint="FF" w:themeShade="FF"/>
          <w:sz w:val="22"/>
          <w:szCs w:val="22"/>
          <w:lang w:val="en-GB"/>
        </w:rPr>
        <w:t>Chronic complications include</w:t>
      </w:r>
      <w:r w:rsidRPr="5B0694BA" w:rsidR="2D32E758">
        <w:rPr>
          <w:rFonts w:ascii="Arial" w:hAnsi="Arial" w:eastAsia="Arial" w:cs="Arial"/>
          <w:noProof w:val="0"/>
          <w:color w:val="000000" w:themeColor="text1" w:themeTint="FF" w:themeShade="FF"/>
          <w:sz w:val="22"/>
          <w:szCs w:val="22"/>
          <w:lang w:val="en-GB"/>
        </w:rPr>
        <w:t>:</w:t>
      </w:r>
    </w:p>
    <w:p w:rsidR="0277890C" w:rsidP="5B0694BA" w:rsidRDefault="0277890C" w14:paraId="7DD1E083" w14:textId="625EEBED">
      <w:pPr>
        <w:spacing w:before="0" w:beforeAutospacing="off" w:after="0" w:afterAutospacing="off" w:line="360" w:lineRule="auto"/>
        <w:rPr>
          <w:rFonts w:ascii="Arial" w:hAnsi="Arial" w:eastAsia="Arial" w:cs="Arial"/>
          <w:noProof w:val="0"/>
          <w:color w:val="000000" w:themeColor="text1" w:themeTint="FF" w:themeShade="FF"/>
          <w:sz w:val="22"/>
          <w:szCs w:val="22"/>
          <w:lang w:val="en-GB"/>
        </w:rPr>
      </w:pPr>
      <w:r w:rsidRPr="5B0694BA" w:rsidR="0277890C">
        <w:rPr>
          <w:rFonts w:ascii="Arial" w:hAnsi="Arial" w:eastAsia="Arial" w:cs="Arial"/>
          <w:noProof w:val="0"/>
          <w:color w:val="000000" w:themeColor="text1" w:themeTint="FF" w:themeShade="FF"/>
          <w:sz w:val="22"/>
          <w:szCs w:val="22"/>
          <w:lang w:val="en-GB"/>
        </w:rPr>
        <w:t>Chronic hyperglycaemia damages blood vessels over time, resulting</w:t>
      </w:r>
      <w:r w:rsidRPr="5B0694BA" w:rsidR="195CB5F8">
        <w:rPr>
          <w:rFonts w:ascii="Arial" w:hAnsi="Arial" w:eastAsia="Arial" w:cs="Arial"/>
          <w:noProof w:val="0"/>
          <w:color w:val="000000" w:themeColor="text1" w:themeTint="FF" w:themeShade="FF"/>
          <w:sz w:val="22"/>
          <w:szCs w:val="22"/>
          <w:lang w:val="en-GB"/>
        </w:rPr>
        <w:t>:</w:t>
      </w:r>
    </w:p>
    <w:p w:rsidR="5B0694BA" w:rsidP="5B0694BA" w:rsidRDefault="5B0694BA" w14:paraId="4D2B872F" w14:textId="0B9A4D3C">
      <w:pPr>
        <w:spacing w:before="0" w:beforeAutospacing="off" w:after="0" w:afterAutospacing="off" w:line="360" w:lineRule="auto"/>
        <w:rPr>
          <w:rFonts w:ascii="Arial" w:hAnsi="Arial" w:eastAsia="Arial" w:cs="Arial"/>
          <w:sz w:val="22"/>
          <w:szCs w:val="22"/>
        </w:rPr>
      </w:pPr>
    </w:p>
    <w:p w:rsidR="0277890C" w:rsidP="5B0694BA" w:rsidRDefault="0277890C" w14:paraId="49682B89" w14:textId="353D0F44">
      <w:pPr>
        <w:spacing w:before="0" w:beforeAutospacing="off" w:after="0" w:afterAutospacing="off" w:line="360" w:lineRule="auto"/>
        <w:rPr>
          <w:rFonts w:ascii="Arial" w:hAnsi="Arial" w:eastAsia="Arial" w:cs="Arial"/>
          <w:noProof w:val="0"/>
          <w:color w:val="000000" w:themeColor="text1" w:themeTint="FF" w:themeShade="FF"/>
          <w:sz w:val="22"/>
          <w:szCs w:val="22"/>
          <w:lang w:val="en-GB"/>
        </w:rPr>
      </w:pPr>
      <w:r w:rsidRPr="5B0694BA" w:rsidR="0277890C">
        <w:rPr>
          <w:rFonts w:ascii="Arial" w:hAnsi="Arial" w:eastAsia="Arial" w:cs="Arial"/>
          <w:noProof w:val="0"/>
          <w:color w:val="000000" w:themeColor="text1" w:themeTint="FF" w:themeShade="FF"/>
          <w:sz w:val="22"/>
          <w:szCs w:val="22"/>
          <w:lang w:val="en-GB"/>
        </w:rPr>
        <w:t>• Microvascular damage includes diabetic retinopathy (blindness), diabetic nephropathy (chronic kidney disease/failure), and neuropathy (nerve damage, particularly in the feet).</w:t>
      </w:r>
    </w:p>
    <w:p w:rsidR="5B0694BA" w:rsidP="5B0694BA" w:rsidRDefault="5B0694BA" w14:paraId="307A4020" w14:textId="38D194F6">
      <w:pPr>
        <w:spacing w:before="0" w:beforeAutospacing="off" w:after="0" w:afterAutospacing="off" w:line="360" w:lineRule="auto"/>
        <w:rPr>
          <w:rFonts w:ascii="Arial" w:hAnsi="Arial" w:eastAsia="Arial" w:cs="Arial"/>
          <w:sz w:val="22"/>
          <w:szCs w:val="22"/>
        </w:rPr>
      </w:pPr>
    </w:p>
    <w:p w:rsidR="0277890C" w:rsidP="5B0694BA" w:rsidRDefault="0277890C" w14:paraId="153E0F42" w14:textId="12C060F5">
      <w:pPr>
        <w:spacing w:before="0" w:beforeAutospacing="off" w:after="0" w:afterAutospacing="off" w:line="360" w:lineRule="auto"/>
        <w:rPr>
          <w:rFonts w:ascii="Arial" w:hAnsi="Arial" w:eastAsia="Arial" w:cs="Arial"/>
          <w:noProof w:val="0"/>
          <w:color w:val="000000" w:themeColor="text1" w:themeTint="FF" w:themeShade="FF"/>
          <w:sz w:val="22"/>
          <w:szCs w:val="22"/>
          <w:lang w:val="en-GB"/>
        </w:rPr>
      </w:pPr>
      <w:r w:rsidRPr="5B0694BA" w:rsidR="0277890C">
        <w:rPr>
          <w:rFonts w:ascii="Arial" w:hAnsi="Arial" w:eastAsia="Arial" w:cs="Arial"/>
          <w:noProof w:val="0"/>
          <w:color w:val="000000" w:themeColor="text1" w:themeTint="FF" w:themeShade="FF"/>
          <w:sz w:val="22"/>
          <w:szCs w:val="22"/>
          <w:lang w:val="en-GB"/>
        </w:rPr>
        <w:t>• Macrovascular damage: Increased risk of cardiovascular disease, stroke, and peripheral arterial disease (DownHome Pharmacy, 2025; Mantua Station Drug, 2025). Diabetic foot ulcers, caused by poor blood flow and nerve damage in the lower limbs, are common and can result in amputation.</w:t>
      </w:r>
    </w:p>
    <w:p w:rsidR="5B0694BA" w:rsidP="5B0694BA" w:rsidRDefault="5B0694BA" w14:paraId="43C66FE1" w14:textId="446D5737">
      <w:pPr>
        <w:spacing w:before="0" w:beforeAutospacing="off" w:after="0" w:afterAutospacing="off" w:line="360" w:lineRule="auto"/>
        <w:rPr>
          <w:rFonts w:ascii="Arial" w:hAnsi="Arial" w:eastAsia="Arial" w:cs="Arial"/>
          <w:sz w:val="22"/>
          <w:szCs w:val="22"/>
        </w:rPr>
      </w:pPr>
    </w:p>
    <w:p w:rsidR="0277890C" w:rsidP="5B0694BA" w:rsidRDefault="0277890C" w14:paraId="6EBFA3BD" w14:textId="3950E5F8">
      <w:pPr>
        <w:spacing w:before="0" w:beforeAutospacing="off" w:after="0" w:afterAutospacing="off" w:line="360" w:lineRule="auto"/>
        <w:rPr>
          <w:rFonts w:ascii="Arial" w:hAnsi="Arial" w:eastAsia="Arial" w:cs="Arial"/>
          <w:noProof w:val="0"/>
          <w:color w:val="000000" w:themeColor="text1" w:themeTint="FF" w:themeShade="FF"/>
          <w:sz w:val="22"/>
          <w:szCs w:val="22"/>
          <w:lang w:val="en-GB"/>
        </w:rPr>
      </w:pPr>
      <w:r w:rsidRPr="5B0694BA" w:rsidR="0277890C">
        <w:rPr>
          <w:rFonts w:ascii="Arial" w:hAnsi="Arial" w:eastAsia="Arial" w:cs="Arial"/>
          <w:noProof w:val="0"/>
          <w:color w:val="000000" w:themeColor="text1" w:themeTint="FF" w:themeShade="FF"/>
          <w:sz w:val="22"/>
          <w:szCs w:val="22"/>
          <w:lang w:val="en-GB"/>
        </w:rPr>
        <w:t>Psychosocial effects include the following:</w:t>
      </w:r>
    </w:p>
    <w:p w:rsidR="0277890C" w:rsidP="5B0694BA" w:rsidRDefault="0277890C" w14:paraId="1C422315" w14:textId="418D274F">
      <w:pPr>
        <w:spacing w:before="0" w:beforeAutospacing="off" w:after="0" w:afterAutospacing="off" w:line="360" w:lineRule="auto"/>
        <w:rPr>
          <w:rFonts w:ascii="Arial" w:hAnsi="Arial" w:eastAsia="Arial" w:cs="Arial"/>
          <w:noProof w:val="0"/>
          <w:color w:val="000000" w:themeColor="text1" w:themeTint="FF" w:themeShade="FF"/>
          <w:sz w:val="22"/>
          <w:szCs w:val="22"/>
          <w:lang w:val="en-GB"/>
        </w:rPr>
      </w:pPr>
      <w:r w:rsidRPr="5B0694BA" w:rsidR="0277890C">
        <w:rPr>
          <w:rFonts w:ascii="Arial" w:hAnsi="Arial" w:eastAsia="Arial" w:cs="Arial"/>
          <w:noProof w:val="0"/>
          <w:color w:val="000000" w:themeColor="text1" w:themeTint="FF" w:themeShade="FF"/>
          <w:sz w:val="22"/>
          <w:szCs w:val="22"/>
          <w:lang w:val="en-GB"/>
        </w:rPr>
        <w:t xml:space="preserve">Living with a demanding condition 24 hours a day, 7 days a week </w:t>
      </w:r>
      <w:r w:rsidRPr="5B0694BA" w:rsidR="0277890C">
        <w:rPr>
          <w:rFonts w:ascii="Arial" w:hAnsi="Arial" w:eastAsia="Arial" w:cs="Arial"/>
          <w:noProof w:val="0"/>
          <w:color w:val="000000" w:themeColor="text1" w:themeTint="FF" w:themeShade="FF"/>
          <w:sz w:val="22"/>
          <w:szCs w:val="22"/>
          <w:lang w:val="en-GB"/>
        </w:rPr>
        <w:t>exacerbates</w:t>
      </w:r>
      <w:r w:rsidRPr="5B0694BA" w:rsidR="0277890C">
        <w:rPr>
          <w:rFonts w:ascii="Arial" w:hAnsi="Arial" w:eastAsia="Arial" w:cs="Arial"/>
          <w:noProof w:val="0"/>
          <w:color w:val="000000" w:themeColor="text1" w:themeTint="FF" w:themeShade="FF"/>
          <w:sz w:val="22"/>
          <w:szCs w:val="22"/>
          <w:lang w:val="en-GB"/>
        </w:rPr>
        <w:t xml:space="preserve"> diabetes, </w:t>
      </w:r>
      <w:r w:rsidRPr="5B0694BA" w:rsidR="33894D9D">
        <w:rPr>
          <w:rFonts w:ascii="Arial" w:hAnsi="Arial" w:eastAsia="Arial" w:cs="Arial"/>
          <w:noProof w:val="0"/>
          <w:color w:val="000000" w:themeColor="text1" w:themeTint="FF" w:themeShade="FF"/>
          <w:sz w:val="22"/>
          <w:szCs w:val="22"/>
          <w:lang w:val="en-GB"/>
        </w:rPr>
        <w:t>distress,</w:t>
      </w:r>
      <w:r w:rsidRPr="5B0694BA" w:rsidR="0277890C">
        <w:rPr>
          <w:rFonts w:ascii="Arial" w:hAnsi="Arial" w:eastAsia="Arial" w:cs="Arial"/>
          <w:noProof w:val="0"/>
          <w:color w:val="000000" w:themeColor="text1" w:themeTint="FF" w:themeShade="FF"/>
          <w:sz w:val="22"/>
          <w:szCs w:val="22"/>
          <w:lang w:val="en-GB"/>
        </w:rPr>
        <w:t xml:space="preserve"> and depression. Individuals experience "cognitive overload" as a result of constantly calculating carbohydrates, predicting exercise results, and being concerned about hypoglycaemia. This constant vigilance can cause burnout, eating disorders (such as "diabulimia", in which insulin is withheld to lose weight), and social isolation.</w:t>
      </w:r>
      <w:r w:rsidRPr="5B0694BA" w:rsidR="3C072617">
        <w:rPr>
          <w:rFonts w:ascii="Arial" w:hAnsi="Arial" w:eastAsia="Arial" w:cs="Arial"/>
          <w:noProof w:val="0"/>
          <w:color w:val="000000" w:themeColor="text1" w:themeTint="FF" w:themeShade="FF"/>
          <w:sz w:val="22"/>
          <w:szCs w:val="22"/>
          <w:lang w:val="en-GB"/>
        </w:rPr>
        <w:t xml:space="preserve"> </w:t>
      </w:r>
    </w:p>
    <w:p w:rsidR="5B0694BA" w:rsidP="5B0694BA" w:rsidRDefault="5B0694BA" w14:paraId="212BC438" w14:textId="6AD0A3E6">
      <w:pPr>
        <w:pStyle w:val="Normal"/>
        <w:spacing w:before="0" w:beforeAutospacing="off" w:after="0" w:afterAutospacing="off" w:line="360" w:lineRule="auto"/>
        <w:rPr>
          <w:rFonts w:ascii="Arial" w:hAnsi="Arial" w:eastAsia="Arial" w:cs="Arial"/>
          <w:noProof w:val="0"/>
          <w:color w:val="000000" w:themeColor="text1" w:themeTint="FF" w:themeShade="FF"/>
          <w:sz w:val="22"/>
          <w:szCs w:val="22"/>
          <w:lang w:val="en-GB"/>
        </w:rPr>
      </w:pPr>
    </w:p>
    <w:p w:rsidR="4E6D2AFB" w:rsidP="5B0694BA" w:rsidRDefault="4E6D2AFB" w14:paraId="6913CBD2" w14:textId="531E13E2">
      <w:pPr>
        <w:pStyle w:val="ListParagraph"/>
        <w:numPr>
          <w:ilvl w:val="0"/>
          <w:numId w:val="1"/>
        </w:numPr>
        <w:spacing w:before="0" w:beforeAutospacing="off" w:after="0" w:afterAutospacing="off" w:line="360" w:lineRule="auto"/>
        <w:rPr>
          <w:rFonts w:ascii="Arial" w:hAnsi="Arial" w:eastAsia="Arial" w:cs="Arial"/>
          <w:noProof w:val="0"/>
          <w:color w:val="000000" w:themeColor="text1" w:themeTint="FF" w:themeShade="FF"/>
          <w:sz w:val="22"/>
          <w:szCs w:val="22"/>
          <w:lang w:val="en-GB"/>
        </w:rPr>
      </w:pPr>
      <w:r w:rsidRPr="5B0694BA" w:rsidR="4E6D2AFB">
        <w:rPr>
          <w:rFonts w:ascii="Arial" w:hAnsi="Arial" w:eastAsia="Arial" w:cs="Arial"/>
          <w:noProof w:val="0"/>
          <w:color w:val="000000" w:themeColor="text1" w:themeTint="FF" w:themeShade="FF"/>
          <w:sz w:val="22"/>
          <w:szCs w:val="22"/>
          <w:lang w:val="en-GB"/>
        </w:rPr>
        <w:t>Required health and social care support services</w:t>
      </w:r>
      <w:r w:rsidRPr="5B0694BA" w:rsidR="64365BF6">
        <w:rPr>
          <w:rFonts w:ascii="Arial" w:hAnsi="Arial" w:eastAsia="Arial" w:cs="Arial"/>
          <w:noProof w:val="0"/>
          <w:color w:val="000000" w:themeColor="text1" w:themeTint="FF" w:themeShade="FF"/>
          <w:sz w:val="22"/>
          <w:szCs w:val="22"/>
          <w:lang w:val="en-GB"/>
        </w:rPr>
        <w:t>:</w:t>
      </w:r>
    </w:p>
    <w:p w:rsidR="3EA9F6CF" w:rsidP="5B0694BA" w:rsidRDefault="3EA9F6CF" w14:paraId="626A058C" w14:textId="05B0602C">
      <w:pPr>
        <w:spacing w:before="0" w:beforeAutospacing="off" w:after="0" w:afterAutospacing="off" w:line="360" w:lineRule="auto"/>
        <w:rPr>
          <w:rFonts w:ascii="Arial" w:hAnsi="Arial" w:eastAsia="Arial" w:cs="Arial"/>
          <w:noProof w:val="0"/>
          <w:color w:val="000000" w:themeColor="text1" w:themeTint="FF" w:themeShade="FF"/>
          <w:sz w:val="22"/>
          <w:szCs w:val="22"/>
          <w:lang w:val="en-GB"/>
        </w:rPr>
      </w:pPr>
      <w:r w:rsidRPr="5B0694BA" w:rsidR="3EA9F6CF">
        <w:rPr>
          <w:rFonts w:ascii="Arial" w:hAnsi="Arial" w:eastAsia="Arial" w:cs="Arial"/>
          <w:noProof w:val="0"/>
          <w:color w:val="000000" w:themeColor="text1" w:themeTint="FF" w:themeShade="FF"/>
          <w:sz w:val="22"/>
          <w:szCs w:val="22"/>
          <w:lang w:val="en-GB"/>
        </w:rPr>
        <w:t>To effectively manage T1DM in the community, an integrated, multidisciplinary team (MDT) with members from primary, secondary, and social care is needed.</w:t>
      </w:r>
    </w:p>
    <w:p w:rsidR="5B0694BA" w:rsidP="5B0694BA" w:rsidRDefault="5B0694BA" w14:paraId="5A2560AE" w14:textId="379CABAF">
      <w:pPr>
        <w:spacing w:before="0" w:beforeAutospacing="off" w:after="0" w:afterAutospacing="off" w:line="360" w:lineRule="auto"/>
        <w:rPr>
          <w:rFonts w:ascii="Arial" w:hAnsi="Arial" w:eastAsia="Arial" w:cs="Arial"/>
          <w:sz w:val="22"/>
          <w:szCs w:val="22"/>
        </w:rPr>
      </w:pPr>
    </w:p>
    <w:p w:rsidR="3EA9F6CF" w:rsidP="5B0694BA" w:rsidRDefault="3EA9F6CF" w14:paraId="634E290B" w14:textId="0158AF1D">
      <w:pPr>
        <w:spacing w:before="0" w:beforeAutospacing="off" w:after="0" w:afterAutospacing="off" w:line="360" w:lineRule="auto"/>
        <w:rPr>
          <w:rFonts w:ascii="Arial" w:hAnsi="Arial" w:eastAsia="Arial" w:cs="Arial"/>
          <w:noProof w:val="0"/>
          <w:color w:val="000000" w:themeColor="text1" w:themeTint="FF" w:themeShade="FF"/>
          <w:sz w:val="22"/>
          <w:szCs w:val="22"/>
          <w:lang w:val="en-GB"/>
        </w:rPr>
      </w:pPr>
      <w:r w:rsidRPr="5B0694BA" w:rsidR="3EA9F6CF">
        <w:rPr>
          <w:rFonts w:ascii="Arial" w:hAnsi="Arial" w:eastAsia="Arial" w:cs="Arial"/>
          <w:noProof w:val="0"/>
          <w:color w:val="000000" w:themeColor="text1" w:themeTint="FF" w:themeShade="FF"/>
          <w:sz w:val="22"/>
          <w:szCs w:val="22"/>
          <w:lang w:val="en-GB"/>
        </w:rPr>
        <w:t>• Multidisciplinary Medical Teams: These teams, led by consultant endocrinologists and assisted by Diabetes Specialist Nurses (DSNs), provide specialised education, adjust therapy regimens, and facilitate technology adoption. Advanced carbohydrate counting and nutritional planning are taught by specialist dietitians to their patients.</w:t>
      </w:r>
    </w:p>
    <w:p w:rsidR="5B0694BA" w:rsidP="5B0694BA" w:rsidRDefault="5B0694BA" w14:paraId="529F031F" w14:textId="1032A474">
      <w:pPr>
        <w:spacing w:before="0" w:beforeAutospacing="off" w:after="0" w:afterAutospacing="off" w:line="360" w:lineRule="auto"/>
        <w:rPr>
          <w:rFonts w:ascii="Arial" w:hAnsi="Arial" w:eastAsia="Arial" w:cs="Arial"/>
          <w:sz w:val="22"/>
          <w:szCs w:val="22"/>
        </w:rPr>
      </w:pPr>
    </w:p>
    <w:p w:rsidR="3EA9F6CF" w:rsidP="5B0694BA" w:rsidRDefault="3EA9F6CF" w14:paraId="377E4D35" w14:textId="4157EF17">
      <w:pPr>
        <w:spacing w:before="0" w:beforeAutospacing="off" w:after="0" w:afterAutospacing="off" w:line="360" w:lineRule="auto"/>
        <w:rPr>
          <w:rFonts w:ascii="Arial" w:hAnsi="Arial" w:eastAsia="Arial" w:cs="Arial"/>
          <w:noProof w:val="0"/>
          <w:color w:val="000000" w:themeColor="text1" w:themeTint="FF" w:themeShade="FF"/>
          <w:sz w:val="22"/>
          <w:szCs w:val="22"/>
          <w:lang w:val="en-GB"/>
        </w:rPr>
      </w:pPr>
      <w:r w:rsidRPr="5B0694BA" w:rsidR="3EA9F6CF">
        <w:rPr>
          <w:rFonts w:ascii="Arial" w:hAnsi="Arial" w:eastAsia="Arial" w:cs="Arial"/>
          <w:noProof w:val="0"/>
          <w:color w:val="000000" w:themeColor="text1" w:themeTint="FF" w:themeShade="FF"/>
          <w:sz w:val="22"/>
          <w:szCs w:val="22"/>
          <w:lang w:val="en-GB"/>
        </w:rPr>
        <w:t>• Preventive and Surveillance Services: Annual reviews are essential. Community podiatrists perform diabetic foot assessments to detect neuropathy or vascular issues early on, whereas the NHS Diabetic Eye Screening Programme looks for early signs of retinopathy.</w:t>
      </w:r>
    </w:p>
    <w:p w:rsidR="5B0694BA" w:rsidP="5B0694BA" w:rsidRDefault="5B0694BA" w14:paraId="407BF257" w14:textId="329C704F">
      <w:pPr>
        <w:spacing w:before="0" w:beforeAutospacing="off" w:after="0" w:afterAutospacing="off" w:line="360" w:lineRule="auto"/>
        <w:rPr>
          <w:rFonts w:ascii="Arial" w:hAnsi="Arial" w:eastAsia="Arial" w:cs="Arial"/>
          <w:sz w:val="22"/>
          <w:szCs w:val="22"/>
        </w:rPr>
      </w:pPr>
    </w:p>
    <w:p w:rsidR="3EA9F6CF" w:rsidP="5B0694BA" w:rsidRDefault="3EA9F6CF" w14:paraId="3C5717E3" w14:textId="2A564C6D">
      <w:pPr>
        <w:spacing w:before="0" w:beforeAutospacing="off" w:after="0" w:afterAutospacing="off" w:line="360" w:lineRule="auto"/>
        <w:rPr>
          <w:rFonts w:ascii="Arial" w:hAnsi="Arial" w:eastAsia="Arial" w:cs="Arial"/>
          <w:noProof w:val="0"/>
          <w:color w:val="000000" w:themeColor="text1" w:themeTint="FF" w:themeShade="FF"/>
          <w:sz w:val="22"/>
          <w:szCs w:val="22"/>
          <w:lang w:val="en-GB"/>
        </w:rPr>
      </w:pPr>
      <w:r w:rsidRPr="5B0694BA" w:rsidR="3EA9F6CF">
        <w:rPr>
          <w:rFonts w:ascii="Arial" w:hAnsi="Arial" w:eastAsia="Arial" w:cs="Arial"/>
          <w:noProof w:val="0"/>
          <w:color w:val="000000" w:themeColor="text1" w:themeTint="FF" w:themeShade="FF"/>
          <w:sz w:val="22"/>
          <w:szCs w:val="22"/>
          <w:lang w:val="en-GB"/>
        </w:rPr>
        <w:t>• Mental Health Support: Given the psychological burden, having access to cognitive behavioural therapy (CBT) and clinical psychologists integrated into diabetes clinics is critical for addressing needle phobias, hypoglycaemia fears, and diabetes burnout.</w:t>
      </w:r>
    </w:p>
    <w:p w:rsidR="5B0694BA" w:rsidP="5B0694BA" w:rsidRDefault="5B0694BA" w14:paraId="3BA17D93" w14:textId="3ADE5412">
      <w:pPr>
        <w:spacing w:before="0" w:beforeAutospacing="off" w:after="0" w:afterAutospacing="off" w:line="360" w:lineRule="auto"/>
        <w:rPr>
          <w:rFonts w:ascii="Arial" w:hAnsi="Arial" w:eastAsia="Arial" w:cs="Arial"/>
          <w:sz w:val="22"/>
          <w:szCs w:val="22"/>
        </w:rPr>
      </w:pPr>
    </w:p>
    <w:p w:rsidR="3EA9F6CF" w:rsidP="5B0694BA" w:rsidRDefault="3EA9F6CF" w14:paraId="47800DB0" w14:textId="1ACFEC44">
      <w:pPr>
        <w:spacing w:before="0" w:beforeAutospacing="off" w:after="0" w:afterAutospacing="off" w:line="360" w:lineRule="auto"/>
        <w:rPr>
          <w:rFonts w:ascii="Arial" w:hAnsi="Arial" w:eastAsia="Arial" w:cs="Arial"/>
          <w:noProof w:val="0"/>
          <w:color w:val="000000" w:themeColor="text1" w:themeTint="FF" w:themeShade="FF"/>
          <w:sz w:val="22"/>
          <w:szCs w:val="22"/>
          <w:lang w:val="en-GB"/>
        </w:rPr>
      </w:pPr>
      <w:r w:rsidRPr="5B0694BA" w:rsidR="3EA9F6CF">
        <w:rPr>
          <w:rFonts w:ascii="Arial" w:hAnsi="Arial" w:eastAsia="Arial" w:cs="Arial"/>
          <w:noProof w:val="0"/>
          <w:color w:val="000000" w:themeColor="text1" w:themeTint="FF" w:themeShade="FF"/>
          <w:sz w:val="22"/>
          <w:szCs w:val="22"/>
          <w:lang w:val="en-GB"/>
        </w:rPr>
        <w:t xml:space="preserve">• Social and Educational Support: Educational courses like DAFNE (Dose Adjustment </w:t>
      </w:r>
      <w:r w:rsidRPr="5B0694BA" w:rsidR="39F9BE7E">
        <w:rPr>
          <w:rFonts w:ascii="Arial" w:hAnsi="Arial" w:eastAsia="Arial" w:cs="Arial"/>
          <w:noProof w:val="0"/>
          <w:color w:val="000000" w:themeColor="text1" w:themeTint="FF" w:themeShade="FF"/>
          <w:sz w:val="22"/>
          <w:szCs w:val="22"/>
          <w:lang w:val="en-GB"/>
        </w:rPr>
        <w:t>for</w:t>
      </w:r>
      <w:r w:rsidRPr="5B0694BA" w:rsidR="3EA9F6CF">
        <w:rPr>
          <w:rFonts w:ascii="Arial" w:hAnsi="Arial" w:eastAsia="Arial" w:cs="Arial"/>
          <w:noProof w:val="0"/>
          <w:color w:val="000000" w:themeColor="text1" w:themeTint="FF" w:themeShade="FF"/>
          <w:sz w:val="22"/>
          <w:szCs w:val="22"/>
          <w:lang w:val="en-GB"/>
        </w:rPr>
        <w:t xml:space="preserve"> Normal Eating) are critical for equipping adult patients with self-management skills. School nurses, social workers, and community care services ensure that care plans for children and adolescents are safely integrated into educational systems, allowing young patients to safely administer insulin and </w:t>
      </w:r>
      <w:r w:rsidRPr="5B0694BA" w:rsidR="3EA9F6CF">
        <w:rPr>
          <w:rFonts w:ascii="Arial" w:hAnsi="Arial" w:eastAsia="Arial" w:cs="Arial"/>
          <w:noProof w:val="0"/>
          <w:color w:val="000000" w:themeColor="text1" w:themeTint="FF" w:themeShade="FF"/>
          <w:sz w:val="22"/>
          <w:szCs w:val="22"/>
          <w:lang w:val="en-GB"/>
        </w:rPr>
        <w:t>participate</w:t>
      </w:r>
      <w:r w:rsidRPr="5B0694BA" w:rsidR="3EA9F6CF">
        <w:rPr>
          <w:rFonts w:ascii="Arial" w:hAnsi="Arial" w:eastAsia="Arial" w:cs="Arial"/>
          <w:noProof w:val="0"/>
          <w:color w:val="000000" w:themeColor="text1" w:themeTint="FF" w:themeShade="FF"/>
          <w:sz w:val="22"/>
          <w:szCs w:val="22"/>
          <w:lang w:val="en-GB"/>
        </w:rPr>
        <w:t xml:space="preserve"> fully in school life (Teach Early Years Magazine, 2026).</w:t>
      </w:r>
    </w:p>
    <w:p w:rsidR="5B0694BA" w:rsidP="5B0694BA" w:rsidRDefault="5B0694BA" w14:paraId="5FF32C54" w14:textId="5DC7DB96">
      <w:pPr>
        <w:pStyle w:val="Normal"/>
        <w:spacing w:before="0" w:beforeAutospacing="off" w:after="0" w:afterAutospacing="off" w:line="360" w:lineRule="auto"/>
        <w:ind w:left="0"/>
        <w:rPr>
          <w:rFonts w:ascii="Arial" w:hAnsi="Arial" w:eastAsia="Arial" w:cs="Arial"/>
          <w:noProof w:val="0"/>
          <w:color w:val="000000" w:themeColor="text1" w:themeTint="FF" w:themeShade="FF"/>
          <w:sz w:val="22"/>
          <w:szCs w:val="22"/>
          <w:lang w:val="en-GB"/>
        </w:rPr>
      </w:pPr>
    </w:p>
    <w:p w:rsidR="3EA9F6CF" w:rsidP="5B0694BA" w:rsidRDefault="3EA9F6CF" w14:paraId="461BC2B6" w14:textId="779032D6">
      <w:pPr>
        <w:pStyle w:val="Normal"/>
        <w:spacing w:before="0" w:beforeAutospacing="off" w:after="0" w:afterAutospacing="off" w:line="360" w:lineRule="auto"/>
        <w:ind w:left="0"/>
        <w:rPr>
          <w:rFonts w:ascii="Arial" w:hAnsi="Arial" w:eastAsia="Arial" w:cs="Arial"/>
          <w:noProof w:val="0"/>
          <w:color w:val="000000" w:themeColor="text1" w:themeTint="FF" w:themeShade="FF"/>
          <w:sz w:val="22"/>
          <w:szCs w:val="22"/>
          <w:lang w:val="en-GB"/>
        </w:rPr>
      </w:pPr>
      <w:r w:rsidRPr="5B0694BA" w:rsidR="3EA9F6CF">
        <w:rPr>
          <w:rFonts w:ascii="Arial" w:hAnsi="Arial" w:eastAsia="Arial" w:cs="Arial"/>
          <w:noProof w:val="0"/>
          <w:color w:val="000000" w:themeColor="text1" w:themeTint="FF" w:themeShade="FF"/>
          <w:sz w:val="22"/>
          <w:szCs w:val="22"/>
          <w:lang w:val="en-GB"/>
        </w:rPr>
        <w:t>Conclusion:</w:t>
      </w:r>
      <w:r w:rsidRPr="5B0694BA" w:rsidR="7D6DBAB8">
        <w:rPr>
          <w:rFonts w:ascii="Arial" w:hAnsi="Arial" w:eastAsia="Arial" w:cs="Arial"/>
          <w:noProof w:val="0"/>
          <w:color w:val="000000" w:themeColor="text1" w:themeTint="FF" w:themeShade="FF"/>
          <w:sz w:val="22"/>
          <w:szCs w:val="22"/>
          <w:lang w:val="en-GB"/>
        </w:rPr>
        <w:t xml:space="preserve"> </w:t>
      </w:r>
    </w:p>
    <w:p w:rsidR="2AC878A4" w:rsidP="5B0694BA" w:rsidRDefault="2AC878A4" w14:paraId="70C21C91" w14:textId="516271D4">
      <w:pPr>
        <w:spacing w:before="0" w:beforeAutospacing="off" w:after="0" w:afterAutospacing="off" w:line="360" w:lineRule="auto"/>
        <w:rPr>
          <w:rFonts w:ascii="Arial" w:hAnsi="Arial" w:eastAsia="Arial" w:cs="Arial"/>
          <w:noProof w:val="0"/>
          <w:color w:val="000000" w:themeColor="text1" w:themeTint="FF" w:themeShade="FF"/>
          <w:sz w:val="22"/>
          <w:szCs w:val="22"/>
          <w:lang w:val="en-GB"/>
        </w:rPr>
      </w:pPr>
      <w:r w:rsidRPr="5B0694BA" w:rsidR="2AC878A4">
        <w:rPr>
          <w:rFonts w:ascii="Arial" w:hAnsi="Arial" w:eastAsia="Arial" w:cs="Arial"/>
          <w:noProof w:val="0"/>
          <w:color w:val="000000" w:themeColor="text1" w:themeTint="FF" w:themeShade="FF"/>
          <w:sz w:val="22"/>
          <w:szCs w:val="22"/>
          <w:lang w:val="en-GB"/>
        </w:rPr>
        <w:t>Type 1 diabetes is a complex, life-altering autoimmune condition that necessitates intensive, continuous self-management. While symptoms such as polyuria and fatigue indicate the onset, advances in diagnostic measures, such as HbA1c monitoring, CGM sensors, and early autoantibody screening, have significantly improved clinical tracking. Exogenous insulin therapy is heavily relied on for control, and hybrid closed-loop technology represents a significant improvement in patient care.</w:t>
      </w:r>
    </w:p>
    <w:p w:rsidR="5B0694BA" w:rsidP="5B0694BA" w:rsidRDefault="5B0694BA" w14:paraId="1CC55D1E" w14:textId="655FABD8">
      <w:pPr>
        <w:spacing w:before="0" w:beforeAutospacing="off" w:after="0" w:afterAutospacing="off" w:line="360" w:lineRule="auto"/>
        <w:rPr>
          <w:rFonts w:ascii="Arial" w:hAnsi="Arial" w:eastAsia="Arial" w:cs="Arial"/>
          <w:sz w:val="22"/>
          <w:szCs w:val="22"/>
        </w:rPr>
      </w:pPr>
    </w:p>
    <w:p w:rsidR="2AC878A4" w:rsidP="5B0694BA" w:rsidRDefault="2AC878A4" w14:paraId="130FAD38" w14:textId="029241D3">
      <w:pPr>
        <w:spacing w:before="0" w:beforeAutospacing="off" w:after="0" w:afterAutospacing="off" w:line="360" w:lineRule="auto"/>
        <w:rPr>
          <w:rFonts w:ascii="Arial" w:hAnsi="Arial" w:eastAsia="Arial" w:cs="Arial"/>
          <w:noProof w:val="0"/>
          <w:color w:val="000000" w:themeColor="text1" w:themeTint="FF" w:themeShade="FF"/>
          <w:sz w:val="22"/>
          <w:szCs w:val="22"/>
          <w:lang w:val="en-GB"/>
        </w:rPr>
      </w:pPr>
      <w:r w:rsidRPr="5B0694BA" w:rsidR="2AC878A4">
        <w:rPr>
          <w:rFonts w:ascii="Arial" w:hAnsi="Arial" w:eastAsia="Arial" w:cs="Arial"/>
          <w:noProof w:val="0"/>
          <w:color w:val="000000" w:themeColor="text1" w:themeTint="FF" w:themeShade="FF"/>
          <w:sz w:val="22"/>
          <w:szCs w:val="22"/>
          <w:lang w:val="en-GB"/>
        </w:rPr>
        <w:t xml:space="preserve">However, the consequences of poor control remain severe, manifesting as acute DKA or debilitating long-term cardiovascular, renal, and neurological damage, as well as profound mental health issues. Mitigating these risks necessitates robust, integrated health and social care services, ranging from specialised clinical teams to community education programmes. Continued funding and equal access to diabetes technology are critical to reducing the condition's long-term societal and economic burden in the UK. </w:t>
      </w:r>
    </w:p>
    <w:p w:rsidR="5B0694BA" w:rsidP="5B0694BA" w:rsidRDefault="5B0694BA" w14:paraId="623CFA96" w14:textId="45DB9869">
      <w:pPr>
        <w:spacing w:before="0" w:beforeAutospacing="off" w:after="0" w:afterAutospacing="off" w:line="360" w:lineRule="auto"/>
        <w:rPr>
          <w:rFonts w:ascii="Arial" w:hAnsi="Arial" w:eastAsia="Arial" w:cs="Arial"/>
          <w:sz w:val="22"/>
          <w:szCs w:val="22"/>
        </w:rPr>
      </w:pPr>
    </w:p>
    <w:p w:rsidR="5B0694BA" w:rsidP="5B0694BA" w:rsidRDefault="5B0694BA" w14:paraId="47C6ACAC" w14:textId="6A9EEF26">
      <w:pPr>
        <w:spacing w:before="240" w:beforeAutospacing="off" w:after="240" w:afterAutospacing="off" w:line="360" w:lineRule="auto"/>
        <w:rPr>
          <w:rFonts w:ascii="Arial" w:hAnsi="Arial" w:eastAsia="Arial" w:cs="Arial"/>
          <w:noProof w:val="0"/>
          <w:color w:val="000000" w:themeColor="text1" w:themeTint="FF" w:themeShade="FF"/>
          <w:sz w:val="22"/>
          <w:szCs w:val="22"/>
          <w:lang w:val="en-GB"/>
        </w:rPr>
      </w:pPr>
    </w:p>
    <w:p w:rsidR="5B0694BA" w:rsidP="5B0694BA" w:rsidRDefault="5B0694BA" w14:paraId="53ACCB35" w14:textId="03487863">
      <w:pPr>
        <w:spacing w:before="240" w:beforeAutospacing="off" w:after="240" w:afterAutospacing="off" w:line="360" w:lineRule="auto"/>
        <w:rPr>
          <w:rFonts w:ascii="Arial" w:hAnsi="Arial" w:eastAsia="Arial" w:cs="Arial"/>
          <w:noProof w:val="0"/>
          <w:color w:val="000000" w:themeColor="text1" w:themeTint="FF" w:themeShade="FF"/>
          <w:sz w:val="22"/>
          <w:szCs w:val="22"/>
          <w:lang w:val="en-GB"/>
        </w:rPr>
      </w:pPr>
    </w:p>
    <w:p w:rsidR="5B0694BA" w:rsidP="5B0694BA" w:rsidRDefault="5B0694BA" w14:paraId="47024AD6" w14:textId="6002068D">
      <w:pPr>
        <w:spacing w:before="240" w:beforeAutospacing="off" w:after="240" w:afterAutospacing="off" w:line="360" w:lineRule="auto"/>
        <w:rPr>
          <w:rFonts w:ascii="Arial" w:hAnsi="Arial" w:eastAsia="Arial" w:cs="Arial"/>
          <w:noProof w:val="0"/>
          <w:color w:val="000000" w:themeColor="text1" w:themeTint="FF" w:themeShade="FF"/>
          <w:sz w:val="22"/>
          <w:szCs w:val="22"/>
          <w:lang w:val="en-GB"/>
        </w:rPr>
      </w:pPr>
    </w:p>
    <w:p w:rsidR="5B0694BA" w:rsidP="5B0694BA" w:rsidRDefault="5B0694BA" w14:paraId="267E1A24" w14:textId="203FC93E">
      <w:pPr>
        <w:spacing w:before="240" w:beforeAutospacing="off" w:after="240" w:afterAutospacing="off" w:line="360" w:lineRule="auto"/>
        <w:rPr>
          <w:rFonts w:ascii="Arial" w:hAnsi="Arial" w:eastAsia="Arial" w:cs="Arial"/>
          <w:noProof w:val="0"/>
          <w:color w:val="000000" w:themeColor="text1" w:themeTint="FF" w:themeShade="FF"/>
          <w:sz w:val="22"/>
          <w:szCs w:val="22"/>
          <w:lang w:val="en-GB"/>
        </w:rPr>
      </w:pPr>
    </w:p>
    <w:p w:rsidR="5B0694BA" w:rsidP="5B0694BA" w:rsidRDefault="5B0694BA" w14:paraId="6CA72F65" w14:textId="12ED2A85">
      <w:pPr>
        <w:pStyle w:val="Normal"/>
        <w:spacing w:before="240" w:beforeAutospacing="off" w:after="240" w:afterAutospacing="off" w:line="360" w:lineRule="auto"/>
        <w:rPr>
          <w:rFonts w:ascii="Arial" w:hAnsi="Arial" w:eastAsia="Arial" w:cs="Arial"/>
          <w:noProof w:val="0"/>
          <w:color w:val="000000" w:themeColor="text1" w:themeTint="FF" w:themeShade="FF"/>
          <w:sz w:val="22"/>
          <w:szCs w:val="22"/>
          <w:lang w:val="en-GB"/>
        </w:rPr>
      </w:pPr>
    </w:p>
    <w:p w:rsidR="5B0694BA" w:rsidP="5B0694BA" w:rsidRDefault="5B0694BA" w14:paraId="77A0E69B" w14:textId="6397567A">
      <w:pPr>
        <w:pStyle w:val="Normal"/>
        <w:spacing w:before="240" w:beforeAutospacing="off" w:after="240" w:afterAutospacing="off" w:line="360" w:lineRule="auto"/>
        <w:rPr>
          <w:rFonts w:ascii="Arial" w:hAnsi="Arial" w:eastAsia="Arial" w:cs="Arial"/>
          <w:noProof w:val="0"/>
          <w:color w:val="000000" w:themeColor="text1" w:themeTint="FF" w:themeShade="FF"/>
          <w:sz w:val="22"/>
          <w:szCs w:val="22"/>
          <w:lang w:val="en-GB"/>
        </w:rPr>
      </w:pPr>
    </w:p>
    <w:p w:rsidR="2AC878A4" w:rsidP="5B0694BA" w:rsidRDefault="2AC878A4" w14:paraId="750FFA7E" w14:textId="1E14191E">
      <w:pPr>
        <w:pStyle w:val="Normal"/>
        <w:spacing w:before="240" w:beforeAutospacing="off" w:after="240" w:afterAutospacing="off" w:line="360" w:lineRule="auto"/>
        <w:rPr>
          <w:rFonts w:ascii="Arial" w:hAnsi="Arial" w:eastAsia="Arial" w:cs="Arial"/>
          <w:noProof w:val="0"/>
          <w:color w:val="000000" w:themeColor="text1" w:themeTint="FF" w:themeShade="FF"/>
          <w:sz w:val="22"/>
          <w:szCs w:val="22"/>
          <w:lang w:val="en-GB"/>
        </w:rPr>
      </w:pPr>
      <w:r w:rsidRPr="5B0694BA" w:rsidR="2AC878A4">
        <w:rPr>
          <w:rFonts w:ascii="Arial" w:hAnsi="Arial" w:eastAsia="Arial" w:cs="Arial"/>
          <w:noProof w:val="0"/>
          <w:color w:val="000000" w:themeColor="text1" w:themeTint="FF" w:themeShade="FF"/>
          <w:sz w:val="22"/>
          <w:szCs w:val="22"/>
          <w:lang w:val="en-GB"/>
        </w:rPr>
        <w:t>References:</w:t>
      </w:r>
    </w:p>
    <w:p w:rsidR="2AC878A4" w:rsidP="5B0694BA" w:rsidRDefault="2AC878A4" w14:paraId="43FB011F" w14:textId="0C9422AE">
      <w:pPr>
        <w:spacing w:before="240" w:beforeAutospacing="off" w:after="240" w:afterAutospacing="off" w:line="360" w:lineRule="auto"/>
        <w:rPr>
          <w:rFonts w:ascii="Arial" w:hAnsi="Arial" w:eastAsia="Arial" w:cs="Arial"/>
          <w:noProof w:val="0"/>
          <w:color w:val="000000" w:themeColor="text1" w:themeTint="FF" w:themeShade="FF"/>
          <w:sz w:val="22"/>
          <w:szCs w:val="22"/>
          <w:lang w:val="en-GB"/>
        </w:rPr>
      </w:pPr>
      <w:r w:rsidRPr="5B0694BA" w:rsidR="2AC878A4">
        <w:rPr>
          <w:rFonts w:ascii="Arial" w:hAnsi="Arial" w:eastAsia="Arial" w:cs="Arial"/>
          <w:noProof w:val="0"/>
          <w:color w:val="000000" w:themeColor="text1" w:themeTint="FF" w:themeShade="FF"/>
          <w:sz w:val="22"/>
          <w:szCs w:val="22"/>
          <w:lang w:val="en-GB"/>
        </w:rPr>
        <w:t xml:space="preserve">• Diabetes UK (2026) How many people in the UK have diabetes? Available at: </w:t>
      </w:r>
      <w:hyperlink r:id="R2495bbdd51044590">
        <w:r w:rsidRPr="5B0694BA" w:rsidR="2AC878A4">
          <w:rPr>
            <w:rStyle w:val="Hyperlink"/>
            <w:rFonts w:ascii="Arial" w:hAnsi="Arial" w:eastAsia="Arial" w:cs="Arial"/>
            <w:noProof w:val="0"/>
            <w:color w:val="0078D7"/>
            <w:sz w:val="22"/>
            <w:szCs w:val="22"/>
            <w:lang w:val="en-GB"/>
          </w:rPr>
          <w:t>https://www.diabetes.org.uk/about-us/about-the-charity/our-strategy/statistics</w:t>
        </w:r>
      </w:hyperlink>
      <w:r w:rsidRPr="5B0694BA" w:rsidR="2AC878A4">
        <w:rPr>
          <w:rFonts w:ascii="Arial" w:hAnsi="Arial" w:eastAsia="Arial" w:cs="Arial"/>
          <w:noProof w:val="0"/>
          <w:color w:val="000000" w:themeColor="text1" w:themeTint="FF" w:themeShade="FF"/>
          <w:sz w:val="22"/>
          <w:szCs w:val="22"/>
          <w:lang w:val="en-GB"/>
        </w:rPr>
        <w:t>.</w:t>
      </w:r>
    </w:p>
    <w:p w:rsidR="2AC878A4" w:rsidP="5B0694BA" w:rsidRDefault="2AC878A4" w14:paraId="76BAC7A5" w14:textId="5B2F92D0">
      <w:pPr>
        <w:spacing w:before="240" w:beforeAutospacing="off" w:after="240" w:afterAutospacing="off" w:line="360" w:lineRule="auto"/>
        <w:rPr>
          <w:rFonts w:ascii="Arial" w:hAnsi="Arial" w:eastAsia="Arial" w:cs="Arial"/>
          <w:noProof w:val="0"/>
          <w:color w:val="000000" w:themeColor="text1" w:themeTint="FF" w:themeShade="FF"/>
          <w:sz w:val="22"/>
          <w:szCs w:val="22"/>
          <w:lang w:val="en-GB"/>
        </w:rPr>
      </w:pPr>
      <w:r w:rsidRPr="5B0694BA" w:rsidR="2AC878A4">
        <w:rPr>
          <w:rFonts w:ascii="Arial" w:hAnsi="Arial" w:eastAsia="Arial" w:cs="Arial"/>
          <w:noProof w:val="0"/>
          <w:color w:val="000000" w:themeColor="text1" w:themeTint="FF" w:themeShade="FF"/>
          <w:sz w:val="22"/>
          <w:szCs w:val="22"/>
          <w:lang w:val="en-GB"/>
        </w:rPr>
        <w:t xml:space="preserve">• </w:t>
      </w:r>
      <w:r w:rsidRPr="5B0694BA" w:rsidR="2AC878A4">
        <w:rPr>
          <w:rFonts w:ascii="Arial" w:hAnsi="Arial" w:eastAsia="Arial" w:cs="Arial"/>
          <w:noProof w:val="0"/>
          <w:color w:val="000000" w:themeColor="text1" w:themeTint="FF" w:themeShade="FF"/>
          <w:sz w:val="22"/>
          <w:szCs w:val="22"/>
          <w:lang w:val="en-GB"/>
        </w:rPr>
        <w:t>DownHome</w:t>
      </w:r>
      <w:r w:rsidRPr="5B0694BA" w:rsidR="2AC878A4">
        <w:rPr>
          <w:rFonts w:ascii="Arial" w:hAnsi="Arial" w:eastAsia="Arial" w:cs="Arial"/>
          <w:noProof w:val="0"/>
          <w:color w:val="000000" w:themeColor="text1" w:themeTint="FF" w:themeShade="FF"/>
          <w:sz w:val="22"/>
          <w:szCs w:val="22"/>
          <w:lang w:val="en-GB"/>
        </w:rPr>
        <w:t xml:space="preserve"> Pharmacy (2025) Adults Diagnosed </w:t>
      </w:r>
      <w:r w:rsidRPr="5B0694BA" w:rsidR="6189F73E">
        <w:rPr>
          <w:rFonts w:ascii="Arial" w:hAnsi="Arial" w:eastAsia="Arial" w:cs="Arial"/>
          <w:noProof w:val="0"/>
          <w:color w:val="000000" w:themeColor="text1" w:themeTint="FF" w:themeShade="FF"/>
          <w:sz w:val="22"/>
          <w:szCs w:val="22"/>
          <w:lang w:val="en-GB"/>
        </w:rPr>
        <w:t>with</w:t>
      </w:r>
      <w:r w:rsidRPr="5B0694BA" w:rsidR="2AC878A4">
        <w:rPr>
          <w:rFonts w:ascii="Arial" w:hAnsi="Arial" w:eastAsia="Arial" w:cs="Arial"/>
          <w:noProof w:val="0"/>
          <w:color w:val="000000" w:themeColor="text1" w:themeTint="FF" w:themeShade="FF"/>
          <w:sz w:val="22"/>
          <w:szCs w:val="22"/>
          <w:lang w:val="en-GB"/>
        </w:rPr>
        <w:t xml:space="preserve"> Type 1 Diabetes Face Heart Health Issues, Risk </w:t>
      </w:r>
      <w:r w:rsidRPr="5B0694BA" w:rsidR="55A387B8">
        <w:rPr>
          <w:rFonts w:ascii="Arial" w:hAnsi="Arial" w:eastAsia="Arial" w:cs="Arial"/>
          <w:noProof w:val="0"/>
          <w:color w:val="000000" w:themeColor="text1" w:themeTint="FF" w:themeShade="FF"/>
          <w:sz w:val="22"/>
          <w:szCs w:val="22"/>
          <w:lang w:val="en-GB"/>
        </w:rPr>
        <w:t>of</w:t>
      </w:r>
      <w:r w:rsidRPr="5B0694BA" w:rsidR="2AC878A4">
        <w:rPr>
          <w:rFonts w:ascii="Arial" w:hAnsi="Arial" w:eastAsia="Arial" w:cs="Arial"/>
          <w:noProof w:val="0"/>
          <w:color w:val="000000" w:themeColor="text1" w:themeTint="FF" w:themeShade="FF"/>
          <w:sz w:val="22"/>
          <w:szCs w:val="22"/>
          <w:lang w:val="en-GB"/>
        </w:rPr>
        <w:t xml:space="preserve"> Early Death. Available at: </w:t>
      </w:r>
      <w:hyperlink r:id="Re5c9d19bb6374491">
        <w:r w:rsidRPr="5B0694BA" w:rsidR="2AC878A4">
          <w:rPr>
            <w:rStyle w:val="Hyperlink"/>
            <w:rFonts w:ascii="Arial" w:hAnsi="Arial" w:eastAsia="Arial" w:cs="Arial"/>
            <w:noProof w:val="0"/>
            <w:color w:val="0078D7"/>
            <w:sz w:val="22"/>
            <w:szCs w:val="22"/>
            <w:lang w:val="en-GB"/>
          </w:rPr>
          <w:t>https://www.downhomepharmacy.net/patient-resources/article/1747328501781/adults-diagnosed-with-type-1-diabetes-face-heart-health-issues-risk-of-early-death</w:t>
        </w:r>
      </w:hyperlink>
      <w:r w:rsidRPr="5B0694BA" w:rsidR="2AC878A4">
        <w:rPr>
          <w:rFonts w:ascii="Arial" w:hAnsi="Arial" w:eastAsia="Arial" w:cs="Arial"/>
          <w:noProof w:val="0"/>
          <w:color w:val="000000" w:themeColor="text1" w:themeTint="FF" w:themeShade="FF"/>
          <w:sz w:val="22"/>
          <w:szCs w:val="22"/>
          <w:lang w:val="en-GB"/>
        </w:rPr>
        <w:t>.</w:t>
      </w:r>
    </w:p>
    <w:p w:rsidR="2AC878A4" w:rsidP="5B0694BA" w:rsidRDefault="2AC878A4" w14:paraId="5090BD37" w14:textId="0EE1C464">
      <w:pPr>
        <w:spacing w:before="240" w:beforeAutospacing="off" w:after="240" w:afterAutospacing="off" w:line="360" w:lineRule="auto"/>
        <w:rPr>
          <w:rFonts w:ascii="Arial" w:hAnsi="Arial" w:eastAsia="Arial" w:cs="Arial"/>
          <w:noProof w:val="0"/>
          <w:color w:val="000000" w:themeColor="text1" w:themeTint="FF" w:themeShade="FF"/>
          <w:sz w:val="22"/>
          <w:szCs w:val="22"/>
          <w:lang w:val="en-GB"/>
        </w:rPr>
      </w:pPr>
      <w:r w:rsidRPr="5B0694BA" w:rsidR="2AC878A4">
        <w:rPr>
          <w:rFonts w:ascii="Arial" w:hAnsi="Arial" w:eastAsia="Arial" w:cs="Arial"/>
          <w:noProof w:val="0"/>
          <w:color w:val="000000" w:themeColor="text1" w:themeTint="FF" w:themeShade="FF"/>
          <w:sz w:val="22"/>
          <w:szCs w:val="22"/>
          <w:lang w:val="en-GB"/>
        </w:rPr>
        <w:t xml:space="preserve">• Mantua Station Drug (2025) People </w:t>
      </w:r>
      <w:r w:rsidRPr="5B0694BA" w:rsidR="50406C04">
        <w:rPr>
          <w:rFonts w:ascii="Arial" w:hAnsi="Arial" w:eastAsia="Arial" w:cs="Arial"/>
          <w:noProof w:val="0"/>
          <w:color w:val="000000" w:themeColor="text1" w:themeTint="FF" w:themeShade="FF"/>
          <w:sz w:val="22"/>
          <w:szCs w:val="22"/>
          <w:lang w:val="en-GB"/>
        </w:rPr>
        <w:t>with</w:t>
      </w:r>
      <w:r w:rsidRPr="5B0694BA" w:rsidR="2AC878A4">
        <w:rPr>
          <w:rFonts w:ascii="Arial" w:hAnsi="Arial" w:eastAsia="Arial" w:cs="Arial"/>
          <w:noProof w:val="0"/>
          <w:color w:val="000000" w:themeColor="text1" w:themeTint="FF" w:themeShade="FF"/>
          <w:sz w:val="22"/>
          <w:szCs w:val="22"/>
          <w:lang w:val="en-GB"/>
        </w:rPr>
        <w:t xml:space="preserve"> Diabetes Face Dramatically Higher Odds </w:t>
      </w:r>
      <w:r w:rsidRPr="5B0694BA" w:rsidR="4BB68F40">
        <w:rPr>
          <w:rFonts w:ascii="Arial" w:hAnsi="Arial" w:eastAsia="Arial" w:cs="Arial"/>
          <w:noProof w:val="0"/>
          <w:color w:val="000000" w:themeColor="text1" w:themeTint="FF" w:themeShade="FF"/>
          <w:sz w:val="22"/>
          <w:szCs w:val="22"/>
          <w:lang w:val="en-GB"/>
        </w:rPr>
        <w:t>of</w:t>
      </w:r>
      <w:r w:rsidRPr="5B0694BA" w:rsidR="2AC878A4">
        <w:rPr>
          <w:rFonts w:ascii="Arial" w:hAnsi="Arial" w:eastAsia="Arial" w:cs="Arial"/>
          <w:noProof w:val="0"/>
          <w:color w:val="000000" w:themeColor="text1" w:themeTint="FF" w:themeShade="FF"/>
          <w:sz w:val="22"/>
          <w:szCs w:val="22"/>
          <w:lang w:val="en-GB"/>
        </w:rPr>
        <w:t xml:space="preserve"> Sudden Cardiac Death. Available at: </w:t>
      </w:r>
      <w:hyperlink r:id="R7ad1ff0116bd4f4d">
        <w:r w:rsidRPr="5B0694BA" w:rsidR="2AC878A4">
          <w:rPr>
            <w:rStyle w:val="Hyperlink"/>
            <w:rFonts w:ascii="Arial" w:hAnsi="Arial" w:eastAsia="Arial" w:cs="Arial"/>
            <w:noProof w:val="0"/>
            <w:color w:val="0078D7"/>
            <w:sz w:val="22"/>
            <w:szCs w:val="22"/>
            <w:lang w:val="en-GB"/>
          </w:rPr>
          <w:t>https://mantuastationrx.com/patient-resources/article/1764782086427/people-with-diabetes-face-dramatically-higher-odds-of-sudden-cardiac-death</w:t>
        </w:r>
      </w:hyperlink>
      <w:r w:rsidRPr="5B0694BA" w:rsidR="2AC878A4">
        <w:rPr>
          <w:rFonts w:ascii="Arial" w:hAnsi="Arial" w:eastAsia="Arial" w:cs="Arial"/>
          <w:noProof w:val="0"/>
          <w:color w:val="000000" w:themeColor="text1" w:themeTint="FF" w:themeShade="FF"/>
          <w:sz w:val="22"/>
          <w:szCs w:val="22"/>
          <w:lang w:val="en-GB"/>
        </w:rPr>
        <w:t>.</w:t>
      </w:r>
    </w:p>
    <w:p w:rsidR="2AC878A4" w:rsidP="5B0694BA" w:rsidRDefault="2AC878A4" w14:paraId="23AF5755" w14:textId="1A8F2548">
      <w:pPr>
        <w:spacing w:before="240" w:beforeAutospacing="off" w:after="240" w:afterAutospacing="off" w:line="360" w:lineRule="auto"/>
        <w:rPr>
          <w:rFonts w:ascii="Arial" w:hAnsi="Arial" w:eastAsia="Arial" w:cs="Arial"/>
          <w:noProof w:val="0"/>
          <w:color w:val="000000" w:themeColor="text1" w:themeTint="FF" w:themeShade="FF"/>
          <w:sz w:val="22"/>
          <w:szCs w:val="22"/>
          <w:lang w:val="en-GB"/>
        </w:rPr>
      </w:pPr>
      <w:r w:rsidRPr="5B0694BA" w:rsidR="2AC878A4">
        <w:rPr>
          <w:rFonts w:ascii="Arial" w:hAnsi="Arial" w:eastAsia="Arial" w:cs="Arial"/>
          <w:noProof w:val="0"/>
          <w:color w:val="000000" w:themeColor="text1" w:themeTint="FF" w:themeShade="FF"/>
          <w:sz w:val="22"/>
          <w:szCs w:val="22"/>
          <w:lang w:val="en-GB"/>
        </w:rPr>
        <w:t xml:space="preserve">• NHS England Digital (2026) National Diabetes Audit Core Report 1: Care Processes and Treatment Targets 2024-25. Available at: </w:t>
      </w:r>
      <w:hyperlink r:id="Rb8089e70a9c8452e">
        <w:r w:rsidRPr="5B0694BA" w:rsidR="2AC878A4">
          <w:rPr>
            <w:rStyle w:val="Hyperlink"/>
            <w:rFonts w:ascii="Arial" w:hAnsi="Arial" w:eastAsia="Arial" w:cs="Arial"/>
            <w:noProof w:val="0"/>
            <w:color w:val="0078D7"/>
            <w:sz w:val="22"/>
            <w:szCs w:val="22"/>
            <w:lang w:val="en-GB"/>
          </w:rPr>
          <w:t>https://digital.nhs.uk/data-and-information/publications/statistical/national-diabetes-audit</w:t>
        </w:r>
      </w:hyperlink>
      <w:r w:rsidRPr="5B0694BA" w:rsidR="2AC878A4">
        <w:rPr>
          <w:rFonts w:ascii="Arial" w:hAnsi="Arial" w:eastAsia="Arial" w:cs="Arial"/>
          <w:noProof w:val="0"/>
          <w:color w:val="000000" w:themeColor="text1" w:themeTint="FF" w:themeShade="FF"/>
          <w:sz w:val="22"/>
          <w:szCs w:val="22"/>
          <w:lang w:val="en-GB"/>
        </w:rPr>
        <w:t>.</w:t>
      </w:r>
    </w:p>
    <w:p w:rsidR="2AC878A4" w:rsidP="5B0694BA" w:rsidRDefault="2AC878A4" w14:paraId="25C707FF" w14:textId="5F320E3B">
      <w:pPr>
        <w:spacing w:before="240" w:beforeAutospacing="off" w:after="240" w:afterAutospacing="off" w:line="360" w:lineRule="auto"/>
        <w:rPr>
          <w:rFonts w:ascii="Arial" w:hAnsi="Arial" w:eastAsia="Arial" w:cs="Arial"/>
          <w:noProof w:val="0"/>
          <w:color w:val="000000" w:themeColor="text1" w:themeTint="FF" w:themeShade="FF"/>
          <w:sz w:val="22"/>
          <w:szCs w:val="22"/>
          <w:lang w:val="en-GB"/>
        </w:rPr>
      </w:pPr>
      <w:r w:rsidRPr="5B0694BA" w:rsidR="2AC878A4">
        <w:rPr>
          <w:rFonts w:ascii="Arial" w:hAnsi="Arial" w:eastAsia="Arial" w:cs="Arial"/>
          <w:noProof w:val="0"/>
          <w:color w:val="000000" w:themeColor="text1" w:themeTint="FF" w:themeShade="FF"/>
          <w:sz w:val="22"/>
          <w:szCs w:val="22"/>
          <w:lang w:val="en-GB"/>
        </w:rPr>
        <w:t xml:space="preserve">• Teach Early Years Magazine (2026) Caring for Young Children with Type 1 Diabetes. Available at: </w:t>
      </w:r>
      <w:hyperlink r:id="Rf0f30a39c29249f4">
        <w:r w:rsidRPr="5B0694BA" w:rsidR="2AC878A4">
          <w:rPr>
            <w:rStyle w:val="Hyperlink"/>
            <w:rFonts w:ascii="Arial" w:hAnsi="Arial" w:eastAsia="Arial" w:cs="Arial"/>
            <w:noProof w:val="0"/>
            <w:color w:val="0078D7"/>
            <w:sz w:val="22"/>
            <w:szCs w:val="22"/>
            <w:lang w:val="en-GB"/>
          </w:rPr>
          <w:t>https://www.teachearlyyears.com/a-unique-child/view/health-concerns-diabetes</w:t>
        </w:r>
      </w:hyperlink>
      <w:r w:rsidRPr="5B0694BA" w:rsidR="2AC878A4">
        <w:rPr>
          <w:rFonts w:ascii="Arial" w:hAnsi="Arial" w:eastAsia="Arial" w:cs="Arial"/>
          <w:noProof w:val="0"/>
          <w:color w:val="000000" w:themeColor="text1" w:themeTint="FF" w:themeShade="FF"/>
          <w:sz w:val="22"/>
          <w:szCs w:val="22"/>
          <w:lang w:val="en-GB"/>
        </w:rPr>
        <w:t>.</w:t>
      </w:r>
    </w:p>
    <w:p w:rsidR="2AC878A4" w:rsidP="5B0694BA" w:rsidRDefault="2AC878A4" w14:paraId="7B1686DE" w14:textId="4D957E09">
      <w:pPr>
        <w:spacing w:before="240" w:beforeAutospacing="off" w:after="240" w:afterAutospacing="off" w:line="360" w:lineRule="auto"/>
        <w:rPr>
          <w:rFonts w:ascii="Arial" w:hAnsi="Arial" w:eastAsia="Arial" w:cs="Arial"/>
          <w:noProof w:val="0"/>
          <w:color w:val="000000" w:themeColor="text1" w:themeTint="FF" w:themeShade="FF"/>
          <w:sz w:val="22"/>
          <w:szCs w:val="22"/>
          <w:lang w:val="en-GB"/>
        </w:rPr>
      </w:pPr>
      <w:r w:rsidRPr="5B0694BA" w:rsidR="2AC878A4">
        <w:rPr>
          <w:rFonts w:ascii="Arial" w:hAnsi="Arial" w:eastAsia="Arial" w:cs="Arial"/>
          <w:noProof w:val="0"/>
          <w:color w:val="000000" w:themeColor="text1" w:themeTint="FF" w:themeShade="FF"/>
          <w:sz w:val="22"/>
          <w:szCs w:val="22"/>
          <w:lang w:val="en-GB"/>
        </w:rPr>
        <w:t xml:space="preserve">• University of Birmingham (2026) Childhood type 1 diabetes screening is effective and could prevent thousands of emergency diagnoses. Available at: </w:t>
      </w:r>
      <w:hyperlink r:id="Rc34c720a8dd04f1f">
        <w:r w:rsidRPr="5B0694BA" w:rsidR="2AC878A4">
          <w:rPr>
            <w:rStyle w:val="Hyperlink"/>
            <w:rFonts w:ascii="Arial" w:hAnsi="Arial" w:eastAsia="Arial" w:cs="Arial"/>
            <w:noProof w:val="0"/>
            <w:color w:val="0078D7"/>
            <w:sz w:val="22"/>
            <w:szCs w:val="22"/>
            <w:lang w:val="en-GB"/>
          </w:rPr>
          <w:t>https://www.birmingham.ac.uk/news/2026/childhood-type-1-diabetes-screening-is-effective-and-could-prevent-thousands-of-emergency-diagnoses</w:t>
        </w:r>
      </w:hyperlink>
      <w:r w:rsidRPr="5B0694BA" w:rsidR="2AC878A4">
        <w:rPr>
          <w:rFonts w:ascii="Arial" w:hAnsi="Arial" w:eastAsia="Arial" w:cs="Arial"/>
          <w:noProof w:val="0"/>
          <w:color w:val="000000" w:themeColor="text1" w:themeTint="FF" w:themeShade="FF"/>
          <w:sz w:val="22"/>
          <w:szCs w:val="22"/>
          <w:lang w:val="en-GB"/>
        </w:rPr>
        <w:t>.</w:t>
      </w:r>
    </w:p>
    <w:p w:rsidR="5B0694BA" w:rsidP="5B0694BA" w:rsidRDefault="5B0694BA" w14:paraId="5F685BE7" w14:textId="197AA216">
      <w:pPr>
        <w:pStyle w:val="Normal"/>
        <w:spacing w:before="0" w:beforeAutospacing="off" w:after="0" w:afterAutospacing="off" w:line="360" w:lineRule="auto"/>
        <w:ind w:left="0"/>
        <w:rPr>
          <w:rFonts w:ascii="Arial" w:hAnsi="Arial" w:eastAsia="Arial" w:cs="Arial"/>
          <w:noProof w:val="0"/>
          <w:color w:val="000000" w:themeColor="text1" w:themeTint="FF" w:themeShade="FF"/>
          <w:sz w:val="22"/>
          <w:szCs w:val="22"/>
          <w:lang w:val="en-GB"/>
        </w:rPr>
      </w:pPr>
    </w:p>
    <w:p w:rsidR="5B0694BA" w:rsidP="5B0694BA" w:rsidRDefault="5B0694BA" w14:paraId="778531B1" w14:textId="7608CCAC">
      <w:pPr>
        <w:pStyle w:val="Normal"/>
        <w:spacing w:before="0" w:beforeAutospacing="off" w:after="0" w:afterAutospacing="off" w:line="360" w:lineRule="auto"/>
        <w:ind w:left="0"/>
        <w:rPr>
          <w:rFonts w:ascii="Arial" w:hAnsi="Arial" w:eastAsia="Arial" w:cs="Arial"/>
          <w:noProof w:val="0"/>
          <w:color w:val="000000" w:themeColor="text1" w:themeTint="FF" w:themeShade="FF"/>
          <w:sz w:val="22"/>
          <w:szCs w:val="22"/>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8yeAjMKrlCCGqT" int2:id="LoRIunTq">
      <int2:state int2:type="spell"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5a9ff85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778FCF6"/>
    <w:rsid w:val="0136BC05"/>
    <w:rsid w:val="0277890C"/>
    <w:rsid w:val="034EE7B8"/>
    <w:rsid w:val="045F3C72"/>
    <w:rsid w:val="0616F377"/>
    <w:rsid w:val="0648147E"/>
    <w:rsid w:val="07FC5E20"/>
    <w:rsid w:val="09F0BBE2"/>
    <w:rsid w:val="0A28FA1D"/>
    <w:rsid w:val="0BDF9DE1"/>
    <w:rsid w:val="0CDB8F5E"/>
    <w:rsid w:val="10431B72"/>
    <w:rsid w:val="1062F772"/>
    <w:rsid w:val="10D7DAF7"/>
    <w:rsid w:val="1173D218"/>
    <w:rsid w:val="16BFC75C"/>
    <w:rsid w:val="16FDAD5D"/>
    <w:rsid w:val="1701801F"/>
    <w:rsid w:val="195CB5F8"/>
    <w:rsid w:val="1A9A0510"/>
    <w:rsid w:val="1DE26E92"/>
    <w:rsid w:val="1ECBDCA1"/>
    <w:rsid w:val="22471E98"/>
    <w:rsid w:val="226458CA"/>
    <w:rsid w:val="235F2AD0"/>
    <w:rsid w:val="25810962"/>
    <w:rsid w:val="26D4BF08"/>
    <w:rsid w:val="2714CF1E"/>
    <w:rsid w:val="2778FCF6"/>
    <w:rsid w:val="2800E8EA"/>
    <w:rsid w:val="28361E9C"/>
    <w:rsid w:val="2A501743"/>
    <w:rsid w:val="2AC878A4"/>
    <w:rsid w:val="2D32E758"/>
    <w:rsid w:val="2DF2E131"/>
    <w:rsid w:val="2E02CE26"/>
    <w:rsid w:val="2E73E7E8"/>
    <w:rsid w:val="2EB95FB2"/>
    <w:rsid w:val="2ED89AA9"/>
    <w:rsid w:val="30FAE846"/>
    <w:rsid w:val="3305E1E5"/>
    <w:rsid w:val="33894D9D"/>
    <w:rsid w:val="35E78145"/>
    <w:rsid w:val="37461EF5"/>
    <w:rsid w:val="39B8AA64"/>
    <w:rsid w:val="39DA74D7"/>
    <w:rsid w:val="39F9BE7E"/>
    <w:rsid w:val="3C072617"/>
    <w:rsid w:val="3C4117AC"/>
    <w:rsid w:val="3DB4F482"/>
    <w:rsid w:val="3EA9F6CF"/>
    <w:rsid w:val="44848460"/>
    <w:rsid w:val="47DFD904"/>
    <w:rsid w:val="49139F87"/>
    <w:rsid w:val="4BB68F40"/>
    <w:rsid w:val="4BDCDE28"/>
    <w:rsid w:val="4E6D2AFB"/>
    <w:rsid w:val="50406C04"/>
    <w:rsid w:val="511B6021"/>
    <w:rsid w:val="520A599C"/>
    <w:rsid w:val="5362A1D7"/>
    <w:rsid w:val="538AA47D"/>
    <w:rsid w:val="55356599"/>
    <w:rsid w:val="55A387B8"/>
    <w:rsid w:val="5B0694BA"/>
    <w:rsid w:val="5BA38F70"/>
    <w:rsid w:val="5BC4715F"/>
    <w:rsid w:val="5D79CC42"/>
    <w:rsid w:val="6132DADD"/>
    <w:rsid w:val="613B73A2"/>
    <w:rsid w:val="6189F73E"/>
    <w:rsid w:val="634C020F"/>
    <w:rsid w:val="63CB86E0"/>
    <w:rsid w:val="64323077"/>
    <w:rsid w:val="64365BF6"/>
    <w:rsid w:val="65F4F50B"/>
    <w:rsid w:val="6AB474AB"/>
    <w:rsid w:val="6D2B13A4"/>
    <w:rsid w:val="6E020008"/>
    <w:rsid w:val="71AA4B94"/>
    <w:rsid w:val="71FA28A0"/>
    <w:rsid w:val="758DBEAD"/>
    <w:rsid w:val="766C8D0D"/>
    <w:rsid w:val="76E91D02"/>
    <w:rsid w:val="7873ACE1"/>
    <w:rsid w:val="78D9F7EA"/>
    <w:rsid w:val="7A71DA61"/>
    <w:rsid w:val="7AA2F9E6"/>
    <w:rsid w:val="7BD850E8"/>
    <w:rsid w:val="7D6DBAB8"/>
    <w:rsid w:val="7F8711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36E705"/>
  <w15:chartTrackingRefBased/>
  <w15:docId w15:val="{51C938D0-A6F9-4864-A51E-EAB8E217E28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5B0694BA"/>
    <w:pPr>
      <w:spacing/>
      <w:ind w:left="720"/>
      <w:contextualSpacing/>
    </w:pPr>
  </w:style>
  <w:style w:type="character" w:styleId="Hyperlink">
    <w:uiPriority w:val="99"/>
    <w:name w:val="Hyperlink"/>
    <w:basedOn w:val="DefaultParagraphFont"/>
    <w:unhideWhenUsed/>
    <w:rsid w:val="5B0694BA"/>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diabetes.org.uk/about-us/about-the-charity/our-strategy/statistics" TargetMode="External" Id="R2495bbdd51044590" /><Relationship Type="http://schemas.openxmlformats.org/officeDocument/2006/relationships/hyperlink" Target="https://www.downhomepharmacy.net/patient-resources/article/1747328501781/adults-diagnosed-with-type-1-diabetes-face-heart-health-issues-risk-of-early-death" TargetMode="External" Id="Re5c9d19bb6374491" /><Relationship Type="http://schemas.openxmlformats.org/officeDocument/2006/relationships/hyperlink" Target="https://mantuastationrx.com/patient-resources/article/1764782086427/people-with-diabetes-face-dramatically-higher-odds-of-sudden-cardiac-death" TargetMode="External" Id="R7ad1ff0116bd4f4d" /><Relationship Type="http://schemas.openxmlformats.org/officeDocument/2006/relationships/hyperlink" Target="https://digital.nhs.uk/data-and-information/publications/statistical/national-diabetes-audit" TargetMode="External" Id="Rb8089e70a9c8452e" /><Relationship Type="http://schemas.openxmlformats.org/officeDocument/2006/relationships/hyperlink" Target="https://www.teachearlyyears.com/a-unique-child/view/health-concerns-diabetes" TargetMode="External" Id="Rf0f30a39c29249f4" /><Relationship Type="http://schemas.openxmlformats.org/officeDocument/2006/relationships/hyperlink" Target="https://www.birmingham.ac.uk/news/2026/childhood-type-1-diabetes-screening-is-effective-and-could-prevent-thousands-of-emergency-diagnoses" TargetMode="External" Id="Rc34c720a8dd04f1f" /><Relationship Type="http://schemas.microsoft.com/office/2020/10/relationships/intelligence" Target="/word/intelligence2.xml" Id="R41c2b02efc014f55" /><Relationship Type="http://schemas.openxmlformats.org/officeDocument/2006/relationships/numbering" Target="/word/numbering.xml" Id="Rddbd9e9b6fec403e"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Rihana Khanam (2521442)</dc:creator>
  <keywords/>
  <dc:description/>
  <lastModifiedBy>Rihana Khanam (2521442)</lastModifiedBy>
  <revision>2</revision>
  <dcterms:created xsi:type="dcterms:W3CDTF">2026-07-21T01:18:17.3335345Z</dcterms:created>
  <dcterms:modified xsi:type="dcterms:W3CDTF">2026-07-21T02:22:52.5635674Z</dcterms:modified>
</coreProperties>
</file>