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76F7B" w14:textId="1B0065F3" w:rsidR="0025154C" w:rsidRPr="00B031FE" w:rsidRDefault="0025154C" w:rsidP="0025154C">
      <w:pPr>
        <w:spacing w:before="100" w:beforeAutospacing="1" w:after="100" w:afterAutospacing="1" w:line="240" w:lineRule="auto"/>
        <w:jc w:val="center"/>
        <w:rPr>
          <w:rFonts w:ascii="Arial" w:hAnsi="Arial" w:cs="Arial"/>
          <w:b/>
          <w:bCs/>
        </w:rPr>
      </w:pPr>
      <w:r w:rsidRPr="00B031FE">
        <w:rPr>
          <w:rFonts w:ascii="Arial" w:hAnsi="Arial" w:cs="Arial"/>
        </w:rPr>
        <w:fldChar w:fldCharType="begin"/>
      </w:r>
      <w:r w:rsidRPr="00B031FE">
        <w:rPr>
          <w:rFonts w:ascii="Arial" w:hAnsi="Arial" w:cs="Arial"/>
        </w:rPr>
        <w:instrText xml:space="preserve"> INCLUDEPICTURE "/Users/ijtehad/Library/Group Containers/UBF8T346G9.ms/WebArchiveCopyPasteTempFiles/com.microsoft.Word/University-of-Wales-Trinity-Saint-David.png" \* MERGEFORMATINET </w:instrText>
      </w:r>
      <w:r w:rsidRPr="00B031FE">
        <w:rPr>
          <w:rFonts w:ascii="Arial" w:hAnsi="Arial" w:cs="Arial"/>
        </w:rPr>
        <w:fldChar w:fldCharType="separate"/>
      </w:r>
      <w:r w:rsidRPr="00B031FE">
        <w:rPr>
          <w:rFonts w:ascii="Arial" w:hAnsi="Arial" w:cs="Arial"/>
          <w:noProof/>
        </w:rPr>
        <w:drawing>
          <wp:inline distT="0" distB="0" distL="0" distR="0" wp14:anchorId="6AED6978" wp14:editId="1090091B">
            <wp:extent cx="2581275" cy="1028504"/>
            <wp:effectExtent l="0" t="0" r="0" b="0"/>
            <wp:docPr id="1068467288"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6011" cy="1038360"/>
                    </a:xfrm>
                    <a:prstGeom prst="rect">
                      <a:avLst/>
                    </a:prstGeom>
                    <a:noFill/>
                    <a:ln>
                      <a:noFill/>
                    </a:ln>
                  </pic:spPr>
                </pic:pic>
              </a:graphicData>
            </a:graphic>
          </wp:inline>
        </w:drawing>
      </w:r>
      <w:r w:rsidRPr="00B031FE">
        <w:rPr>
          <w:rFonts w:ascii="Arial" w:hAnsi="Arial" w:cs="Arial"/>
        </w:rPr>
        <w:fldChar w:fldCharType="end"/>
      </w:r>
    </w:p>
    <w:p w14:paraId="3BA9FDE3" w14:textId="4AD8B653" w:rsidR="0025154C" w:rsidRPr="00B031FE" w:rsidRDefault="0025154C" w:rsidP="0025154C">
      <w:pPr>
        <w:spacing w:before="100" w:beforeAutospacing="1" w:after="100" w:afterAutospacing="1" w:line="240" w:lineRule="auto"/>
        <w:jc w:val="center"/>
        <w:rPr>
          <w:rFonts w:ascii="Arial" w:hAnsi="Arial" w:cs="Arial"/>
        </w:rPr>
      </w:pPr>
      <w:r w:rsidRPr="00B031FE">
        <w:rPr>
          <w:rFonts w:ascii="Arial" w:hAnsi="Arial" w:cs="Arial"/>
          <w:b/>
          <w:bCs/>
        </w:rPr>
        <w:t>Module:</w:t>
      </w:r>
      <w:r w:rsidRPr="00B031FE">
        <w:rPr>
          <w:rFonts w:ascii="Arial" w:hAnsi="Arial" w:cs="Arial"/>
        </w:rPr>
        <w:t> </w:t>
      </w:r>
      <w:r w:rsidRPr="00B031FE">
        <w:rPr>
          <w:rFonts w:ascii="Arial" w:hAnsi="Arial" w:cs="Arial"/>
          <w:b/>
          <w:bCs/>
        </w:rPr>
        <w:t>LCMB7023 Human Capital Management</w:t>
      </w:r>
    </w:p>
    <w:p w14:paraId="2133CEAC" w14:textId="77777777" w:rsidR="0025154C" w:rsidRPr="00B031FE" w:rsidRDefault="0025154C" w:rsidP="0025154C">
      <w:pPr>
        <w:spacing w:before="100" w:beforeAutospacing="1" w:after="100" w:afterAutospacing="1" w:line="240" w:lineRule="auto"/>
        <w:jc w:val="left"/>
        <w:rPr>
          <w:rFonts w:ascii="Arial" w:hAnsi="Arial" w:cs="Arial"/>
        </w:rPr>
      </w:pPr>
    </w:p>
    <w:p w14:paraId="31D2F74E" w14:textId="77777777" w:rsidR="0025154C" w:rsidRPr="00B031FE" w:rsidRDefault="0025154C" w:rsidP="0025154C">
      <w:pPr>
        <w:spacing w:before="100" w:beforeAutospacing="1" w:after="100" w:afterAutospacing="1" w:line="240" w:lineRule="auto"/>
        <w:jc w:val="left"/>
        <w:rPr>
          <w:rFonts w:ascii="Arial" w:hAnsi="Arial" w:cs="Arial"/>
        </w:rPr>
      </w:pPr>
    </w:p>
    <w:p w14:paraId="3FE2FC3C" w14:textId="77777777" w:rsidR="0025154C" w:rsidRPr="00B031FE" w:rsidRDefault="0025154C" w:rsidP="0025154C">
      <w:pPr>
        <w:spacing w:before="100" w:beforeAutospacing="1" w:after="100" w:afterAutospacing="1" w:line="240" w:lineRule="auto"/>
        <w:jc w:val="left"/>
        <w:rPr>
          <w:rFonts w:ascii="Arial" w:hAnsi="Arial" w:cs="Arial"/>
        </w:rPr>
      </w:pPr>
    </w:p>
    <w:p w14:paraId="037DB6AC" w14:textId="2106C27A" w:rsidR="0025154C" w:rsidRPr="00B031FE" w:rsidRDefault="0025154C" w:rsidP="0025154C">
      <w:pPr>
        <w:spacing w:before="100" w:beforeAutospacing="1" w:after="100" w:afterAutospacing="1" w:line="240" w:lineRule="auto"/>
        <w:jc w:val="center"/>
        <w:rPr>
          <w:rFonts w:ascii="Arial" w:hAnsi="Arial" w:cs="Arial"/>
          <w:b/>
          <w:bCs/>
          <w:color w:val="1F3864" w:themeColor="accent1" w:themeShade="80"/>
          <w:sz w:val="36"/>
          <w:szCs w:val="36"/>
        </w:rPr>
      </w:pPr>
      <w:r w:rsidRPr="00B031FE">
        <w:rPr>
          <w:rFonts w:ascii="Arial" w:hAnsi="Arial" w:cs="Arial"/>
          <w:b/>
          <w:bCs/>
          <w:i/>
          <w:iCs/>
          <w:color w:val="1F3864" w:themeColor="accent1" w:themeShade="80"/>
          <w:sz w:val="36"/>
          <w:szCs w:val="36"/>
        </w:rPr>
        <w:t>The Influence of National and International Labour Markets on HRM and IHRM Strategies</w:t>
      </w:r>
    </w:p>
    <w:p w14:paraId="0BDA200A" w14:textId="77777777" w:rsidR="0025154C" w:rsidRPr="00B031FE" w:rsidRDefault="0025154C" w:rsidP="0025154C">
      <w:pPr>
        <w:spacing w:before="100" w:beforeAutospacing="1" w:after="100" w:afterAutospacing="1" w:line="240" w:lineRule="auto"/>
        <w:jc w:val="left"/>
        <w:rPr>
          <w:rFonts w:ascii="Arial" w:hAnsi="Arial" w:cs="Arial"/>
        </w:rPr>
      </w:pPr>
    </w:p>
    <w:p w14:paraId="715654FB" w14:textId="77777777" w:rsidR="0025154C" w:rsidRPr="00B031FE" w:rsidRDefault="0025154C" w:rsidP="0025154C">
      <w:pPr>
        <w:spacing w:before="100" w:beforeAutospacing="1" w:after="100" w:afterAutospacing="1" w:line="240" w:lineRule="auto"/>
        <w:jc w:val="left"/>
        <w:rPr>
          <w:rFonts w:ascii="Arial" w:hAnsi="Arial" w:cs="Arial"/>
        </w:rPr>
      </w:pPr>
    </w:p>
    <w:p w14:paraId="6034CE21" w14:textId="77777777" w:rsidR="0025154C" w:rsidRPr="00B031FE" w:rsidRDefault="0025154C" w:rsidP="0025154C">
      <w:pPr>
        <w:spacing w:before="100" w:beforeAutospacing="1" w:after="100" w:afterAutospacing="1" w:line="240" w:lineRule="auto"/>
        <w:jc w:val="left"/>
        <w:rPr>
          <w:rFonts w:ascii="Arial" w:hAnsi="Arial" w:cs="Arial"/>
        </w:rPr>
      </w:pPr>
    </w:p>
    <w:p w14:paraId="459CE917" w14:textId="7EC6A9F5" w:rsidR="0025154C" w:rsidRPr="00B031FE" w:rsidRDefault="0025154C" w:rsidP="0025154C">
      <w:pPr>
        <w:spacing w:before="100" w:beforeAutospacing="1" w:after="100" w:afterAutospacing="1" w:line="240" w:lineRule="auto"/>
        <w:jc w:val="left"/>
        <w:rPr>
          <w:rFonts w:ascii="Arial" w:hAnsi="Arial" w:cs="Arial"/>
        </w:rPr>
      </w:pPr>
      <w:r w:rsidRPr="00B031FE">
        <w:rPr>
          <w:rFonts w:ascii="Arial" w:hAnsi="Arial" w:cs="Arial"/>
          <w:b/>
          <w:bCs/>
        </w:rPr>
        <w:t>Lecturer</w:t>
      </w:r>
      <w:r w:rsidR="00B031FE" w:rsidRPr="00B031FE">
        <w:rPr>
          <w:rFonts w:ascii="Arial" w:hAnsi="Arial" w:cs="Arial"/>
          <w:b/>
          <w:bCs/>
          <w:lang w:val="en-US"/>
        </w:rPr>
        <w:t>:</w:t>
      </w:r>
      <w:r w:rsidR="00B031FE" w:rsidRPr="00B031FE">
        <w:rPr>
          <w:rFonts w:ascii="Arial" w:hAnsi="Arial" w:cs="Arial"/>
          <w:lang w:val="en-US"/>
        </w:rPr>
        <w:t xml:space="preserve"> </w:t>
      </w:r>
      <w:r w:rsidR="00B031FE" w:rsidRPr="00B031FE">
        <w:rPr>
          <w:rFonts w:ascii="Arial" w:hAnsi="Arial" w:cs="Arial"/>
        </w:rPr>
        <w:t>Hoang Nguyen</w:t>
      </w:r>
    </w:p>
    <w:p w14:paraId="32380012" w14:textId="77777777" w:rsidR="0025154C" w:rsidRPr="00B031FE" w:rsidRDefault="0025154C" w:rsidP="0025154C">
      <w:pPr>
        <w:spacing w:before="100" w:beforeAutospacing="1" w:after="100" w:afterAutospacing="1" w:line="240" w:lineRule="auto"/>
        <w:jc w:val="left"/>
        <w:rPr>
          <w:rFonts w:ascii="Arial" w:hAnsi="Arial" w:cs="Arial"/>
        </w:rPr>
      </w:pPr>
    </w:p>
    <w:p w14:paraId="38D50EF9" w14:textId="7B90F04F" w:rsidR="0025154C" w:rsidRPr="00B031FE" w:rsidRDefault="0025154C" w:rsidP="00B031FE">
      <w:pPr>
        <w:tabs>
          <w:tab w:val="left" w:pos="1937"/>
        </w:tabs>
        <w:spacing w:before="100" w:beforeAutospacing="1" w:after="100" w:afterAutospacing="1" w:line="240" w:lineRule="auto"/>
        <w:jc w:val="left"/>
        <w:rPr>
          <w:rFonts w:ascii="Arial" w:hAnsi="Arial" w:cs="Arial"/>
          <w:lang w:val="en-US"/>
        </w:rPr>
      </w:pPr>
      <w:r w:rsidRPr="00B031FE">
        <w:rPr>
          <w:rFonts w:ascii="Arial" w:hAnsi="Arial" w:cs="Arial"/>
          <w:b/>
          <w:bCs/>
        </w:rPr>
        <w:t>Student Name</w:t>
      </w:r>
      <w:r w:rsidRPr="00B031FE">
        <w:rPr>
          <w:rFonts w:ascii="Arial" w:hAnsi="Arial" w:cs="Arial"/>
          <w:b/>
          <w:bCs/>
          <w:lang w:val="en-US"/>
        </w:rPr>
        <w:t>:</w:t>
      </w:r>
      <w:r w:rsidR="00B031FE" w:rsidRPr="00B031FE">
        <w:rPr>
          <w:rFonts w:ascii="Arial" w:hAnsi="Arial" w:cs="Arial"/>
          <w:lang w:val="en-US"/>
        </w:rPr>
        <w:t xml:space="preserve"> Rabin Hasan</w:t>
      </w:r>
      <w:r w:rsidR="00B031FE" w:rsidRPr="00B031FE">
        <w:rPr>
          <w:rFonts w:ascii="Arial" w:hAnsi="Arial" w:cs="Arial"/>
          <w:lang w:val="en-US"/>
        </w:rPr>
        <w:tab/>
        <w:t xml:space="preserve"> </w:t>
      </w:r>
    </w:p>
    <w:p w14:paraId="4200599C" w14:textId="3962D8C0" w:rsidR="0025154C" w:rsidRPr="00B031FE" w:rsidRDefault="0025154C" w:rsidP="0025154C">
      <w:pPr>
        <w:spacing w:before="100" w:beforeAutospacing="1" w:after="100" w:afterAutospacing="1" w:line="240" w:lineRule="auto"/>
        <w:jc w:val="left"/>
        <w:rPr>
          <w:rFonts w:ascii="Arial" w:hAnsi="Arial" w:cs="Arial"/>
          <w:lang w:val="en-US"/>
        </w:rPr>
      </w:pPr>
      <w:r w:rsidRPr="00B031FE">
        <w:rPr>
          <w:rFonts w:ascii="Arial" w:hAnsi="Arial" w:cs="Arial"/>
          <w:b/>
          <w:bCs/>
        </w:rPr>
        <w:t xml:space="preserve">Student </w:t>
      </w:r>
      <w:r w:rsidRPr="00B031FE">
        <w:rPr>
          <w:rFonts w:ascii="Arial" w:hAnsi="Arial" w:cs="Arial"/>
          <w:b/>
          <w:bCs/>
          <w:lang w:val="en-US"/>
        </w:rPr>
        <w:t>I</w:t>
      </w:r>
      <w:r w:rsidRPr="00B031FE">
        <w:rPr>
          <w:rFonts w:ascii="Arial" w:hAnsi="Arial" w:cs="Arial"/>
          <w:b/>
          <w:bCs/>
        </w:rPr>
        <w:t>D</w:t>
      </w:r>
      <w:r w:rsidRPr="00B031FE">
        <w:rPr>
          <w:rFonts w:ascii="Arial" w:hAnsi="Arial" w:cs="Arial"/>
          <w:b/>
          <w:bCs/>
          <w:lang w:val="en-US"/>
        </w:rPr>
        <w:t>:</w:t>
      </w:r>
      <w:r w:rsidR="00B031FE" w:rsidRPr="00B031FE">
        <w:rPr>
          <w:rFonts w:ascii="Arial" w:hAnsi="Arial" w:cs="Arial"/>
          <w:lang w:val="en-US"/>
        </w:rPr>
        <w:t xml:space="preserve"> 2504378</w:t>
      </w:r>
    </w:p>
    <w:p w14:paraId="4F9B4DCB" w14:textId="77777777" w:rsidR="0025154C" w:rsidRPr="00B031FE" w:rsidRDefault="0025154C" w:rsidP="0025154C">
      <w:pPr>
        <w:spacing w:before="100" w:beforeAutospacing="1" w:after="100" w:afterAutospacing="1" w:line="240" w:lineRule="auto"/>
        <w:jc w:val="left"/>
        <w:rPr>
          <w:rFonts w:ascii="Arial" w:hAnsi="Arial" w:cs="Arial"/>
        </w:rPr>
      </w:pPr>
    </w:p>
    <w:p w14:paraId="04D5D028" w14:textId="77777777" w:rsidR="0025154C" w:rsidRPr="00B031FE" w:rsidRDefault="0025154C" w:rsidP="0025154C">
      <w:pPr>
        <w:spacing w:before="100" w:beforeAutospacing="1" w:after="100" w:afterAutospacing="1" w:line="240" w:lineRule="auto"/>
        <w:jc w:val="left"/>
        <w:rPr>
          <w:rFonts w:ascii="Arial" w:hAnsi="Arial" w:cs="Arial"/>
        </w:rPr>
      </w:pPr>
    </w:p>
    <w:p w14:paraId="6D3E1DDB" w14:textId="0AF9BEC5" w:rsidR="0025154C" w:rsidRPr="00B031FE" w:rsidRDefault="0025154C" w:rsidP="0025154C">
      <w:pPr>
        <w:spacing w:before="100" w:beforeAutospacing="1" w:after="100" w:afterAutospacing="1" w:line="240" w:lineRule="auto"/>
        <w:jc w:val="left"/>
        <w:rPr>
          <w:rFonts w:ascii="Arial" w:hAnsi="Arial" w:cs="Arial"/>
          <w:lang w:val="en-US"/>
        </w:rPr>
      </w:pPr>
      <w:r w:rsidRPr="00B031FE">
        <w:rPr>
          <w:rFonts w:ascii="Arial" w:hAnsi="Arial" w:cs="Arial"/>
          <w:b/>
          <w:bCs/>
        </w:rPr>
        <w:t>Word Count</w:t>
      </w:r>
      <w:r w:rsidRPr="00B031FE">
        <w:rPr>
          <w:rFonts w:ascii="Arial" w:hAnsi="Arial" w:cs="Arial"/>
          <w:b/>
          <w:bCs/>
          <w:lang w:val="en-US"/>
        </w:rPr>
        <w:t>:</w:t>
      </w:r>
      <w:r w:rsidRPr="00B031FE">
        <w:rPr>
          <w:rFonts w:ascii="Arial" w:hAnsi="Arial" w:cs="Arial"/>
          <w:lang w:val="en-US"/>
        </w:rPr>
        <w:t xml:space="preserve"> 2492</w:t>
      </w:r>
    </w:p>
    <w:p w14:paraId="0C3009DC" w14:textId="77777777" w:rsidR="0025154C" w:rsidRPr="00B031FE" w:rsidRDefault="0025154C" w:rsidP="0025154C">
      <w:pPr>
        <w:spacing w:before="100" w:beforeAutospacing="1" w:after="100" w:afterAutospacing="1" w:line="240" w:lineRule="auto"/>
        <w:jc w:val="left"/>
        <w:rPr>
          <w:rFonts w:ascii="Arial" w:hAnsi="Arial" w:cs="Arial"/>
        </w:rPr>
      </w:pPr>
    </w:p>
    <w:p w14:paraId="0442CA45" w14:textId="77777777" w:rsidR="0025154C" w:rsidRPr="00B031FE" w:rsidRDefault="0025154C" w:rsidP="0025154C">
      <w:pPr>
        <w:spacing w:before="100" w:beforeAutospacing="1" w:after="100" w:afterAutospacing="1" w:line="240" w:lineRule="auto"/>
        <w:jc w:val="left"/>
        <w:rPr>
          <w:rFonts w:ascii="Arial" w:hAnsi="Arial" w:cs="Arial"/>
        </w:rPr>
      </w:pPr>
    </w:p>
    <w:p w14:paraId="571B04F3" w14:textId="77777777" w:rsidR="0025154C" w:rsidRPr="00B031FE" w:rsidRDefault="0025154C" w:rsidP="0025154C">
      <w:pPr>
        <w:spacing w:before="100" w:beforeAutospacing="1" w:after="100" w:afterAutospacing="1" w:line="240" w:lineRule="auto"/>
        <w:jc w:val="left"/>
        <w:rPr>
          <w:rFonts w:ascii="Arial" w:hAnsi="Arial" w:cs="Arial"/>
        </w:rPr>
      </w:pPr>
    </w:p>
    <w:p w14:paraId="4CC3DB17" w14:textId="5C958FE2" w:rsidR="0025154C" w:rsidRPr="00B031FE" w:rsidRDefault="0025154C" w:rsidP="0025154C">
      <w:pPr>
        <w:spacing w:before="100" w:beforeAutospacing="1" w:after="100" w:afterAutospacing="1" w:line="240" w:lineRule="auto"/>
        <w:jc w:val="center"/>
        <w:rPr>
          <w:rFonts w:ascii="Arial" w:hAnsi="Arial" w:cs="Arial"/>
          <w:lang w:val="en-US"/>
        </w:rPr>
      </w:pPr>
      <w:r w:rsidRPr="00B031FE">
        <w:rPr>
          <w:rFonts w:ascii="Arial" w:hAnsi="Arial" w:cs="Arial"/>
          <w:b/>
          <w:bCs/>
        </w:rPr>
        <w:t>Submission Date</w:t>
      </w:r>
      <w:r w:rsidR="00B031FE" w:rsidRPr="00B031FE">
        <w:rPr>
          <w:rFonts w:ascii="Arial" w:hAnsi="Arial" w:cs="Arial"/>
          <w:b/>
          <w:bCs/>
          <w:lang w:val="en-US"/>
        </w:rPr>
        <w:t>:</w:t>
      </w:r>
      <w:r w:rsidR="00B031FE" w:rsidRPr="00B031FE">
        <w:rPr>
          <w:rFonts w:ascii="Arial" w:hAnsi="Arial" w:cs="Arial"/>
          <w:lang w:val="en-US"/>
        </w:rPr>
        <w:t xml:space="preserve"> 13</w:t>
      </w:r>
      <w:r w:rsidR="00B031FE" w:rsidRPr="00B031FE">
        <w:rPr>
          <w:rFonts w:ascii="Arial" w:hAnsi="Arial" w:cs="Arial"/>
          <w:vertAlign w:val="superscript"/>
          <w:lang w:val="en-US"/>
        </w:rPr>
        <w:t>th</w:t>
      </w:r>
      <w:r w:rsidR="00B031FE" w:rsidRPr="00B031FE">
        <w:rPr>
          <w:rFonts w:ascii="Arial" w:hAnsi="Arial" w:cs="Arial"/>
          <w:lang w:val="en-US"/>
        </w:rPr>
        <w:t xml:space="preserve"> November 2025</w:t>
      </w:r>
    </w:p>
    <w:p w14:paraId="4D1BE0A6" w14:textId="2057361E" w:rsidR="0025154C" w:rsidRPr="00B031FE" w:rsidRDefault="0025154C" w:rsidP="0025154C">
      <w:pPr>
        <w:pStyle w:val="Heading1"/>
        <w:rPr>
          <w:rFonts w:ascii="Arial" w:hAnsi="Arial" w:cs="Arial"/>
          <w:sz w:val="24"/>
          <w:szCs w:val="24"/>
        </w:rPr>
      </w:pPr>
      <w:bookmarkStart w:id="0" w:name="_Toc213165280"/>
      <w:r w:rsidRPr="00B031FE">
        <w:rPr>
          <w:rFonts w:ascii="Arial" w:hAnsi="Arial" w:cs="Arial"/>
        </w:rPr>
        <w:lastRenderedPageBreak/>
        <w:t xml:space="preserve">Executive </w:t>
      </w:r>
      <w:r w:rsidRPr="00B031FE">
        <w:rPr>
          <w:rFonts w:ascii="Arial" w:hAnsi="Arial" w:cs="Arial"/>
          <w:lang w:val="en-US"/>
        </w:rPr>
        <w:t>S</w:t>
      </w:r>
      <w:r w:rsidRPr="00B031FE">
        <w:rPr>
          <w:rFonts w:ascii="Arial" w:hAnsi="Arial" w:cs="Arial"/>
        </w:rPr>
        <w:t>ummary</w:t>
      </w:r>
      <w:bookmarkEnd w:id="0"/>
    </w:p>
    <w:p w14:paraId="4186277B" w14:textId="77777777" w:rsidR="0025154C" w:rsidRPr="00B031FE" w:rsidRDefault="0025154C" w:rsidP="0025154C">
      <w:pPr>
        <w:rPr>
          <w:rFonts w:ascii="Arial" w:hAnsi="Arial" w:cs="Arial"/>
          <w:color w:val="000000"/>
        </w:rPr>
      </w:pPr>
      <w:r w:rsidRPr="00B031FE">
        <w:rPr>
          <w:rFonts w:ascii="Arial" w:hAnsi="Arial" w:cs="Arial"/>
          <w:color w:val="000000"/>
        </w:rPr>
        <w:t>This report explores how the modern world forces are transforming labour markets and, therefore, affecting the strategic focus of human resource management (HRM) and international human resource management (IHRM). The shift in the occupational structures is being created by technological progress, automation, artificial intelligence and digital platforms, and therefore requires the development of new digital skills and adaptive skill sets. Such trends require HR functions to embrace data-driven recruitment models and lifelong learning models (Cooke, Xiao and Chen, 2021). At the same time, demographic changes, including ageing, migration and the rise of political unrest, are placing major burdens on labour mobility, inclusion policies and adherence to an assortment of labour laws. Furthermore, the chronic underage of essential competencies in the international arena requires the organisations to adopt a multipolar approach- consisting of build, buy, borrow, and bind tactics- in order to be able to attract and retain talent in various fields (Baluch and Ridder, 2020). The review reflects the urge to adopt technologies, flexi-work policies, and lifelong learning within organisations to ensure a competitive edge. The reflective element considers individual preparedness to work internationally, pointing out the strong points of flexibility, collaboration, and self-directed learning, and pointing out the areas that need improvement on the cross-cultural leadership side. Overall, technological, demographic, and skills gaps can be considered interconnected forces that require agile and globally responsive HR approaches.</w:t>
      </w:r>
    </w:p>
    <w:p w14:paraId="75C76A6A" w14:textId="77777777" w:rsidR="0025154C" w:rsidRPr="00B031FE" w:rsidRDefault="0025154C" w:rsidP="0025154C">
      <w:pPr>
        <w:rPr>
          <w:rFonts w:ascii="Arial" w:hAnsi="Arial" w:cs="Arial"/>
        </w:rPr>
      </w:pPr>
      <w:r w:rsidRPr="00B031FE">
        <w:rPr>
          <w:rFonts w:ascii="Arial" w:hAnsi="Arial" w:cs="Arial"/>
        </w:rPr>
        <w:br/>
      </w:r>
    </w:p>
    <w:p w14:paraId="02F5DAAF" w14:textId="77777777" w:rsidR="0025154C" w:rsidRPr="00B031FE" w:rsidRDefault="0025154C">
      <w:pPr>
        <w:spacing w:after="160" w:line="259" w:lineRule="auto"/>
        <w:jc w:val="left"/>
        <w:rPr>
          <w:rFonts w:ascii="Arial" w:hAnsi="Arial" w:cs="Arial"/>
        </w:rPr>
      </w:pPr>
      <w:r w:rsidRPr="00B031FE">
        <w:rPr>
          <w:rFonts w:ascii="Arial" w:hAnsi="Arial" w:cs="Arial"/>
        </w:rPr>
        <w:br w:type="page"/>
      </w:r>
    </w:p>
    <w:sdt>
      <w:sdtPr>
        <w:rPr>
          <w:rFonts w:ascii="Arial" w:hAnsi="Arial" w:cs="Arial"/>
          <w:b w:val="0"/>
          <w:color w:val="auto"/>
          <w:sz w:val="24"/>
          <w:szCs w:val="24"/>
          <w:u w:val="none"/>
          <w:lang w:eastAsia="en-GB" w:bidi="bn-IN"/>
        </w:rPr>
        <w:id w:val="-1903209992"/>
        <w:docPartObj>
          <w:docPartGallery w:val="Table of Contents"/>
          <w:docPartUnique/>
        </w:docPartObj>
      </w:sdtPr>
      <w:sdtEndPr>
        <w:rPr>
          <w:noProof/>
        </w:rPr>
      </w:sdtEndPr>
      <w:sdtContent>
        <w:p w14:paraId="3EE098C2" w14:textId="4A4E9AAA" w:rsidR="0025154C" w:rsidRPr="00B031FE" w:rsidRDefault="0025154C">
          <w:pPr>
            <w:pStyle w:val="TOCHeading"/>
            <w:rPr>
              <w:rFonts w:ascii="Arial" w:hAnsi="Arial" w:cs="Arial"/>
            </w:rPr>
          </w:pPr>
          <w:r w:rsidRPr="00B031FE">
            <w:rPr>
              <w:rFonts w:ascii="Arial" w:hAnsi="Arial" w:cs="Arial"/>
            </w:rPr>
            <w:t>Table of Contents</w:t>
          </w:r>
        </w:p>
        <w:p w14:paraId="17E1CA3F" w14:textId="59DA4FDB"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r w:rsidRPr="00B031FE">
            <w:rPr>
              <w:rFonts w:ascii="Arial" w:hAnsi="Arial" w:cs="Arial"/>
              <w:b w:val="0"/>
              <w:bCs w:val="0"/>
              <w:i w:val="0"/>
              <w:iCs w:val="0"/>
            </w:rPr>
            <w:fldChar w:fldCharType="begin"/>
          </w:r>
          <w:r w:rsidRPr="00B031FE">
            <w:rPr>
              <w:rFonts w:ascii="Arial" w:hAnsi="Arial" w:cs="Arial"/>
              <w:b w:val="0"/>
              <w:bCs w:val="0"/>
              <w:i w:val="0"/>
              <w:iCs w:val="0"/>
            </w:rPr>
            <w:instrText xml:space="preserve"> TOC \o "1-3" \h \z \u </w:instrText>
          </w:r>
          <w:r w:rsidRPr="00B031FE">
            <w:rPr>
              <w:rFonts w:ascii="Arial" w:hAnsi="Arial" w:cs="Arial"/>
              <w:b w:val="0"/>
              <w:bCs w:val="0"/>
              <w:i w:val="0"/>
              <w:iCs w:val="0"/>
            </w:rPr>
            <w:fldChar w:fldCharType="separate"/>
          </w:r>
          <w:hyperlink w:anchor="_Toc213165280" w:history="1">
            <w:r w:rsidRPr="00B031FE">
              <w:rPr>
                <w:rStyle w:val="Hyperlink"/>
                <w:rFonts w:ascii="Arial" w:hAnsi="Arial" w:cs="Arial"/>
                <w:b w:val="0"/>
                <w:bCs w:val="0"/>
                <w:i w:val="0"/>
                <w:iCs w:val="0"/>
                <w:noProof/>
              </w:rPr>
              <w:t xml:space="preserve">Executive </w:t>
            </w:r>
            <w:r w:rsidRPr="00B031FE">
              <w:rPr>
                <w:rStyle w:val="Hyperlink"/>
                <w:rFonts w:ascii="Arial" w:hAnsi="Arial" w:cs="Arial"/>
                <w:b w:val="0"/>
                <w:bCs w:val="0"/>
                <w:i w:val="0"/>
                <w:iCs w:val="0"/>
                <w:noProof/>
                <w:lang w:val="en-US"/>
              </w:rPr>
              <w:t>S</w:t>
            </w:r>
            <w:r w:rsidRPr="00B031FE">
              <w:rPr>
                <w:rStyle w:val="Hyperlink"/>
                <w:rFonts w:ascii="Arial" w:hAnsi="Arial" w:cs="Arial"/>
                <w:b w:val="0"/>
                <w:bCs w:val="0"/>
                <w:i w:val="0"/>
                <w:iCs w:val="0"/>
                <w:noProof/>
              </w:rPr>
              <w:t>ummary</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_Toc213165280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2</w:t>
            </w:r>
            <w:r w:rsidRPr="00B031FE">
              <w:rPr>
                <w:rFonts w:ascii="Arial" w:hAnsi="Arial" w:cs="Arial"/>
                <w:b w:val="0"/>
                <w:bCs w:val="0"/>
                <w:i w:val="0"/>
                <w:iCs w:val="0"/>
                <w:noProof/>
                <w:webHidden/>
              </w:rPr>
              <w:fldChar w:fldCharType="end"/>
            </w:r>
          </w:hyperlink>
        </w:p>
        <w:p w14:paraId="4C189C8A" w14:textId="2B05BC68"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81" w:history="1">
            <w:r w:rsidRPr="00B031FE">
              <w:rPr>
                <w:rStyle w:val="Hyperlink"/>
                <w:rFonts w:ascii="Arial" w:hAnsi="Arial" w:cs="Arial"/>
                <w:b w:val="0"/>
                <w:bCs w:val="0"/>
                <w:i w:val="0"/>
                <w:iCs w:val="0"/>
                <w:noProof/>
              </w:rPr>
              <w:t>Introduction</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_Toc213165281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4</w:t>
            </w:r>
            <w:r w:rsidRPr="00B031FE">
              <w:rPr>
                <w:rFonts w:ascii="Arial" w:hAnsi="Arial" w:cs="Arial"/>
                <w:b w:val="0"/>
                <w:bCs w:val="0"/>
                <w:i w:val="0"/>
                <w:iCs w:val="0"/>
                <w:noProof/>
                <w:webHidden/>
              </w:rPr>
              <w:fldChar w:fldCharType="end"/>
            </w:r>
          </w:hyperlink>
        </w:p>
        <w:p w14:paraId="673A492D" w14:textId="40B7CDBC"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82" w:history="1">
            <w:r w:rsidRPr="00B031FE">
              <w:rPr>
                <w:rStyle w:val="Hyperlink"/>
                <w:rFonts w:ascii="Arial" w:hAnsi="Arial" w:cs="Arial"/>
                <w:b w:val="0"/>
                <w:bCs w:val="0"/>
                <w:i w:val="0"/>
                <w:iCs w:val="0"/>
                <w:noProof/>
              </w:rPr>
              <w:t>Q1 – Technological Advancements and Labour Markets</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_Toc213165282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5</w:t>
            </w:r>
            <w:r w:rsidRPr="00B031FE">
              <w:rPr>
                <w:rFonts w:ascii="Arial" w:hAnsi="Arial" w:cs="Arial"/>
                <w:b w:val="0"/>
                <w:bCs w:val="0"/>
                <w:i w:val="0"/>
                <w:iCs w:val="0"/>
                <w:noProof/>
                <w:webHidden/>
              </w:rPr>
              <w:fldChar w:fldCharType="end"/>
            </w:r>
          </w:hyperlink>
        </w:p>
        <w:p w14:paraId="42162488" w14:textId="3D3DA15D"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3" w:history="1">
            <w:r w:rsidRPr="00B031FE">
              <w:rPr>
                <w:rStyle w:val="Hyperlink"/>
                <w:rFonts w:ascii="Arial" w:hAnsi="Arial" w:cs="Arial"/>
                <w:b w:val="0"/>
                <w:bCs w:val="0"/>
                <w:noProof/>
                <w:sz w:val="24"/>
                <w:szCs w:val="24"/>
              </w:rPr>
              <w:t>1.1 Transformation of Work</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_Toc213165283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5</w:t>
            </w:r>
            <w:r w:rsidRPr="00B031FE">
              <w:rPr>
                <w:rFonts w:ascii="Arial" w:hAnsi="Arial" w:cs="Arial"/>
                <w:b w:val="0"/>
                <w:bCs w:val="0"/>
                <w:noProof/>
                <w:webHidden/>
                <w:sz w:val="24"/>
                <w:szCs w:val="24"/>
              </w:rPr>
              <w:fldChar w:fldCharType="end"/>
            </w:r>
          </w:hyperlink>
        </w:p>
        <w:p w14:paraId="66843F6F" w14:textId="27D78A72"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4" w:history="1">
            <w:r w:rsidRPr="00B031FE">
              <w:rPr>
                <w:rStyle w:val="Hyperlink"/>
                <w:rFonts w:ascii="Arial" w:hAnsi="Arial" w:cs="Arial"/>
                <w:b w:val="0"/>
                <w:bCs w:val="0"/>
                <w:noProof/>
                <w:sz w:val="24"/>
                <w:szCs w:val="24"/>
              </w:rPr>
              <w:t>1.2 Implications for HRM/IHRM</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_Toc213165284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5</w:t>
            </w:r>
            <w:r w:rsidRPr="00B031FE">
              <w:rPr>
                <w:rFonts w:ascii="Arial" w:hAnsi="Arial" w:cs="Arial"/>
                <w:b w:val="0"/>
                <w:bCs w:val="0"/>
                <w:noProof/>
                <w:webHidden/>
                <w:sz w:val="24"/>
                <w:szCs w:val="24"/>
              </w:rPr>
              <w:fldChar w:fldCharType="end"/>
            </w:r>
          </w:hyperlink>
        </w:p>
        <w:p w14:paraId="7A8270D8" w14:textId="442305A0"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5" w:history="1">
            <w:r w:rsidRPr="00B031FE">
              <w:rPr>
                <w:rStyle w:val="Hyperlink"/>
                <w:rFonts w:ascii="Arial" w:hAnsi="Arial" w:cs="Arial"/>
                <w:b w:val="0"/>
                <w:bCs w:val="0"/>
                <w:noProof/>
                <w:sz w:val="24"/>
                <w:szCs w:val="24"/>
              </w:rPr>
              <w:t>1.3 Synthesis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_Toc213165285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6</w:t>
            </w:r>
            <w:r w:rsidRPr="00B031FE">
              <w:rPr>
                <w:rFonts w:ascii="Arial" w:hAnsi="Arial" w:cs="Arial"/>
                <w:b w:val="0"/>
                <w:bCs w:val="0"/>
                <w:noProof/>
                <w:webHidden/>
                <w:sz w:val="24"/>
                <w:szCs w:val="24"/>
              </w:rPr>
              <w:fldChar w:fldCharType="end"/>
            </w:r>
          </w:hyperlink>
        </w:p>
        <w:p w14:paraId="79300168" w14:textId="2B8BC75D"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86" w:history="1">
            <w:r w:rsidRPr="00B031FE">
              <w:rPr>
                <w:rStyle w:val="Hyperlink"/>
                <w:rFonts w:ascii="Arial" w:hAnsi="Arial" w:cs="Arial"/>
                <w:b w:val="0"/>
                <w:bCs w:val="0"/>
                <w:i w:val="0"/>
                <w:iCs w:val="0"/>
                <w:noProof/>
              </w:rPr>
              <w:t>Q2 – Demographic and Geopolitical Factors</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_Toc213165286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6</w:t>
            </w:r>
            <w:r w:rsidRPr="00B031FE">
              <w:rPr>
                <w:rFonts w:ascii="Arial" w:hAnsi="Arial" w:cs="Arial"/>
                <w:b w:val="0"/>
                <w:bCs w:val="0"/>
                <w:i w:val="0"/>
                <w:iCs w:val="0"/>
                <w:noProof/>
                <w:webHidden/>
              </w:rPr>
              <w:fldChar w:fldCharType="end"/>
            </w:r>
          </w:hyperlink>
        </w:p>
        <w:p w14:paraId="41B2E50C" w14:textId="6A2DF12D"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7" w:history="1">
            <w:r w:rsidRPr="00B031FE">
              <w:rPr>
                <w:rStyle w:val="Hyperlink"/>
                <w:rFonts w:ascii="Arial" w:hAnsi="Arial" w:cs="Arial"/>
                <w:b w:val="0"/>
                <w:bCs w:val="0"/>
                <w:noProof/>
                <w:sz w:val="24"/>
                <w:szCs w:val="24"/>
              </w:rPr>
              <w:t>2.1 Demographic Pressures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_Toc213165287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6</w:t>
            </w:r>
            <w:r w:rsidRPr="00B031FE">
              <w:rPr>
                <w:rFonts w:ascii="Arial" w:hAnsi="Arial" w:cs="Arial"/>
                <w:b w:val="0"/>
                <w:bCs w:val="0"/>
                <w:noProof/>
                <w:webHidden/>
                <w:sz w:val="24"/>
                <w:szCs w:val="24"/>
              </w:rPr>
              <w:fldChar w:fldCharType="end"/>
            </w:r>
          </w:hyperlink>
        </w:p>
        <w:p w14:paraId="0709D75A" w14:textId="7FD8C808"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8" w:history="1">
            <w:r w:rsidRPr="00B031FE">
              <w:rPr>
                <w:rStyle w:val="Hyperlink"/>
                <w:rFonts w:ascii="Arial" w:hAnsi="Arial" w:cs="Arial"/>
                <w:b w:val="0"/>
                <w:bCs w:val="0"/>
                <w:noProof/>
                <w:sz w:val="24"/>
                <w:szCs w:val="24"/>
              </w:rPr>
              <w:t>2.2 Geopolitical Influences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_Toc213165288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6</w:t>
            </w:r>
            <w:r w:rsidRPr="00B031FE">
              <w:rPr>
                <w:rFonts w:ascii="Arial" w:hAnsi="Arial" w:cs="Arial"/>
                <w:b w:val="0"/>
                <w:bCs w:val="0"/>
                <w:noProof/>
                <w:webHidden/>
                <w:sz w:val="24"/>
                <w:szCs w:val="24"/>
              </w:rPr>
              <w:fldChar w:fldCharType="end"/>
            </w:r>
          </w:hyperlink>
        </w:p>
        <w:p w14:paraId="1F9750F1" w14:textId="54155058"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89" w:history="1">
            <w:r w:rsidRPr="00B031FE">
              <w:rPr>
                <w:rStyle w:val="Hyperlink"/>
                <w:rFonts w:ascii="Arial" w:hAnsi="Arial" w:cs="Arial"/>
                <w:b w:val="0"/>
                <w:bCs w:val="0"/>
                <w:noProof/>
                <w:sz w:val="24"/>
                <w:szCs w:val="24"/>
              </w:rPr>
              <w:t>2.3 HRM/IHRM Challenges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_Toc213165289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7</w:t>
            </w:r>
            <w:r w:rsidRPr="00B031FE">
              <w:rPr>
                <w:rFonts w:ascii="Arial" w:hAnsi="Arial" w:cs="Arial"/>
                <w:b w:val="0"/>
                <w:bCs w:val="0"/>
                <w:noProof/>
                <w:webHidden/>
                <w:sz w:val="24"/>
                <w:szCs w:val="24"/>
              </w:rPr>
              <w:fldChar w:fldCharType="end"/>
            </w:r>
          </w:hyperlink>
        </w:p>
        <w:p w14:paraId="0B08FEB4" w14:textId="0D85077F"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0" w:history="1">
            <w:r w:rsidRPr="00B031FE">
              <w:rPr>
                <w:rStyle w:val="Hyperlink"/>
                <w:rFonts w:ascii="Arial" w:hAnsi="Arial" w:cs="Arial"/>
                <w:b w:val="0"/>
                <w:bCs w:val="0"/>
                <w:noProof/>
                <w:sz w:val="24"/>
                <w:szCs w:val="24"/>
              </w:rPr>
              <w:t>2.4 Synthesis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_Toc213165290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7</w:t>
            </w:r>
            <w:r w:rsidRPr="00B031FE">
              <w:rPr>
                <w:rFonts w:ascii="Arial" w:hAnsi="Arial" w:cs="Arial"/>
                <w:b w:val="0"/>
                <w:bCs w:val="0"/>
                <w:noProof/>
                <w:webHidden/>
                <w:sz w:val="24"/>
                <w:szCs w:val="24"/>
              </w:rPr>
              <w:fldChar w:fldCharType="end"/>
            </w:r>
          </w:hyperlink>
        </w:p>
        <w:p w14:paraId="731FE800" w14:textId="76E28690"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91" w:history="1">
            <w:r w:rsidRPr="00B031FE">
              <w:rPr>
                <w:rStyle w:val="Hyperlink"/>
                <w:rFonts w:ascii="Arial" w:hAnsi="Arial" w:cs="Arial"/>
                <w:b w:val="0"/>
                <w:bCs w:val="0"/>
                <w:i w:val="0"/>
                <w:iCs w:val="0"/>
                <w:noProof/>
              </w:rPr>
              <w:t>Q3 – Skills Gaps and Strategic HRM Responses</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_Toc213165291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7</w:t>
            </w:r>
            <w:r w:rsidRPr="00B031FE">
              <w:rPr>
                <w:rFonts w:ascii="Arial" w:hAnsi="Arial" w:cs="Arial"/>
                <w:b w:val="0"/>
                <w:bCs w:val="0"/>
                <w:i w:val="0"/>
                <w:iCs w:val="0"/>
                <w:noProof/>
                <w:webHidden/>
              </w:rPr>
              <w:fldChar w:fldCharType="end"/>
            </w:r>
          </w:hyperlink>
        </w:p>
        <w:p w14:paraId="2A143313" w14:textId="06B91A85"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2" w:history="1">
            <w:r w:rsidRPr="00B031FE">
              <w:rPr>
                <w:rStyle w:val="Hyperlink"/>
                <w:rFonts w:ascii="Arial" w:hAnsi="Arial" w:cs="Arial"/>
                <w:b w:val="0"/>
                <w:bCs w:val="0"/>
                <w:noProof/>
                <w:sz w:val="24"/>
                <w:szCs w:val="24"/>
              </w:rPr>
              <w:t>3.1 Understanding Skill Gaps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_Toc213165292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7</w:t>
            </w:r>
            <w:r w:rsidRPr="00B031FE">
              <w:rPr>
                <w:rFonts w:ascii="Arial" w:hAnsi="Arial" w:cs="Arial"/>
                <w:b w:val="0"/>
                <w:bCs w:val="0"/>
                <w:noProof/>
                <w:webHidden/>
                <w:sz w:val="24"/>
                <w:szCs w:val="24"/>
              </w:rPr>
              <w:fldChar w:fldCharType="end"/>
            </w:r>
          </w:hyperlink>
        </w:p>
        <w:p w14:paraId="63F8291B" w14:textId="7033215C"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3" w:history="1">
            <w:r w:rsidRPr="00B031FE">
              <w:rPr>
                <w:rStyle w:val="Hyperlink"/>
                <w:rFonts w:ascii="Arial" w:hAnsi="Arial" w:cs="Arial"/>
                <w:b w:val="0"/>
                <w:bCs w:val="0"/>
                <w:noProof/>
                <w:sz w:val="24"/>
                <w:szCs w:val="24"/>
              </w:rPr>
              <w:t>3.2 Strategic HRM Responses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_Toc213165293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8</w:t>
            </w:r>
            <w:r w:rsidRPr="00B031FE">
              <w:rPr>
                <w:rFonts w:ascii="Arial" w:hAnsi="Arial" w:cs="Arial"/>
                <w:b w:val="0"/>
                <w:bCs w:val="0"/>
                <w:noProof/>
                <w:webHidden/>
                <w:sz w:val="24"/>
                <w:szCs w:val="24"/>
              </w:rPr>
              <w:fldChar w:fldCharType="end"/>
            </w:r>
          </w:hyperlink>
        </w:p>
        <w:p w14:paraId="424DDC68" w14:textId="6E7ACAF0"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4" w:history="1">
            <w:r w:rsidRPr="00B031FE">
              <w:rPr>
                <w:rStyle w:val="Hyperlink"/>
                <w:rFonts w:ascii="Arial" w:hAnsi="Arial" w:cs="Arial"/>
                <w:b w:val="0"/>
                <w:bCs w:val="0"/>
                <w:noProof/>
                <w:sz w:val="24"/>
                <w:szCs w:val="24"/>
              </w:rPr>
              <w:t>3.3 Sector Examples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_Toc213165294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8</w:t>
            </w:r>
            <w:r w:rsidRPr="00B031FE">
              <w:rPr>
                <w:rFonts w:ascii="Arial" w:hAnsi="Arial" w:cs="Arial"/>
                <w:b w:val="0"/>
                <w:bCs w:val="0"/>
                <w:noProof/>
                <w:webHidden/>
                <w:sz w:val="24"/>
                <w:szCs w:val="24"/>
              </w:rPr>
              <w:fldChar w:fldCharType="end"/>
            </w:r>
          </w:hyperlink>
        </w:p>
        <w:p w14:paraId="400D5554" w14:textId="545C67C2"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5" w:history="1">
            <w:r w:rsidRPr="00B031FE">
              <w:rPr>
                <w:rStyle w:val="Hyperlink"/>
                <w:rFonts w:ascii="Arial" w:hAnsi="Arial" w:cs="Arial"/>
                <w:b w:val="0"/>
                <w:bCs w:val="0"/>
                <w:noProof/>
                <w:sz w:val="24"/>
                <w:szCs w:val="24"/>
              </w:rPr>
              <w:t>3.4 Synthesis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_Toc213165295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9</w:t>
            </w:r>
            <w:r w:rsidRPr="00B031FE">
              <w:rPr>
                <w:rFonts w:ascii="Arial" w:hAnsi="Arial" w:cs="Arial"/>
                <w:b w:val="0"/>
                <w:bCs w:val="0"/>
                <w:noProof/>
                <w:webHidden/>
                <w:sz w:val="24"/>
                <w:szCs w:val="24"/>
              </w:rPr>
              <w:fldChar w:fldCharType="end"/>
            </w:r>
          </w:hyperlink>
        </w:p>
        <w:p w14:paraId="5A8F3F4C" w14:textId="02CC3FD1"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296" w:history="1">
            <w:r w:rsidRPr="00B031FE">
              <w:rPr>
                <w:rStyle w:val="Hyperlink"/>
                <w:rFonts w:ascii="Arial" w:hAnsi="Arial" w:cs="Arial"/>
                <w:b w:val="0"/>
                <w:bCs w:val="0"/>
                <w:i w:val="0"/>
                <w:iCs w:val="0"/>
                <w:noProof/>
              </w:rPr>
              <w:t>Q4 – Reflective Report on Capabilities</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_Toc213165296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9</w:t>
            </w:r>
            <w:r w:rsidRPr="00B031FE">
              <w:rPr>
                <w:rFonts w:ascii="Arial" w:hAnsi="Arial" w:cs="Arial"/>
                <w:b w:val="0"/>
                <w:bCs w:val="0"/>
                <w:i w:val="0"/>
                <w:iCs w:val="0"/>
                <w:noProof/>
                <w:webHidden/>
              </w:rPr>
              <w:fldChar w:fldCharType="end"/>
            </w:r>
          </w:hyperlink>
        </w:p>
        <w:p w14:paraId="447C20E6" w14:textId="67EB9402"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7" w:history="1">
            <w:r w:rsidRPr="00B031FE">
              <w:rPr>
                <w:rStyle w:val="Hyperlink"/>
                <w:rFonts w:ascii="Arial" w:hAnsi="Arial" w:cs="Arial"/>
                <w:b w:val="0"/>
                <w:bCs w:val="0"/>
                <w:noProof/>
                <w:sz w:val="24"/>
                <w:szCs w:val="24"/>
              </w:rPr>
              <w:t>4.1 Description</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_Toc213165297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9</w:t>
            </w:r>
            <w:r w:rsidRPr="00B031FE">
              <w:rPr>
                <w:rFonts w:ascii="Arial" w:hAnsi="Arial" w:cs="Arial"/>
                <w:b w:val="0"/>
                <w:bCs w:val="0"/>
                <w:noProof/>
                <w:webHidden/>
                <w:sz w:val="24"/>
                <w:szCs w:val="24"/>
              </w:rPr>
              <w:fldChar w:fldCharType="end"/>
            </w:r>
          </w:hyperlink>
        </w:p>
        <w:p w14:paraId="6906ECAC" w14:textId="2527A348"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8" w:history="1">
            <w:r w:rsidRPr="00B031FE">
              <w:rPr>
                <w:rStyle w:val="Hyperlink"/>
                <w:rFonts w:ascii="Arial" w:hAnsi="Arial" w:cs="Arial"/>
                <w:b w:val="0"/>
                <w:bCs w:val="0"/>
                <w:noProof/>
                <w:sz w:val="24"/>
                <w:szCs w:val="24"/>
              </w:rPr>
              <w:t>4.2 Feelings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_Toc213165298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9</w:t>
            </w:r>
            <w:r w:rsidRPr="00B031FE">
              <w:rPr>
                <w:rFonts w:ascii="Arial" w:hAnsi="Arial" w:cs="Arial"/>
                <w:b w:val="0"/>
                <w:bCs w:val="0"/>
                <w:noProof/>
                <w:webHidden/>
                <w:sz w:val="24"/>
                <w:szCs w:val="24"/>
              </w:rPr>
              <w:fldChar w:fldCharType="end"/>
            </w:r>
          </w:hyperlink>
        </w:p>
        <w:p w14:paraId="49B26983" w14:textId="5A8D9E24"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299" w:history="1">
            <w:r w:rsidRPr="00B031FE">
              <w:rPr>
                <w:rStyle w:val="Hyperlink"/>
                <w:rFonts w:ascii="Arial" w:hAnsi="Arial" w:cs="Arial"/>
                <w:b w:val="0"/>
                <w:bCs w:val="0"/>
                <w:noProof/>
                <w:sz w:val="24"/>
                <w:szCs w:val="24"/>
              </w:rPr>
              <w:t>4.3 Evaluation</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_Toc213165299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9</w:t>
            </w:r>
            <w:r w:rsidRPr="00B031FE">
              <w:rPr>
                <w:rFonts w:ascii="Arial" w:hAnsi="Arial" w:cs="Arial"/>
                <w:b w:val="0"/>
                <w:bCs w:val="0"/>
                <w:noProof/>
                <w:webHidden/>
                <w:sz w:val="24"/>
                <w:szCs w:val="24"/>
              </w:rPr>
              <w:fldChar w:fldCharType="end"/>
            </w:r>
          </w:hyperlink>
        </w:p>
        <w:p w14:paraId="5C869710" w14:textId="229728FB"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300" w:history="1">
            <w:r w:rsidRPr="00B031FE">
              <w:rPr>
                <w:rStyle w:val="Hyperlink"/>
                <w:rFonts w:ascii="Arial" w:hAnsi="Arial" w:cs="Arial"/>
                <w:b w:val="0"/>
                <w:bCs w:val="0"/>
                <w:noProof/>
                <w:sz w:val="24"/>
                <w:szCs w:val="24"/>
              </w:rPr>
              <w:t>4.4 Analysis</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_Toc213165300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10</w:t>
            </w:r>
            <w:r w:rsidRPr="00B031FE">
              <w:rPr>
                <w:rFonts w:ascii="Arial" w:hAnsi="Arial" w:cs="Arial"/>
                <w:b w:val="0"/>
                <w:bCs w:val="0"/>
                <w:noProof/>
                <w:webHidden/>
                <w:sz w:val="24"/>
                <w:szCs w:val="24"/>
              </w:rPr>
              <w:fldChar w:fldCharType="end"/>
            </w:r>
          </w:hyperlink>
        </w:p>
        <w:p w14:paraId="325E1DCD" w14:textId="5F9C3C7E"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301" w:history="1">
            <w:r w:rsidRPr="00B031FE">
              <w:rPr>
                <w:rStyle w:val="Hyperlink"/>
                <w:rFonts w:ascii="Arial" w:hAnsi="Arial" w:cs="Arial"/>
                <w:b w:val="0"/>
                <w:bCs w:val="0"/>
                <w:noProof/>
                <w:sz w:val="24"/>
                <w:szCs w:val="24"/>
              </w:rPr>
              <w:t>4.5 Conclusion</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_Toc213165301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10</w:t>
            </w:r>
            <w:r w:rsidRPr="00B031FE">
              <w:rPr>
                <w:rFonts w:ascii="Arial" w:hAnsi="Arial" w:cs="Arial"/>
                <w:b w:val="0"/>
                <w:bCs w:val="0"/>
                <w:noProof/>
                <w:webHidden/>
                <w:sz w:val="24"/>
                <w:szCs w:val="24"/>
              </w:rPr>
              <w:fldChar w:fldCharType="end"/>
            </w:r>
          </w:hyperlink>
        </w:p>
        <w:p w14:paraId="5FAA04E8" w14:textId="460610B5" w:rsidR="0025154C" w:rsidRPr="00B031FE" w:rsidRDefault="0025154C" w:rsidP="0025154C">
          <w:pPr>
            <w:pStyle w:val="TOC2"/>
            <w:tabs>
              <w:tab w:val="right" w:leader="dot" w:pos="9010"/>
            </w:tabs>
            <w:spacing w:line="276" w:lineRule="auto"/>
            <w:rPr>
              <w:rFonts w:ascii="Arial" w:eastAsiaTheme="minorEastAsia" w:hAnsi="Arial" w:cs="Arial"/>
              <w:b w:val="0"/>
              <w:bCs w:val="0"/>
              <w:noProof/>
              <w:kern w:val="2"/>
              <w:sz w:val="24"/>
              <w:szCs w:val="24"/>
              <w14:ligatures w14:val="standardContextual"/>
            </w:rPr>
          </w:pPr>
          <w:hyperlink w:anchor="_Toc213165302" w:history="1">
            <w:r w:rsidRPr="00B031FE">
              <w:rPr>
                <w:rStyle w:val="Hyperlink"/>
                <w:rFonts w:ascii="Arial" w:hAnsi="Arial" w:cs="Arial"/>
                <w:b w:val="0"/>
                <w:bCs w:val="0"/>
                <w:noProof/>
                <w:sz w:val="24"/>
                <w:szCs w:val="24"/>
              </w:rPr>
              <w:t>4.6 Action Plan</w:t>
            </w:r>
            <w:r w:rsidRPr="00B031FE">
              <w:rPr>
                <w:rFonts w:ascii="Arial" w:hAnsi="Arial" w:cs="Arial"/>
                <w:b w:val="0"/>
                <w:bCs w:val="0"/>
                <w:noProof/>
                <w:webHidden/>
                <w:sz w:val="24"/>
                <w:szCs w:val="24"/>
              </w:rPr>
              <w:tab/>
            </w:r>
            <w:r w:rsidRPr="00B031FE">
              <w:rPr>
                <w:rFonts w:ascii="Arial" w:hAnsi="Arial" w:cs="Arial"/>
                <w:b w:val="0"/>
                <w:bCs w:val="0"/>
                <w:noProof/>
                <w:webHidden/>
                <w:sz w:val="24"/>
                <w:szCs w:val="24"/>
              </w:rPr>
              <w:fldChar w:fldCharType="begin"/>
            </w:r>
            <w:r w:rsidRPr="00B031FE">
              <w:rPr>
                <w:rFonts w:ascii="Arial" w:hAnsi="Arial" w:cs="Arial"/>
                <w:b w:val="0"/>
                <w:bCs w:val="0"/>
                <w:noProof/>
                <w:webHidden/>
                <w:sz w:val="24"/>
                <w:szCs w:val="24"/>
              </w:rPr>
              <w:instrText xml:space="preserve"> PAGEREF _Toc213165302 \h </w:instrText>
            </w:r>
            <w:r w:rsidRPr="00B031FE">
              <w:rPr>
                <w:rFonts w:ascii="Arial" w:hAnsi="Arial" w:cs="Arial"/>
                <w:b w:val="0"/>
                <w:bCs w:val="0"/>
                <w:noProof/>
                <w:webHidden/>
                <w:sz w:val="24"/>
                <w:szCs w:val="24"/>
              </w:rPr>
            </w:r>
            <w:r w:rsidRPr="00B031FE">
              <w:rPr>
                <w:rFonts w:ascii="Arial" w:hAnsi="Arial" w:cs="Arial"/>
                <w:b w:val="0"/>
                <w:bCs w:val="0"/>
                <w:noProof/>
                <w:webHidden/>
                <w:sz w:val="24"/>
                <w:szCs w:val="24"/>
              </w:rPr>
              <w:fldChar w:fldCharType="separate"/>
            </w:r>
            <w:r w:rsidRPr="00B031FE">
              <w:rPr>
                <w:rFonts w:ascii="Arial" w:hAnsi="Arial" w:cs="Arial"/>
                <w:b w:val="0"/>
                <w:bCs w:val="0"/>
                <w:noProof/>
                <w:webHidden/>
                <w:sz w:val="24"/>
                <w:szCs w:val="24"/>
              </w:rPr>
              <w:t>10</w:t>
            </w:r>
            <w:r w:rsidRPr="00B031FE">
              <w:rPr>
                <w:rFonts w:ascii="Arial" w:hAnsi="Arial" w:cs="Arial"/>
                <w:b w:val="0"/>
                <w:bCs w:val="0"/>
                <w:noProof/>
                <w:webHidden/>
                <w:sz w:val="24"/>
                <w:szCs w:val="24"/>
              </w:rPr>
              <w:fldChar w:fldCharType="end"/>
            </w:r>
          </w:hyperlink>
        </w:p>
        <w:p w14:paraId="188B2468" w14:textId="57659310"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303" w:history="1">
            <w:r w:rsidRPr="00B031FE">
              <w:rPr>
                <w:rStyle w:val="Hyperlink"/>
                <w:rFonts w:ascii="Arial" w:hAnsi="Arial" w:cs="Arial"/>
                <w:b w:val="0"/>
                <w:bCs w:val="0"/>
                <w:i w:val="0"/>
                <w:iCs w:val="0"/>
                <w:noProof/>
              </w:rPr>
              <w:t>Conclusion</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_Toc213165303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11</w:t>
            </w:r>
            <w:r w:rsidRPr="00B031FE">
              <w:rPr>
                <w:rFonts w:ascii="Arial" w:hAnsi="Arial" w:cs="Arial"/>
                <w:b w:val="0"/>
                <w:bCs w:val="0"/>
                <w:i w:val="0"/>
                <w:iCs w:val="0"/>
                <w:noProof/>
                <w:webHidden/>
              </w:rPr>
              <w:fldChar w:fldCharType="end"/>
            </w:r>
          </w:hyperlink>
        </w:p>
        <w:p w14:paraId="2D006161" w14:textId="02C3E0B2"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304" w:history="1">
            <w:r w:rsidRPr="00B031FE">
              <w:rPr>
                <w:rStyle w:val="Hyperlink"/>
                <w:rFonts w:ascii="Arial" w:hAnsi="Arial" w:cs="Arial"/>
                <w:b w:val="0"/>
                <w:bCs w:val="0"/>
                <w:i w:val="0"/>
                <w:iCs w:val="0"/>
                <w:noProof/>
                <w:lang w:val="en-US"/>
              </w:rPr>
              <w:t>Reference</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_Toc213165304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12</w:t>
            </w:r>
            <w:r w:rsidRPr="00B031FE">
              <w:rPr>
                <w:rFonts w:ascii="Arial" w:hAnsi="Arial" w:cs="Arial"/>
                <w:b w:val="0"/>
                <w:bCs w:val="0"/>
                <w:i w:val="0"/>
                <w:iCs w:val="0"/>
                <w:noProof/>
                <w:webHidden/>
              </w:rPr>
              <w:fldChar w:fldCharType="end"/>
            </w:r>
          </w:hyperlink>
        </w:p>
        <w:p w14:paraId="02A4978A" w14:textId="00BF622B" w:rsidR="0025154C" w:rsidRPr="00B031FE" w:rsidRDefault="0025154C" w:rsidP="0025154C">
          <w:pPr>
            <w:pStyle w:val="TOC1"/>
            <w:tabs>
              <w:tab w:val="right" w:leader="dot" w:pos="9010"/>
            </w:tabs>
            <w:spacing w:line="276" w:lineRule="auto"/>
            <w:rPr>
              <w:rFonts w:ascii="Arial" w:eastAsiaTheme="minorEastAsia" w:hAnsi="Arial" w:cs="Arial"/>
              <w:b w:val="0"/>
              <w:bCs w:val="0"/>
              <w:i w:val="0"/>
              <w:iCs w:val="0"/>
              <w:noProof/>
              <w:kern w:val="2"/>
              <w14:ligatures w14:val="standardContextual"/>
            </w:rPr>
          </w:pPr>
          <w:hyperlink w:anchor="_Toc213165305" w:history="1">
            <w:r w:rsidRPr="00B031FE">
              <w:rPr>
                <w:rStyle w:val="Hyperlink"/>
                <w:rFonts w:ascii="Arial" w:hAnsi="Arial" w:cs="Arial"/>
                <w:b w:val="0"/>
                <w:bCs w:val="0"/>
                <w:i w:val="0"/>
                <w:iCs w:val="0"/>
                <w:noProof/>
              </w:rPr>
              <w:t>Appendix</w:t>
            </w:r>
            <w:r w:rsidRPr="00B031FE">
              <w:rPr>
                <w:rFonts w:ascii="Arial" w:hAnsi="Arial" w:cs="Arial"/>
                <w:b w:val="0"/>
                <w:bCs w:val="0"/>
                <w:i w:val="0"/>
                <w:iCs w:val="0"/>
                <w:noProof/>
                <w:webHidden/>
              </w:rPr>
              <w:tab/>
            </w:r>
            <w:r w:rsidRPr="00B031FE">
              <w:rPr>
                <w:rFonts w:ascii="Arial" w:hAnsi="Arial" w:cs="Arial"/>
                <w:b w:val="0"/>
                <w:bCs w:val="0"/>
                <w:i w:val="0"/>
                <w:iCs w:val="0"/>
                <w:noProof/>
                <w:webHidden/>
              </w:rPr>
              <w:fldChar w:fldCharType="begin"/>
            </w:r>
            <w:r w:rsidRPr="00B031FE">
              <w:rPr>
                <w:rFonts w:ascii="Arial" w:hAnsi="Arial" w:cs="Arial"/>
                <w:b w:val="0"/>
                <w:bCs w:val="0"/>
                <w:i w:val="0"/>
                <w:iCs w:val="0"/>
                <w:noProof/>
                <w:webHidden/>
              </w:rPr>
              <w:instrText xml:space="preserve"> PAGEREF _Toc213165305 \h </w:instrText>
            </w:r>
            <w:r w:rsidRPr="00B031FE">
              <w:rPr>
                <w:rFonts w:ascii="Arial" w:hAnsi="Arial" w:cs="Arial"/>
                <w:b w:val="0"/>
                <w:bCs w:val="0"/>
                <w:i w:val="0"/>
                <w:iCs w:val="0"/>
                <w:noProof/>
                <w:webHidden/>
              </w:rPr>
            </w:r>
            <w:r w:rsidRPr="00B031FE">
              <w:rPr>
                <w:rFonts w:ascii="Arial" w:hAnsi="Arial" w:cs="Arial"/>
                <w:b w:val="0"/>
                <w:bCs w:val="0"/>
                <w:i w:val="0"/>
                <w:iCs w:val="0"/>
                <w:noProof/>
                <w:webHidden/>
              </w:rPr>
              <w:fldChar w:fldCharType="separate"/>
            </w:r>
            <w:r w:rsidRPr="00B031FE">
              <w:rPr>
                <w:rFonts w:ascii="Arial" w:hAnsi="Arial" w:cs="Arial"/>
                <w:b w:val="0"/>
                <w:bCs w:val="0"/>
                <w:i w:val="0"/>
                <w:iCs w:val="0"/>
                <w:noProof/>
                <w:webHidden/>
              </w:rPr>
              <w:t>13</w:t>
            </w:r>
            <w:r w:rsidRPr="00B031FE">
              <w:rPr>
                <w:rFonts w:ascii="Arial" w:hAnsi="Arial" w:cs="Arial"/>
                <w:b w:val="0"/>
                <w:bCs w:val="0"/>
                <w:i w:val="0"/>
                <w:iCs w:val="0"/>
                <w:noProof/>
                <w:webHidden/>
              </w:rPr>
              <w:fldChar w:fldCharType="end"/>
            </w:r>
          </w:hyperlink>
        </w:p>
        <w:p w14:paraId="49512271" w14:textId="4925CDA2" w:rsidR="0025154C" w:rsidRPr="00B031FE" w:rsidRDefault="0025154C" w:rsidP="0025154C">
          <w:pPr>
            <w:spacing w:line="276" w:lineRule="auto"/>
            <w:rPr>
              <w:rFonts w:ascii="Arial" w:hAnsi="Arial" w:cs="Arial"/>
            </w:rPr>
          </w:pPr>
          <w:r w:rsidRPr="00B031FE">
            <w:rPr>
              <w:rFonts w:ascii="Arial" w:hAnsi="Arial" w:cs="Arial"/>
              <w:noProof/>
            </w:rPr>
            <w:fldChar w:fldCharType="end"/>
          </w:r>
        </w:p>
      </w:sdtContent>
    </w:sdt>
    <w:p w14:paraId="721669E5" w14:textId="7E4A4995" w:rsidR="0025154C" w:rsidRPr="00B031FE" w:rsidRDefault="0025154C" w:rsidP="0025154C">
      <w:pPr>
        <w:rPr>
          <w:rFonts w:ascii="Arial" w:hAnsi="Arial" w:cs="Arial"/>
        </w:rPr>
      </w:pPr>
      <w:r w:rsidRPr="00B031FE">
        <w:rPr>
          <w:rFonts w:ascii="Arial" w:hAnsi="Arial" w:cs="Arial"/>
        </w:rPr>
        <w:br w:type="page"/>
      </w:r>
    </w:p>
    <w:p w14:paraId="274568D1" w14:textId="35F65E4B" w:rsidR="0025154C" w:rsidRPr="00B031FE" w:rsidRDefault="0025154C" w:rsidP="0025154C">
      <w:pPr>
        <w:pStyle w:val="Heading1"/>
        <w:rPr>
          <w:rFonts w:ascii="Arial" w:hAnsi="Arial" w:cs="Arial"/>
          <w:sz w:val="24"/>
          <w:szCs w:val="24"/>
        </w:rPr>
      </w:pPr>
      <w:bookmarkStart w:id="1" w:name="_Toc213165281"/>
      <w:r w:rsidRPr="00B031FE">
        <w:rPr>
          <w:rFonts w:ascii="Arial" w:hAnsi="Arial" w:cs="Arial"/>
        </w:rPr>
        <w:lastRenderedPageBreak/>
        <w:t>Introduction</w:t>
      </w:r>
      <w:bookmarkEnd w:id="1"/>
    </w:p>
    <w:p w14:paraId="2CD2D3B2" w14:textId="77777777" w:rsidR="0025154C" w:rsidRPr="00B031FE" w:rsidRDefault="0025154C" w:rsidP="0025154C">
      <w:pPr>
        <w:rPr>
          <w:rFonts w:ascii="Arial" w:hAnsi="Arial" w:cs="Arial"/>
          <w:color w:val="000000"/>
        </w:rPr>
      </w:pPr>
      <w:r w:rsidRPr="00B031FE">
        <w:rPr>
          <w:rFonts w:ascii="Arial" w:hAnsi="Arial" w:cs="Arial"/>
          <w:color w:val="000000"/>
        </w:rPr>
        <w:t>The current labour markets in the world are rapidly changing as a result of globalisation, technological advancements and demographic transformations. One of the factors that is transforming the structure of work and the skill sets needed is automation, artificial intelligence, and digital platforms, and ageing populations and migration trends are changing the composition and movement of the workforce (Collings, 2021). These dynamics have opportunities and challenges for organisations endeavouring to strategically manage human resources in both the domestic and international arenas. This report aims to analyse the impact of these international trends on human resource management (HRM) and international human resource management (IHRM) policies, and specifically on technology, demographics, and talent management (Kim, Vaiman and Sanders, 2022). It also takes into account personal flexibility in this changing context based on the recent findings of the World Economic Forum (WEF), Chartered Institute of Personnel and Development (CIPD), PricewaterhouseCoopers (PwC), the Organisation for Economic Cooperation and Development (OECD) and academic scholarship.</w:t>
      </w:r>
    </w:p>
    <w:p w14:paraId="2F102F3A" w14:textId="77777777" w:rsidR="0025154C" w:rsidRPr="00B031FE" w:rsidRDefault="0025154C" w:rsidP="0025154C">
      <w:pPr>
        <w:rPr>
          <w:rFonts w:ascii="Arial" w:hAnsi="Arial" w:cs="Arial"/>
          <w:color w:val="000000"/>
        </w:rPr>
      </w:pPr>
      <w:r w:rsidRPr="00B031FE">
        <w:rPr>
          <w:rFonts w:ascii="Arial" w:hAnsi="Arial" w:cs="Arial"/>
          <w:color w:val="000000"/>
        </w:rPr>
        <w:br/>
      </w:r>
    </w:p>
    <w:p w14:paraId="6C329599" w14:textId="77777777" w:rsidR="0025154C" w:rsidRPr="00B031FE" w:rsidRDefault="0025154C">
      <w:pPr>
        <w:spacing w:after="160" w:line="259" w:lineRule="auto"/>
        <w:jc w:val="left"/>
        <w:rPr>
          <w:rFonts w:ascii="Arial" w:hAnsi="Arial" w:cs="Arial"/>
          <w:color w:val="000000"/>
        </w:rPr>
      </w:pPr>
      <w:r w:rsidRPr="00B031FE">
        <w:rPr>
          <w:rFonts w:ascii="Arial" w:hAnsi="Arial" w:cs="Arial"/>
          <w:color w:val="000000"/>
        </w:rPr>
        <w:br w:type="page"/>
      </w:r>
    </w:p>
    <w:p w14:paraId="1AF09C90" w14:textId="06EA2BC6" w:rsidR="0025154C" w:rsidRPr="00B031FE" w:rsidRDefault="0025154C" w:rsidP="0025154C">
      <w:pPr>
        <w:pStyle w:val="Heading1"/>
        <w:rPr>
          <w:rFonts w:ascii="Arial" w:hAnsi="Arial" w:cs="Arial"/>
        </w:rPr>
      </w:pPr>
      <w:bookmarkStart w:id="2" w:name="_Toc213165282"/>
      <w:r w:rsidRPr="00B031FE">
        <w:rPr>
          <w:rFonts w:ascii="Arial" w:hAnsi="Arial" w:cs="Arial"/>
        </w:rPr>
        <w:lastRenderedPageBreak/>
        <w:t>Q1 – Technological Advancements and Labour Markets</w:t>
      </w:r>
      <w:bookmarkEnd w:id="2"/>
    </w:p>
    <w:p w14:paraId="1BB307A6" w14:textId="77777777" w:rsidR="0025154C" w:rsidRPr="00B031FE" w:rsidRDefault="0025154C" w:rsidP="0025154C">
      <w:pPr>
        <w:pStyle w:val="Heading2"/>
        <w:rPr>
          <w:rFonts w:ascii="Arial" w:hAnsi="Arial" w:cs="Arial"/>
        </w:rPr>
      </w:pPr>
      <w:bookmarkStart w:id="3" w:name="_Toc213165283"/>
      <w:r w:rsidRPr="00B031FE">
        <w:rPr>
          <w:rFonts w:ascii="Arial" w:hAnsi="Arial" w:cs="Arial"/>
        </w:rPr>
        <w:t>1.1 Transformation of Work</w:t>
      </w:r>
      <w:bookmarkEnd w:id="3"/>
    </w:p>
    <w:p w14:paraId="3E391BC9" w14:textId="2519FB40" w:rsidR="0025154C" w:rsidRPr="00B031FE" w:rsidRDefault="0025154C" w:rsidP="0025154C">
      <w:pPr>
        <w:rPr>
          <w:rFonts w:ascii="Arial" w:hAnsi="Arial" w:cs="Arial"/>
          <w:color w:val="000000"/>
        </w:rPr>
      </w:pPr>
      <w:r w:rsidRPr="00B031FE">
        <w:rPr>
          <w:rFonts w:ascii="Arial" w:hAnsi="Arial" w:cs="Arial"/>
          <w:color w:val="000000"/>
        </w:rPr>
        <w:t xml:space="preserve">The operation of labour markets is being redefined by technological change. Automation and artificial intelligence (AI) are also transforming the occupational structures by replacing </w:t>
      </w:r>
      <w:r w:rsidRPr="00B031FE">
        <w:rPr>
          <w:rFonts w:ascii="Arial" w:hAnsi="Arial" w:cs="Arial"/>
          <w:color w:val="000000"/>
          <w:lang w:val="en-US"/>
        </w:rPr>
        <w:t>a</w:t>
      </w:r>
      <w:r w:rsidRPr="00B031FE">
        <w:rPr>
          <w:rFonts w:ascii="Arial" w:hAnsi="Arial" w:cs="Arial"/>
          <w:color w:val="000000"/>
        </w:rPr>
        <w:t xml:space="preserve"> number of repetitive jobs with new ones with higher-order skills. According to Minbaeva and Navrbjerg (2023), although automation will rob millions of jobs, it is also generating new jobs, including data analysts and AI specialists. Collings (2021) argues that technology does not take work away but reorganises it, which requires human flexibility and creativity. Online platforms such as Uber, Upwork, or Fiverr have popularised gig employment, which is flexible but lacks job security and benefits. This development helps in the process, which the WEF defines as the churn of skills, where the half-life of technical skills is short-lived. Therefore, to remain employable, employees have to engage in lifelong learning and digital literacy (Kim, Vaiman and Sanders, 2022). On the whole, the impact of technology is two-fold: it makes work more efficient and at the same time increases the difference between digitally skilled and digitally unskilled employees.</w:t>
      </w:r>
    </w:p>
    <w:p w14:paraId="2FEBB581" w14:textId="77777777" w:rsidR="0025154C" w:rsidRPr="00B031FE" w:rsidRDefault="0025154C" w:rsidP="0025154C">
      <w:pPr>
        <w:pStyle w:val="Heading2"/>
        <w:rPr>
          <w:rFonts w:ascii="Arial" w:hAnsi="Arial" w:cs="Arial"/>
        </w:rPr>
      </w:pPr>
      <w:bookmarkStart w:id="4" w:name="_Toc213165284"/>
      <w:r w:rsidRPr="00B031FE">
        <w:rPr>
          <w:rFonts w:ascii="Arial" w:hAnsi="Arial" w:cs="Arial"/>
        </w:rPr>
        <w:t>1.2 Implications for HRM/IHRM</w:t>
      </w:r>
      <w:bookmarkEnd w:id="4"/>
    </w:p>
    <w:p w14:paraId="009ED448" w14:textId="77777777" w:rsidR="0025154C" w:rsidRPr="00B031FE" w:rsidRDefault="0025154C" w:rsidP="0025154C">
      <w:pPr>
        <w:rPr>
          <w:rFonts w:ascii="Arial" w:hAnsi="Arial" w:cs="Arial"/>
          <w:color w:val="000000"/>
        </w:rPr>
      </w:pPr>
      <w:r w:rsidRPr="00B031FE">
        <w:rPr>
          <w:rFonts w:ascii="Arial" w:hAnsi="Arial" w:cs="Arial"/>
          <w:color w:val="000000"/>
        </w:rPr>
        <w:t xml:space="preserve">The technological change is forcing human resource management to consider a complete overhaul of its fundamental functions. Artificial-intelligence-based algorithms of screening and matching are used more and more in talent acquisition, which, on the one hand, increases efficiency, but on the other hand, opens the risk of algorithmic bias; this requires the transparent and ethically-based management (Stone, Cox and Gavin, 2020). The activities of learning and development have been moved to ongoing upskilling with the focus on micro-learning, gamification, and AI-based customised learning platforms. This strategic human resource planning should be based on data analytics to predict skill needs in the future and to deal with a heterogeneous workforce, including full-time, part-time, and gig employees. Regarding international human resource management, digital collaboration tools not only make it possible to work in a cross-border team but also pose urgent issues related to compliance with the General Data Protection Regulation, cybersecurity, and the stability of virtual teams (Minbaeva and Navrbjerg, 2023). According to Stone, Cox and Gavin (2020), the most successful organisations are incorporating technology into HR practices </w:t>
      </w:r>
      <w:r w:rsidRPr="00B031FE">
        <w:rPr>
          <w:rFonts w:ascii="Arial" w:hAnsi="Arial" w:cs="Arial"/>
          <w:color w:val="000000"/>
        </w:rPr>
        <w:lastRenderedPageBreak/>
        <w:t>without eliminating human control to ensure justice and employee participation. The balance between digital efficiency and the well-being of employees thus determines effective human resource management in the Fourth Industrial Revolution.</w:t>
      </w:r>
    </w:p>
    <w:p w14:paraId="68428D65" w14:textId="77777777" w:rsidR="0025154C" w:rsidRPr="00B031FE" w:rsidRDefault="0025154C" w:rsidP="0025154C">
      <w:pPr>
        <w:pStyle w:val="Heading2"/>
        <w:rPr>
          <w:rFonts w:ascii="Arial" w:hAnsi="Arial" w:cs="Arial"/>
        </w:rPr>
      </w:pPr>
      <w:bookmarkStart w:id="5" w:name="_Toc213165285"/>
      <w:r w:rsidRPr="00B031FE">
        <w:rPr>
          <w:rFonts w:ascii="Arial" w:hAnsi="Arial" w:cs="Arial"/>
        </w:rPr>
        <w:t>1.3 Synthesis</w:t>
      </w:r>
      <w:bookmarkEnd w:id="5"/>
    </w:p>
    <w:p w14:paraId="5C374138" w14:textId="77777777" w:rsidR="0025154C" w:rsidRPr="00B031FE" w:rsidRDefault="0025154C" w:rsidP="0025154C">
      <w:pPr>
        <w:rPr>
          <w:rFonts w:ascii="Arial" w:hAnsi="Arial" w:cs="Arial"/>
          <w:color w:val="000000"/>
        </w:rPr>
      </w:pPr>
      <w:r w:rsidRPr="00B031FE">
        <w:rPr>
          <w:rFonts w:ascii="Arial" w:hAnsi="Arial" w:cs="Arial"/>
          <w:color w:val="000000"/>
        </w:rPr>
        <w:t>Digital disruption replaces international mobility and global talent distribution. Online services make it easy to hire people worldwide, at the same time increasing the competition in digital competencies. Companies that invest in predictive analytics, ethical artificial intelligence and lifelong learning develop greater resilience in the face of the global environment (Baluch and Ridder, 2020). Finally, progressive, information-driven human resources management enables technology to be able to match human value so that technology can serve people but not to remove them.</w:t>
      </w:r>
    </w:p>
    <w:p w14:paraId="4ECDEB5E" w14:textId="77777777" w:rsidR="0025154C" w:rsidRPr="00B031FE" w:rsidRDefault="0025154C" w:rsidP="0025154C">
      <w:pPr>
        <w:rPr>
          <w:rFonts w:ascii="Arial" w:hAnsi="Arial" w:cs="Arial"/>
          <w:color w:val="000000"/>
        </w:rPr>
      </w:pPr>
    </w:p>
    <w:p w14:paraId="4CCB4FD0" w14:textId="77777777" w:rsidR="0025154C" w:rsidRPr="00B031FE" w:rsidRDefault="0025154C" w:rsidP="0025154C">
      <w:pPr>
        <w:pStyle w:val="Heading1"/>
        <w:rPr>
          <w:rFonts w:ascii="Arial" w:hAnsi="Arial" w:cs="Arial"/>
        </w:rPr>
      </w:pPr>
      <w:bookmarkStart w:id="6" w:name="_Toc213165286"/>
      <w:r w:rsidRPr="00B031FE">
        <w:rPr>
          <w:rFonts w:ascii="Arial" w:hAnsi="Arial" w:cs="Arial"/>
        </w:rPr>
        <w:t>Q2 – Demographic and Geopolitical Factors</w:t>
      </w:r>
      <w:bookmarkEnd w:id="6"/>
    </w:p>
    <w:p w14:paraId="2EC1B029" w14:textId="77777777" w:rsidR="0025154C" w:rsidRPr="00B031FE" w:rsidRDefault="0025154C" w:rsidP="0025154C">
      <w:pPr>
        <w:pStyle w:val="Heading2"/>
        <w:rPr>
          <w:rFonts w:ascii="Arial" w:hAnsi="Arial" w:cs="Arial"/>
        </w:rPr>
      </w:pPr>
      <w:bookmarkStart w:id="7" w:name="_Toc213165287"/>
      <w:r w:rsidRPr="00B031FE">
        <w:rPr>
          <w:rFonts w:ascii="Arial" w:hAnsi="Arial" w:cs="Arial"/>
        </w:rPr>
        <w:t>2.1 Demographic Pressures</w:t>
      </w:r>
      <w:bookmarkEnd w:id="7"/>
    </w:p>
    <w:p w14:paraId="578FE751" w14:textId="1636130F" w:rsidR="0025154C" w:rsidRPr="00B031FE" w:rsidRDefault="0025154C" w:rsidP="0025154C">
      <w:pPr>
        <w:rPr>
          <w:rFonts w:ascii="Arial" w:hAnsi="Arial" w:cs="Arial"/>
          <w:color w:val="000000"/>
        </w:rPr>
      </w:pPr>
      <w:r w:rsidRPr="00B031FE">
        <w:rPr>
          <w:rFonts w:ascii="Arial" w:hAnsi="Arial" w:cs="Arial"/>
          <w:color w:val="000000"/>
        </w:rPr>
        <w:t>The global labour markets are undergoing demographic change that has become a major challenge to human resource (HR) professionals. In developed economies like Japan and most of Europe, the elderly population is outstripping the working population and increasing the dependency rate. Ulrich (2017) indicates that over 60% of organisations are experiencing a challenge in succession since retiring workers, and this is due to the decrease in birth rates and the decreasing involvement of the youth. At the same time, the migration patterns create both opportunities and inequalities. As developed countries enjoy a brain gain due to skilled immigration, developing countries are left with a brain drain, giving out quality talent to international competition. Another demographic aspect is workforce diversity. With the increase in gender, ethnicity and cultural representation, organisations are forced to develop inclusive HR policies that create a sense of belonging and inspire innovation. Cooke, Xiao and Chen (2021) highlight the importance of diversity as a strategic source of innovation and organisational strengths.</w:t>
      </w:r>
    </w:p>
    <w:p w14:paraId="46A9E0C6" w14:textId="77777777" w:rsidR="0025154C" w:rsidRPr="00B031FE" w:rsidRDefault="0025154C" w:rsidP="0025154C">
      <w:pPr>
        <w:pStyle w:val="Heading2"/>
        <w:rPr>
          <w:rFonts w:ascii="Arial" w:hAnsi="Arial" w:cs="Arial"/>
        </w:rPr>
      </w:pPr>
      <w:bookmarkStart w:id="8" w:name="_Toc213165288"/>
      <w:r w:rsidRPr="00B031FE">
        <w:rPr>
          <w:rFonts w:ascii="Arial" w:hAnsi="Arial" w:cs="Arial"/>
        </w:rPr>
        <w:t>2.2 Geopolitical Influences</w:t>
      </w:r>
      <w:bookmarkEnd w:id="8"/>
    </w:p>
    <w:p w14:paraId="7E20D74E" w14:textId="77777777" w:rsidR="0025154C" w:rsidRPr="00B031FE" w:rsidRDefault="0025154C" w:rsidP="0025154C">
      <w:pPr>
        <w:rPr>
          <w:rFonts w:ascii="Arial" w:hAnsi="Arial" w:cs="Arial"/>
          <w:color w:val="000000"/>
        </w:rPr>
      </w:pPr>
      <w:r w:rsidRPr="00B031FE">
        <w:rPr>
          <w:rFonts w:ascii="Arial" w:hAnsi="Arial" w:cs="Arial"/>
          <w:color w:val="000000"/>
        </w:rPr>
        <w:t xml:space="preserve">Complex geopolitical changes also influence the global labour markets. The global supply chains have been shaken by trade wars, sanctions, and protectionist policies, </w:t>
      </w:r>
      <w:r w:rsidRPr="00B031FE">
        <w:rPr>
          <w:rFonts w:ascii="Arial" w:hAnsi="Arial" w:cs="Arial"/>
          <w:color w:val="000000"/>
        </w:rPr>
        <w:lastRenderedPageBreak/>
        <w:t>and firms have had to reassess their talent sourcing and relocation policies. As Lee (2021) argue, nowadays international HRM has to take into consideration the existence of political instability and how it affects the safety and mobility of expatriates. COVID-19 further changed the way employment is done in the world, with the rapid use of hybrid and remote work mechanisms. According to EY (2023), 70%of multinational companies are redefining HR policies to enhance business continuity and remote working. These geopolitical events have also increased the strategic significance of employee well-being and crisis management planning because the HR departments have to protect the stability of operations and the safety of employees in unstable areas.</w:t>
      </w:r>
    </w:p>
    <w:p w14:paraId="4CF0C133" w14:textId="77777777" w:rsidR="0025154C" w:rsidRPr="00B031FE" w:rsidRDefault="0025154C" w:rsidP="0025154C">
      <w:pPr>
        <w:pStyle w:val="Heading2"/>
        <w:rPr>
          <w:rFonts w:ascii="Arial" w:hAnsi="Arial" w:cs="Arial"/>
        </w:rPr>
      </w:pPr>
      <w:bookmarkStart w:id="9" w:name="_Toc213165289"/>
      <w:r w:rsidRPr="00B031FE">
        <w:rPr>
          <w:rFonts w:ascii="Arial" w:hAnsi="Arial" w:cs="Arial"/>
        </w:rPr>
        <w:t>2.3 HRM/IHRM Challenges</w:t>
      </w:r>
      <w:bookmarkEnd w:id="9"/>
    </w:p>
    <w:p w14:paraId="4B3090BA" w14:textId="77777777" w:rsidR="0025154C" w:rsidRPr="00B031FE" w:rsidRDefault="0025154C" w:rsidP="0025154C">
      <w:pPr>
        <w:rPr>
          <w:rFonts w:ascii="Arial" w:hAnsi="Arial" w:cs="Arial"/>
          <w:color w:val="000000"/>
        </w:rPr>
      </w:pPr>
      <w:r w:rsidRPr="00B031FE">
        <w:rPr>
          <w:rFonts w:ascii="Arial" w:hAnsi="Arial" w:cs="Arial"/>
          <w:color w:val="000000"/>
        </w:rPr>
        <w:t>The overlap of human population and geopolitical stresses brings about the elaborate HRM and international human resource management (IHRM) challenges. The talent mobility is limited by the changing visa, strict immigration controls, and taxation regimes between countries (Armstrong, 2021). MNCs are also required to be up to date with a patchwork of country labour laws, including wage regulations, data protection laws, and equal opportunity laws. The management of cross-cultural teams brings further complexity as the cross-cultural team can easily lead to conflict because of the presence of divergent communication styles, values, and expectations.</w:t>
      </w:r>
    </w:p>
    <w:p w14:paraId="212D0930" w14:textId="74E478B7" w:rsidR="0025154C" w:rsidRPr="00B031FE" w:rsidRDefault="0025154C" w:rsidP="0025154C">
      <w:pPr>
        <w:pStyle w:val="Heading2"/>
        <w:rPr>
          <w:rFonts w:ascii="Arial" w:hAnsi="Arial" w:cs="Arial"/>
        </w:rPr>
      </w:pPr>
      <w:bookmarkStart w:id="10" w:name="_Toc213165290"/>
      <w:r w:rsidRPr="00B031FE">
        <w:rPr>
          <w:rFonts w:ascii="Arial" w:hAnsi="Arial" w:cs="Arial"/>
        </w:rPr>
        <w:t>2.4 Synthesis</w:t>
      </w:r>
      <w:bookmarkEnd w:id="10"/>
    </w:p>
    <w:p w14:paraId="57C63334" w14:textId="77777777" w:rsidR="0025154C" w:rsidRPr="00B031FE" w:rsidRDefault="0025154C" w:rsidP="0025154C">
      <w:pPr>
        <w:rPr>
          <w:rFonts w:ascii="Arial" w:hAnsi="Arial" w:cs="Arial"/>
          <w:color w:val="000000"/>
        </w:rPr>
      </w:pPr>
      <w:r w:rsidRPr="00B031FE">
        <w:rPr>
          <w:rFonts w:ascii="Arial" w:hAnsi="Arial" w:cs="Arial"/>
          <w:color w:val="000000"/>
        </w:rPr>
        <w:t>Geopolitical instability and demographic decline are two forces that have a close relationship in the current workforce dynamics (Armstrong, 2021). The joint mandate is to have organisations undertake strategic workforce planning, fast leadership, and robust IHRM systems that have the capabilities of sustaining talent pipelines and ensuring global competitiveness.</w:t>
      </w:r>
    </w:p>
    <w:p w14:paraId="69A737A4" w14:textId="77777777" w:rsidR="0025154C" w:rsidRPr="00B031FE" w:rsidRDefault="0025154C" w:rsidP="0025154C">
      <w:pPr>
        <w:rPr>
          <w:rFonts w:ascii="Arial" w:hAnsi="Arial" w:cs="Arial"/>
          <w:color w:val="000000"/>
        </w:rPr>
      </w:pPr>
    </w:p>
    <w:p w14:paraId="4F0E820B" w14:textId="09610942" w:rsidR="0025154C" w:rsidRPr="00B031FE" w:rsidRDefault="0025154C" w:rsidP="0025154C">
      <w:pPr>
        <w:pStyle w:val="Heading1"/>
        <w:rPr>
          <w:rFonts w:ascii="Arial" w:hAnsi="Arial" w:cs="Arial"/>
        </w:rPr>
      </w:pPr>
      <w:bookmarkStart w:id="11" w:name="_Toc213165291"/>
      <w:r w:rsidRPr="00B031FE">
        <w:rPr>
          <w:rFonts w:ascii="Arial" w:hAnsi="Arial" w:cs="Arial"/>
        </w:rPr>
        <w:t>Q3 – Skills Gaps and Strategic HRM Responses</w:t>
      </w:r>
      <w:bookmarkEnd w:id="11"/>
    </w:p>
    <w:p w14:paraId="7A9FB64F" w14:textId="77777777" w:rsidR="0025154C" w:rsidRPr="00B031FE" w:rsidRDefault="0025154C" w:rsidP="0025154C">
      <w:pPr>
        <w:pStyle w:val="Heading2"/>
        <w:rPr>
          <w:rFonts w:ascii="Arial" w:hAnsi="Arial" w:cs="Arial"/>
        </w:rPr>
      </w:pPr>
      <w:bookmarkStart w:id="12" w:name="_Toc213165292"/>
      <w:r w:rsidRPr="00B031FE">
        <w:rPr>
          <w:rFonts w:ascii="Arial" w:hAnsi="Arial" w:cs="Arial"/>
        </w:rPr>
        <w:t>3.1 Understanding Skill Gaps</w:t>
      </w:r>
      <w:bookmarkEnd w:id="12"/>
    </w:p>
    <w:p w14:paraId="5C21FE7E" w14:textId="77777777" w:rsidR="0025154C" w:rsidRPr="00B031FE" w:rsidRDefault="0025154C" w:rsidP="0025154C">
      <w:pPr>
        <w:rPr>
          <w:rFonts w:ascii="Arial" w:hAnsi="Arial" w:cs="Arial"/>
          <w:color w:val="000000"/>
        </w:rPr>
      </w:pPr>
      <w:r w:rsidRPr="00B031FE">
        <w:rPr>
          <w:rFonts w:ascii="Arial" w:hAnsi="Arial" w:cs="Arial"/>
          <w:color w:val="000000"/>
        </w:rPr>
        <w:t xml:space="preserve">The labour markets of the world are already marked by a chronic shortage of skills that is a danger to productivity and innovation (Marchington and Wilkinson, 2020). According to the survey, 77% of employers have the challenge of finding workers </w:t>
      </w:r>
      <w:r w:rsidRPr="00B031FE">
        <w:rPr>
          <w:rFonts w:ascii="Arial" w:hAnsi="Arial" w:cs="Arial"/>
          <w:color w:val="000000"/>
        </w:rPr>
        <w:lastRenderedPageBreak/>
        <w:t>having the necessary skill sets, which is a 17-year high. The major driver is found to be rapid technological change, especially automation and digitalisation, which are moving faster than educational institutions in providing relevant competencies. This is augmented by the lack of strong cooperation between academia and industry, and it leaves graduates ill-equipped to take up modern positions (Marchington and Wilkinson, 2020). Additionally, the issue is further exacerbated by the fact that under-investment in learning and development (L&amp;D) occurs as a result of the fact that most firms focus on short-term cost-reduction measures at the expense of long-term development of capabilities. This has made technical, analytical and interpersonal skills rare resources. HR leaders need to embark on proactive measures that assure talent development and changing business models and the digital space.</w:t>
      </w:r>
    </w:p>
    <w:p w14:paraId="1F2D031D" w14:textId="77777777" w:rsidR="0025154C" w:rsidRPr="00B031FE" w:rsidRDefault="0025154C" w:rsidP="0025154C">
      <w:pPr>
        <w:rPr>
          <w:rFonts w:ascii="Arial" w:hAnsi="Arial" w:cs="Arial"/>
          <w:color w:val="000000"/>
        </w:rPr>
      </w:pPr>
    </w:p>
    <w:p w14:paraId="1CDD331F" w14:textId="77777777" w:rsidR="0025154C" w:rsidRPr="00B031FE" w:rsidRDefault="0025154C" w:rsidP="0025154C">
      <w:pPr>
        <w:pStyle w:val="Heading2"/>
        <w:rPr>
          <w:rFonts w:ascii="Arial" w:hAnsi="Arial" w:cs="Arial"/>
        </w:rPr>
      </w:pPr>
      <w:bookmarkStart w:id="13" w:name="_Toc213165293"/>
      <w:r w:rsidRPr="00B031FE">
        <w:rPr>
          <w:rFonts w:ascii="Arial" w:hAnsi="Arial" w:cs="Arial"/>
        </w:rPr>
        <w:t>3.2 Strategic HRM Responses</w:t>
      </w:r>
      <w:bookmarkEnd w:id="13"/>
    </w:p>
    <w:p w14:paraId="6CFEFFF4" w14:textId="77777777" w:rsidR="0025154C" w:rsidRPr="00B031FE" w:rsidRDefault="0025154C" w:rsidP="0025154C">
      <w:pPr>
        <w:rPr>
          <w:rFonts w:ascii="Arial" w:hAnsi="Arial" w:cs="Arial"/>
          <w:color w:val="000000"/>
        </w:rPr>
      </w:pPr>
      <w:r w:rsidRPr="00B031FE">
        <w:rPr>
          <w:rFonts w:ascii="Arial" w:hAnsi="Arial" w:cs="Arial"/>
          <w:color w:val="000000"/>
        </w:rPr>
        <w:t>A skills gap requires a comprehensive HRM practice, which involves a build, buy, borrow and bind strategy as Cooke, Xiao and Chen (2021) describe. The build approach focuses on building inner resources, by way of corporate academies, apprenticeships and collaboration with educational technology companies. The ongoing reskilling programmes result in an internal sustainable talent pipeline. The buy strategy is about acquiring the expertise of an external talent that is specialised and using data analytics to predict future changes in skills and consolidate employer branding. Borrow approach is a strategy that utilises the services of external consultants, freelancers and contractors to meet short-term or project-specific skill requirements and, as such, is flexible and fast. Lastly, the bind strategy assures retention via formal career development, mentoring, recognition schemes, and all-inclusive working environments (Baluch and Ridder, 2020). According to the latest HRM research findings, organisations that combine all four strategies perform better than those that do not, especially when it comes to adjusting to turbulence and digital disruption in the market.</w:t>
      </w:r>
    </w:p>
    <w:p w14:paraId="0DAE2FBA" w14:textId="77777777" w:rsidR="0025154C" w:rsidRPr="00B031FE" w:rsidRDefault="0025154C" w:rsidP="0025154C">
      <w:pPr>
        <w:rPr>
          <w:rFonts w:ascii="Arial" w:hAnsi="Arial" w:cs="Arial"/>
          <w:color w:val="000000"/>
        </w:rPr>
      </w:pPr>
    </w:p>
    <w:p w14:paraId="6E699E40" w14:textId="77777777" w:rsidR="0025154C" w:rsidRPr="00B031FE" w:rsidRDefault="0025154C" w:rsidP="0025154C">
      <w:pPr>
        <w:pStyle w:val="Heading2"/>
        <w:rPr>
          <w:rFonts w:ascii="Arial" w:hAnsi="Arial" w:cs="Arial"/>
        </w:rPr>
      </w:pPr>
      <w:bookmarkStart w:id="14" w:name="_Toc213165294"/>
      <w:r w:rsidRPr="00B031FE">
        <w:rPr>
          <w:rFonts w:ascii="Arial" w:hAnsi="Arial" w:cs="Arial"/>
        </w:rPr>
        <w:t>3.3 Sector Examples</w:t>
      </w:r>
      <w:bookmarkEnd w:id="14"/>
    </w:p>
    <w:p w14:paraId="64E8F97B" w14:textId="77777777" w:rsidR="0025154C" w:rsidRPr="00B031FE" w:rsidRDefault="0025154C" w:rsidP="0025154C">
      <w:pPr>
        <w:rPr>
          <w:rFonts w:ascii="Arial" w:hAnsi="Arial" w:cs="Arial"/>
          <w:color w:val="000000"/>
        </w:rPr>
      </w:pPr>
      <w:r w:rsidRPr="00B031FE">
        <w:rPr>
          <w:rFonts w:ascii="Arial" w:hAnsi="Arial" w:cs="Arial"/>
          <w:color w:val="000000"/>
        </w:rPr>
        <w:t xml:space="preserve">An example of the build and borrow strategies is seen in the technology industry, where the strategies have been applied by implementing in-house coding bootcamps </w:t>
      </w:r>
      <w:r w:rsidRPr="00B031FE">
        <w:rPr>
          <w:rFonts w:ascii="Arial" w:hAnsi="Arial" w:cs="Arial"/>
          <w:color w:val="000000"/>
        </w:rPr>
        <w:lastRenderedPageBreak/>
        <w:t>and contracting freelance AI professionals to undertake specialised innovation projects. The strategies used by the healthcare industry to implement buy and bind are particularly the international recruitment of nurses and structured career development and wellbeing programmes that aim to increase retention (Boxall, Purcell and Wright, 2022). The industry of hospitality is highly turnover and this puts strains on an organisation to employ management development programmes and strong employer branding as a strategy to recruit and retain talented employees in a highly competitive labour market.</w:t>
      </w:r>
    </w:p>
    <w:p w14:paraId="58B7C3AA" w14:textId="77777777" w:rsidR="0025154C" w:rsidRPr="00B031FE" w:rsidRDefault="0025154C" w:rsidP="0025154C">
      <w:pPr>
        <w:rPr>
          <w:rFonts w:ascii="Arial" w:hAnsi="Arial" w:cs="Arial"/>
          <w:color w:val="000000"/>
        </w:rPr>
      </w:pPr>
    </w:p>
    <w:p w14:paraId="1CDA44C0" w14:textId="77777777" w:rsidR="0025154C" w:rsidRPr="00B031FE" w:rsidRDefault="0025154C" w:rsidP="0025154C">
      <w:pPr>
        <w:pStyle w:val="Heading2"/>
        <w:rPr>
          <w:rFonts w:ascii="Arial" w:hAnsi="Arial" w:cs="Arial"/>
        </w:rPr>
      </w:pPr>
      <w:bookmarkStart w:id="15" w:name="_Toc213165295"/>
      <w:r w:rsidRPr="00B031FE">
        <w:rPr>
          <w:rFonts w:ascii="Arial" w:hAnsi="Arial" w:cs="Arial"/>
        </w:rPr>
        <w:t>3.4 Synthesis</w:t>
      </w:r>
      <w:bookmarkEnd w:id="15"/>
    </w:p>
    <w:p w14:paraId="7C8C341E" w14:textId="77777777" w:rsidR="0025154C" w:rsidRPr="00B031FE" w:rsidRDefault="0025154C" w:rsidP="0025154C">
      <w:pPr>
        <w:rPr>
          <w:rFonts w:ascii="Arial" w:hAnsi="Arial" w:cs="Arial"/>
          <w:color w:val="000000"/>
        </w:rPr>
      </w:pPr>
      <w:r w:rsidRPr="00B031FE">
        <w:rPr>
          <w:rFonts w:ascii="Arial" w:hAnsi="Arial" w:cs="Arial"/>
          <w:color w:val="000000"/>
        </w:rPr>
        <w:t>Talent management has become a critical competitive advantage that dynamically comes about. Companies that continually acquire, attract and maintain the right sets of skills are in better positions to create organisational agility and resiliency (Boxall, Purcell and Wright, 2022). With a combination of strategic HRM practices, organisations will be able to bridge the gap in skills, increase employee engagement, and secure growth in unstable labour markets.</w:t>
      </w:r>
    </w:p>
    <w:p w14:paraId="29B84FD9" w14:textId="77777777" w:rsidR="0025154C" w:rsidRPr="00B031FE" w:rsidRDefault="0025154C" w:rsidP="0025154C">
      <w:pPr>
        <w:rPr>
          <w:rFonts w:ascii="Arial" w:hAnsi="Arial" w:cs="Arial"/>
          <w:color w:val="000000"/>
        </w:rPr>
      </w:pPr>
    </w:p>
    <w:p w14:paraId="1EDBEF5B" w14:textId="77777777" w:rsidR="0025154C" w:rsidRPr="00B031FE" w:rsidRDefault="0025154C" w:rsidP="0025154C">
      <w:pPr>
        <w:pStyle w:val="Heading1"/>
        <w:rPr>
          <w:rFonts w:ascii="Arial" w:hAnsi="Arial" w:cs="Arial"/>
        </w:rPr>
      </w:pPr>
      <w:bookmarkStart w:id="16" w:name="_Toc213165296"/>
      <w:r w:rsidRPr="00B031FE">
        <w:rPr>
          <w:rFonts w:ascii="Arial" w:hAnsi="Arial" w:cs="Arial"/>
        </w:rPr>
        <w:t>Q4 – Reflective Report on Capabilities</w:t>
      </w:r>
      <w:bookmarkEnd w:id="16"/>
    </w:p>
    <w:p w14:paraId="767A4062" w14:textId="77777777" w:rsidR="0025154C" w:rsidRPr="00B031FE" w:rsidRDefault="0025154C" w:rsidP="0025154C">
      <w:pPr>
        <w:pStyle w:val="Heading2"/>
        <w:rPr>
          <w:rFonts w:ascii="Arial" w:hAnsi="Arial" w:cs="Arial"/>
        </w:rPr>
      </w:pPr>
      <w:bookmarkStart w:id="17" w:name="_Toc213165297"/>
      <w:r w:rsidRPr="00B031FE">
        <w:rPr>
          <w:rFonts w:ascii="Arial" w:hAnsi="Arial" w:cs="Arial"/>
        </w:rPr>
        <w:t>4.1 Description</w:t>
      </w:r>
      <w:bookmarkEnd w:id="17"/>
      <w:r w:rsidRPr="00B031FE">
        <w:rPr>
          <w:rFonts w:ascii="Arial" w:hAnsi="Arial" w:cs="Arial"/>
        </w:rPr>
        <w:t>  </w:t>
      </w:r>
    </w:p>
    <w:p w14:paraId="4B04F6FF" w14:textId="77777777" w:rsidR="0025154C" w:rsidRPr="00B031FE" w:rsidRDefault="0025154C" w:rsidP="0025154C">
      <w:pPr>
        <w:rPr>
          <w:rFonts w:ascii="Arial" w:hAnsi="Arial" w:cs="Arial"/>
          <w:color w:val="000000"/>
        </w:rPr>
      </w:pPr>
      <w:r w:rsidRPr="00B031FE">
        <w:rPr>
          <w:rFonts w:ascii="Arial" w:hAnsi="Arial" w:cs="Arial"/>
          <w:color w:val="000000"/>
        </w:rPr>
        <w:t>Throughout the MBA programme, I have worked on a set of group projects, which required cross-cultural cooperation through digital tools, including MS Teams and Google Workspace. These experiences were a source of exposure to different opinions and critically challenged my flexibility, teamwork and leadership skills. I also used artificial intelligence to streamline research and writing, which helped me to improve the efficiency of the process, but also demonstrated some gaps in my analytical skills and cross-cultural leadership performance.  </w:t>
      </w:r>
    </w:p>
    <w:p w14:paraId="1884772C" w14:textId="77777777" w:rsidR="0025154C" w:rsidRPr="00B031FE" w:rsidRDefault="0025154C" w:rsidP="0025154C">
      <w:pPr>
        <w:pStyle w:val="Heading2"/>
        <w:rPr>
          <w:rFonts w:ascii="Arial" w:hAnsi="Arial" w:cs="Arial"/>
        </w:rPr>
      </w:pPr>
      <w:bookmarkStart w:id="18" w:name="_Toc213165298"/>
      <w:r w:rsidRPr="00B031FE">
        <w:rPr>
          <w:rFonts w:ascii="Arial" w:hAnsi="Arial" w:cs="Arial"/>
        </w:rPr>
        <w:t>4.2 Feelings</w:t>
      </w:r>
      <w:bookmarkEnd w:id="18"/>
      <w:r w:rsidRPr="00B031FE">
        <w:rPr>
          <w:rFonts w:ascii="Arial" w:hAnsi="Arial" w:cs="Arial"/>
        </w:rPr>
        <w:t>  </w:t>
      </w:r>
    </w:p>
    <w:p w14:paraId="2CDC80FE" w14:textId="77777777" w:rsidR="0025154C" w:rsidRPr="00B031FE" w:rsidRDefault="0025154C" w:rsidP="0025154C">
      <w:pPr>
        <w:rPr>
          <w:rFonts w:ascii="Arial" w:hAnsi="Arial" w:cs="Arial"/>
          <w:color w:val="000000"/>
        </w:rPr>
      </w:pPr>
      <w:r w:rsidRPr="00B031FE">
        <w:rPr>
          <w:rFonts w:ascii="Arial" w:hAnsi="Arial" w:cs="Arial"/>
          <w:color w:val="000000"/>
        </w:rPr>
        <w:t xml:space="preserve">To start with, I had considered myself a skilled e-communicator and at the same time felt uneasy about handling cultural differences at the same time in teams. Organisation of internet debates at times created a misconception, thus increasing my anxiety about conflict resolution. However, later on, as the projects went on, I increasingly became </w:t>
      </w:r>
      <w:r w:rsidRPr="00B031FE">
        <w:rPr>
          <w:rFonts w:ascii="Arial" w:hAnsi="Arial" w:cs="Arial"/>
          <w:color w:val="000000"/>
        </w:rPr>
        <w:lastRenderedPageBreak/>
        <w:t>more comfortable facilitating collaboration, providing feedback, and appreciating the underlying value of inclusive leadership. My self-esteem in communication and initiative-taking was subsequently supported by the positive peer ratings (Kane et al., 2020).  </w:t>
      </w:r>
    </w:p>
    <w:p w14:paraId="224D57FB" w14:textId="77777777" w:rsidR="0025154C" w:rsidRPr="00B031FE" w:rsidRDefault="0025154C" w:rsidP="0025154C">
      <w:pPr>
        <w:pStyle w:val="Heading2"/>
        <w:rPr>
          <w:rFonts w:ascii="Arial" w:hAnsi="Arial" w:cs="Arial"/>
        </w:rPr>
      </w:pPr>
      <w:bookmarkStart w:id="19" w:name="_Toc213165299"/>
      <w:r w:rsidRPr="00B031FE">
        <w:rPr>
          <w:rFonts w:ascii="Arial" w:hAnsi="Arial" w:cs="Arial"/>
        </w:rPr>
        <w:t>4.3 Evaluation</w:t>
      </w:r>
      <w:bookmarkEnd w:id="19"/>
      <w:r w:rsidRPr="00B031FE">
        <w:rPr>
          <w:rFonts w:ascii="Arial" w:hAnsi="Arial" w:cs="Arial"/>
        </w:rPr>
        <w:t> </w:t>
      </w:r>
    </w:p>
    <w:p w14:paraId="0C350B82" w14:textId="28333EF2" w:rsidR="0025154C" w:rsidRPr="00B031FE" w:rsidRDefault="0025154C" w:rsidP="0025154C">
      <w:pPr>
        <w:rPr>
          <w:rFonts w:ascii="Arial" w:hAnsi="Arial" w:cs="Arial"/>
          <w:color w:val="000000"/>
        </w:rPr>
      </w:pPr>
      <w:r w:rsidRPr="00B031FE">
        <w:rPr>
          <w:rFonts w:ascii="Arial" w:hAnsi="Arial" w:cs="Arial"/>
          <w:color w:val="000000"/>
        </w:rPr>
        <w:t> The learning experience reinforced my ability to adapt, implement technology, and perform self-directed learning. I spoke in an understandable way, contributed to the team and made sure that tasks were done in time. However, I found out that managing multicultural teams was quite a difficult task because of dissimilar communication standards and expectations. Additionally, I identified that I used digital instruments effectively, yet I was still too dependent on fellow employees to do high-level data analysis. Such facts highlight the importance of technical expertise and cultural sensitivity, and strategic leadership to balance.  </w:t>
      </w:r>
    </w:p>
    <w:p w14:paraId="6A072D1A" w14:textId="77777777" w:rsidR="0025154C" w:rsidRPr="00B031FE" w:rsidRDefault="0025154C" w:rsidP="0025154C">
      <w:pPr>
        <w:pStyle w:val="Heading2"/>
        <w:rPr>
          <w:rFonts w:ascii="Arial" w:hAnsi="Arial" w:cs="Arial"/>
        </w:rPr>
      </w:pPr>
      <w:bookmarkStart w:id="20" w:name="_Toc213165300"/>
      <w:r w:rsidRPr="00B031FE">
        <w:rPr>
          <w:rFonts w:ascii="Arial" w:hAnsi="Arial" w:cs="Arial"/>
        </w:rPr>
        <w:t>4.4 Analysis</w:t>
      </w:r>
      <w:bookmarkEnd w:id="20"/>
      <w:r w:rsidRPr="00B031FE">
        <w:rPr>
          <w:rFonts w:ascii="Arial" w:hAnsi="Arial" w:cs="Arial"/>
        </w:rPr>
        <w:t>  </w:t>
      </w:r>
    </w:p>
    <w:p w14:paraId="305A2519" w14:textId="77777777" w:rsidR="0025154C" w:rsidRPr="00B031FE" w:rsidRDefault="0025154C" w:rsidP="0025154C">
      <w:pPr>
        <w:rPr>
          <w:rFonts w:ascii="Arial" w:hAnsi="Arial" w:cs="Arial"/>
          <w:color w:val="000000"/>
        </w:rPr>
      </w:pPr>
      <w:r w:rsidRPr="00B031FE">
        <w:rPr>
          <w:rFonts w:ascii="Arial" w:hAnsi="Arial" w:cs="Arial"/>
          <w:color w:val="000000"/>
        </w:rPr>
        <w:t>The practice and theory integration was possible through the implementation of the reflective cycle by Gibbs. Technology expertise is in line with modern global HRM requirements of digital nimbleness and continuous learning (Cooke, Xiao and Chen, 2021). The experience of teamwork can be related to the Hofstede cultural dimension, showing that teamwork can be optimised in situations when communication styles are changed by the leaders depending on the cultural background. My self-learning patterns also align with the focus of OECD on lifelong employability. Overall, these lessons prove that technological competence, empathy, and inclusive leadership make a difference in international HRM.  </w:t>
      </w:r>
    </w:p>
    <w:p w14:paraId="0D4E0414" w14:textId="77777777" w:rsidR="0025154C" w:rsidRPr="00B031FE" w:rsidRDefault="0025154C" w:rsidP="0025154C">
      <w:pPr>
        <w:pStyle w:val="Heading2"/>
        <w:rPr>
          <w:rFonts w:ascii="Arial" w:hAnsi="Arial" w:cs="Arial"/>
        </w:rPr>
      </w:pPr>
      <w:bookmarkStart w:id="21" w:name="_Toc213165301"/>
      <w:r w:rsidRPr="00B031FE">
        <w:rPr>
          <w:rFonts w:ascii="Arial" w:hAnsi="Arial" w:cs="Arial"/>
        </w:rPr>
        <w:t>4.5 Conclusion</w:t>
      </w:r>
      <w:bookmarkEnd w:id="21"/>
      <w:r w:rsidRPr="00B031FE">
        <w:rPr>
          <w:rFonts w:ascii="Arial" w:hAnsi="Arial" w:cs="Arial"/>
        </w:rPr>
        <w:t>  </w:t>
      </w:r>
    </w:p>
    <w:p w14:paraId="04FF3E7F" w14:textId="6B31AD3A" w:rsidR="0025154C" w:rsidRPr="00B031FE" w:rsidRDefault="0025154C" w:rsidP="0025154C">
      <w:pPr>
        <w:rPr>
          <w:rFonts w:ascii="Arial" w:hAnsi="Arial" w:cs="Arial"/>
          <w:color w:val="000000"/>
        </w:rPr>
      </w:pPr>
      <w:r w:rsidRPr="00B031FE">
        <w:rPr>
          <w:rFonts w:ascii="Arial" w:hAnsi="Arial" w:cs="Arial"/>
          <w:color w:val="000000"/>
        </w:rPr>
        <w:t>Adaptability, teamwork, and self-learning are the main strengths as identified in the course of reflective analysis. On the other hand, my greatest weakness is the multicultural leadership that limits my ability to impact various teams. Enhancing this area will make me better prepared to work in global HR positions, where digital fluency and cultural intelligence skills are required.</w:t>
      </w:r>
    </w:p>
    <w:p w14:paraId="4F0D4FB3" w14:textId="77777777" w:rsidR="0025154C" w:rsidRPr="00B031FE" w:rsidRDefault="0025154C" w:rsidP="0025154C">
      <w:pPr>
        <w:pStyle w:val="Heading2"/>
        <w:rPr>
          <w:rFonts w:ascii="Arial" w:hAnsi="Arial" w:cs="Arial"/>
        </w:rPr>
      </w:pPr>
      <w:bookmarkStart w:id="22" w:name="_Toc213165302"/>
      <w:r w:rsidRPr="00B031FE">
        <w:rPr>
          <w:rFonts w:ascii="Arial" w:hAnsi="Arial" w:cs="Arial"/>
        </w:rPr>
        <w:t>4.6 Action Plan</w:t>
      </w:r>
      <w:bookmarkEnd w:id="22"/>
    </w:p>
    <w:tbl>
      <w:tblPr>
        <w:tblStyle w:val="GridTable4-Accent2"/>
        <w:tblW w:w="0" w:type="auto"/>
        <w:tblLook w:val="04A0" w:firstRow="1" w:lastRow="0" w:firstColumn="1" w:lastColumn="0" w:noHBand="0" w:noVBand="1"/>
      </w:tblPr>
      <w:tblGrid>
        <w:gridCol w:w="2350"/>
        <w:gridCol w:w="2446"/>
        <w:gridCol w:w="1565"/>
        <w:gridCol w:w="2649"/>
      </w:tblGrid>
      <w:tr w:rsidR="0025154C" w:rsidRPr="00B031FE" w14:paraId="69A021C3" w14:textId="77777777" w:rsidTr="0025154C">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4CB75D65" w14:textId="77777777" w:rsidR="0025154C" w:rsidRPr="00B031FE" w:rsidRDefault="0025154C" w:rsidP="0025154C">
            <w:pPr>
              <w:rPr>
                <w:rFonts w:ascii="Arial" w:hAnsi="Arial" w:cs="Arial"/>
              </w:rPr>
            </w:pPr>
            <w:r w:rsidRPr="00B031FE">
              <w:rPr>
                <w:rFonts w:ascii="Arial" w:hAnsi="Arial" w:cs="Arial"/>
                <w:color w:val="000000"/>
              </w:rPr>
              <w:t>Goal</w:t>
            </w:r>
          </w:p>
        </w:tc>
        <w:tc>
          <w:tcPr>
            <w:tcW w:w="0" w:type="auto"/>
            <w:hideMark/>
          </w:tcPr>
          <w:p w14:paraId="3186BD97" w14:textId="77777777" w:rsidR="0025154C" w:rsidRPr="00B031FE" w:rsidRDefault="0025154C" w:rsidP="0025154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Action</w:t>
            </w:r>
          </w:p>
        </w:tc>
        <w:tc>
          <w:tcPr>
            <w:tcW w:w="0" w:type="auto"/>
            <w:hideMark/>
          </w:tcPr>
          <w:p w14:paraId="192411CA" w14:textId="77777777" w:rsidR="0025154C" w:rsidRPr="00B031FE" w:rsidRDefault="0025154C" w:rsidP="0025154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Timeframe</w:t>
            </w:r>
          </w:p>
        </w:tc>
        <w:tc>
          <w:tcPr>
            <w:tcW w:w="0" w:type="auto"/>
            <w:hideMark/>
          </w:tcPr>
          <w:p w14:paraId="17CB343F" w14:textId="77777777" w:rsidR="0025154C" w:rsidRPr="00B031FE" w:rsidRDefault="0025154C" w:rsidP="0025154C">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Expected Outcome</w:t>
            </w:r>
          </w:p>
        </w:tc>
      </w:tr>
      <w:tr w:rsidR="0025154C" w:rsidRPr="00B031FE" w14:paraId="5848A6C3" w14:textId="77777777" w:rsidTr="0025154C">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3F3C1D9E" w14:textId="77777777" w:rsidR="0025154C" w:rsidRPr="00B031FE" w:rsidRDefault="0025154C" w:rsidP="0025154C">
            <w:pPr>
              <w:rPr>
                <w:rFonts w:ascii="Arial" w:hAnsi="Arial" w:cs="Arial"/>
              </w:rPr>
            </w:pPr>
            <w:r w:rsidRPr="00B031FE">
              <w:rPr>
                <w:rFonts w:ascii="Arial" w:hAnsi="Arial" w:cs="Arial"/>
                <w:color w:val="000000"/>
              </w:rPr>
              <w:lastRenderedPageBreak/>
              <w:t>Strengthen multicultural leadership</w:t>
            </w:r>
          </w:p>
        </w:tc>
        <w:tc>
          <w:tcPr>
            <w:tcW w:w="0" w:type="auto"/>
            <w:hideMark/>
          </w:tcPr>
          <w:p w14:paraId="0048FFD5"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Lead the next diverse MBA project team</w:t>
            </w:r>
          </w:p>
        </w:tc>
        <w:tc>
          <w:tcPr>
            <w:tcW w:w="0" w:type="auto"/>
            <w:hideMark/>
          </w:tcPr>
          <w:p w14:paraId="0B8B4228"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Next semester</w:t>
            </w:r>
          </w:p>
        </w:tc>
        <w:tc>
          <w:tcPr>
            <w:tcW w:w="0" w:type="auto"/>
            <w:hideMark/>
          </w:tcPr>
          <w:p w14:paraId="7875BFB6"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Improved confidence managing cross-cultural teams</w:t>
            </w:r>
          </w:p>
        </w:tc>
      </w:tr>
      <w:tr w:rsidR="0025154C" w:rsidRPr="00B031FE" w14:paraId="7A37C957" w14:textId="77777777" w:rsidTr="0025154C">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63268EB" w14:textId="77777777" w:rsidR="0025154C" w:rsidRPr="00B031FE" w:rsidRDefault="0025154C" w:rsidP="0025154C">
            <w:pPr>
              <w:rPr>
                <w:rFonts w:ascii="Arial" w:hAnsi="Arial" w:cs="Arial"/>
              </w:rPr>
            </w:pPr>
            <w:r w:rsidRPr="00B031FE">
              <w:rPr>
                <w:rFonts w:ascii="Arial" w:hAnsi="Arial" w:cs="Arial"/>
                <w:color w:val="000000"/>
              </w:rPr>
              <w:t>Advance HR analytics skills</w:t>
            </w:r>
          </w:p>
        </w:tc>
        <w:tc>
          <w:tcPr>
            <w:tcW w:w="0" w:type="auto"/>
            <w:hideMark/>
          </w:tcPr>
          <w:p w14:paraId="06EFF6A9" w14:textId="77777777" w:rsidR="0025154C" w:rsidRPr="00B031FE" w:rsidRDefault="0025154C" w:rsidP="0025154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Complete LinkedIn or Coursera HR analytics course</w:t>
            </w:r>
          </w:p>
        </w:tc>
        <w:tc>
          <w:tcPr>
            <w:tcW w:w="0" w:type="auto"/>
            <w:hideMark/>
          </w:tcPr>
          <w:p w14:paraId="3ED66B77" w14:textId="77777777" w:rsidR="0025154C" w:rsidRPr="00B031FE" w:rsidRDefault="0025154C" w:rsidP="0025154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Within 3 months</w:t>
            </w:r>
          </w:p>
        </w:tc>
        <w:tc>
          <w:tcPr>
            <w:tcW w:w="0" w:type="auto"/>
            <w:hideMark/>
          </w:tcPr>
          <w:p w14:paraId="42E5854E" w14:textId="77777777" w:rsidR="0025154C" w:rsidRPr="00B031FE" w:rsidRDefault="0025154C" w:rsidP="0025154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031FE">
              <w:rPr>
                <w:rFonts w:ascii="Arial" w:hAnsi="Arial" w:cs="Arial"/>
                <w:color w:val="000000"/>
              </w:rPr>
              <w:t>Enhanced analytical and decision-making ability</w:t>
            </w:r>
          </w:p>
        </w:tc>
      </w:tr>
      <w:tr w:rsidR="0025154C" w:rsidRPr="00B031FE" w14:paraId="1E8AB5EF" w14:textId="77777777" w:rsidTr="0025154C">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933FDCC" w14:textId="77777777" w:rsidR="0025154C" w:rsidRPr="00B031FE" w:rsidRDefault="0025154C" w:rsidP="0025154C">
            <w:pPr>
              <w:rPr>
                <w:rFonts w:ascii="Arial" w:hAnsi="Arial" w:cs="Arial"/>
              </w:rPr>
            </w:pPr>
            <w:r w:rsidRPr="00B031FE">
              <w:rPr>
                <w:rFonts w:ascii="Arial" w:hAnsi="Arial" w:cs="Arial"/>
                <w:color w:val="000000"/>
              </w:rPr>
              <w:t>Maintain continuous learning</w:t>
            </w:r>
          </w:p>
        </w:tc>
        <w:tc>
          <w:tcPr>
            <w:tcW w:w="0" w:type="auto"/>
            <w:hideMark/>
          </w:tcPr>
          <w:p w14:paraId="6A9C6A3A"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Read CIPD and OECD reports monthly</w:t>
            </w:r>
          </w:p>
        </w:tc>
        <w:tc>
          <w:tcPr>
            <w:tcW w:w="0" w:type="auto"/>
            <w:hideMark/>
          </w:tcPr>
          <w:p w14:paraId="0DA41B39"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Ongoing</w:t>
            </w:r>
          </w:p>
        </w:tc>
        <w:tc>
          <w:tcPr>
            <w:tcW w:w="0" w:type="auto"/>
            <w:hideMark/>
          </w:tcPr>
          <w:p w14:paraId="6BB51F9D" w14:textId="77777777" w:rsidR="0025154C" w:rsidRPr="00B031FE" w:rsidRDefault="0025154C" w:rsidP="0025154C">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031FE">
              <w:rPr>
                <w:rFonts w:ascii="Arial" w:hAnsi="Arial" w:cs="Arial"/>
                <w:color w:val="000000"/>
              </w:rPr>
              <w:t>Up-to-date professional knowledge and adaptability</w:t>
            </w:r>
          </w:p>
        </w:tc>
      </w:tr>
    </w:tbl>
    <w:p w14:paraId="4A725AE1" w14:textId="77777777" w:rsidR="0025154C" w:rsidRPr="00B031FE" w:rsidRDefault="0025154C" w:rsidP="0025154C">
      <w:pPr>
        <w:rPr>
          <w:rFonts w:ascii="Arial" w:hAnsi="Arial" w:cs="Arial"/>
          <w:color w:val="000000"/>
        </w:rPr>
      </w:pPr>
    </w:p>
    <w:p w14:paraId="7EBE6503" w14:textId="77777777" w:rsidR="0025154C" w:rsidRPr="00B031FE" w:rsidRDefault="0025154C">
      <w:pPr>
        <w:spacing w:after="160" w:line="259" w:lineRule="auto"/>
        <w:jc w:val="left"/>
        <w:rPr>
          <w:rFonts w:ascii="Arial" w:hAnsi="Arial" w:cs="Arial"/>
          <w:color w:val="000000"/>
        </w:rPr>
      </w:pPr>
      <w:r w:rsidRPr="00B031FE">
        <w:rPr>
          <w:rFonts w:ascii="Arial" w:hAnsi="Arial" w:cs="Arial"/>
          <w:color w:val="000000"/>
        </w:rPr>
        <w:br w:type="page"/>
      </w:r>
    </w:p>
    <w:p w14:paraId="20154767" w14:textId="1EF02B6B" w:rsidR="0025154C" w:rsidRPr="00B031FE" w:rsidRDefault="0025154C" w:rsidP="0025154C">
      <w:pPr>
        <w:pStyle w:val="Heading1"/>
        <w:rPr>
          <w:rFonts w:ascii="Arial" w:hAnsi="Arial" w:cs="Arial"/>
        </w:rPr>
      </w:pPr>
      <w:bookmarkStart w:id="23" w:name="_Toc213165303"/>
      <w:r w:rsidRPr="00B031FE">
        <w:rPr>
          <w:rFonts w:ascii="Arial" w:hAnsi="Arial" w:cs="Arial"/>
        </w:rPr>
        <w:lastRenderedPageBreak/>
        <w:t>Conclusion</w:t>
      </w:r>
      <w:bookmarkEnd w:id="23"/>
    </w:p>
    <w:p w14:paraId="6B60EFD7" w14:textId="6D78295F" w:rsidR="0025154C" w:rsidRPr="00B031FE" w:rsidRDefault="007F54E1" w:rsidP="0025154C">
      <w:pPr>
        <w:rPr>
          <w:rFonts w:ascii="Arial" w:hAnsi="Arial" w:cs="Arial"/>
          <w:color w:val="000000"/>
        </w:rPr>
      </w:pPr>
      <w:r w:rsidRPr="00B031FE">
        <w:rPr>
          <w:rFonts w:ascii="Arial" w:hAnsi="Arial" w:cs="Arial"/>
          <w:color w:val="000000"/>
          <w:lang w:val="en-US"/>
        </w:rPr>
        <w:t>In</w:t>
      </w:r>
      <w:r w:rsidR="0025154C" w:rsidRPr="00B031FE">
        <w:rPr>
          <w:rFonts w:ascii="Arial" w:hAnsi="Arial" w:cs="Arial"/>
          <w:color w:val="000000"/>
        </w:rPr>
        <w:t xml:space="preserve"> the dynamic global environment</w:t>
      </w:r>
      <w:r w:rsidRPr="00B031FE">
        <w:rPr>
          <w:rFonts w:ascii="Arial" w:hAnsi="Arial" w:cs="Arial"/>
          <w:color w:val="000000"/>
          <w:lang w:val="en-US"/>
        </w:rPr>
        <w:t xml:space="preserve"> of </w:t>
      </w:r>
      <w:r w:rsidRPr="00B031FE">
        <w:rPr>
          <w:rFonts w:ascii="Arial" w:hAnsi="Arial" w:cs="Arial"/>
          <w:color w:val="000000"/>
        </w:rPr>
        <w:t>competitive</w:t>
      </w:r>
      <w:r w:rsidRPr="00B031FE">
        <w:rPr>
          <w:rFonts w:ascii="Arial" w:hAnsi="Arial" w:cs="Arial"/>
          <w:color w:val="000000"/>
          <w:lang w:val="en-US"/>
        </w:rPr>
        <w:t>ness</w:t>
      </w:r>
      <w:r w:rsidR="0025154C" w:rsidRPr="00B031FE">
        <w:rPr>
          <w:rFonts w:ascii="Arial" w:hAnsi="Arial" w:cs="Arial"/>
          <w:color w:val="000000"/>
        </w:rPr>
        <w:t xml:space="preserve">, organisations must develop and change continuously via learning programmes, future foresight, and comprehensive leadership. </w:t>
      </w:r>
      <w:r w:rsidRPr="00B031FE">
        <w:rPr>
          <w:rFonts w:ascii="Arial" w:hAnsi="Arial" w:cs="Arial"/>
          <w:color w:val="000000"/>
          <w:lang w:val="en-US"/>
        </w:rPr>
        <w:t>As</w:t>
      </w:r>
      <w:r w:rsidRPr="00B031FE">
        <w:rPr>
          <w:rFonts w:ascii="Arial" w:hAnsi="Arial" w:cs="Arial"/>
          <w:color w:val="000000"/>
        </w:rPr>
        <w:t xml:space="preserve"> </w:t>
      </w:r>
      <w:r w:rsidRPr="00B031FE">
        <w:rPr>
          <w:rFonts w:ascii="Arial" w:hAnsi="Arial" w:cs="Arial"/>
          <w:color w:val="000000"/>
          <w:lang w:val="en-US"/>
        </w:rPr>
        <w:t>a</w:t>
      </w:r>
      <w:r w:rsidRPr="00B031FE">
        <w:rPr>
          <w:rFonts w:ascii="Arial" w:hAnsi="Arial" w:cs="Arial"/>
          <w:color w:val="000000"/>
        </w:rPr>
        <w:t xml:space="preserve"> result of technological advances, demographic changes and growing skills shortage</w:t>
      </w:r>
      <w:r w:rsidRPr="00B031FE">
        <w:rPr>
          <w:rFonts w:ascii="Arial" w:hAnsi="Arial" w:cs="Arial"/>
          <w:color w:val="000000"/>
          <w:lang w:val="en-US"/>
        </w:rPr>
        <w:t xml:space="preserve">, HRM and IHRM are practised in a new way </w:t>
      </w:r>
      <w:r w:rsidRPr="00B031FE">
        <w:rPr>
          <w:rFonts w:ascii="Arial" w:hAnsi="Arial" w:cs="Arial"/>
          <w:color w:val="000000"/>
        </w:rPr>
        <w:t>(Kane et al., 2020)</w:t>
      </w:r>
      <w:r w:rsidRPr="00B031FE">
        <w:rPr>
          <w:rFonts w:ascii="Arial" w:hAnsi="Arial" w:cs="Arial"/>
          <w:color w:val="000000"/>
          <w:lang w:val="en-US"/>
        </w:rPr>
        <w:t xml:space="preserve">. </w:t>
      </w:r>
      <w:r w:rsidR="0025154C" w:rsidRPr="00B031FE">
        <w:rPr>
          <w:rFonts w:ascii="Arial" w:hAnsi="Arial" w:cs="Arial"/>
          <w:color w:val="000000"/>
        </w:rPr>
        <w:t>The production of digital innovation, heterogeneous workforce stewardship and talent development mechanisms are becoming an unavoidable element of long-term organisational sustainability (Minbaeva and Navrbjerg, 2023). The reflective practice has increased my awareness of such international processes and strengthened my commitment to lifelong learning. I am on the path to leading the changing field of international human resource management by means of continuous improvement of digital skills, interpersonal skills, and leadership abilities.</w:t>
      </w:r>
    </w:p>
    <w:p w14:paraId="00DDF881" w14:textId="77777777" w:rsidR="0025154C" w:rsidRPr="00B031FE" w:rsidRDefault="0025154C" w:rsidP="0025154C">
      <w:pPr>
        <w:rPr>
          <w:rFonts w:ascii="Arial" w:hAnsi="Arial" w:cs="Arial"/>
        </w:rPr>
      </w:pPr>
    </w:p>
    <w:p w14:paraId="5E9327D5" w14:textId="77777777" w:rsidR="0025154C" w:rsidRPr="00B031FE" w:rsidRDefault="0025154C" w:rsidP="0025154C">
      <w:pPr>
        <w:rPr>
          <w:rFonts w:ascii="Arial" w:hAnsi="Arial" w:cs="Arial"/>
        </w:rPr>
      </w:pPr>
    </w:p>
    <w:p w14:paraId="74228C6B" w14:textId="3373A851" w:rsidR="0025154C" w:rsidRPr="00B031FE" w:rsidRDefault="0025154C">
      <w:pPr>
        <w:spacing w:after="160" w:line="259" w:lineRule="auto"/>
        <w:jc w:val="left"/>
        <w:rPr>
          <w:rFonts w:ascii="Arial" w:hAnsi="Arial" w:cs="Arial"/>
        </w:rPr>
      </w:pPr>
      <w:r w:rsidRPr="00B031FE">
        <w:rPr>
          <w:rFonts w:ascii="Arial" w:hAnsi="Arial" w:cs="Arial"/>
        </w:rPr>
        <w:br w:type="page"/>
      </w:r>
    </w:p>
    <w:p w14:paraId="770CF826" w14:textId="26C7A4E7" w:rsidR="00834369" w:rsidRPr="00B031FE" w:rsidRDefault="0025154C" w:rsidP="0025154C">
      <w:pPr>
        <w:pStyle w:val="Heading1"/>
        <w:rPr>
          <w:rFonts w:ascii="Arial" w:hAnsi="Arial" w:cs="Arial"/>
          <w:lang w:val="en-US"/>
        </w:rPr>
      </w:pPr>
      <w:bookmarkStart w:id="24" w:name="_Toc213165304"/>
      <w:r w:rsidRPr="00B031FE">
        <w:rPr>
          <w:rFonts w:ascii="Arial" w:hAnsi="Arial" w:cs="Arial"/>
          <w:lang w:val="en-US"/>
        </w:rPr>
        <w:lastRenderedPageBreak/>
        <w:t>Reference</w:t>
      </w:r>
      <w:bookmarkEnd w:id="24"/>
    </w:p>
    <w:p w14:paraId="25A08AB0" w14:textId="1AF55350" w:rsidR="00412CF2" w:rsidRPr="00412CF2" w:rsidRDefault="0025154C" w:rsidP="0025154C">
      <w:pPr>
        <w:rPr>
          <w:rFonts w:ascii="Arial" w:hAnsi="Arial" w:cs="Arial"/>
          <w:lang w:val="en-US"/>
        </w:rPr>
      </w:pPr>
      <w:r w:rsidRPr="00B031FE">
        <w:rPr>
          <w:rFonts w:ascii="Arial" w:hAnsi="Arial" w:cs="Arial"/>
        </w:rPr>
        <w:t>Armstrong, M. (2021)</w:t>
      </w:r>
      <w:r w:rsidRPr="00B031FE">
        <w:rPr>
          <w:rStyle w:val="apple-converted-space"/>
          <w:rFonts w:ascii="Arial" w:eastAsiaTheme="majorEastAsia" w:hAnsi="Arial" w:cs="Arial"/>
        </w:rPr>
        <w:t> </w:t>
      </w:r>
      <w:r w:rsidRPr="00B031FE">
        <w:rPr>
          <w:rStyle w:val="Emphasis"/>
          <w:rFonts w:ascii="Arial" w:eastAsiaTheme="majorEastAsia" w:hAnsi="Arial" w:cs="Arial"/>
        </w:rPr>
        <w:t>Armstrong’s Handbook of Human Resource Management Practice</w:t>
      </w:r>
      <w:r w:rsidRPr="00B031FE">
        <w:rPr>
          <w:rFonts w:ascii="Arial" w:hAnsi="Arial" w:cs="Arial"/>
        </w:rPr>
        <w:t>. 15th edn. London: Kogan Page.</w:t>
      </w:r>
    </w:p>
    <w:p w14:paraId="549FC979" w14:textId="29BF37B9" w:rsidR="00412CF2" w:rsidRPr="00412CF2" w:rsidRDefault="0025154C" w:rsidP="0025154C">
      <w:pPr>
        <w:rPr>
          <w:rFonts w:ascii="Arial" w:hAnsi="Arial" w:cs="Arial"/>
          <w:lang w:val="en-US"/>
        </w:rPr>
      </w:pPr>
      <w:r w:rsidRPr="00B031FE">
        <w:rPr>
          <w:rFonts w:ascii="Arial" w:hAnsi="Arial" w:cs="Arial"/>
        </w:rPr>
        <w:t>Baluch, A.M. and Ridder, H.-G. (2020) ‘Mapping the Research Landscape of Strategic Human Resource Management in Nonprofit Organizations: A Systematic Review and Avenues for Future Research’, </w:t>
      </w:r>
      <w:r w:rsidRPr="00B031FE">
        <w:rPr>
          <w:rFonts w:ascii="Arial" w:hAnsi="Arial" w:cs="Arial"/>
          <w:i/>
          <w:iCs/>
        </w:rPr>
        <w:t>Nonprofit and Voluntary Sector Quarterly</w:t>
      </w:r>
      <w:r w:rsidRPr="00B031FE">
        <w:rPr>
          <w:rFonts w:ascii="Arial" w:hAnsi="Arial" w:cs="Arial"/>
        </w:rPr>
        <w:t xml:space="preserve">, 50(3), pp. 598–625. Available at: </w:t>
      </w:r>
      <w:hyperlink r:id="rId9" w:history="1">
        <w:r w:rsidR="00412CF2" w:rsidRPr="0080018B">
          <w:rPr>
            <w:rStyle w:val="Hyperlink"/>
            <w:rFonts w:ascii="Arial" w:hAnsi="Arial" w:cs="Arial"/>
          </w:rPr>
          <w:t>https://doi.org/10.1</w:t>
        </w:r>
        <w:r w:rsidR="00412CF2" w:rsidRPr="0080018B">
          <w:rPr>
            <w:rStyle w:val="Hyperlink"/>
            <w:rFonts w:ascii="Arial" w:hAnsi="Arial" w:cs="Arial"/>
          </w:rPr>
          <w:t>177/0899764020939653</w:t>
        </w:r>
      </w:hyperlink>
      <w:r w:rsidRPr="00B031FE">
        <w:rPr>
          <w:rFonts w:ascii="Arial" w:hAnsi="Arial" w:cs="Arial"/>
        </w:rPr>
        <w:t>.</w:t>
      </w:r>
    </w:p>
    <w:p w14:paraId="0B2BC8B3" w14:textId="2804E0D4" w:rsidR="00412CF2" w:rsidRPr="00412CF2" w:rsidRDefault="0025154C" w:rsidP="0025154C">
      <w:pPr>
        <w:rPr>
          <w:rFonts w:ascii="Arial" w:hAnsi="Arial" w:cs="Arial"/>
          <w:lang w:val="en-US"/>
        </w:rPr>
      </w:pPr>
      <w:r w:rsidRPr="00B031FE">
        <w:rPr>
          <w:rFonts w:ascii="Arial" w:hAnsi="Arial" w:cs="Arial"/>
        </w:rPr>
        <w:t>Boxall, P., Purcell, J. &amp; Wright, P. (2022)</w:t>
      </w:r>
      <w:r w:rsidRPr="00B031FE">
        <w:rPr>
          <w:rStyle w:val="apple-converted-space"/>
          <w:rFonts w:ascii="Arial" w:eastAsiaTheme="majorEastAsia" w:hAnsi="Arial" w:cs="Arial"/>
        </w:rPr>
        <w:t> </w:t>
      </w:r>
      <w:r w:rsidRPr="00B031FE">
        <w:rPr>
          <w:rStyle w:val="Emphasis"/>
          <w:rFonts w:ascii="Arial" w:eastAsiaTheme="majorEastAsia" w:hAnsi="Arial" w:cs="Arial"/>
        </w:rPr>
        <w:t>The Oxford Handbook of Human Resource Management</w:t>
      </w:r>
      <w:r w:rsidRPr="00B031FE">
        <w:rPr>
          <w:rFonts w:ascii="Arial" w:hAnsi="Arial" w:cs="Arial"/>
        </w:rPr>
        <w:t>. 2nd edn. Oxford: Oxford University Press</w:t>
      </w:r>
      <w:r w:rsidR="00412CF2">
        <w:rPr>
          <w:rFonts w:ascii="Arial" w:hAnsi="Arial" w:cs="Arial"/>
          <w:lang w:val="en-US"/>
        </w:rPr>
        <w:t>.</w:t>
      </w:r>
    </w:p>
    <w:p w14:paraId="75592DB5" w14:textId="63F92058" w:rsidR="00412CF2" w:rsidRPr="00412CF2" w:rsidRDefault="0025154C" w:rsidP="0025154C">
      <w:pPr>
        <w:rPr>
          <w:rFonts w:ascii="Arial" w:hAnsi="Arial" w:cs="Arial"/>
          <w:lang w:val="en-US"/>
        </w:rPr>
      </w:pPr>
      <w:r w:rsidRPr="00B031FE">
        <w:rPr>
          <w:rFonts w:ascii="Arial" w:hAnsi="Arial" w:cs="Arial"/>
        </w:rPr>
        <w:t>Collings, D.G. (2021) ‘Strategic Human Resource Management and COVID</w:t>
      </w:r>
      <w:r w:rsidRPr="00B031FE">
        <w:rPr>
          <w:rFonts w:ascii="Cambria Math" w:hAnsi="Cambria Math" w:cs="Cambria Math"/>
        </w:rPr>
        <w:t>‐</w:t>
      </w:r>
      <w:r w:rsidRPr="00B031FE">
        <w:rPr>
          <w:rFonts w:ascii="Arial" w:hAnsi="Arial" w:cs="Arial"/>
        </w:rPr>
        <w:t>19: Emerging Challenges and Research Opportunities’, </w:t>
      </w:r>
      <w:r w:rsidRPr="00B031FE">
        <w:rPr>
          <w:rFonts w:ascii="Arial" w:hAnsi="Arial" w:cs="Arial"/>
          <w:i/>
          <w:iCs/>
        </w:rPr>
        <w:t>Journal of Management Studies</w:t>
      </w:r>
      <w:r w:rsidRPr="00B031FE">
        <w:rPr>
          <w:rFonts w:ascii="Arial" w:hAnsi="Arial" w:cs="Arial"/>
        </w:rPr>
        <w:t xml:space="preserve">, 58(5). Available at: </w:t>
      </w:r>
      <w:hyperlink r:id="rId10" w:history="1">
        <w:r w:rsidR="00412CF2" w:rsidRPr="0080018B">
          <w:rPr>
            <w:rStyle w:val="Hyperlink"/>
            <w:rFonts w:ascii="Arial" w:hAnsi="Arial" w:cs="Arial"/>
          </w:rPr>
          <w:t>https://doi.org/10.1</w:t>
        </w:r>
        <w:r w:rsidR="00412CF2" w:rsidRPr="0080018B">
          <w:rPr>
            <w:rStyle w:val="Hyperlink"/>
            <w:rFonts w:ascii="Arial" w:hAnsi="Arial" w:cs="Arial"/>
          </w:rPr>
          <w:t>1</w:t>
        </w:r>
        <w:r w:rsidR="00412CF2" w:rsidRPr="0080018B">
          <w:rPr>
            <w:rStyle w:val="Hyperlink"/>
            <w:rFonts w:ascii="Arial" w:hAnsi="Arial" w:cs="Arial"/>
          </w:rPr>
          <w:t>11/joms.12695</w:t>
        </w:r>
      </w:hyperlink>
      <w:r w:rsidRPr="00B031FE">
        <w:rPr>
          <w:rFonts w:ascii="Arial" w:hAnsi="Arial" w:cs="Arial"/>
        </w:rPr>
        <w:t>.</w:t>
      </w:r>
    </w:p>
    <w:p w14:paraId="3CBAC3DF" w14:textId="5A5DE306" w:rsidR="00412CF2" w:rsidRPr="00412CF2" w:rsidRDefault="0025154C" w:rsidP="0025154C">
      <w:pPr>
        <w:rPr>
          <w:rFonts w:ascii="Arial" w:hAnsi="Arial" w:cs="Arial"/>
          <w:lang w:val="en-US"/>
        </w:rPr>
      </w:pPr>
      <w:r w:rsidRPr="00B031FE">
        <w:rPr>
          <w:rFonts w:ascii="Arial" w:hAnsi="Arial" w:cs="Arial"/>
        </w:rPr>
        <w:t>Cooke, F.L., Xiao, M. and Chen, Y. (2021) ‘Still in search of strategic human resource management? A review and suggestions for future research with China as an example’, </w:t>
      </w:r>
      <w:r w:rsidRPr="00B031FE">
        <w:rPr>
          <w:rFonts w:ascii="Arial" w:hAnsi="Arial" w:cs="Arial"/>
          <w:i/>
          <w:iCs/>
        </w:rPr>
        <w:t>Human Resource Management</w:t>
      </w:r>
      <w:r w:rsidRPr="00B031FE">
        <w:rPr>
          <w:rFonts w:ascii="Arial" w:hAnsi="Arial" w:cs="Arial"/>
        </w:rPr>
        <w:t>, 60(1), pp. 89–118.</w:t>
      </w:r>
    </w:p>
    <w:p w14:paraId="20222E7B" w14:textId="5EDB3BD0" w:rsidR="00412CF2" w:rsidRPr="00412CF2" w:rsidRDefault="0025154C" w:rsidP="0025154C">
      <w:pPr>
        <w:rPr>
          <w:rFonts w:ascii="Arial" w:hAnsi="Arial" w:cs="Arial"/>
          <w:lang w:val="en-US"/>
        </w:rPr>
      </w:pPr>
      <w:r w:rsidRPr="00B031FE">
        <w:rPr>
          <w:rFonts w:ascii="Arial" w:hAnsi="Arial" w:cs="Arial"/>
        </w:rPr>
        <w:t>Kane, G.C., Palmer, D., Phillips, A.N. &amp; Kiron, D. (2020)</w:t>
      </w:r>
      <w:r w:rsidRPr="00B031FE">
        <w:rPr>
          <w:rStyle w:val="apple-converted-space"/>
          <w:rFonts w:ascii="Arial" w:eastAsiaTheme="majorEastAsia" w:hAnsi="Arial" w:cs="Arial"/>
        </w:rPr>
        <w:t> </w:t>
      </w:r>
      <w:r w:rsidRPr="00B031FE">
        <w:rPr>
          <w:rStyle w:val="Emphasis"/>
          <w:rFonts w:ascii="Arial" w:eastAsiaTheme="majorEastAsia" w:hAnsi="Arial" w:cs="Arial"/>
        </w:rPr>
        <w:t>The Technology Fallacy: How People Are the Real Key to Digital Transformation</w:t>
      </w:r>
      <w:r w:rsidRPr="00B031FE">
        <w:rPr>
          <w:rFonts w:ascii="Arial" w:hAnsi="Arial" w:cs="Arial"/>
        </w:rPr>
        <w:t>. Cambridge, MA: MIT Press.</w:t>
      </w:r>
    </w:p>
    <w:p w14:paraId="5EE6E9CD" w14:textId="4579B6E7" w:rsidR="00412CF2" w:rsidRPr="00412CF2" w:rsidRDefault="0025154C" w:rsidP="0025154C">
      <w:pPr>
        <w:rPr>
          <w:rFonts w:ascii="Arial" w:hAnsi="Arial" w:cs="Arial"/>
          <w:lang w:val="en-US"/>
        </w:rPr>
      </w:pPr>
      <w:r w:rsidRPr="00B031FE">
        <w:rPr>
          <w:rFonts w:ascii="Arial" w:hAnsi="Arial" w:cs="Arial"/>
        </w:rPr>
        <w:t>Kim, S., Vaiman, V. and Sanders, K. (2022) ‘Strategic Human Resource Management in the Era of Environmental Disruptions’, </w:t>
      </w:r>
      <w:r w:rsidRPr="00B031FE">
        <w:rPr>
          <w:rFonts w:ascii="Arial" w:hAnsi="Arial" w:cs="Arial"/>
          <w:i/>
          <w:iCs/>
        </w:rPr>
        <w:t>Human Resource Management</w:t>
      </w:r>
      <w:r w:rsidRPr="00B031FE">
        <w:rPr>
          <w:rFonts w:ascii="Arial" w:hAnsi="Arial" w:cs="Arial"/>
        </w:rPr>
        <w:t xml:space="preserve">, 61(3), pp. 283–293. Available at: </w:t>
      </w:r>
      <w:hyperlink r:id="rId11" w:history="1">
        <w:r w:rsidR="00412CF2" w:rsidRPr="0080018B">
          <w:rPr>
            <w:rStyle w:val="Hyperlink"/>
            <w:rFonts w:ascii="Arial" w:hAnsi="Arial" w:cs="Arial"/>
          </w:rPr>
          <w:t>https://doi.org/10.1</w:t>
        </w:r>
        <w:r w:rsidR="00412CF2" w:rsidRPr="0080018B">
          <w:rPr>
            <w:rStyle w:val="Hyperlink"/>
            <w:rFonts w:ascii="Arial" w:hAnsi="Arial" w:cs="Arial"/>
          </w:rPr>
          <w:t>0</w:t>
        </w:r>
        <w:r w:rsidR="00412CF2" w:rsidRPr="0080018B">
          <w:rPr>
            <w:rStyle w:val="Hyperlink"/>
            <w:rFonts w:ascii="Arial" w:hAnsi="Arial" w:cs="Arial"/>
          </w:rPr>
          <w:t>02/hrm.22107</w:t>
        </w:r>
      </w:hyperlink>
      <w:r w:rsidRPr="00B031FE">
        <w:rPr>
          <w:rFonts w:ascii="Arial" w:hAnsi="Arial" w:cs="Arial"/>
        </w:rPr>
        <w:t>.</w:t>
      </w:r>
    </w:p>
    <w:p w14:paraId="37FA64FA" w14:textId="734EA70B" w:rsidR="00412CF2" w:rsidRPr="00412CF2" w:rsidRDefault="0025154C" w:rsidP="0025154C">
      <w:pPr>
        <w:rPr>
          <w:rFonts w:ascii="Arial" w:hAnsi="Arial" w:cs="Arial"/>
          <w:lang w:val="en-US"/>
        </w:rPr>
      </w:pPr>
      <w:r w:rsidRPr="00B031FE">
        <w:rPr>
          <w:rFonts w:ascii="Arial" w:hAnsi="Arial" w:cs="Arial"/>
        </w:rPr>
        <w:t>Lee, S.-H. (2021) ‘An attention-based view of strategic human resource management’, </w:t>
      </w:r>
      <w:r w:rsidRPr="00B031FE">
        <w:rPr>
          <w:rFonts w:ascii="Arial" w:hAnsi="Arial" w:cs="Arial"/>
          <w:i/>
          <w:iCs/>
        </w:rPr>
        <w:t>Academy of Management Perspectives</w:t>
      </w:r>
      <w:r w:rsidRPr="00B031FE">
        <w:rPr>
          <w:rFonts w:ascii="Arial" w:hAnsi="Arial" w:cs="Arial"/>
        </w:rPr>
        <w:t xml:space="preserve">, 35(2), pp. 237–247. Available at: </w:t>
      </w:r>
      <w:hyperlink r:id="rId12" w:history="1">
        <w:r w:rsidR="00412CF2" w:rsidRPr="0080018B">
          <w:rPr>
            <w:rStyle w:val="Hyperlink"/>
            <w:rFonts w:ascii="Arial" w:hAnsi="Arial" w:cs="Arial"/>
          </w:rPr>
          <w:t>https://doi.org/</w:t>
        </w:r>
        <w:r w:rsidR="00412CF2" w:rsidRPr="0080018B">
          <w:rPr>
            <w:rStyle w:val="Hyperlink"/>
            <w:rFonts w:ascii="Arial" w:hAnsi="Arial" w:cs="Arial"/>
          </w:rPr>
          <w:t>1</w:t>
        </w:r>
        <w:r w:rsidR="00412CF2" w:rsidRPr="0080018B">
          <w:rPr>
            <w:rStyle w:val="Hyperlink"/>
            <w:rFonts w:ascii="Arial" w:hAnsi="Arial" w:cs="Arial"/>
          </w:rPr>
          <w:t>0.5465/amp.2020.0099</w:t>
        </w:r>
      </w:hyperlink>
      <w:r w:rsidRPr="00B031FE">
        <w:rPr>
          <w:rFonts w:ascii="Arial" w:hAnsi="Arial" w:cs="Arial"/>
        </w:rPr>
        <w:t>.</w:t>
      </w:r>
    </w:p>
    <w:p w14:paraId="3BD19BB1" w14:textId="360AB126" w:rsidR="00412CF2" w:rsidRPr="00412CF2" w:rsidRDefault="0025154C" w:rsidP="0025154C">
      <w:pPr>
        <w:rPr>
          <w:rFonts w:ascii="Arial" w:hAnsi="Arial" w:cs="Arial"/>
          <w:lang w:val="en-US"/>
        </w:rPr>
      </w:pPr>
      <w:r w:rsidRPr="00B031FE">
        <w:rPr>
          <w:rFonts w:ascii="Arial" w:hAnsi="Arial" w:cs="Arial"/>
        </w:rPr>
        <w:t>Marchington, M. &amp; Wilkinson, A. (2020)</w:t>
      </w:r>
      <w:r w:rsidRPr="00B031FE">
        <w:rPr>
          <w:rStyle w:val="apple-converted-space"/>
          <w:rFonts w:ascii="Arial" w:eastAsiaTheme="majorEastAsia" w:hAnsi="Arial" w:cs="Arial"/>
        </w:rPr>
        <w:t> </w:t>
      </w:r>
      <w:r w:rsidRPr="00B031FE">
        <w:rPr>
          <w:rStyle w:val="Emphasis"/>
          <w:rFonts w:ascii="Arial" w:eastAsiaTheme="majorEastAsia" w:hAnsi="Arial" w:cs="Arial"/>
        </w:rPr>
        <w:t>Human Resource Management at Work</w:t>
      </w:r>
      <w:r w:rsidRPr="00B031FE">
        <w:rPr>
          <w:rFonts w:ascii="Arial" w:hAnsi="Arial" w:cs="Arial"/>
        </w:rPr>
        <w:t>. 7th edn. London: CIPD.</w:t>
      </w:r>
    </w:p>
    <w:p w14:paraId="2B0400D2" w14:textId="6EA498F8" w:rsidR="00412CF2" w:rsidRPr="00412CF2" w:rsidRDefault="0025154C" w:rsidP="0025154C">
      <w:pPr>
        <w:rPr>
          <w:rFonts w:ascii="Arial" w:hAnsi="Arial" w:cs="Arial"/>
          <w:lang w:val="en-US"/>
        </w:rPr>
      </w:pPr>
      <w:r w:rsidRPr="00B031FE">
        <w:rPr>
          <w:rFonts w:ascii="Arial" w:hAnsi="Arial" w:cs="Arial"/>
        </w:rPr>
        <w:t>Minbaeva, D.B. and Navrbjerg, S.E. (2023) ‘Strategic human resource management in the context of environmental crises: A COVID</w:t>
      </w:r>
      <w:r w:rsidRPr="00B031FE">
        <w:rPr>
          <w:rFonts w:ascii="Cambria Math" w:hAnsi="Cambria Math" w:cs="Cambria Math"/>
        </w:rPr>
        <w:t>‐</w:t>
      </w:r>
      <w:r w:rsidRPr="00B031FE">
        <w:rPr>
          <w:rFonts w:ascii="Arial" w:hAnsi="Arial" w:cs="Arial"/>
        </w:rPr>
        <w:t>19 test’, </w:t>
      </w:r>
      <w:r w:rsidRPr="00B031FE">
        <w:rPr>
          <w:rFonts w:ascii="Arial" w:hAnsi="Arial" w:cs="Arial"/>
          <w:i/>
          <w:iCs/>
        </w:rPr>
        <w:t>Human Resource Management</w:t>
      </w:r>
      <w:r w:rsidRPr="00B031FE">
        <w:rPr>
          <w:rFonts w:ascii="Arial" w:hAnsi="Arial" w:cs="Arial"/>
        </w:rPr>
        <w:t xml:space="preserve">, 62(6). Available at: </w:t>
      </w:r>
      <w:hyperlink r:id="rId13" w:history="1">
        <w:r w:rsidR="00412CF2" w:rsidRPr="0080018B">
          <w:rPr>
            <w:rStyle w:val="Hyperlink"/>
            <w:rFonts w:ascii="Arial" w:hAnsi="Arial" w:cs="Arial"/>
          </w:rPr>
          <w:t>https://doi.org/10</w:t>
        </w:r>
        <w:r w:rsidR="00412CF2" w:rsidRPr="0080018B">
          <w:rPr>
            <w:rStyle w:val="Hyperlink"/>
            <w:rFonts w:ascii="Arial" w:hAnsi="Arial" w:cs="Arial"/>
          </w:rPr>
          <w:t>.</w:t>
        </w:r>
        <w:r w:rsidR="00412CF2" w:rsidRPr="0080018B">
          <w:rPr>
            <w:rStyle w:val="Hyperlink"/>
            <w:rFonts w:ascii="Arial" w:hAnsi="Arial" w:cs="Arial"/>
          </w:rPr>
          <w:t>1002/hrm.22162</w:t>
        </w:r>
      </w:hyperlink>
      <w:r w:rsidRPr="00B031FE">
        <w:rPr>
          <w:rFonts w:ascii="Arial" w:hAnsi="Arial" w:cs="Arial"/>
        </w:rPr>
        <w:t>.</w:t>
      </w:r>
    </w:p>
    <w:p w14:paraId="70D9CD44" w14:textId="3B8D5842" w:rsidR="00412CF2" w:rsidRPr="00412CF2" w:rsidRDefault="0025154C" w:rsidP="0025154C">
      <w:pPr>
        <w:rPr>
          <w:rFonts w:ascii="Arial" w:hAnsi="Arial" w:cs="Arial"/>
          <w:lang w:val="en-US"/>
        </w:rPr>
      </w:pPr>
      <w:r w:rsidRPr="00B031FE">
        <w:rPr>
          <w:rFonts w:ascii="Arial" w:hAnsi="Arial" w:cs="Arial"/>
        </w:rPr>
        <w:t>Stone, R.J., Cox, A. &amp; Gavin, M. (2020)</w:t>
      </w:r>
      <w:r w:rsidRPr="00B031FE">
        <w:rPr>
          <w:rStyle w:val="apple-converted-space"/>
          <w:rFonts w:ascii="Arial" w:eastAsiaTheme="majorEastAsia" w:hAnsi="Arial" w:cs="Arial"/>
        </w:rPr>
        <w:t> </w:t>
      </w:r>
      <w:r w:rsidRPr="00B031FE">
        <w:rPr>
          <w:rStyle w:val="Emphasis"/>
          <w:rFonts w:ascii="Arial" w:eastAsiaTheme="majorEastAsia" w:hAnsi="Arial" w:cs="Arial"/>
        </w:rPr>
        <w:t>Human Resource Management</w:t>
      </w:r>
      <w:r w:rsidRPr="00B031FE">
        <w:rPr>
          <w:rFonts w:ascii="Arial" w:hAnsi="Arial" w:cs="Arial"/>
        </w:rPr>
        <w:t>. Milton, QLD: John Wiley &amp; Sons</w:t>
      </w:r>
      <w:r w:rsidR="00412CF2">
        <w:rPr>
          <w:rFonts w:ascii="Arial" w:hAnsi="Arial" w:cs="Arial"/>
          <w:lang w:val="en-US"/>
        </w:rPr>
        <w:t>.</w:t>
      </w:r>
    </w:p>
    <w:p w14:paraId="3E198D18" w14:textId="56DD0952" w:rsidR="0025154C" w:rsidRPr="00B031FE" w:rsidRDefault="0025154C" w:rsidP="0025154C">
      <w:pPr>
        <w:rPr>
          <w:rFonts w:ascii="Arial" w:hAnsi="Arial" w:cs="Arial"/>
        </w:rPr>
      </w:pPr>
      <w:r w:rsidRPr="00B031FE">
        <w:rPr>
          <w:rFonts w:ascii="Arial" w:hAnsi="Arial" w:cs="Arial"/>
        </w:rPr>
        <w:t>Ulrich, D. (2017)</w:t>
      </w:r>
      <w:r w:rsidRPr="00B031FE">
        <w:rPr>
          <w:rStyle w:val="apple-converted-space"/>
          <w:rFonts w:ascii="Arial" w:eastAsiaTheme="majorEastAsia" w:hAnsi="Arial" w:cs="Arial"/>
        </w:rPr>
        <w:t> </w:t>
      </w:r>
      <w:r w:rsidRPr="00B031FE">
        <w:rPr>
          <w:rStyle w:val="Emphasis"/>
          <w:rFonts w:ascii="Arial" w:eastAsiaTheme="majorEastAsia" w:hAnsi="Arial" w:cs="Arial"/>
        </w:rPr>
        <w:t>Victory Through Organization: Why the War for Talent is Failing Your Company and What You Can Do About It</w:t>
      </w:r>
      <w:r w:rsidRPr="00B031FE">
        <w:rPr>
          <w:rFonts w:ascii="Arial" w:hAnsi="Arial" w:cs="Arial"/>
        </w:rPr>
        <w:t>. New York: McGraw-Hill Education.</w:t>
      </w:r>
    </w:p>
    <w:p w14:paraId="78BB6195" w14:textId="77777777" w:rsidR="0025154C" w:rsidRPr="00B031FE" w:rsidRDefault="0025154C">
      <w:pPr>
        <w:spacing w:after="160" w:line="259" w:lineRule="auto"/>
        <w:jc w:val="left"/>
        <w:rPr>
          <w:rFonts w:ascii="Arial" w:hAnsi="Arial" w:cs="Arial"/>
        </w:rPr>
      </w:pPr>
      <w:r w:rsidRPr="00B031FE">
        <w:rPr>
          <w:rFonts w:ascii="Arial" w:hAnsi="Arial" w:cs="Arial"/>
        </w:rPr>
        <w:br w:type="page"/>
      </w:r>
    </w:p>
    <w:p w14:paraId="6D77FBC7" w14:textId="170AB04C" w:rsidR="0025154C" w:rsidRPr="00B031FE" w:rsidRDefault="0025154C" w:rsidP="0025154C">
      <w:pPr>
        <w:pStyle w:val="Heading1"/>
        <w:rPr>
          <w:rFonts w:ascii="Arial" w:hAnsi="Arial" w:cs="Arial"/>
        </w:rPr>
      </w:pPr>
      <w:bookmarkStart w:id="25" w:name="_Toc213165305"/>
      <w:r w:rsidRPr="00B031FE">
        <w:rPr>
          <w:rFonts w:ascii="Arial" w:hAnsi="Arial" w:cs="Arial"/>
        </w:rPr>
        <w:lastRenderedPageBreak/>
        <w:t>Appendix</w:t>
      </w:r>
      <w:bookmarkEnd w:id="25"/>
    </w:p>
    <w:p w14:paraId="59765B43" w14:textId="29745AF4" w:rsidR="0025154C" w:rsidRPr="00B031FE" w:rsidRDefault="0025154C" w:rsidP="0025154C">
      <w:pPr>
        <w:rPr>
          <w:rFonts w:ascii="Arial" w:hAnsi="Arial" w:cs="Arial"/>
          <w:lang w:val="en-US" w:eastAsia="en-US"/>
        </w:rPr>
      </w:pPr>
      <w:r w:rsidRPr="00B031FE">
        <w:rPr>
          <w:rFonts w:ascii="Arial" w:hAnsi="Arial" w:cs="Arial"/>
          <w:lang w:val="en-US" w:eastAsia="en-US"/>
        </w:rPr>
        <w:t>SOWT Analysis</w:t>
      </w:r>
    </w:p>
    <w:tbl>
      <w:tblPr>
        <w:tblStyle w:val="TableGrid"/>
        <w:tblW w:w="0" w:type="auto"/>
        <w:tblLook w:val="04A0" w:firstRow="1" w:lastRow="0" w:firstColumn="1" w:lastColumn="0" w:noHBand="0" w:noVBand="1"/>
      </w:tblPr>
      <w:tblGrid>
        <w:gridCol w:w="4505"/>
        <w:gridCol w:w="4505"/>
      </w:tblGrid>
      <w:tr w:rsidR="0025154C" w:rsidRPr="00B031FE" w14:paraId="52D48F35" w14:textId="77777777" w:rsidTr="0025154C">
        <w:tc>
          <w:tcPr>
            <w:tcW w:w="4505" w:type="dxa"/>
            <w:shd w:val="clear" w:color="auto" w:fill="70AD47" w:themeFill="accent6"/>
          </w:tcPr>
          <w:p w14:paraId="510F93E6" w14:textId="0E23C4FE"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Strengths</w:t>
            </w:r>
          </w:p>
        </w:tc>
        <w:tc>
          <w:tcPr>
            <w:tcW w:w="4505" w:type="dxa"/>
            <w:shd w:val="clear" w:color="auto" w:fill="70AD47" w:themeFill="accent6"/>
          </w:tcPr>
          <w:p w14:paraId="5DA9B6BE" w14:textId="0CE6C2F7"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Opportunities</w:t>
            </w:r>
          </w:p>
        </w:tc>
      </w:tr>
      <w:tr w:rsidR="0025154C" w:rsidRPr="00B031FE" w14:paraId="0661FA0A" w14:textId="77777777" w:rsidTr="0025154C">
        <w:tc>
          <w:tcPr>
            <w:tcW w:w="4505" w:type="dxa"/>
            <w:shd w:val="clear" w:color="auto" w:fill="E2EFD9" w:themeFill="accent6" w:themeFillTint="33"/>
            <w:vAlign w:val="center"/>
          </w:tcPr>
          <w:p w14:paraId="3F86CB95" w14:textId="77F626DE" w:rsidR="0025154C" w:rsidRPr="00B031FE" w:rsidRDefault="0025154C" w:rsidP="0025154C">
            <w:pPr>
              <w:rPr>
                <w:rFonts w:ascii="Arial" w:hAnsi="Arial" w:cs="Arial"/>
                <w:lang w:val="en-US"/>
              </w:rPr>
            </w:pPr>
            <w:r w:rsidRPr="00B031FE">
              <w:rPr>
                <w:rFonts w:ascii="Arial" w:hAnsi="Arial" w:cs="Arial"/>
                <w:color w:val="000000"/>
              </w:rPr>
              <w:t>Strong adaptability and self-learning</w:t>
            </w:r>
          </w:p>
        </w:tc>
        <w:tc>
          <w:tcPr>
            <w:tcW w:w="4505" w:type="dxa"/>
            <w:shd w:val="clear" w:color="auto" w:fill="E2EFD9" w:themeFill="accent6" w:themeFillTint="33"/>
            <w:vAlign w:val="center"/>
          </w:tcPr>
          <w:p w14:paraId="313CD91D" w14:textId="6F31E054" w:rsidR="0025154C" w:rsidRPr="00B031FE" w:rsidRDefault="0025154C" w:rsidP="0025154C">
            <w:pPr>
              <w:rPr>
                <w:rFonts w:ascii="Arial" w:hAnsi="Arial" w:cs="Arial"/>
                <w:lang w:val="en-US"/>
              </w:rPr>
            </w:pPr>
            <w:r w:rsidRPr="00B031FE">
              <w:rPr>
                <w:rFonts w:ascii="Arial" w:hAnsi="Arial" w:cs="Arial"/>
                <w:color w:val="000000"/>
              </w:rPr>
              <w:t>Global online courses and HR analytics certifications</w:t>
            </w:r>
          </w:p>
        </w:tc>
      </w:tr>
      <w:tr w:rsidR="0025154C" w:rsidRPr="00B031FE" w14:paraId="54EA9C75" w14:textId="77777777" w:rsidTr="0025154C">
        <w:tc>
          <w:tcPr>
            <w:tcW w:w="4505" w:type="dxa"/>
            <w:shd w:val="clear" w:color="auto" w:fill="70AD47" w:themeFill="accent6"/>
          </w:tcPr>
          <w:p w14:paraId="77C21690" w14:textId="0E250774"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Weaknesses</w:t>
            </w:r>
          </w:p>
        </w:tc>
        <w:tc>
          <w:tcPr>
            <w:tcW w:w="4505" w:type="dxa"/>
            <w:shd w:val="clear" w:color="auto" w:fill="70AD47" w:themeFill="accent6"/>
          </w:tcPr>
          <w:p w14:paraId="6BE896B5" w14:textId="719AF507" w:rsidR="0025154C" w:rsidRPr="00B031FE" w:rsidRDefault="0025154C" w:rsidP="0025154C">
            <w:pPr>
              <w:rPr>
                <w:rFonts w:ascii="Arial" w:hAnsi="Arial" w:cs="Arial"/>
                <w:color w:val="FFFFFF" w:themeColor="background1"/>
                <w:lang w:val="en-US"/>
              </w:rPr>
            </w:pPr>
            <w:r w:rsidRPr="00B031FE">
              <w:rPr>
                <w:rFonts w:ascii="Arial" w:hAnsi="Arial" w:cs="Arial"/>
                <w:b/>
                <w:bCs/>
                <w:color w:val="FFFFFF" w:themeColor="background1"/>
              </w:rPr>
              <w:t>Threats</w:t>
            </w:r>
          </w:p>
        </w:tc>
      </w:tr>
      <w:tr w:rsidR="0025154C" w:rsidRPr="00B031FE" w14:paraId="2368DF39" w14:textId="77777777" w:rsidTr="0025154C">
        <w:tc>
          <w:tcPr>
            <w:tcW w:w="4505" w:type="dxa"/>
            <w:shd w:val="clear" w:color="auto" w:fill="E2EFD9" w:themeFill="accent6" w:themeFillTint="33"/>
            <w:vAlign w:val="center"/>
          </w:tcPr>
          <w:p w14:paraId="47811456" w14:textId="2DF6A9DD" w:rsidR="0025154C" w:rsidRPr="00B031FE" w:rsidRDefault="0025154C" w:rsidP="0025154C">
            <w:pPr>
              <w:rPr>
                <w:rFonts w:ascii="Arial" w:hAnsi="Arial" w:cs="Arial"/>
                <w:lang w:val="en-US"/>
              </w:rPr>
            </w:pPr>
            <w:r w:rsidRPr="00B031FE">
              <w:rPr>
                <w:rFonts w:ascii="Arial" w:hAnsi="Arial" w:cs="Arial"/>
                <w:color w:val="000000"/>
              </w:rPr>
              <w:t>Limited multicultural leadership experience</w:t>
            </w:r>
          </w:p>
        </w:tc>
        <w:tc>
          <w:tcPr>
            <w:tcW w:w="4505" w:type="dxa"/>
            <w:shd w:val="clear" w:color="auto" w:fill="E2EFD9" w:themeFill="accent6" w:themeFillTint="33"/>
            <w:vAlign w:val="center"/>
          </w:tcPr>
          <w:p w14:paraId="3DF60D4C" w14:textId="0D7AAF7D" w:rsidR="0025154C" w:rsidRPr="00B031FE" w:rsidRDefault="0025154C" w:rsidP="0025154C">
            <w:pPr>
              <w:rPr>
                <w:rFonts w:ascii="Arial" w:hAnsi="Arial" w:cs="Arial"/>
                <w:lang w:val="en-US"/>
              </w:rPr>
            </w:pPr>
            <w:r w:rsidRPr="00B031FE">
              <w:rPr>
                <w:rFonts w:ascii="Arial" w:hAnsi="Arial" w:cs="Arial"/>
                <w:color w:val="000000"/>
              </w:rPr>
              <w:t>Rapid technological change</w:t>
            </w:r>
          </w:p>
        </w:tc>
      </w:tr>
    </w:tbl>
    <w:p w14:paraId="34490AF6" w14:textId="77777777" w:rsidR="0025154C" w:rsidRPr="00B031FE" w:rsidRDefault="0025154C" w:rsidP="0025154C">
      <w:pPr>
        <w:rPr>
          <w:rFonts w:ascii="Arial" w:hAnsi="Arial" w:cs="Arial"/>
          <w:lang w:val="en-US"/>
        </w:rPr>
      </w:pPr>
    </w:p>
    <w:sectPr w:rsidR="0025154C" w:rsidRPr="00B031FE" w:rsidSect="00562DF2">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75785" w14:textId="77777777" w:rsidR="00C230CE" w:rsidRDefault="00C230CE" w:rsidP="00CD3D2B">
      <w:r>
        <w:separator/>
      </w:r>
    </w:p>
  </w:endnote>
  <w:endnote w:type="continuationSeparator" w:id="0">
    <w:p w14:paraId="3D097656" w14:textId="77777777" w:rsidR="00C230CE" w:rsidRDefault="00C230CE"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DA20A" w14:textId="77777777" w:rsidR="00C230CE" w:rsidRDefault="00C230CE" w:rsidP="00CD3D2B">
      <w:r>
        <w:separator/>
      </w:r>
    </w:p>
  </w:footnote>
  <w:footnote w:type="continuationSeparator" w:id="0">
    <w:p w14:paraId="1D0AE38A" w14:textId="77777777" w:rsidR="00C230CE" w:rsidRDefault="00C230CE"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966905">
    <w:abstractNumId w:val="17"/>
  </w:num>
  <w:num w:numId="2" w16cid:durableId="2122604883">
    <w:abstractNumId w:val="1"/>
  </w:num>
  <w:num w:numId="3" w16cid:durableId="1286472407">
    <w:abstractNumId w:val="8"/>
  </w:num>
  <w:num w:numId="4" w16cid:durableId="331644281">
    <w:abstractNumId w:val="20"/>
  </w:num>
  <w:num w:numId="5" w16cid:durableId="980620283">
    <w:abstractNumId w:val="10"/>
  </w:num>
  <w:num w:numId="6" w16cid:durableId="1510290980">
    <w:abstractNumId w:val="18"/>
  </w:num>
  <w:num w:numId="7" w16cid:durableId="644555557">
    <w:abstractNumId w:val="5"/>
  </w:num>
  <w:num w:numId="8" w16cid:durableId="1079444970">
    <w:abstractNumId w:val="2"/>
  </w:num>
  <w:num w:numId="9" w16cid:durableId="697318361">
    <w:abstractNumId w:val="9"/>
  </w:num>
  <w:num w:numId="10" w16cid:durableId="1805997788">
    <w:abstractNumId w:val="6"/>
  </w:num>
  <w:num w:numId="11" w16cid:durableId="168755656">
    <w:abstractNumId w:val="4"/>
  </w:num>
  <w:num w:numId="12" w16cid:durableId="2027949617">
    <w:abstractNumId w:val="11"/>
  </w:num>
  <w:num w:numId="13" w16cid:durableId="49959725">
    <w:abstractNumId w:val="12"/>
  </w:num>
  <w:num w:numId="14" w16cid:durableId="1234389626">
    <w:abstractNumId w:val="19"/>
  </w:num>
  <w:num w:numId="15" w16cid:durableId="465972463">
    <w:abstractNumId w:val="3"/>
  </w:num>
  <w:num w:numId="16" w16cid:durableId="298726687">
    <w:abstractNumId w:val="15"/>
  </w:num>
  <w:num w:numId="17" w16cid:durableId="1875531569">
    <w:abstractNumId w:val="14"/>
  </w:num>
  <w:num w:numId="18" w16cid:durableId="950672849">
    <w:abstractNumId w:val="0"/>
  </w:num>
  <w:num w:numId="19" w16cid:durableId="1900554292">
    <w:abstractNumId w:val="13"/>
  </w:num>
  <w:num w:numId="20" w16cid:durableId="95445685">
    <w:abstractNumId w:val="16"/>
  </w:num>
  <w:num w:numId="21" w16cid:durableId="1028457272">
    <w:abstractNumId w:val="7"/>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154C"/>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2CF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4E43"/>
    <w:rsid w:val="007F5394"/>
    <w:rsid w:val="007F54E1"/>
    <w:rsid w:val="007F6B04"/>
    <w:rsid w:val="00803358"/>
    <w:rsid w:val="0080638F"/>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5B63"/>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15B"/>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35D6"/>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32D2"/>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31FE"/>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30CE"/>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051A9"/>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55F"/>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25154C"/>
    <w:pPr>
      <w:keepNext/>
      <w:keepLines/>
      <w:spacing w:before="240"/>
      <w:outlineLvl w:val="0"/>
    </w:pPr>
    <w:rPr>
      <w:rFonts w:cstheme="majorBidi"/>
      <w:b/>
      <w:color w:val="4472C4" w:themeColor="accent1"/>
      <w:sz w:val="32"/>
      <w:szCs w:val="32"/>
      <w:u w:val="single"/>
      <w:lang w:eastAsia="en-US"/>
    </w:rPr>
  </w:style>
  <w:style w:type="paragraph" w:styleId="Heading2">
    <w:name w:val="heading 2"/>
    <w:basedOn w:val="Normal"/>
    <w:next w:val="Normal"/>
    <w:link w:val="Heading2Char"/>
    <w:uiPriority w:val="9"/>
    <w:unhideWhenUsed/>
    <w:qFormat/>
    <w:rsid w:val="0025154C"/>
    <w:pPr>
      <w:keepNext/>
      <w:keepLines/>
      <w:spacing w:before="40" w:line="480" w:lineRule="auto"/>
      <w:outlineLvl w:val="1"/>
    </w:pPr>
    <w:rPr>
      <w:rFonts w:eastAsiaTheme="majorEastAsia" w:cstheme="majorBidi"/>
      <w:b/>
      <w:i/>
      <w:color w:val="4472C4" w:themeColor="accent1"/>
      <w:sz w:val="26"/>
      <w:szCs w:val="33"/>
      <w:u w:val="single"/>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54C"/>
    <w:rPr>
      <w:rFonts w:ascii="Times New Roman" w:eastAsia="Times New Roman" w:hAnsi="Times New Roman" w:cstheme="majorBidi"/>
      <w:b/>
      <w:color w:val="4472C4" w:themeColor="accent1"/>
      <w:sz w:val="32"/>
      <w:szCs w:val="32"/>
      <w:u w:val="single"/>
      <w:lang/>
    </w:rPr>
  </w:style>
  <w:style w:type="character" w:customStyle="1" w:styleId="Heading2Char">
    <w:name w:val="Heading 2 Char"/>
    <w:basedOn w:val="DefaultParagraphFont"/>
    <w:link w:val="Heading2"/>
    <w:uiPriority w:val="9"/>
    <w:rsid w:val="0025154C"/>
    <w:rPr>
      <w:rFonts w:ascii="Times New Roman" w:eastAsiaTheme="majorEastAsia" w:hAnsi="Times New Roman" w:cstheme="majorBidi"/>
      <w:b/>
      <w:i/>
      <w:color w:val="4472C4" w:themeColor="accent1"/>
      <w:sz w:val="26"/>
      <w:szCs w:val="33"/>
      <w:u w:val="single"/>
      <w:lang/>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2">
    <w:name w:val="Grid Table 4 Accent 2"/>
    <w:basedOn w:val="TableNormal"/>
    <w:uiPriority w:val="49"/>
    <w:rsid w:val="0025154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2196246">
      <w:bodyDiv w:val="1"/>
      <w:marLeft w:val="0"/>
      <w:marRight w:val="0"/>
      <w:marTop w:val="0"/>
      <w:marBottom w:val="0"/>
      <w:divBdr>
        <w:top w:val="none" w:sz="0" w:space="0" w:color="auto"/>
        <w:left w:val="none" w:sz="0" w:space="0" w:color="auto"/>
        <w:bottom w:val="none" w:sz="0" w:space="0" w:color="auto"/>
        <w:right w:val="none" w:sz="0" w:space="0" w:color="auto"/>
      </w:divBdr>
      <w:divsChild>
        <w:div w:id="2129739130">
          <w:marLeft w:val="0"/>
          <w:marRight w:val="0"/>
          <w:marTop w:val="0"/>
          <w:marBottom w:val="0"/>
          <w:divBdr>
            <w:top w:val="none" w:sz="0" w:space="0" w:color="auto"/>
            <w:left w:val="none" w:sz="0" w:space="0" w:color="auto"/>
            <w:bottom w:val="none" w:sz="0" w:space="0" w:color="auto"/>
            <w:right w:val="none" w:sz="0" w:space="0" w:color="auto"/>
          </w:divBdr>
        </w:div>
      </w:divsChild>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357153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0597111">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 w:id="213706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hrm.2216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465/amp.2020.009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hrm.2210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11/joms.12695" TargetMode="External"/><Relationship Id="rId4" Type="http://schemas.openxmlformats.org/officeDocument/2006/relationships/settings" Target="settings.xml"/><Relationship Id="rId9" Type="http://schemas.openxmlformats.org/officeDocument/2006/relationships/hyperlink" Target="https://doi.org/10.1177/089976402093965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3406</Words>
  <Characters>19420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2025-11-04T10:18:00Z</dcterms:created>
  <dcterms:modified xsi:type="dcterms:W3CDTF">2025-11-12T23:26:00Z</dcterms:modified>
</cp:coreProperties>
</file>