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C4BDE" w14:textId="36AF9F7C" w:rsidR="008655D9" w:rsidRPr="005F0DAB" w:rsidRDefault="008655D9" w:rsidP="00E02DD6">
      <w:pPr>
        <w:rPr>
          <w:szCs w:val="24"/>
          <w:lang w:val="en-GB"/>
        </w:rPr>
      </w:pPr>
    </w:p>
    <w:p w14:paraId="0A861DCF" w14:textId="77777777" w:rsidR="00E02DD6" w:rsidRDefault="00E02DD6" w:rsidP="004E7F3B">
      <w:pPr>
        <w:jc w:val="center"/>
        <w:rPr>
          <w:szCs w:val="24"/>
          <w:lang w:val="en-GB"/>
        </w:rPr>
      </w:pPr>
    </w:p>
    <w:p w14:paraId="2EB7D56A" w14:textId="2833CD39" w:rsidR="00FB45D0" w:rsidRDefault="008655D9" w:rsidP="004E7F3B">
      <w:pPr>
        <w:jc w:val="center"/>
        <w:rPr>
          <w:szCs w:val="24"/>
          <w:lang w:val="en-GB"/>
        </w:rPr>
      </w:pPr>
      <w:bookmarkStart w:id="0" w:name="_GoBack"/>
      <w:bookmarkEnd w:id="0"/>
      <w:r w:rsidRPr="005F0DAB">
        <w:rPr>
          <w:szCs w:val="24"/>
          <w:lang w:val="en-GB"/>
        </w:rPr>
        <w:t>FINANCIAL MANAGEMENT</w:t>
      </w:r>
    </w:p>
    <w:p w14:paraId="33B9ADE6" w14:textId="75513029" w:rsidR="00E02DD6" w:rsidRDefault="00E02DD6" w:rsidP="004E7F3B">
      <w:pPr>
        <w:jc w:val="center"/>
        <w:rPr>
          <w:szCs w:val="24"/>
          <w:lang w:val="en-GB"/>
        </w:rPr>
      </w:pPr>
      <w:r>
        <w:rPr>
          <w:szCs w:val="24"/>
          <w:lang w:val="en-GB"/>
        </w:rPr>
        <w:t>LCMB7002</w:t>
      </w:r>
    </w:p>
    <w:p w14:paraId="3A9256FD" w14:textId="77777777" w:rsidR="00E02DD6" w:rsidRDefault="00E02DD6" w:rsidP="004E7F3B">
      <w:pPr>
        <w:jc w:val="center"/>
        <w:rPr>
          <w:szCs w:val="24"/>
          <w:lang w:val="en-GB"/>
        </w:rPr>
      </w:pPr>
    </w:p>
    <w:p w14:paraId="1B1FF2FE" w14:textId="77777777" w:rsidR="00E02DD6" w:rsidRPr="005F0DAB" w:rsidRDefault="00E02DD6" w:rsidP="004E7F3B">
      <w:pPr>
        <w:jc w:val="center"/>
        <w:rPr>
          <w:szCs w:val="24"/>
          <w:lang w:val="en-GB"/>
        </w:rPr>
      </w:pPr>
    </w:p>
    <w:p w14:paraId="6654C0D9" w14:textId="5C772710" w:rsidR="008655D9" w:rsidRPr="00866939" w:rsidRDefault="008655D9" w:rsidP="004E7F3B">
      <w:pPr>
        <w:jc w:val="center"/>
        <w:rPr>
          <w:lang w:val="en-GB"/>
        </w:rPr>
      </w:pPr>
    </w:p>
    <w:p w14:paraId="62226FAC" w14:textId="5E22F1AC" w:rsidR="008655D9" w:rsidRPr="00866939" w:rsidRDefault="008655D9" w:rsidP="004E7F3B">
      <w:pPr>
        <w:jc w:val="center"/>
        <w:rPr>
          <w:lang w:val="en-GB"/>
        </w:rPr>
      </w:pPr>
    </w:p>
    <w:p w14:paraId="7D9E4BAA" w14:textId="3CC9C673" w:rsidR="008655D9" w:rsidRPr="00866939" w:rsidRDefault="008655D9" w:rsidP="004E7F3B">
      <w:pPr>
        <w:jc w:val="center"/>
        <w:rPr>
          <w:lang w:val="en-GB"/>
        </w:rPr>
      </w:pPr>
    </w:p>
    <w:p w14:paraId="23CEEFD6" w14:textId="31C62627" w:rsidR="008655D9" w:rsidRDefault="008655D9" w:rsidP="004E7F3B">
      <w:pPr>
        <w:jc w:val="center"/>
        <w:rPr>
          <w:lang w:val="en-GB"/>
        </w:rPr>
      </w:pPr>
    </w:p>
    <w:p w14:paraId="19B28568" w14:textId="70B49516" w:rsidR="004E7F3B" w:rsidRDefault="004E7F3B" w:rsidP="004E7F3B">
      <w:pPr>
        <w:jc w:val="center"/>
        <w:rPr>
          <w:lang w:val="en-GB"/>
        </w:rPr>
      </w:pPr>
    </w:p>
    <w:p w14:paraId="5AC85092" w14:textId="51C7DA50" w:rsidR="004E7F3B" w:rsidRDefault="004E7F3B" w:rsidP="004E7F3B">
      <w:pPr>
        <w:jc w:val="center"/>
        <w:rPr>
          <w:lang w:val="en-GB"/>
        </w:rPr>
      </w:pPr>
    </w:p>
    <w:p w14:paraId="7B0F10C4" w14:textId="0C032A04" w:rsidR="004E7F3B" w:rsidRDefault="004E7F3B" w:rsidP="004E7F3B">
      <w:pPr>
        <w:jc w:val="center"/>
        <w:rPr>
          <w:lang w:val="en-GB"/>
        </w:rPr>
      </w:pPr>
    </w:p>
    <w:p w14:paraId="706F83D6" w14:textId="0121A547" w:rsidR="004E7F3B" w:rsidRDefault="004E7F3B" w:rsidP="004E7F3B">
      <w:pPr>
        <w:jc w:val="center"/>
        <w:rPr>
          <w:lang w:val="en-GB"/>
        </w:rPr>
      </w:pPr>
    </w:p>
    <w:p w14:paraId="02CE4414" w14:textId="3E1657FB" w:rsidR="004E7F3B" w:rsidRDefault="004E7F3B" w:rsidP="004E7F3B">
      <w:pPr>
        <w:jc w:val="center"/>
        <w:rPr>
          <w:lang w:val="en-GB"/>
        </w:rPr>
      </w:pPr>
    </w:p>
    <w:p w14:paraId="7A3A1DAB" w14:textId="229126C7" w:rsidR="004E7F3B" w:rsidRDefault="004E7F3B" w:rsidP="004E7F3B">
      <w:pPr>
        <w:jc w:val="center"/>
        <w:rPr>
          <w:lang w:val="en-GB"/>
        </w:rPr>
      </w:pPr>
    </w:p>
    <w:p w14:paraId="35896B4C" w14:textId="77777777" w:rsidR="004E7F3B" w:rsidRPr="00866939" w:rsidRDefault="004E7F3B" w:rsidP="004E7F3B">
      <w:pPr>
        <w:jc w:val="center"/>
        <w:rPr>
          <w:lang w:val="en-GB"/>
        </w:rPr>
      </w:pPr>
    </w:p>
    <w:p w14:paraId="594ED6CB" w14:textId="23ECD46B" w:rsidR="008655D9" w:rsidRPr="00866939" w:rsidRDefault="008655D9" w:rsidP="004E7F3B">
      <w:pPr>
        <w:jc w:val="center"/>
        <w:rPr>
          <w:lang w:val="en-GB"/>
        </w:rPr>
      </w:pPr>
      <w:r w:rsidRPr="00866939">
        <w:rPr>
          <w:lang w:val="en-GB"/>
        </w:rPr>
        <w:t>Student Name</w:t>
      </w:r>
      <w:r w:rsidR="005F0DAB">
        <w:rPr>
          <w:lang w:val="en-GB"/>
        </w:rPr>
        <w:t>: Janet Ogundayo</w:t>
      </w:r>
    </w:p>
    <w:p w14:paraId="463253BD" w14:textId="4F9DDFD1" w:rsidR="008655D9" w:rsidRDefault="008655D9" w:rsidP="004E7F3B">
      <w:pPr>
        <w:jc w:val="center"/>
        <w:rPr>
          <w:lang w:val="en-GB"/>
        </w:rPr>
      </w:pPr>
      <w:r w:rsidRPr="00866939">
        <w:rPr>
          <w:lang w:val="en-GB"/>
        </w:rPr>
        <w:t>Student ID</w:t>
      </w:r>
      <w:r w:rsidR="005F0DAB">
        <w:rPr>
          <w:lang w:val="en-GB"/>
        </w:rPr>
        <w:t>:  1918674</w:t>
      </w:r>
    </w:p>
    <w:p w14:paraId="76A031AF" w14:textId="2FC60276" w:rsidR="005F0DAB" w:rsidRPr="00866939" w:rsidRDefault="00B15EB8" w:rsidP="004E7F3B">
      <w:pPr>
        <w:jc w:val="center"/>
        <w:rPr>
          <w:lang w:val="en-GB"/>
        </w:rPr>
      </w:pPr>
      <w:r>
        <w:rPr>
          <w:lang w:val="en-GB"/>
        </w:rPr>
        <w:t>Lecturer: Dr</w:t>
      </w:r>
      <w:r w:rsidR="005F0DAB">
        <w:rPr>
          <w:lang w:val="en-GB"/>
        </w:rPr>
        <w:t xml:space="preserve"> Jay</w:t>
      </w:r>
    </w:p>
    <w:p w14:paraId="37D233AC" w14:textId="16152587" w:rsidR="008655D9" w:rsidRPr="00866939" w:rsidRDefault="008655D9" w:rsidP="008655D9">
      <w:pPr>
        <w:rPr>
          <w:lang w:val="en-GB"/>
        </w:rPr>
      </w:pPr>
    </w:p>
    <w:p w14:paraId="444D6FEE" w14:textId="73E615A1" w:rsidR="008655D9" w:rsidRDefault="008655D9" w:rsidP="008655D9">
      <w:pPr>
        <w:rPr>
          <w:lang w:val="en-GB"/>
        </w:rPr>
      </w:pPr>
    </w:p>
    <w:p w14:paraId="5CD8A537" w14:textId="7E472630" w:rsidR="004E7F3B" w:rsidRDefault="004E7F3B" w:rsidP="008655D9">
      <w:pPr>
        <w:rPr>
          <w:lang w:val="en-GB"/>
        </w:rPr>
      </w:pPr>
    </w:p>
    <w:p w14:paraId="0A90FF45" w14:textId="779DA90B" w:rsidR="004E7F3B" w:rsidRDefault="004E7F3B" w:rsidP="008655D9">
      <w:pPr>
        <w:rPr>
          <w:lang w:val="en-GB"/>
        </w:rPr>
      </w:pPr>
    </w:p>
    <w:p w14:paraId="766B06ED" w14:textId="02F59CBA" w:rsidR="004E7F3B" w:rsidRDefault="004E7F3B" w:rsidP="008655D9">
      <w:pPr>
        <w:rPr>
          <w:lang w:val="en-GB"/>
        </w:rPr>
      </w:pPr>
    </w:p>
    <w:p w14:paraId="238A2AF8" w14:textId="069F23B2" w:rsidR="004E7F3B" w:rsidRDefault="004E7F3B" w:rsidP="008655D9">
      <w:pPr>
        <w:rPr>
          <w:lang w:val="en-GB"/>
        </w:rPr>
      </w:pPr>
    </w:p>
    <w:p w14:paraId="2229259A" w14:textId="1F9458CB" w:rsidR="004E7F3B" w:rsidRDefault="004E7F3B" w:rsidP="008655D9">
      <w:pPr>
        <w:rPr>
          <w:lang w:val="en-GB"/>
        </w:rPr>
      </w:pPr>
    </w:p>
    <w:sdt>
      <w:sdtPr>
        <w:rPr>
          <w:rFonts w:ascii="Times New Roman" w:eastAsiaTheme="minorHAnsi" w:hAnsi="Times New Roman" w:cstheme="minorBidi"/>
          <w:color w:val="auto"/>
          <w:sz w:val="24"/>
          <w:szCs w:val="22"/>
        </w:rPr>
        <w:id w:val="1721865851"/>
        <w:docPartObj>
          <w:docPartGallery w:val="Table of Contents"/>
          <w:docPartUnique/>
        </w:docPartObj>
      </w:sdtPr>
      <w:sdtEndPr>
        <w:rPr>
          <w:b/>
          <w:bCs/>
          <w:noProof/>
        </w:rPr>
      </w:sdtEndPr>
      <w:sdtContent>
        <w:p w14:paraId="7BC63DEC" w14:textId="4BD48723" w:rsidR="004E7F3B" w:rsidRDefault="004E7F3B">
          <w:pPr>
            <w:pStyle w:val="TOCHeading"/>
          </w:pPr>
          <w:r>
            <w:t>Table of Contents</w:t>
          </w:r>
        </w:p>
        <w:p w14:paraId="7F7DA689" w14:textId="579351EA" w:rsidR="004E7F3B" w:rsidRDefault="004E7F3B">
          <w:pPr>
            <w:pStyle w:val="TOC1"/>
            <w:tabs>
              <w:tab w:val="right" w:leader="dot" w:pos="9350"/>
            </w:tabs>
            <w:rPr>
              <w:noProof/>
            </w:rPr>
          </w:pPr>
          <w:r>
            <w:fldChar w:fldCharType="begin"/>
          </w:r>
          <w:r>
            <w:instrText xml:space="preserve"> TOC \o "1-3" \h \z \u </w:instrText>
          </w:r>
          <w:r>
            <w:fldChar w:fldCharType="separate"/>
          </w:r>
          <w:hyperlink w:anchor="_Toc44601148" w:history="1">
            <w:r w:rsidRPr="00DC12D3">
              <w:rPr>
                <w:rStyle w:val="Hyperlink"/>
                <w:noProof/>
              </w:rPr>
              <w:t>Introduction</w:t>
            </w:r>
            <w:r>
              <w:rPr>
                <w:noProof/>
                <w:webHidden/>
              </w:rPr>
              <w:tab/>
            </w:r>
            <w:r>
              <w:rPr>
                <w:noProof/>
                <w:webHidden/>
              </w:rPr>
              <w:fldChar w:fldCharType="begin"/>
            </w:r>
            <w:r>
              <w:rPr>
                <w:noProof/>
                <w:webHidden/>
              </w:rPr>
              <w:instrText xml:space="preserve"> PAGEREF _Toc44601148 \h </w:instrText>
            </w:r>
            <w:r>
              <w:rPr>
                <w:noProof/>
                <w:webHidden/>
              </w:rPr>
            </w:r>
            <w:r>
              <w:rPr>
                <w:noProof/>
                <w:webHidden/>
              </w:rPr>
              <w:fldChar w:fldCharType="separate"/>
            </w:r>
            <w:r>
              <w:rPr>
                <w:noProof/>
                <w:webHidden/>
              </w:rPr>
              <w:t>3</w:t>
            </w:r>
            <w:r>
              <w:rPr>
                <w:noProof/>
                <w:webHidden/>
              </w:rPr>
              <w:fldChar w:fldCharType="end"/>
            </w:r>
          </w:hyperlink>
        </w:p>
        <w:p w14:paraId="126AE556" w14:textId="69DEE16F" w:rsidR="004E7F3B" w:rsidRDefault="007530AB">
          <w:pPr>
            <w:pStyle w:val="TOC1"/>
            <w:tabs>
              <w:tab w:val="right" w:leader="dot" w:pos="9350"/>
            </w:tabs>
            <w:rPr>
              <w:noProof/>
            </w:rPr>
          </w:pPr>
          <w:hyperlink w:anchor="_Toc44601149" w:history="1">
            <w:r w:rsidR="004E7F3B" w:rsidRPr="00DC12D3">
              <w:rPr>
                <w:rStyle w:val="Hyperlink"/>
                <w:noProof/>
              </w:rPr>
              <w:t>Part (a) Company background: Tesco Plc.</w:t>
            </w:r>
            <w:r w:rsidR="004E7F3B">
              <w:rPr>
                <w:noProof/>
                <w:webHidden/>
              </w:rPr>
              <w:tab/>
            </w:r>
            <w:r w:rsidR="004E7F3B">
              <w:rPr>
                <w:noProof/>
                <w:webHidden/>
              </w:rPr>
              <w:fldChar w:fldCharType="begin"/>
            </w:r>
            <w:r w:rsidR="004E7F3B">
              <w:rPr>
                <w:noProof/>
                <w:webHidden/>
              </w:rPr>
              <w:instrText xml:space="preserve"> PAGEREF _Toc44601149 \h </w:instrText>
            </w:r>
            <w:r w:rsidR="004E7F3B">
              <w:rPr>
                <w:noProof/>
                <w:webHidden/>
              </w:rPr>
            </w:r>
            <w:r w:rsidR="004E7F3B">
              <w:rPr>
                <w:noProof/>
                <w:webHidden/>
              </w:rPr>
              <w:fldChar w:fldCharType="separate"/>
            </w:r>
            <w:r w:rsidR="004E7F3B">
              <w:rPr>
                <w:noProof/>
                <w:webHidden/>
              </w:rPr>
              <w:t>4</w:t>
            </w:r>
            <w:r w:rsidR="004E7F3B">
              <w:rPr>
                <w:noProof/>
                <w:webHidden/>
              </w:rPr>
              <w:fldChar w:fldCharType="end"/>
            </w:r>
          </w:hyperlink>
        </w:p>
        <w:p w14:paraId="29ECC89E" w14:textId="012635BC" w:rsidR="004E7F3B" w:rsidRDefault="007530AB">
          <w:pPr>
            <w:pStyle w:val="TOC2"/>
            <w:tabs>
              <w:tab w:val="right" w:leader="dot" w:pos="9350"/>
            </w:tabs>
            <w:rPr>
              <w:noProof/>
            </w:rPr>
          </w:pPr>
          <w:hyperlink w:anchor="_Toc44601150" w:history="1">
            <w:r w:rsidR="004E7F3B" w:rsidRPr="00DC12D3">
              <w:rPr>
                <w:rStyle w:val="Hyperlink"/>
                <w:noProof/>
                <w:lang w:val="en-GB"/>
              </w:rPr>
              <w:t>Business model of Tesco Plc.</w:t>
            </w:r>
            <w:r w:rsidR="004E7F3B">
              <w:rPr>
                <w:noProof/>
                <w:webHidden/>
              </w:rPr>
              <w:tab/>
            </w:r>
            <w:r w:rsidR="004E7F3B">
              <w:rPr>
                <w:noProof/>
                <w:webHidden/>
              </w:rPr>
              <w:fldChar w:fldCharType="begin"/>
            </w:r>
            <w:r w:rsidR="004E7F3B">
              <w:rPr>
                <w:noProof/>
                <w:webHidden/>
              </w:rPr>
              <w:instrText xml:space="preserve"> PAGEREF _Toc44601150 \h </w:instrText>
            </w:r>
            <w:r w:rsidR="004E7F3B">
              <w:rPr>
                <w:noProof/>
                <w:webHidden/>
              </w:rPr>
            </w:r>
            <w:r w:rsidR="004E7F3B">
              <w:rPr>
                <w:noProof/>
                <w:webHidden/>
              </w:rPr>
              <w:fldChar w:fldCharType="separate"/>
            </w:r>
            <w:r w:rsidR="004E7F3B">
              <w:rPr>
                <w:noProof/>
                <w:webHidden/>
              </w:rPr>
              <w:t>5</w:t>
            </w:r>
            <w:r w:rsidR="004E7F3B">
              <w:rPr>
                <w:noProof/>
                <w:webHidden/>
              </w:rPr>
              <w:fldChar w:fldCharType="end"/>
            </w:r>
          </w:hyperlink>
        </w:p>
        <w:p w14:paraId="7BD92DF6" w14:textId="24E78A52" w:rsidR="004E7F3B" w:rsidRDefault="007530AB">
          <w:pPr>
            <w:pStyle w:val="TOC2"/>
            <w:tabs>
              <w:tab w:val="right" w:leader="dot" w:pos="9350"/>
            </w:tabs>
            <w:rPr>
              <w:noProof/>
            </w:rPr>
          </w:pPr>
          <w:hyperlink w:anchor="_Toc44601151" w:history="1">
            <w:r w:rsidR="004E7F3B" w:rsidRPr="00DC12D3">
              <w:rPr>
                <w:rStyle w:val="Hyperlink"/>
                <w:noProof/>
              </w:rPr>
              <w:t>Recent events over the past five years</w:t>
            </w:r>
            <w:r w:rsidR="004E7F3B">
              <w:rPr>
                <w:noProof/>
                <w:webHidden/>
              </w:rPr>
              <w:tab/>
            </w:r>
            <w:r w:rsidR="004E7F3B">
              <w:rPr>
                <w:noProof/>
                <w:webHidden/>
              </w:rPr>
              <w:fldChar w:fldCharType="begin"/>
            </w:r>
            <w:r w:rsidR="004E7F3B">
              <w:rPr>
                <w:noProof/>
                <w:webHidden/>
              </w:rPr>
              <w:instrText xml:space="preserve"> PAGEREF _Toc44601151 \h </w:instrText>
            </w:r>
            <w:r w:rsidR="004E7F3B">
              <w:rPr>
                <w:noProof/>
                <w:webHidden/>
              </w:rPr>
            </w:r>
            <w:r w:rsidR="004E7F3B">
              <w:rPr>
                <w:noProof/>
                <w:webHidden/>
              </w:rPr>
              <w:fldChar w:fldCharType="separate"/>
            </w:r>
            <w:r w:rsidR="004E7F3B">
              <w:rPr>
                <w:noProof/>
                <w:webHidden/>
              </w:rPr>
              <w:t>7</w:t>
            </w:r>
            <w:r w:rsidR="004E7F3B">
              <w:rPr>
                <w:noProof/>
                <w:webHidden/>
              </w:rPr>
              <w:fldChar w:fldCharType="end"/>
            </w:r>
          </w:hyperlink>
        </w:p>
        <w:p w14:paraId="55C52B08" w14:textId="4A6E5506" w:rsidR="004E7F3B" w:rsidRDefault="007530AB">
          <w:pPr>
            <w:pStyle w:val="TOC1"/>
            <w:tabs>
              <w:tab w:val="right" w:leader="dot" w:pos="9350"/>
            </w:tabs>
            <w:rPr>
              <w:noProof/>
            </w:rPr>
          </w:pPr>
          <w:hyperlink w:anchor="_Toc44601152" w:history="1">
            <w:r w:rsidR="004E7F3B" w:rsidRPr="00DC12D3">
              <w:rPr>
                <w:rStyle w:val="Hyperlink"/>
                <w:noProof/>
              </w:rPr>
              <w:t>Part (b) Financial performance review</w:t>
            </w:r>
            <w:r w:rsidR="004E7F3B">
              <w:rPr>
                <w:noProof/>
                <w:webHidden/>
              </w:rPr>
              <w:tab/>
            </w:r>
            <w:r w:rsidR="004E7F3B">
              <w:rPr>
                <w:noProof/>
                <w:webHidden/>
              </w:rPr>
              <w:fldChar w:fldCharType="begin"/>
            </w:r>
            <w:r w:rsidR="004E7F3B">
              <w:rPr>
                <w:noProof/>
                <w:webHidden/>
              </w:rPr>
              <w:instrText xml:space="preserve"> PAGEREF _Toc44601152 \h </w:instrText>
            </w:r>
            <w:r w:rsidR="004E7F3B">
              <w:rPr>
                <w:noProof/>
                <w:webHidden/>
              </w:rPr>
            </w:r>
            <w:r w:rsidR="004E7F3B">
              <w:rPr>
                <w:noProof/>
                <w:webHidden/>
              </w:rPr>
              <w:fldChar w:fldCharType="separate"/>
            </w:r>
            <w:r w:rsidR="004E7F3B">
              <w:rPr>
                <w:noProof/>
                <w:webHidden/>
              </w:rPr>
              <w:t>7</w:t>
            </w:r>
            <w:r w:rsidR="004E7F3B">
              <w:rPr>
                <w:noProof/>
                <w:webHidden/>
              </w:rPr>
              <w:fldChar w:fldCharType="end"/>
            </w:r>
          </w:hyperlink>
        </w:p>
        <w:p w14:paraId="0810A4B5" w14:textId="74B0D2BF" w:rsidR="004E7F3B" w:rsidRDefault="007530AB">
          <w:pPr>
            <w:pStyle w:val="TOC2"/>
            <w:tabs>
              <w:tab w:val="right" w:leader="dot" w:pos="9350"/>
            </w:tabs>
            <w:rPr>
              <w:noProof/>
            </w:rPr>
          </w:pPr>
          <w:hyperlink w:anchor="_Toc44601153" w:history="1">
            <w:r w:rsidR="004E7F3B" w:rsidRPr="00DC12D3">
              <w:rPr>
                <w:rStyle w:val="Hyperlink"/>
                <w:noProof/>
                <w:lang w:val="en-GB"/>
              </w:rPr>
              <w:t>Current financial standpoint of the company</w:t>
            </w:r>
            <w:r w:rsidR="004E7F3B">
              <w:rPr>
                <w:noProof/>
                <w:webHidden/>
              </w:rPr>
              <w:tab/>
            </w:r>
            <w:r w:rsidR="004E7F3B">
              <w:rPr>
                <w:noProof/>
                <w:webHidden/>
              </w:rPr>
              <w:fldChar w:fldCharType="begin"/>
            </w:r>
            <w:r w:rsidR="004E7F3B">
              <w:rPr>
                <w:noProof/>
                <w:webHidden/>
              </w:rPr>
              <w:instrText xml:space="preserve"> PAGEREF _Toc44601153 \h </w:instrText>
            </w:r>
            <w:r w:rsidR="004E7F3B">
              <w:rPr>
                <w:noProof/>
                <w:webHidden/>
              </w:rPr>
            </w:r>
            <w:r w:rsidR="004E7F3B">
              <w:rPr>
                <w:noProof/>
                <w:webHidden/>
              </w:rPr>
              <w:fldChar w:fldCharType="separate"/>
            </w:r>
            <w:r w:rsidR="004E7F3B">
              <w:rPr>
                <w:noProof/>
                <w:webHidden/>
              </w:rPr>
              <w:t>7</w:t>
            </w:r>
            <w:r w:rsidR="004E7F3B">
              <w:rPr>
                <w:noProof/>
                <w:webHidden/>
              </w:rPr>
              <w:fldChar w:fldCharType="end"/>
            </w:r>
          </w:hyperlink>
        </w:p>
        <w:p w14:paraId="018B5C38" w14:textId="301AB539" w:rsidR="004E7F3B" w:rsidRDefault="007530AB">
          <w:pPr>
            <w:pStyle w:val="TOC2"/>
            <w:tabs>
              <w:tab w:val="right" w:leader="dot" w:pos="9350"/>
            </w:tabs>
            <w:rPr>
              <w:noProof/>
            </w:rPr>
          </w:pPr>
          <w:hyperlink w:anchor="_Toc44601154" w:history="1">
            <w:r w:rsidR="004E7F3B" w:rsidRPr="00DC12D3">
              <w:rPr>
                <w:rStyle w:val="Hyperlink"/>
                <w:noProof/>
                <w:lang w:val="en-GB"/>
              </w:rPr>
              <w:t>Calculation and critical evaluation of key financial ratios for the past 5 years (e.g. profitability, liquidity, gearing, efficiency ratios)</w:t>
            </w:r>
            <w:r w:rsidR="004E7F3B">
              <w:rPr>
                <w:noProof/>
                <w:webHidden/>
              </w:rPr>
              <w:tab/>
            </w:r>
            <w:r w:rsidR="004E7F3B">
              <w:rPr>
                <w:noProof/>
                <w:webHidden/>
              </w:rPr>
              <w:fldChar w:fldCharType="begin"/>
            </w:r>
            <w:r w:rsidR="004E7F3B">
              <w:rPr>
                <w:noProof/>
                <w:webHidden/>
              </w:rPr>
              <w:instrText xml:space="preserve"> PAGEREF _Toc44601154 \h </w:instrText>
            </w:r>
            <w:r w:rsidR="004E7F3B">
              <w:rPr>
                <w:noProof/>
                <w:webHidden/>
              </w:rPr>
            </w:r>
            <w:r w:rsidR="004E7F3B">
              <w:rPr>
                <w:noProof/>
                <w:webHidden/>
              </w:rPr>
              <w:fldChar w:fldCharType="separate"/>
            </w:r>
            <w:r w:rsidR="004E7F3B">
              <w:rPr>
                <w:noProof/>
                <w:webHidden/>
              </w:rPr>
              <w:t>8</w:t>
            </w:r>
            <w:r w:rsidR="004E7F3B">
              <w:rPr>
                <w:noProof/>
                <w:webHidden/>
              </w:rPr>
              <w:fldChar w:fldCharType="end"/>
            </w:r>
          </w:hyperlink>
        </w:p>
        <w:p w14:paraId="5A5D871D" w14:textId="4E2DD3BF" w:rsidR="004E7F3B" w:rsidRDefault="007530AB">
          <w:pPr>
            <w:pStyle w:val="TOC3"/>
            <w:tabs>
              <w:tab w:val="right" w:leader="dot" w:pos="9350"/>
            </w:tabs>
            <w:rPr>
              <w:noProof/>
            </w:rPr>
          </w:pPr>
          <w:hyperlink w:anchor="_Toc44601155" w:history="1">
            <w:r w:rsidR="004E7F3B" w:rsidRPr="00DC12D3">
              <w:rPr>
                <w:rStyle w:val="Hyperlink"/>
                <w:noProof/>
                <w:lang w:val="en-GB"/>
              </w:rPr>
              <w:t>Profitability ratio</w:t>
            </w:r>
            <w:r w:rsidR="004E7F3B">
              <w:rPr>
                <w:noProof/>
                <w:webHidden/>
              </w:rPr>
              <w:tab/>
            </w:r>
            <w:r w:rsidR="004E7F3B">
              <w:rPr>
                <w:noProof/>
                <w:webHidden/>
              </w:rPr>
              <w:fldChar w:fldCharType="begin"/>
            </w:r>
            <w:r w:rsidR="004E7F3B">
              <w:rPr>
                <w:noProof/>
                <w:webHidden/>
              </w:rPr>
              <w:instrText xml:space="preserve"> PAGEREF _Toc44601155 \h </w:instrText>
            </w:r>
            <w:r w:rsidR="004E7F3B">
              <w:rPr>
                <w:noProof/>
                <w:webHidden/>
              </w:rPr>
            </w:r>
            <w:r w:rsidR="004E7F3B">
              <w:rPr>
                <w:noProof/>
                <w:webHidden/>
              </w:rPr>
              <w:fldChar w:fldCharType="separate"/>
            </w:r>
            <w:r w:rsidR="004E7F3B">
              <w:rPr>
                <w:noProof/>
                <w:webHidden/>
              </w:rPr>
              <w:t>9</w:t>
            </w:r>
            <w:r w:rsidR="004E7F3B">
              <w:rPr>
                <w:noProof/>
                <w:webHidden/>
              </w:rPr>
              <w:fldChar w:fldCharType="end"/>
            </w:r>
          </w:hyperlink>
        </w:p>
        <w:p w14:paraId="51155B45" w14:textId="3BEBE46A" w:rsidR="004E7F3B" w:rsidRDefault="007530AB">
          <w:pPr>
            <w:pStyle w:val="TOC3"/>
            <w:tabs>
              <w:tab w:val="right" w:leader="dot" w:pos="9350"/>
            </w:tabs>
            <w:rPr>
              <w:noProof/>
            </w:rPr>
          </w:pPr>
          <w:hyperlink w:anchor="_Toc44601156" w:history="1">
            <w:r w:rsidR="004E7F3B" w:rsidRPr="00DC12D3">
              <w:rPr>
                <w:rStyle w:val="Hyperlink"/>
                <w:noProof/>
                <w:lang w:val="en-GB"/>
              </w:rPr>
              <w:t>Liquidity ratio</w:t>
            </w:r>
            <w:r w:rsidR="004E7F3B">
              <w:rPr>
                <w:noProof/>
                <w:webHidden/>
              </w:rPr>
              <w:tab/>
            </w:r>
            <w:r w:rsidR="004E7F3B">
              <w:rPr>
                <w:noProof/>
                <w:webHidden/>
              </w:rPr>
              <w:fldChar w:fldCharType="begin"/>
            </w:r>
            <w:r w:rsidR="004E7F3B">
              <w:rPr>
                <w:noProof/>
                <w:webHidden/>
              </w:rPr>
              <w:instrText xml:space="preserve"> PAGEREF _Toc44601156 \h </w:instrText>
            </w:r>
            <w:r w:rsidR="004E7F3B">
              <w:rPr>
                <w:noProof/>
                <w:webHidden/>
              </w:rPr>
            </w:r>
            <w:r w:rsidR="004E7F3B">
              <w:rPr>
                <w:noProof/>
                <w:webHidden/>
              </w:rPr>
              <w:fldChar w:fldCharType="separate"/>
            </w:r>
            <w:r w:rsidR="004E7F3B">
              <w:rPr>
                <w:noProof/>
                <w:webHidden/>
              </w:rPr>
              <w:t>12</w:t>
            </w:r>
            <w:r w:rsidR="004E7F3B">
              <w:rPr>
                <w:noProof/>
                <w:webHidden/>
              </w:rPr>
              <w:fldChar w:fldCharType="end"/>
            </w:r>
          </w:hyperlink>
        </w:p>
        <w:p w14:paraId="3B5B5569" w14:textId="3529C9FC" w:rsidR="004E7F3B" w:rsidRDefault="007530AB">
          <w:pPr>
            <w:pStyle w:val="TOC3"/>
            <w:tabs>
              <w:tab w:val="right" w:leader="dot" w:pos="9350"/>
            </w:tabs>
            <w:rPr>
              <w:noProof/>
            </w:rPr>
          </w:pPr>
          <w:hyperlink w:anchor="_Toc44601157" w:history="1">
            <w:r w:rsidR="004E7F3B" w:rsidRPr="00DC12D3">
              <w:rPr>
                <w:rStyle w:val="Hyperlink"/>
                <w:noProof/>
                <w:lang w:val="en-GB"/>
              </w:rPr>
              <w:t>Gearing ratio</w:t>
            </w:r>
            <w:r w:rsidR="004E7F3B">
              <w:rPr>
                <w:noProof/>
                <w:webHidden/>
              </w:rPr>
              <w:tab/>
            </w:r>
            <w:r w:rsidR="004E7F3B">
              <w:rPr>
                <w:noProof/>
                <w:webHidden/>
              </w:rPr>
              <w:fldChar w:fldCharType="begin"/>
            </w:r>
            <w:r w:rsidR="004E7F3B">
              <w:rPr>
                <w:noProof/>
                <w:webHidden/>
              </w:rPr>
              <w:instrText xml:space="preserve"> PAGEREF _Toc44601157 \h </w:instrText>
            </w:r>
            <w:r w:rsidR="004E7F3B">
              <w:rPr>
                <w:noProof/>
                <w:webHidden/>
              </w:rPr>
            </w:r>
            <w:r w:rsidR="004E7F3B">
              <w:rPr>
                <w:noProof/>
                <w:webHidden/>
              </w:rPr>
              <w:fldChar w:fldCharType="separate"/>
            </w:r>
            <w:r w:rsidR="004E7F3B">
              <w:rPr>
                <w:noProof/>
                <w:webHidden/>
              </w:rPr>
              <w:t>13</w:t>
            </w:r>
            <w:r w:rsidR="004E7F3B">
              <w:rPr>
                <w:noProof/>
                <w:webHidden/>
              </w:rPr>
              <w:fldChar w:fldCharType="end"/>
            </w:r>
          </w:hyperlink>
        </w:p>
        <w:p w14:paraId="39E873D6" w14:textId="23FDF398" w:rsidR="004E7F3B" w:rsidRDefault="007530AB">
          <w:pPr>
            <w:pStyle w:val="TOC3"/>
            <w:tabs>
              <w:tab w:val="right" w:leader="dot" w:pos="9350"/>
            </w:tabs>
            <w:rPr>
              <w:noProof/>
            </w:rPr>
          </w:pPr>
          <w:hyperlink w:anchor="_Toc44601158" w:history="1">
            <w:r w:rsidR="004E7F3B" w:rsidRPr="00DC12D3">
              <w:rPr>
                <w:rStyle w:val="Hyperlink"/>
                <w:noProof/>
                <w:lang w:val="en-GB"/>
              </w:rPr>
              <w:t>Efficiency ratio</w:t>
            </w:r>
            <w:r w:rsidR="004E7F3B">
              <w:rPr>
                <w:noProof/>
                <w:webHidden/>
              </w:rPr>
              <w:tab/>
            </w:r>
            <w:r w:rsidR="004E7F3B">
              <w:rPr>
                <w:noProof/>
                <w:webHidden/>
              </w:rPr>
              <w:fldChar w:fldCharType="begin"/>
            </w:r>
            <w:r w:rsidR="004E7F3B">
              <w:rPr>
                <w:noProof/>
                <w:webHidden/>
              </w:rPr>
              <w:instrText xml:space="preserve"> PAGEREF _Toc44601158 \h </w:instrText>
            </w:r>
            <w:r w:rsidR="004E7F3B">
              <w:rPr>
                <w:noProof/>
                <w:webHidden/>
              </w:rPr>
            </w:r>
            <w:r w:rsidR="004E7F3B">
              <w:rPr>
                <w:noProof/>
                <w:webHidden/>
              </w:rPr>
              <w:fldChar w:fldCharType="separate"/>
            </w:r>
            <w:r w:rsidR="004E7F3B">
              <w:rPr>
                <w:noProof/>
                <w:webHidden/>
              </w:rPr>
              <w:t>14</w:t>
            </w:r>
            <w:r w:rsidR="004E7F3B">
              <w:rPr>
                <w:noProof/>
                <w:webHidden/>
              </w:rPr>
              <w:fldChar w:fldCharType="end"/>
            </w:r>
          </w:hyperlink>
        </w:p>
        <w:p w14:paraId="25B0B8A7" w14:textId="661A34A5" w:rsidR="004E7F3B" w:rsidRDefault="007530AB">
          <w:pPr>
            <w:pStyle w:val="TOC2"/>
            <w:tabs>
              <w:tab w:val="right" w:leader="dot" w:pos="9350"/>
            </w:tabs>
            <w:rPr>
              <w:noProof/>
            </w:rPr>
          </w:pPr>
          <w:hyperlink w:anchor="_Toc44601159" w:history="1">
            <w:r w:rsidR="004E7F3B" w:rsidRPr="00DC12D3">
              <w:rPr>
                <w:rStyle w:val="Hyperlink"/>
                <w:noProof/>
                <w:lang w:val="en-GB"/>
              </w:rPr>
              <w:t>Recommendation on how to improve the financial management of the company</w:t>
            </w:r>
            <w:r w:rsidR="004E7F3B">
              <w:rPr>
                <w:noProof/>
                <w:webHidden/>
              </w:rPr>
              <w:tab/>
            </w:r>
            <w:r w:rsidR="004E7F3B">
              <w:rPr>
                <w:noProof/>
                <w:webHidden/>
              </w:rPr>
              <w:fldChar w:fldCharType="begin"/>
            </w:r>
            <w:r w:rsidR="004E7F3B">
              <w:rPr>
                <w:noProof/>
                <w:webHidden/>
              </w:rPr>
              <w:instrText xml:space="preserve"> PAGEREF _Toc44601159 \h </w:instrText>
            </w:r>
            <w:r w:rsidR="004E7F3B">
              <w:rPr>
                <w:noProof/>
                <w:webHidden/>
              </w:rPr>
            </w:r>
            <w:r w:rsidR="004E7F3B">
              <w:rPr>
                <w:noProof/>
                <w:webHidden/>
              </w:rPr>
              <w:fldChar w:fldCharType="separate"/>
            </w:r>
            <w:r w:rsidR="004E7F3B">
              <w:rPr>
                <w:noProof/>
                <w:webHidden/>
              </w:rPr>
              <w:t>16</w:t>
            </w:r>
            <w:r w:rsidR="004E7F3B">
              <w:rPr>
                <w:noProof/>
                <w:webHidden/>
              </w:rPr>
              <w:fldChar w:fldCharType="end"/>
            </w:r>
          </w:hyperlink>
        </w:p>
        <w:p w14:paraId="07A8A554" w14:textId="5DB51851" w:rsidR="004E7F3B" w:rsidRDefault="007530AB">
          <w:pPr>
            <w:pStyle w:val="TOC1"/>
            <w:tabs>
              <w:tab w:val="right" w:leader="dot" w:pos="9350"/>
            </w:tabs>
            <w:rPr>
              <w:noProof/>
            </w:rPr>
          </w:pPr>
          <w:hyperlink w:anchor="_Toc44601160" w:history="1">
            <w:r w:rsidR="004E7F3B" w:rsidRPr="00DC12D3">
              <w:rPr>
                <w:rStyle w:val="Hyperlink"/>
                <w:noProof/>
              </w:rPr>
              <w:t>Part (c) Carrying out investment appraisal techniques to evaluate the projects:</w:t>
            </w:r>
            <w:r w:rsidR="004E7F3B">
              <w:rPr>
                <w:noProof/>
                <w:webHidden/>
              </w:rPr>
              <w:tab/>
            </w:r>
            <w:r w:rsidR="004E7F3B">
              <w:rPr>
                <w:noProof/>
                <w:webHidden/>
              </w:rPr>
              <w:fldChar w:fldCharType="begin"/>
            </w:r>
            <w:r w:rsidR="004E7F3B">
              <w:rPr>
                <w:noProof/>
                <w:webHidden/>
              </w:rPr>
              <w:instrText xml:space="preserve"> PAGEREF _Toc44601160 \h </w:instrText>
            </w:r>
            <w:r w:rsidR="004E7F3B">
              <w:rPr>
                <w:noProof/>
                <w:webHidden/>
              </w:rPr>
            </w:r>
            <w:r w:rsidR="004E7F3B">
              <w:rPr>
                <w:noProof/>
                <w:webHidden/>
              </w:rPr>
              <w:fldChar w:fldCharType="separate"/>
            </w:r>
            <w:r w:rsidR="004E7F3B">
              <w:rPr>
                <w:noProof/>
                <w:webHidden/>
              </w:rPr>
              <w:t>17</w:t>
            </w:r>
            <w:r w:rsidR="004E7F3B">
              <w:rPr>
                <w:noProof/>
                <w:webHidden/>
              </w:rPr>
              <w:fldChar w:fldCharType="end"/>
            </w:r>
          </w:hyperlink>
        </w:p>
        <w:p w14:paraId="6BDB4601" w14:textId="21F19084" w:rsidR="004E7F3B" w:rsidRDefault="007530AB">
          <w:pPr>
            <w:pStyle w:val="TOC2"/>
            <w:tabs>
              <w:tab w:val="right" w:leader="dot" w:pos="9350"/>
            </w:tabs>
            <w:rPr>
              <w:noProof/>
            </w:rPr>
          </w:pPr>
          <w:hyperlink w:anchor="_Toc44601161" w:history="1">
            <w:r w:rsidR="004E7F3B" w:rsidRPr="00DC12D3">
              <w:rPr>
                <w:rStyle w:val="Hyperlink"/>
                <w:noProof/>
                <w:lang w:val="en-GB"/>
              </w:rPr>
              <w:t>Payback Period (PBP):</w:t>
            </w:r>
            <w:r w:rsidR="004E7F3B">
              <w:rPr>
                <w:noProof/>
                <w:webHidden/>
              </w:rPr>
              <w:tab/>
            </w:r>
            <w:r w:rsidR="004E7F3B">
              <w:rPr>
                <w:noProof/>
                <w:webHidden/>
              </w:rPr>
              <w:fldChar w:fldCharType="begin"/>
            </w:r>
            <w:r w:rsidR="004E7F3B">
              <w:rPr>
                <w:noProof/>
                <w:webHidden/>
              </w:rPr>
              <w:instrText xml:space="preserve"> PAGEREF _Toc44601161 \h </w:instrText>
            </w:r>
            <w:r w:rsidR="004E7F3B">
              <w:rPr>
                <w:noProof/>
                <w:webHidden/>
              </w:rPr>
            </w:r>
            <w:r w:rsidR="004E7F3B">
              <w:rPr>
                <w:noProof/>
                <w:webHidden/>
              </w:rPr>
              <w:fldChar w:fldCharType="separate"/>
            </w:r>
            <w:r w:rsidR="004E7F3B">
              <w:rPr>
                <w:noProof/>
                <w:webHidden/>
              </w:rPr>
              <w:t>18</w:t>
            </w:r>
            <w:r w:rsidR="004E7F3B">
              <w:rPr>
                <w:noProof/>
                <w:webHidden/>
              </w:rPr>
              <w:fldChar w:fldCharType="end"/>
            </w:r>
          </w:hyperlink>
        </w:p>
        <w:p w14:paraId="561980EF" w14:textId="6502DED4" w:rsidR="004E7F3B" w:rsidRDefault="007530AB">
          <w:pPr>
            <w:pStyle w:val="TOC2"/>
            <w:tabs>
              <w:tab w:val="right" w:leader="dot" w:pos="9350"/>
            </w:tabs>
            <w:rPr>
              <w:noProof/>
            </w:rPr>
          </w:pPr>
          <w:hyperlink w:anchor="_Toc44601162" w:history="1">
            <w:r w:rsidR="004E7F3B" w:rsidRPr="00DC12D3">
              <w:rPr>
                <w:rStyle w:val="Hyperlink"/>
                <w:noProof/>
                <w:lang w:val="en-GB"/>
              </w:rPr>
              <w:t>Net Present Value (NPV):</w:t>
            </w:r>
            <w:r w:rsidR="004E7F3B">
              <w:rPr>
                <w:noProof/>
                <w:webHidden/>
              </w:rPr>
              <w:tab/>
            </w:r>
            <w:r w:rsidR="004E7F3B">
              <w:rPr>
                <w:noProof/>
                <w:webHidden/>
              </w:rPr>
              <w:fldChar w:fldCharType="begin"/>
            </w:r>
            <w:r w:rsidR="004E7F3B">
              <w:rPr>
                <w:noProof/>
                <w:webHidden/>
              </w:rPr>
              <w:instrText xml:space="preserve"> PAGEREF _Toc44601162 \h </w:instrText>
            </w:r>
            <w:r w:rsidR="004E7F3B">
              <w:rPr>
                <w:noProof/>
                <w:webHidden/>
              </w:rPr>
            </w:r>
            <w:r w:rsidR="004E7F3B">
              <w:rPr>
                <w:noProof/>
                <w:webHidden/>
              </w:rPr>
              <w:fldChar w:fldCharType="separate"/>
            </w:r>
            <w:r w:rsidR="004E7F3B">
              <w:rPr>
                <w:noProof/>
                <w:webHidden/>
              </w:rPr>
              <w:t>20</w:t>
            </w:r>
            <w:r w:rsidR="004E7F3B">
              <w:rPr>
                <w:noProof/>
                <w:webHidden/>
              </w:rPr>
              <w:fldChar w:fldCharType="end"/>
            </w:r>
          </w:hyperlink>
        </w:p>
        <w:p w14:paraId="2B74324F" w14:textId="030C4601" w:rsidR="004E7F3B" w:rsidRDefault="007530AB">
          <w:pPr>
            <w:pStyle w:val="TOC2"/>
            <w:tabs>
              <w:tab w:val="right" w:leader="dot" w:pos="9350"/>
            </w:tabs>
            <w:rPr>
              <w:noProof/>
            </w:rPr>
          </w:pPr>
          <w:hyperlink w:anchor="_Toc44601163" w:history="1">
            <w:r w:rsidR="004E7F3B" w:rsidRPr="00DC12D3">
              <w:rPr>
                <w:rStyle w:val="Hyperlink"/>
                <w:noProof/>
                <w:lang w:val="en-GB"/>
              </w:rPr>
              <w:t>Accounting rate of return (ARR):</w:t>
            </w:r>
            <w:r w:rsidR="004E7F3B">
              <w:rPr>
                <w:noProof/>
                <w:webHidden/>
              </w:rPr>
              <w:tab/>
            </w:r>
            <w:r w:rsidR="004E7F3B">
              <w:rPr>
                <w:noProof/>
                <w:webHidden/>
              </w:rPr>
              <w:fldChar w:fldCharType="begin"/>
            </w:r>
            <w:r w:rsidR="004E7F3B">
              <w:rPr>
                <w:noProof/>
                <w:webHidden/>
              </w:rPr>
              <w:instrText xml:space="preserve"> PAGEREF _Toc44601163 \h </w:instrText>
            </w:r>
            <w:r w:rsidR="004E7F3B">
              <w:rPr>
                <w:noProof/>
                <w:webHidden/>
              </w:rPr>
            </w:r>
            <w:r w:rsidR="004E7F3B">
              <w:rPr>
                <w:noProof/>
                <w:webHidden/>
              </w:rPr>
              <w:fldChar w:fldCharType="separate"/>
            </w:r>
            <w:r w:rsidR="004E7F3B">
              <w:rPr>
                <w:noProof/>
                <w:webHidden/>
              </w:rPr>
              <w:t>21</w:t>
            </w:r>
            <w:r w:rsidR="004E7F3B">
              <w:rPr>
                <w:noProof/>
                <w:webHidden/>
              </w:rPr>
              <w:fldChar w:fldCharType="end"/>
            </w:r>
          </w:hyperlink>
        </w:p>
        <w:p w14:paraId="23BAC03E" w14:textId="17011817" w:rsidR="004E7F3B" w:rsidRDefault="007530AB">
          <w:pPr>
            <w:pStyle w:val="TOC2"/>
            <w:tabs>
              <w:tab w:val="right" w:leader="dot" w:pos="9350"/>
            </w:tabs>
            <w:rPr>
              <w:noProof/>
            </w:rPr>
          </w:pPr>
          <w:hyperlink w:anchor="_Toc44601164" w:history="1">
            <w:r w:rsidR="004E7F3B" w:rsidRPr="00DC12D3">
              <w:rPr>
                <w:rStyle w:val="Hyperlink"/>
                <w:noProof/>
                <w:lang w:val="en-GB"/>
              </w:rPr>
              <w:t>External factors to consider</w:t>
            </w:r>
            <w:r w:rsidR="004E7F3B">
              <w:rPr>
                <w:noProof/>
                <w:webHidden/>
              </w:rPr>
              <w:tab/>
            </w:r>
            <w:r w:rsidR="004E7F3B">
              <w:rPr>
                <w:noProof/>
                <w:webHidden/>
              </w:rPr>
              <w:fldChar w:fldCharType="begin"/>
            </w:r>
            <w:r w:rsidR="004E7F3B">
              <w:rPr>
                <w:noProof/>
                <w:webHidden/>
              </w:rPr>
              <w:instrText xml:space="preserve"> PAGEREF _Toc44601164 \h </w:instrText>
            </w:r>
            <w:r w:rsidR="004E7F3B">
              <w:rPr>
                <w:noProof/>
                <w:webHidden/>
              </w:rPr>
            </w:r>
            <w:r w:rsidR="004E7F3B">
              <w:rPr>
                <w:noProof/>
                <w:webHidden/>
              </w:rPr>
              <w:fldChar w:fldCharType="separate"/>
            </w:r>
            <w:r w:rsidR="004E7F3B">
              <w:rPr>
                <w:noProof/>
                <w:webHidden/>
              </w:rPr>
              <w:t>22</w:t>
            </w:r>
            <w:r w:rsidR="004E7F3B">
              <w:rPr>
                <w:noProof/>
                <w:webHidden/>
              </w:rPr>
              <w:fldChar w:fldCharType="end"/>
            </w:r>
          </w:hyperlink>
        </w:p>
        <w:p w14:paraId="4E6DBF33" w14:textId="2B7E2D4A" w:rsidR="004E7F3B" w:rsidRDefault="007530AB">
          <w:pPr>
            <w:pStyle w:val="TOC1"/>
            <w:tabs>
              <w:tab w:val="right" w:leader="dot" w:pos="9350"/>
            </w:tabs>
            <w:rPr>
              <w:noProof/>
            </w:rPr>
          </w:pPr>
          <w:hyperlink w:anchor="_Toc44601165" w:history="1">
            <w:r w:rsidR="004E7F3B" w:rsidRPr="00DC12D3">
              <w:rPr>
                <w:rStyle w:val="Hyperlink"/>
                <w:noProof/>
              </w:rPr>
              <w:t>Conclusion</w:t>
            </w:r>
            <w:r w:rsidR="004E7F3B">
              <w:rPr>
                <w:noProof/>
                <w:webHidden/>
              </w:rPr>
              <w:tab/>
            </w:r>
            <w:r w:rsidR="004E7F3B">
              <w:rPr>
                <w:noProof/>
                <w:webHidden/>
              </w:rPr>
              <w:fldChar w:fldCharType="begin"/>
            </w:r>
            <w:r w:rsidR="004E7F3B">
              <w:rPr>
                <w:noProof/>
                <w:webHidden/>
              </w:rPr>
              <w:instrText xml:space="preserve"> PAGEREF _Toc44601165 \h </w:instrText>
            </w:r>
            <w:r w:rsidR="004E7F3B">
              <w:rPr>
                <w:noProof/>
                <w:webHidden/>
              </w:rPr>
            </w:r>
            <w:r w:rsidR="004E7F3B">
              <w:rPr>
                <w:noProof/>
                <w:webHidden/>
              </w:rPr>
              <w:fldChar w:fldCharType="separate"/>
            </w:r>
            <w:r w:rsidR="004E7F3B">
              <w:rPr>
                <w:noProof/>
                <w:webHidden/>
              </w:rPr>
              <w:t>22</w:t>
            </w:r>
            <w:r w:rsidR="004E7F3B">
              <w:rPr>
                <w:noProof/>
                <w:webHidden/>
              </w:rPr>
              <w:fldChar w:fldCharType="end"/>
            </w:r>
          </w:hyperlink>
        </w:p>
        <w:p w14:paraId="634CD59A" w14:textId="759E5F66" w:rsidR="004E7F3B" w:rsidRDefault="007530AB">
          <w:pPr>
            <w:pStyle w:val="TOC1"/>
            <w:tabs>
              <w:tab w:val="right" w:leader="dot" w:pos="9350"/>
            </w:tabs>
            <w:rPr>
              <w:noProof/>
            </w:rPr>
          </w:pPr>
          <w:hyperlink w:anchor="_Toc44601166" w:history="1">
            <w:r w:rsidR="004E7F3B" w:rsidRPr="00DC12D3">
              <w:rPr>
                <w:rStyle w:val="Hyperlink"/>
                <w:noProof/>
              </w:rPr>
              <w:t>References</w:t>
            </w:r>
            <w:r w:rsidR="004E7F3B">
              <w:rPr>
                <w:noProof/>
                <w:webHidden/>
              </w:rPr>
              <w:tab/>
            </w:r>
            <w:r w:rsidR="004E7F3B">
              <w:rPr>
                <w:noProof/>
                <w:webHidden/>
              </w:rPr>
              <w:fldChar w:fldCharType="begin"/>
            </w:r>
            <w:r w:rsidR="004E7F3B">
              <w:rPr>
                <w:noProof/>
                <w:webHidden/>
              </w:rPr>
              <w:instrText xml:space="preserve"> PAGEREF _Toc44601166 \h </w:instrText>
            </w:r>
            <w:r w:rsidR="004E7F3B">
              <w:rPr>
                <w:noProof/>
                <w:webHidden/>
              </w:rPr>
            </w:r>
            <w:r w:rsidR="004E7F3B">
              <w:rPr>
                <w:noProof/>
                <w:webHidden/>
              </w:rPr>
              <w:fldChar w:fldCharType="separate"/>
            </w:r>
            <w:r w:rsidR="004E7F3B">
              <w:rPr>
                <w:noProof/>
                <w:webHidden/>
              </w:rPr>
              <w:t>24</w:t>
            </w:r>
            <w:r w:rsidR="004E7F3B">
              <w:rPr>
                <w:noProof/>
                <w:webHidden/>
              </w:rPr>
              <w:fldChar w:fldCharType="end"/>
            </w:r>
          </w:hyperlink>
        </w:p>
        <w:p w14:paraId="7F4293F8" w14:textId="57BEBFE5" w:rsidR="004E7F3B" w:rsidRDefault="004E7F3B">
          <w:r>
            <w:rPr>
              <w:b/>
              <w:bCs/>
              <w:noProof/>
            </w:rPr>
            <w:lastRenderedPageBreak/>
            <w:fldChar w:fldCharType="end"/>
          </w:r>
        </w:p>
      </w:sdtContent>
    </w:sdt>
    <w:p w14:paraId="191F210A" w14:textId="77777777" w:rsidR="004E7F3B" w:rsidRPr="00866939" w:rsidRDefault="004E7F3B" w:rsidP="008655D9">
      <w:pPr>
        <w:rPr>
          <w:lang w:val="en-GB"/>
        </w:rPr>
      </w:pPr>
    </w:p>
    <w:p w14:paraId="4991535B" w14:textId="67379D9A" w:rsidR="008655D9" w:rsidRPr="00866939" w:rsidRDefault="008655D9" w:rsidP="008655D9">
      <w:pPr>
        <w:rPr>
          <w:lang w:val="en-GB"/>
        </w:rPr>
      </w:pPr>
    </w:p>
    <w:p w14:paraId="5BA60B17" w14:textId="531CE755" w:rsidR="008655D9" w:rsidRPr="004F6651" w:rsidRDefault="00907185" w:rsidP="00866939">
      <w:pPr>
        <w:pStyle w:val="Heading1"/>
        <w:rPr>
          <w:sz w:val="24"/>
          <w:szCs w:val="24"/>
        </w:rPr>
      </w:pPr>
      <w:r>
        <w:br w:type="column"/>
      </w:r>
      <w:bookmarkStart w:id="1" w:name="_Toc44601148"/>
      <w:r w:rsidR="008655D9" w:rsidRPr="004F6651">
        <w:rPr>
          <w:sz w:val="24"/>
          <w:szCs w:val="24"/>
        </w:rPr>
        <w:lastRenderedPageBreak/>
        <w:t>Introduction</w:t>
      </w:r>
      <w:bookmarkEnd w:id="1"/>
    </w:p>
    <w:p w14:paraId="58AF100F" w14:textId="47044E7F" w:rsidR="00971B4E" w:rsidRDefault="008655D9" w:rsidP="00971B4E">
      <w:pPr>
        <w:rPr>
          <w:lang w:val="en-GB"/>
        </w:rPr>
      </w:pPr>
      <w:r w:rsidRPr="00866939">
        <w:rPr>
          <w:lang w:val="en-GB"/>
        </w:rPr>
        <w:t>Finance is one of the core management functions o</w:t>
      </w:r>
      <w:r w:rsidR="00866939" w:rsidRPr="00866939">
        <w:rPr>
          <w:lang w:val="en-GB"/>
        </w:rPr>
        <w:t xml:space="preserve">f an organisation. </w:t>
      </w:r>
      <w:r w:rsidR="00866939">
        <w:rPr>
          <w:lang w:val="en-GB"/>
        </w:rPr>
        <w:t xml:space="preserve">The overall performance of an organisation largely depends on how well its finances are managed. </w:t>
      </w:r>
      <w:r w:rsidR="00061099">
        <w:rPr>
          <w:lang w:val="en-GB"/>
        </w:rPr>
        <w:t>By definition, f</w:t>
      </w:r>
      <w:r w:rsidR="00061099" w:rsidRPr="00061099">
        <w:rPr>
          <w:lang w:val="en-GB"/>
        </w:rPr>
        <w:t xml:space="preserve">inancial </w:t>
      </w:r>
      <w:r w:rsidR="00061099">
        <w:rPr>
          <w:lang w:val="en-GB"/>
        </w:rPr>
        <w:t>m</w:t>
      </w:r>
      <w:r w:rsidR="00061099" w:rsidRPr="00061099">
        <w:rPr>
          <w:lang w:val="en-GB"/>
        </w:rPr>
        <w:t xml:space="preserve">anagement </w:t>
      </w:r>
      <w:r w:rsidR="00061099">
        <w:rPr>
          <w:lang w:val="en-GB"/>
        </w:rPr>
        <w:t>refers to the organisational functions involving “the</w:t>
      </w:r>
      <w:r w:rsidR="00061099" w:rsidRPr="00061099">
        <w:rPr>
          <w:lang w:val="en-GB"/>
        </w:rPr>
        <w:t xml:space="preserve"> planning, organizing, directing and controlling the financial activities of the enterprise</w:t>
      </w:r>
      <w:r w:rsidR="00061099">
        <w:rPr>
          <w:lang w:val="en-GB"/>
        </w:rPr>
        <w:t>”</w:t>
      </w:r>
      <w:r w:rsidR="006E189A" w:rsidRPr="006E189A">
        <w:t xml:space="preserve"> </w:t>
      </w:r>
      <w:r w:rsidR="006E189A" w:rsidRPr="006E189A">
        <w:rPr>
          <w:lang w:val="en-GB"/>
        </w:rPr>
        <w:t>(Archer, Choate and Racette, 1983)</w:t>
      </w:r>
      <w:r w:rsidR="00061099" w:rsidRPr="00061099">
        <w:rPr>
          <w:lang w:val="en-GB"/>
        </w:rPr>
        <w:t>.</w:t>
      </w:r>
      <w:r w:rsidR="00061099">
        <w:rPr>
          <w:lang w:val="en-GB"/>
        </w:rPr>
        <w:t xml:space="preserve"> </w:t>
      </w:r>
      <w:r w:rsidR="00866939">
        <w:rPr>
          <w:lang w:val="en-GB"/>
        </w:rPr>
        <w:t>This involves funding the operations and business functions, securing investments, making investment and capital decisions, recording financial transactions, auditing the company’s financial performance and conditions, etc. The financial management is therefore, a vital strategic function for an organisation. The competitive position of a company depends on the efficiency of performance, and the efficiency depends on the optimum use of the financial assets of the company</w:t>
      </w:r>
      <w:r w:rsidR="006E189A" w:rsidRPr="006E189A">
        <w:t xml:space="preserve"> </w:t>
      </w:r>
      <w:r w:rsidR="006E189A" w:rsidRPr="006E189A">
        <w:rPr>
          <w:lang w:val="en-GB"/>
        </w:rPr>
        <w:t xml:space="preserve">(Block, Hirt and Danielsen, </w:t>
      </w:r>
      <w:r w:rsidR="004E7F3B">
        <w:rPr>
          <w:lang w:val="en-GB"/>
        </w:rPr>
        <w:t>2019</w:t>
      </w:r>
      <w:r w:rsidR="006E189A" w:rsidRPr="006E189A">
        <w:rPr>
          <w:lang w:val="en-GB"/>
        </w:rPr>
        <w:t>)</w:t>
      </w:r>
      <w:r w:rsidR="00866939">
        <w:rPr>
          <w:lang w:val="en-GB"/>
        </w:rPr>
        <w:t xml:space="preserve">. The report starts with a brief background of the company and its business model. The major recent events of the company that took place over the last five years have been explored in this part as well. Then the financial position of the company has been critically reviewed using key financial ratios. At the third part of this report, two investment opportunities have been evaluated for the company using capital budgeting methods. Thus, the report </w:t>
      </w:r>
      <w:r w:rsidR="00061099">
        <w:rPr>
          <w:lang w:val="en-GB"/>
        </w:rPr>
        <w:t>covers some of the basic aspects of financial management to help analyse the market position and the performance of the company. The report aims to inform the selected company’s position and performance, compared to its key competitors, in the respective industry. The selected company for this report is Tesco Plc, which is a UK based retailer and currently the largest supermarket chain in the country. The company’s shares are traded on London Stock Exchange. The relevant financial data of the company have been gathered from the company’s annual financial report titled “</w:t>
      </w:r>
      <w:r w:rsidR="00061099" w:rsidRPr="00061099">
        <w:rPr>
          <w:lang w:val="en-GB"/>
        </w:rPr>
        <w:t>Annual Report and Financial Statements 2019</w:t>
      </w:r>
      <w:r w:rsidR="00061099">
        <w:rPr>
          <w:lang w:val="en-GB"/>
        </w:rPr>
        <w:t xml:space="preserve">”. </w:t>
      </w:r>
    </w:p>
    <w:p w14:paraId="33C5C10E" w14:textId="18785311" w:rsidR="00907185" w:rsidRPr="005F0DAB" w:rsidRDefault="00310084" w:rsidP="00971B4E">
      <w:pPr>
        <w:pStyle w:val="Heading1"/>
        <w:rPr>
          <w:sz w:val="24"/>
          <w:szCs w:val="24"/>
        </w:rPr>
      </w:pPr>
      <w:r>
        <w:br w:type="column"/>
      </w:r>
      <w:bookmarkStart w:id="2" w:name="_Toc44601149"/>
      <w:r w:rsidR="00D17DF3" w:rsidRPr="005F0DAB">
        <w:rPr>
          <w:sz w:val="24"/>
          <w:szCs w:val="24"/>
        </w:rPr>
        <w:lastRenderedPageBreak/>
        <w:t xml:space="preserve">Part (a) </w:t>
      </w:r>
      <w:r w:rsidR="00907185" w:rsidRPr="005F0DAB">
        <w:rPr>
          <w:sz w:val="24"/>
          <w:szCs w:val="24"/>
        </w:rPr>
        <w:t>Company background: Tesco Plc.</w:t>
      </w:r>
      <w:bookmarkEnd w:id="2"/>
    </w:p>
    <w:p w14:paraId="173D055C" w14:textId="61CF10FF" w:rsidR="00DA3469" w:rsidRDefault="00907185" w:rsidP="00907185">
      <w:pPr>
        <w:rPr>
          <w:lang w:val="en-GB"/>
        </w:rPr>
      </w:pPr>
      <w:r>
        <w:rPr>
          <w:lang w:val="en-GB"/>
        </w:rPr>
        <w:t>Tesco Plc trades as Tesco at London Stock Exchange. It is one of the oldest and currently the largest supermarket chain in the UK</w:t>
      </w:r>
      <w:r w:rsidR="006E189A" w:rsidRPr="006E189A">
        <w:t xml:space="preserve"> </w:t>
      </w:r>
      <w:r w:rsidR="006E189A" w:rsidRPr="006E189A">
        <w:rPr>
          <w:lang w:val="en-GB"/>
        </w:rPr>
        <w:t>(Tesco Plc, 2020)</w:t>
      </w:r>
      <w:r>
        <w:rPr>
          <w:lang w:val="en-GB"/>
        </w:rPr>
        <w:t>. The company represents the traditional image of the UK in many ways as it has been linked to British culture over the years. It is also currently the third largest retailer in terms of the gross revenues in the world scale. Tesco was founded in 1919 by Jack Cohen</w:t>
      </w:r>
      <w:r w:rsidR="00DA3469">
        <w:rPr>
          <w:lang w:val="en-GB"/>
        </w:rPr>
        <w:t xml:space="preserve"> in Hackney, London</w:t>
      </w:r>
      <w:r>
        <w:rPr>
          <w:lang w:val="en-GB"/>
        </w:rPr>
        <w:t>. It had debuted as a chain of market stalls. In 1914, the company was officially named as Tesco. The first nation-wide market growth of the company took place from 1931 to 1939</w:t>
      </w:r>
      <w:r w:rsidR="006E189A" w:rsidRPr="006E189A">
        <w:rPr>
          <w:rFonts w:ascii="Arial" w:hAnsi="Arial" w:cs="Arial"/>
          <w:color w:val="000000"/>
          <w:sz w:val="20"/>
          <w:szCs w:val="20"/>
          <w:shd w:val="clear" w:color="auto" w:fill="FFFFFF"/>
        </w:rPr>
        <w:t xml:space="preserve"> </w:t>
      </w:r>
      <w:r w:rsidR="006E189A" w:rsidRPr="006E189A">
        <w:t>(Tesco Plc, 2020)</w:t>
      </w:r>
      <w:r>
        <w:rPr>
          <w:lang w:val="en-GB"/>
        </w:rPr>
        <w:t>. By then, there was 100 stores of the company across the country. The global expansion of the company started taking place in the 1990s. During this year, the company had expanded across 11 countries around the world. The company, however, started to expand its product line since 1960s. Up till 2000s, the company was known as the low cost and high-volume retailers in the UK. But later, the company had expanded its product ranges, and started to offer products of different price ranges</w:t>
      </w:r>
      <w:r w:rsidR="006E189A" w:rsidRPr="006E189A">
        <w:t xml:space="preserve"> </w:t>
      </w:r>
      <w:r w:rsidR="006E189A" w:rsidRPr="006E189A">
        <w:rPr>
          <w:lang w:val="en-GB"/>
        </w:rPr>
        <w:t>(Tesco Plc, 2020)</w:t>
      </w:r>
      <w:r>
        <w:rPr>
          <w:lang w:val="en-GB"/>
        </w:rPr>
        <w:t xml:space="preserve">. </w:t>
      </w:r>
    </w:p>
    <w:p w14:paraId="66CD32F0" w14:textId="1591F662" w:rsidR="00DA3469" w:rsidRDefault="00931E30" w:rsidP="00907185">
      <w:pPr>
        <w:rPr>
          <w:lang w:val="en-GB"/>
        </w:rPr>
      </w:pPr>
      <w:r>
        <w:rPr>
          <w:lang w:val="en-GB"/>
        </w:rPr>
        <w:t xml:space="preserve">The company operates in the retail sector. More specifically, </w:t>
      </w:r>
      <w:r w:rsidR="00DA3469">
        <w:rPr>
          <w:lang w:val="en-GB"/>
        </w:rPr>
        <w:t>Tesco mainly</w:t>
      </w:r>
      <w:r>
        <w:rPr>
          <w:lang w:val="en-GB"/>
        </w:rPr>
        <w:t xml:space="preserve"> </w:t>
      </w:r>
      <w:r w:rsidR="00DA3469">
        <w:rPr>
          <w:lang w:val="en-GB"/>
        </w:rPr>
        <w:t>operates in the groceries, food items and household appliance</w:t>
      </w:r>
      <w:r>
        <w:rPr>
          <w:lang w:val="en-GB"/>
        </w:rPr>
        <w:t>s</w:t>
      </w:r>
      <w:r w:rsidR="00DA3469">
        <w:rPr>
          <w:lang w:val="en-GB"/>
        </w:rPr>
        <w:t xml:space="preserve"> </w:t>
      </w:r>
      <w:r>
        <w:rPr>
          <w:lang w:val="en-GB"/>
        </w:rPr>
        <w:t>market</w:t>
      </w:r>
      <w:r w:rsidR="00DA3469">
        <w:rPr>
          <w:lang w:val="en-GB"/>
        </w:rPr>
        <w:t>. The company’s product portfolio, however, is much diverse. The report will only</w:t>
      </w:r>
      <w:r>
        <w:rPr>
          <w:lang w:val="en-GB"/>
        </w:rPr>
        <w:t xml:space="preserve"> focus on the supermarket business of Tesco, which is the core business of the company. The company competes with ASDA, Sainsbury, Waitrose, Aldi and Lidl in the retail market sector in the UK. It holds around 30% of the retail market share in the UK, and thus, acts as the industry leader</w:t>
      </w:r>
      <w:r w:rsidR="006E189A" w:rsidRPr="006E189A">
        <w:t xml:space="preserve"> </w:t>
      </w:r>
      <w:r w:rsidR="006E189A" w:rsidRPr="006E189A">
        <w:rPr>
          <w:lang w:val="en-GB"/>
        </w:rPr>
        <w:t>(Bernard Marr, 2020)</w:t>
      </w:r>
      <w:r>
        <w:rPr>
          <w:lang w:val="en-GB"/>
        </w:rPr>
        <w:t xml:space="preserve">. </w:t>
      </w:r>
    </w:p>
    <w:p w14:paraId="44CEAF27" w14:textId="40EB86E6" w:rsidR="00931E30" w:rsidRDefault="00931E30" w:rsidP="00122698">
      <w:pPr>
        <w:jc w:val="center"/>
        <w:rPr>
          <w:lang w:val="en-GB"/>
        </w:rPr>
      </w:pPr>
      <w:r>
        <w:rPr>
          <w:noProof/>
          <w:lang w:val="en-GB" w:eastAsia="en-GB"/>
        </w:rPr>
        <w:lastRenderedPageBreak/>
        <w:drawing>
          <wp:anchor distT="0" distB="0" distL="114300" distR="114300" simplePos="0" relativeHeight="251663360" behindDoc="0" locked="0" layoutInCell="1" allowOverlap="1" wp14:anchorId="5F3F6463" wp14:editId="790BDEFD">
            <wp:simplePos x="0" y="0"/>
            <wp:positionH relativeFrom="margin">
              <wp:align>center</wp:align>
            </wp:positionH>
            <wp:positionV relativeFrom="paragraph">
              <wp:posOffset>0</wp:posOffset>
            </wp:positionV>
            <wp:extent cx="4581079" cy="4133850"/>
            <wp:effectExtent l="0" t="0" r="0" b="0"/>
            <wp:wrapTopAndBottom/>
            <wp:docPr id="1" name="Picture 1" descr="The battle for market share in UK supermarkets - Economics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attle for market share in UK supermarkets - Economics Help"/>
                    <pic:cNvPicPr>
                      <a:picLocks noChangeAspect="1" noChangeArrowheads="1"/>
                    </pic:cNvPicPr>
                  </pic:nvPicPr>
                  <pic:blipFill rotWithShape="1">
                    <a:blip r:embed="rId8">
                      <a:extLst>
                        <a:ext uri="{28A0092B-C50C-407E-A947-70E740481C1C}">
                          <a14:useLocalDpi xmlns:a14="http://schemas.microsoft.com/office/drawing/2010/main" val="0"/>
                        </a:ext>
                      </a:extLst>
                    </a:blip>
                    <a:srcRect b="7843"/>
                    <a:stretch/>
                  </pic:blipFill>
                  <pic:spPr bwMode="auto">
                    <a:xfrm>
                      <a:off x="0" y="0"/>
                      <a:ext cx="4581079" cy="4133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GB"/>
        </w:rPr>
        <w:t>Figure: Market share of Tesco in the UK supermarket industry</w:t>
      </w:r>
      <w:r w:rsidR="006E189A" w:rsidRPr="006E189A">
        <w:t xml:space="preserve"> </w:t>
      </w:r>
      <w:r w:rsidR="006E189A" w:rsidRPr="006E189A">
        <w:rPr>
          <w:lang w:val="en-GB"/>
        </w:rPr>
        <w:t>(Infront Analytics, 2020)</w:t>
      </w:r>
      <w:r>
        <w:rPr>
          <w:lang w:val="en-GB"/>
        </w:rPr>
        <w:t>.</w:t>
      </w:r>
    </w:p>
    <w:p w14:paraId="0AFC5B3C" w14:textId="77777777" w:rsidR="00931E30" w:rsidRPr="004F6651" w:rsidRDefault="00931E30" w:rsidP="00931E30">
      <w:pPr>
        <w:pStyle w:val="Heading2"/>
        <w:rPr>
          <w:color w:val="auto"/>
          <w:sz w:val="24"/>
          <w:szCs w:val="24"/>
          <w:lang w:val="en-GB"/>
        </w:rPr>
      </w:pPr>
      <w:bookmarkStart w:id="3" w:name="_Toc44601150"/>
      <w:r w:rsidRPr="004F6651">
        <w:rPr>
          <w:color w:val="auto"/>
          <w:sz w:val="24"/>
          <w:szCs w:val="24"/>
          <w:lang w:val="en-GB"/>
        </w:rPr>
        <w:t>Business model of Tesco Plc.</w:t>
      </w:r>
      <w:bookmarkEnd w:id="3"/>
    </w:p>
    <w:p w14:paraId="6E1E58CD" w14:textId="67BE3A49" w:rsidR="00BA4316" w:rsidRDefault="00BA4316" w:rsidP="00907185">
      <w:pPr>
        <w:rPr>
          <w:lang w:val="en-GB"/>
        </w:rPr>
      </w:pPr>
      <w:r>
        <w:rPr>
          <w:lang w:val="en-GB"/>
        </w:rPr>
        <w:t>Business model can be defined as “the</w:t>
      </w:r>
      <w:r w:rsidRPr="00BA4316">
        <w:rPr>
          <w:lang w:val="en-GB"/>
        </w:rPr>
        <w:t xml:space="preserve"> plan for the successful operation of a business, identifying sources of revenue, the intended customer base, products, and details of financing</w:t>
      </w:r>
      <w:r>
        <w:rPr>
          <w:lang w:val="en-GB"/>
        </w:rPr>
        <w:t>”</w:t>
      </w:r>
      <w:r w:rsidR="006E189A" w:rsidRPr="006E189A">
        <w:t xml:space="preserve"> </w:t>
      </w:r>
      <w:r w:rsidR="006E189A" w:rsidRPr="006E189A">
        <w:rPr>
          <w:lang w:val="en-GB"/>
        </w:rPr>
        <w:t>(Khan and Jain, 2007)</w:t>
      </w:r>
      <w:r w:rsidRPr="00BA4316">
        <w:rPr>
          <w:lang w:val="en-GB"/>
        </w:rPr>
        <w:t>.</w:t>
      </w:r>
      <w:r>
        <w:rPr>
          <w:lang w:val="en-GB"/>
        </w:rPr>
        <w:t xml:space="preserve"> Tesco’s business model would involve how the company operates its business successfully, how the sources of revenues are identified, and how the intended customer base is accessed communicated with</w:t>
      </w:r>
      <w:r w:rsidR="006E189A" w:rsidRPr="006E189A">
        <w:rPr>
          <w:rFonts w:ascii="Arial" w:hAnsi="Arial" w:cs="Arial"/>
          <w:color w:val="000000"/>
          <w:sz w:val="20"/>
          <w:szCs w:val="20"/>
          <w:shd w:val="clear" w:color="auto" w:fill="FFFFFF"/>
        </w:rPr>
        <w:t xml:space="preserve"> </w:t>
      </w:r>
      <w:r w:rsidR="006E189A" w:rsidRPr="006E189A">
        <w:t>(Financial Times, 2020)</w:t>
      </w:r>
      <w:r>
        <w:rPr>
          <w:lang w:val="en-GB"/>
        </w:rPr>
        <w:t xml:space="preserve">. This also involves how the products are developed and the financing procedures are detailed. </w:t>
      </w:r>
    </w:p>
    <w:p w14:paraId="34C056F7" w14:textId="54CDBEBD" w:rsidR="00DA3469" w:rsidRDefault="00472D7E" w:rsidP="00907185">
      <w:pPr>
        <w:rPr>
          <w:lang w:val="en-GB"/>
        </w:rPr>
      </w:pPr>
      <w:r>
        <w:rPr>
          <w:lang w:val="en-GB"/>
        </w:rPr>
        <w:t xml:space="preserve">The business model of Tesco is based and organised around the three pillars- the customers, the channels and the products. The business is organised in a customer centric market approach. As mentioned by Tesco, </w:t>
      </w:r>
      <w:r w:rsidR="000F6623">
        <w:rPr>
          <w:lang w:val="en-GB"/>
        </w:rPr>
        <w:t>the business model is kept simple and transparent. The organisation focuses on the little things to make larger impacts and bigger differences</w:t>
      </w:r>
      <w:r w:rsidR="006E189A" w:rsidRPr="006E189A">
        <w:t xml:space="preserve"> </w:t>
      </w:r>
      <w:r w:rsidR="006E189A" w:rsidRPr="006E189A">
        <w:rPr>
          <w:lang w:val="en-GB"/>
        </w:rPr>
        <w:t xml:space="preserve">(Correia et al., </w:t>
      </w:r>
      <w:r w:rsidR="004E7F3B">
        <w:rPr>
          <w:lang w:val="en-GB"/>
        </w:rPr>
        <w:t>2019</w:t>
      </w:r>
      <w:r w:rsidR="006E189A" w:rsidRPr="006E189A">
        <w:rPr>
          <w:lang w:val="en-GB"/>
        </w:rPr>
        <w:t>)</w:t>
      </w:r>
      <w:r w:rsidR="000F6623">
        <w:rPr>
          <w:lang w:val="en-GB"/>
        </w:rPr>
        <w:t xml:space="preserve">. </w:t>
      </w:r>
    </w:p>
    <w:p w14:paraId="2897CB7E" w14:textId="7F19C367" w:rsidR="000F6623" w:rsidRDefault="000F6623" w:rsidP="00907185">
      <w:pPr>
        <w:rPr>
          <w:lang w:val="en-GB"/>
        </w:rPr>
      </w:pPr>
      <w:r>
        <w:rPr>
          <w:noProof/>
          <w:lang w:val="en-GB" w:eastAsia="en-GB"/>
        </w:rPr>
        <w:lastRenderedPageBreak/>
        <w:drawing>
          <wp:inline distT="0" distB="0" distL="0" distR="0" wp14:anchorId="18628A5A" wp14:editId="7FFF0428">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A6A31B8" w14:textId="52396C80" w:rsidR="000F6623" w:rsidRDefault="000F6623" w:rsidP="00122698">
      <w:pPr>
        <w:jc w:val="center"/>
        <w:rPr>
          <w:lang w:val="en-GB"/>
        </w:rPr>
      </w:pPr>
      <w:r>
        <w:rPr>
          <w:lang w:val="en-GB"/>
        </w:rPr>
        <w:t>Figure: Three pillars of Tesco’s business model</w:t>
      </w:r>
      <w:r w:rsidR="006E189A" w:rsidRPr="006E189A">
        <w:t xml:space="preserve"> </w:t>
      </w:r>
      <w:r w:rsidR="006E189A" w:rsidRPr="006E189A">
        <w:rPr>
          <w:lang w:val="en-GB"/>
        </w:rPr>
        <w:t xml:space="preserve">(Correia et al., </w:t>
      </w:r>
      <w:r w:rsidR="004E7F3B">
        <w:rPr>
          <w:lang w:val="en-GB"/>
        </w:rPr>
        <w:t>2019</w:t>
      </w:r>
      <w:r w:rsidR="006E189A" w:rsidRPr="006E189A">
        <w:rPr>
          <w:lang w:val="en-GB"/>
        </w:rPr>
        <w:t>)</w:t>
      </w:r>
    </w:p>
    <w:p w14:paraId="0E9C7D13" w14:textId="0F6F0F0E" w:rsidR="000F6623" w:rsidRDefault="000F6623" w:rsidP="00907185">
      <w:pPr>
        <w:rPr>
          <w:lang w:val="en-GB"/>
        </w:rPr>
      </w:pPr>
      <w:r>
        <w:rPr>
          <w:lang w:val="en-GB"/>
        </w:rPr>
        <w:t>The company keeps its customers at the core of the business model. The company listens to the customers and tries to determine what is important to them, based on their feedbacks and the patterns of their demands</w:t>
      </w:r>
      <w:r w:rsidR="006E189A" w:rsidRPr="006E189A">
        <w:t xml:space="preserve"> </w:t>
      </w:r>
      <w:r w:rsidR="006E189A" w:rsidRPr="006E189A">
        <w:rPr>
          <w:lang w:val="en-GB"/>
        </w:rPr>
        <w:t xml:space="preserve">(Correia et al., </w:t>
      </w:r>
      <w:r w:rsidR="004E7F3B">
        <w:rPr>
          <w:lang w:val="en-GB"/>
        </w:rPr>
        <w:t>2019</w:t>
      </w:r>
      <w:r w:rsidR="006E189A" w:rsidRPr="006E189A">
        <w:rPr>
          <w:lang w:val="en-GB"/>
        </w:rPr>
        <w:t>)</w:t>
      </w:r>
      <w:r>
        <w:rPr>
          <w:lang w:val="en-GB"/>
        </w:rPr>
        <w:t>. The company, for example, conducts regular market researches to get insights on the expectations of the customers from their own accounts. The Tesco Product Team then creates the products and offers for the customers. The company offers a diverse range of products targeting a diverse group of market segments</w:t>
      </w:r>
      <w:r w:rsidR="006E189A" w:rsidRPr="006E189A">
        <w:t xml:space="preserve"> </w:t>
      </w:r>
      <w:r w:rsidR="006E189A" w:rsidRPr="006E189A">
        <w:rPr>
          <w:lang w:val="en-GB"/>
        </w:rPr>
        <w:t xml:space="preserve">(Brigham and Houston, </w:t>
      </w:r>
      <w:r w:rsidR="004E7F3B">
        <w:rPr>
          <w:lang w:val="en-GB"/>
        </w:rPr>
        <w:t>2019</w:t>
      </w:r>
      <w:r w:rsidR="006E189A" w:rsidRPr="006E189A">
        <w:rPr>
          <w:lang w:val="en-GB"/>
        </w:rPr>
        <w:t>)</w:t>
      </w:r>
      <w:r>
        <w:rPr>
          <w:lang w:val="en-GB"/>
        </w:rPr>
        <w:t>. Thus, inclusivity is a core to its product assortment strategy. The company also maintains transparency and sustainability in its business model to respond to the popular market demands. For instance, the company pays fair prices to the suppliers and maintains positive business relations with them. Continuous efforts are made to determine the customers’ needs and to anticipate their demands.</w:t>
      </w:r>
      <w:r w:rsidR="005804ED">
        <w:rPr>
          <w:lang w:val="en-GB"/>
        </w:rPr>
        <w:t xml:space="preserve"> Then comes the use of different channels to distribute the products to the customers. Tesco being the largest market shareholder in the UK’s grocery industry, it is the most accessible retailer for the customers as well</w:t>
      </w:r>
      <w:r w:rsidR="00C272F1" w:rsidRPr="00C272F1">
        <w:t xml:space="preserve"> </w:t>
      </w:r>
      <w:r w:rsidR="00C272F1" w:rsidRPr="00C272F1">
        <w:rPr>
          <w:lang w:val="en-GB"/>
        </w:rPr>
        <w:t>(Bernard Marr, 2020)</w:t>
      </w:r>
      <w:r w:rsidR="005804ED">
        <w:rPr>
          <w:lang w:val="en-GB"/>
        </w:rPr>
        <w:t xml:space="preserve">. The company makes huge amount of investments every year to upgrade its stores and supermarket outlets to make them more convenient and efficient to the customers. </w:t>
      </w:r>
    </w:p>
    <w:p w14:paraId="185AFB5D" w14:textId="581E3DF8" w:rsidR="00931E30" w:rsidRPr="005F0DAB" w:rsidRDefault="00931E30" w:rsidP="00931E30">
      <w:pPr>
        <w:pStyle w:val="Heading2"/>
        <w:rPr>
          <w:color w:val="000000" w:themeColor="text1"/>
          <w:sz w:val="24"/>
          <w:szCs w:val="24"/>
        </w:rPr>
      </w:pPr>
      <w:bookmarkStart w:id="4" w:name="_Toc44601151"/>
      <w:r w:rsidRPr="005F0DAB">
        <w:rPr>
          <w:color w:val="000000" w:themeColor="text1"/>
          <w:sz w:val="24"/>
          <w:szCs w:val="24"/>
        </w:rPr>
        <w:lastRenderedPageBreak/>
        <w:t>Recent events over the past five years</w:t>
      </w:r>
      <w:bookmarkEnd w:id="4"/>
    </w:p>
    <w:p w14:paraId="1B3C3926" w14:textId="03DB6D2F" w:rsidR="00F31278" w:rsidRDefault="00F31278" w:rsidP="00F31278">
      <w:r>
        <w:t>Last year, the company’s former and the long serving CEO Dave Lewis had stepped down from his position in the organisation</w:t>
      </w:r>
      <w:r w:rsidR="00C272F1" w:rsidRPr="00C272F1">
        <w:t xml:space="preserve"> (Bernard Marr, 2020)</w:t>
      </w:r>
      <w:r>
        <w:t>. This had paved the way for his successor Ken Murphy to take on the responsibilities. This will, however, bring less changes to the company’s culture and structure because Ken Murphy’s leadership style is very much resembling to that of the previous CEO’s style</w:t>
      </w:r>
      <w:r w:rsidR="00C272F1" w:rsidRPr="00C272F1">
        <w:t xml:space="preserve"> (Financial Morningstar, 2020)</w:t>
      </w:r>
      <w:r>
        <w:t xml:space="preserve">. </w:t>
      </w:r>
    </w:p>
    <w:p w14:paraId="4124FD72" w14:textId="21B79E88" w:rsidR="00F31278" w:rsidRDefault="00F31278" w:rsidP="00F31278">
      <w:r>
        <w:t>Up till April 2020, the company was making strong profit performance. It was expected that the company would make 13% more profits this year compared to the previous year’s performance. However, that changed with the Covid 19 situation</w:t>
      </w:r>
      <w:r w:rsidR="00C272F1" w:rsidRPr="00C272F1">
        <w:t xml:space="preserve"> (Bernard Marr, 2020)</w:t>
      </w:r>
      <w:r>
        <w:t xml:space="preserve">. The company, similar to any other business organisation, has experienced the negative impacts of the pandemic situation. Although, the company is likely to sustain because of its online sales channel, but </w:t>
      </w:r>
      <w:r w:rsidR="00D17DF3">
        <w:t xml:space="preserve">the company’s financial analysts warned that the company might lose around </w:t>
      </w:r>
      <w:r w:rsidR="00D17DF3" w:rsidRPr="00D17DF3">
        <w:t>£925 million</w:t>
      </w:r>
      <w:r w:rsidR="00D17DF3">
        <w:t xml:space="preserve"> by the end of this year due to the pandemic. The company has recently announced to strengthen its online distribution more to cope with the changes from the pandemic situation</w:t>
      </w:r>
      <w:r w:rsidR="00C272F1" w:rsidRPr="00C272F1">
        <w:t xml:space="preserve"> (Financial Morningstar, 2020)</w:t>
      </w:r>
      <w:r w:rsidR="00D17DF3">
        <w:t xml:space="preserve">. </w:t>
      </w:r>
    </w:p>
    <w:p w14:paraId="1847B672" w14:textId="26CA7801" w:rsidR="00D17DF3" w:rsidRDefault="00D17DF3" w:rsidP="00F31278">
      <w:r>
        <w:t>Earlier this year, it was predicted that Brexit could make significant changes within the organisation with the increases in business overheads and wages</w:t>
      </w:r>
      <w:r w:rsidR="00C272F1" w:rsidRPr="00C272F1">
        <w:t xml:space="preserve"> (Bernard Marr, 2020)</w:t>
      </w:r>
      <w:r>
        <w:t xml:space="preserve">. However, up till now, the company have not reported any significant changes due to the Brexit. </w:t>
      </w:r>
    </w:p>
    <w:p w14:paraId="346BB7C7" w14:textId="1874475B" w:rsidR="00D17DF3" w:rsidRDefault="00D17DF3" w:rsidP="00D17DF3">
      <w:r>
        <w:t>Tesco did not have any recent M&amp;A to report. The last merger was in 2017 with the Booker Group. Therefore, the only relevant strategic changes in the company that took place recently, has been the change in leadership and the profit decline due to the pandemic</w:t>
      </w:r>
      <w:r w:rsidR="00C272F1" w:rsidRPr="00C272F1">
        <w:t xml:space="preserve"> (Bernard Marr, 2020)</w:t>
      </w:r>
      <w:r>
        <w:t xml:space="preserve">. </w:t>
      </w:r>
    </w:p>
    <w:p w14:paraId="080446CD" w14:textId="5CE53298" w:rsidR="00D17DF3" w:rsidRPr="005F0DAB" w:rsidRDefault="00D17DF3" w:rsidP="00D17DF3">
      <w:pPr>
        <w:pStyle w:val="Heading1"/>
        <w:rPr>
          <w:sz w:val="24"/>
          <w:szCs w:val="24"/>
        </w:rPr>
      </w:pPr>
      <w:bookmarkStart w:id="5" w:name="_Toc44601152"/>
      <w:r w:rsidRPr="005F0DAB">
        <w:rPr>
          <w:sz w:val="24"/>
          <w:szCs w:val="24"/>
        </w:rPr>
        <w:t xml:space="preserve">Part (b) </w:t>
      </w:r>
      <w:r w:rsidR="0005769A" w:rsidRPr="005F0DAB">
        <w:rPr>
          <w:sz w:val="24"/>
          <w:szCs w:val="24"/>
        </w:rPr>
        <w:t>financial</w:t>
      </w:r>
      <w:r w:rsidRPr="005F0DAB">
        <w:rPr>
          <w:sz w:val="24"/>
          <w:szCs w:val="24"/>
        </w:rPr>
        <w:t xml:space="preserve"> performance review</w:t>
      </w:r>
      <w:bookmarkEnd w:id="5"/>
      <w:r w:rsidRPr="005F0DAB">
        <w:rPr>
          <w:sz w:val="24"/>
          <w:szCs w:val="24"/>
        </w:rPr>
        <w:t xml:space="preserve"> </w:t>
      </w:r>
    </w:p>
    <w:p w14:paraId="732B6E87" w14:textId="3FDA81A2" w:rsidR="00FF427C" w:rsidRPr="005F0DAB" w:rsidRDefault="00FF427C" w:rsidP="00FF427C">
      <w:pPr>
        <w:pStyle w:val="Heading2"/>
        <w:rPr>
          <w:color w:val="000000" w:themeColor="text1"/>
          <w:sz w:val="24"/>
          <w:szCs w:val="24"/>
          <w:lang w:val="en-GB"/>
        </w:rPr>
      </w:pPr>
      <w:bookmarkStart w:id="6" w:name="_Toc44601153"/>
      <w:r w:rsidRPr="005F0DAB">
        <w:rPr>
          <w:color w:val="000000" w:themeColor="text1"/>
          <w:sz w:val="24"/>
          <w:szCs w:val="24"/>
          <w:lang w:val="en-GB"/>
        </w:rPr>
        <w:t>Current financial standpoint of the company</w:t>
      </w:r>
      <w:bookmarkEnd w:id="6"/>
    </w:p>
    <w:p w14:paraId="5CB5F51B" w14:textId="11A5B8AF" w:rsidR="00D17DF3" w:rsidRDefault="00D17DF3" w:rsidP="00D17DF3">
      <w:pPr>
        <w:rPr>
          <w:lang w:val="en-GB"/>
        </w:rPr>
      </w:pPr>
      <w:r w:rsidRPr="00D17DF3">
        <w:rPr>
          <w:lang w:val="en-GB"/>
        </w:rPr>
        <w:t>In 2015, the company’s market capital had grown to £18.1 billion. The company also got listed as an FTSE 100 Index constituent. Currently, Tesco operates across 6800 locations, manages a workforce of 450,000 employees, and has generated £63.911 billion in gross revenues last year</w:t>
      </w:r>
      <w:r w:rsidR="00C272F1" w:rsidRPr="00C272F1">
        <w:t xml:space="preserve"> </w:t>
      </w:r>
      <w:r w:rsidR="00C272F1" w:rsidRPr="00C272F1">
        <w:rPr>
          <w:lang w:val="en-GB"/>
        </w:rPr>
        <w:t>(Infront Analytics, 2020)</w:t>
      </w:r>
      <w:r w:rsidRPr="00D17DF3">
        <w:rPr>
          <w:lang w:val="en-GB"/>
        </w:rPr>
        <w:t xml:space="preserve">. The company’s operating profits were £2.206 billion, and the net income was £1.320 billion. The stock prices of the company have been experiencing a decline </w:t>
      </w:r>
      <w:r w:rsidRPr="00D17DF3">
        <w:rPr>
          <w:lang w:val="en-GB"/>
        </w:rPr>
        <w:lastRenderedPageBreak/>
        <w:t>since A</w:t>
      </w:r>
      <w:r w:rsidR="004F6651">
        <w:rPr>
          <w:lang w:val="en-GB"/>
        </w:rPr>
        <w:t>p</w:t>
      </w:r>
      <w:r w:rsidRPr="00D17DF3">
        <w:rPr>
          <w:lang w:val="en-GB"/>
        </w:rPr>
        <w:t>ril of this year, mostly due to the pandemic situation. Currently the company’s assets are worth 12,668million GBP in total</w:t>
      </w:r>
      <w:r w:rsidR="00C272F1" w:rsidRPr="00C272F1">
        <w:t xml:space="preserve"> </w:t>
      </w:r>
      <w:r w:rsidR="00C272F1" w:rsidRPr="00C272F1">
        <w:rPr>
          <w:lang w:val="en-GB"/>
        </w:rPr>
        <w:t>(Financial Morningstar, 2020)</w:t>
      </w:r>
      <w:r w:rsidRPr="00D17DF3">
        <w:rPr>
          <w:lang w:val="en-GB"/>
        </w:rPr>
        <w:t>.</w:t>
      </w:r>
    </w:p>
    <w:p w14:paraId="5677BE25" w14:textId="675EAD9B" w:rsidR="00FF427C" w:rsidRPr="0005769A" w:rsidRDefault="00FF427C" w:rsidP="00FF427C">
      <w:pPr>
        <w:pStyle w:val="Heading2"/>
        <w:rPr>
          <w:color w:val="000000" w:themeColor="text1"/>
          <w:sz w:val="24"/>
          <w:szCs w:val="24"/>
          <w:lang w:val="en-GB"/>
        </w:rPr>
      </w:pPr>
      <w:bookmarkStart w:id="7" w:name="_Toc44601154"/>
      <w:r w:rsidRPr="0005769A">
        <w:rPr>
          <w:color w:val="000000" w:themeColor="text1"/>
          <w:sz w:val="24"/>
          <w:szCs w:val="24"/>
          <w:lang w:val="en-GB"/>
        </w:rPr>
        <w:t>Calculation</w:t>
      </w:r>
      <w:r w:rsidR="00402C36" w:rsidRPr="0005769A">
        <w:rPr>
          <w:color w:val="000000" w:themeColor="text1"/>
          <w:sz w:val="24"/>
          <w:szCs w:val="24"/>
          <w:lang w:val="en-GB"/>
        </w:rPr>
        <w:t xml:space="preserve"> and critical evaluation</w:t>
      </w:r>
      <w:r w:rsidRPr="0005769A">
        <w:rPr>
          <w:color w:val="000000" w:themeColor="text1"/>
          <w:sz w:val="24"/>
          <w:szCs w:val="24"/>
          <w:lang w:val="en-GB"/>
        </w:rPr>
        <w:t xml:space="preserve"> of key financial ratios for the past 5 years (e.g. profitability, liquidity, gearing, efficiency ratios)</w:t>
      </w:r>
      <w:bookmarkEnd w:id="7"/>
    </w:p>
    <w:p w14:paraId="3636FD7C" w14:textId="58F59029" w:rsidR="00402C36" w:rsidRPr="00402C36" w:rsidRDefault="00402C36" w:rsidP="00402C36">
      <w:pPr>
        <w:rPr>
          <w:lang w:val="en-GB"/>
        </w:rPr>
      </w:pPr>
      <w:r>
        <w:rPr>
          <w:lang w:val="en-GB"/>
        </w:rPr>
        <w:t>The key financial ratios of the company have been calculated using the data gathered from the income statement and balance sheet of the company. Critical evaluation has been made on the company’s financial performance based on the findings of the ratio calculation</w:t>
      </w:r>
      <w:r w:rsidR="00C272F1" w:rsidRPr="00C272F1">
        <w:t xml:space="preserve"> </w:t>
      </w:r>
      <w:r w:rsidR="00C272F1" w:rsidRPr="00C272F1">
        <w:rPr>
          <w:lang w:val="en-GB"/>
        </w:rPr>
        <w:t xml:space="preserve">(Correia et al., </w:t>
      </w:r>
      <w:r w:rsidR="004E7F3B">
        <w:rPr>
          <w:lang w:val="en-GB"/>
        </w:rPr>
        <w:t>2019</w:t>
      </w:r>
      <w:r w:rsidR="00C272F1" w:rsidRPr="00C272F1">
        <w:rPr>
          <w:lang w:val="en-GB"/>
        </w:rPr>
        <w:t>)</w:t>
      </w:r>
      <w:r>
        <w:rPr>
          <w:lang w:val="en-GB"/>
        </w:rPr>
        <w:t xml:space="preserve">. The company’s financial performance has been compared with the industry standards, </w:t>
      </w:r>
      <w:r w:rsidR="00C272F1">
        <w:rPr>
          <w:lang w:val="en-GB"/>
        </w:rPr>
        <w:t xml:space="preserve">and in comparison, </w:t>
      </w:r>
      <w:r>
        <w:rPr>
          <w:lang w:val="en-GB"/>
        </w:rPr>
        <w:t>to the closest competitor of the company, ASDA Plc</w:t>
      </w:r>
      <w:r w:rsidR="00C272F1" w:rsidRPr="00C272F1">
        <w:t xml:space="preserve"> </w:t>
      </w:r>
      <w:r w:rsidR="00C272F1" w:rsidRPr="00C272F1">
        <w:rPr>
          <w:lang w:val="en-GB"/>
        </w:rPr>
        <w:t xml:space="preserve">(Brigham and Houston, </w:t>
      </w:r>
      <w:r w:rsidR="004E7F3B">
        <w:rPr>
          <w:lang w:val="en-GB"/>
        </w:rPr>
        <w:t>2019</w:t>
      </w:r>
      <w:r w:rsidR="00C272F1" w:rsidRPr="00C272F1">
        <w:rPr>
          <w:lang w:val="en-GB"/>
        </w:rPr>
        <w:t>)</w:t>
      </w:r>
      <w:r>
        <w:rPr>
          <w:lang w:val="en-GB"/>
        </w:rPr>
        <w:t xml:space="preserve">. </w:t>
      </w:r>
    </w:p>
    <w:p w14:paraId="479E729E" w14:textId="0A9899FF" w:rsidR="00502DB6" w:rsidRPr="00402C36" w:rsidRDefault="00502DB6" w:rsidP="00502DB6">
      <w:pPr>
        <w:rPr>
          <w:b/>
          <w:bCs/>
          <w:lang w:val="en-GB"/>
        </w:rPr>
      </w:pPr>
      <w:r w:rsidRPr="00402C36">
        <w:rPr>
          <w:b/>
          <w:bCs/>
          <w:lang w:val="en-GB"/>
        </w:rPr>
        <w:t>Income statement of the company for the year 2019-18</w:t>
      </w:r>
    </w:p>
    <w:p w14:paraId="3703029D" w14:textId="6BFBF6A6" w:rsidR="00402C36" w:rsidRDefault="00502DB6" w:rsidP="00502DB6">
      <w:pPr>
        <w:rPr>
          <w:lang w:val="en-GB"/>
        </w:rPr>
      </w:pPr>
      <w:r>
        <w:rPr>
          <w:noProof/>
          <w:lang w:val="en-GB" w:eastAsia="en-GB"/>
        </w:rPr>
        <w:lastRenderedPageBreak/>
        <w:drawing>
          <wp:anchor distT="0" distB="0" distL="114300" distR="114300" simplePos="0" relativeHeight="251658240" behindDoc="0" locked="0" layoutInCell="1" allowOverlap="1" wp14:anchorId="523BB75C" wp14:editId="08A90F65">
            <wp:simplePos x="914400" y="1895475"/>
            <wp:positionH relativeFrom="column">
              <wp:align>left</wp:align>
            </wp:positionH>
            <wp:positionV relativeFrom="paragraph">
              <wp:align>top</wp:align>
            </wp:positionV>
            <wp:extent cx="5934075" cy="52197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34075" cy="5219700"/>
                    </a:xfrm>
                    <a:prstGeom prst="rect">
                      <a:avLst/>
                    </a:prstGeom>
                  </pic:spPr>
                </pic:pic>
              </a:graphicData>
            </a:graphic>
          </wp:anchor>
        </w:drawing>
      </w:r>
      <w:r w:rsidR="00402C36">
        <w:rPr>
          <w:lang w:val="en-GB"/>
        </w:rPr>
        <w:t xml:space="preserve"> </w:t>
      </w:r>
    </w:p>
    <w:p w14:paraId="63DFBDBD" w14:textId="3F90117D" w:rsidR="00402C36" w:rsidRPr="00122698" w:rsidRDefault="00122698" w:rsidP="00122698">
      <w:pPr>
        <w:jc w:val="left"/>
        <w:rPr>
          <w:b/>
          <w:bCs/>
          <w:lang w:val="en-GB"/>
        </w:rPr>
      </w:pPr>
      <w:r>
        <w:rPr>
          <w:noProof/>
          <w:lang w:val="en-GB" w:eastAsia="en-GB"/>
        </w:rPr>
        <w:lastRenderedPageBreak/>
        <w:drawing>
          <wp:anchor distT="0" distB="0" distL="114300" distR="114300" simplePos="0" relativeHeight="251664384" behindDoc="0" locked="0" layoutInCell="1" allowOverlap="1" wp14:anchorId="6BDA9DDB" wp14:editId="77DB9FD8">
            <wp:simplePos x="0" y="0"/>
            <wp:positionH relativeFrom="margin">
              <wp:align>right</wp:align>
            </wp:positionH>
            <wp:positionV relativeFrom="paragraph">
              <wp:posOffset>571500</wp:posOffset>
            </wp:positionV>
            <wp:extent cx="5419725" cy="5878855"/>
            <wp:effectExtent l="0" t="0" r="0" b="762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19725" cy="5878855"/>
                    </a:xfrm>
                    <a:prstGeom prst="rect">
                      <a:avLst/>
                    </a:prstGeom>
                  </pic:spPr>
                </pic:pic>
              </a:graphicData>
            </a:graphic>
            <wp14:sizeRelH relativeFrom="page">
              <wp14:pctWidth>0</wp14:pctWidth>
            </wp14:sizeRelH>
            <wp14:sizeRelV relativeFrom="page">
              <wp14:pctHeight>0</wp14:pctHeight>
            </wp14:sizeRelV>
          </wp:anchor>
        </w:drawing>
      </w:r>
      <w:r w:rsidR="00402C36">
        <w:rPr>
          <w:lang w:val="en-GB"/>
        </w:rPr>
        <w:t>Figure: Tesco income statement 2019-18</w:t>
      </w:r>
      <w:r w:rsidR="00C272F1" w:rsidRPr="00C272F1">
        <w:t xml:space="preserve"> </w:t>
      </w:r>
      <w:r w:rsidR="00C272F1" w:rsidRPr="00C272F1">
        <w:rPr>
          <w:lang w:val="en-GB"/>
        </w:rPr>
        <w:t>(Tesco PLC, 2020)</w:t>
      </w:r>
      <w:r w:rsidR="00402C36">
        <w:rPr>
          <w:lang w:val="en-GB"/>
        </w:rPr>
        <w:br w:type="textWrapping" w:clear="all"/>
      </w:r>
      <w:r w:rsidR="00402C36" w:rsidRPr="00402C36">
        <w:rPr>
          <w:b/>
          <w:bCs/>
          <w:lang w:val="en-GB"/>
        </w:rPr>
        <w:t>Balance sheet for the year 2019-18</w:t>
      </w:r>
    </w:p>
    <w:p w14:paraId="75F6E911" w14:textId="5F3F0610" w:rsidR="00402C36" w:rsidRPr="0005769A" w:rsidRDefault="00402C36" w:rsidP="00122698">
      <w:pPr>
        <w:jc w:val="center"/>
        <w:rPr>
          <w:color w:val="000000" w:themeColor="text1"/>
          <w:lang w:val="en-GB"/>
        </w:rPr>
      </w:pPr>
      <w:r w:rsidRPr="0005769A">
        <w:rPr>
          <w:color w:val="000000" w:themeColor="text1"/>
          <w:lang w:val="en-GB"/>
        </w:rPr>
        <w:t>Figure: Tesco Balance sheet 2019</w:t>
      </w:r>
      <w:r w:rsidR="00C272F1" w:rsidRPr="0005769A">
        <w:rPr>
          <w:color w:val="000000" w:themeColor="text1"/>
        </w:rPr>
        <w:t xml:space="preserve"> </w:t>
      </w:r>
      <w:r w:rsidR="00C272F1" w:rsidRPr="0005769A">
        <w:rPr>
          <w:color w:val="000000" w:themeColor="text1"/>
          <w:lang w:val="en-GB"/>
        </w:rPr>
        <w:t>(Tesco PLC, 2020)</w:t>
      </w:r>
    </w:p>
    <w:p w14:paraId="62161BC7" w14:textId="2CDF595F" w:rsidR="00FF427C" w:rsidRPr="0005769A" w:rsidRDefault="00433482" w:rsidP="00433482">
      <w:pPr>
        <w:pStyle w:val="Heading3"/>
        <w:rPr>
          <w:color w:val="000000" w:themeColor="text1"/>
          <w:lang w:val="en-GB"/>
        </w:rPr>
      </w:pPr>
      <w:bookmarkStart w:id="8" w:name="_Toc44601155"/>
      <w:r w:rsidRPr="0005769A">
        <w:rPr>
          <w:color w:val="000000" w:themeColor="text1"/>
          <w:lang w:val="en-GB"/>
        </w:rPr>
        <w:t>Profitability ratio</w:t>
      </w:r>
      <w:bookmarkEnd w:id="8"/>
    </w:p>
    <w:p w14:paraId="51AA65CF" w14:textId="5717F183" w:rsidR="00433482" w:rsidRDefault="00433482" w:rsidP="00FF427C">
      <w:pPr>
        <w:rPr>
          <w:lang w:val="en-GB"/>
        </w:rPr>
      </w:pPr>
      <w:r>
        <w:rPr>
          <w:lang w:val="en-GB"/>
        </w:rPr>
        <w:t>Measures the profitability performance of the company throughout the accounting year</w:t>
      </w:r>
      <w:r w:rsidR="00DC797E" w:rsidRPr="00DC797E">
        <w:t xml:space="preserve"> </w:t>
      </w:r>
      <w:r w:rsidR="00DC797E" w:rsidRPr="00DC797E">
        <w:rPr>
          <w:lang w:val="en-GB"/>
        </w:rPr>
        <w:t xml:space="preserve">(Madura, </w:t>
      </w:r>
      <w:r w:rsidR="004E7F3B">
        <w:rPr>
          <w:lang w:val="en-GB"/>
        </w:rPr>
        <w:t>2019</w:t>
      </w:r>
      <w:r w:rsidR="00DC797E" w:rsidRPr="00DC797E">
        <w:rPr>
          <w:lang w:val="en-GB"/>
        </w:rPr>
        <w:t>)</w:t>
      </w:r>
      <w:r>
        <w:rPr>
          <w:lang w:val="en-GB"/>
        </w:rPr>
        <w:t xml:space="preserve">. </w:t>
      </w:r>
    </w:p>
    <w:tbl>
      <w:tblPr>
        <w:tblStyle w:val="TableGrid"/>
        <w:tblW w:w="9715" w:type="dxa"/>
        <w:tblLook w:val="04A0" w:firstRow="1" w:lastRow="0" w:firstColumn="1" w:lastColumn="0" w:noHBand="0" w:noVBand="1"/>
      </w:tblPr>
      <w:tblGrid>
        <w:gridCol w:w="4315"/>
        <w:gridCol w:w="1080"/>
        <w:gridCol w:w="1080"/>
        <w:gridCol w:w="1080"/>
        <w:gridCol w:w="990"/>
        <w:gridCol w:w="1170"/>
      </w:tblGrid>
      <w:tr w:rsidR="00C83ACE" w:rsidRPr="00C83ACE" w14:paraId="7D55D6CB" w14:textId="77777777" w:rsidTr="001D7BAD">
        <w:trPr>
          <w:trHeight w:val="300"/>
        </w:trPr>
        <w:tc>
          <w:tcPr>
            <w:tcW w:w="4315" w:type="dxa"/>
            <w:noWrap/>
            <w:hideMark/>
          </w:tcPr>
          <w:p w14:paraId="0AE85373" w14:textId="77777777" w:rsidR="00C83ACE" w:rsidRPr="00C83ACE" w:rsidRDefault="00C83ACE" w:rsidP="00C83ACE"/>
        </w:tc>
        <w:tc>
          <w:tcPr>
            <w:tcW w:w="1080" w:type="dxa"/>
            <w:noWrap/>
            <w:hideMark/>
          </w:tcPr>
          <w:p w14:paraId="0DD6119C" w14:textId="77777777" w:rsidR="00C83ACE" w:rsidRPr="00C83ACE" w:rsidRDefault="00C83ACE" w:rsidP="00C83ACE">
            <w:r w:rsidRPr="00C83ACE">
              <w:t>2015</w:t>
            </w:r>
          </w:p>
        </w:tc>
        <w:tc>
          <w:tcPr>
            <w:tcW w:w="1080" w:type="dxa"/>
            <w:noWrap/>
            <w:hideMark/>
          </w:tcPr>
          <w:p w14:paraId="686E554D" w14:textId="77777777" w:rsidR="00C83ACE" w:rsidRPr="00C83ACE" w:rsidRDefault="00C83ACE" w:rsidP="00C83ACE">
            <w:r w:rsidRPr="00C83ACE">
              <w:t>2016</w:t>
            </w:r>
          </w:p>
        </w:tc>
        <w:tc>
          <w:tcPr>
            <w:tcW w:w="1080" w:type="dxa"/>
            <w:noWrap/>
            <w:hideMark/>
          </w:tcPr>
          <w:p w14:paraId="6BCB5DAF" w14:textId="77777777" w:rsidR="00C83ACE" w:rsidRPr="00C83ACE" w:rsidRDefault="00C83ACE" w:rsidP="00C83ACE">
            <w:r w:rsidRPr="00C83ACE">
              <w:t>2017</w:t>
            </w:r>
          </w:p>
        </w:tc>
        <w:tc>
          <w:tcPr>
            <w:tcW w:w="990" w:type="dxa"/>
            <w:noWrap/>
            <w:hideMark/>
          </w:tcPr>
          <w:p w14:paraId="73D6064C" w14:textId="77777777" w:rsidR="00C83ACE" w:rsidRPr="00C83ACE" w:rsidRDefault="00C83ACE" w:rsidP="00C83ACE">
            <w:r w:rsidRPr="00C83ACE">
              <w:t>2018</w:t>
            </w:r>
          </w:p>
        </w:tc>
        <w:tc>
          <w:tcPr>
            <w:tcW w:w="1170" w:type="dxa"/>
            <w:noWrap/>
            <w:hideMark/>
          </w:tcPr>
          <w:p w14:paraId="74BC7809" w14:textId="77777777" w:rsidR="00C83ACE" w:rsidRPr="00C83ACE" w:rsidRDefault="00C83ACE" w:rsidP="00C83ACE">
            <w:r w:rsidRPr="00C83ACE">
              <w:t>2019</w:t>
            </w:r>
          </w:p>
        </w:tc>
      </w:tr>
      <w:tr w:rsidR="00C83ACE" w:rsidRPr="00C83ACE" w14:paraId="14F647A9" w14:textId="77777777" w:rsidTr="001D7BAD">
        <w:trPr>
          <w:trHeight w:val="300"/>
        </w:trPr>
        <w:tc>
          <w:tcPr>
            <w:tcW w:w="4315" w:type="dxa"/>
            <w:noWrap/>
            <w:hideMark/>
          </w:tcPr>
          <w:p w14:paraId="6220F5FB" w14:textId="2FE25068" w:rsidR="00C83ACE" w:rsidRDefault="00C83ACE" w:rsidP="00C83ACE">
            <w:r w:rsidRPr="00C83ACE">
              <w:t>Return on equity</w:t>
            </w:r>
          </w:p>
          <w:p w14:paraId="611E2EBE" w14:textId="18336A1E" w:rsidR="001D7BAD" w:rsidRPr="00C83ACE" w:rsidRDefault="001D7BAD" w:rsidP="00C83ACE">
            <w:r>
              <w:t>=</w:t>
            </w:r>
            <w:r w:rsidRPr="001D7BAD">
              <w:t>Profit After tax / Net worth</w:t>
            </w:r>
          </w:p>
        </w:tc>
        <w:tc>
          <w:tcPr>
            <w:tcW w:w="1080" w:type="dxa"/>
            <w:noWrap/>
            <w:hideMark/>
          </w:tcPr>
          <w:p w14:paraId="5DF418BF" w14:textId="77777777" w:rsidR="00C83ACE" w:rsidRPr="00C83ACE" w:rsidRDefault="00C83ACE" w:rsidP="00C83ACE">
            <w:r w:rsidRPr="00C83ACE">
              <w:t>-52.7</w:t>
            </w:r>
          </w:p>
        </w:tc>
        <w:tc>
          <w:tcPr>
            <w:tcW w:w="1080" w:type="dxa"/>
            <w:noWrap/>
            <w:hideMark/>
          </w:tcPr>
          <w:p w14:paraId="78663C89" w14:textId="77777777" w:rsidR="00C83ACE" w:rsidRPr="00C83ACE" w:rsidRDefault="00C83ACE" w:rsidP="00C83ACE">
            <w:r w:rsidRPr="00C83ACE">
              <w:t>1.76</w:t>
            </w:r>
          </w:p>
        </w:tc>
        <w:tc>
          <w:tcPr>
            <w:tcW w:w="1080" w:type="dxa"/>
            <w:noWrap/>
            <w:hideMark/>
          </w:tcPr>
          <w:p w14:paraId="052D5C38" w14:textId="77777777" w:rsidR="00C83ACE" w:rsidRPr="00C83ACE" w:rsidRDefault="00C83ACE" w:rsidP="00C83ACE">
            <w:r w:rsidRPr="00C83ACE">
              <w:t>-0.53</w:t>
            </w:r>
          </w:p>
        </w:tc>
        <w:tc>
          <w:tcPr>
            <w:tcW w:w="990" w:type="dxa"/>
            <w:noWrap/>
            <w:hideMark/>
          </w:tcPr>
          <w:p w14:paraId="38377AFB" w14:textId="77777777" w:rsidR="00C83ACE" w:rsidRPr="00C83ACE" w:rsidRDefault="00C83ACE" w:rsidP="00C83ACE">
            <w:r w:rsidRPr="00C83ACE">
              <w:t>14.26</w:t>
            </w:r>
          </w:p>
        </w:tc>
        <w:tc>
          <w:tcPr>
            <w:tcW w:w="1170" w:type="dxa"/>
            <w:noWrap/>
            <w:hideMark/>
          </w:tcPr>
          <w:p w14:paraId="4375B039" w14:textId="77777777" w:rsidR="00C83ACE" w:rsidRPr="00C83ACE" w:rsidRDefault="00C83ACE" w:rsidP="00C83ACE">
            <w:r w:rsidRPr="00C83ACE">
              <w:t>10.43</w:t>
            </w:r>
          </w:p>
        </w:tc>
      </w:tr>
      <w:tr w:rsidR="00C83ACE" w:rsidRPr="00C83ACE" w14:paraId="59B4221D" w14:textId="77777777" w:rsidTr="001D7BAD">
        <w:trPr>
          <w:trHeight w:val="600"/>
        </w:trPr>
        <w:tc>
          <w:tcPr>
            <w:tcW w:w="4315" w:type="dxa"/>
            <w:hideMark/>
          </w:tcPr>
          <w:p w14:paraId="0D2C6D19" w14:textId="77777777" w:rsidR="00C83ACE" w:rsidRDefault="00C83ACE" w:rsidP="00C83ACE">
            <w:r w:rsidRPr="00C83ACE">
              <w:t>Returns on capital employed</w:t>
            </w:r>
          </w:p>
          <w:p w14:paraId="4727E6C6" w14:textId="025DCCF9" w:rsidR="001D7BAD" w:rsidRPr="00C83ACE" w:rsidRDefault="001D7BAD" w:rsidP="00C83ACE">
            <w:r>
              <w:t xml:space="preserve">= </w:t>
            </w:r>
            <w:r w:rsidRPr="001D7BAD">
              <w:t>EBIT/Capital Employed</w:t>
            </w:r>
          </w:p>
        </w:tc>
        <w:tc>
          <w:tcPr>
            <w:tcW w:w="1080" w:type="dxa"/>
            <w:noWrap/>
            <w:hideMark/>
          </w:tcPr>
          <w:p w14:paraId="60CD259A" w14:textId="77777777" w:rsidR="00C83ACE" w:rsidRPr="00C83ACE" w:rsidRDefault="00C83ACE" w:rsidP="00C83ACE">
            <w:r w:rsidRPr="00C83ACE">
              <w:t>-23.54</w:t>
            </w:r>
          </w:p>
        </w:tc>
        <w:tc>
          <w:tcPr>
            <w:tcW w:w="1080" w:type="dxa"/>
            <w:noWrap/>
            <w:hideMark/>
          </w:tcPr>
          <w:p w14:paraId="39285F76" w14:textId="77777777" w:rsidR="00C83ACE" w:rsidRPr="00C83ACE" w:rsidRDefault="00C83ACE" w:rsidP="00C83ACE">
            <w:r w:rsidRPr="00C83ACE">
              <w:t>2.45</w:t>
            </w:r>
          </w:p>
        </w:tc>
        <w:tc>
          <w:tcPr>
            <w:tcW w:w="1080" w:type="dxa"/>
            <w:noWrap/>
            <w:hideMark/>
          </w:tcPr>
          <w:p w14:paraId="5CE2F587" w14:textId="77777777" w:rsidR="00C83ACE" w:rsidRPr="00C83ACE" w:rsidRDefault="00C83ACE" w:rsidP="00C83ACE">
            <w:r w:rsidRPr="00C83ACE">
              <w:t>1.67</w:t>
            </w:r>
          </w:p>
        </w:tc>
        <w:tc>
          <w:tcPr>
            <w:tcW w:w="990" w:type="dxa"/>
            <w:noWrap/>
            <w:hideMark/>
          </w:tcPr>
          <w:p w14:paraId="09F216B6" w14:textId="77777777" w:rsidR="00C83ACE" w:rsidRPr="00C83ACE" w:rsidRDefault="00C83ACE" w:rsidP="00C83ACE">
            <w:r w:rsidRPr="00C83ACE">
              <w:t>7.88</w:t>
            </w:r>
          </w:p>
        </w:tc>
        <w:tc>
          <w:tcPr>
            <w:tcW w:w="1170" w:type="dxa"/>
            <w:noWrap/>
            <w:hideMark/>
          </w:tcPr>
          <w:p w14:paraId="275DEF5A" w14:textId="77777777" w:rsidR="00C83ACE" w:rsidRPr="00C83ACE" w:rsidRDefault="00C83ACE" w:rsidP="00C83ACE">
            <w:r w:rsidRPr="00C83ACE">
              <w:t>7.45</w:t>
            </w:r>
          </w:p>
        </w:tc>
      </w:tr>
      <w:tr w:rsidR="00C83ACE" w:rsidRPr="00C83ACE" w14:paraId="0A3AAC00" w14:textId="77777777" w:rsidTr="001D7BAD">
        <w:trPr>
          <w:trHeight w:val="300"/>
        </w:trPr>
        <w:tc>
          <w:tcPr>
            <w:tcW w:w="4315" w:type="dxa"/>
            <w:noWrap/>
            <w:hideMark/>
          </w:tcPr>
          <w:p w14:paraId="663466B3" w14:textId="77777777" w:rsidR="00C83ACE" w:rsidRDefault="00C83ACE" w:rsidP="00C83ACE">
            <w:r w:rsidRPr="00C83ACE">
              <w:t>Net profits margin</w:t>
            </w:r>
          </w:p>
          <w:p w14:paraId="6E8DAB3E" w14:textId="51A13104" w:rsidR="001D7BAD" w:rsidRPr="00C83ACE" w:rsidRDefault="001D7BAD" w:rsidP="00C83ACE">
            <w:r>
              <w:t xml:space="preserve">= </w:t>
            </w:r>
            <w:r w:rsidRPr="001D7BAD">
              <w:t>Net income ÷ total sales</w:t>
            </w:r>
          </w:p>
        </w:tc>
        <w:tc>
          <w:tcPr>
            <w:tcW w:w="1080" w:type="dxa"/>
            <w:noWrap/>
            <w:hideMark/>
          </w:tcPr>
          <w:p w14:paraId="4BEF5B44" w14:textId="77777777" w:rsidR="00C83ACE" w:rsidRPr="00C83ACE" w:rsidRDefault="00C83ACE" w:rsidP="00C83ACE">
            <w:r w:rsidRPr="00C83ACE">
              <w:t>-9.22</w:t>
            </w:r>
          </w:p>
        </w:tc>
        <w:tc>
          <w:tcPr>
            <w:tcW w:w="1080" w:type="dxa"/>
            <w:noWrap/>
            <w:hideMark/>
          </w:tcPr>
          <w:p w14:paraId="388D0F5A" w14:textId="77777777" w:rsidR="00C83ACE" w:rsidRPr="00C83ACE" w:rsidRDefault="00C83ACE" w:rsidP="00C83ACE">
            <w:r w:rsidRPr="00C83ACE">
              <w:t>0.25</w:t>
            </w:r>
          </w:p>
        </w:tc>
        <w:tc>
          <w:tcPr>
            <w:tcW w:w="1080" w:type="dxa"/>
            <w:noWrap/>
            <w:hideMark/>
          </w:tcPr>
          <w:p w14:paraId="1692CCC2" w14:textId="77777777" w:rsidR="00C83ACE" w:rsidRPr="00C83ACE" w:rsidRDefault="00C83ACE" w:rsidP="00C83ACE">
            <w:r w:rsidRPr="00C83ACE">
              <w:t>-0.07</w:t>
            </w:r>
          </w:p>
        </w:tc>
        <w:tc>
          <w:tcPr>
            <w:tcW w:w="990" w:type="dxa"/>
            <w:noWrap/>
            <w:hideMark/>
          </w:tcPr>
          <w:p w14:paraId="18C5F8E2" w14:textId="77777777" w:rsidR="00C83ACE" w:rsidRPr="00C83ACE" w:rsidRDefault="00C83ACE" w:rsidP="00C83ACE">
            <w:r w:rsidRPr="00C83ACE">
              <w:t>2.1</w:t>
            </w:r>
          </w:p>
        </w:tc>
        <w:tc>
          <w:tcPr>
            <w:tcW w:w="1170" w:type="dxa"/>
            <w:noWrap/>
            <w:hideMark/>
          </w:tcPr>
          <w:p w14:paraId="7DE9B7BC" w14:textId="77777777" w:rsidR="00C83ACE" w:rsidRPr="00C83ACE" w:rsidRDefault="00C83ACE" w:rsidP="00C83ACE">
            <w:r w:rsidRPr="00C83ACE">
              <w:t>2.07</w:t>
            </w:r>
          </w:p>
        </w:tc>
      </w:tr>
      <w:tr w:rsidR="00C83ACE" w:rsidRPr="00C83ACE" w14:paraId="207E02A7" w14:textId="77777777" w:rsidTr="001D7BAD">
        <w:trPr>
          <w:trHeight w:val="300"/>
        </w:trPr>
        <w:tc>
          <w:tcPr>
            <w:tcW w:w="4315" w:type="dxa"/>
            <w:noWrap/>
            <w:hideMark/>
          </w:tcPr>
          <w:p w14:paraId="3579C33F" w14:textId="77777777" w:rsidR="00C83ACE" w:rsidRDefault="00C83ACE" w:rsidP="00C83ACE">
            <w:r w:rsidRPr="00C83ACE">
              <w:t>Return on assets</w:t>
            </w:r>
          </w:p>
          <w:p w14:paraId="07E5237E" w14:textId="3E73BE79" w:rsidR="001D7BAD" w:rsidRPr="00C83ACE" w:rsidRDefault="001D7BAD" w:rsidP="00C83ACE">
            <w:r w:rsidRPr="001D7BAD">
              <w:t>= Net Income / Total Assets</w:t>
            </w:r>
          </w:p>
        </w:tc>
        <w:tc>
          <w:tcPr>
            <w:tcW w:w="1080" w:type="dxa"/>
            <w:noWrap/>
            <w:hideMark/>
          </w:tcPr>
          <w:p w14:paraId="7C8F41AE" w14:textId="77777777" w:rsidR="00C83ACE" w:rsidRPr="00C83ACE" w:rsidRDefault="00C83ACE" w:rsidP="00C83ACE">
            <w:r w:rsidRPr="00C83ACE">
              <w:t>-12.17</w:t>
            </w:r>
          </w:p>
        </w:tc>
        <w:tc>
          <w:tcPr>
            <w:tcW w:w="1080" w:type="dxa"/>
            <w:noWrap/>
            <w:hideMark/>
          </w:tcPr>
          <w:p w14:paraId="1ED7B729" w14:textId="77777777" w:rsidR="00C83ACE" w:rsidRPr="00C83ACE" w:rsidRDefault="00C83ACE" w:rsidP="00C83ACE">
            <w:r w:rsidRPr="00C83ACE">
              <w:t>0.31</w:t>
            </w:r>
          </w:p>
        </w:tc>
        <w:tc>
          <w:tcPr>
            <w:tcW w:w="1080" w:type="dxa"/>
            <w:noWrap/>
            <w:hideMark/>
          </w:tcPr>
          <w:p w14:paraId="549A589D" w14:textId="77777777" w:rsidR="00C83ACE" w:rsidRPr="00C83ACE" w:rsidRDefault="00C83ACE" w:rsidP="00C83ACE">
            <w:r w:rsidRPr="00C83ACE">
              <w:t>-0.09</w:t>
            </w:r>
          </w:p>
        </w:tc>
        <w:tc>
          <w:tcPr>
            <w:tcW w:w="990" w:type="dxa"/>
            <w:noWrap/>
            <w:hideMark/>
          </w:tcPr>
          <w:p w14:paraId="40466C22" w14:textId="77777777" w:rsidR="00C83ACE" w:rsidRPr="00C83ACE" w:rsidRDefault="00C83ACE" w:rsidP="00C83ACE">
            <w:r w:rsidRPr="00C83ACE">
              <w:t>2.66</w:t>
            </w:r>
          </w:p>
        </w:tc>
        <w:tc>
          <w:tcPr>
            <w:tcW w:w="1170" w:type="dxa"/>
            <w:noWrap/>
            <w:hideMark/>
          </w:tcPr>
          <w:p w14:paraId="68AF19CF" w14:textId="77777777" w:rsidR="00C83ACE" w:rsidRPr="00C83ACE" w:rsidRDefault="00C83ACE" w:rsidP="00C83ACE">
            <w:r w:rsidRPr="00C83ACE">
              <w:t>2.82</w:t>
            </w:r>
          </w:p>
        </w:tc>
      </w:tr>
    </w:tbl>
    <w:p w14:paraId="1DDAC13A" w14:textId="0B7C839C" w:rsidR="00C83ACE" w:rsidRDefault="00FE5580" w:rsidP="00122698">
      <w:pPr>
        <w:jc w:val="center"/>
        <w:rPr>
          <w:lang w:val="en-GB"/>
        </w:rPr>
      </w:pPr>
      <w:r>
        <w:rPr>
          <w:noProof/>
          <w:lang w:val="en-GB" w:eastAsia="en-GB"/>
        </w:rPr>
        <w:drawing>
          <wp:anchor distT="0" distB="0" distL="114300" distR="114300" simplePos="0" relativeHeight="251659264" behindDoc="0" locked="0" layoutInCell="1" allowOverlap="1" wp14:anchorId="49A842C5" wp14:editId="42D1C05A">
            <wp:simplePos x="0" y="0"/>
            <wp:positionH relativeFrom="margin">
              <wp:align>center</wp:align>
            </wp:positionH>
            <wp:positionV relativeFrom="paragraph">
              <wp:posOffset>443865</wp:posOffset>
            </wp:positionV>
            <wp:extent cx="4572000" cy="2743200"/>
            <wp:effectExtent l="0" t="0" r="0" b="0"/>
            <wp:wrapTopAndBottom/>
            <wp:docPr id="3" name="Chart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7564451-169B-4B2E-802A-5ACBC4BEAD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1D7BAD">
        <w:rPr>
          <w:lang w:val="en-GB"/>
        </w:rPr>
        <w:t>Table: Profitability ratio</w:t>
      </w:r>
      <w:r w:rsidR="00C272F1" w:rsidRPr="00C272F1">
        <w:t xml:space="preserve"> </w:t>
      </w:r>
      <w:r w:rsidR="00C272F1" w:rsidRPr="00C272F1">
        <w:rPr>
          <w:lang w:val="en-GB"/>
        </w:rPr>
        <w:t>(Tesco PLC, 2020)</w:t>
      </w:r>
    </w:p>
    <w:p w14:paraId="64886065" w14:textId="19E89A84" w:rsidR="001D7BAD" w:rsidRDefault="001D7BAD" w:rsidP="00FF427C">
      <w:pPr>
        <w:rPr>
          <w:lang w:val="en-GB"/>
        </w:rPr>
      </w:pPr>
    </w:p>
    <w:p w14:paraId="3575307F" w14:textId="7C133BEF" w:rsidR="000C3130" w:rsidRDefault="000C3130" w:rsidP="00FE5580">
      <w:pPr>
        <w:jc w:val="center"/>
        <w:rPr>
          <w:lang w:val="en-GB"/>
        </w:rPr>
      </w:pPr>
      <w:r>
        <w:rPr>
          <w:lang w:val="en-GB"/>
        </w:rPr>
        <w:t>Figure: Profitability ratio</w:t>
      </w:r>
      <w:r w:rsidR="00C272F1" w:rsidRPr="00C272F1">
        <w:t xml:space="preserve"> </w:t>
      </w:r>
      <w:r w:rsidR="00C272F1" w:rsidRPr="00C272F1">
        <w:rPr>
          <w:lang w:val="en-GB"/>
        </w:rPr>
        <w:t>(Tesco PLC, 2020)</w:t>
      </w:r>
    </w:p>
    <w:p w14:paraId="4876E895" w14:textId="25979920" w:rsidR="000C3130" w:rsidRDefault="000C3130" w:rsidP="00FF427C">
      <w:pPr>
        <w:rPr>
          <w:lang w:val="en-GB"/>
        </w:rPr>
      </w:pPr>
      <w:r>
        <w:rPr>
          <w:lang w:val="en-GB"/>
        </w:rPr>
        <w:t>Profitability ratio helps determine the profitability or profit performance of the company</w:t>
      </w:r>
      <w:r w:rsidR="00DC797E" w:rsidRPr="00DC797E">
        <w:t xml:space="preserve"> </w:t>
      </w:r>
      <w:r w:rsidR="00DC797E" w:rsidRPr="00DC797E">
        <w:rPr>
          <w:lang w:val="en-GB"/>
        </w:rPr>
        <w:t>(Archer, Choate and Racette, 1983)</w:t>
      </w:r>
      <w:r>
        <w:rPr>
          <w:lang w:val="en-GB"/>
        </w:rPr>
        <w:t>. Calculating Tesco’s profitability ratio using data from the company’s annual reports, it is evident that the company had maintained a significant growth in profit performance from 2015 to 2019. However, the company’s return on equity and the return on capital employed had declined in 2019</w:t>
      </w:r>
      <w:r w:rsidR="00DC797E" w:rsidRPr="00DC797E">
        <w:t xml:space="preserve"> </w:t>
      </w:r>
      <w:r w:rsidR="00DC797E" w:rsidRPr="00DC797E">
        <w:rPr>
          <w:lang w:val="en-GB"/>
        </w:rPr>
        <w:t xml:space="preserve">(Block, Hirt and Danielsen, </w:t>
      </w:r>
      <w:r w:rsidR="004E7F3B">
        <w:rPr>
          <w:lang w:val="en-GB"/>
        </w:rPr>
        <w:t>2019</w:t>
      </w:r>
      <w:r w:rsidR="00DC797E" w:rsidRPr="00DC797E">
        <w:rPr>
          <w:lang w:val="en-GB"/>
        </w:rPr>
        <w:t>)</w:t>
      </w:r>
      <w:r>
        <w:rPr>
          <w:lang w:val="en-GB"/>
        </w:rPr>
        <w:t xml:space="preserve">. </w:t>
      </w:r>
    </w:p>
    <w:p w14:paraId="3BF10EA0" w14:textId="255DE047" w:rsidR="000C3130" w:rsidRDefault="000C3130" w:rsidP="00FF427C">
      <w:pPr>
        <w:rPr>
          <w:lang w:val="en-GB"/>
        </w:rPr>
      </w:pPr>
      <w:r w:rsidRPr="000C3130">
        <w:rPr>
          <w:b/>
          <w:bCs/>
          <w:lang w:val="en-GB"/>
        </w:rPr>
        <w:t>Return on equity</w:t>
      </w:r>
      <w:r>
        <w:rPr>
          <w:lang w:val="en-GB"/>
        </w:rPr>
        <w:t>: The recent decline in return on equity suggests that the company has been unable to increase the shareholders’ value in 2019</w:t>
      </w:r>
      <w:r w:rsidR="00C272F1" w:rsidRPr="00C272F1">
        <w:t xml:space="preserve"> </w:t>
      </w:r>
      <w:r w:rsidR="00C272F1" w:rsidRPr="00C272F1">
        <w:rPr>
          <w:lang w:val="en-GB"/>
        </w:rPr>
        <w:t>(Tesco PLC, 2020)</w:t>
      </w:r>
      <w:r>
        <w:rPr>
          <w:lang w:val="en-GB"/>
        </w:rPr>
        <w:t xml:space="preserve">. In the industry context, a </w:t>
      </w:r>
      <w:r>
        <w:rPr>
          <w:lang w:val="en-GB"/>
        </w:rPr>
        <w:lastRenderedPageBreak/>
        <w:t xml:space="preserve">positive ROE would have been around 15% to 20%. </w:t>
      </w:r>
      <w:r w:rsidR="001043BB">
        <w:rPr>
          <w:lang w:val="en-GB"/>
        </w:rPr>
        <w:t>The company came near to generating the industry standard in 2018, but failed to keep up in 2019</w:t>
      </w:r>
      <w:r w:rsidR="00DC797E" w:rsidRPr="00DC797E">
        <w:t xml:space="preserve"> </w:t>
      </w:r>
      <w:r w:rsidR="00DC797E" w:rsidRPr="00DC797E">
        <w:rPr>
          <w:lang w:val="en-GB"/>
        </w:rPr>
        <w:t xml:space="preserve">(Block, Hirt and Danielsen, </w:t>
      </w:r>
      <w:r w:rsidR="004E7F3B">
        <w:rPr>
          <w:lang w:val="en-GB"/>
        </w:rPr>
        <w:t>2019</w:t>
      </w:r>
      <w:r w:rsidR="00DC797E" w:rsidRPr="00DC797E">
        <w:rPr>
          <w:lang w:val="en-GB"/>
        </w:rPr>
        <w:t>)</w:t>
      </w:r>
      <w:r w:rsidR="001043BB">
        <w:rPr>
          <w:lang w:val="en-GB"/>
        </w:rPr>
        <w:t>. But on a positive note, Tesco’s closest market competitor ASDA’s ROE was 9% in 2019, which is a 40% decline from the previous year</w:t>
      </w:r>
      <w:r w:rsidR="00C272F1" w:rsidRPr="00C272F1">
        <w:t xml:space="preserve"> </w:t>
      </w:r>
      <w:r w:rsidR="00C272F1" w:rsidRPr="00C272F1">
        <w:rPr>
          <w:lang w:val="en-GB"/>
        </w:rPr>
        <w:t>(Financial Morningstar, 2020)</w:t>
      </w:r>
      <w:r w:rsidR="001043BB">
        <w:rPr>
          <w:lang w:val="en-GB"/>
        </w:rPr>
        <w:t>. This indicates that the company, despite underperforming in terms of the desired industry standards, did perform better compared to its closest market rival</w:t>
      </w:r>
      <w:r w:rsidR="00DC797E" w:rsidRPr="00DC797E">
        <w:t xml:space="preserve"> </w:t>
      </w:r>
      <w:r w:rsidR="00DC797E" w:rsidRPr="00DC797E">
        <w:rPr>
          <w:lang w:val="en-GB"/>
        </w:rPr>
        <w:t>(Archer, Choate and Racette, 1983)</w:t>
      </w:r>
      <w:r w:rsidR="001043BB">
        <w:rPr>
          <w:lang w:val="en-GB"/>
        </w:rPr>
        <w:t>.</w:t>
      </w:r>
    </w:p>
    <w:p w14:paraId="552074DB" w14:textId="2F347C5E" w:rsidR="00C272F1" w:rsidRDefault="001043BB" w:rsidP="00FF427C">
      <w:pPr>
        <w:rPr>
          <w:lang w:val="en-GB"/>
        </w:rPr>
      </w:pPr>
      <w:r w:rsidRPr="001043BB">
        <w:rPr>
          <w:b/>
          <w:bCs/>
          <w:lang w:val="en-GB"/>
        </w:rPr>
        <w:t>Return on capital employed</w:t>
      </w:r>
      <w:r>
        <w:rPr>
          <w:lang w:val="en-GB"/>
        </w:rPr>
        <w:t>: The company’s return on capital employed indicates how efficiently the company utilizes its capital for generating profits</w:t>
      </w:r>
      <w:r w:rsidR="00DC797E" w:rsidRPr="00DC797E">
        <w:t xml:space="preserve"> </w:t>
      </w:r>
      <w:r w:rsidR="00DC797E" w:rsidRPr="00DC797E">
        <w:rPr>
          <w:lang w:val="en-GB"/>
        </w:rPr>
        <w:t xml:space="preserve">(Block, Hirt and Danielsen, </w:t>
      </w:r>
      <w:r w:rsidR="004E7F3B">
        <w:rPr>
          <w:lang w:val="en-GB"/>
        </w:rPr>
        <w:t>2019</w:t>
      </w:r>
      <w:r w:rsidR="00DC797E" w:rsidRPr="00DC797E">
        <w:rPr>
          <w:lang w:val="en-GB"/>
        </w:rPr>
        <w:t>)</w:t>
      </w:r>
      <w:r>
        <w:rPr>
          <w:lang w:val="en-GB"/>
        </w:rPr>
        <w:t>. The company’s financial reports indicate that it has been able to improve the ROCE in the last five years. In 2019, there has been a slight decline</w:t>
      </w:r>
      <w:r w:rsidR="00C272F1" w:rsidRPr="00C272F1">
        <w:t xml:space="preserve"> </w:t>
      </w:r>
      <w:r w:rsidR="00C272F1" w:rsidRPr="00C272F1">
        <w:rPr>
          <w:lang w:val="en-GB"/>
        </w:rPr>
        <w:t>(Tesco PLC, 2020)</w:t>
      </w:r>
      <w:r>
        <w:rPr>
          <w:lang w:val="en-GB"/>
        </w:rPr>
        <w:t xml:space="preserve">. There is no specific industry standard to measure ROCE. </w:t>
      </w:r>
    </w:p>
    <w:p w14:paraId="480EF6B9" w14:textId="46709381" w:rsidR="001043BB" w:rsidRDefault="001043BB" w:rsidP="00FF427C">
      <w:pPr>
        <w:rPr>
          <w:lang w:val="en-GB"/>
        </w:rPr>
      </w:pPr>
      <w:r>
        <w:rPr>
          <w:lang w:val="en-GB"/>
        </w:rPr>
        <w:t>The company should evaluate its ROCE with those of its competitors</w:t>
      </w:r>
      <w:r w:rsidR="00DC797E" w:rsidRPr="00DC797E">
        <w:t xml:space="preserve"> </w:t>
      </w:r>
      <w:r w:rsidR="00DC797E" w:rsidRPr="00DC797E">
        <w:rPr>
          <w:lang w:val="en-GB"/>
        </w:rPr>
        <w:t xml:space="preserve">(Brigham and Houston, </w:t>
      </w:r>
      <w:r w:rsidR="004E7F3B">
        <w:rPr>
          <w:lang w:val="en-GB"/>
        </w:rPr>
        <w:t>2019</w:t>
      </w:r>
      <w:r w:rsidR="00DC797E" w:rsidRPr="00DC797E">
        <w:rPr>
          <w:lang w:val="en-GB"/>
        </w:rPr>
        <w:t>)</w:t>
      </w:r>
      <w:r>
        <w:rPr>
          <w:lang w:val="en-GB"/>
        </w:rPr>
        <w:t>. ASDA for example, had its ROCE at 5.9% in 2019, and 9% in 2018</w:t>
      </w:r>
      <w:r w:rsidR="00C272F1" w:rsidRPr="00C272F1">
        <w:t xml:space="preserve"> </w:t>
      </w:r>
      <w:r w:rsidR="00C272F1" w:rsidRPr="00C272F1">
        <w:rPr>
          <w:lang w:val="en-GB"/>
        </w:rPr>
        <w:t>(Financial Morningstar, 2020)</w:t>
      </w:r>
      <w:r>
        <w:rPr>
          <w:lang w:val="en-GB"/>
        </w:rPr>
        <w:t xml:space="preserve">. Thus, it is evident that ASDA could not compete with the same level of efficiency as Tesco last year, but did manage to generate a competitively better ROCE in 2018. </w:t>
      </w:r>
    </w:p>
    <w:p w14:paraId="2E1BEB69" w14:textId="41D001AF" w:rsidR="001043BB" w:rsidRDefault="001043BB" w:rsidP="00FF427C">
      <w:pPr>
        <w:rPr>
          <w:lang w:val="en-GB"/>
        </w:rPr>
      </w:pPr>
      <w:r w:rsidRPr="00D11B76">
        <w:rPr>
          <w:b/>
          <w:bCs/>
          <w:lang w:val="en-GB"/>
        </w:rPr>
        <w:t>Net profit margin</w:t>
      </w:r>
      <w:r>
        <w:rPr>
          <w:lang w:val="en-GB"/>
        </w:rPr>
        <w:t>: Net profit margin helps evaluate the capacity of the company to generate net profits</w:t>
      </w:r>
      <w:r w:rsidR="00D11B76">
        <w:rPr>
          <w:lang w:val="en-GB"/>
        </w:rPr>
        <w:t>. A good net profit margin is usually considered to be between 10% to 20% or higher</w:t>
      </w:r>
      <w:r w:rsidR="00DC797E" w:rsidRPr="00DC797E">
        <w:t xml:space="preserve"> </w:t>
      </w:r>
      <w:r w:rsidR="00DC797E" w:rsidRPr="00DC797E">
        <w:rPr>
          <w:lang w:val="en-GB"/>
        </w:rPr>
        <w:t xml:space="preserve">(Brigham and Houston, </w:t>
      </w:r>
      <w:r w:rsidR="004E7F3B">
        <w:rPr>
          <w:lang w:val="en-GB"/>
        </w:rPr>
        <w:t>2019</w:t>
      </w:r>
      <w:r w:rsidR="00DC797E" w:rsidRPr="00DC797E">
        <w:rPr>
          <w:lang w:val="en-GB"/>
        </w:rPr>
        <w:t>)</w:t>
      </w:r>
      <w:r w:rsidR="00D11B76">
        <w:rPr>
          <w:lang w:val="en-GB"/>
        </w:rPr>
        <w:t>. It is evident from the company’s financial reports that they failed to generate an industry standard net profit margin in the last five years. This does send a bad signal to the investors</w:t>
      </w:r>
      <w:r w:rsidR="00C272F1" w:rsidRPr="00C272F1">
        <w:t xml:space="preserve"> </w:t>
      </w:r>
      <w:r w:rsidR="00C272F1" w:rsidRPr="00C272F1">
        <w:rPr>
          <w:lang w:val="en-GB"/>
        </w:rPr>
        <w:t>(Tesco PLC, 2020)</w:t>
      </w:r>
      <w:r w:rsidR="00D11B76">
        <w:rPr>
          <w:lang w:val="en-GB"/>
        </w:rPr>
        <w:t>. It also indicates the company’s inability to extract a healthy amount of profit which it could have used for investment and growth purpose</w:t>
      </w:r>
      <w:r w:rsidR="00DC797E" w:rsidRPr="00DC797E">
        <w:t xml:space="preserve"> </w:t>
      </w:r>
      <w:r w:rsidR="00DC797E" w:rsidRPr="00DC797E">
        <w:rPr>
          <w:lang w:val="en-GB"/>
        </w:rPr>
        <w:t xml:space="preserve">(Correia et al., </w:t>
      </w:r>
      <w:r w:rsidR="004E7F3B">
        <w:rPr>
          <w:lang w:val="en-GB"/>
        </w:rPr>
        <w:t>2019</w:t>
      </w:r>
      <w:r w:rsidR="00DC797E" w:rsidRPr="00DC797E">
        <w:rPr>
          <w:lang w:val="en-GB"/>
        </w:rPr>
        <w:t>)</w:t>
      </w:r>
      <w:r w:rsidR="00D11B76">
        <w:rPr>
          <w:lang w:val="en-GB"/>
        </w:rPr>
        <w:t>. However, the economic does affect the net profit margins, and therefore, the factors of the business environment could be considered to further justify the net profit margins of the company</w:t>
      </w:r>
      <w:r w:rsidR="00DC797E" w:rsidRPr="00DC797E">
        <w:t xml:space="preserve"> </w:t>
      </w:r>
      <w:r w:rsidR="00DC797E" w:rsidRPr="00DC797E">
        <w:rPr>
          <w:lang w:val="en-GB"/>
        </w:rPr>
        <w:t>(Johnson and Melicher, 1982)</w:t>
      </w:r>
      <w:r w:rsidR="00D11B76">
        <w:rPr>
          <w:lang w:val="en-GB"/>
        </w:rPr>
        <w:t xml:space="preserve">. </w:t>
      </w:r>
    </w:p>
    <w:p w14:paraId="6AD37102" w14:textId="7F1B4E86" w:rsidR="00D11B76" w:rsidRDefault="00D11B76" w:rsidP="00FF427C">
      <w:pPr>
        <w:rPr>
          <w:lang w:val="en-GB"/>
        </w:rPr>
      </w:pPr>
      <w:r w:rsidRPr="00D11B76">
        <w:rPr>
          <w:b/>
          <w:bCs/>
          <w:lang w:val="en-GB"/>
        </w:rPr>
        <w:t>Return on assets</w:t>
      </w:r>
      <w:r>
        <w:rPr>
          <w:lang w:val="en-GB"/>
        </w:rPr>
        <w:t>: Return on assets ratio indicates the company’s profitability in context of its assets</w:t>
      </w:r>
      <w:r w:rsidR="00DC797E" w:rsidRPr="00DC797E">
        <w:t xml:space="preserve"> </w:t>
      </w:r>
      <w:r w:rsidR="00DC797E" w:rsidRPr="00DC797E">
        <w:rPr>
          <w:lang w:val="en-GB"/>
        </w:rPr>
        <w:t>(Johnson and Melicher, 1982)</w:t>
      </w:r>
      <w:r>
        <w:rPr>
          <w:lang w:val="en-GB"/>
        </w:rPr>
        <w:t>. Usually a 5% ROA is considered industry standard. Again, looking at Tesco’s performance, it is evident that they have failed to generate a “good” ROA in the last five years</w:t>
      </w:r>
      <w:r w:rsidR="00C272F1" w:rsidRPr="00C272F1">
        <w:t xml:space="preserve"> </w:t>
      </w:r>
      <w:r w:rsidR="00C272F1" w:rsidRPr="00C272F1">
        <w:rPr>
          <w:lang w:val="en-GB"/>
        </w:rPr>
        <w:t>(Tesco PLC, 2020)</w:t>
      </w:r>
      <w:r>
        <w:rPr>
          <w:lang w:val="en-GB"/>
        </w:rPr>
        <w:t xml:space="preserve">. On the contrary, ASDA’s financial reports indicate </w:t>
      </w:r>
      <w:r w:rsidR="00ED0B09">
        <w:rPr>
          <w:lang w:val="en-GB"/>
        </w:rPr>
        <w:t>a higher ROA in the last five years. In 2018, ASDA’s ROA was 5%, and in 2019, it was 3.8%</w:t>
      </w:r>
      <w:r w:rsidR="00C272F1" w:rsidRPr="00C272F1">
        <w:t xml:space="preserve"> </w:t>
      </w:r>
      <w:r w:rsidR="00C272F1" w:rsidRPr="00C272F1">
        <w:rPr>
          <w:lang w:val="en-GB"/>
        </w:rPr>
        <w:t>(Financial Morningstar, 2020)</w:t>
      </w:r>
      <w:r w:rsidR="00ED0B09">
        <w:rPr>
          <w:lang w:val="en-GB"/>
        </w:rPr>
        <w:t xml:space="preserve">. Although, the company failed maintain a positive growth, but it </w:t>
      </w:r>
      <w:r w:rsidR="00ED0B09">
        <w:rPr>
          <w:lang w:val="en-GB"/>
        </w:rPr>
        <w:lastRenderedPageBreak/>
        <w:t>did manage to generate more profits against its assets compared to Tesco Plc. This signals that Tesco needs to utilize its assets more efficiently to generate revenues. Currently the company is investing more on its assets, but these investments are not generating a positive return for the company. Measures need to be taken to adopt more effective asset management strategies</w:t>
      </w:r>
      <w:r w:rsidR="00C272F1" w:rsidRPr="00C272F1">
        <w:t xml:space="preserve"> </w:t>
      </w:r>
      <w:r w:rsidR="00C272F1" w:rsidRPr="00C272F1">
        <w:rPr>
          <w:lang w:val="en-GB"/>
        </w:rPr>
        <w:t>(Financial Morningstar, 2020)</w:t>
      </w:r>
      <w:r w:rsidR="00ED0B09">
        <w:rPr>
          <w:lang w:val="en-GB"/>
        </w:rPr>
        <w:t xml:space="preserve">. </w:t>
      </w:r>
    </w:p>
    <w:p w14:paraId="5CA954A0" w14:textId="11494F01" w:rsidR="00C74286" w:rsidRPr="0005769A" w:rsidRDefault="00433482" w:rsidP="001D7BAD">
      <w:pPr>
        <w:pStyle w:val="Heading3"/>
        <w:rPr>
          <w:color w:val="000000" w:themeColor="text1"/>
          <w:lang w:val="en-GB"/>
        </w:rPr>
      </w:pPr>
      <w:bookmarkStart w:id="9" w:name="_Toc44601156"/>
      <w:r w:rsidRPr="0005769A">
        <w:rPr>
          <w:color w:val="000000" w:themeColor="text1"/>
          <w:lang w:val="en-GB"/>
        </w:rPr>
        <w:t>Liquidity ratio</w:t>
      </w:r>
      <w:bookmarkEnd w:id="9"/>
    </w:p>
    <w:p w14:paraId="4468A21E" w14:textId="401D5077" w:rsidR="00ED0B09" w:rsidRPr="00ED0B09" w:rsidRDefault="00ED0B09" w:rsidP="00ED0B09">
      <w:pPr>
        <w:rPr>
          <w:lang w:val="en-GB"/>
        </w:rPr>
      </w:pPr>
      <w:r>
        <w:rPr>
          <w:lang w:val="en-GB"/>
        </w:rPr>
        <w:t>Liquidity ratios are a group of financial metrics that help determine the company’s ability to pay off its current debts</w:t>
      </w:r>
      <w:r w:rsidR="00DC797E" w:rsidRPr="00DC797E">
        <w:t xml:space="preserve"> </w:t>
      </w:r>
      <w:r w:rsidR="00DC797E" w:rsidRPr="00DC797E">
        <w:rPr>
          <w:lang w:val="en-GB"/>
        </w:rPr>
        <w:t>(Khan and Jain, 2007)</w:t>
      </w:r>
      <w:r>
        <w:rPr>
          <w:lang w:val="en-GB"/>
        </w:rPr>
        <w:t>. These ratios also help determine the level of financial risks that a company is exposed to during any particular accounting year. The relevant liquidity ratios have been calculated for Tesco using the data from its financial reports</w:t>
      </w:r>
      <w:r w:rsidR="00DC797E" w:rsidRPr="00DC797E">
        <w:t xml:space="preserve"> </w:t>
      </w:r>
      <w:r w:rsidR="00DC797E" w:rsidRPr="00DC797E">
        <w:rPr>
          <w:lang w:val="en-GB"/>
        </w:rPr>
        <w:t xml:space="preserve">(Madura, </w:t>
      </w:r>
      <w:r w:rsidR="004E7F3B">
        <w:rPr>
          <w:lang w:val="en-GB"/>
        </w:rPr>
        <w:t>2019</w:t>
      </w:r>
      <w:r w:rsidR="00DC797E" w:rsidRPr="00DC797E">
        <w:rPr>
          <w:lang w:val="en-GB"/>
        </w:rPr>
        <w:t>)</w:t>
      </w:r>
      <w:r>
        <w:rPr>
          <w:lang w:val="en-GB"/>
        </w:rPr>
        <w:t xml:space="preserve">. </w:t>
      </w:r>
    </w:p>
    <w:tbl>
      <w:tblPr>
        <w:tblStyle w:val="TableGrid"/>
        <w:tblW w:w="10255" w:type="dxa"/>
        <w:tblLook w:val="04A0" w:firstRow="1" w:lastRow="0" w:firstColumn="1" w:lastColumn="0" w:noHBand="0" w:noVBand="1"/>
      </w:tblPr>
      <w:tblGrid>
        <w:gridCol w:w="5485"/>
        <w:gridCol w:w="900"/>
        <w:gridCol w:w="990"/>
        <w:gridCol w:w="900"/>
        <w:gridCol w:w="990"/>
        <w:gridCol w:w="990"/>
      </w:tblGrid>
      <w:tr w:rsidR="001D7BAD" w:rsidRPr="00C83ACE" w14:paraId="5C87B736" w14:textId="77777777" w:rsidTr="001D7BAD">
        <w:trPr>
          <w:trHeight w:val="300"/>
        </w:trPr>
        <w:tc>
          <w:tcPr>
            <w:tcW w:w="5485" w:type="dxa"/>
            <w:noWrap/>
            <w:hideMark/>
          </w:tcPr>
          <w:p w14:paraId="0DCDB49F" w14:textId="77777777" w:rsidR="00C83ACE" w:rsidRPr="00C83ACE" w:rsidRDefault="00C83ACE" w:rsidP="00C83ACE"/>
        </w:tc>
        <w:tc>
          <w:tcPr>
            <w:tcW w:w="900" w:type="dxa"/>
            <w:noWrap/>
            <w:hideMark/>
          </w:tcPr>
          <w:p w14:paraId="2796E5D8" w14:textId="77777777" w:rsidR="00C83ACE" w:rsidRPr="00C83ACE" w:rsidRDefault="00C83ACE" w:rsidP="00C83ACE">
            <w:r w:rsidRPr="00C83ACE">
              <w:t>2015</w:t>
            </w:r>
          </w:p>
        </w:tc>
        <w:tc>
          <w:tcPr>
            <w:tcW w:w="990" w:type="dxa"/>
            <w:noWrap/>
            <w:hideMark/>
          </w:tcPr>
          <w:p w14:paraId="62FC5E24" w14:textId="77777777" w:rsidR="00C83ACE" w:rsidRPr="00C83ACE" w:rsidRDefault="00C83ACE" w:rsidP="00C83ACE">
            <w:r w:rsidRPr="00C83ACE">
              <w:t>2016</w:t>
            </w:r>
          </w:p>
        </w:tc>
        <w:tc>
          <w:tcPr>
            <w:tcW w:w="900" w:type="dxa"/>
            <w:noWrap/>
            <w:hideMark/>
          </w:tcPr>
          <w:p w14:paraId="06B480A5" w14:textId="77777777" w:rsidR="00C83ACE" w:rsidRPr="00C83ACE" w:rsidRDefault="00C83ACE" w:rsidP="00C83ACE">
            <w:r w:rsidRPr="00C83ACE">
              <w:t>2017</w:t>
            </w:r>
          </w:p>
        </w:tc>
        <w:tc>
          <w:tcPr>
            <w:tcW w:w="990" w:type="dxa"/>
            <w:noWrap/>
            <w:hideMark/>
          </w:tcPr>
          <w:p w14:paraId="55B7ED31" w14:textId="77777777" w:rsidR="00C83ACE" w:rsidRPr="00C83ACE" w:rsidRDefault="00C83ACE" w:rsidP="00C83ACE">
            <w:r w:rsidRPr="00C83ACE">
              <w:t>2018</w:t>
            </w:r>
          </w:p>
        </w:tc>
        <w:tc>
          <w:tcPr>
            <w:tcW w:w="990" w:type="dxa"/>
            <w:noWrap/>
            <w:hideMark/>
          </w:tcPr>
          <w:p w14:paraId="0C1353EF" w14:textId="77777777" w:rsidR="00C83ACE" w:rsidRPr="00C83ACE" w:rsidRDefault="00C83ACE" w:rsidP="00C83ACE">
            <w:r w:rsidRPr="00C83ACE">
              <w:t>2019</w:t>
            </w:r>
          </w:p>
        </w:tc>
      </w:tr>
      <w:tr w:rsidR="001D7BAD" w:rsidRPr="00C83ACE" w14:paraId="5ABD1E96" w14:textId="77777777" w:rsidTr="001D7BAD">
        <w:trPr>
          <w:trHeight w:val="300"/>
        </w:trPr>
        <w:tc>
          <w:tcPr>
            <w:tcW w:w="5485" w:type="dxa"/>
            <w:noWrap/>
            <w:hideMark/>
          </w:tcPr>
          <w:p w14:paraId="0B4D4FAA" w14:textId="77777777" w:rsidR="00C83ACE" w:rsidRDefault="00C83ACE" w:rsidP="00C83ACE">
            <w:r w:rsidRPr="00C83ACE">
              <w:t>Current Ratio</w:t>
            </w:r>
          </w:p>
          <w:p w14:paraId="5D8C8615" w14:textId="3042E086" w:rsidR="001D7BAD" w:rsidRPr="00C83ACE" w:rsidRDefault="001D7BAD" w:rsidP="00C83ACE">
            <w:r>
              <w:t>=Current assets/current liabilities</w:t>
            </w:r>
          </w:p>
        </w:tc>
        <w:tc>
          <w:tcPr>
            <w:tcW w:w="900" w:type="dxa"/>
            <w:noWrap/>
            <w:hideMark/>
          </w:tcPr>
          <w:p w14:paraId="7300A9F2" w14:textId="77777777" w:rsidR="00C83ACE" w:rsidRPr="00C83ACE" w:rsidRDefault="00C83ACE" w:rsidP="00C83ACE">
            <w:r w:rsidRPr="00C83ACE">
              <w:t>0.6</w:t>
            </w:r>
          </w:p>
        </w:tc>
        <w:tc>
          <w:tcPr>
            <w:tcW w:w="990" w:type="dxa"/>
            <w:noWrap/>
            <w:hideMark/>
          </w:tcPr>
          <w:p w14:paraId="7B848C57" w14:textId="77777777" w:rsidR="00C83ACE" w:rsidRPr="00C83ACE" w:rsidRDefault="00C83ACE" w:rsidP="00C83ACE">
            <w:r w:rsidRPr="00C83ACE">
              <w:t>0.75</w:t>
            </w:r>
          </w:p>
        </w:tc>
        <w:tc>
          <w:tcPr>
            <w:tcW w:w="900" w:type="dxa"/>
            <w:noWrap/>
            <w:hideMark/>
          </w:tcPr>
          <w:p w14:paraId="2708E74F" w14:textId="77777777" w:rsidR="00C83ACE" w:rsidRPr="00C83ACE" w:rsidRDefault="00C83ACE" w:rsidP="00C83ACE">
            <w:r w:rsidRPr="00C83ACE">
              <w:t>0.79</w:t>
            </w:r>
          </w:p>
        </w:tc>
        <w:tc>
          <w:tcPr>
            <w:tcW w:w="990" w:type="dxa"/>
            <w:noWrap/>
            <w:hideMark/>
          </w:tcPr>
          <w:p w14:paraId="1B9E855D" w14:textId="77777777" w:rsidR="00C83ACE" w:rsidRPr="00C83ACE" w:rsidRDefault="00C83ACE" w:rsidP="00C83ACE">
            <w:r w:rsidRPr="00C83ACE">
              <w:t>0.71</w:t>
            </w:r>
          </w:p>
        </w:tc>
        <w:tc>
          <w:tcPr>
            <w:tcW w:w="990" w:type="dxa"/>
            <w:noWrap/>
            <w:hideMark/>
          </w:tcPr>
          <w:p w14:paraId="2B6EF516" w14:textId="77777777" w:rsidR="00C83ACE" w:rsidRPr="00C83ACE" w:rsidRDefault="00C83ACE" w:rsidP="00C83ACE">
            <w:r w:rsidRPr="00C83ACE">
              <w:t>0.61</w:t>
            </w:r>
          </w:p>
        </w:tc>
      </w:tr>
      <w:tr w:rsidR="001D7BAD" w:rsidRPr="00C83ACE" w14:paraId="6612D4A2" w14:textId="77777777" w:rsidTr="001D7BAD">
        <w:trPr>
          <w:trHeight w:val="300"/>
        </w:trPr>
        <w:tc>
          <w:tcPr>
            <w:tcW w:w="5485" w:type="dxa"/>
            <w:noWrap/>
            <w:hideMark/>
          </w:tcPr>
          <w:p w14:paraId="3BE2E649" w14:textId="77777777" w:rsidR="00C83ACE" w:rsidRDefault="00C83ACE" w:rsidP="00C83ACE">
            <w:r w:rsidRPr="00C83ACE">
              <w:t>Quick Ratio</w:t>
            </w:r>
          </w:p>
          <w:p w14:paraId="244B5947" w14:textId="1A32C06C" w:rsidR="001D7BAD" w:rsidRPr="00C83ACE" w:rsidRDefault="001D7BAD" w:rsidP="00C83ACE">
            <w:r>
              <w:t xml:space="preserve">= </w:t>
            </w:r>
            <w:r w:rsidRPr="001D7BAD">
              <w:t>[Current Assets – Inventory – Prepaid expenses] / Current Liabilities</w:t>
            </w:r>
          </w:p>
        </w:tc>
        <w:tc>
          <w:tcPr>
            <w:tcW w:w="900" w:type="dxa"/>
            <w:noWrap/>
            <w:hideMark/>
          </w:tcPr>
          <w:p w14:paraId="79ACCB23" w14:textId="77777777" w:rsidR="00C83ACE" w:rsidRPr="00C83ACE" w:rsidRDefault="00C83ACE" w:rsidP="00C83ACE">
            <w:r w:rsidRPr="00C83ACE">
              <w:t>0.42</w:t>
            </w:r>
          </w:p>
        </w:tc>
        <w:tc>
          <w:tcPr>
            <w:tcW w:w="990" w:type="dxa"/>
            <w:noWrap/>
            <w:hideMark/>
          </w:tcPr>
          <w:p w14:paraId="74F9EF74" w14:textId="77777777" w:rsidR="00C83ACE" w:rsidRPr="00C83ACE" w:rsidRDefault="00C83ACE" w:rsidP="00C83ACE">
            <w:r w:rsidRPr="00C83ACE">
              <w:t>0.59</w:t>
            </w:r>
          </w:p>
        </w:tc>
        <w:tc>
          <w:tcPr>
            <w:tcW w:w="900" w:type="dxa"/>
            <w:noWrap/>
            <w:hideMark/>
          </w:tcPr>
          <w:p w14:paraId="33642B27" w14:textId="77777777" w:rsidR="00C83ACE" w:rsidRPr="00C83ACE" w:rsidRDefault="00C83ACE" w:rsidP="00C83ACE">
            <w:r w:rsidRPr="00C83ACE">
              <w:t>0.64</w:t>
            </w:r>
          </w:p>
        </w:tc>
        <w:tc>
          <w:tcPr>
            <w:tcW w:w="990" w:type="dxa"/>
            <w:noWrap/>
            <w:hideMark/>
          </w:tcPr>
          <w:p w14:paraId="24D8544E" w14:textId="77777777" w:rsidR="00C83ACE" w:rsidRPr="00C83ACE" w:rsidRDefault="00C83ACE" w:rsidP="00C83ACE">
            <w:r w:rsidRPr="00C83ACE">
              <w:t>0.55</w:t>
            </w:r>
          </w:p>
        </w:tc>
        <w:tc>
          <w:tcPr>
            <w:tcW w:w="990" w:type="dxa"/>
            <w:noWrap/>
            <w:hideMark/>
          </w:tcPr>
          <w:p w14:paraId="1A2705B6" w14:textId="77777777" w:rsidR="00C83ACE" w:rsidRPr="00C83ACE" w:rsidRDefault="00C83ACE" w:rsidP="00C83ACE">
            <w:r w:rsidRPr="00C83ACE">
              <w:t>0.48</w:t>
            </w:r>
          </w:p>
        </w:tc>
      </w:tr>
    </w:tbl>
    <w:p w14:paraId="61F3A86B" w14:textId="7046BB2A" w:rsidR="00FE5580" w:rsidRDefault="001D7BAD" w:rsidP="00FE5580">
      <w:pPr>
        <w:jc w:val="center"/>
        <w:rPr>
          <w:lang w:val="en-GB"/>
        </w:rPr>
      </w:pPr>
      <w:r>
        <w:rPr>
          <w:lang w:val="en-GB"/>
        </w:rPr>
        <w:t>Table: Liquidity ratio</w:t>
      </w:r>
      <w:r w:rsidR="00C272F1" w:rsidRPr="00C272F1">
        <w:t xml:space="preserve"> </w:t>
      </w:r>
      <w:r w:rsidR="00C272F1" w:rsidRPr="00C272F1">
        <w:rPr>
          <w:lang w:val="en-GB"/>
        </w:rPr>
        <w:t>(Tesco PLC, 2020)</w:t>
      </w:r>
    </w:p>
    <w:p w14:paraId="711592B7" w14:textId="64871A9D" w:rsidR="001D7BAD" w:rsidRPr="00FE5580" w:rsidRDefault="00FE5580" w:rsidP="00C74286">
      <w:pPr>
        <w:rPr>
          <w:sz w:val="12"/>
          <w:szCs w:val="10"/>
          <w:lang w:val="en-GB"/>
        </w:rPr>
      </w:pPr>
      <w:r>
        <w:rPr>
          <w:noProof/>
          <w:lang w:val="en-GB" w:eastAsia="en-GB"/>
        </w:rPr>
        <w:drawing>
          <wp:anchor distT="0" distB="0" distL="114300" distR="114300" simplePos="0" relativeHeight="251660288" behindDoc="0" locked="0" layoutInCell="1" allowOverlap="1" wp14:anchorId="293A372B" wp14:editId="2E14E9A7">
            <wp:simplePos x="0" y="0"/>
            <wp:positionH relativeFrom="margin">
              <wp:align>center</wp:align>
            </wp:positionH>
            <wp:positionV relativeFrom="paragraph">
              <wp:posOffset>106680</wp:posOffset>
            </wp:positionV>
            <wp:extent cx="4572000" cy="2743200"/>
            <wp:effectExtent l="0" t="0" r="0" b="0"/>
            <wp:wrapTopAndBottom/>
            <wp:docPr id="4" name="Chart 4">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B65121C-85AC-4EEB-9ACF-B3101563AD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1D58E81A" w14:textId="6ECC1B72" w:rsidR="001D7BAD" w:rsidRDefault="001D7BAD" w:rsidP="00FE5580">
      <w:pPr>
        <w:jc w:val="center"/>
        <w:rPr>
          <w:lang w:val="en-GB"/>
        </w:rPr>
      </w:pPr>
      <w:r>
        <w:rPr>
          <w:lang w:val="en-GB"/>
        </w:rPr>
        <w:t>Figure: Liquidity ratio</w:t>
      </w:r>
      <w:r w:rsidR="00C272F1" w:rsidRPr="00C272F1">
        <w:t xml:space="preserve"> </w:t>
      </w:r>
      <w:r w:rsidR="00C272F1" w:rsidRPr="00C272F1">
        <w:rPr>
          <w:lang w:val="en-GB"/>
        </w:rPr>
        <w:t>(Tesco PLC, 2020)</w:t>
      </w:r>
    </w:p>
    <w:p w14:paraId="790CE8F2" w14:textId="64040B06" w:rsidR="00ED0B09" w:rsidRDefault="00ED0B09" w:rsidP="00C74286">
      <w:pPr>
        <w:rPr>
          <w:lang w:val="en-GB"/>
        </w:rPr>
      </w:pPr>
      <w:r w:rsidRPr="00252AE3">
        <w:rPr>
          <w:b/>
          <w:bCs/>
          <w:lang w:val="en-GB"/>
        </w:rPr>
        <w:lastRenderedPageBreak/>
        <w:t>Current Ratio</w:t>
      </w:r>
      <w:r w:rsidR="00252AE3">
        <w:rPr>
          <w:lang w:val="en-GB"/>
        </w:rPr>
        <w:t>: The current ratio helps determine the company’s ability to pay its short-term liabilities that are due within a year</w:t>
      </w:r>
      <w:r w:rsidR="00DC797E" w:rsidRPr="00DC797E">
        <w:t xml:space="preserve"> </w:t>
      </w:r>
      <w:r w:rsidR="00DC797E" w:rsidRPr="00DC797E">
        <w:rPr>
          <w:lang w:val="en-GB"/>
        </w:rPr>
        <w:t xml:space="preserve">(Brigham and Houston, </w:t>
      </w:r>
      <w:r w:rsidR="004E7F3B">
        <w:rPr>
          <w:lang w:val="en-GB"/>
        </w:rPr>
        <w:t>2019</w:t>
      </w:r>
      <w:r w:rsidR="00DC797E" w:rsidRPr="00DC797E">
        <w:rPr>
          <w:lang w:val="en-GB"/>
        </w:rPr>
        <w:t>)</w:t>
      </w:r>
      <w:r w:rsidR="00252AE3">
        <w:rPr>
          <w:lang w:val="en-GB"/>
        </w:rPr>
        <w:t>. The current assets are divided with the current liabilities of the company to determine this ratio. A good current ratio would be between 1.2 to 2</w:t>
      </w:r>
      <w:r w:rsidR="00DC797E" w:rsidRPr="00DC797E">
        <w:t xml:space="preserve"> </w:t>
      </w:r>
      <w:r w:rsidR="00DC797E" w:rsidRPr="00DC797E">
        <w:rPr>
          <w:lang w:val="en-GB"/>
        </w:rPr>
        <w:t xml:space="preserve">(Correia et al., </w:t>
      </w:r>
      <w:r w:rsidR="004E7F3B">
        <w:rPr>
          <w:lang w:val="en-GB"/>
        </w:rPr>
        <w:t>2019</w:t>
      </w:r>
      <w:r w:rsidR="00DC797E" w:rsidRPr="00DC797E">
        <w:rPr>
          <w:lang w:val="en-GB"/>
        </w:rPr>
        <w:t>)</w:t>
      </w:r>
      <w:r w:rsidR="00252AE3">
        <w:rPr>
          <w:lang w:val="en-GB"/>
        </w:rPr>
        <w:t>. This indicates that the company has twice the amount of current assets compared to its current liabilities. This is also the industry average. Looking at Tesco’s current ratio profile, it is evident that the company has less capabilities to pay off its current liabilities</w:t>
      </w:r>
      <w:r w:rsidR="00DC797E" w:rsidRPr="00DC797E">
        <w:t xml:space="preserve"> </w:t>
      </w:r>
      <w:r w:rsidR="00DC797E" w:rsidRPr="00DC797E">
        <w:rPr>
          <w:lang w:val="en-GB"/>
        </w:rPr>
        <w:t>(Johnson and Melicher, 1982)</w:t>
      </w:r>
      <w:r w:rsidR="00252AE3">
        <w:rPr>
          <w:lang w:val="en-GB"/>
        </w:rPr>
        <w:t>. Also, to make it worse, the company’s current ratio performance has declined over the years. This sends a very bad signal on the company’s performance</w:t>
      </w:r>
      <w:r w:rsidR="00C272F1" w:rsidRPr="00C272F1">
        <w:t xml:space="preserve"> </w:t>
      </w:r>
      <w:r w:rsidR="00C272F1" w:rsidRPr="00C272F1">
        <w:rPr>
          <w:lang w:val="en-GB"/>
        </w:rPr>
        <w:t>(Tesco PLC, 2020)</w:t>
      </w:r>
      <w:r w:rsidR="00252AE3">
        <w:rPr>
          <w:lang w:val="en-GB"/>
        </w:rPr>
        <w:t>. The company may soon find itself into a liquidity position from which it would be difficult to recover from. The management needs to employ more effective current assets management strategies</w:t>
      </w:r>
      <w:r w:rsidR="00DC797E" w:rsidRPr="00DC797E">
        <w:t xml:space="preserve"> </w:t>
      </w:r>
      <w:r w:rsidR="00DC797E" w:rsidRPr="00DC797E">
        <w:rPr>
          <w:lang w:val="en-GB"/>
        </w:rPr>
        <w:t>(Khan and Jain, 2007)</w:t>
      </w:r>
      <w:r w:rsidR="00252AE3">
        <w:rPr>
          <w:lang w:val="en-GB"/>
        </w:rPr>
        <w:t>. Also, comparing to ASDA’s current ratio in 2019 and 2018 respectively, the current ratios were 0.9 and 0.8. Thus, they managed to maintain higher liquidity performance compared to Tesco</w:t>
      </w:r>
      <w:r w:rsidR="00C272F1" w:rsidRPr="00C272F1">
        <w:t xml:space="preserve"> </w:t>
      </w:r>
      <w:r w:rsidR="00C272F1" w:rsidRPr="00C272F1">
        <w:rPr>
          <w:lang w:val="en-GB"/>
        </w:rPr>
        <w:t>(Financial Morningstar, 2020)</w:t>
      </w:r>
      <w:r w:rsidR="00252AE3">
        <w:rPr>
          <w:lang w:val="en-GB"/>
        </w:rPr>
        <w:t xml:space="preserve">. </w:t>
      </w:r>
    </w:p>
    <w:p w14:paraId="6EB6C71A" w14:textId="3EAEA670" w:rsidR="00471BDA" w:rsidRDefault="00ED0B09" w:rsidP="00C74286">
      <w:pPr>
        <w:rPr>
          <w:lang w:val="en-GB"/>
        </w:rPr>
      </w:pPr>
      <w:r w:rsidRPr="00471BDA">
        <w:rPr>
          <w:b/>
          <w:bCs/>
          <w:lang w:val="en-GB"/>
        </w:rPr>
        <w:t>Quick Ratio</w:t>
      </w:r>
      <w:r w:rsidR="00252AE3">
        <w:rPr>
          <w:lang w:val="en-GB"/>
        </w:rPr>
        <w:t xml:space="preserve">: Quick ratio is another measure for evaluating the company’s liquidity performance. </w:t>
      </w:r>
      <w:r w:rsidR="00471BDA">
        <w:rPr>
          <w:lang w:val="en-GB"/>
        </w:rPr>
        <w:t>Not all current assets of the company can be sold instantly</w:t>
      </w:r>
      <w:r w:rsidR="00DC797E" w:rsidRPr="00DC797E">
        <w:t xml:space="preserve"> </w:t>
      </w:r>
      <w:r w:rsidR="00DC797E" w:rsidRPr="00DC797E">
        <w:rPr>
          <w:lang w:val="en-GB"/>
        </w:rPr>
        <w:t xml:space="preserve">(Brigham and Houston, </w:t>
      </w:r>
      <w:r w:rsidR="004E7F3B">
        <w:rPr>
          <w:lang w:val="en-GB"/>
        </w:rPr>
        <w:t>2019</w:t>
      </w:r>
      <w:r w:rsidR="00DC797E" w:rsidRPr="00DC797E">
        <w:rPr>
          <w:lang w:val="en-GB"/>
        </w:rPr>
        <w:t>)</w:t>
      </w:r>
      <w:r w:rsidR="00471BDA">
        <w:rPr>
          <w:lang w:val="en-GB"/>
        </w:rPr>
        <w:t>. The only current assets that a company can sell instantly are the cash and the bank balance. A company’s ability to pay off its current liabilities with its cash money shows the company’s liquidity status in a more critical way</w:t>
      </w:r>
      <w:r w:rsidR="00DC797E" w:rsidRPr="00DC797E">
        <w:t xml:space="preserve"> </w:t>
      </w:r>
      <w:r w:rsidR="00DC797E" w:rsidRPr="00DC797E">
        <w:rPr>
          <w:lang w:val="en-GB"/>
        </w:rPr>
        <w:t xml:space="preserve">(Brigham and Houston, </w:t>
      </w:r>
      <w:r w:rsidR="004E7F3B">
        <w:rPr>
          <w:lang w:val="en-GB"/>
        </w:rPr>
        <w:t>2019</w:t>
      </w:r>
      <w:r w:rsidR="00DC797E" w:rsidRPr="00DC797E">
        <w:rPr>
          <w:lang w:val="en-GB"/>
        </w:rPr>
        <w:t>)</w:t>
      </w:r>
      <w:r w:rsidR="00471BDA">
        <w:rPr>
          <w:lang w:val="en-GB"/>
        </w:rPr>
        <w:t>. Tesco’s quick ratio for the year was 0.48, slightly lower than its current ratio. The previous year it was 0.55, and 0.64 the year before. It shows that the company is constantly losing its liquidity status. Soon, the company will run into cash deficit once they start to pay out their current liabilities. This may put the company’s financial position in a significant amount of risk in the coming years</w:t>
      </w:r>
      <w:r w:rsidR="00DC797E" w:rsidRPr="00DC797E">
        <w:t xml:space="preserve"> </w:t>
      </w:r>
      <w:r w:rsidR="00DC797E" w:rsidRPr="00DC797E">
        <w:rPr>
          <w:lang w:val="en-GB"/>
        </w:rPr>
        <w:t xml:space="preserve">(Block, Hirt and Danielsen, </w:t>
      </w:r>
      <w:r w:rsidR="004E7F3B">
        <w:rPr>
          <w:lang w:val="en-GB"/>
        </w:rPr>
        <w:t>2019</w:t>
      </w:r>
      <w:r w:rsidR="00DC797E" w:rsidRPr="00DC797E">
        <w:rPr>
          <w:lang w:val="en-GB"/>
        </w:rPr>
        <w:t>)</w:t>
      </w:r>
      <w:r w:rsidR="00471BDA">
        <w:rPr>
          <w:lang w:val="en-GB"/>
        </w:rPr>
        <w:t>. However, looking at ASDA’s performance, their quick ratio was at 0.18%, which is far less than Tesco</w:t>
      </w:r>
      <w:r w:rsidR="00C272F1" w:rsidRPr="00C272F1">
        <w:t xml:space="preserve"> </w:t>
      </w:r>
      <w:r w:rsidR="00C272F1" w:rsidRPr="00C272F1">
        <w:rPr>
          <w:lang w:val="en-GB"/>
        </w:rPr>
        <w:t>(Financial Morningstar, 2020)</w:t>
      </w:r>
      <w:r w:rsidR="00471BDA">
        <w:rPr>
          <w:lang w:val="en-GB"/>
        </w:rPr>
        <w:t xml:space="preserve">. It does show that the industry has been underperforming in general. The company’s need to develop strategies to reduce their liabilities and increase cash inflows to maintain a healthy cash liquidity. </w:t>
      </w:r>
    </w:p>
    <w:p w14:paraId="2A70F9F8" w14:textId="0AE6EE25" w:rsidR="00471BDA" w:rsidRPr="0005769A" w:rsidRDefault="00433482" w:rsidP="00471BDA">
      <w:pPr>
        <w:pStyle w:val="Heading3"/>
        <w:rPr>
          <w:color w:val="000000" w:themeColor="text1"/>
          <w:lang w:val="en-GB"/>
        </w:rPr>
      </w:pPr>
      <w:bookmarkStart w:id="10" w:name="_Toc44601157"/>
      <w:r w:rsidRPr="0005769A">
        <w:rPr>
          <w:color w:val="000000" w:themeColor="text1"/>
          <w:lang w:val="en-GB"/>
        </w:rPr>
        <w:t>Gearing ratio</w:t>
      </w:r>
      <w:bookmarkEnd w:id="10"/>
    </w:p>
    <w:tbl>
      <w:tblPr>
        <w:tblStyle w:val="TableGrid"/>
        <w:tblW w:w="0" w:type="auto"/>
        <w:tblLook w:val="04A0" w:firstRow="1" w:lastRow="0" w:firstColumn="1" w:lastColumn="0" w:noHBand="0" w:noVBand="1"/>
      </w:tblPr>
      <w:tblGrid>
        <w:gridCol w:w="2440"/>
        <w:gridCol w:w="960"/>
        <w:gridCol w:w="960"/>
        <w:gridCol w:w="960"/>
        <w:gridCol w:w="960"/>
        <w:gridCol w:w="960"/>
      </w:tblGrid>
      <w:tr w:rsidR="00C83ACE" w:rsidRPr="00C83ACE" w14:paraId="3461C804" w14:textId="77777777" w:rsidTr="00C83ACE">
        <w:trPr>
          <w:trHeight w:val="300"/>
        </w:trPr>
        <w:tc>
          <w:tcPr>
            <w:tcW w:w="2440" w:type="dxa"/>
            <w:noWrap/>
            <w:hideMark/>
          </w:tcPr>
          <w:p w14:paraId="62800FA2" w14:textId="77777777" w:rsidR="00C83ACE" w:rsidRPr="00C83ACE" w:rsidRDefault="00C83ACE" w:rsidP="00C83ACE"/>
        </w:tc>
        <w:tc>
          <w:tcPr>
            <w:tcW w:w="960" w:type="dxa"/>
            <w:noWrap/>
            <w:hideMark/>
          </w:tcPr>
          <w:p w14:paraId="65E4AAB1" w14:textId="77777777" w:rsidR="00C83ACE" w:rsidRPr="00C83ACE" w:rsidRDefault="00C83ACE" w:rsidP="00C83ACE">
            <w:r w:rsidRPr="00C83ACE">
              <w:t>2015</w:t>
            </w:r>
          </w:p>
        </w:tc>
        <w:tc>
          <w:tcPr>
            <w:tcW w:w="960" w:type="dxa"/>
            <w:noWrap/>
            <w:hideMark/>
          </w:tcPr>
          <w:p w14:paraId="10753746" w14:textId="77777777" w:rsidR="00C83ACE" w:rsidRPr="00C83ACE" w:rsidRDefault="00C83ACE" w:rsidP="00C83ACE">
            <w:r w:rsidRPr="00C83ACE">
              <w:t>2016</w:t>
            </w:r>
          </w:p>
        </w:tc>
        <w:tc>
          <w:tcPr>
            <w:tcW w:w="960" w:type="dxa"/>
            <w:noWrap/>
            <w:hideMark/>
          </w:tcPr>
          <w:p w14:paraId="7BD62C47" w14:textId="77777777" w:rsidR="00C83ACE" w:rsidRPr="00C83ACE" w:rsidRDefault="00C83ACE" w:rsidP="00C83ACE">
            <w:r w:rsidRPr="00C83ACE">
              <w:t>2017</w:t>
            </w:r>
          </w:p>
        </w:tc>
        <w:tc>
          <w:tcPr>
            <w:tcW w:w="960" w:type="dxa"/>
            <w:noWrap/>
            <w:hideMark/>
          </w:tcPr>
          <w:p w14:paraId="626D944E" w14:textId="77777777" w:rsidR="00C83ACE" w:rsidRPr="00C83ACE" w:rsidRDefault="00C83ACE" w:rsidP="00C83ACE">
            <w:r w:rsidRPr="00C83ACE">
              <w:t>2018</w:t>
            </w:r>
          </w:p>
        </w:tc>
        <w:tc>
          <w:tcPr>
            <w:tcW w:w="960" w:type="dxa"/>
            <w:noWrap/>
            <w:hideMark/>
          </w:tcPr>
          <w:p w14:paraId="20DF5F90" w14:textId="77777777" w:rsidR="00C83ACE" w:rsidRPr="00C83ACE" w:rsidRDefault="00C83ACE" w:rsidP="00C83ACE">
            <w:r w:rsidRPr="00C83ACE">
              <w:t>2019</w:t>
            </w:r>
          </w:p>
        </w:tc>
      </w:tr>
      <w:tr w:rsidR="00C83ACE" w:rsidRPr="00C83ACE" w14:paraId="39AE2733" w14:textId="77777777" w:rsidTr="00C83ACE">
        <w:trPr>
          <w:trHeight w:val="300"/>
        </w:trPr>
        <w:tc>
          <w:tcPr>
            <w:tcW w:w="2440" w:type="dxa"/>
            <w:noWrap/>
            <w:hideMark/>
          </w:tcPr>
          <w:p w14:paraId="5C49CF47" w14:textId="77777777" w:rsidR="00C83ACE" w:rsidRPr="00C83ACE" w:rsidRDefault="00C83ACE" w:rsidP="00C83ACE">
            <w:r w:rsidRPr="00C83ACE">
              <w:t>Debt/Equity</w:t>
            </w:r>
          </w:p>
        </w:tc>
        <w:tc>
          <w:tcPr>
            <w:tcW w:w="960" w:type="dxa"/>
            <w:noWrap/>
            <w:hideMark/>
          </w:tcPr>
          <w:p w14:paraId="16A1B129" w14:textId="77777777" w:rsidR="00C83ACE" w:rsidRPr="00C83ACE" w:rsidRDefault="00C83ACE" w:rsidP="00C83ACE">
            <w:r w:rsidRPr="00C83ACE">
              <w:t>1.51</w:t>
            </w:r>
          </w:p>
        </w:tc>
        <w:tc>
          <w:tcPr>
            <w:tcW w:w="960" w:type="dxa"/>
            <w:noWrap/>
            <w:hideMark/>
          </w:tcPr>
          <w:p w14:paraId="5416279E" w14:textId="77777777" w:rsidR="00C83ACE" w:rsidRPr="00C83ACE" w:rsidRDefault="00C83ACE" w:rsidP="00C83ACE">
            <w:r w:rsidRPr="00C83ACE">
              <w:t>1.24</w:t>
            </w:r>
          </w:p>
        </w:tc>
        <w:tc>
          <w:tcPr>
            <w:tcW w:w="960" w:type="dxa"/>
            <w:noWrap/>
            <w:hideMark/>
          </w:tcPr>
          <w:p w14:paraId="70FABB4D" w14:textId="77777777" w:rsidR="00C83ACE" w:rsidRPr="00C83ACE" w:rsidRDefault="00C83ACE" w:rsidP="00C83ACE">
            <w:r w:rsidRPr="00C83ACE">
              <w:t>1.47</w:t>
            </w:r>
          </w:p>
        </w:tc>
        <w:tc>
          <w:tcPr>
            <w:tcW w:w="960" w:type="dxa"/>
            <w:noWrap/>
            <w:hideMark/>
          </w:tcPr>
          <w:p w14:paraId="5DF0702F" w14:textId="77777777" w:rsidR="00C83ACE" w:rsidRPr="00C83ACE" w:rsidRDefault="00C83ACE" w:rsidP="00C83ACE">
            <w:r w:rsidRPr="00C83ACE">
              <w:t>0.68</w:t>
            </w:r>
          </w:p>
        </w:tc>
        <w:tc>
          <w:tcPr>
            <w:tcW w:w="960" w:type="dxa"/>
            <w:noWrap/>
            <w:hideMark/>
          </w:tcPr>
          <w:p w14:paraId="6C0C949C" w14:textId="77777777" w:rsidR="00C83ACE" w:rsidRPr="00C83ACE" w:rsidRDefault="00C83ACE" w:rsidP="00C83ACE">
            <w:r w:rsidRPr="00C83ACE">
              <w:t>0.38</w:t>
            </w:r>
          </w:p>
        </w:tc>
      </w:tr>
      <w:tr w:rsidR="00471BDA" w:rsidRPr="00C83ACE" w14:paraId="465CD5A9" w14:textId="77777777" w:rsidTr="00C83ACE">
        <w:trPr>
          <w:trHeight w:val="300"/>
        </w:trPr>
        <w:tc>
          <w:tcPr>
            <w:tcW w:w="2440" w:type="dxa"/>
            <w:noWrap/>
          </w:tcPr>
          <w:p w14:paraId="5557501A" w14:textId="77777777" w:rsidR="00471BDA" w:rsidRDefault="00471BDA" w:rsidP="00471BDA">
            <w:bookmarkStart w:id="11" w:name="_Hlk44565469"/>
            <w:r w:rsidRPr="00C83ACE">
              <w:t>Financial Leverage</w:t>
            </w:r>
          </w:p>
          <w:bookmarkEnd w:id="11"/>
          <w:p w14:paraId="75A5F533" w14:textId="11A8CF10" w:rsidR="00471BDA" w:rsidRPr="00C83ACE" w:rsidRDefault="00471BDA" w:rsidP="00471BDA">
            <w:r>
              <w:lastRenderedPageBreak/>
              <w:t xml:space="preserve">= </w:t>
            </w:r>
            <w:r w:rsidRPr="001D7BAD">
              <w:t>Total Debt / Shareholder's Equity</w:t>
            </w:r>
          </w:p>
        </w:tc>
        <w:tc>
          <w:tcPr>
            <w:tcW w:w="960" w:type="dxa"/>
            <w:noWrap/>
          </w:tcPr>
          <w:p w14:paraId="7ABCA9D9" w14:textId="141C5595" w:rsidR="00471BDA" w:rsidRPr="00C83ACE" w:rsidRDefault="00471BDA" w:rsidP="00471BDA">
            <w:r w:rsidRPr="00C83ACE">
              <w:lastRenderedPageBreak/>
              <w:t>6.25</w:t>
            </w:r>
          </w:p>
        </w:tc>
        <w:tc>
          <w:tcPr>
            <w:tcW w:w="960" w:type="dxa"/>
            <w:noWrap/>
          </w:tcPr>
          <w:p w14:paraId="32CCE1A5" w14:textId="1E0BF485" w:rsidR="00471BDA" w:rsidRPr="00C83ACE" w:rsidRDefault="00471BDA" w:rsidP="00471BDA">
            <w:r w:rsidRPr="00C83ACE">
              <w:t>5.09</w:t>
            </w:r>
          </w:p>
        </w:tc>
        <w:tc>
          <w:tcPr>
            <w:tcW w:w="960" w:type="dxa"/>
            <w:noWrap/>
          </w:tcPr>
          <w:p w14:paraId="78F93B7F" w14:textId="4BB05F6B" w:rsidR="00471BDA" w:rsidRPr="00C83ACE" w:rsidRDefault="00471BDA" w:rsidP="00471BDA">
            <w:r w:rsidRPr="00C83ACE">
              <w:t>7.12</w:t>
            </w:r>
          </w:p>
        </w:tc>
        <w:tc>
          <w:tcPr>
            <w:tcW w:w="960" w:type="dxa"/>
            <w:noWrap/>
          </w:tcPr>
          <w:p w14:paraId="0C6C7F0F" w14:textId="48496230" w:rsidR="00471BDA" w:rsidRPr="00C83ACE" w:rsidRDefault="00471BDA" w:rsidP="00471BDA">
            <w:r w:rsidRPr="00C83ACE">
              <w:t>4.28</w:t>
            </w:r>
          </w:p>
        </w:tc>
        <w:tc>
          <w:tcPr>
            <w:tcW w:w="960" w:type="dxa"/>
            <w:noWrap/>
          </w:tcPr>
          <w:p w14:paraId="3953291B" w14:textId="4248AEDE" w:rsidR="00471BDA" w:rsidRPr="00C83ACE" w:rsidRDefault="00471BDA" w:rsidP="00471BDA">
            <w:r w:rsidRPr="00C83ACE">
              <w:t>3.3</w:t>
            </w:r>
          </w:p>
        </w:tc>
      </w:tr>
    </w:tbl>
    <w:p w14:paraId="50E9428F" w14:textId="4449DA44" w:rsidR="001D7BAD" w:rsidRDefault="001D7BAD" w:rsidP="00FF427C">
      <w:pPr>
        <w:rPr>
          <w:lang w:val="en-GB"/>
        </w:rPr>
      </w:pPr>
      <w:r>
        <w:rPr>
          <w:lang w:val="en-GB"/>
        </w:rPr>
        <w:lastRenderedPageBreak/>
        <w:t>Table: Gearing ratio</w:t>
      </w:r>
    </w:p>
    <w:p w14:paraId="6A178593" w14:textId="01C69120" w:rsidR="00471BDA" w:rsidRDefault="00471BDA" w:rsidP="00471BDA">
      <w:pPr>
        <w:rPr>
          <w:lang w:val="en-GB"/>
        </w:rPr>
      </w:pPr>
      <w:r w:rsidRPr="00471BDA">
        <w:rPr>
          <w:b/>
          <w:bCs/>
          <w:lang w:val="en-GB"/>
        </w:rPr>
        <w:t>Debt/Equity</w:t>
      </w:r>
      <w:r>
        <w:rPr>
          <w:lang w:val="en-GB"/>
        </w:rPr>
        <w:t>:</w:t>
      </w:r>
      <w:r w:rsidRPr="00471BDA">
        <w:rPr>
          <w:rFonts w:ascii="Arial" w:hAnsi="Arial" w:cs="Arial"/>
          <w:color w:val="4D5156"/>
          <w:sz w:val="21"/>
          <w:szCs w:val="21"/>
          <w:shd w:val="clear" w:color="auto" w:fill="FFFFFF"/>
        </w:rPr>
        <w:t xml:space="preserve"> </w:t>
      </w:r>
      <w:r w:rsidRPr="00471BDA">
        <w:t xml:space="preserve">The debt-to-equity ratio is </w:t>
      </w:r>
      <w:r>
        <w:t xml:space="preserve">the </w:t>
      </w:r>
      <w:r w:rsidRPr="00471BDA">
        <w:t xml:space="preserve">financial ratio </w:t>
      </w:r>
      <w:r>
        <w:t xml:space="preserve">which indicates the </w:t>
      </w:r>
      <w:r w:rsidRPr="00471BDA">
        <w:t>relative proportion of</w:t>
      </w:r>
      <w:r>
        <w:t xml:space="preserve"> the</w:t>
      </w:r>
      <w:r w:rsidRPr="00471BDA">
        <w:t xml:space="preserve"> shareholders' equity and debt used </w:t>
      </w:r>
      <w:r>
        <w:t>for</w:t>
      </w:r>
      <w:r w:rsidRPr="00471BDA">
        <w:t xml:space="preserve"> financ</w:t>
      </w:r>
      <w:r>
        <w:t xml:space="preserve">ing the </w:t>
      </w:r>
      <w:r w:rsidRPr="00471BDA">
        <w:t>purchase</w:t>
      </w:r>
      <w:r>
        <w:t xml:space="preserve"> of the</w:t>
      </w:r>
      <w:r w:rsidRPr="00471BDA">
        <w:t xml:space="preserve"> company's assets</w:t>
      </w:r>
      <w:r w:rsidR="00DC797E" w:rsidRPr="00DC797E">
        <w:t xml:space="preserve"> (Johnson and Melicher, 1982)</w:t>
      </w:r>
      <w:r w:rsidRPr="00471BDA">
        <w:t>.</w:t>
      </w:r>
      <w:r w:rsidR="00737360">
        <w:t xml:space="preserve"> This ratio helps measure whether the company’s operations are largely financed by equity or by debt. A higher debt to equity ratio sends a bad signal about a company. Usually, a good debt/equity ratio for Tesco in the context of its respective industry would be between 1 to 1.5</w:t>
      </w:r>
      <w:r w:rsidR="00C272F1" w:rsidRPr="00C272F1">
        <w:t xml:space="preserve"> (Infront Analytics, 2020)</w:t>
      </w:r>
      <w:r w:rsidR="00737360">
        <w:t xml:space="preserve">. </w:t>
      </w:r>
      <w:r w:rsidR="00C610E9">
        <w:t xml:space="preserve">A higher ratio will indicate that the company is unable to finance its operations from its own equity. At Tesco however, the debt to equity ratio was 0.38 and the year before it was 0.68. </w:t>
      </w:r>
    </w:p>
    <w:p w14:paraId="6047447C" w14:textId="619DE498" w:rsidR="00471BDA" w:rsidRDefault="00471BDA" w:rsidP="00471BDA">
      <w:pPr>
        <w:rPr>
          <w:lang w:val="en-GB"/>
        </w:rPr>
      </w:pPr>
      <w:r w:rsidRPr="00471BDA">
        <w:rPr>
          <w:b/>
          <w:bCs/>
          <w:lang w:val="en-GB"/>
        </w:rPr>
        <w:t>Financial Leverage</w:t>
      </w:r>
      <w:r w:rsidRPr="00471BDA">
        <w:rPr>
          <w:lang w:val="en-GB"/>
        </w:rPr>
        <w:t>:</w:t>
      </w:r>
      <w:r w:rsidRPr="00471BDA">
        <w:t xml:space="preserve"> </w:t>
      </w:r>
      <w:r w:rsidRPr="00471BDA">
        <w:rPr>
          <w:lang w:val="en-GB"/>
        </w:rPr>
        <w:t xml:space="preserve">Financial leverage is </w:t>
      </w:r>
      <w:r>
        <w:rPr>
          <w:lang w:val="en-GB"/>
        </w:rPr>
        <w:t>“</w:t>
      </w:r>
      <w:r w:rsidRPr="00471BDA">
        <w:rPr>
          <w:lang w:val="en-GB"/>
        </w:rPr>
        <w:t>the use of borrowed money (debt) to finance the purchase of assets</w:t>
      </w:r>
      <w:r>
        <w:rPr>
          <w:lang w:val="en-GB"/>
        </w:rPr>
        <w:t>”</w:t>
      </w:r>
      <w:r w:rsidR="00DC797E" w:rsidRPr="00DC797E">
        <w:t xml:space="preserve"> </w:t>
      </w:r>
      <w:r w:rsidR="00DC797E" w:rsidRPr="00DC797E">
        <w:rPr>
          <w:lang w:val="en-GB"/>
        </w:rPr>
        <w:t>(Johnson and Melicher, 1982)</w:t>
      </w:r>
      <w:r w:rsidRPr="00471BDA">
        <w:rPr>
          <w:lang w:val="en-GB"/>
        </w:rPr>
        <w:t>.</w:t>
      </w:r>
      <w:r w:rsidR="00CC500F">
        <w:rPr>
          <w:lang w:val="en-GB"/>
        </w:rPr>
        <w:t xml:space="preserve"> This ratio is particularly important to determine the solvency of the company and the risks that it is exposed to. If the company continues to purchase assets with borrowed money, then the risks of the company going insolvent becomes higher. A good financial leverage in the context of Tesco is 0.5 or less</w:t>
      </w:r>
      <w:r w:rsidR="00C272F1" w:rsidRPr="00C272F1">
        <w:t xml:space="preserve"> </w:t>
      </w:r>
      <w:r w:rsidR="00C272F1" w:rsidRPr="00C272F1">
        <w:rPr>
          <w:lang w:val="en-GB"/>
        </w:rPr>
        <w:t>(Infront Analytics, 2020)</w:t>
      </w:r>
      <w:r w:rsidR="00CC500F">
        <w:rPr>
          <w:lang w:val="en-GB"/>
        </w:rPr>
        <w:t>. This indicates that the company is purchasing assets with own capital rather than borrowed funds</w:t>
      </w:r>
      <w:r w:rsidR="00C272F1" w:rsidRPr="00C272F1">
        <w:t xml:space="preserve"> </w:t>
      </w:r>
      <w:r w:rsidR="00C272F1" w:rsidRPr="00C272F1">
        <w:rPr>
          <w:lang w:val="en-GB"/>
        </w:rPr>
        <w:t>(Financial Morningstar, 2020)</w:t>
      </w:r>
      <w:r w:rsidR="00CC500F">
        <w:rPr>
          <w:lang w:val="en-GB"/>
        </w:rPr>
        <w:t xml:space="preserve">. </w:t>
      </w:r>
      <w:r w:rsidR="00502DB6">
        <w:rPr>
          <w:lang w:val="en-GB"/>
        </w:rPr>
        <w:t xml:space="preserve">Yet, Tesco’s financial leverage is much higher compared to the industry standards, which indicates the risks of insolvency. Although, it would be easier for the company to avoid such risks, but if plans are not met to reduce the financial leverage then the company could soon face sustainability issues. </w:t>
      </w:r>
    </w:p>
    <w:p w14:paraId="5C4C9FDE" w14:textId="61BF3684" w:rsidR="00C74286" w:rsidRPr="00BC5E30" w:rsidRDefault="00433482" w:rsidP="005B2DC4">
      <w:pPr>
        <w:pStyle w:val="Heading3"/>
        <w:rPr>
          <w:color w:val="auto"/>
          <w:lang w:val="en-GB"/>
        </w:rPr>
      </w:pPr>
      <w:bookmarkStart w:id="12" w:name="_Toc44601158"/>
      <w:r w:rsidRPr="00BC5E30">
        <w:rPr>
          <w:color w:val="auto"/>
          <w:lang w:val="en-GB"/>
        </w:rPr>
        <w:t>Efficiency ratio</w:t>
      </w:r>
      <w:bookmarkEnd w:id="12"/>
    </w:p>
    <w:p w14:paraId="7F9B5691" w14:textId="51D0E44C" w:rsidR="00736869" w:rsidRPr="00736869" w:rsidRDefault="00736869" w:rsidP="00736869">
      <w:pPr>
        <w:rPr>
          <w:lang w:val="en-GB"/>
        </w:rPr>
      </w:pPr>
      <w:r>
        <w:rPr>
          <w:lang w:val="en-GB"/>
        </w:rPr>
        <w:t>Efficiency ratio helps determine the efficiency of the performance of a company during an accounting year</w:t>
      </w:r>
      <w:r w:rsidR="00DC797E" w:rsidRPr="00DC797E">
        <w:t xml:space="preserve"> </w:t>
      </w:r>
      <w:r w:rsidR="00DC797E" w:rsidRPr="00DC797E">
        <w:rPr>
          <w:lang w:val="en-GB"/>
        </w:rPr>
        <w:t>(Khan and Jain, 2007)</w:t>
      </w:r>
      <w:r>
        <w:rPr>
          <w:lang w:val="en-GB"/>
        </w:rPr>
        <w:t xml:space="preserve">. Performance efficiency is required to perform competitively in the industry. The following ratios would help determine the areas in which efficiency should be increased. </w:t>
      </w:r>
    </w:p>
    <w:tbl>
      <w:tblPr>
        <w:tblStyle w:val="TableGrid"/>
        <w:tblW w:w="9781" w:type="dxa"/>
        <w:tblLook w:val="04A0" w:firstRow="1" w:lastRow="0" w:firstColumn="1" w:lastColumn="0" w:noHBand="0" w:noVBand="1"/>
      </w:tblPr>
      <w:tblGrid>
        <w:gridCol w:w="5575"/>
        <w:gridCol w:w="756"/>
        <w:gridCol w:w="876"/>
        <w:gridCol w:w="810"/>
        <w:gridCol w:w="900"/>
        <w:gridCol w:w="900"/>
      </w:tblGrid>
      <w:tr w:rsidR="00C83ACE" w:rsidRPr="00C83ACE" w14:paraId="10703925" w14:textId="77777777" w:rsidTr="005B2DC4">
        <w:trPr>
          <w:trHeight w:val="300"/>
        </w:trPr>
        <w:tc>
          <w:tcPr>
            <w:tcW w:w="5575" w:type="dxa"/>
            <w:noWrap/>
            <w:hideMark/>
          </w:tcPr>
          <w:p w14:paraId="57A798EE" w14:textId="77777777" w:rsidR="00C83ACE" w:rsidRPr="00C83ACE" w:rsidRDefault="00C83ACE" w:rsidP="00C83ACE"/>
        </w:tc>
        <w:tc>
          <w:tcPr>
            <w:tcW w:w="720" w:type="dxa"/>
            <w:noWrap/>
            <w:hideMark/>
          </w:tcPr>
          <w:p w14:paraId="53A2D7A6" w14:textId="77777777" w:rsidR="00C83ACE" w:rsidRPr="00C83ACE" w:rsidRDefault="00C83ACE" w:rsidP="00C83ACE">
            <w:r w:rsidRPr="00C83ACE">
              <w:t>2015</w:t>
            </w:r>
          </w:p>
        </w:tc>
        <w:tc>
          <w:tcPr>
            <w:tcW w:w="876" w:type="dxa"/>
            <w:noWrap/>
            <w:hideMark/>
          </w:tcPr>
          <w:p w14:paraId="2937D871" w14:textId="77777777" w:rsidR="00C83ACE" w:rsidRPr="00C83ACE" w:rsidRDefault="00C83ACE" w:rsidP="00C83ACE">
            <w:r w:rsidRPr="00C83ACE">
              <w:t>2016</w:t>
            </w:r>
          </w:p>
        </w:tc>
        <w:tc>
          <w:tcPr>
            <w:tcW w:w="810" w:type="dxa"/>
            <w:noWrap/>
            <w:hideMark/>
          </w:tcPr>
          <w:p w14:paraId="5E77386C" w14:textId="77777777" w:rsidR="00C83ACE" w:rsidRPr="00C83ACE" w:rsidRDefault="00C83ACE" w:rsidP="00C83ACE">
            <w:r w:rsidRPr="00C83ACE">
              <w:t>2017</w:t>
            </w:r>
          </w:p>
        </w:tc>
        <w:tc>
          <w:tcPr>
            <w:tcW w:w="900" w:type="dxa"/>
            <w:noWrap/>
            <w:hideMark/>
          </w:tcPr>
          <w:p w14:paraId="1EBC6B1E" w14:textId="77777777" w:rsidR="00C83ACE" w:rsidRPr="00C83ACE" w:rsidRDefault="00C83ACE" w:rsidP="00C83ACE">
            <w:r w:rsidRPr="00C83ACE">
              <w:t>2018</w:t>
            </w:r>
          </w:p>
        </w:tc>
        <w:tc>
          <w:tcPr>
            <w:tcW w:w="900" w:type="dxa"/>
            <w:noWrap/>
            <w:hideMark/>
          </w:tcPr>
          <w:p w14:paraId="3D66163F" w14:textId="77777777" w:rsidR="00C83ACE" w:rsidRPr="00C83ACE" w:rsidRDefault="00C83ACE" w:rsidP="00C83ACE">
            <w:r w:rsidRPr="00C83ACE">
              <w:t>2019</w:t>
            </w:r>
          </w:p>
        </w:tc>
      </w:tr>
      <w:tr w:rsidR="00C83ACE" w:rsidRPr="00C83ACE" w14:paraId="03DB0AAA" w14:textId="77777777" w:rsidTr="005B2DC4">
        <w:trPr>
          <w:trHeight w:val="300"/>
        </w:trPr>
        <w:tc>
          <w:tcPr>
            <w:tcW w:w="5575" w:type="dxa"/>
            <w:noWrap/>
            <w:hideMark/>
          </w:tcPr>
          <w:p w14:paraId="6866FB69" w14:textId="77777777" w:rsidR="00C83ACE" w:rsidRDefault="00C83ACE" w:rsidP="00C83ACE">
            <w:pPr>
              <w:rPr>
                <w:lang w:val="en-GB"/>
              </w:rPr>
            </w:pPr>
            <w:r w:rsidRPr="00C83ACE">
              <w:rPr>
                <w:lang w:val="en-GB"/>
              </w:rPr>
              <w:t>Receivables turnover</w:t>
            </w:r>
          </w:p>
          <w:p w14:paraId="3C4CF424" w14:textId="10844EB3" w:rsidR="001D7BAD" w:rsidRPr="00C83ACE" w:rsidRDefault="005B2DC4" w:rsidP="00C83ACE">
            <w:r w:rsidRPr="005B2DC4">
              <w:t>= Net Credit Sales / Average Accounts Receivable</w:t>
            </w:r>
          </w:p>
        </w:tc>
        <w:tc>
          <w:tcPr>
            <w:tcW w:w="720" w:type="dxa"/>
            <w:noWrap/>
            <w:hideMark/>
          </w:tcPr>
          <w:p w14:paraId="6F3EEFA7" w14:textId="77777777" w:rsidR="00C83ACE" w:rsidRPr="00C83ACE" w:rsidRDefault="00C83ACE">
            <w:r w:rsidRPr="00C83ACE">
              <w:t>—</w:t>
            </w:r>
          </w:p>
        </w:tc>
        <w:tc>
          <w:tcPr>
            <w:tcW w:w="876" w:type="dxa"/>
            <w:noWrap/>
            <w:hideMark/>
          </w:tcPr>
          <w:p w14:paraId="5C7CCD0E" w14:textId="77777777" w:rsidR="00C83ACE" w:rsidRPr="00C83ACE" w:rsidRDefault="00C83ACE" w:rsidP="00C83ACE">
            <w:r w:rsidRPr="00C83ACE">
              <w:t>219.49</w:t>
            </w:r>
          </w:p>
        </w:tc>
        <w:tc>
          <w:tcPr>
            <w:tcW w:w="810" w:type="dxa"/>
            <w:noWrap/>
            <w:hideMark/>
          </w:tcPr>
          <w:p w14:paraId="3AD387CD" w14:textId="77777777" w:rsidR="00C83ACE" w:rsidRPr="00C83ACE" w:rsidRDefault="00C83ACE" w:rsidP="00C83ACE">
            <w:r w:rsidRPr="00C83ACE">
              <w:t>56.74</w:t>
            </w:r>
          </w:p>
        </w:tc>
        <w:tc>
          <w:tcPr>
            <w:tcW w:w="900" w:type="dxa"/>
            <w:noWrap/>
            <w:hideMark/>
          </w:tcPr>
          <w:p w14:paraId="600D84A9" w14:textId="77777777" w:rsidR="00C83ACE" w:rsidRPr="00C83ACE" w:rsidRDefault="00C83ACE" w:rsidP="00C83ACE">
            <w:r w:rsidRPr="00C83ACE">
              <w:t>38.88</w:t>
            </w:r>
          </w:p>
        </w:tc>
        <w:tc>
          <w:tcPr>
            <w:tcW w:w="900" w:type="dxa"/>
            <w:noWrap/>
            <w:hideMark/>
          </w:tcPr>
          <w:p w14:paraId="01A72249" w14:textId="77777777" w:rsidR="00C83ACE" w:rsidRPr="00C83ACE" w:rsidRDefault="00C83ACE" w:rsidP="00C83ACE">
            <w:r w:rsidRPr="00C83ACE">
              <w:t>40.94</w:t>
            </w:r>
          </w:p>
        </w:tc>
      </w:tr>
      <w:tr w:rsidR="00C83ACE" w:rsidRPr="00C83ACE" w14:paraId="0E67DC32" w14:textId="77777777" w:rsidTr="005B2DC4">
        <w:trPr>
          <w:trHeight w:val="300"/>
        </w:trPr>
        <w:tc>
          <w:tcPr>
            <w:tcW w:w="5575" w:type="dxa"/>
            <w:noWrap/>
            <w:hideMark/>
          </w:tcPr>
          <w:p w14:paraId="3C86F652" w14:textId="77777777" w:rsidR="00C83ACE" w:rsidRDefault="00C83ACE" w:rsidP="00C83ACE">
            <w:pPr>
              <w:rPr>
                <w:lang w:val="en-GB"/>
              </w:rPr>
            </w:pPr>
            <w:r w:rsidRPr="00C83ACE">
              <w:rPr>
                <w:lang w:val="en-GB"/>
              </w:rPr>
              <w:lastRenderedPageBreak/>
              <w:t>Inventory turnover</w:t>
            </w:r>
          </w:p>
          <w:p w14:paraId="0534BB75" w14:textId="05CD0243" w:rsidR="005B2DC4" w:rsidRPr="00C83ACE" w:rsidRDefault="005B2DC4" w:rsidP="00C83ACE">
            <w:r w:rsidRPr="005B2DC4">
              <w:t>Cost of Goods Sold ÷ Average Inventory</w:t>
            </w:r>
          </w:p>
        </w:tc>
        <w:tc>
          <w:tcPr>
            <w:tcW w:w="720" w:type="dxa"/>
            <w:noWrap/>
            <w:hideMark/>
          </w:tcPr>
          <w:p w14:paraId="5308301B" w14:textId="77777777" w:rsidR="00C83ACE" w:rsidRPr="00C83ACE" w:rsidRDefault="00C83ACE" w:rsidP="00C83ACE">
            <w:r w:rsidRPr="00C83ACE">
              <w:t>19.71</w:t>
            </w:r>
          </w:p>
        </w:tc>
        <w:tc>
          <w:tcPr>
            <w:tcW w:w="876" w:type="dxa"/>
            <w:noWrap/>
            <w:hideMark/>
          </w:tcPr>
          <w:p w14:paraId="7C2A6A00" w14:textId="77777777" w:rsidR="00C83ACE" w:rsidRPr="00C83ACE" w:rsidRDefault="00C83ACE" w:rsidP="00C83ACE">
            <w:r w:rsidRPr="00C83ACE">
              <w:t>19.15</w:t>
            </w:r>
          </w:p>
        </w:tc>
        <w:tc>
          <w:tcPr>
            <w:tcW w:w="810" w:type="dxa"/>
            <w:noWrap/>
            <w:hideMark/>
          </w:tcPr>
          <w:p w14:paraId="023189D9" w14:textId="77777777" w:rsidR="00C83ACE" w:rsidRPr="00C83ACE" w:rsidRDefault="00C83ACE" w:rsidP="00C83ACE">
            <w:r w:rsidRPr="00C83ACE">
              <w:t>22.41</w:t>
            </w:r>
          </w:p>
        </w:tc>
        <w:tc>
          <w:tcPr>
            <w:tcW w:w="900" w:type="dxa"/>
            <w:noWrap/>
            <w:hideMark/>
          </w:tcPr>
          <w:p w14:paraId="41820972" w14:textId="77777777" w:rsidR="00C83ACE" w:rsidRPr="00C83ACE" w:rsidRDefault="00C83ACE" w:rsidP="00C83ACE">
            <w:r w:rsidRPr="00C83ACE">
              <w:t>23.73</w:t>
            </w:r>
          </w:p>
        </w:tc>
        <w:tc>
          <w:tcPr>
            <w:tcW w:w="900" w:type="dxa"/>
            <w:noWrap/>
            <w:hideMark/>
          </w:tcPr>
          <w:p w14:paraId="34B13C6C" w14:textId="77777777" w:rsidR="00C83ACE" w:rsidRPr="00C83ACE" w:rsidRDefault="00C83ACE" w:rsidP="00C83ACE">
            <w:r w:rsidRPr="00C83ACE">
              <w:t>24.49</w:t>
            </w:r>
          </w:p>
        </w:tc>
      </w:tr>
      <w:tr w:rsidR="00C83ACE" w:rsidRPr="00C83ACE" w14:paraId="5F138497" w14:textId="77777777" w:rsidTr="005B2DC4">
        <w:trPr>
          <w:trHeight w:val="300"/>
        </w:trPr>
        <w:tc>
          <w:tcPr>
            <w:tcW w:w="5575" w:type="dxa"/>
            <w:noWrap/>
            <w:hideMark/>
          </w:tcPr>
          <w:p w14:paraId="3B490371" w14:textId="77777777" w:rsidR="00C83ACE" w:rsidRDefault="00C83ACE" w:rsidP="00C83ACE">
            <w:pPr>
              <w:rPr>
                <w:lang w:val="en-GB"/>
              </w:rPr>
            </w:pPr>
            <w:r w:rsidRPr="00C83ACE">
              <w:rPr>
                <w:lang w:val="en-GB"/>
              </w:rPr>
              <w:t>Fixed assets turnover</w:t>
            </w:r>
          </w:p>
          <w:p w14:paraId="41771F4A" w14:textId="2534108F" w:rsidR="005B2DC4" w:rsidRPr="00C83ACE" w:rsidRDefault="005B2DC4" w:rsidP="00C83ACE">
            <w:r w:rsidRPr="005B2DC4">
              <w:t>= Net Sales / Average Fixed Assets</w:t>
            </w:r>
          </w:p>
        </w:tc>
        <w:tc>
          <w:tcPr>
            <w:tcW w:w="720" w:type="dxa"/>
            <w:noWrap/>
            <w:hideMark/>
          </w:tcPr>
          <w:p w14:paraId="11F82B68" w14:textId="77777777" w:rsidR="00C83ACE" w:rsidRPr="00C83ACE" w:rsidRDefault="00C83ACE" w:rsidP="00C83ACE">
            <w:r w:rsidRPr="00C83ACE">
              <w:t>2.77</w:t>
            </w:r>
          </w:p>
        </w:tc>
        <w:tc>
          <w:tcPr>
            <w:tcW w:w="876" w:type="dxa"/>
            <w:noWrap/>
            <w:hideMark/>
          </w:tcPr>
          <w:p w14:paraId="78A6003B" w14:textId="77777777" w:rsidR="00C83ACE" w:rsidRPr="00C83ACE" w:rsidRDefault="00C83ACE" w:rsidP="00C83ACE">
            <w:r w:rsidRPr="00C83ACE">
              <w:t>2.84</w:t>
            </w:r>
          </w:p>
        </w:tc>
        <w:tc>
          <w:tcPr>
            <w:tcW w:w="810" w:type="dxa"/>
            <w:noWrap/>
            <w:hideMark/>
          </w:tcPr>
          <w:p w14:paraId="1363D444" w14:textId="77777777" w:rsidR="00C83ACE" w:rsidRPr="00C83ACE" w:rsidRDefault="00C83ACE" w:rsidP="00C83ACE">
            <w:r w:rsidRPr="00C83ACE">
              <w:t>3.11</w:t>
            </w:r>
          </w:p>
        </w:tc>
        <w:tc>
          <w:tcPr>
            <w:tcW w:w="900" w:type="dxa"/>
            <w:noWrap/>
            <w:hideMark/>
          </w:tcPr>
          <w:p w14:paraId="77D2FFDA" w14:textId="77777777" w:rsidR="00C83ACE" w:rsidRPr="00C83ACE" w:rsidRDefault="00C83ACE" w:rsidP="00C83ACE">
            <w:r w:rsidRPr="00C83ACE">
              <w:t>3.14</w:t>
            </w:r>
          </w:p>
        </w:tc>
        <w:tc>
          <w:tcPr>
            <w:tcW w:w="900" w:type="dxa"/>
            <w:noWrap/>
            <w:hideMark/>
          </w:tcPr>
          <w:p w14:paraId="74AE5583" w14:textId="77777777" w:rsidR="00C83ACE" w:rsidRPr="00C83ACE" w:rsidRDefault="00C83ACE" w:rsidP="00C83ACE">
            <w:r w:rsidRPr="00C83ACE">
              <w:t>3.4</w:t>
            </w:r>
          </w:p>
        </w:tc>
      </w:tr>
      <w:tr w:rsidR="00C83ACE" w:rsidRPr="00C83ACE" w14:paraId="18F39A73" w14:textId="77777777" w:rsidTr="005B2DC4">
        <w:trPr>
          <w:trHeight w:val="300"/>
        </w:trPr>
        <w:tc>
          <w:tcPr>
            <w:tcW w:w="5575" w:type="dxa"/>
            <w:noWrap/>
            <w:hideMark/>
          </w:tcPr>
          <w:p w14:paraId="1F4D1AED" w14:textId="77777777" w:rsidR="00C83ACE" w:rsidRDefault="00C83ACE" w:rsidP="00C83ACE">
            <w:pPr>
              <w:rPr>
                <w:lang w:val="en-GB"/>
              </w:rPr>
            </w:pPr>
            <w:r w:rsidRPr="00C83ACE">
              <w:rPr>
                <w:lang w:val="en-GB"/>
              </w:rPr>
              <w:t>Asset turnover</w:t>
            </w:r>
          </w:p>
          <w:p w14:paraId="0AD27465" w14:textId="539781FC" w:rsidR="005B2DC4" w:rsidRPr="00C83ACE" w:rsidRDefault="005B2DC4" w:rsidP="00C83ACE">
            <w:r w:rsidRPr="005B2DC4">
              <w:t>= Revenue / Average total assets</w:t>
            </w:r>
          </w:p>
        </w:tc>
        <w:tc>
          <w:tcPr>
            <w:tcW w:w="720" w:type="dxa"/>
            <w:noWrap/>
            <w:hideMark/>
          </w:tcPr>
          <w:p w14:paraId="46C7EA82" w14:textId="77777777" w:rsidR="00C83ACE" w:rsidRPr="00C83ACE" w:rsidRDefault="00C83ACE" w:rsidP="00C83ACE">
            <w:r w:rsidRPr="00C83ACE">
              <w:t>1.32</w:t>
            </w:r>
          </w:p>
        </w:tc>
        <w:tc>
          <w:tcPr>
            <w:tcW w:w="876" w:type="dxa"/>
            <w:noWrap/>
            <w:hideMark/>
          </w:tcPr>
          <w:p w14:paraId="7E7C5052" w14:textId="77777777" w:rsidR="00C83ACE" w:rsidRPr="00C83ACE" w:rsidRDefault="00C83ACE" w:rsidP="00C83ACE">
            <w:r w:rsidRPr="00C83ACE">
              <w:t>1.24</w:t>
            </w:r>
          </w:p>
        </w:tc>
        <w:tc>
          <w:tcPr>
            <w:tcW w:w="810" w:type="dxa"/>
            <w:noWrap/>
            <w:hideMark/>
          </w:tcPr>
          <w:p w14:paraId="0222447E" w14:textId="77777777" w:rsidR="00C83ACE" w:rsidRPr="00C83ACE" w:rsidRDefault="00C83ACE" w:rsidP="00C83ACE">
            <w:r w:rsidRPr="00C83ACE">
              <w:t>1.24</w:t>
            </w:r>
          </w:p>
        </w:tc>
        <w:tc>
          <w:tcPr>
            <w:tcW w:w="900" w:type="dxa"/>
            <w:noWrap/>
            <w:hideMark/>
          </w:tcPr>
          <w:p w14:paraId="77AA3C0F" w14:textId="77777777" w:rsidR="00C83ACE" w:rsidRPr="00C83ACE" w:rsidRDefault="00C83ACE" w:rsidP="00C83ACE">
            <w:r w:rsidRPr="00C83ACE">
              <w:t>1.27</w:t>
            </w:r>
          </w:p>
        </w:tc>
        <w:tc>
          <w:tcPr>
            <w:tcW w:w="900" w:type="dxa"/>
            <w:noWrap/>
            <w:hideMark/>
          </w:tcPr>
          <w:p w14:paraId="58CF04AF" w14:textId="77777777" w:rsidR="00C83ACE" w:rsidRPr="00C83ACE" w:rsidRDefault="00C83ACE" w:rsidP="00C83ACE">
            <w:r w:rsidRPr="00C83ACE">
              <w:t>1.36</w:t>
            </w:r>
          </w:p>
        </w:tc>
      </w:tr>
    </w:tbl>
    <w:p w14:paraId="56BE8C0B" w14:textId="23451A02" w:rsidR="00433482" w:rsidRDefault="001D7BAD" w:rsidP="00FE5580">
      <w:pPr>
        <w:jc w:val="center"/>
        <w:rPr>
          <w:lang w:val="en-GB"/>
        </w:rPr>
      </w:pPr>
      <w:r>
        <w:rPr>
          <w:lang w:val="en-GB"/>
        </w:rPr>
        <w:t>Table: Efficiency ratio</w:t>
      </w:r>
    </w:p>
    <w:p w14:paraId="23317177" w14:textId="2D038875" w:rsidR="001D7BAD" w:rsidRDefault="00FE5580" w:rsidP="00FF427C">
      <w:pPr>
        <w:rPr>
          <w:lang w:val="en-GB"/>
        </w:rPr>
      </w:pPr>
      <w:r>
        <w:rPr>
          <w:noProof/>
          <w:lang w:val="en-GB" w:eastAsia="en-GB"/>
        </w:rPr>
        <w:drawing>
          <wp:anchor distT="0" distB="0" distL="114300" distR="114300" simplePos="0" relativeHeight="251661312" behindDoc="0" locked="0" layoutInCell="1" allowOverlap="1" wp14:anchorId="2D88CA7F" wp14:editId="68049171">
            <wp:simplePos x="0" y="0"/>
            <wp:positionH relativeFrom="column">
              <wp:posOffset>666750</wp:posOffset>
            </wp:positionH>
            <wp:positionV relativeFrom="paragraph">
              <wp:posOffset>185420</wp:posOffset>
            </wp:positionV>
            <wp:extent cx="4572000" cy="2743200"/>
            <wp:effectExtent l="0" t="0" r="0" b="0"/>
            <wp:wrapTopAndBottom/>
            <wp:docPr id="5" name="Chart 5">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B45CB92-0FD1-46D2-9C52-56C77EBE5D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108C19EF" w14:textId="452B77F6" w:rsidR="001D7BAD" w:rsidRDefault="001D7BAD" w:rsidP="00FE5580">
      <w:pPr>
        <w:jc w:val="center"/>
        <w:rPr>
          <w:lang w:val="en-GB"/>
        </w:rPr>
      </w:pPr>
      <w:r>
        <w:rPr>
          <w:lang w:val="en-GB"/>
        </w:rPr>
        <w:t>Figure: Efficiency ratio</w:t>
      </w:r>
    </w:p>
    <w:p w14:paraId="560731E4" w14:textId="5BCA8649" w:rsidR="00716213" w:rsidRDefault="00502DB6" w:rsidP="00C272F1">
      <w:r w:rsidRPr="00716213">
        <w:rPr>
          <w:b/>
          <w:bCs/>
        </w:rPr>
        <w:t>Receivables turnover</w:t>
      </w:r>
      <w:r w:rsidR="00402C36">
        <w:t xml:space="preserve">: This ratio helps measure the company’s efficiency in collecting money from the </w:t>
      </w:r>
      <w:r w:rsidR="00716213">
        <w:t>account’s</w:t>
      </w:r>
      <w:r w:rsidR="00402C36">
        <w:t xml:space="preserve"> receivables</w:t>
      </w:r>
      <w:r w:rsidR="00C272F1" w:rsidRPr="00C272F1">
        <w:t xml:space="preserve"> (Madura, </w:t>
      </w:r>
      <w:r w:rsidR="004E7F3B">
        <w:t>2019</w:t>
      </w:r>
      <w:r w:rsidR="00C272F1" w:rsidRPr="00C272F1">
        <w:t>)</w:t>
      </w:r>
      <w:r w:rsidR="00402C36">
        <w:t>.</w:t>
      </w:r>
      <w:r w:rsidR="00716213">
        <w:t xml:space="preserve"> Faster turnover of the receivables indicate that the company is in a better position to collect money from the receivables so that the liquidity of the company is maintained and the accounts payables are paid regularly as well</w:t>
      </w:r>
      <w:r w:rsidR="00C272F1" w:rsidRPr="00C272F1">
        <w:t xml:space="preserve"> (Financial Morningstar, 2020)</w:t>
      </w:r>
      <w:r w:rsidR="00716213">
        <w:t xml:space="preserve">. </w:t>
      </w:r>
      <w:r w:rsidR="00402C36">
        <w:t xml:space="preserve"> </w:t>
      </w:r>
    </w:p>
    <w:p w14:paraId="7190302C" w14:textId="2174EE8F" w:rsidR="00502DB6" w:rsidRPr="00502DB6" w:rsidRDefault="00716213" w:rsidP="00502DB6">
      <w:pPr>
        <w:rPr>
          <w:lang w:val="en-GB"/>
        </w:rPr>
      </w:pPr>
      <w:r>
        <w:rPr>
          <w:lang w:val="en-GB"/>
        </w:rPr>
        <w:t>Usually, in the context of the retail industry, a good receivables turnover would be 10. This means that the company will be able to gather money from the receivables a minimum of 10 times a year. A higher receivables turnover would be better</w:t>
      </w:r>
      <w:r w:rsidR="00C272F1" w:rsidRPr="00C272F1">
        <w:t xml:space="preserve"> </w:t>
      </w:r>
      <w:r w:rsidR="00C272F1" w:rsidRPr="00C272F1">
        <w:rPr>
          <w:lang w:val="en-GB"/>
        </w:rPr>
        <w:t>(Infront Analytics, 2020)</w:t>
      </w:r>
      <w:r>
        <w:rPr>
          <w:lang w:val="en-GB"/>
        </w:rPr>
        <w:t xml:space="preserve">. However, the company’s past performance should also be taken into account for this consideration. Tesco </w:t>
      </w:r>
      <w:r>
        <w:rPr>
          <w:lang w:val="en-GB"/>
        </w:rPr>
        <w:lastRenderedPageBreak/>
        <w:t>for instance, had better receivables turnover in 2016, which declined in the recent years. But the company still has a good turnover performance compared to industry standards</w:t>
      </w:r>
      <w:r w:rsidR="00C272F1" w:rsidRPr="00C272F1">
        <w:t xml:space="preserve"> </w:t>
      </w:r>
      <w:r w:rsidR="00C272F1" w:rsidRPr="00C272F1">
        <w:rPr>
          <w:lang w:val="en-GB"/>
        </w:rPr>
        <w:t>(Financial Morningstar, 2020)</w:t>
      </w:r>
      <w:r>
        <w:rPr>
          <w:lang w:val="en-GB"/>
        </w:rPr>
        <w:t xml:space="preserve">. </w:t>
      </w:r>
    </w:p>
    <w:p w14:paraId="45FDBB7B" w14:textId="0B50373C" w:rsidR="00502DB6" w:rsidRPr="00502DB6" w:rsidRDefault="00502DB6" w:rsidP="00502DB6">
      <w:pPr>
        <w:rPr>
          <w:lang w:val="en-GB"/>
        </w:rPr>
      </w:pPr>
      <w:r w:rsidRPr="00D84B0B">
        <w:rPr>
          <w:b/>
          <w:bCs/>
          <w:lang w:val="en-GB"/>
        </w:rPr>
        <w:t>Inventory turnover</w:t>
      </w:r>
      <w:r w:rsidR="00716213">
        <w:rPr>
          <w:lang w:val="en-GB"/>
        </w:rPr>
        <w:t>: Inventory turnover ratio helps measure the company’s performance of them replacing the older inventories with new ones during a particular time period. A good inventory turnover would be 4 to 6</w:t>
      </w:r>
      <w:r w:rsidR="00C272F1" w:rsidRPr="00C272F1">
        <w:t xml:space="preserve"> </w:t>
      </w:r>
      <w:r w:rsidR="00C272F1" w:rsidRPr="00C272F1">
        <w:rPr>
          <w:lang w:val="en-GB"/>
        </w:rPr>
        <w:t xml:space="preserve">(Madura, </w:t>
      </w:r>
      <w:r w:rsidR="004E7F3B">
        <w:rPr>
          <w:lang w:val="en-GB"/>
        </w:rPr>
        <w:t>2019</w:t>
      </w:r>
      <w:r w:rsidR="00C272F1" w:rsidRPr="00C272F1">
        <w:rPr>
          <w:lang w:val="en-GB"/>
        </w:rPr>
        <w:t>)</w:t>
      </w:r>
      <w:r w:rsidR="00716213">
        <w:rPr>
          <w:lang w:val="en-GB"/>
        </w:rPr>
        <w:t xml:space="preserve">. However, in retail sector, </w:t>
      </w:r>
      <w:r w:rsidR="00D84B0B">
        <w:rPr>
          <w:lang w:val="en-GB"/>
        </w:rPr>
        <w:t>higher the turnover, the better the company’s inventory performance. Higher inventory turnover indicates the company’s efficiency in managing the cycle of inventory flows. The company has maintained a good inventory turnover in the last five years. Compared to ASDA, whose inventory turnover was less than 10 in the last five years, Tesco proved its faster sales performance in the retail sector</w:t>
      </w:r>
      <w:r w:rsidR="00C272F1" w:rsidRPr="00C272F1">
        <w:t xml:space="preserve"> </w:t>
      </w:r>
      <w:r w:rsidR="00C272F1" w:rsidRPr="00C272F1">
        <w:rPr>
          <w:lang w:val="en-GB"/>
        </w:rPr>
        <w:t>(Financial Morningstar, 2020)</w:t>
      </w:r>
      <w:r w:rsidR="00D84B0B">
        <w:rPr>
          <w:lang w:val="en-GB"/>
        </w:rPr>
        <w:t xml:space="preserve">. </w:t>
      </w:r>
    </w:p>
    <w:p w14:paraId="0526F34C" w14:textId="50476EE8" w:rsidR="00FF427C" w:rsidRDefault="00502DB6" w:rsidP="00FF427C">
      <w:pPr>
        <w:rPr>
          <w:lang w:val="en-GB"/>
        </w:rPr>
      </w:pPr>
      <w:r w:rsidRPr="00D84B0B">
        <w:rPr>
          <w:b/>
          <w:bCs/>
          <w:lang w:val="en-GB"/>
        </w:rPr>
        <w:t>Fixed assets turnover</w:t>
      </w:r>
      <w:r w:rsidR="00D84B0B">
        <w:rPr>
          <w:lang w:val="en-GB"/>
        </w:rPr>
        <w:t>: Fixed assets turnover indicates a company’s ability to generate net sales against its fixed assets. In the context of the retail sector, a higher fixed assets turnover compared to the closest market rivals would indicate the company’s efficiency to perform more competitively</w:t>
      </w:r>
      <w:r w:rsidR="00C272F1" w:rsidRPr="00C272F1">
        <w:t xml:space="preserve"> </w:t>
      </w:r>
      <w:r w:rsidR="00C272F1" w:rsidRPr="00C272F1">
        <w:rPr>
          <w:lang w:val="en-GB"/>
        </w:rPr>
        <w:t xml:space="preserve">(Madura, </w:t>
      </w:r>
      <w:r w:rsidR="004E7F3B">
        <w:rPr>
          <w:lang w:val="en-GB"/>
        </w:rPr>
        <w:t>2019</w:t>
      </w:r>
      <w:r w:rsidR="00C272F1" w:rsidRPr="00C272F1">
        <w:rPr>
          <w:lang w:val="en-GB"/>
        </w:rPr>
        <w:t>)</w:t>
      </w:r>
      <w:r w:rsidR="00D84B0B">
        <w:rPr>
          <w:lang w:val="en-GB"/>
        </w:rPr>
        <w:t xml:space="preserve">. For instance, ASDA’s fixed assets turnover was </w:t>
      </w:r>
      <w:r w:rsidR="00D84B0B" w:rsidRPr="00D84B0B">
        <w:rPr>
          <w:lang w:val="en-GB"/>
        </w:rPr>
        <w:t>4.14</w:t>
      </w:r>
      <w:r w:rsidR="00D84B0B">
        <w:rPr>
          <w:lang w:val="en-GB"/>
        </w:rPr>
        <w:t xml:space="preserve">, </w:t>
      </w:r>
      <w:r w:rsidR="00D84B0B" w:rsidRPr="00D84B0B">
        <w:rPr>
          <w:lang w:val="en-GB"/>
        </w:rPr>
        <w:t>4.21</w:t>
      </w:r>
      <w:r w:rsidR="00D84B0B">
        <w:rPr>
          <w:lang w:val="en-GB"/>
        </w:rPr>
        <w:t xml:space="preserve">, </w:t>
      </w:r>
      <w:r w:rsidR="00D84B0B" w:rsidRPr="00D84B0B">
        <w:rPr>
          <w:lang w:val="en-GB"/>
        </w:rPr>
        <w:t>4.37</w:t>
      </w:r>
      <w:r w:rsidR="00D84B0B">
        <w:rPr>
          <w:lang w:val="en-GB"/>
        </w:rPr>
        <w:t xml:space="preserve">, </w:t>
      </w:r>
      <w:r w:rsidR="00D84B0B" w:rsidRPr="00D84B0B">
        <w:rPr>
          <w:lang w:val="en-GB"/>
        </w:rPr>
        <w:t>4.55</w:t>
      </w:r>
      <w:r w:rsidR="00D84B0B">
        <w:rPr>
          <w:lang w:val="en-GB"/>
        </w:rPr>
        <w:t xml:space="preserve"> and </w:t>
      </w:r>
      <w:r w:rsidR="00D84B0B" w:rsidRPr="00D84B0B">
        <w:rPr>
          <w:lang w:val="en-GB"/>
        </w:rPr>
        <w:t>4.39</w:t>
      </w:r>
      <w:r w:rsidR="00D84B0B">
        <w:rPr>
          <w:lang w:val="en-GB"/>
        </w:rPr>
        <w:t xml:space="preserve"> in the last five years respectively</w:t>
      </w:r>
      <w:r w:rsidR="00C272F1" w:rsidRPr="00C272F1">
        <w:t xml:space="preserve"> </w:t>
      </w:r>
      <w:r w:rsidR="00C272F1" w:rsidRPr="00C272F1">
        <w:rPr>
          <w:lang w:val="en-GB"/>
        </w:rPr>
        <w:t>(Financial Morningstar, 2020)</w:t>
      </w:r>
      <w:r w:rsidR="00D84B0B">
        <w:rPr>
          <w:lang w:val="en-GB"/>
        </w:rPr>
        <w:t>. Compared to Tesco, the company clearly had slight edge over the use of fixed assets to generate net sales. This is also a good indication that being the market leader, Tesco faces some hurdles against the competitors who manage to perform better with their less fixed assets</w:t>
      </w:r>
      <w:r w:rsidR="00C272F1" w:rsidRPr="00C272F1">
        <w:t xml:space="preserve"> </w:t>
      </w:r>
      <w:r w:rsidR="00C272F1" w:rsidRPr="00C272F1">
        <w:rPr>
          <w:lang w:val="en-GB"/>
        </w:rPr>
        <w:t>(Tesco Plc, 2020)</w:t>
      </w:r>
      <w:r w:rsidR="00D84B0B">
        <w:rPr>
          <w:lang w:val="en-GB"/>
        </w:rPr>
        <w:t xml:space="preserve">. To improve this performance, the company needs to improve its online sales channels and reduce the number of physical stores. </w:t>
      </w:r>
    </w:p>
    <w:p w14:paraId="1E8CD6CE" w14:textId="3948268D" w:rsidR="00FF427C" w:rsidRPr="00BC5E30" w:rsidRDefault="00FF427C" w:rsidP="00FF427C">
      <w:pPr>
        <w:pStyle w:val="Heading2"/>
        <w:rPr>
          <w:color w:val="000000" w:themeColor="text1"/>
          <w:sz w:val="24"/>
          <w:szCs w:val="24"/>
          <w:lang w:val="en-GB"/>
        </w:rPr>
      </w:pPr>
      <w:bookmarkStart w:id="13" w:name="_Toc44601159"/>
      <w:r w:rsidRPr="00BC5E30">
        <w:rPr>
          <w:color w:val="000000" w:themeColor="text1"/>
          <w:sz w:val="24"/>
          <w:szCs w:val="24"/>
          <w:lang w:val="en-GB"/>
        </w:rPr>
        <w:t>Recommendation on how to improve the financial management of the company</w:t>
      </w:r>
      <w:bookmarkEnd w:id="13"/>
    </w:p>
    <w:p w14:paraId="233AF90B" w14:textId="6664952B" w:rsidR="004E3104" w:rsidRDefault="00FF427C" w:rsidP="00FF427C">
      <w:pPr>
        <w:rPr>
          <w:lang w:val="en-GB"/>
        </w:rPr>
      </w:pPr>
      <w:r w:rsidRPr="00FF427C">
        <w:rPr>
          <w:lang w:val="en-GB"/>
        </w:rPr>
        <w:t>Being a retail company that operates in a highly competitive industry, Tesco aims success by offering competitive value propositions at competitive retail prices and by adapting a customer-oriented business model</w:t>
      </w:r>
      <w:r w:rsidR="00C272F1" w:rsidRPr="00C272F1">
        <w:t xml:space="preserve"> </w:t>
      </w:r>
      <w:r w:rsidR="00C272F1" w:rsidRPr="00C272F1">
        <w:rPr>
          <w:lang w:val="en-GB"/>
        </w:rPr>
        <w:t xml:space="preserve">(Block, Hirt and Danielsen, </w:t>
      </w:r>
      <w:r w:rsidR="004E7F3B">
        <w:rPr>
          <w:lang w:val="en-GB"/>
        </w:rPr>
        <w:t>2019</w:t>
      </w:r>
      <w:r w:rsidR="00C272F1" w:rsidRPr="00C272F1">
        <w:rPr>
          <w:lang w:val="en-GB"/>
        </w:rPr>
        <w:t>)</w:t>
      </w:r>
      <w:r w:rsidRPr="00FF427C">
        <w:rPr>
          <w:lang w:val="en-GB"/>
        </w:rPr>
        <w:t>. The company targets the middle class to upper class market segments in the UK. Thus, a diverse range of products are marketed by the company at different prices</w:t>
      </w:r>
      <w:r w:rsidR="00C272F1" w:rsidRPr="00C272F1">
        <w:t xml:space="preserve"> </w:t>
      </w:r>
      <w:r w:rsidR="00C272F1" w:rsidRPr="00C272F1">
        <w:rPr>
          <w:lang w:val="en-GB"/>
        </w:rPr>
        <w:t>(Financial Times, 2020)</w:t>
      </w:r>
      <w:r w:rsidRPr="00FF427C">
        <w:rPr>
          <w:lang w:val="en-GB"/>
        </w:rPr>
        <w:t>.</w:t>
      </w:r>
      <w:r w:rsidR="004E3104">
        <w:rPr>
          <w:lang w:val="en-GB"/>
        </w:rPr>
        <w:t xml:space="preserve"> Such a mix of product line or business strategy does have some impact on the financial performance of the company. This has been the case for Tesco as well. The company does have a good profitability which is evident from the ratio analysis, but the company’s liquidity performance and its leverage continues to </w:t>
      </w:r>
      <w:r w:rsidR="004E3104">
        <w:rPr>
          <w:lang w:val="en-GB"/>
        </w:rPr>
        <w:lastRenderedPageBreak/>
        <w:t>suffer.</w:t>
      </w:r>
      <w:r w:rsidRPr="00FF427C">
        <w:rPr>
          <w:lang w:val="en-GB"/>
        </w:rPr>
        <w:t xml:space="preserve"> </w:t>
      </w:r>
      <w:r w:rsidR="004E3104">
        <w:rPr>
          <w:lang w:val="en-GB"/>
        </w:rPr>
        <w:t xml:space="preserve">It would be recommended for the company to conduct a business model analysis to determine the </w:t>
      </w:r>
      <w:r w:rsidR="00DA563D">
        <w:rPr>
          <w:lang w:val="en-GB"/>
        </w:rPr>
        <w:t xml:space="preserve">areas that are causing the liquidity issues. </w:t>
      </w:r>
    </w:p>
    <w:p w14:paraId="44B3D598" w14:textId="23CED36A" w:rsidR="00DA563D" w:rsidRDefault="00DA563D" w:rsidP="000F7FD2">
      <w:pPr>
        <w:rPr>
          <w:lang w:val="en-GB"/>
        </w:rPr>
      </w:pPr>
      <w:r>
        <w:rPr>
          <w:lang w:val="en-GB"/>
        </w:rPr>
        <w:t>At this current state of the business, it is important to reduce dependence on physical stores and expand more into the online distribution channels</w:t>
      </w:r>
      <w:r w:rsidR="00C272F1" w:rsidRPr="00C272F1">
        <w:t xml:space="preserve"> </w:t>
      </w:r>
      <w:r w:rsidR="00C272F1" w:rsidRPr="00C272F1">
        <w:rPr>
          <w:lang w:val="en-GB"/>
        </w:rPr>
        <w:t xml:space="preserve">(Block, Hirt and Danielsen, </w:t>
      </w:r>
      <w:r w:rsidR="004E7F3B">
        <w:rPr>
          <w:lang w:val="en-GB"/>
        </w:rPr>
        <w:t>2019</w:t>
      </w:r>
      <w:r w:rsidR="00C272F1" w:rsidRPr="00C272F1">
        <w:rPr>
          <w:lang w:val="en-GB"/>
        </w:rPr>
        <w:t>)</w:t>
      </w:r>
      <w:r>
        <w:rPr>
          <w:lang w:val="en-GB"/>
        </w:rPr>
        <w:t>. This will help the company’s liquidity health and their financial leverage. Proper asset management strategies also need to be undertaken to improve the efficiency of using the assets and the overall performance in using these assets</w:t>
      </w:r>
      <w:r w:rsidR="00C272F1" w:rsidRPr="00C272F1">
        <w:t xml:space="preserve"> </w:t>
      </w:r>
      <w:r w:rsidR="00C272F1" w:rsidRPr="00C272F1">
        <w:rPr>
          <w:lang w:val="en-GB"/>
        </w:rPr>
        <w:t>(Financial Times, 2020)</w:t>
      </w:r>
      <w:r>
        <w:rPr>
          <w:lang w:val="en-GB"/>
        </w:rPr>
        <w:t>.</w:t>
      </w:r>
      <w:r w:rsidR="000F7FD2" w:rsidRPr="000F7FD2">
        <w:t xml:space="preserve"> </w:t>
      </w:r>
      <w:r w:rsidR="000F7FD2" w:rsidRPr="000F7FD2">
        <w:rPr>
          <w:lang w:val="en-GB"/>
        </w:rPr>
        <w:t>Tesco needs to utilize its assets more efficiently to generate revenues. Currently the company is investing more on its assets, but these investments are not generating a positive return for the company. The company’s need to develop strategies to reduce their liabilities and increase cash inflows to maintain a healthy cash liquidity.</w:t>
      </w:r>
    </w:p>
    <w:p w14:paraId="0C57DA1B" w14:textId="73A02A62" w:rsidR="00971B4E" w:rsidRDefault="00FF427C" w:rsidP="00971B4E">
      <w:pPr>
        <w:rPr>
          <w:lang w:val="en-GB"/>
        </w:rPr>
      </w:pPr>
      <w:r w:rsidRPr="00FF427C">
        <w:rPr>
          <w:lang w:val="en-GB"/>
        </w:rPr>
        <w:t xml:space="preserve">The finances of the business </w:t>
      </w:r>
      <w:r w:rsidR="00DA563D">
        <w:rPr>
          <w:lang w:val="en-GB"/>
        </w:rPr>
        <w:t>need to be</w:t>
      </w:r>
      <w:r w:rsidRPr="00FF427C">
        <w:rPr>
          <w:lang w:val="en-GB"/>
        </w:rPr>
        <w:t xml:space="preserve"> managed m</w:t>
      </w:r>
      <w:r w:rsidR="00DA563D">
        <w:rPr>
          <w:lang w:val="en-GB"/>
        </w:rPr>
        <w:t xml:space="preserve">ore </w:t>
      </w:r>
      <w:r w:rsidRPr="00FF427C">
        <w:rPr>
          <w:lang w:val="en-GB"/>
        </w:rPr>
        <w:t>strategically. Since the company operates in a highly competitive industry, it needs to maintain an efficient cost structure. This is perhaps the most challenging task for the business</w:t>
      </w:r>
      <w:r w:rsidR="00C272F1" w:rsidRPr="00C272F1">
        <w:t xml:space="preserve"> </w:t>
      </w:r>
      <w:r w:rsidR="00C272F1" w:rsidRPr="00C272F1">
        <w:rPr>
          <w:lang w:val="en-GB"/>
        </w:rPr>
        <w:t>(Financial Times, 2020)</w:t>
      </w:r>
      <w:r w:rsidRPr="00FF427C">
        <w:rPr>
          <w:lang w:val="en-GB"/>
        </w:rPr>
        <w:t>. The company, for example, selects its suppliers based on cost efficiency focus. This puts less pressure on operational costs, and the company manages to finance other functions of the company proportionately</w:t>
      </w:r>
      <w:r w:rsidR="00C272F1" w:rsidRPr="00C272F1">
        <w:t xml:space="preserve"> </w:t>
      </w:r>
      <w:r w:rsidR="00C272F1" w:rsidRPr="00C272F1">
        <w:rPr>
          <w:lang w:val="en-GB"/>
        </w:rPr>
        <w:t xml:space="preserve">(Block, Hirt and Danielsen, </w:t>
      </w:r>
      <w:r w:rsidR="004E7F3B">
        <w:rPr>
          <w:lang w:val="en-GB"/>
        </w:rPr>
        <w:t>2019</w:t>
      </w:r>
      <w:r w:rsidR="00C272F1" w:rsidRPr="00C272F1">
        <w:rPr>
          <w:lang w:val="en-GB"/>
        </w:rPr>
        <w:t>)</w:t>
      </w:r>
      <w:r w:rsidRPr="00FF427C">
        <w:rPr>
          <w:lang w:val="en-GB"/>
        </w:rPr>
        <w:t>. A substantial amount of investments is made on market communication strategies to ensure that the customer base is kept updated and new target customers are attracted towards the company.</w:t>
      </w:r>
    </w:p>
    <w:p w14:paraId="2195769F" w14:textId="73E09D0C" w:rsidR="00971B4E" w:rsidRPr="00BC5E30" w:rsidRDefault="00971B4E" w:rsidP="00971B4E">
      <w:pPr>
        <w:pStyle w:val="Heading1"/>
        <w:rPr>
          <w:color w:val="000000" w:themeColor="text1"/>
          <w:sz w:val="24"/>
          <w:szCs w:val="24"/>
        </w:rPr>
      </w:pPr>
      <w:bookmarkStart w:id="14" w:name="_Toc44601160"/>
      <w:r w:rsidRPr="00BC5E30">
        <w:rPr>
          <w:color w:val="000000" w:themeColor="text1"/>
          <w:sz w:val="24"/>
          <w:szCs w:val="24"/>
        </w:rPr>
        <w:t>Part (c) Carrying out investment appraisal techniques to evaluate the projects:</w:t>
      </w:r>
      <w:bookmarkEnd w:id="14"/>
    </w:p>
    <w:p w14:paraId="0AF5BE7D" w14:textId="6AC12291" w:rsidR="00971B4E" w:rsidRDefault="00971B4E" w:rsidP="00971B4E">
      <w:pPr>
        <w:rPr>
          <w:lang w:val="en-GB"/>
        </w:rPr>
      </w:pPr>
      <w:r>
        <w:rPr>
          <w:lang w:val="en-GB"/>
        </w:rPr>
        <w:t>To maintain a competitive market performance, the company needs to identify and utilize the investment opportunities</w:t>
      </w:r>
      <w:r w:rsidR="00C272F1" w:rsidRPr="00C272F1">
        <w:t xml:space="preserve"> </w:t>
      </w:r>
      <w:r w:rsidR="00C272F1" w:rsidRPr="00C272F1">
        <w:rPr>
          <w:lang w:val="en-GB"/>
        </w:rPr>
        <w:t xml:space="preserve">(Block, Hirt and Danielsen, </w:t>
      </w:r>
      <w:r w:rsidR="004E7F3B">
        <w:rPr>
          <w:lang w:val="en-GB"/>
        </w:rPr>
        <w:t>2019</w:t>
      </w:r>
      <w:r w:rsidR="00C272F1" w:rsidRPr="00C272F1">
        <w:rPr>
          <w:lang w:val="en-GB"/>
        </w:rPr>
        <w:t>)</w:t>
      </w:r>
      <w:r>
        <w:rPr>
          <w:lang w:val="en-GB"/>
        </w:rPr>
        <w:t xml:space="preserve">. Different capital budgeting methods are used for conducting the investment appraisal. In the given scenario, for instance, the company has identified two potentially profitable investment opportunities. Yet, to determine which one would serve the company’s objectives better, Tesco needs to apply NPV, ARR, and Payback Period techniques of capital budgeting. </w:t>
      </w:r>
    </w:p>
    <w:p w14:paraId="2E0B40C1" w14:textId="3D9C2BCC" w:rsidR="00971B4E" w:rsidRDefault="006E189A" w:rsidP="00971B4E">
      <w:pPr>
        <w:rPr>
          <w:lang w:val="en-GB"/>
        </w:rPr>
      </w:pPr>
      <w:r>
        <w:rPr>
          <w:noProof/>
          <w:lang w:val="en-GB" w:eastAsia="en-GB"/>
        </w:rPr>
        <w:lastRenderedPageBreak/>
        <w:drawing>
          <wp:inline distT="0" distB="0" distL="0" distR="0" wp14:anchorId="374319F1" wp14:editId="0D72B396">
            <wp:extent cx="2476500" cy="1371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44444" b="20879"/>
                    <a:stretch/>
                  </pic:blipFill>
                  <pic:spPr bwMode="auto">
                    <a:xfrm>
                      <a:off x="0" y="0"/>
                      <a:ext cx="2476500" cy="1371600"/>
                    </a:xfrm>
                    <a:prstGeom prst="rect">
                      <a:avLst/>
                    </a:prstGeom>
                    <a:ln>
                      <a:noFill/>
                    </a:ln>
                    <a:extLst>
                      <a:ext uri="{53640926-AAD7-44D8-BBD7-CCE9431645EC}">
                        <a14:shadowObscured xmlns:a14="http://schemas.microsoft.com/office/drawing/2010/main"/>
                      </a:ext>
                    </a:extLst>
                  </pic:spPr>
                </pic:pic>
              </a:graphicData>
            </a:graphic>
          </wp:inline>
        </w:drawing>
      </w:r>
    </w:p>
    <w:p w14:paraId="2B490C13" w14:textId="037EF705" w:rsidR="006E189A" w:rsidRDefault="006E189A" w:rsidP="00971B4E">
      <w:pPr>
        <w:rPr>
          <w:lang w:val="en-GB"/>
        </w:rPr>
      </w:pPr>
      <w:r>
        <w:rPr>
          <w:lang w:val="en-GB"/>
        </w:rPr>
        <w:t>*Cost of capital 11.8%</w:t>
      </w:r>
    </w:p>
    <w:p w14:paraId="38D71E7C" w14:textId="6FC08EC6" w:rsidR="00C272F1" w:rsidRPr="00BC5E30" w:rsidRDefault="00C272F1" w:rsidP="00C272F1">
      <w:pPr>
        <w:pStyle w:val="Heading2"/>
        <w:rPr>
          <w:color w:val="000000" w:themeColor="text1"/>
          <w:sz w:val="24"/>
          <w:szCs w:val="24"/>
          <w:lang w:val="en-GB"/>
        </w:rPr>
      </w:pPr>
      <w:bookmarkStart w:id="15" w:name="_Toc44601161"/>
      <w:r w:rsidRPr="00BC5E30">
        <w:rPr>
          <w:color w:val="000000" w:themeColor="text1"/>
          <w:sz w:val="24"/>
          <w:szCs w:val="24"/>
          <w:lang w:val="en-GB"/>
        </w:rPr>
        <w:t>Payback Period (PBP):</w:t>
      </w:r>
      <w:bookmarkEnd w:id="15"/>
      <w:r w:rsidRPr="00BC5E30">
        <w:rPr>
          <w:color w:val="000000" w:themeColor="text1"/>
          <w:sz w:val="24"/>
          <w:szCs w:val="24"/>
          <w:lang w:val="en-GB"/>
        </w:rPr>
        <w:t xml:space="preserve"> </w:t>
      </w:r>
    </w:p>
    <w:p w14:paraId="49324115" w14:textId="6387B485" w:rsidR="00C272F1" w:rsidRDefault="00D83483" w:rsidP="00C272F1">
      <w:pPr>
        <w:tabs>
          <w:tab w:val="left" w:pos="1380"/>
        </w:tabs>
        <w:rPr>
          <w:lang w:val="en-GB"/>
        </w:rPr>
      </w:pPr>
      <w:r>
        <w:rPr>
          <w:lang w:val="en-GB"/>
        </w:rPr>
        <w:t>PBP helps determine the time it takes to recoup the initial investment amount. It is a popular capital budgeting method which the company can use alongside other methods to have a complete evaluation of the investment project</w:t>
      </w:r>
      <w:r w:rsidR="004E7F3B">
        <w:rPr>
          <w:lang w:val="en-GB"/>
        </w:rPr>
        <w:t xml:space="preserve"> </w:t>
      </w:r>
      <w:r w:rsidR="004E7F3B" w:rsidRPr="004E7F3B">
        <w:rPr>
          <w:lang w:val="en-GB"/>
        </w:rPr>
        <w:t xml:space="preserve">(Block, Hirt and Danielsen, </w:t>
      </w:r>
      <w:r w:rsidR="004E7F3B">
        <w:rPr>
          <w:lang w:val="en-GB"/>
        </w:rPr>
        <w:t>2019</w:t>
      </w:r>
      <w:r w:rsidR="004E7F3B" w:rsidRPr="004E7F3B">
        <w:rPr>
          <w:lang w:val="en-GB"/>
        </w:rPr>
        <w:t>)</w:t>
      </w:r>
      <w:r>
        <w:rPr>
          <w:lang w:val="en-GB"/>
        </w:rPr>
        <w:t xml:space="preserve">. </w:t>
      </w:r>
    </w:p>
    <w:p w14:paraId="77171D21" w14:textId="03A124C8" w:rsidR="00D83483" w:rsidRDefault="00D83483" w:rsidP="00C272F1">
      <w:pPr>
        <w:tabs>
          <w:tab w:val="left" w:pos="1380"/>
        </w:tabs>
      </w:pPr>
      <w:r>
        <w:t>Payback Period =Initial Investment/ Net Cash Flow per Period</w:t>
      </w:r>
    </w:p>
    <w:p w14:paraId="580CB498" w14:textId="221D6E07" w:rsidR="00D83483" w:rsidRDefault="00D83483" w:rsidP="00C272F1">
      <w:pPr>
        <w:tabs>
          <w:tab w:val="left" w:pos="1380"/>
        </w:tabs>
      </w:pPr>
      <w:r>
        <w:t>However, the projects in question have uneven cash flows. Therefore, the Payback period needs to be calculated using an advanced formula as shown below.</w:t>
      </w:r>
    </w:p>
    <w:p w14:paraId="100C3791" w14:textId="5E12CAD9" w:rsidR="00D83483" w:rsidRDefault="00D83483" w:rsidP="00C272F1">
      <w:pPr>
        <w:tabs>
          <w:tab w:val="left" w:pos="1380"/>
        </w:tabs>
        <w:rPr>
          <w:lang w:val="en-GB"/>
        </w:rPr>
      </w:pPr>
      <w:r>
        <w:rPr>
          <w:noProof/>
          <w:lang w:val="en-GB" w:eastAsia="en-GB"/>
        </w:rPr>
        <w:drawing>
          <wp:inline distT="0" distB="0" distL="0" distR="0" wp14:anchorId="3DB8B3A8" wp14:editId="1434DDC8">
            <wp:extent cx="5943600" cy="22072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207260"/>
                    </a:xfrm>
                    <a:prstGeom prst="rect">
                      <a:avLst/>
                    </a:prstGeom>
                  </pic:spPr>
                </pic:pic>
              </a:graphicData>
            </a:graphic>
          </wp:inline>
        </w:drawing>
      </w:r>
    </w:p>
    <w:p w14:paraId="7B19B2D4" w14:textId="77777777" w:rsidR="00845CFF" w:rsidRDefault="00D83483" w:rsidP="00C272F1">
      <w:pPr>
        <w:tabs>
          <w:tab w:val="left" w:pos="1380"/>
        </w:tabs>
        <w:rPr>
          <w:lang w:val="en-GB"/>
        </w:rPr>
      </w:pPr>
      <w:r>
        <w:rPr>
          <w:lang w:val="en-GB"/>
        </w:rPr>
        <w:t xml:space="preserve">Payback Period of project A: </w:t>
      </w:r>
    </w:p>
    <w:tbl>
      <w:tblPr>
        <w:tblStyle w:val="TableGrid"/>
        <w:tblW w:w="0" w:type="auto"/>
        <w:tblLook w:val="04A0" w:firstRow="1" w:lastRow="0" w:firstColumn="1" w:lastColumn="0" w:noHBand="0" w:noVBand="1"/>
      </w:tblPr>
      <w:tblGrid>
        <w:gridCol w:w="960"/>
        <w:gridCol w:w="1120"/>
        <w:gridCol w:w="1283"/>
      </w:tblGrid>
      <w:tr w:rsidR="00845CFF" w:rsidRPr="00845CFF" w14:paraId="4A5AE4AC" w14:textId="77777777" w:rsidTr="00845CFF">
        <w:trPr>
          <w:trHeight w:val="600"/>
        </w:trPr>
        <w:tc>
          <w:tcPr>
            <w:tcW w:w="960" w:type="dxa"/>
            <w:noWrap/>
            <w:hideMark/>
          </w:tcPr>
          <w:p w14:paraId="73EEA34D" w14:textId="77777777" w:rsidR="00845CFF" w:rsidRPr="00845CFF" w:rsidRDefault="00845CFF" w:rsidP="00845CFF">
            <w:pPr>
              <w:tabs>
                <w:tab w:val="left" w:pos="1380"/>
              </w:tabs>
            </w:pPr>
            <w:r w:rsidRPr="00845CFF">
              <w:t>Year</w:t>
            </w:r>
          </w:p>
        </w:tc>
        <w:tc>
          <w:tcPr>
            <w:tcW w:w="1120" w:type="dxa"/>
            <w:noWrap/>
            <w:hideMark/>
          </w:tcPr>
          <w:p w14:paraId="24FBC79F" w14:textId="77777777" w:rsidR="00845CFF" w:rsidRPr="00845CFF" w:rsidRDefault="00845CFF" w:rsidP="00845CFF">
            <w:pPr>
              <w:tabs>
                <w:tab w:val="left" w:pos="1380"/>
              </w:tabs>
            </w:pPr>
            <w:r w:rsidRPr="00845CFF">
              <w:t>Cash flow</w:t>
            </w:r>
          </w:p>
        </w:tc>
        <w:tc>
          <w:tcPr>
            <w:tcW w:w="1280" w:type="dxa"/>
            <w:hideMark/>
          </w:tcPr>
          <w:p w14:paraId="6A25E1F8" w14:textId="77777777" w:rsidR="00845CFF" w:rsidRPr="00845CFF" w:rsidRDefault="00845CFF" w:rsidP="00845CFF">
            <w:pPr>
              <w:tabs>
                <w:tab w:val="left" w:pos="1380"/>
              </w:tabs>
            </w:pPr>
            <w:r w:rsidRPr="00845CFF">
              <w:t>Cash flow cumulative</w:t>
            </w:r>
          </w:p>
        </w:tc>
      </w:tr>
      <w:tr w:rsidR="00845CFF" w:rsidRPr="00845CFF" w14:paraId="2F1D45D5" w14:textId="77777777" w:rsidTr="00845CFF">
        <w:trPr>
          <w:trHeight w:val="300"/>
        </w:trPr>
        <w:tc>
          <w:tcPr>
            <w:tcW w:w="960" w:type="dxa"/>
            <w:noWrap/>
            <w:hideMark/>
          </w:tcPr>
          <w:p w14:paraId="1C0384CF" w14:textId="77777777" w:rsidR="00845CFF" w:rsidRPr="00845CFF" w:rsidRDefault="00845CFF" w:rsidP="00845CFF">
            <w:pPr>
              <w:tabs>
                <w:tab w:val="left" w:pos="1380"/>
              </w:tabs>
            </w:pPr>
            <w:r w:rsidRPr="00845CFF">
              <w:t>0</w:t>
            </w:r>
          </w:p>
        </w:tc>
        <w:tc>
          <w:tcPr>
            <w:tcW w:w="1120" w:type="dxa"/>
            <w:noWrap/>
            <w:hideMark/>
          </w:tcPr>
          <w:p w14:paraId="4E0AC95F" w14:textId="77777777" w:rsidR="00845CFF" w:rsidRPr="00845CFF" w:rsidRDefault="00845CFF" w:rsidP="00845CFF">
            <w:pPr>
              <w:tabs>
                <w:tab w:val="left" w:pos="1380"/>
              </w:tabs>
            </w:pPr>
            <w:r w:rsidRPr="00845CFF">
              <w:t>-30</w:t>
            </w:r>
          </w:p>
        </w:tc>
        <w:tc>
          <w:tcPr>
            <w:tcW w:w="1280" w:type="dxa"/>
            <w:noWrap/>
            <w:hideMark/>
          </w:tcPr>
          <w:p w14:paraId="0EDC28FE" w14:textId="77777777" w:rsidR="00845CFF" w:rsidRPr="00845CFF" w:rsidRDefault="00845CFF" w:rsidP="00845CFF">
            <w:pPr>
              <w:tabs>
                <w:tab w:val="left" w:pos="1380"/>
              </w:tabs>
            </w:pPr>
            <w:r w:rsidRPr="00845CFF">
              <w:t>-30</w:t>
            </w:r>
          </w:p>
        </w:tc>
      </w:tr>
      <w:tr w:rsidR="00845CFF" w:rsidRPr="00845CFF" w14:paraId="2D16F04C" w14:textId="77777777" w:rsidTr="00845CFF">
        <w:trPr>
          <w:trHeight w:val="300"/>
        </w:trPr>
        <w:tc>
          <w:tcPr>
            <w:tcW w:w="960" w:type="dxa"/>
            <w:noWrap/>
            <w:hideMark/>
          </w:tcPr>
          <w:p w14:paraId="110CC0A4" w14:textId="77777777" w:rsidR="00845CFF" w:rsidRPr="00845CFF" w:rsidRDefault="00845CFF" w:rsidP="00845CFF">
            <w:pPr>
              <w:tabs>
                <w:tab w:val="left" w:pos="1380"/>
              </w:tabs>
            </w:pPr>
            <w:r w:rsidRPr="00845CFF">
              <w:t>1</w:t>
            </w:r>
          </w:p>
        </w:tc>
        <w:tc>
          <w:tcPr>
            <w:tcW w:w="1120" w:type="dxa"/>
            <w:noWrap/>
            <w:hideMark/>
          </w:tcPr>
          <w:p w14:paraId="31471943" w14:textId="77777777" w:rsidR="00845CFF" w:rsidRPr="00845CFF" w:rsidRDefault="00845CFF" w:rsidP="00845CFF">
            <w:pPr>
              <w:tabs>
                <w:tab w:val="left" w:pos="1380"/>
              </w:tabs>
            </w:pPr>
            <w:r w:rsidRPr="00845CFF">
              <w:t>0</w:t>
            </w:r>
          </w:p>
        </w:tc>
        <w:tc>
          <w:tcPr>
            <w:tcW w:w="1280" w:type="dxa"/>
            <w:noWrap/>
            <w:hideMark/>
          </w:tcPr>
          <w:p w14:paraId="0FA0F656" w14:textId="77777777" w:rsidR="00845CFF" w:rsidRPr="00845CFF" w:rsidRDefault="00845CFF" w:rsidP="00845CFF">
            <w:pPr>
              <w:tabs>
                <w:tab w:val="left" w:pos="1380"/>
              </w:tabs>
            </w:pPr>
            <w:r w:rsidRPr="00845CFF">
              <w:t>-30</w:t>
            </w:r>
          </w:p>
        </w:tc>
      </w:tr>
      <w:tr w:rsidR="00845CFF" w:rsidRPr="00845CFF" w14:paraId="58767E38" w14:textId="77777777" w:rsidTr="00845CFF">
        <w:trPr>
          <w:trHeight w:val="300"/>
        </w:trPr>
        <w:tc>
          <w:tcPr>
            <w:tcW w:w="960" w:type="dxa"/>
            <w:noWrap/>
            <w:hideMark/>
          </w:tcPr>
          <w:p w14:paraId="640D7025" w14:textId="77777777" w:rsidR="00845CFF" w:rsidRPr="00845CFF" w:rsidRDefault="00845CFF" w:rsidP="00845CFF">
            <w:pPr>
              <w:tabs>
                <w:tab w:val="left" w:pos="1380"/>
              </w:tabs>
            </w:pPr>
            <w:r w:rsidRPr="00845CFF">
              <w:t>2</w:t>
            </w:r>
          </w:p>
        </w:tc>
        <w:tc>
          <w:tcPr>
            <w:tcW w:w="1120" w:type="dxa"/>
            <w:noWrap/>
            <w:hideMark/>
          </w:tcPr>
          <w:p w14:paraId="729421CA" w14:textId="77777777" w:rsidR="00845CFF" w:rsidRPr="00845CFF" w:rsidRDefault="00845CFF" w:rsidP="00845CFF">
            <w:pPr>
              <w:tabs>
                <w:tab w:val="left" w:pos="1380"/>
              </w:tabs>
            </w:pPr>
            <w:r w:rsidRPr="00845CFF">
              <w:t>15</w:t>
            </w:r>
          </w:p>
        </w:tc>
        <w:tc>
          <w:tcPr>
            <w:tcW w:w="1280" w:type="dxa"/>
            <w:noWrap/>
            <w:hideMark/>
          </w:tcPr>
          <w:p w14:paraId="37E1473B" w14:textId="77777777" w:rsidR="00845CFF" w:rsidRPr="00845CFF" w:rsidRDefault="00845CFF" w:rsidP="00845CFF">
            <w:pPr>
              <w:tabs>
                <w:tab w:val="left" w:pos="1380"/>
              </w:tabs>
            </w:pPr>
            <w:r w:rsidRPr="00845CFF">
              <w:t>-15</w:t>
            </w:r>
          </w:p>
        </w:tc>
      </w:tr>
      <w:tr w:rsidR="00845CFF" w:rsidRPr="00845CFF" w14:paraId="6D25CD70" w14:textId="77777777" w:rsidTr="00845CFF">
        <w:trPr>
          <w:trHeight w:val="300"/>
        </w:trPr>
        <w:tc>
          <w:tcPr>
            <w:tcW w:w="960" w:type="dxa"/>
            <w:noWrap/>
            <w:hideMark/>
          </w:tcPr>
          <w:p w14:paraId="54D517BD" w14:textId="77777777" w:rsidR="00845CFF" w:rsidRPr="00845CFF" w:rsidRDefault="00845CFF" w:rsidP="00845CFF">
            <w:pPr>
              <w:tabs>
                <w:tab w:val="left" w:pos="1380"/>
              </w:tabs>
            </w:pPr>
            <w:r w:rsidRPr="00845CFF">
              <w:lastRenderedPageBreak/>
              <w:t>3</w:t>
            </w:r>
          </w:p>
        </w:tc>
        <w:tc>
          <w:tcPr>
            <w:tcW w:w="1120" w:type="dxa"/>
            <w:noWrap/>
            <w:hideMark/>
          </w:tcPr>
          <w:p w14:paraId="0DFC8EFF" w14:textId="77777777" w:rsidR="00845CFF" w:rsidRPr="00845CFF" w:rsidRDefault="00845CFF" w:rsidP="00845CFF">
            <w:pPr>
              <w:tabs>
                <w:tab w:val="left" w:pos="1380"/>
              </w:tabs>
            </w:pPr>
            <w:r w:rsidRPr="00845CFF">
              <w:t>20</w:t>
            </w:r>
          </w:p>
        </w:tc>
        <w:tc>
          <w:tcPr>
            <w:tcW w:w="1280" w:type="dxa"/>
            <w:noWrap/>
            <w:hideMark/>
          </w:tcPr>
          <w:p w14:paraId="2D067E3E" w14:textId="77777777" w:rsidR="00845CFF" w:rsidRPr="00845CFF" w:rsidRDefault="00845CFF" w:rsidP="00845CFF">
            <w:pPr>
              <w:tabs>
                <w:tab w:val="left" w:pos="1380"/>
              </w:tabs>
            </w:pPr>
            <w:r w:rsidRPr="00845CFF">
              <w:t>5</w:t>
            </w:r>
          </w:p>
        </w:tc>
      </w:tr>
      <w:tr w:rsidR="00845CFF" w:rsidRPr="00845CFF" w14:paraId="312F5358" w14:textId="77777777" w:rsidTr="00845CFF">
        <w:trPr>
          <w:trHeight w:val="300"/>
        </w:trPr>
        <w:tc>
          <w:tcPr>
            <w:tcW w:w="960" w:type="dxa"/>
            <w:noWrap/>
            <w:hideMark/>
          </w:tcPr>
          <w:p w14:paraId="5E473560" w14:textId="77777777" w:rsidR="00845CFF" w:rsidRPr="00845CFF" w:rsidRDefault="00845CFF" w:rsidP="00845CFF">
            <w:pPr>
              <w:tabs>
                <w:tab w:val="left" w:pos="1380"/>
              </w:tabs>
            </w:pPr>
            <w:r w:rsidRPr="00845CFF">
              <w:t>4</w:t>
            </w:r>
          </w:p>
        </w:tc>
        <w:tc>
          <w:tcPr>
            <w:tcW w:w="1120" w:type="dxa"/>
            <w:noWrap/>
            <w:hideMark/>
          </w:tcPr>
          <w:p w14:paraId="6CD78F18" w14:textId="77777777" w:rsidR="00845CFF" w:rsidRPr="00845CFF" w:rsidRDefault="00845CFF" w:rsidP="00845CFF">
            <w:pPr>
              <w:tabs>
                <w:tab w:val="left" w:pos="1380"/>
              </w:tabs>
            </w:pPr>
            <w:r w:rsidRPr="00845CFF">
              <w:t>10</w:t>
            </w:r>
          </w:p>
        </w:tc>
        <w:tc>
          <w:tcPr>
            <w:tcW w:w="1280" w:type="dxa"/>
            <w:noWrap/>
            <w:hideMark/>
          </w:tcPr>
          <w:p w14:paraId="24998927" w14:textId="77777777" w:rsidR="00845CFF" w:rsidRPr="00845CFF" w:rsidRDefault="00845CFF" w:rsidP="00845CFF">
            <w:pPr>
              <w:tabs>
                <w:tab w:val="left" w:pos="1380"/>
              </w:tabs>
            </w:pPr>
            <w:r w:rsidRPr="00845CFF">
              <w:t>15</w:t>
            </w:r>
          </w:p>
        </w:tc>
      </w:tr>
      <w:tr w:rsidR="00845CFF" w:rsidRPr="00845CFF" w14:paraId="1F28B190" w14:textId="77777777" w:rsidTr="00845CFF">
        <w:trPr>
          <w:trHeight w:val="300"/>
        </w:trPr>
        <w:tc>
          <w:tcPr>
            <w:tcW w:w="960" w:type="dxa"/>
            <w:noWrap/>
            <w:hideMark/>
          </w:tcPr>
          <w:p w14:paraId="7F9D16F4" w14:textId="77777777" w:rsidR="00845CFF" w:rsidRPr="00845CFF" w:rsidRDefault="00845CFF" w:rsidP="00845CFF">
            <w:pPr>
              <w:tabs>
                <w:tab w:val="left" w:pos="1380"/>
              </w:tabs>
            </w:pPr>
            <w:r w:rsidRPr="00845CFF">
              <w:t>PBP</w:t>
            </w:r>
          </w:p>
        </w:tc>
        <w:tc>
          <w:tcPr>
            <w:tcW w:w="1120" w:type="dxa"/>
            <w:noWrap/>
            <w:hideMark/>
          </w:tcPr>
          <w:p w14:paraId="4886937D" w14:textId="77777777" w:rsidR="00845CFF" w:rsidRPr="00845CFF" w:rsidRDefault="00845CFF" w:rsidP="00845CFF">
            <w:pPr>
              <w:tabs>
                <w:tab w:val="left" w:pos="1380"/>
              </w:tabs>
            </w:pPr>
            <w:r w:rsidRPr="00845CFF">
              <w:t>2.75 years</w:t>
            </w:r>
          </w:p>
        </w:tc>
        <w:tc>
          <w:tcPr>
            <w:tcW w:w="1280" w:type="dxa"/>
            <w:noWrap/>
            <w:hideMark/>
          </w:tcPr>
          <w:p w14:paraId="6DD4FE32" w14:textId="77777777" w:rsidR="00845CFF" w:rsidRPr="00845CFF" w:rsidRDefault="00845CFF" w:rsidP="00845CFF">
            <w:pPr>
              <w:tabs>
                <w:tab w:val="left" w:pos="1380"/>
              </w:tabs>
            </w:pPr>
          </w:p>
        </w:tc>
      </w:tr>
    </w:tbl>
    <w:p w14:paraId="0DD161A6" w14:textId="77777777" w:rsidR="00845CFF" w:rsidRDefault="00845CFF" w:rsidP="00C272F1">
      <w:pPr>
        <w:tabs>
          <w:tab w:val="left" w:pos="1380"/>
        </w:tabs>
        <w:rPr>
          <w:lang w:val="en-GB"/>
        </w:rPr>
      </w:pPr>
    </w:p>
    <w:p w14:paraId="11FCCB8A" w14:textId="700932E0" w:rsidR="00D83483" w:rsidRDefault="00D83483" w:rsidP="00C272F1">
      <w:pPr>
        <w:tabs>
          <w:tab w:val="left" w:pos="1380"/>
        </w:tabs>
        <w:rPr>
          <w:lang w:val="en-GB"/>
        </w:rPr>
      </w:pPr>
      <w:r>
        <w:rPr>
          <w:lang w:val="en-GB"/>
        </w:rPr>
        <w:t xml:space="preserve">The project A’s PBP </w:t>
      </w:r>
      <w:r w:rsidR="00DB7C9C">
        <w:rPr>
          <w:lang w:val="en-GB"/>
        </w:rPr>
        <w:t>is 2.75</w:t>
      </w:r>
      <w:r w:rsidR="00845CFF">
        <w:rPr>
          <w:lang w:val="en-GB"/>
        </w:rPr>
        <w:t xml:space="preserve"> years</w:t>
      </w:r>
    </w:p>
    <w:p w14:paraId="2BF1AEFE" w14:textId="24493D79" w:rsidR="00845CFF" w:rsidRDefault="00845CFF" w:rsidP="00C272F1">
      <w:pPr>
        <w:tabs>
          <w:tab w:val="left" w:pos="1380"/>
        </w:tabs>
        <w:rPr>
          <w:lang w:val="en-GB"/>
        </w:rPr>
      </w:pPr>
      <w:r w:rsidRPr="00845CFF">
        <w:rPr>
          <w:lang w:val="en-GB"/>
        </w:rPr>
        <w:t xml:space="preserve">Payback Period of project </w:t>
      </w:r>
      <w:r>
        <w:rPr>
          <w:lang w:val="en-GB"/>
        </w:rPr>
        <w:t>B</w:t>
      </w:r>
      <w:r w:rsidRPr="00845CFF">
        <w:rPr>
          <w:lang w:val="en-GB"/>
        </w:rPr>
        <w:t>:</w:t>
      </w:r>
    </w:p>
    <w:tbl>
      <w:tblPr>
        <w:tblStyle w:val="TableGrid"/>
        <w:tblW w:w="0" w:type="auto"/>
        <w:tblLook w:val="04A0" w:firstRow="1" w:lastRow="0" w:firstColumn="1" w:lastColumn="0" w:noHBand="0" w:noVBand="1"/>
      </w:tblPr>
      <w:tblGrid>
        <w:gridCol w:w="960"/>
        <w:gridCol w:w="1120"/>
        <w:gridCol w:w="1283"/>
      </w:tblGrid>
      <w:tr w:rsidR="00845CFF" w:rsidRPr="00845CFF" w14:paraId="1C540265" w14:textId="77777777" w:rsidTr="00845CFF">
        <w:trPr>
          <w:trHeight w:val="600"/>
        </w:trPr>
        <w:tc>
          <w:tcPr>
            <w:tcW w:w="960" w:type="dxa"/>
            <w:noWrap/>
            <w:hideMark/>
          </w:tcPr>
          <w:p w14:paraId="06D1E2EA" w14:textId="77777777" w:rsidR="00845CFF" w:rsidRPr="00845CFF" w:rsidRDefault="00845CFF" w:rsidP="00845CFF">
            <w:pPr>
              <w:tabs>
                <w:tab w:val="left" w:pos="1380"/>
              </w:tabs>
            </w:pPr>
            <w:r w:rsidRPr="00845CFF">
              <w:t>Year</w:t>
            </w:r>
          </w:p>
        </w:tc>
        <w:tc>
          <w:tcPr>
            <w:tcW w:w="1120" w:type="dxa"/>
            <w:noWrap/>
            <w:hideMark/>
          </w:tcPr>
          <w:p w14:paraId="3CFAE53A" w14:textId="77777777" w:rsidR="00845CFF" w:rsidRPr="00845CFF" w:rsidRDefault="00845CFF" w:rsidP="00845CFF">
            <w:pPr>
              <w:tabs>
                <w:tab w:val="left" w:pos="1380"/>
              </w:tabs>
            </w:pPr>
            <w:r w:rsidRPr="00845CFF">
              <w:t>Cash flow</w:t>
            </w:r>
          </w:p>
        </w:tc>
        <w:tc>
          <w:tcPr>
            <w:tcW w:w="1280" w:type="dxa"/>
            <w:hideMark/>
          </w:tcPr>
          <w:p w14:paraId="0038C115" w14:textId="77777777" w:rsidR="00845CFF" w:rsidRPr="00845CFF" w:rsidRDefault="00845CFF" w:rsidP="00845CFF">
            <w:pPr>
              <w:tabs>
                <w:tab w:val="left" w:pos="1380"/>
              </w:tabs>
            </w:pPr>
            <w:r w:rsidRPr="00845CFF">
              <w:t>Cash flow cumulative</w:t>
            </w:r>
          </w:p>
        </w:tc>
      </w:tr>
      <w:tr w:rsidR="00845CFF" w:rsidRPr="00845CFF" w14:paraId="559E7B43" w14:textId="77777777" w:rsidTr="00845CFF">
        <w:trPr>
          <w:trHeight w:val="300"/>
        </w:trPr>
        <w:tc>
          <w:tcPr>
            <w:tcW w:w="960" w:type="dxa"/>
            <w:noWrap/>
            <w:hideMark/>
          </w:tcPr>
          <w:p w14:paraId="5DECA645" w14:textId="77777777" w:rsidR="00845CFF" w:rsidRPr="00845CFF" w:rsidRDefault="00845CFF" w:rsidP="00845CFF">
            <w:pPr>
              <w:tabs>
                <w:tab w:val="left" w:pos="1380"/>
              </w:tabs>
            </w:pPr>
            <w:r w:rsidRPr="00845CFF">
              <w:t>0</w:t>
            </w:r>
          </w:p>
        </w:tc>
        <w:tc>
          <w:tcPr>
            <w:tcW w:w="1120" w:type="dxa"/>
            <w:noWrap/>
            <w:hideMark/>
          </w:tcPr>
          <w:p w14:paraId="5AB39B87" w14:textId="77777777" w:rsidR="00845CFF" w:rsidRPr="00845CFF" w:rsidRDefault="00845CFF" w:rsidP="00845CFF">
            <w:pPr>
              <w:tabs>
                <w:tab w:val="left" w:pos="1380"/>
              </w:tabs>
            </w:pPr>
            <w:r w:rsidRPr="00845CFF">
              <w:t>-50</w:t>
            </w:r>
          </w:p>
        </w:tc>
        <w:tc>
          <w:tcPr>
            <w:tcW w:w="1280" w:type="dxa"/>
            <w:noWrap/>
            <w:hideMark/>
          </w:tcPr>
          <w:p w14:paraId="37626A8D" w14:textId="77777777" w:rsidR="00845CFF" w:rsidRPr="00845CFF" w:rsidRDefault="00845CFF" w:rsidP="00845CFF">
            <w:pPr>
              <w:tabs>
                <w:tab w:val="left" w:pos="1380"/>
              </w:tabs>
            </w:pPr>
            <w:r w:rsidRPr="00845CFF">
              <w:t>-30</w:t>
            </w:r>
          </w:p>
        </w:tc>
      </w:tr>
      <w:tr w:rsidR="00845CFF" w:rsidRPr="00845CFF" w14:paraId="55F5A7E7" w14:textId="77777777" w:rsidTr="00845CFF">
        <w:trPr>
          <w:trHeight w:val="300"/>
        </w:trPr>
        <w:tc>
          <w:tcPr>
            <w:tcW w:w="960" w:type="dxa"/>
            <w:noWrap/>
            <w:hideMark/>
          </w:tcPr>
          <w:p w14:paraId="3BEBA397" w14:textId="77777777" w:rsidR="00845CFF" w:rsidRPr="00845CFF" w:rsidRDefault="00845CFF" w:rsidP="00845CFF">
            <w:pPr>
              <w:tabs>
                <w:tab w:val="left" w:pos="1380"/>
              </w:tabs>
            </w:pPr>
            <w:r w:rsidRPr="00845CFF">
              <w:t>1</w:t>
            </w:r>
          </w:p>
        </w:tc>
        <w:tc>
          <w:tcPr>
            <w:tcW w:w="1120" w:type="dxa"/>
            <w:noWrap/>
            <w:hideMark/>
          </w:tcPr>
          <w:p w14:paraId="59EFA10F" w14:textId="77777777" w:rsidR="00845CFF" w:rsidRPr="00845CFF" w:rsidRDefault="00845CFF" w:rsidP="00845CFF">
            <w:pPr>
              <w:tabs>
                <w:tab w:val="left" w:pos="1380"/>
              </w:tabs>
            </w:pPr>
            <w:r w:rsidRPr="00845CFF">
              <w:t>15</w:t>
            </w:r>
          </w:p>
        </w:tc>
        <w:tc>
          <w:tcPr>
            <w:tcW w:w="1280" w:type="dxa"/>
            <w:noWrap/>
            <w:hideMark/>
          </w:tcPr>
          <w:p w14:paraId="5902A80C" w14:textId="77777777" w:rsidR="00845CFF" w:rsidRPr="00845CFF" w:rsidRDefault="00845CFF" w:rsidP="00845CFF">
            <w:pPr>
              <w:tabs>
                <w:tab w:val="left" w:pos="1380"/>
              </w:tabs>
            </w:pPr>
            <w:r w:rsidRPr="00845CFF">
              <w:t>-35</w:t>
            </w:r>
          </w:p>
        </w:tc>
      </w:tr>
      <w:tr w:rsidR="00845CFF" w:rsidRPr="00845CFF" w14:paraId="22176057" w14:textId="77777777" w:rsidTr="00845CFF">
        <w:trPr>
          <w:trHeight w:val="300"/>
        </w:trPr>
        <w:tc>
          <w:tcPr>
            <w:tcW w:w="960" w:type="dxa"/>
            <w:noWrap/>
            <w:hideMark/>
          </w:tcPr>
          <w:p w14:paraId="4C373710" w14:textId="77777777" w:rsidR="00845CFF" w:rsidRPr="00845CFF" w:rsidRDefault="00845CFF" w:rsidP="00845CFF">
            <w:pPr>
              <w:tabs>
                <w:tab w:val="left" w:pos="1380"/>
              </w:tabs>
            </w:pPr>
            <w:r w:rsidRPr="00845CFF">
              <w:t>2</w:t>
            </w:r>
          </w:p>
        </w:tc>
        <w:tc>
          <w:tcPr>
            <w:tcW w:w="1120" w:type="dxa"/>
            <w:noWrap/>
            <w:hideMark/>
          </w:tcPr>
          <w:p w14:paraId="7D483B19" w14:textId="77777777" w:rsidR="00845CFF" w:rsidRPr="00845CFF" w:rsidRDefault="00845CFF" w:rsidP="00845CFF">
            <w:pPr>
              <w:tabs>
                <w:tab w:val="left" w:pos="1380"/>
              </w:tabs>
            </w:pPr>
            <w:r w:rsidRPr="00845CFF">
              <w:t>15</w:t>
            </w:r>
          </w:p>
        </w:tc>
        <w:tc>
          <w:tcPr>
            <w:tcW w:w="1280" w:type="dxa"/>
            <w:noWrap/>
            <w:hideMark/>
          </w:tcPr>
          <w:p w14:paraId="57102990" w14:textId="77777777" w:rsidR="00845CFF" w:rsidRPr="00845CFF" w:rsidRDefault="00845CFF" w:rsidP="00845CFF">
            <w:pPr>
              <w:tabs>
                <w:tab w:val="left" w:pos="1380"/>
              </w:tabs>
            </w:pPr>
            <w:r w:rsidRPr="00845CFF">
              <w:t>-20</w:t>
            </w:r>
          </w:p>
        </w:tc>
      </w:tr>
      <w:tr w:rsidR="00845CFF" w:rsidRPr="00845CFF" w14:paraId="06CAD36E" w14:textId="77777777" w:rsidTr="00845CFF">
        <w:trPr>
          <w:trHeight w:val="300"/>
        </w:trPr>
        <w:tc>
          <w:tcPr>
            <w:tcW w:w="960" w:type="dxa"/>
            <w:noWrap/>
            <w:hideMark/>
          </w:tcPr>
          <w:p w14:paraId="75D7BA13" w14:textId="77777777" w:rsidR="00845CFF" w:rsidRPr="00845CFF" w:rsidRDefault="00845CFF" w:rsidP="00845CFF">
            <w:pPr>
              <w:tabs>
                <w:tab w:val="left" w:pos="1380"/>
              </w:tabs>
            </w:pPr>
            <w:r w:rsidRPr="00845CFF">
              <w:t>3</w:t>
            </w:r>
          </w:p>
        </w:tc>
        <w:tc>
          <w:tcPr>
            <w:tcW w:w="1120" w:type="dxa"/>
            <w:noWrap/>
            <w:hideMark/>
          </w:tcPr>
          <w:p w14:paraId="700A6E40" w14:textId="77777777" w:rsidR="00845CFF" w:rsidRPr="00845CFF" w:rsidRDefault="00845CFF" w:rsidP="00845CFF">
            <w:pPr>
              <w:tabs>
                <w:tab w:val="left" w:pos="1380"/>
              </w:tabs>
            </w:pPr>
            <w:r w:rsidRPr="00845CFF">
              <w:t>15</w:t>
            </w:r>
          </w:p>
        </w:tc>
        <w:tc>
          <w:tcPr>
            <w:tcW w:w="1280" w:type="dxa"/>
            <w:noWrap/>
            <w:hideMark/>
          </w:tcPr>
          <w:p w14:paraId="5B34771F" w14:textId="77777777" w:rsidR="00845CFF" w:rsidRPr="00845CFF" w:rsidRDefault="00845CFF" w:rsidP="00845CFF">
            <w:pPr>
              <w:tabs>
                <w:tab w:val="left" w:pos="1380"/>
              </w:tabs>
            </w:pPr>
            <w:r w:rsidRPr="00845CFF">
              <w:t>-5</w:t>
            </w:r>
          </w:p>
        </w:tc>
      </w:tr>
      <w:tr w:rsidR="00845CFF" w:rsidRPr="00845CFF" w14:paraId="3D530EA5" w14:textId="77777777" w:rsidTr="00845CFF">
        <w:trPr>
          <w:trHeight w:val="300"/>
        </w:trPr>
        <w:tc>
          <w:tcPr>
            <w:tcW w:w="960" w:type="dxa"/>
            <w:noWrap/>
            <w:hideMark/>
          </w:tcPr>
          <w:p w14:paraId="2E1DDD68" w14:textId="77777777" w:rsidR="00845CFF" w:rsidRPr="00845CFF" w:rsidRDefault="00845CFF" w:rsidP="00845CFF">
            <w:pPr>
              <w:tabs>
                <w:tab w:val="left" w:pos="1380"/>
              </w:tabs>
            </w:pPr>
            <w:r w:rsidRPr="00845CFF">
              <w:t>4</w:t>
            </w:r>
          </w:p>
        </w:tc>
        <w:tc>
          <w:tcPr>
            <w:tcW w:w="1120" w:type="dxa"/>
            <w:noWrap/>
            <w:hideMark/>
          </w:tcPr>
          <w:p w14:paraId="4AC3AC55" w14:textId="77777777" w:rsidR="00845CFF" w:rsidRPr="00845CFF" w:rsidRDefault="00845CFF" w:rsidP="00845CFF">
            <w:pPr>
              <w:tabs>
                <w:tab w:val="left" w:pos="1380"/>
              </w:tabs>
            </w:pPr>
            <w:r w:rsidRPr="00845CFF">
              <w:t>27</w:t>
            </w:r>
          </w:p>
        </w:tc>
        <w:tc>
          <w:tcPr>
            <w:tcW w:w="1280" w:type="dxa"/>
            <w:noWrap/>
            <w:hideMark/>
          </w:tcPr>
          <w:p w14:paraId="4FB712A4" w14:textId="77777777" w:rsidR="00845CFF" w:rsidRPr="00845CFF" w:rsidRDefault="00845CFF" w:rsidP="00845CFF">
            <w:pPr>
              <w:tabs>
                <w:tab w:val="left" w:pos="1380"/>
              </w:tabs>
            </w:pPr>
            <w:r w:rsidRPr="00845CFF">
              <w:t>22</w:t>
            </w:r>
          </w:p>
        </w:tc>
      </w:tr>
      <w:tr w:rsidR="00845CFF" w:rsidRPr="00845CFF" w14:paraId="44412698" w14:textId="77777777" w:rsidTr="00845CFF">
        <w:trPr>
          <w:trHeight w:val="300"/>
        </w:trPr>
        <w:tc>
          <w:tcPr>
            <w:tcW w:w="960" w:type="dxa"/>
            <w:noWrap/>
            <w:hideMark/>
          </w:tcPr>
          <w:p w14:paraId="3665AD74" w14:textId="77777777" w:rsidR="00845CFF" w:rsidRPr="00845CFF" w:rsidRDefault="00845CFF" w:rsidP="00845CFF">
            <w:pPr>
              <w:tabs>
                <w:tab w:val="left" w:pos="1380"/>
              </w:tabs>
            </w:pPr>
            <w:r w:rsidRPr="00845CFF">
              <w:t>PBP</w:t>
            </w:r>
          </w:p>
        </w:tc>
        <w:tc>
          <w:tcPr>
            <w:tcW w:w="1120" w:type="dxa"/>
            <w:noWrap/>
            <w:hideMark/>
          </w:tcPr>
          <w:p w14:paraId="75BC08FD" w14:textId="77777777" w:rsidR="00845CFF" w:rsidRPr="00845CFF" w:rsidRDefault="00845CFF" w:rsidP="00845CFF">
            <w:pPr>
              <w:tabs>
                <w:tab w:val="left" w:pos="1380"/>
              </w:tabs>
            </w:pPr>
            <w:r w:rsidRPr="00845CFF">
              <w:t>3.19 years</w:t>
            </w:r>
          </w:p>
        </w:tc>
        <w:tc>
          <w:tcPr>
            <w:tcW w:w="1280" w:type="dxa"/>
            <w:noWrap/>
            <w:hideMark/>
          </w:tcPr>
          <w:p w14:paraId="49B1C78C" w14:textId="77777777" w:rsidR="00845CFF" w:rsidRPr="00845CFF" w:rsidRDefault="00845CFF" w:rsidP="00845CFF">
            <w:pPr>
              <w:tabs>
                <w:tab w:val="left" w:pos="1380"/>
              </w:tabs>
            </w:pPr>
          </w:p>
        </w:tc>
      </w:tr>
    </w:tbl>
    <w:p w14:paraId="28C801BB" w14:textId="129B5C5B" w:rsidR="00845CFF" w:rsidRDefault="00845CFF" w:rsidP="00C272F1">
      <w:pPr>
        <w:tabs>
          <w:tab w:val="left" w:pos="1380"/>
        </w:tabs>
        <w:rPr>
          <w:lang w:val="en-GB"/>
        </w:rPr>
      </w:pPr>
    </w:p>
    <w:p w14:paraId="6D32DA6F" w14:textId="20995584" w:rsidR="00845CFF" w:rsidRDefault="00845CFF" w:rsidP="00C272F1">
      <w:pPr>
        <w:tabs>
          <w:tab w:val="left" w:pos="1380"/>
        </w:tabs>
        <w:rPr>
          <w:lang w:val="en-GB"/>
        </w:rPr>
      </w:pPr>
      <w:r w:rsidRPr="00845CFF">
        <w:rPr>
          <w:lang w:val="en-GB"/>
        </w:rPr>
        <w:t xml:space="preserve">The project </w:t>
      </w:r>
      <w:r>
        <w:rPr>
          <w:lang w:val="en-GB"/>
        </w:rPr>
        <w:t>B</w:t>
      </w:r>
      <w:r w:rsidRPr="00845CFF">
        <w:rPr>
          <w:lang w:val="en-GB"/>
        </w:rPr>
        <w:t xml:space="preserve">’s PBP is </w:t>
      </w:r>
      <w:r>
        <w:rPr>
          <w:lang w:val="en-GB"/>
        </w:rPr>
        <w:t>3.19</w:t>
      </w:r>
      <w:r w:rsidRPr="00845CFF">
        <w:rPr>
          <w:lang w:val="en-GB"/>
        </w:rPr>
        <w:t xml:space="preserve"> years</w:t>
      </w:r>
      <w:r>
        <w:rPr>
          <w:lang w:val="en-GB"/>
        </w:rPr>
        <w:t>.</w:t>
      </w:r>
    </w:p>
    <w:p w14:paraId="357263D9" w14:textId="27930F9C" w:rsidR="00845CFF" w:rsidRDefault="00845CFF" w:rsidP="00C272F1">
      <w:pPr>
        <w:tabs>
          <w:tab w:val="left" w:pos="1380"/>
        </w:tabs>
        <w:rPr>
          <w:lang w:val="en-GB"/>
        </w:rPr>
      </w:pPr>
      <w:r>
        <w:rPr>
          <w:lang w:val="en-GB"/>
        </w:rPr>
        <w:t>It is evident that Project A has less payback period than project B, which indicates that project A would be more preferable option if the company’s primary focus is to recoup its initial investment.</w:t>
      </w:r>
    </w:p>
    <w:p w14:paraId="4FCA89D8" w14:textId="01B8240C" w:rsidR="00FA0BDE" w:rsidRPr="00FA0BDE" w:rsidRDefault="00FA0BDE" w:rsidP="00C272F1">
      <w:pPr>
        <w:tabs>
          <w:tab w:val="left" w:pos="1380"/>
        </w:tabs>
        <w:rPr>
          <w:b/>
          <w:bCs/>
          <w:lang w:val="en-GB"/>
        </w:rPr>
      </w:pPr>
      <w:r w:rsidRPr="00FA0BDE">
        <w:rPr>
          <w:b/>
          <w:bCs/>
          <w:lang w:val="en-GB"/>
        </w:rPr>
        <w:t>Benefits</w:t>
      </w:r>
    </w:p>
    <w:p w14:paraId="0E2BDE3B" w14:textId="7A4330D7" w:rsidR="00FA0BDE" w:rsidRDefault="00FA0BDE" w:rsidP="00C272F1">
      <w:pPr>
        <w:tabs>
          <w:tab w:val="left" w:pos="1380"/>
        </w:tabs>
        <w:rPr>
          <w:lang w:val="en-GB"/>
        </w:rPr>
      </w:pPr>
      <w:r>
        <w:rPr>
          <w:lang w:val="en-GB"/>
        </w:rPr>
        <w:t>This method is very easy to calculate. Thus, the company does not need to spend much time in determining the attractiveness of an investment using this method</w:t>
      </w:r>
      <w:r w:rsidR="004E7F3B">
        <w:rPr>
          <w:lang w:val="en-GB"/>
        </w:rPr>
        <w:t xml:space="preserve"> </w:t>
      </w:r>
      <w:r w:rsidR="004E7F3B" w:rsidRPr="004E7F3B">
        <w:rPr>
          <w:lang w:val="en-GB"/>
        </w:rPr>
        <w:t xml:space="preserve">(Brigham and Houston, </w:t>
      </w:r>
      <w:r w:rsidR="004E7F3B">
        <w:rPr>
          <w:lang w:val="en-GB"/>
        </w:rPr>
        <w:t>2019</w:t>
      </w:r>
      <w:r w:rsidR="004E7F3B" w:rsidRPr="004E7F3B">
        <w:rPr>
          <w:lang w:val="en-GB"/>
        </w:rPr>
        <w:t>)</w:t>
      </w:r>
      <w:r>
        <w:rPr>
          <w:lang w:val="en-GB"/>
        </w:rPr>
        <w:t xml:space="preserve">. However, evidences suggest that this method does not favour large companies or companies that aim to sustain performance and growth. </w:t>
      </w:r>
    </w:p>
    <w:p w14:paraId="40C64FA5" w14:textId="3DD2192E" w:rsidR="00FA0BDE" w:rsidRPr="00FA0BDE" w:rsidRDefault="00FA0BDE" w:rsidP="00C272F1">
      <w:pPr>
        <w:tabs>
          <w:tab w:val="left" w:pos="1380"/>
        </w:tabs>
        <w:rPr>
          <w:b/>
          <w:bCs/>
          <w:lang w:val="en-GB"/>
        </w:rPr>
      </w:pPr>
      <w:r w:rsidRPr="00FA0BDE">
        <w:rPr>
          <w:b/>
          <w:bCs/>
          <w:lang w:val="en-GB"/>
        </w:rPr>
        <w:t>Demerits</w:t>
      </w:r>
    </w:p>
    <w:p w14:paraId="2BDE9035" w14:textId="18322574" w:rsidR="000F7FD2" w:rsidRPr="00C272F1" w:rsidRDefault="000F7FD2" w:rsidP="00C272F1">
      <w:pPr>
        <w:tabs>
          <w:tab w:val="left" w:pos="1380"/>
        </w:tabs>
        <w:rPr>
          <w:lang w:val="en-GB"/>
        </w:rPr>
      </w:pPr>
      <w:r>
        <w:rPr>
          <w:lang w:val="en-GB"/>
        </w:rPr>
        <w:lastRenderedPageBreak/>
        <w:t>Problem with this investment appraisal method is that it does not consider the time value of money. To actually evaluate the worth of an investment option, it is important to consider what the future returns will be worth in the present value</w:t>
      </w:r>
      <w:r w:rsidR="004E7F3B">
        <w:rPr>
          <w:lang w:val="en-GB"/>
        </w:rPr>
        <w:t xml:space="preserve"> </w:t>
      </w:r>
      <w:r w:rsidR="004E7F3B" w:rsidRPr="004E7F3B">
        <w:rPr>
          <w:lang w:val="en-GB"/>
        </w:rPr>
        <w:t xml:space="preserve">(Brigham and Houston, </w:t>
      </w:r>
      <w:r w:rsidR="004E7F3B">
        <w:rPr>
          <w:lang w:val="en-GB"/>
        </w:rPr>
        <w:t>2019</w:t>
      </w:r>
      <w:r w:rsidR="004E7F3B" w:rsidRPr="004E7F3B">
        <w:rPr>
          <w:lang w:val="en-GB"/>
        </w:rPr>
        <w:t>)</w:t>
      </w:r>
      <w:r>
        <w:rPr>
          <w:lang w:val="en-GB"/>
        </w:rPr>
        <w:t>. Without taking account of that, the actual value of an investment cannot be determined in true sense. However, this method does complete the assessment when used alongside a different method</w:t>
      </w:r>
      <w:r w:rsidR="004E7F3B">
        <w:rPr>
          <w:lang w:val="en-GB"/>
        </w:rPr>
        <w:t xml:space="preserve"> </w:t>
      </w:r>
      <w:r w:rsidR="004E7F3B" w:rsidRPr="004E7F3B">
        <w:rPr>
          <w:lang w:val="en-GB"/>
        </w:rPr>
        <w:t>(Johnson and Melicher, 1982)</w:t>
      </w:r>
      <w:r>
        <w:rPr>
          <w:lang w:val="en-GB"/>
        </w:rPr>
        <w:t>.</w:t>
      </w:r>
    </w:p>
    <w:p w14:paraId="69181DC1" w14:textId="27F7A5E9" w:rsidR="00C272F1" w:rsidRPr="00BC5E30" w:rsidRDefault="00C272F1" w:rsidP="00C272F1">
      <w:pPr>
        <w:pStyle w:val="Heading2"/>
        <w:rPr>
          <w:color w:val="000000" w:themeColor="text1"/>
          <w:sz w:val="24"/>
          <w:szCs w:val="24"/>
          <w:lang w:val="en-GB"/>
        </w:rPr>
      </w:pPr>
      <w:bookmarkStart w:id="16" w:name="_Toc44601162"/>
      <w:r w:rsidRPr="00BC5E30">
        <w:rPr>
          <w:color w:val="000000" w:themeColor="text1"/>
          <w:sz w:val="24"/>
          <w:szCs w:val="24"/>
          <w:lang w:val="en-GB"/>
        </w:rPr>
        <w:t>Net Present Value (NPV):</w:t>
      </w:r>
      <w:bookmarkEnd w:id="16"/>
    </w:p>
    <w:p w14:paraId="62A4A8F8" w14:textId="746FC61D" w:rsidR="00C272F1" w:rsidRDefault="00845CFF" w:rsidP="00971B4E">
      <w:pPr>
        <w:rPr>
          <w:lang w:val="en-GB"/>
        </w:rPr>
      </w:pPr>
      <w:r>
        <w:rPr>
          <w:lang w:val="en-GB"/>
        </w:rPr>
        <w:t xml:space="preserve">According to </w:t>
      </w:r>
      <w:r w:rsidRPr="00845CFF">
        <w:rPr>
          <w:lang w:val="en-GB"/>
        </w:rPr>
        <w:t xml:space="preserve">Archer, Choate and Racette </w:t>
      </w:r>
      <w:r>
        <w:rPr>
          <w:lang w:val="en-GB"/>
        </w:rPr>
        <w:t>(</w:t>
      </w:r>
      <w:r w:rsidRPr="00845CFF">
        <w:rPr>
          <w:lang w:val="en-GB"/>
        </w:rPr>
        <w:t>1983)</w:t>
      </w:r>
      <w:r>
        <w:rPr>
          <w:lang w:val="en-GB"/>
        </w:rPr>
        <w:t>, “</w:t>
      </w:r>
      <w:r w:rsidRPr="00845CFF">
        <w:rPr>
          <w:lang w:val="en-GB"/>
        </w:rPr>
        <w:t xml:space="preserve">Net present value (NPV) </w:t>
      </w:r>
      <w:r>
        <w:rPr>
          <w:lang w:val="en-GB"/>
        </w:rPr>
        <w:t>refers to</w:t>
      </w:r>
      <w:r w:rsidRPr="00845CFF">
        <w:rPr>
          <w:lang w:val="en-GB"/>
        </w:rPr>
        <w:t xml:space="preserve"> the difference between the present value of cash inflows and the present value of cash outflows over a period of time</w:t>
      </w:r>
      <w:r>
        <w:rPr>
          <w:lang w:val="en-GB"/>
        </w:rPr>
        <w:t>”</w:t>
      </w:r>
      <w:r w:rsidRPr="00845CFF">
        <w:rPr>
          <w:lang w:val="en-GB"/>
        </w:rPr>
        <w:t>.</w:t>
      </w:r>
      <w:r w:rsidR="000F7FD2">
        <w:rPr>
          <w:lang w:val="en-GB"/>
        </w:rPr>
        <w:t xml:space="preserve"> </w:t>
      </w:r>
    </w:p>
    <w:p w14:paraId="296EFF2A" w14:textId="706B3901" w:rsidR="000F7FD2" w:rsidRPr="000F7FD2" w:rsidRDefault="000F7FD2" w:rsidP="00971B4E">
      <w:pPr>
        <w:rPr>
          <w:b/>
          <w:bCs/>
          <w:lang w:val="en-GB"/>
        </w:rPr>
      </w:pPr>
      <w:bookmarkStart w:id="17" w:name="_Hlk44598137"/>
      <w:r w:rsidRPr="000F7FD2">
        <w:rPr>
          <w:b/>
          <w:bCs/>
          <w:lang w:val="en-GB"/>
        </w:rPr>
        <w:t xml:space="preserve">Project ‘A’ NPV: </w:t>
      </w:r>
    </w:p>
    <w:p w14:paraId="5C76BF3E" w14:textId="6C9B5A07" w:rsidR="000F7FD2" w:rsidRPr="005E24E8" w:rsidRDefault="005E24E8" w:rsidP="005E24E8">
      <w:pPr>
        <w:rPr>
          <w:lang w:val="en-GB"/>
        </w:rPr>
      </w:pPr>
      <w:bookmarkStart w:id="18" w:name="_Hlk44598829"/>
      <w:bookmarkEnd w:id="17"/>
      <w:r>
        <w:rPr>
          <w:lang w:val="en-GB"/>
        </w:rPr>
        <w:t>= (</w:t>
      </w:r>
      <w:r w:rsidRPr="005E24E8">
        <w:rPr>
          <w:lang w:val="en-GB"/>
        </w:rPr>
        <w:t>-30</w:t>
      </w:r>
      <w:r>
        <w:rPr>
          <w:lang w:val="en-GB"/>
        </w:rPr>
        <w:t>) +(</w:t>
      </w:r>
      <w:r w:rsidRPr="005E24E8">
        <w:rPr>
          <w:lang w:val="en-GB"/>
        </w:rPr>
        <w:t>0/ (1+0.118))</w:t>
      </w:r>
      <w:r>
        <w:rPr>
          <w:lang w:val="en-GB"/>
        </w:rPr>
        <w:t xml:space="preserve"> +(</w:t>
      </w:r>
      <w:r w:rsidRPr="005E24E8">
        <w:rPr>
          <w:lang w:val="en-GB"/>
        </w:rPr>
        <w:t>15</w:t>
      </w:r>
      <w:r>
        <w:rPr>
          <w:lang w:val="en-GB"/>
        </w:rPr>
        <w:t>/</w:t>
      </w:r>
      <w:r w:rsidRPr="005E24E8">
        <w:rPr>
          <w:lang w:val="en-GB"/>
        </w:rPr>
        <w:t xml:space="preserve"> (1+0.118)</w:t>
      </w:r>
      <w:r>
        <w:rPr>
          <w:vertAlign w:val="superscript"/>
          <w:lang w:val="en-GB"/>
        </w:rPr>
        <w:t>2</w:t>
      </w:r>
      <w:r>
        <w:rPr>
          <w:lang w:val="en-GB"/>
        </w:rPr>
        <w:t>)) +(</w:t>
      </w:r>
      <w:r w:rsidRPr="005E24E8">
        <w:rPr>
          <w:lang w:val="en-GB"/>
        </w:rPr>
        <w:t>20</w:t>
      </w:r>
      <w:r>
        <w:rPr>
          <w:lang w:val="en-GB"/>
        </w:rPr>
        <w:t>/ (</w:t>
      </w:r>
      <w:r w:rsidRPr="005E24E8">
        <w:rPr>
          <w:lang w:val="en-GB"/>
        </w:rPr>
        <w:t>1+0.118)</w:t>
      </w:r>
      <w:r>
        <w:rPr>
          <w:vertAlign w:val="superscript"/>
          <w:lang w:val="en-GB"/>
        </w:rPr>
        <w:t>3</w:t>
      </w:r>
      <w:r>
        <w:rPr>
          <w:lang w:val="en-GB"/>
        </w:rPr>
        <w:t>) +(10/ (1+0.118)</w:t>
      </w:r>
      <w:r>
        <w:rPr>
          <w:vertAlign w:val="superscript"/>
          <w:lang w:val="en-GB"/>
        </w:rPr>
        <w:t>4</w:t>
      </w:r>
      <w:r>
        <w:rPr>
          <w:lang w:val="en-GB"/>
        </w:rPr>
        <w:t>)</w:t>
      </w:r>
    </w:p>
    <w:bookmarkEnd w:id="18"/>
    <w:p w14:paraId="017A83ED" w14:textId="192E33ED" w:rsidR="000F7FD2" w:rsidRDefault="005E24E8" w:rsidP="00971B4E">
      <w:pPr>
        <w:rPr>
          <w:lang w:val="en-GB"/>
        </w:rPr>
      </w:pPr>
      <w:r>
        <w:rPr>
          <w:rFonts w:cs="Times New Roman"/>
          <w:lang w:val="en-GB"/>
        </w:rPr>
        <w:t>=</w:t>
      </w:r>
      <w:r w:rsidR="000F7FD2">
        <w:rPr>
          <w:rFonts w:cs="Times New Roman"/>
          <w:lang w:val="en-GB"/>
        </w:rPr>
        <w:t>£</w:t>
      </w:r>
      <w:r w:rsidR="000F7FD2" w:rsidRPr="000F7FD2">
        <w:rPr>
          <w:lang w:val="en-GB"/>
        </w:rPr>
        <w:t>2,713,648.26</w:t>
      </w:r>
    </w:p>
    <w:p w14:paraId="40A6B793" w14:textId="3BF5AE54" w:rsidR="000F7FD2" w:rsidRPr="000F7FD2" w:rsidRDefault="000F7FD2" w:rsidP="00971B4E">
      <w:pPr>
        <w:rPr>
          <w:b/>
          <w:bCs/>
          <w:lang w:val="en-GB"/>
        </w:rPr>
      </w:pPr>
      <w:r w:rsidRPr="000F7FD2">
        <w:rPr>
          <w:b/>
          <w:bCs/>
          <w:lang w:val="en-GB"/>
        </w:rPr>
        <w:t>Project ‘B’ NPV:</w:t>
      </w:r>
    </w:p>
    <w:p w14:paraId="639D7210" w14:textId="62EE4242" w:rsidR="000F7FD2" w:rsidRDefault="005E24E8" w:rsidP="00971B4E">
      <w:pPr>
        <w:rPr>
          <w:lang w:val="en-GB"/>
        </w:rPr>
      </w:pPr>
      <w:r>
        <w:rPr>
          <w:lang w:val="en-GB"/>
        </w:rPr>
        <w:t>= (</w:t>
      </w:r>
      <w:r w:rsidRPr="005E24E8">
        <w:rPr>
          <w:lang w:val="en-GB"/>
        </w:rPr>
        <w:t>-</w:t>
      </w:r>
      <w:r>
        <w:rPr>
          <w:lang w:val="en-GB"/>
        </w:rPr>
        <w:t>5</w:t>
      </w:r>
      <w:r w:rsidRPr="005E24E8">
        <w:rPr>
          <w:lang w:val="en-GB"/>
        </w:rPr>
        <w:t>0</w:t>
      </w:r>
      <w:r>
        <w:rPr>
          <w:lang w:val="en-GB"/>
        </w:rPr>
        <w:t>) +(15</w:t>
      </w:r>
      <w:r w:rsidRPr="005E24E8">
        <w:rPr>
          <w:lang w:val="en-GB"/>
        </w:rPr>
        <w:t>/ (1+0.118))</w:t>
      </w:r>
      <w:r>
        <w:rPr>
          <w:lang w:val="en-GB"/>
        </w:rPr>
        <w:t xml:space="preserve"> +(</w:t>
      </w:r>
      <w:r w:rsidRPr="005E24E8">
        <w:rPr>
          <w:lang w:val="en-GB"/>
        </w:rPr>
        <w:t>15</w:t>
      </w:r>
      <w:r>
        <w:rPr>
          <w:lang w:val="en-GB"/>
        </w:rPr>
        <w:t>/</w:t>
      </w:r>
      <w:r w:rsidRPr="005E24E8">
        <w:rPr>
          <w:lang w:val="en-GB"/>
        </w:rPr>
        <w:t xml:space="preserve"> (1+0.118)</w:t>
      </w:r>
      <w:r>
        <w:rPr>
          <w:vertAlign w:val="superscript"/>
          <w:lang w:val="en-GB"/>
        </w:rPr>
        <w:t>2</w:t>
      </w:r>
      <w:r>
        <w:rPr>
          <w:lang w:val="en-GB"/>
        </w:rPr>
        <w:t>)) +(15/ (</w:t>
      </w:r>
      <w:r w:rsidRPr="005E24E8">
        <w:rPr>
          <w:lang w:val="en-GB"/>
        </w:rPr>
        <w:t>1+0.118)</w:t>
      </w:r>
      <w:r>
        <w:rPr>
          <w:vertAlign w:val="superscript"/>
          <w:lang w:val="en-GB"/>
        </w:rPr>
        <w:t>3</w:t>
      </w:r>
      <w:r>
        <w:rPr>
          <w:lang w:val="en-GB"/>
        </w:rPr>
        <w:t>) +(27/ (1+0.118)</w:t>
      </w:r>
      <w:r>
        <w:rPr>
          <w:vertAlign w:val="superscript"/>
          <w:lang w:val="en-GB"/>
        </w:rPr>
        <w:t>4</w:t>
      </w:r>
      <w:r>
        <w:rPr>
          <w:lang w:val="en-GB"/>
        </w:rPr>
        <w:t>)</w:t>
      </w:r>
    </w:p>
    <w:p w14:paraId="5B2D91F9" w14:textId="0883D0F9" w:rsidR="000F7FD2" w:rsidRDefault="005E24E8" w:rsidP="00971B4E">
      <w:pPr>
        <w:rPr>
          <w:lang w:val="en-GB"/>
        </w:rPr>
      </w:pPr>
      <w:r>
        <w:rPr>
          <w:rFonts w:cs="Times New Roman"/>
          <w:lang w:val="en-GB"/>
        </w:rPr>
        <w:t>=</w:t>
      </w:r>
      <w:r w:rsidR="000F7FD2">
        <w:rPr>
          <w:rFonts w:cs="Times New Roman"/>
          <w:lang w:val="en-GB"/>
        </w:rPr>
        <w:t>£</w:t>
      </w:r>
      <w:r w:rsidR="000F7FD2" w:rsidRPr="000F7FD2">
        <w:rPr>
          <w:lang w:val="en-GB"/>
        </w:rPr>
        <w:t>3,433,752.05</w:t>
      </w:r>
    </w:p>
    <w:p w14:paraId="2A9C748A" w14:textId="4F2F8A1B" w:rsidR="00FA0BDE" w:rsidRDefault="005E24E8" w:rsidP="00971B4E">
      <w:pPr>
        <w:rPr>
          <w:lang w:val="en-GB"/>
        </w:rPr>
      </w:pPr>
      <w:r>
        <w:rPr>
          <w:lang w:val="en-GB"/>
        </w:rPr>
        <w:t xml:space="preserve">It is evident from the calculation of NPV that project B would be more profitable for the company compared to project A because it will generate more returns in the years to come. </w:t>
      </w:r>
    </w:p>
    <w:p w14:paraId="6DD1FB95" w14:textId="20F3DE87" w:rsidR="00FA0BDE" w:rsidRPr="00FA0BDE" w:rsidRDefault="00FA0BDE" w:rsidP="00971B4E">
      <w:pPr>
        <w:rPr>
          <w:b/>
          <w:bCs/>
          <w:lang w:val="en-GB"/>
        </w:rPr>
      </w:pPr>
      <w:r w:rsidRPr="00FA0BDE">
        <w:rPr>
          <w:b/>
          <w:bCs/>
          <w:lang w:val="en-GB"/>
        </w:rPr>
        <w:t>Benefits</w:t>
      </w:r>
    </w:p>
    <w:p w14:paraId="5A91D710" w14:textId="66A76B04" w:rsidR="000F7FD2" w:rsidRDefault="005E24E8" w:rsidP="00971B4E">
      <w:pPr>
        <w:rPr>
          <w:lang w:val="en-GB"/>
        </w:rPr>
      </w:pPr>
      <w:r>
        <w:rPr>
          <w:lang w:val="en-GB"/>
        </w:rPr>
        <w:t>The reason that this finding should be considered more than the findings of PBP is that this method evaluates the time value of the company</w:t>
      </w:r>
      <w:r w:rsidR="004E7F3B">
        <w:rPr>
          <w:lang w:val="en-GB"/>
        </w:rPr>
        <w:t xml:space="preserve"> </w:t>
      </w:r>
      <w:r w:rsidR="004E7F3B" w:rsidRPr="004E7F3B">
        <w:rPr>
          <w:lang w:val="en-GB"/>
        </w:rPr>
        <w:t>(Johnson and Melicher, 1982)</w:t>
      </w:r>
      <w:r w:rsidR="00FA0BDE">
        <w:rPr>
          <w:lang w:val="en-GB"/>
        </w:rPr>
        <w:t>. It is also a better technique for management decision making because managers aim to increase the value of the company with the investments they make. Specifically, in the context of Tesco. NPV would be the method to consider to aid management decision</w:t>
      </w:r>
      <w:r w:rsidR="004E7F3B">
        <w:rPr>
          <w:lang w:val="en-GB"/>
        </w:rPr>
        <w:t xml:space="preserve"> </w:t>
      </w:r>
      <w:r w:rsidR="004E7F3B" w:rsidRPr="004E7F3B">
        <w:rPr>
          <w:lang w:val="en-GB"/>
        </w:rPr>
        <w:t>(Khan and Jain, 2007)</w:t>
      </w:r>
      <w:r w:rsidR="00FA0BDE">
        <w:rPr>
          <w:lang w:val="en-GB"/>
        </w:rPr>
        <w:t>.</w:t>
      </w:r>
    </w:p>
    <w:p w14:paraId="6AACEBBB" w14:textId="7985446B" w:rsidR="00FA0BDE" w:rsidRPr="00FA0BDE" w:rsidRDefault="00FA0BDE" w:rsidP="00971B4E">
      <w:pPr>
        <w:rPr>
          <w:b/>
          <w:bCs/>
          <w:lang w:val="en-GB"/>
        </w:rPr>
      </w:pPr>
      <w:r w:rsidRPr="00FA0BDE">
        <w:rPr>
          <w:b/>
          <w:bCs/>
          <w:lang w:val="en-GB"/>
        </w:rPr>
        <w:t>Demerits</w:t>
      </w:r>
    </w:p>
    <w:p w14:paraId="00C2F889" w14:textId="6B911A7A" w:rsidR="00FA0BDE" w:rsidRDefault="00FA0BDE" w:rsidP="00971B4E">
      <w:pPr>
        <w:rPr>
          <w:lang w:val="en-GB"/>
        </w:rPr>
      </w:pPr>
      <w:r>
        <w:rPr>
          <w:lang w:val="en-GB"/>
        </w:rPr>
        <w:t>The only problem with this method is that it is difficult to calculate and if the company requires quick returns, then this method would be less preferable</w:t>
      </w:r>
      <w:r w:rsidR="004E7F3B">
        <w:rPr>
          <w:lang w:val="en-GB"/>
        </w:rPr>
        <w:t xml:space="preserve"> </w:t>
      </w:r>
      <w:r w:rsidR="004E7F3B" w:rsidRPr="004E7F3B">
        <w:rPr>
          <w:lang w:val="en-GB"/>
        </w:rPr>
        <w:t>(Khan and Jain, 2007)</w:t>
      </w:r>
      <w:r>
        <w:rPr>
          <w:lang w:val="en-GB"/>
        </w:rPr>
        <w:t xml:space="preserve">. But if the </w:t>
      </w:r>
      <w:r>
        <w:rPr>
          <w:lang w:val="en-GB"/>
        </w:rPr>
        <w:lastRenderedPageBreak/>
        <w:t xml:space="preserve">company actually wants to evaluate the worth of the company, then NPV would be the appraisal method to look up to. </w:t>
      </w:r>
    </w:p>
    <w:p w14:paraId="4EFCBB9C" w14:textId="28EF68EB" w:rsidR="00C272F1" w:rsidRPr="00BC5E30" w:rsidRDefault="00C272F1" w:rsidP="00C272F1">
      <w:pPr>
        <w:pStyle w:val="Heading2"/>
        <w:rPr>
          <w:color w:val="000000" w:themeColor="text1"/>
          <w:sz w:val="24"/>
          <w:szCs w:val="24"/>
          <w:lang w:val="en-GB"/>
        </w:rPr>
      </w:pPr>
      <w:bookmarkStart w:id="19" w:name="_Toc44601163"/>
      <w:r w:rsidRPr="00BC5E30">
        <w:rPr>
          <w:color w:val="000000" w:themeColor="text1"/>
          <w:sz w:val="24"/>
          <w:szCs w:val="24"/>
          <w:lang w:val="en-GB"/>
        </w:rPr>
        <w:t>Accounting rate of return (ARR):</w:t>
      </w:r>
      <w:bookmarkEnd w:id="19"/>
    </w:p>
    <w:p w14:paraId="6940047B" w14:textId="145097C9" w:rsidR="00971B4E" w:rsidRDefault="00FE5580" w:rsidP="00971B4E">
      <w:pPr>
        <w:rPr>
          <w:lang w:val="en-GB"/>
        </w:rPr>
      </w:pPr>
      <w:r>
        <w:rPr>
          <w:noProof/>
          <w:lang w:val="en-GB" w:eastAsia="en-GB"/>
        </w:rPr>
        <w:drawing>
          <wp:anchor distT="0" distB="0" distL="114300" distR="114300" simplePos="0" relativeHeight="251662336" behindDoc="0" locked="0" layoutInCell="1" allowOverlap="1" wp14:anchorId="5A38D2B5" wp14:editId="72DBB97B">
            <wp:simplePos x="0" y="0"/>
            <wp:positionH relativeFrom="margin">
              <wp:align>center</wp:align>
            </wp:positionH>
            <wp:positionV relativeFrom="paragraph">
              <wp:posOffset>711835</wp:posOffset>
            </wp:positionV>
            <wp:extent cx="4629150" cy="2084107"/>
            <wp:effectExtent l="0" t="0" r="0" b="0"/>
            <wp:wrapTopAndBottom/>
            <wp:docPr id="10" name="Picture 10" descr="Accounting Rate of Return (Definition, Formula)| Calculate A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ounting Rate of Return (Definition, Formula)| Calculate AR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29150" cy="2084107"/>
                    </a:xfrm>
                    <a:prstGeom prst="rect">
                      <a:avLst/>
                    </a:prstGeom>
                    <a:noFill/>
                    <a:ln>
                      <a:noFill/>
                    </a:ln>
                  </pic:spPr>
                </pic:pic>
              </a:graphicData>
            </a:graphic>
            <wp14:sizeRelH relativeFrom="page">
              <wp14:pctWidth>0</wp14:pctWidth>
            </wp14:sizeRelH>
            <wp14:sizeRelV relativeFrom="page">
              <wp14:pctHeight>0</wp14:pctHeight>
            </wp14:sizeRelV>
          </wp:anchor>
        </w:drawing>
      </w:r>
      <w:r w:rsidR="00FA0BDE">
        <w:rPr>
          <w:lang w:val="en-GB"/>
        </w:rPr>
        <w:t xml:space="preserve">ARR calculates the average rate of return. It is usually an appraisal technique that complements the findings of other investment appraisal findings. </w:t>
      </w:r>
    </w:p>
    <w:p w14:paraId="46093261" w14:textId="6C870ED3" w:rsidR="00F63077" w:rsidRDefault="00F63077" w:rsidP="00971B4E">
      <w:pPr>
        <w:rPr>
          <w:lang w:val="en-GB"/>
        </w:rPr>
      </w:pPr>
    </w:p>
    <w:p w14:paraId="2D503F4B" w14:textId="446209F2" w:rsidR="00FA0BDE" w:rsidRDefault="00FA0BDE" w:rsidP="00971B4E">
      <w:pPr>
        <w:rPr>
          <w:lang w:val="en-GB"/>
        </w:rPr>
      </w:pPr>
      <w:r>
        <w:rPr>
          <w:lang w:val="en-GB"/>
        </w:rPr>
        <w:t>ARR of project A:</w:t>
      </w:r>
    </w:p>
    <w:p w14:paraId="00246767" w14:textId="521CA441" w:rsidR="00FA0BDE" w:rsidRDefault="00F63077" w:rsidP="00971B4E">
      <w:pPr>
        <w:rPr>
          <w:lang w:val="en-GB"/>
        </w:rPr>
      </w:pPr>
      <w:r>
        <w:rPr>
          <w:lang w:val="en-GB"/>
        </w:rPr>
        <w:t>Average annual earnings= 45,000000/4= 1125,00,00</w:t>
      </w:r>
    </w:p>
    <w:p w14:paraId="52955EDC" w14:textId="4519CA60" w:rsidR="00F63077" w:rsidRDefault="00F63077" w:rsidP="00971B4E">
      <w:pPr>
        <w:rPr>
          <w:lang w:val="en-GB"/>
        </w:rPr>
      </w:pPr>
      <w:r>
        <w:rPr>
          <w:lang w:val="en-GB"/>
        </w:rPr>
        <w:t>Initial investment= 30,000,000</w:t>
      </w:r>
    </w:p>
    <w:p w14:paraId="0975A9CF" w14:textId="132F4C9D" w:rsidR="00F63077" w:rsidRDefault="00F63077" w:rsidP="00971B4E">
      <w:pPr>
        <w:rPr>
          <w:lang w:val="en-GB"/>
        </w:rPr>
      </w:pPr>
      <w:r>
        <w:rPr>
          <w:lang w:val="en-GB"/>
        </w:rPr>
        <w:t>ARR= 0.375</w:t>
      </w:r>
    </w:p>
    <w:p w14:paraId="775B38A1" w14:textId="3DA4DFEF" w:rsidR="00FA0BDE" w:rsidRDefault="00FA0BDE" w:rsidP="00971B4E">
      <w:pPr>
        <w:rPr>
          <w:lang w:val="en-GB"/>
        </w:rPr>
      </w:pPr>
      <w:r>
        <w:rPr>
          <w:lang w:val="en-GB"/>
        </w:rPr>
        <w:t>ARR of project B:</w:t>
      </w:r>
    </w:p>
    <w:p w14:paraId="10E43DBD" w14:textId="41CCE6B5" w:rsidR="00971B4E" w:rsidRDefault="00F63077" w:rsidP="00971B4E">
      <w:pPr>
        <w:rPr>
          <w:lang w:val="en-GB"/>
        </w:rPr>
      </w:pPr>
      <w:r>
        <w:rPr>
          <w:lang w:val="en-GB"/>
        </w:rPr>
        <w:t xml:space="preserve">Average annual earnings= 72,000,000/4= </w:t>
      </w:r>
      <w:r w:rsidRPr="00F63077">
        <w:rPr>
          <w:lang w:val="en-GB"/>
        </w:rPr>
        <w:t>18000000</w:t>
      </w:r>
    </w:p>
    <w:p w14:paraId="498C8D70" w14:textId="77777777" w:rsidR="00F63077" w:rsidRDefault="00F63077" w:rsidP="00F63077">
      <w:pPr>
        <w:tabs>
          <w:tab w:val="left" w:pos="2610"/>
          <w:tab w:val="left" w:pos="3615"/>
        </w:tabs>
        <w:rPr>
          <w:lang w:val="en-GB"/>
        </w:rPr>
      </w:pPr>
      <w:r>
        <w:rPr>
          <w:lang w:val="en-GB"/>
        </w:rPr>
        <w:t>Initial investment= 50,000,000</w:t>
      </w:r>
    </w:p>
    <w:p w14:paraId="3DC43891" w14:textId="189ACE7F" w:rsidR="00F63077" w:rsidRDefault="00F63077" w:rsidP="00F63077">
      <w:pPr>
        <w:tabs>
          <w:tab w:val="left" w:pos="2610"/>
          <w:tab w:val="left" w:pos="3615"/>
        </w:tabs>
        <w:rPr>
          <w:lang w:val="en-GB"/>
        </w:rPr>
      </w:pPr>
      <w:r>
        <w:rPr>
          <w:lang w:val="en-GB"/>
        </w:rPr>
        <w:t>ARR= 0.36</w:t>
      </w:r>
      <w:r>
        <w:rPr>
          <w:lang w:val="en-GB"/>
        </w:rPr>
        <w:tab/>
      </w:r>
    </w:p>
    <w:p w14:paraId="05F09F1A" w14:textId="6873BE4C" w:rsidR="00F63077" w:rsidRDefault="00F63077" w:rsidP="00F63077">
      <w:pPr>
        <w:tabs>
          <w:tab w:val="left" w:pos="2610"/>
          <w:tab w:val="left" w:pos="3615"/>
        </w:tabs>
        <w:rPr>
          <w:lang w:val="en-GB"/>
        </w:rPr>
      </w:pPr>
      <w:r>
        <w:rPr>
          <w:lang w:val="en-GB"/>
        </w:rPr>
        <w:t xml:space="preserve">Project A will generate a 37.5% return from its investments, whereas, project B would generate 36% returns from the investments in the coming years. The gap between the projects is very less to prioritize the findings of ARR over the findings of NPV. </w:t>
      </w:r>
    </w:p>
    <w:p w14:paraId="7004165E" w14:textId="5747A94B" w:rsidR="00F6420F" w:rsidRDefault="00F6420F" w:rsidP="00F63077">
      <w:pPr>
        <w:tabs>
          <w:tab w:val="left" w:pos="2610"/>
          <w:tab w:val="left" w:pos="3615"/>
        </w:tabs>
        <w:rPr>
          <w:lang w:val="en-GB"/>
        </w:rPr>
      </w:pPr>
      <w:r w:rsidRPr="00F6420F">
        <w:rPr>
          <w:b/>
          <w:bCs/>
          <w:lang w:val="en-GB"/>
        </w:rPr>
        <w:t>Advantages</w:t>
      </w:r>
      <w:r>
        <w:rPr>
          <w:lang w:val="en-GB"/>
        </w:rPr>
        <w:t>:</w:t>
      </w:r>
    </w:p>
    <w:p w14:paraId="73369901" w14:textId="0EC00BF7" w:rsidR="00F6420F" w:rsidRDefault="00F6420F" w:rsidP="00F63077">
      <w:pPr>
        <w:tabs>
          <w:tab w:val="left" w:pos="2610"/>
          <w:tab w:val="left" w:pos="3615"/>
        </w:tabs>
        <w:rPr>
          <w:lang w:val="en-GB"/>
        </w:rPr>
      </w:pPr>
      <w:r>
        <w:rPr>
          <w:lang w:val="en-GB"/>
        </w:rPr>
        <w:lastRenderedPageBreak/>
        <w:t>ARR is a simple to calculate technique and it provides a simplistic analysis of a capital budgeting option</w:t>
      </w:r>
      <w:r w:rsidR="004E7F3B">
        <w:rPr>
          <w:lang w:val="en-GB"/>
        </w:rPr>
        <w:t xml:space="preserve"> </w:t>
      </w:r>
      <w:r w:rsidR="004E7F3B" w:rsidRPr="004E7F3B">
        <w:rPr>
          <w:lang w:val="en-GB"/>
        </w:rPr>
        <w:t>(Oberholzer, 2012)</w:t>
      </w:r>
      <w:r>
        <w:rPr>
          <w:lang w:val="en-GB"/>
        </w:rPr>
        <w:t>. It also considers the concept of net earnings, which is an important factor to look at when appraising an investment option</w:t>
      </w:r>
      <w:r w:rsidR="004E7F3B">
        <w:rPr>
          <w:lang w:val="en-GB"/>
        </w:rPr>
        <w:t xml:space="preserve"> </w:t>
      </w:r>
      <w:r w:rsidR="004E7F3B" w:rsidRPr="004E7F3B">
        <w:rPr>
          <w:lang w:val="en-GB"/>
        </w:rPr>
        <w:t xml:space="preserve">(Madura, </w:t>
      </w:r>
      <w:r w:rsidR="004E7F3B">
        <w:rPr>
          <w:lang w:val="en-GB"/>
        </w:rPr>
        <w:t>2019</w:t>
      </w:r>
      <w:r w:rsidR="004E7F3B" w:rsidRPr="004E7F3B">
        <w:rPr>
          <w:lang w:val="en-GB"/>
        </w:rPr>
        <w:t>)</w:t>
      </w:r>
      <w:r>
        <w:rPr>
          <w:lang w:val="en-GB"/>
        </w:rPr>
        <w:t>. It particularly satisfies the owners because they look at the profitability of the company.</w:t>
      </w:r>
    </w:p>
    <w:p w14:paraId="2360B149" w14:textId="7A168810" w:rsidR="00F6420F" w:rsidRDefault="00F6420F" w:rsidP="00F63077">
      <w:pPr>
        <w:tabs>
          <w:tab w:val="left" w:pos="2610"/>
          <w:tab w:val="left" w:pos="3615"/>
        </w:tabs>
        <w:rPr>
          <w:lang w:val="en-GB"/>
        </w:rPr>
      </w:pPr>
      <w:r w:rsidRPr="00F6420F">
        <w:rPr>
          <w:b/>
          <w:bCs/>
          <w:lang w:val="en-GB"/>
        </w:rPr>
        <w:t>Disadvantages</w:t>
      </w:r>
      <w:r>
        <w:rPr>
          <w:lang w:val="en-GB"/>
        </w:rPr>
        <w:t>:</w:t>
      </w:r>
    </w:p>
    <w:p w14:paraId="4D6EB763" w14:textId="3E5DEF53" w:rsidR="00F6420F" w:rsidRDefault="00F6420F" w:rsidP="00F63077">
      <w:pPr>
        <w:tabs>
          <w:tab w:val="left" w:pos="2610"/>
          <w:tab w:val="left" w:pos="3615"/>
        </w:tabs>
        <w:rPr>
          <w:lang w:val="en-GB"/>
        </w:rPr>
      </w:pPr>
      <w:r>
        <w:rPr>
          <w:lang w:val="en-GB"/>
        </w:rPr>
        <w:t>ARR may give conflicting findings if compared to ROI which is a more acceptable technique for calculating the returns on investments</w:t>
      </w:r>
      <w:r w:rsidR="004E7F3B">
        <w:rPr>
          <w:lang w:val="en-GB"/>
        </w:rPr>
        <w:t xml:space="preserve"> </w:t>
      </w:r>
      <w:r w:rsidR="004E7F3B" w:rsidRPr="004E7F3B">
        <w:rPr>
          <w:lang w:val="en-GB"/>
        </w:rPr>
        <w:t>(Oberholzer, 2012)</w:t>
      </w:r>
      <w:r>
        <w:rPr>
          <w:lang w:val="en-GB"/>
        </w:rPr>
        <w:t xml:space="preserve">. This method does not consider the time value of money either. And finally, this method does not consider the impacts of external factors when determining the profitability. Thus, it is less preferable over NPV. </w:t>
      </w:r>
    </w:p>
    <w:p w14:paraId="462F6BDA" w14:textId="76B1DA73" w:rsidR="00F6420F" w:rsidRPr="00B15EB8" w:rsidRDefault="00D61ECA" w:rsidP="00D61ECA">
      <w:pPr>
        <w:pStyle w:val="Heading2"/>
        <w:rPr>
          <w:color w:val="000000" w:themeColor="text1"/>
          <w:sz w:val="24"/>
          <w:szCs w:val="24"/>
          <w:lang w:val="en-GB"/>
        </w:rPr>
      </w:pPr>
      <w:bookmarkStart w:id="20" w:name="_Toc44601164"/>
      <w:r w:rsidRPr="00B15EB8">
        <w:rPr>
          <w:color w:val="000000" w:themeColor="text1"/>
          <w:sz w:val="24"/>
          <w:szCs w:val="24"/>
          <w:lang w:val="en-GB"/>
        </w:rPr>
        <w:t>External factors to consider</w:t>
      </w:r>
      <w:bookmarkEnd w:id="20"/>
    </w:p>
    <w:p w14:paraId="20166630" w14:textId="3304522A" w:rsidR="00D61ECA" w:rsidRPr="00D61ECA" w:rsidRDefault="00D61ECA" w:rsidP="00D61ECA">
      <w:pPr>
        <w:rPr>
          <w:lang w:val="en-GB"/>
        </w:rPr>
      </w:pPr>
      <w:r>
        <w:rPr>
          <w:lang w:val="en-GB"/>
        </w:rPr>
        <w:t xml:space="preserve">The political stability, political changes, economic changes, social demand, technological disruptions, and legal frameworks need to </w:t>
      </w:r>
      <w:r w:rsidR="00B15EB8">
        <w:rPr>
          <w:lang w:val="en-GB"/>
        </w:rPr>
        <w:t>consider</w:t>
      </w:r>
      <w:r>
        <w:rPr>
          <w:lang w:val="en-GB"/>
        </w:rPr>
        <w:t xml:space="preserve"> before choosing a particular investment option. For instance, Brexit had significant impact on the business operations as it increased the costs of imports from EU</w:t>
      </w:r>
      <w:r w:rsidR="004E7F3B">
        <w:rPr>
          <w:lang w:val="en-GB"/>
        </w:rPr>
        <w:t xml:space="preserve"> </w:t>
      </w:r>
      <w:r w:rsidR="004E7F3B" w:rsidRPr="004E7F3B">
        <w:rPr>
          <w:lang w:val="en-GB"/>
        </w:rPr>
        <w:t>(Tesco PLC, 2020)</w:t>
      </w:r>
      <w:r>
        <w:rPr>
          <w:lang w:val="en-GB"/>
        </w:rPr>
        <w:t xml:space="preserve">. The current pandemic had affected almost all business operations so far, and deemed many projects </w:t>
      </w:r>
      <w:r w:rsidR="00600249">
        <w:rPr>
          <w:lang w:val="en-GB"/>
        </w:rPr>
        <w:t>unprofitable. The technology that is demandable today, may not have the same demand tomorrow. T</w:t>
      </w:r>
      <w:r>
        <w:rPr>
          <w:lang w:val="en-GB"/>
        </w:rPr>
        <w:t>he management also needs to evaluate which alternative would be more sustainable and ethical as per market demands and expectations. Without taking consideration of these issues, the company would risk its investments because the impacts of external business environment are substantial to the performance of the investment, and may change the course of actions of the business</w:t>
      </w:r>
      <w:r w:rsidR="004E7F3B">
        <w:rPr>
          <w:lang w:val="en-GB"/>
        </w:rPr>
        <w:t xml:space="preserve"> </w:t>
      </w:r>
      <w:r w:rsidR="004E7F3B" w:rsidRPr="004E7F3B">
        <w:rPr>
          <w:lang w:val="en-GB"/>
        </w:rPr>
        <w:t xml:space="preserve">(Brigham and Houston, </w:t>
      </w:r>
      <w:r w:rsidR="004E7F3B">
        <w:rPr>
          <w:lang w:val="en-GB"/>
        </w:rPr>
        <w:t>2019</w:t>
      </w:r>
      <w:r w:rsidR="004E7F3B" w:rsidRPr="004E7F3B">
        <w:rPr>
          <w:lang w:val="en-GB"/>
        </w:rPr>
        <w:t>)</w:t>
      </w:r>
      <w:r>
        <w:rPr>
          <w:lang w:val="en-GB"/>
        </w:rPr>
        <w:t xml:space="preserve">. Therefore, it is vital that the external factors are taken into consideration as well. </w:t>
      </w:r>
    </w:p>
    <w:p w14:paraId="57BDFC04" w14:textId="65376582" w:rsidR="00971B4E" w:rsidRPr="00B15EB8" w:rsidRDefault="00971B4E" w:rsidP="00971B4E">
      <w:pPr>
        <w:pStyle w:val="Heading1"/>
        <w:rPr>
          <w:sz w:val="24"/>
          <w:szCs w:val="24"/>
        </w:rPr>
      </w:pPr>
      <w:bookmarkStart w:id="21" w:name="_Toc44601165"/>
      <w:r w:rsidRPr="00B15EB8">
        <w:rPr>
          <w:sz w:val="24"/>
          <w:szCs w:val="24"/>
        </w:rPr>
        <w:t>Conclusion</w:t>
      </w:r>
      <w:bookmarkEnd w:id="21"/>
    </w:p>
    <w:p w14:paraId="193E064B" w14:textId="3A9B64DE" w:rsidR="00971B4E" w:rsidRDefault="00310084" w:rsidP="00971B4E">
      <w:pPr>
        <w:rPr>
          <w:lang w:val="en-GB"/>
        </w:rPr>
      </w:pPr>
      <w:r w:rsidRPr="00310084">
        <w:rPr>
          <w:lang w:val="en-GB"/>
        </w:rPr>
        <w:t>This report</w:t>
      </w:r>
      <w:r>
        <w:rPr>
          <w:lang w:val="en-GB"/>
        </w:rPr>
        <w:t xml:space="preserve"> has</w:t>
      </w:r>
      <w:r w:rsidRPr="00310084">
        <w:rPr>
          <w:lang w:val="en-GB"/>
        </w:rPr>
        <w:t xml:space="preserve"> explore</w:t>
      </w:r>
      <w:r>
        <w:rPr>
          <w:lang w:val="en-GB"/>
        </w:rPr>
        <w:t>d</w:t>
      </w:r>
      <w:r w:rsidRPr="00310084">
        <w:rPr>
          <w:lang w:val="en-GB"/>
        </w:rPr>
        <w:t xml:space="preserve"> some key areas of financial management. </w:t>
      </w:r>
      <w:r w:rsidR="00971B4E" w:rsidRPr="00971B4E">
        <w:rPr>
          <w:lang w:val="en-GB"/>
        </w:rPr>
        <w:t xml:space="preserve">The data have been linked to those of the competitors to determine the competitive position of the company. Discussions have been made in reference to relevant theories and practices of financial management. </w:t>
      </w:r>
      <w:r>
        <w:rPr>
          <w:lang w:val="en-GB"/>
        </w:rPr>
        <w:t>Tesco’s performance has been linked to its key market</w:t>
      </w:r>
      <w:r w:rsidR="00971B4E" w:rsidRPr="00971B4E">
        <w:rPr>
          <w:lang w:val="en-GB"/>
        </w:rPr>
        <w:t xml:space="preserve"> competitor</w:t>
      </w:r>
      <w:r>
        <w:rPr>
          <w:lang w:val="en-GB"/>
        </w:rPr>
        <w:t>,</w:t>
      </w:r>
      <w:r w:rsidR="00971B4E" w:rsidRPr="00971B4E">
        <w:rPr>
          <w:lang w:val="en-GB"/>
        </w:rPr>
        <w:t xml:space="preserve"> ASDA, which </w:t>
      </w:r>
      <w:r>
        <w:rPr>
          <w:lang w:val="en-GB"/>
        </w:rPr>
        <w:t xml:space="preserve">is </w:t>
      </w:r>
      <w:r w:rsidR="00971B4E" w:rsidRPr="00971B4E">
        <w:rPr>
          <w:lang w:val="en-GB"/>
        </w:rPr>
        <w:t xml:space="preserve">also </w:t>
      </w:r>
      <w:r>
        <w:rPr>
          <w:lang w:val="en-GB"/>
        </w:rPr>
        <w:t xml:space="preserve">a </w:t>
      </w:r>
      <w:r w:rsidR="00971B4E" w:rsidRPr="00971B4E">
        <w:rPr>
          <w:lang w:val="en-GB"/>
        </w:rPr>
        <w:t>leading retail compan</w:t>
      </w:r>
      <w:r>
        <w:rPr>
          <w:lang w:val="en-GB"/>
        </w:rPr>
        <w:t>y</w:t>
      </w:r>
      <w:r w:rsidR="00971B4E" w:rsidRPr="00971B4E">
        <w:rPr>
          <w:lang w:val="en-GB"/>
        </w:rPr>
        <w:t xml:space="preserve"> in the UK with the closest market </w:t>
      </w:r>
      <w:r>
        <w:rPr>
          <w:lang w:val="en-GB"/>
        </w:rPr>
        <w:t xml:space="preserve">share </w:t>
      </w:r>
      <w:r w:rsidR="00971B4E" w:rsidRPr="00971B4E">
        <w:rPr>
          <w:lang w:val="en-GB"/>
        </w:rPr>
        <w:t xml:space="preserve">compared to Tesco. Comparing the company’s data with those of its competitors will help determine Tesco’s market position. </w:t>
      </w:r>
      <w:r>
        <w:rPr>
          <w:lang w:val="en-GB"/>
        </w:rPr>
        <w:t xml:space="preserve">Findings of the </w:t>
      </w:r>
      <w:r>
        <w:rPr>
          <w:lang w:val="en-GB"/>
        </w:rPr>
        <w:lastRenderedPageBreak/>
        <w:t xml:space="preserve">report suggests that the company is currently in a less desired market condition in terms of liquidity, financial leverage and the other aspects of market performance. </w:t>
      </w:r>
      <w:r w:rsidR="00D61ECA">
        <w:rPr>
          <w:lang w:val="en-GB"/>
        </w:rPr>
        <w:t>Between the currently available two investment options, the management should go with the findings of NPV and thus, accept project B for its greater return in future. However, whichever option is chosen, the impacts of external factors need to be forecasted as well.</w:t>
      </w:r>
    </w:p>
    <w:p w14:paraId="76795F9A" w14:textId="295597AD" w:rsidR="004E7F3B" w:rsidRPr="004E7F3B" w:rsidRDefault="004E7F3B" w:rsidP="004E7F3B">
      <w:pPr>
        <w:rPr>
          <w:lang w:val="en-GB"/>
        </w:rPr>
      </w:pPr>
    </w:p>
    <w:p w14:paraId="53A87DB8" w14:textId="01EBECB1" w:rsidR="004E7F3B" w:rsidRPr="004E7F3B" w:rsidRDefault="004E7F3B" w:rsidP="004E7F3B">
      <w:pPr>
        <w:rPr>
          <w:lang w:val="en-GB"/>
        </w:rPr>
      </w:pPr>
    </w:p>
    <w:p w14:paraId="52E3E48B" w14:textId="0BC382B7" w:rsidR="004E7F3B" w:rsidRDefault="004E7F3B" w:rsidP="004E7F3B">
      <w:pPr>
        <w:rPr>
          <w:lang w:val="en-GB"/>
        </w:rPr>
      </w:pPr>
    </w:p>
    <w:p w14:paraId="432C7A83" w14:textId="05741E39" w:rsidR="004E7F3B" w:rsidRPr="00074B6E" w:rsidRDefault="004E7F3B" w:rsidP="004E7F3B">
      <w:pPr>
        <w:pStyle w:val="Heading1"/>
        <w:rPr>
          <w:sz w:val="24"/>
          <w:szCs w:val="24"/>
        </w:rPr>
      </w:pPr>
      <w:r>
        <w:br w:type="column"/>
      </w:r>
      <w:bookmarkStart w:id="22" w:name="_Toc44601166"/>
      <w:r w:rsidRPr="00074B6E">
        <w:rPr>
          <w:sz w:val="24"/>
          <w:szCs w:val="24"/>
        </w:rPr>
        <w:lastRenderedPageBreak/>
        <w:t>References</w:t>
      </w:r>
      <w:bookmarkEnd w:id="22"/>
    </w:p>
    <w:p w14:paraId="1C64BBAC" w14:textId="77777777" w:rsidR="004E7F3B" w:rsidRPr="004E7F3B" w:rsidRDefault="004E7F3B" w:rsidP="0010479D">
      <w:pPr>
        <w:spacing w:after="180"/>
        <w:ind w:left="450" w:hanging="450"/>
        <w:jc w:val="left"/>
        <w:rPr>
          <w:rFonts w:eastAsia="Times New Roman" w:cs="Times New Roman"/>
          <w:color w:val="000000"/>
          <w:szCs w:val="24"/>
        </w:rPr>
      </w:pPr>
      <w:proofErr w:type="gramStart"/>
      <w:r w:rsidRPr="004E7F3B">
        <w:rPr>
          <w:rFonts w:eastAsia="Times New Roman" w:cs="Times New Roman"/>
          <w:color w:val="000000"/>
          <w:szCs w:val="24"/>
        </w:rPr>
        <w:t>Archer, S., Choate, G. and Racette, G., 1983.</w:t>
      </w:r>
      <w:proofErr w:type="gramEnd"/>
      <w:r w:rsidRPr="004E7F3B">
        <w:rPr>
          <w:rFonts w:eastAsia="Times New Roman" w:cs="Times New Roman"/>
          <w:color w:val="000000"/>
          <w:szCs w:val="24"/>
        </w:rPr>
        <w:t> </w:t>
      </w:r>
      <w:r w:rsidRPr="004E7F3B">
        <w:rPr>
          <w:rFonts w:eastAsia="Times New Roman" w:cs="Times New Roman"/>
          <w:i/>
          <w:iCs/>
          <w:color w:val="000000"/>
          <w:szCs w:val="24"/>
        </w:rPr>
        <w:t>Financial Management</w:t>
      </w:r>
      <w:r w:rsidRPr="004E7F3B">
        <w:rPr>
          <w:rFonts w:eastAsia="Times New Roman" w:cs="Times New Roman"/>
          <w:color w:val="000000"/>
          <w:szCs w:val="24"/>
        </w:rPr>
        <w:t>. New York: Wiley.</w:t>
      </w:r>
    </w:p>
    <w:p w14:paraId="5F808548"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Bernard Marr, 2020. </w:t>
      </w:r>
      <w:r w:rsidRPr="004E7F3B">
        <w:rPr>
          <w:rFonts w:eastAsia="Times New Roman" w:cs="Times New Roman"/>
          <w:i/>
          <w:iCs/>
          <w:color w:val="000000"/>
          <w:szCs w:val="24"/>
        </w:rPr>
        <w:t xml:space="preserve">Tesco: Measuring Customer Performance &amp; Gaining Insights </w:t>
      </w:r>
      <w:proofErr w:type="gramStart"/>
      <w:r w:rsidRPr="004E7F3B">
        <w:rPr>
          <w:rFonts w:eastAsia="Times New Roman" w:cs="Times New Roman"/>
          <w:i/>
          <w:iCs/>
          <w:color w:val="000000"/>
          <w:szCs w:val="24"/>
        </w:rPr>
        <w:t>From</w:t>
      </w:r>
      <w:proofErr w:type="gramEnd"/>
      <w:r w:rsidRPr="004E7F3B">
        <w:rPr>
          <w:rFonts w:eastAsia="Times New Roman" w:cs="Times New Roman"/>
          <w:i/>
          <w:iCs/>
          <w:color w:val="000000"/>
          <w:szCs w:val="24"/>
        </w:rPr>
        <w:t xml:space="preserve"> The Clubcard Data</w:t>
      </w:r>
      <w:r w:rsidRPr="004E7F3B">
        <w:rPr>
          <w:rFonts w:eastAsia="Times New Roman" w:cs="Times New Roman"/>
          <w:color w:val="000000"/>
          <w:szCs w:val="24"/>
        </w:rPr>
        <w:t>. [online] Bernard Marr. Available at: &lt;https://www.bernardmarr.com/default.asp?contentID=1057&gt; [Accessed 2 July 2020].</w:t>
      </w:r>
    </w:p>
    <w:p w14:paraId="60860627" w14:textId="646788B5"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 xml:space="preserve">Block, S., Hirt, G. and Danielsen, B., </w:t>
      </w:r>
      <w:r>
        <w:rPr>
          <w:rFonts w:eastAsia="Times New Roman" w:cs="Times New Roman"/>
          <w:color w:val="000000"/>
          <w:szCs w:val="24"/>
        </w:rPr>
        <w:t>2019</w:t>
      </w:r>
      <w:r w:rsidRPr="004E7F3B">
        <w:rPr>
          <w:rFonts w:eastAsia="Times New Roman" w:cs="Times New Roman"/>
          <w:color w:val="000000"/>
          <w:szCs w:val="24"/>
        </w:rPr>
        <w:t> </w:t>
      </w:r>
      <w:r w:rsidRPr="004E7F3B">
        <w:rPr>
          <w:rFonts w:eastAsia="Times New Roman" w:cs="Times New Roman"/>
          <w:i/>
          <w:iCs/>
          <w:color w:val="000000"/>
          <w:szCs w:val="24"/>
        </w:rPr>
        <w:t xml:space="preserve">Foundations </w:t>
      </w:r>
      <w:proofErr w:type="gramStart"/>
      <w:r w:rsidRPr="004E7F3B">
        <w:rPr>
          <w:rFonts w:eastAsia="Times New Roman" w:cs="Times New Roman"/>
          <w:i/>
          <w:iCs/>
          <w:color w:val="000000"/>
          <w:szCs w:val="24"/>
        </w:rPr>
        <w:t>Of</w:t>
      </w:r>
      <w:proofErr w:type="gramEnd"/>
      <w:r w:rsidRPr="004E7F3B">
        <w:rPr>
          <w:rFonts w:eastAsia="Times New Roman" w:cs="Times New Roman"/>
          <w:i/>
          <w:iCs/>
          <w:color w:val="000000"/>
          <w:szCs w:val="24"/>
        </w:rPr>
        <w:t xml:space="preserve"> Financial Management</w:t>
      </w:r>
      <w:r w:rsidRPr="004E7F3B">
        <w:rPr>
          <w:rFonts w:eastAsia="Times New Roman" w:cs="Times New Roman"/>
          <w:color w:val="000000"/>
          <w:szCs w:val="24"/>
        </w:rPr>
        <w:t>.</w:t>
      </w:r>
    </w:p>
    <w:p w14:paraId="10A6EEB2" w14:textId="2595A74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 xml:space="preserve">Brigham, E. and Houston, J., </w:t>
      </w:r>
      <w:r>
        <w:rPr>
          <w:rFonts w:eastAsia="Times New Roman" w:cs="Times New Roman"/>
          <w:color w:val="000000"/>
          <w:szCs w:val="24"/>
        </w:rPr>
        <w:t>2019</w:t>
      </w:r>
      <w:r w:rsidRPr="004E7F3B">
        <w:rPr>
          <w:rFonts w:eastAsia="Times New Roman" w:cs="Times New Roman"/>
          <w:color w:val="000000"/>
          <w:szCs w:val="24"/>
        </w:rPr>
        <w:t> </w:t>
      </w:r>
      <w:r w:rsidRPr="004E7F3B">
        <w:rPr>
          <w:rFonts w:eastAsia="Times New Roman" w:cs="Times New Roman"/>
          <w:i/>
          <w:iCs/>
          <w:color w:val="000000"/>
          <w:szCs w:val="24"/>
        </w:rPr>
        <w:t xml:space="preserve">Fundamentals </w:t>
      </w:r>
      <w:proofErr w:type="gramStart"/>
      <w:r w:rsidRPr="004E7F3B">
        <w:rPr>
          <w:rFonts w:eastAsia="Times New Roman" w:cs="Times New Roman"/>
          <w:i/>
          <w:iCs/>
          <w:color w:val="000000"/>
          <w:szCs w:val="24"/>
        </w:rPr>
        <w:t>Of</w:t>
      </w:r>
      <w:proofErr w:type="gramEnd"/>
      <w:r w:rsidRPr="004E7F3B">
        <w:rPr>
          <w:rFonts w:eastAsia="Times New Roman" w:cs="Times New Roman"/>
          <w:i/>
          <w:iCs/>
          <w:color w:val="000000"/>
          <w:szCs w:val="24"/>
        </w:rPr>
        <w:t xml:space="preserve"> Financial Management</w:t>
      </w:r>
      <w:r w:rsidRPr="004E7F3B">
        <w:rPr>
          <w:rFonts w:eastAsia="Times New Roman" w:cs="Times New Roman"/>
          <w:color w:val="000000"/>
          <w:szCs w:val="24"/>
        </w:rPr>
        <w:t>.</w:t>
      </w:r>
    </w:p>
    <w:p w14:paraId="6F1FE50C" w14:textId="062C2A5B"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 xml:space="preserve">Correia, C., Flynn, D., </w:t>
      </w:r>
      <w:proofErr w:type="spellStart"/>
      <w:r w:rsidRPr="004E7F3B">
        <w:rPr>
          <w:rFonts w:eastAsia="Times New Roman" w:cs="Times New Roman"/>
          <w:color w:val="000000"/>
          <w:szCs w:val="24"/>
        </w:rPr>
        <w:t>Uliana</w:t>
      </w:r>
      <w:proofErr w:type="spellEnd"/>
      <w:r w:rsidRPr="004E7F3B">
        <w:rPr>
          <w:rFonts w:eastAsia="Times New Roman" w:cs="Times New Roman"/>
          <w:color w:val="000000"/>
          <w:szCs w:val="24"/>
        </w:rPr>
        <w:t xml:space="preserve">, E., Wormald, M. and Dillon, J., </w:t>
      </w:r>
      <w:r>
        <w:rPr>
          <w:rFonts w:eastAsia="Times New Roman" w:cs="Times New Roman"/>
          <w:color w:val="000000"/>
          <w:szCs w:val="24"/>
        </w:rPr>
        <w:t>2019</w:t>
      </w:r>
      <w:r w:rsidRPr="004E7F3B">
        <w:rPr>
          <w:rFonts w:eastAsia="Times New Roman" w:cs="Times New Roman"/>
          <w:color w:val="000000"/>
          <w:szCs w:val="24"/>
        </w:rPr>
        <w:t> </w:t>
      </w:r>
      <w:r w:rsidRPr="004E7F3B">
        <w:rPr>
          <w:rFonts w:eastAsia="Times New Roman" w:cs="Times New Roman"/>
          <w:i/>
          <w:iCs/>
          <w:color w:val="000000"/>
          <w:szCs w:val="24"/>
        </w:rPr>
        <w:t>Financial Management</w:t>
      </w:r>
      <w:r w:rsidRPr="004E7F3B">
        <w:rPr>
          <w:rFonts w:eastAsia="Times New Roman" w:cs="Times New Roman"/>
          <w:color w:val="000000"/>
          <w:szCs w:val="24"/>
        </w:rPr>
        <w:t>.</w:t>
      </w:r>
    </w:p>
    <w:p w14:paraId="35A2FB04"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Financial Morningstar, 2020. </w:t>
      </w:r>
      <w:r w:rsidRPr="004E7F3B">
        <w:rPr>
          <w:rFonts w:eastAsia="Times New Roman" w:cs="Times New Roman"/>
          <w:i/>
          <w:iCs/>
          <w:color w:val="000000"/>
          <w:szCs w:val="24"/>
        </w:rPr>
        <w:t xml:space="preserve">Growth, Profitability, </w:t>
      </w:r>
      <w:proofErr w:type="gramStart"/>
      <w:r w:rsidRPr="004E7F3B">
        <w:rPr>
          <w:rFonts w:eastAsia="Times New Roman" w:cs="Times New Roman"/>
          <w:i/>
          <w:iCs/>
          <w:color w:val="000000"/>
          <w:szCs w:val="24"/>
        </w:rPr>
        <w:t>And</w:t>
      </w:r>
      <w:proofErr w:type="gramEnd"/>
      <w:r w:rsidRPr="004E7F3B">
        <w:rPr>
          <w:rFonts w:eastAsia="Times New Roman" w:cs="Times New Roman"/>
          <w:i/>
          <w:iCs/>
          <w:color w:val="000000"/>
          <w:szCs w:val="24"/>
        </w:rPr>
        <w:t xml:space="preserve"> Financial Ratios For Walmart Inc (WMT) From Morningstar.Com</w:t>
      </w:r>
      <w:r w:rsidRPr="004E7F3B">
        <w:rPr>
          <w:rFonts w:eastAsia="Times New Roman" w:cs="Times New Roman"/>
          <w:color w:val="000000"/>
          <w:szCs w:val="24"/>
        </w:rPr>
        <w:t>. [online] Financials.morningstar.com. Available at: &lt;https://financials.morningstar.com/ratios/r.html?t=WMT&gt; [Accessed 2 July 2020].</w:t>
      </w:r>
    </w:p>
    <w:p w14:paraId="48849375"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Financial Times, 2020. </w:t>
      </w:r>
      <w:r w:rsidRPr="004E7F3B">
        <w:rPr>
          <w:rFonts w:eastAsia="Times New Roman" w:cs="Times New Roman"/>
          <w:i/>
          <w:iCs/>
          <w:color w:val="000000"/>
          <w:szCs w:val="24"/>
        </w:rPr>
        <w:t>UK Retail Industry | Financial Times</w:t>
      </w:r>
      <w:r w:rsidRPr="004E7F3B">
        <w:rPr>
          <w:rFonts w:eastAsia="Times New Roman" w:cs="Times New Roman"/>
          <w:color w:val="000000"/>
          <w:szCs w:val="24"/>
        </w:rPr>
        <w:t>. [online] Ft.com. Available at: &lt;https://www.ft.com/stream/21db2280-83f0-402b-a5d4-48a6affe7282&gt; [Accessed 2 July 2020].</w:t>
      </w:r>
    </w:p>
    <w:p w14:paraId="2119C287"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Infront Analytics, 2020. </w:t>
      </w:r>
      <w:r w:rsidRPr="004E7F3B">
        <w:rPr>
          <w:rFonts w:eastAsia="Times New Roman" w:cs="Times New Roman"/>
          <w:i/>
          <w:iCs/>
          <w:color w:val="000000"/>
          <w:szCs w:val="24"/>
        </w:rPr>
        <w:t>Tesco PLC: Financial Ratios (TSCO | GBR | Food Retailers &amp; Wholesalers) - Infront Analytics</w:t>
      </w:r>
      <w:r w:rsidRPr="004E7F3B">
        <w:rPr>
          <w:rFonts w:eastAsia="Times New Roman" w:cs="Times New Roman"/>
          <w:color w:val="000000"/>
          <w:szCs w:val="24"/>
        </w:rPr>
        <w:t>. [online] Infrontanalytics.com. Available at: &lt;https://www.infrontanalytics.com/fe-EN/01841EX/Tesco-PLC/financial-ratios&gt; [Accessed 2 July 2020].</w:t>
      </w:r>
    </w:p>
    <w:p w14:paraId="74487268"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Johnson, R. and Melicher, R., 1982. </w:t>
      </w:r>
      <w:r w:rsidRPr="004E7F3B">
        <w:rPr>
          <w:rFonts w:eastAsia="Times New Roman" w:cs="Times New Roman"/>
          <w:i/>
          <w:iCs/>
          <w:color w:val="000000"/>
          <w:szCs w:val="24"/>
        </w:rPr>
        <w:t>Financial Management</w:t>
      </w:r>
      <w:r w:rsidRPr="004E7F3B">
        <w:rPr>
          <w:rFonts w:eastAsia="Times New Roman" w:cs="Times New Roman"/>
          <w:color w:val="000000"/>
          <w:szCs w:val="24"/>
        </w:rPr>
        <w:t>. Boston: Allyn and Bacon.</w:t>
      </w:r>
    </w:p>
    <w:p w14:paraId="1A59F6EB"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Khan, M. and Jain, P., 2007. </w:t>
      </w:r>
      <w:r w:rsidRPr="004E7F3B">
        <w:rPr>
          <w:rFonts w:eastAsia="Times New Roman" w:cs="Times New Roman"/>
          <w:i/>
          <w:iCs/>
          <w:color w:val="000000"/>
          <w:szCs w:val="24"/>
        </w:rPr>
        <w:t>Financial Management</w:t>
      </w:r>
      <w:r w:rsidRPr="004E7F3B">
        <w:rPr>
          <w:rFonts w:eastAsia="Times New Roman" w:cs="Times New Roman"/>
          <w:color w:val="000000"/>
          <w:szCs w:val="24"/>
        </w:rPr>
        <w:t>. New Delhi: Tata McGraw-Hill.</w:t>
      </w:r>
    </w:p>
    <w:p w14:paraId="08626805"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Kolb, R., 1996. </w:t>
      </w:r>
      <w:r w:rsidRPr="004E7F3B">
        <w:rPr>
          <w:rFonts w:eastAsia="Times New Roman" w:cs="Times New Roman"/>
          <w:i/>
          <w:iCs/>
          <w:color w:val="000000"/>
          <w:szCs w:val="24"/>
        </w:rPr>
        <w:t>Financial Management</w:t>
      </w:r>
      <w:r w:rsidRPr="004E7F3B">
        <w:rPr>
          <w:rFonts w:eastAsia="Times New Roman" w:cs="Times New Roman"/>
          <w:color w:val="000000"/>
          <w:szCs w:val="24"/>
        </w:rPr>
        <w:t>. Cambridge, Mass.: Blackwell Business.</w:t>
      </w:r>
    </w:p>
    <w:p w14:paraId="423D48B4" w14:textId="270B8719"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 xml:space="preserve">Madura, J., </w:t>
      </w:r>
      <w:r>
        <w:rPr>
          <w:rFonts w:eastAsia="Times New Roman" w:cs="Times New Roman"/>
          <w:color w:val="000000"/>
          <w:szCs w:val="24"/>
        </w:rPr>
        <w:t>2019</w:t>
      </w:r>
      <w:r w:rsidRPr="004E7F3B">
        <w:rPr>
          <w:rFonts w:eastAsia="Times New Roman" w:cs="Times New Roman"/>
          <w:color w:val="000000"/>
          <w:szCs w:val="24"/>
        </w:rPr>
        <w:t> </w:t>
      </w:r>
      <w:r w:rsidRPr="004E7F3B">
        <w:rPr>
          <w:rFonts w:eastAsia="Times New Roman" w:cs="Times New Roman"/>
          <w:i/>
          <w:iCs/>
          <w:color w:val="000000"/>
          <w:szCs w:val="24"/>
        </w:rPr>
        <w:t>International Financial Management</w:t>
      </w:r>
      <w:r w:rsidRPr="004E7F3B">
        <w:rPr>
          <w:rFonts w:eastAsia="Times New Roman" w:cs="Times New Roman"/>
          <w:color w:val="000000"/>
          <w:szCs w:val="24"/>
        </w:rPr>
        <w:t>.</w:t>
      </w:r>
    </w:p>
    <w:p w14:paraId="441B06C5"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Oberholzer, M., 2012. The relative importance of financial ratios in creating shareholders’ wealth. </w:t>
      </w:r>
      <w:r w:rsidRPr="004E7F3B">
        <w:rPr>
          <w:rFonts w:eastAsia="Times New Roman" w:cs="Times New Roman"/>
          <w:i/>
          <w:iCs/>
          <w:color w:val="000000"/>
          <w:szCs w:val="24"/>
        </w:rPr>
        <w:t>South African Journal of Economic and Management Sciences</w:t>
      </w:r>
      <w:r w:rsidRPr="004E7F3B">
        <w:rPr>
          <w:rFonts w:eastAsia="Times New Roman" w:cs="Times New Roman"/>
          <w:color w:val="000000"/>
          <w:szCs w:val="24"/>
        </w:rPr>
        <w:t>, 15(4), pp.416-428.</w:t>
      </w:r>
    </w:p>
    <w:p w14:paraId="5BDF8430"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lastRenderedPageBreak/>
        <w:t>Tesco Plc, 2020. </w:t>
      </w:r>
      <w:r w:rsidRPr="004E7F3B">
        <w:rPr>
          <w:rFonts w:eastAsia="Times New Roman" w:cs="Times New Roman"/>
          <w:i/>
          <w:iCs/>
          <w:color w:val="000000"/>
          <w:szCs w:val="24"/>
        </w:rPr>
        <w:t xml:space="preserve">Annual Report </w:t>
      </w:r>
      <w:proofErr w:type="gramStart"/>
      <w:r w:rsidRPr="004E7F3B">
        <w:rPr>
          <w:rFonts w:eastAsia="Times New Roman" w:cs="Times New Roman"/>
          <w:i/>
          <w:iCs/>
          <w:color w:val="000000"/>
          <w:szCs w:val="24"/>
        </w:rPr>
        <w:t>And</w:t>
      </w:r>
      <w:proofErr w:type="gramEnd"/>
      <w:r w:rsidRPr="004E7F3B">
        <w:rPr>
          <w:rFonts w:eastAsia="Times New Roman" w:cs="Times New Roman"/>
          <w:i/>
          <w:iCs/>
          <w:color w:val="000000"/>
          <w:szCs w:val="24"/>
        </w:rPr>
        <w:t xml:space="preserve"> Financial Statements 2019</w:t>
      </w:r>
      <w:r w:rsidRPr="004E7F3B">
        <w:rPr>
          <w:rFonts w:eastAsia="Times New Roman" w:cs="Times New Roman"/>
          <w:color w:val="000000"/>
          <w:szCs w:val="24"/>
        </w:rPr>
        <w:t>. [online] Tescoplc.com. Available at: &lt;https://www.tescoplc.com/media/476423/tesco_ar_2019.pdf&gt; [Accessed 2 July 2020].</w:t>
      </w:r>
    </w:p>
    <w:p w14:paraId="28DF105D" w14:textId="77777777" w:rsidR="004E7F3B" w:rsidRPr="004E7F3B" w:rsidRDefault="004E7F3B" w:rsidP="0010479D">
      <w:pPr>
        <w:spacing w:after="180"/>
        <w:ind w:left="450" w:hanging="450"/>
        <w:jc w:val="left"/>
        <w:rPr>
          <w:rFonts w:eastAsia="Times New Roman" w:cs="Times New Roman"/>
          <w:color w:val="000000"/>
          <w:szCs w:val="24"/>
        </w:rPr>
      </w:pPr>
      <w:r w:rsidRPr="004E7F3B">
        <w:rPr>
          <w:rFonts w:eastAsia="Times New Roman" w:cs="Times New Roman"/>
          <w:color w:val="000000"/>
          <w:szCs w:val="24"/>
        </w:rPr>
        <w:t>Tesco PLC, 2020. </w:t>
      </w:r>
      <w:r w:rsidRPr="004E7F3B">
        <w:rPr>
          <w:rFonts w:eastAsia="Times New Roman" w:cs="Times New Roman"/>
          <w:i/>
          <w:iCs/>
          <w:color w:val="000000"/>
          <w:szCs w:val="24"/>
        </w:rPr>
        <w:t>Financial Performance</w:t>
      </w:r>
      <w:r w:rsidRPr="004E7F3B">
        <w:rPr>
          <w:rFonts w:eastAsia="Times New Roman" w:cs="Times New Roman"/>
          <w:color w:val="000000"/>
          <w:szCs w:val="24"/>
        </w:rPr>
        <w:t>. [online] Tesco PLC. Available at: &lt;https://www.tescoplc.com/investors/reports-results-and-presentations/financial-performance/&gt; [Accessed 2 July 2020].</w:t>
      </w:r>
    </w:p>
    <w:p w14:paraId="667A6545" w14:textId="77777777" w:rsidR="004E7F3B" w:rsidRPr="004E7F3B" w:rsidRDefault="004E7F3B" w:rsidP="004E7F3B">
      <w:pPr>
        <w:rPr>
          <w:sz w:val="22"/>
          <w:szCs w:val="20"/>
          <w:lang w:val="en-GB"/>
        </w:rPr>
      </w:pPr>
    </w:p>
    <w:sectPr w:rsidR="004E7F3B" w:rsidRPr="004E7F3B" w:rsidSect="00FE5580">
      <w:footerReference w:type="default" r:id="rId22"/>
      <w:footerReference w:type="first" r:id="rId23"/>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579123" w14:textId="77777777" w:rsidR="007530AB" w:rsidRDefault="007530AB" w:rsidP="00971B4E">
      <w:pPr>
        <w:spacing w:after="0" w:line="240" w:lineRule="auto"/>
      </w:pPr>
      <w:r>
        <w:separator/>
      </w:r>
    </w:p>
  </w:endnote>
  <w:endnote w:type="continuationSeparator" w:id="0">
    <w:p w14:paraId="7B2B054D" w14:textId="77777777" w:rsidR="007530AB" w:rsidRDefault="007530AB" w:rsidP="00971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w:panose1 w:val="00000400000000000000"/>
    <w:charset w:val="01"/>
    <w:family w:val="roman"/>
    <w:notTrueType/>
    <w:pitch w:val="variable"/>
  </w:font>
  <w:font w:name="Times New Roman">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4347"/>
      <w:docPartObj>
        <w:docPartGallery w:val="Page Numbers (Bottom of Page)"/>
        <w:docPartUnique/>
      </w:docPartObj>
    </w:sdtPr>
    <w:sdtEndPr>
      <w:rPr>
        <w:color w:val="7F7F7F" w:themeColor="background1" w:themeShade="7F"/>
        <w:spacing w:val="60"/>
      </w:rPr>
    </w:sdtEndPr>
    <w:sdtContent>
      <w:p w14:paraId="163734C2" w14:textId="2D93CD94" w:rsidR="00B15EB8" w:rsidRDefault="00B15EB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02DD6" w:rsidRPr="00E02DD6">
          <w:rPr>
            <w:b/>
            <w:bCs/>
            <w:noProof/>
          </w:rPr>
          <w:t>1</w:t>
        </w:r>
        <w:r>
          <w:rPr>
            <w:b/>
            <w:bCs/>
            <w:noProof/>
          </w:rPr>
          <w:fldChar w:fldCharType="end"/>
        </w:r>
        <w:r>
          <w:rPr>
            <w:b/>
            <w:bCs/>
          </w:rPr>
          <w:t xml:space="preserve"> | </w:t>
        </w:r>
        <w:r>
          <w:rPr>
            <w:color w:val="7F7F7F" w:themeColor="background1" w:themeShade="7F"/>
            <w:spacing w:val="60"/>
          </w:rPr>
          <w:t>Page</w:t>
        </w:r>
      </w:p>
    </w:sdtContent>
  </w:sdt>
  <w:p w14:paraId="2B0AF3C7" w14:textId="77777777" w:rsidR="00B15EB8" w:rsidRDefault="00B15E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5D460" w14:textId="13D795AD" w:rsidR="00B15EB8" w:rsidRDefault="00B15EB8">
    <w:pPr>
      <w:pStyle w:val="Footer"/>
    </w:pPr>
    <w:r>
      <w:t xml:space="preserve">Name: Janet Ogundayo ID: 1918 674. Course: Financial Management 7002. Lecturer: </w:t>
    </w:r>
    <w:proofErr w:type="spellStart"/>
    <w:r>
      <w:t>Dr</w:t>
    </w:r>
    <w:proofErr w:type="spellEnd"/>
    <w:r>
      <w:t xml:space="preserve"> Jay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6E4AA2" w14:textId="77777777" w:rsidR="007530AB" w:rsidRDefault="007530AB" w:rsidP="00971B4E">
      <w:pPr>
        <w:spacing w:after="0" w:line="240" w:lineRule="auto"/>
      </w:pPr>
      <w:r>
        <w:separator/>
      </w:r>
    </w:p>
  </w:footnote>
  <w:footnote w:type="continuationSeparator" w:id="0">
    <w:p w14:paraId="0F2A691C" w14:textId="77777777" w:rsidR="007530AB" w:rsidRDefault="007530AB" w:rsidP="00971B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D0"/>
    <w:rsid w:val="0005769A"/>
    <w:rsid w:val="00061099"/>
    <w:rsid w:val="00074B6E"/>
    <w:rsid w:val="00076661"/>
    <w:rsid w:val="000C3130"/>
    <w:rsid w:val="000F6623"/>
    <w:rsid w:val="000F7FD2"/>
    <w:rsid w:val="001043BB"/>
    <w:rsid w:val="0010479D"/>
    <w:rsid w:val="00122698"/>
    <w:rsid w:val="00161AA8"/>
    <w:rsid w:val="001D7BAD"/>
    <w:rsid w:val="00210AEE"/>
    <w:rsid w:val="00252AE3"/>
    <w:rsid w:val="00310084"/>
    <w:rsid w:val="00402C36"/>
    <w:rsid w:val="00433482"/>
    <w:rsid w:val="00471BDA"/>
    <w:rsid w:val="00472D7E"/>
    <w:rsid w:val="004E3104"/>
    <w:rsid w:val="004E7F3B"/>
    <w:rsid w:val="004F6651"/>
    <w:rsid w:val="00502DB6"/>
    <w:rsid w:val="005804ED"/>
    <w:rsid w:val="005B2DC4"/>
    <w:rsid w:val="005E24E8"/>
    <w:rsid w:val="005F0DAB"/>
    <w:rsid w:val="00600249"/>
    <w:rsid w:val="006E189A"/>
    <w:rsid w:val="00716213"/>
    <w:rsid w:val="00721079"/>
    <w:rsid w:val="00736869"/>
    <w:rsid w:val="00737360"/>
    <w:rsid w:val="007530AB"/>
    <w:rsid w:val="007A2E7B"/>
    <w:rsid w:val="00845CFF"/>
    <w:rsid w:val="008655D9"/>
    <w:rsid w:val="00866939"/>
    <w:rsid w:val="00907185"/>
    <w:rsid w:val="00931E30"/>
    <w:rsid w:val="00951B1D"/>
    <w:rsid w:val="00962FF1"/>
    <w:rsid w:val="00971B4E"/>
    <w:rsid w:val="00B15EB8"/>
    <w:rsid w:val="00BA4316"/>
    <w:rsid w:val="00BC5E30"/>
    <w:rsid w:val="00C272F1"/>
    <w:rsid w:val="00C57981"/>
    <w:rsid w:val="00C610E9"/>
    <w:rsid w:val="00C74286"/>
    <w:rsid w:val="00C83ACE"/>
    <w:rsid w:val="00CA792B"/>
    <w:rsid w:val="00CC500F"/>
    <w:rsid w:val="00D11B76"/>
    <w:rsid w:val="00D17DF3"/>
    <w:rsid w:val="00D61ECA"/>
    <w:rsid w:val="00D83483"/>
    <w:rsid w:val="00D84B0B"/>
    <w:rsid w:val="00DA3469"/>
    <w:rsid w:val="00DA563D"/>
    <w:rsid w:val="00DB7C9C"/>
    <w:rsid w:val="00DC797E"/>
    <w:rsid w:val="00E02DD6"/>
    <w:rsid w:val="00ED0B09"/>
    <w:rsid w:val="00F31278"/>
    <w:rsid w:val="00F63077"/>
    <w:rsid w:val="00F6420F"/>
    <w:rsid w:val="00FA0BDE"/>
    <w:rsid w:val="00FB45D0"/>
    <w:rsid w:val="00FE5580"/>
    <w:rsid w:val="00FF427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5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6939"/>
    <w:pPr>
      <w:outlineLvl w:val="0"/>
    </w:pPr>
    <w:rPr>
      <w:b/>
      <w:sz w:val="32"/>
      <w:lang w:val="en-GB"/>
    </w:rPr>
  </w:style>
  <w:style w:type="paragraph" w:styleId="Heading2">
    <w:name w:val="heading 2"/>
    <w:basedOn w:val="Normal"/>
    <w:next w:val="Normal"/>
    <w:link w:val="Heading2Char"/>
    <w:uiPriority w:val="9"/>
    <w:unhideWhenUsed/>
    <w:qFormat/>
    <w:rsid w:val="00866939"/>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33482"/>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unhideWhenUsed/>
    <w:qFormat/>
    <w:rsid w:val="00C7428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939"/>
    <w:rPr>
      <w:rFonts w:ascii="Times New Roman" w:hAnsi="Times New Roman"/>
      <w:b/>
      <w:sz w:val="32"/>
      <w:lang w:val="en-GB"/>
    </w:rPr>
  </w:style>
  <w:style w:type="character" w:customStyle="1" w:styleId="Heading2Char">
    <w:name w:val="Heading 2 Char"/>
    <w:basedOn w:val="DefaultParagraphFont"/>
    <w:link w:val="Heading2"/>
    <w:uiPriority w:val="9"/>
    <w:rsid w:val="00866939"/>
    <w:rPr>
      <w:rFonts w:ascii="Times New Roman" w:eastAsiaTheme="majorEastAsia" w:hAnsi="Times New Roman" w:cstheme="majorBidi"/>
      <w:b/>
      <w:color w:val="2F5496" w:themeColor="accent1" w:themeShade="BF"/>
      <w:sz w:val="28"/>
      <w:szCs w:val="26"/>
    </w:rPr>
  </w:style>
  <w:style w:type="paragraph" w:styleId="NoSpacing">
    <w:name w:val="No Spacing"/>
    <w:uiPriority w:val="1"/>
    <w:qFormat/>
    <w:rsid w:val="00D17DF3"/>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rsid w:val="00433482"/>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rsid w:val="00C74286"/>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C83A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71B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1B4E"/>
    <w:rPr>
      <w:rFonts w:ascii="Times New Roman" w:hAnsi="Times New Roman"/>
      <w:sz w:val="24"/>
    </w:rPr>
  </w:style>
  <w:style w:type="paragraph" w:styleId="Footer">
    <w:name w:val="footer"/>
    <w:basedOn w:val="Normal"/>
    <w:link w:val="FooterChar"/>
    <w:uiPriority w:val="99"/>
    <w:unhideWhenUsed/>
    <w:rsid w:val="00971B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1B4E"/>
    <w:rPr>
      <w:rFonts w:ascii="Times New Roman" w:hAnsi="Times New Roman"/>
      <w:sz w:val="24"/>
    </w:rPr>
  </w:style>
  <w:style w:type="paragraph" w:styleId="TOCHeading">
    <w:name w:val="TOC Heading"/>
    <w:basedOn w:val="Heading1"/>
    <w:next w:val="Normal"/>
    <w:uiPriority w:val="39"/>
    <w:unhideWhenUsed/>
    <w:qFormat/>
    <w:rsid w:val="004E7F3B"/>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4E7F3B"/>
    <w:pPr>
      <w:spacing w:after="100"/>
    </w:pPr>
  </w:style>
  <w:style w:type="paragraph" w:styleId="TOC2">
    <w:name w:val="toc 2"/>
    <w:basedOn w:val="Normal"/>
    <w:next w:val="Normal"/>
    <w:autoRedefine/>
    <w:uiPriority w:val="39"/>
    <w:unhideWhenUsed/>
    <w:rsid w:val="004E7F3B"/>
    <w:pPr>
      <w:spacing w:after="100"/>
      <w:ind w:left="240"/>
    </w:pPr>
  </w:style>
  <w:style w:type="paragraph" w:styleId="TOC3">
    <w:name w:val="toc 3"/>
    <w:basedOn w:val="Normal"/>
    <w:next w:val="Normal"/>
    <w:autoRedefine/>
    <w:uiPriority w:val="39"/>
    <w:unhideWhenUsed/>
    <w:rsid w:val="004E7F3B"/>
    <w:pPr>
      <w:spacing w:after="100"/>
      <w:ind w:left="480"/>
    </w:pPr>
  </w:style>
  <w:style w:type="character" w:styleId="Hyperlink">
    <w:name w:val="Hyperlink"/>
    <w:basedOn w:val="DefaultParagraphFont"/>
    <w:uiPriority w:val="99"/>
    <w:unhideWhenUsed/>
    <w:rsid w:val="004E7F3B"/>
    <w:rPr>
      <w:color w:val="0563C1" w:themeColor="hyperlink"/>
      <w:u w:val="single"/>
    </w:rPr>
  </w:style>
  <w:style w:type="paragraph" w:styleId="BalloonText">
    <w:name w:val="Balloon Text"/>
    <w:basedOn w:val="Normal"/>
    <w:link w:val="BalloonTextChar"/>
    <w:uiPriority w:val="99"/>
    <w:semiHidden/>
    <w:unhideWhenUsed/>
    <w:rsid w:val="005F0D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D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5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6939"/>
    <w:pPr>
      <w:outlineLvl w:val="0"/>
    </w:pPr>
    <w:rPr>
      <w:b/>
      <w:sz w:val="32"/>
      <w:lang w:val="en-GB"/>
    </w:rPr>
  </w:style>
  <w:style w:type="paragraph" w:styleId="Heading2">
    <w:name w:val="heading 2"/>
    <w:basedOn w:val="Normal"/>
    <w:next w:val="Normal"/>
    <w:link w:val="Heading2Char"/>
    <w:uiPriority w:val="9"/>
    <w:unhideWhenUsed/>
    <w:qFormat/>
    <w:rsid w:val="00866939"/>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33482"/>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unhideWhenUsed/>
    <w:qFormat/>
    <w:rsid w:val="00C7428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939"/>
    <w:rPr>
      <w:rFonts w:ascii="Times New Roman" w:hAnsi="Times New Roman"/>
      <w:b/>
      <w:sz w:val="32"/>
      <w:lang w:val="en-GB"/>
    </w:rPr>
  </w:style>
  <w:style w:type="character" w:customStyle="1" w:styleId="Heading2Char">
    <w:name w:val="Heading 2 Char"/>
    <w:basedOn w:val="DefaultParagraphFont"/>
    <w:link w:val="Heading2"/>
    <w:uiPriority w:val="9"/>
    <w:rsid w:val="00866939"/>
    <w:rPr>
      <w:rFonts w:ascii="Times New Roman" w:eastAsiaTheme="majorEastAsia" w:hAnsi="Times New Roman" w:cstheme="majorBidi"/>
      <w:b/>
      <w:color w:val="2F5496" w:themeColor="accent1" w:themeShade="BF"/>
      <w:sz w:val="28"/>
      <w:szCs w:val="26"/>
    </w:rPr>
  </w:style>
  <w:style w:type="paragraph" w:styleId="NoSpacing">
    <w:name w:val="No Spacing"/>
    <w:uiPriority w:val="1"/>
    <w:qFormat/>
    <w:rsid w:val="00D17DF3"/>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rsid w:val="00433482"/>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rsid w:val="00C74286"/>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C83A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71B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1B4E"/>
    <w:rPr>
      <w:rFonts w:ascii="Times New Roman" w:hAnsi="Times New Roman"/>
      <w:sz w:val="24"/>
    </w:rPr>
  </w:style>
  <w:style w:type="paragraph" w:styleId="Footer">
    <w:name w:val="footer"/>
    <w:basedOn w:val="Normal"/>
    <w:link w:val="FooterChar"/>
    <w:uiPriority w:val="99"/>
    <w:unhideWhenUsed/>
    <w:rsid w:val="00971B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1B4E"/>
    <w:rPr>
      <w:rFonts w:ascii="Times New Roman" w:hAnsi="Times New Roman"/>
      <w:sz w:val="24"/>
    </w:rPr>
  </w:style>
  <w:style w:type="paragraph" w:styleId="TOCHeading">
    <w:name w:val="TOC Heading"/>
    <w:basedOn w:val="Heading1"/>
    <w:next w:val="Normal"/>
    <w:uiPriority w:val="39"/>
    <w:unhideWhenUsed/>
    <w:qFormat/>
    <w:rsid w:val="004E7F3B"/>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4E7F3B"/>
    <w:pPr>
      <w:spacing w:after="100"/>
    </w:pPr>
  </w:style>
  <w:style w:type="paragraph" w:styleId="TOC2">
    <w:name w:val="toc 2"/>
    <w:basedOn w:val="Normal"/>
    <w:next w:val="Normal"/>
    <w:autoRedefine/>
    <w:uiPriority w:val="39"/>
    <w:unhideWhenUsed/>
    <w:rsid w:val="004E7F3B"/>
    <w:pPr>
      <w:spacing w:after="100"/>
      <w:ind w:left="240"/>
    </w:pPr>
  </w:style>
  <w:style w:type="paragraph" w:styleId="TOC3">
    <w:name w:val="toc 3"/>
    <w:basedOn w:val="Normal"/>
    <w:next w:val="Normal"/>
    <w:autoRedefine/>
    <w:uiPriority w:val="39"/>
    <w:unhideWhenUsed/>
    <w:rsid w:val="004E7F3B"/>
    <w:pPr>
      <w:spacing w:after="100"/>
      <w:ind w:left="480"/>
    </w:pPr>
  </w:style>
  <w:style w:type="character" w:styleId="Hyperlink">
    <w:name w:val="Hyperlink"/>
    <w:basedOn w:val="DefaultParagraphFont"/>
    <w:uiPriority w:val="99"/>
    <w:unhideWhenUsed/>
    <w:rsid w:val="004E7F3B"/>
    <w:rPr>
      <w:color w:val="0563C1" w:themeColor="hyperlink"/>
      <w:u w:val="single"/>
    </w:rPr>
  </w:style>
  <w:style w:type="paragraph" w:styleId="BalloonText">
    <w:name w:val="Balloon Text"/>
    <w:basedOn w:val="Normal"/>
    <w:link w:val="BalloonTextChar"/>
    <w:uiPriority w:val="99"/>
    <w:semiHidden/>
    <w:unhideWhenUsed/>
    <w:rsid w:val="005F0D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D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11961">
      <w:bodyDiv w:val="1"/>
      <w:marLeft w:val="0"/>
      <w:marRight w:val="0"/>
      <w:marTop w:val="0"/>
      <w:marBottom w:val="0"/>
      <w:divBdr>
        <w:top w:val="none" w:sz="0" w:space="0" w:color="auto"/>
        <w:left w:val="none" w:sz="0" w:space="0" w:color="auto"/>
        <w:bottom w:val="none" w:sz="0" w:space="0" w:color="auto"/>
        <w:right w:val="none" w:sz="0" w:space="0" w:color="auto"/>
      </w:divBdr>
    </w:div>
    <w:div w:id="520703173">
      <w:bodyDiv w:val="1"/>
      <w:marLeft w:val="0"/>
      <w:marRight w:val="0"/>
      <w:marTop w:val="0"/>
      <w:marBottom w:val="0"/>
      <w:divBdr>
        <w:top w:val="none" w:sz="0" w:space="0" w:color="auto"/>
        <w:left w:val="none" w:sz="0" w:space="0" w:color="auto"/>
        <w:bottom w:val="none" w:sz="0" w:space="0" w:color="auto"/>
        <w:right w:val="none" w:sz="0" w:space="0" w:color="auto"/>
      </w:divBdr>
    </w:div>
    <w:div w:id="875236252">
      <w:bodyDiv w:val="1"/>
      <w:marLeft w:val="0"/>
      <w:marRight w:val="0"/>
      <w:marTop w:val="0"/>
      <w:marBottom w:val="0"/>
      <w:divBdr>
        <w:top w:val="none" w:sz="0" w:space="0" w:color="auto"/>
        <w:left w:val="none" w:sz="0" w:space="0" w:color="auto"/>
        <w:bottom w:val="none" w:sz="0" w:space="0" w:color="auto"/>
        <w:right w:val="none" w:sz="0" w:space="0" w:color="auto"/>
      </w:divBdr>
    </w:div>
    <w:div w:id="919826474">
      <w:bodyDiv w:val="1"/>
      <w:marLeft w:val="0"/>
      <w:marRight w:val="0"/>
      <w:marTop w:val="0"/>
      <w:marBottom w:val="0"/>
      <w:divBdr>
        <w:top w:val="none" w:sz="0" w:space="0" w:color="auto"/>
        <w:left w:val="none" w:sz="0" w:space="0" w:color="auto"/>
        <w:bottom w:val="none" w:sz="0" w:space="0" w:color="auto"/>
        <w:right w:val="none" w:sz="0" w:space="0" w:color="auto"/>
      </w:divBdr>
    </w:div>
    <w:div w:id="1035157820">
      <w:bodyDiv w:val="1"/>
      <w:marLeft w:val="0"/>
      <w:marRight w:val="0"/>
      <w:marTop w:val="0"/>
      <w:marBottom w:val="0"/>
      <w:divBdr>
        <w:top w:val="none" w:sz="0" w:space="0" w:color="auto"/>
        <w:left w:val="none" w:sz="0" w:space="0" w:color="auto"/>
        <w:bottom w:val="none" w:sz="0" w:space="0" w:color="auto"/>
        <w:right w:val="none" w:sz="0" w:space="0" w:color="auto"/>
      </w:divBdr>
    </w:div>
    <w:div w:id="1317221801">
      <w:bodyDiv w:val="1"/>
      <w:marLeft w:val="0"/>
      <w:marRight w:val="0"/>
      <w:marTop w:val="0"/>
      <w:marBottom w:val="0"/>
      <w:divBdr>
        <w:top w:val="none" w:sz="0" w:space="0" w:color="auto"/>
        <w:left w:val="none" w:sz="0" w:space="0" w:color="auto"/>
        <w:bottom w:val="none" w:sz="0" w:space="0" w:color="auto"/>
        <w:right w:val="none" w:sz="0" w:space="0" w:color="auto"/>
      </w:divBdr>
    </w:div>
    <w:div w:id="1634167083">
      <w:bodyDiv w:val="1"/>
      <w:marLeft w:val="0"/>
      <w:marRight w:val="0"/>
      <w:marTop w:val="0"/>
      <w:marBottom w:val="0"/>
      <w:divBdr>
        <w:top w:val="none" w:sz="0" w:space="0" w:color="auto"/>
        <w:left w:val="none" w:sz="0" w:space="0" w:color="auto"/>
        <w:bottom w:val="none" w:sz="0" w:space="0" w:color="auto"/>
        <w:right w:val="none" w:sz="0" w:space="0" w:color="auto"/>
      </w:divBdr>
    </w:div>
    <w:div w:id="1667127218">
      <w:bodyDiv w:val="1"/>
      <w:marLeft w:val="0"/>
      <w:marRight w:val="0"/>
      <w:marTop w:val="0"/>
      <w:marBottom w:val="0"/>
      <w:divBdr>
        <w:top w:val="none" w:sz="0" w:space="0" w:color="auto"/>
        <w:left w:val="none" w:sz="0" w:space="0" w:color="auto"/>
        <w:bottom w:val="none" w:sz="0" w:space="0" w:color="auto"/>
        <w:right w:val="none" w:sz="0" w:space="0" w:color="auto"/>
      </w:divBdr>
    </w:div>
    <w:div w:id="1914200974">
      <w:bodyDiv w:val="1"/>
      <w:marLeft w:val="0"/>
      <w:marRight w:val="0"/>
      <w:marTop w:val="0"/>
      <w:marBottom w:val="0"/>
      <w:divBdr>
        <w:top w:val="none" w:sz="0" w:space="0" w:color="auto"/>
        <w:left w:val="none" w:sz="0" w:space="0" w:color="auto"/>
        <w:bottom w:val="none" w:sz="0" w:space="0" w:color="auto"/>
        <w:right w:val="none" w:sz="0" w:space="0" w:color="auto"/>
      </w:divBdr>
    </w:div>
    <w:div w:id="195231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chart" Target="charts/chart3.xml"/><Relationship Id="rId3" Type="http://schemas.microsoft.com/office/2007/relationships/stylesWithEffects" Target="stylesWithEffect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Profitability ratio</a:t>
            </a:r>
          </a:p>
        </c:rich>
      </c:tx>
      <c:overlay val="0"/>
      <c:spPr>
        <a:noFill/>
        <a:ln>
          <a:noFill/>
        </a:ln>
        <a:effectLst/>
      </c:spPr>
    </c:title>
    <c:autoTitleDeleted val="0"/>
    <c:plotArea>
      <c:layout/>
      <c:lineChart>
        <c:grouping val="standard"/>
        <c:varyColors val="0"/>
        <c:ser>
          <c:idx val="0"/>
          <c:order val="0"/>
          <c:tx>
            <c:strRef>
              <c:f>Sheet1!$D$4</c:f>
              <c:strCache>
                <c:ptCount val="1"/>
                <c:pt idx="0">
                  <c:v>Return on equity</c:v>
                </c:pt>
              </c:strCache>
            </c:strRef>
          </c:tx>
          <c:spPr>
            <a:ln w="31750" cap="rnd">
              <a:solidFill>
                <a:schemeClr val="accent1"/>
              </a:solidFill>
              <a:round/>
            </a:ln>
            <a:effectLst/>
          </c:spPr>
          <c:marker>
            <c:symbol val="none"/>
          </c:marker>
          <c:cat>
            <c:numRef>
              <c:f>Sheet1!$E$3:$I$3</c:f>
              <c:numCache>
                <c:formatCode>General</c:formatCode>
                <c:ptCount val="5"/>
                <c:pt idx="0">
                  <c:v>2015</c:v>
                </c:pt>
                <c:pt idx="1">
                  <c:v>2016</c:v>
                </c:pt>
                <c:pt idx="2">
                  <c:v>2017</c:v>
                </c:pt>
                <c:pt idx="3">
                  <c:v>2018</c:v>
                </c:pt>
                <c:pt idx="4">
                  <c:v>2019</c:v>
                </c:pt>
              </c:numCache>
            </c:numRef>
          </c:cat>
          <c:val>
            <c:numRef>
              <c:f>Sheet1!$E$4:$I$4</c:f>
              <c:numCache>
                <c:formatCode>General</c:formatCode>
                <c:ptCount val="5"/>
                <c:pt idx="0">
                  <c:v>-52.7</c:v>
                </c:pt>
                <c:pt idx="1">
                  <c:v>1.76</c:v>
                </c:pt>
                <c:pt idx="2">
                  <c:v>-0.53</c:v>
                </c:pt>
                <c:pt idx="3">
                  <c:v>14.26</c:v>
                </c:pt>
                <c:pt idx="4">
                  <c:v>10.43</c:v>
                </c:pt>
              </c:numCache>
            </c:numRef>
          </c:val>
          <c:smooth val="0"/>
          <c:extLst xmlns:c16r2="http://schemas.microsoft.com/office/drawing/2015/06/chart">
            <c:ext xmlns:c16="http://schemas.microsoft.com/office/drawing/2014/chart" uri="{C3380CC4-5D6E-409C-BE32-E72D297353CC}">
              <c16:uniqueId val="{00000000-D4B0-4412-B3C6-DB6F287A4F82}"/>
            </c:ext>
          </c:extLst>
        </c:ser>
        <c:ser>
          <c:idx val="1"/>
          <c:order val="1"/>
          <c:tx>
            <c:strRef>
              <c:f>Sheet1!$D$5</c:f>
              <c:strCache>
                <c:ptCount val="1"/>
                <c:pt idx="0">
                  <c:v>Returns on capital employed</c:v>
                </c:pt>
              </c:strCache>
            </c:strRef>
          </c:tx>
          <c:spPr>
            <a:ln w="31750" cap="rnd">
              <a:solidFill>
                <a:schemeClr val="accent2"/>
              </a:solidFill>
              <a:round/>
            </a:ln>
            <a:effectLst/>
          </c:spPr>
          <c:marker>
            <c:symbol val="none"/>
          </c:marker>
          <c:cat>
            <c:numRef>
              <c:f>Sheet1!$E$3:$I$3</c:f>
              <c:numCache>
                <c:formatCode>General</c:formatCode>
                <c:ptCount val="5"/>
                <c:pt idx="0">
                  <c:v>2015</c:v>
                </c:pt>
                <c:pt idx="1">
                  <c:v>2016</c:v>
                </c:pt>
                <c:pt idx="2">
                  <c:v>2017</c:v>
                </c:pt>
                <c:pt idx="3">
                  <c:v>2018</c:v>
                </c:pt>
                <c:pt idx="4">
                  <c:v>2019</c:v>
                </c:pt>
              </c:numCache>
            </c:numRef>
          </c:cat>
          <c:val>
            <c:numRef>
              <c:f>Sheet1!$E$5:$I$5</c:f>
              <c:numCache>
                <c:formatCode>General</c:formatCode>
                <c:ptCount val="5"/>
                <c:pt idx="0">
                  <c:v>-23.54</c:v>
                </c:pt>
                <c:pt idx="1">
                  <c:v>2.4500000000000002</c:v>
                </c:pt>
                <c:pt idx="2">
                  <c:v>1.67</c:v>
                </c:pt>
                <c:pt idx="3">
                  <c:v>7.88</c:v>
                </c:pt>
                <c:pt idx="4">
                  <c:v>7.45</c:v>
                </c:pt>
              </c:numCache>
            </c:numRef>
          </c:val>
          <c:smooth val="0"/>
          <c:extLst xmlns:c16r2="http://schemas.microsoft.com/office/drawing/2015/06/chart">
            <c:ext xmlns:c16="http://schemas.microsoft.com/office/drawing/2014/chart" uri="{C3380CC4-5D6E-409C-BE32-E72D297353CC}">
              <c16:uniqueId val="{00000001-D4B0-4412-B3C6-DB6F287A4F82}"/>
            </c:ext>
          </c:extLst>
        </c:ser>
        <c:ser>
          <c:idx val="2"/>
          <c:order val="2"/>
          <c:tx>
            <c:strRef>
              <c:f>Sheet1!$D$6</c:f>
              <c:strCache>
                <c:ptCount val="1"/>
                <c:pt idx="0">
                  <c:v>Net profits margin</c:v>
                </c:pt>
              </c:strCache>
            </c:strRef>
          </c:tx>
          <c:spPr>
            <a:ln w="31750" cap="rnd">
              <a:solidFill>
                <a:schemeClr val="accent3"/>
              </a:solidFill>
              <a:round/>
            </a:ln>
            <a:effectLst/>
          </c:spPr>
          <c:marker>
            <c:symbol val="none"/>
          </c:marker>
          <c:cat>
            <c:numRef>
              <c:f>Sheet1!$E$3:$I$3</c:f>
              <c:numCache>
                <c:formatCode>General</c:formatCode>
                <c:ptCount val="5"/>
                <c:pt idx="0">
                  <c:v>2015</c:v>
                </c:pt>
                <c:pt idx="1">
                  <c:v>2016</c:v>
                </c:pt>
                <c:pt idx="2">
                  <c:v>2017</c:v>
                </c:pt>
                <c:pt idx="3">
                  <c:v>2018</c:v>
                </c:pt>
                <c:pt idx="4">
                  <c:v>2019</c:v>
                </c:pt>
              </c:numCache>
            </c:numRef>
          </c:cat>
          <c:val>
            <c:numRef>
              <c:f>Sheet1!$E$6:$I$6</c:f>
              <c:numCache>
                <c:formatCode>General</c:formatCode>
                <c:ptCount val="5"/>
                <c:pt idx="0">
                  <c:v>-9.2200000000000006</c:v>
                </c:pt>
                <c:pt idx="1">
                  <c:v>0.25</c:v>
                </c:pt>
                <c:pt idx="2">
                  <c:v>-7.0000000000000007E-2</c:v>
                </c:pt>
                <c:pt idx="3">
                  <c:v>2.1</c:v>
                </c:pt>
                <c:pt idx="4">
                  <c:v>2.0699999999999998</c:v>
                </c:pt>
              </c:numCache>
            </c:numRef>
          </c:val>
          <c:smooth val="0"/>
          <c:extLst xmlns:c16r2="http://schemas.microsoft.com/office/drawing/2015/06/chart">
            <c:ext xmlns:c16="http://schemas.microsoft.com/office/drawing/2014/chart" uri="{C3380CC4-5D6E-409C-BE32-E72D297353CC}">
              <c16:uniqueId val="{00000002-D4B0-4412-B3C6-DB6F287A4F82}"/>
            </c:ext>
          </c:extLst>
        </c:ser>
        <c:ser>
          <c:idx val="3"/>
          <c:order val="3"/>
          <c:tx>
            <c:strRef>
              <c:f>Sheet1!$D$7</c:f>
              <c:strCache>
                <c:ptCount val="1"/>
                <c:pt idx="0">
                  <c:v>Return on assets</c:v>
                </c:pt>
              </c:strCache>
            </c:strRef>
          </c:tx>
          <c:spPr>
            <a:ln w="31750" cap="rnd">
              <a:solidFill>
                <a:schemeClr val="accent4"/>
              </a:solidFill>
              <a:round/>
            </a:ln>
            <a:effectLst/>
          </c:spPr>
          <c:marker>
            <c:symbol val="none"/>
          </c:marker>
          <c:cat>
            <c:numRef>
              <c:f>Sheet1!$E$3:$I$3</c:f>
              <c:numCache>
                <c:formatCode>General</c:formatCode>
                <c:ptCount val="5"/>
                <c:pt idx="0">
                  <c:v>2015</c:v>
                </c:pt>
                <c:pt idx="1">
                  <c:v>2016</c:v>
                </c:pt>
                <c:pt idx="2">
                  <c:v>2017</c:v>
                </c:pt>
                <c:pt idx="3">
                  <c:v>2018</c:v>
                </c:pt>
                <c:pt idx="4">
                  <c:v>2019</c:v>
                </c:pt>
              </c:numCache>
            </c:numRef>
          </c:cat>
          <c:val>
            <c:numRef>
              <c:f>Sheet1!$E$7:$I$7</c:f>
              <c:numCache>
                <c:formatCode>General</c:formatCode>
                <c:ptCount val="5"/>
                <c:pt idx="0">
                  <c:v>-12.17</c:v>
                </c:pt>
                <c:pt idx="1">
                  <c:v>0.31</c:v>
                </c:pt>
                <c:pt idx="2">
                  <c:v>-0.09</c:v>
                </c:pt>
                <c:pt idx="3">
                  <c:v>2.66</c:v>
                </c:pt>
                <c:pt idx="4">
                  <c:v>2.82</c:v>
                </c:pt>
              </c:numCache>
            </c:numRef>
          </c:val>
          <c:smooth val="0"/>
          <c:extLst xmlns:c16r2="http://schemas.microsoft.com/office/drawing/2015/06/chart">
            <c:ext xmlns:c16="http://schemas.microsoft.com/office/drawing/2014/chart" uri="{C3380CC4-5D6E-409C-BE32-E72D297353CC}">
              <c16:uniqueId val="{00000003-D4B0-4412-B3C6-DB6F287A4F82}"/>
            </c:ext>
          </c:extLst>
        </c:ser>
        <c:dLbls>
          <c:showLegendKey val="0"/>
          <c:showVal val="0"/>
          <c:showCatName val="0"/>
          <c:showSerName val="0"/>
          <c:showPercent val="0"/>
          <c:showBubbleSize val="0"/>
        </c:dLbls>
        <c:marker val="1"/>
        <c:smooth val="0"/>
        <c:axId val="275538688"/>
        <c:axId val="275540224"/>
      </c:lineChart>
      <c:catAx>
        <c:axId val="275538688"/>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75540224"/>
        <c:crosses val="autoZero"/>
        <c:auto val="1"/>
        <c:lblAlgn val="ctr"/>
        <c:lblOffset val="100"/>
        <c:noMultiLvlLbl val="0"/>
      </c:catAx>
      <c:valAx>
        <c:axId val="27554022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75538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Liquidity ratio</a:t>
            </a:r>
          </a:p>
        </c:rich>
      </c:tx>
      <c:overlay val="0"/>
      <c:spPr>
        <a:noFill/>
        <a:ln>
          <a:noFill/>
        </a:ln>
        <a:effectLst/>
      </c:spPr>
    </c:title>
    <c:autoTitleDeleted val="0"/>
    <c:plotArea>
      <c:layout/>
      <c:lineChart>
        <c:grouping val="standard"/>
        <c:varyColors val="0"/>
        <c:ser>
          <c:idx val="0"/>
          <c:order val="0"/>
          <c:tx>
            <c:strRef>
              <c:f>Sheet1!$D$14</c:f>
              <c:strCache>
                <c:ptCount val="1"/>
                <c:pt idx="0">
                  <c:v>Current Ratio</c:v>
                </c:pt>
              </c:strCache>
            </c:strRef>
          </c:tx>
          <c:spPr>
            <a:ln w="28575" cap="rnd">
              <a:solidFill>
                <a:schemeClr val="accent1"/>
              </a:solidFill>
              <a:round/>
            </a:ln>
            <a:effectLst/>
          </c:spPr>
          <c:marker>
            <c:symbol val="none"/>
          </c:marker>
          <c:cat>
            <c:numRef>
              <c:f>Sheet1!$E$13:$I$13</c:f>
              <c:numCache>
                <c:formatCode>General</c:formatCode>
                <c:ptCount val="5"/>
                <c:pt idx="0">
                  <c:v>2015</c:v>
                </c:pt>
                <c:pt idx="1">
                  <c:v>2016</c:v>
                </c:pt>
                <c:pt idx="2">
                  <c:v>2017</c:v>
                </c:pt>
                <c:pt idx="3">
                  <c:v>2018</c:v>
                </c:pt>
                <c:pt idx="4">
                  <c:v>2019</c:v>
                </c:pt>
              </c:numCache>
            </c:numRef>
          </c:cat>
          <c:val>
            <c:numRef>
              <c:f>Sheet1!$E$14:$I$14</c:f>
              <c:numCache>
                <c:formatCode>General</c:formatCode>
                <c:ptCount val="5"/>
                <c:pt idx="0">
                  <c:v>0.6</c:v>
                </c:pt>
                <c:pt idx="1">
                  <c:v>0.75</c:v>
                </c:pt>
                <c:pt idx="2">
                  <c:v>0.79</c:v>
                </c:pt>
                <c:pt idx="3">
                  <c:v>0.71</c:v>
                </c:pt>
                <c:pt idx="4">
                  <c:v>0.61</c:v>
                </c:pt>
              </c:numCache>
            </c:numRef>
          </c:val>
          <c:smooth val="0"/>
          <c:extLst xmlns:c16r2="http://schemas.microsoft.com/office/drawing/2015/06/chart">
            <c:ext xmlns:c16="http://schemas.microsoft.com/office/drawing/2014/chart" uri="{C3380CC4-5D6E-409C-BE32-E72D297353CC}">
              <c16:uniqueId val="{00000000-EE1B-46D1-B3B3-6B05ACCA984C}"/>
            </c:ext>
          </c:extLst>
        </c:ser>
        <c:ser>
          <c:idx val="1"/>
          <c:order val="1"/>
          <c:tx>
            <c:strRef>
              <c:f>Sheet1!$D$15</c:f>
              <c:strCache>
                <c:ptCount val="1"/>
                <c:pt idx="0">
                  <c:v>Quick Ratio</c:v>
                </c:pt>
              </c:strCache>
            </c:strRef>
          </c:tx>
          <c:spPr>
            <a:ln w="28575" cap="rnd">
              <a:solidFill>
                <a:schemeClr val="accent2"/>
              </a:solidFill>
              <a:round/>
            </a:ln>
            <a:effectLst/>
          </c:spPr>
          <c:marker>
            <c:symbol val="none"/>
          </c:marker>
          <c:cat>
            <c:numRef>
              <c:f>Sheet1!$E$13:$I$13</c:f>
              <c:numCache>
                <c:formatCode>General</c:formatCode>
                <c:ptCount val="5"/>
                <c:pt idx="0">
                  <c:v>2015</c:v>
                </c:pt>
                <c:pt idx="1">
                  <c:v>2016</c:v>
                </c:pt>
                <c:pt idx="2">
                  <c:v>2017</c:v>
                </c:pt>
                <c:pt idx="3">
                  <c:v>2018</c:v>
                </c:pt>
                <c:pt idx="4">
                  <c:v>2019</c:v>
                </c:pt>
              </c:numCache>
            </c:numRef>
          </c:cat>
          <c:val>
            <c:numRef>
              <c:f>Sheet1!$E$15:$I$15</c:f>
              <c:numCache>
                <c:formatCode>General</c:formatCode>
                <c:ptCount val="5"/>
                <c:pt idx="0">
                  <c:v>0.42</c:v>
                </c:pt>
                <c:pt idx="1">
                  <c:v>0.59</c:v>
                </c:pt>
                <c:pt idx="2">
                  <c:v>0.64</c:v>
                </c:pt>
                <c:pt idx="3">
                  <c:v>0.55000000000000004</c:v>
                </c:pt>
                <c:pt idx="4">
                  <c:v>0.48</c:v>
                </c:pt>
              </c:numCache>
            </c:numRef>
          </c:val>
          <c:smooth val="0"/>
          <c:extLst xmlns:c16r2="http://schemas.microsoft.com/office/drawing/2015/06/chart">
            <c:ext xmlns:c16="http://schemas.microsoft.com/office/drawing/2014/chart" uri="{C3380CC4-5D6E-409C-BE32-E72D297353CC}">
              <c16:uniqueId val="{00000001-EE1B-46D1-B3B3-6B05ACCA984C}"/>
            </c:ext>
          </c:extLst>
        </c:ser>
        <c:ser>
          <c:idx val="2"/>
          <c:order val="2"/>
          <c:tx>
            <c:strRef>
              <c:f>Sheet1!$D$16</c:f>
              <c:strCache>
                <c:ptCount val="1"/>
                <c:pt idx="0">
                  <c:v>Financial Leverage</c:v>
                </c:pt>
              </c:strCache>
            </c:strRef>
          </c:tx>
          <c:spPr>
            <a:ln w="28575" cap="rnd">
              <a:solidFill>
                <a:schemeClr val="accent3"/>
              </a:solidFill>
              <a:round/>
            </a:ln>
            <a:effectLst/>
          </c:spPr>
          <c:marker>
            <c:symbol val="none"/>
          </c:marker>
          <c:cat>
            <c:numRef>
              <c:f>Sheet1!$E$13:$I$13</c:f>
              <c:numCache>
                <c:formatCode>General</c:formatCode>
                <c:ptCount val="5"/>
                <c:pt idx="0">
                  <c:v>2015</c:v>
                </c:pt>
                <c:pt idx="1">
                  <c:v>2016</c:v>
                </c:pt>
                <c:pt idx="2">
                  <c:v>2017</c:v>
                </c:pt>
                <c:pt idx="3">
                  <c:v>2018</c:v>
                </c:pt>
                <c:pt idx="4">
                  <c:v>2019</c:v>
                </c:pt>
              </c:numCache>
            </c:numRef>
          </c:cat>
          <c:val>
            <c:numRef>
              <c:f>Sheet1!$E$16:$I$16</c:f>
              <c:numCache>
                <c:formatCode>General</c:formatCode>
                <c:ptCount val="5"/>
                <c:pt idx="0">
                  <c:v>6.25</c:v>
                </c:pt>
                <c:pt idx="1">
                  <c:v>5.09</c:v>
                </c:pt>
                <c:pt idx="2">
                  <c:v>7.12</c:v>
                </c:pt>
                <c:pt idx="3">
                  <c:v>4.28</c:v>
                </c:pt>
                <c:pt idx="4">
                  <c:v>3.3</c:v>
                </c:pt>
              </c:numCache>
            </c:numRef>
          </c:val>
          <c:smooth val="0"/>
          <c:extLst xmlns:c16r2="http://schemas.microsoft.com/office/drawing/2015/06/chart">
            <c:ext xmlns:c16="http://schemas.microsoft.com/office/drawing/2014/chart" uri="{C3380CC4-5D6E-409C-BE32-E72D297353CC}">
              <c16:uniqueId val="{00000002-EE1B-46D1-B3B3-6B05ACCA984C}"/>
            </c:ext>
          </c:extLst>
        </c:ser>
        <c:ser>
          <c:idx val="3"/>
          <c:order val="3"/>
          <c:tx>
            <c:strRef>
              <c:f>Sheet1!$D$17</c:f>
              <c:strCache>
                <c:ptCount val="1"/>
                <c:pt idx="0">
                  <c:v>Debt/Equity</c:v>
                </c:pt>
              </c:strCache>
            </c:strRef>
          </c:tx>
          <c:spPr>
            <a:ln w="28575" cap="rnd">
              <a:solidFill>
                <a:schemeClr val="accent4"/>
              </a:solidFill>
              <a:round/>
            </a:ln>
            <a:effectLst/>
          </c:spPr>
          <c:marker>
            <c:symbol val="none"/>
          </c:marker>
          <c:cat>
            <c:numRef>
              <c:f>Sheet1!$E$13:$I$13</c:f>
              <c:numCache>
                <c:formatCode>General</c:formatCode>
                <c:ptCount val="5"/>
                <c:pt idx="0">
                  <c:v>2015</c:v>
                </c:pt>
                <c:pt idx="1">
                  <c:v>2016</c:v>
                </c:pt>
                <c:pt idx="2">
                  <c:v>2017</c:v>
                </c:pt>
                <c:pt idx="3">
                  <c:v>2018</c:v>
                </c:pt>
                <c:pt idx="4">
                  <c:v>2019</c:v>
                </c:pt>
              </c:numCache>
            </c:numRef>
          </c:cat>
          <c:val>
            <c:numRef>
              <c:f>Sheet1!$E$17:$I$17</c:f>
              <c:numCache>
                <c:formatCode>General</c:formatCode>
                <c:ptCount val="5"/>
                <c:pt idx="0">
                  <c:v>1.51</c:v>
                </c:pt>
                <c:pt idx="1">
                  <c:v>1.24</c:v>
                </c:pt>
                <c:pt idx="2">
                  <c:v>1.47</c:v>
                </c:pt>
                <c:pt idx="3">
                  <c:v>0.68</c:v>
                </c:pt>
                <c:pt idx="4">
                  <c:v>0.38</c:v>
                </c:pt>
              </c:numCache>
            </c:numRef>
          </c:val>
          <c:smooth val="0"/>
          <c:extLst xmlns:c16r2="http://schemas.microsoft.com/office/drawing/2015/06/chart">
            <c:ext xmlns:c16="http://schemas.microsoft.com/office/drawing/2014/chart" uri="{C3380CC4-5D6E-409C-BE32-E72D297353CC}">
              <c16:uniqueId val="{00000003-EE1B-46D1-B3B3-6B05ACCA984C}"/>
            </c:ext>
          </c:extLst>
        </c:ser>
        <c:dLbls>
          <c:showLegendKey val="0"/>
          <c:showVal val="0"/>
          <c:showCatName val="0"/>
          <c:showSerName val="0"/>
          <c:showPercent val="0"/>
          <c:showBubbleSize val="0"/>
        </c:dLbls>
        <c:marker val="1"/>
        <c:smooth val="0"/>
        <c:axId val="275716736"/>
        <c:axId val="275718528"/>
      </c:lineChart>
      <c:catAx>
        <c:axId val="27571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718528"/>
        <c:crosses val="autoZero"/>
        <c:auto val="1"/>
        <c:lblAlgn val="ctr"/>
        <c:lblOffset val="100"/>
        <c:noMultiLvlLbl val="0"/>
      </c:catAx>
      <c:valAx>
        <c:axId val="275718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716736"/>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Efficiency ratio</a:t>
            </a:r>
          </a:p>
        </c:rich>
      </c:tx>
      <c:overlay val="0"/>
      <c:spPr>
        <a:noFill/>
        <a:ln>
          <a:noFill/>
        </a:ln>
        <a:effectLst/>
      </c:spPr>
    </c:title>
    <c:autoTitleDeleted val="0"/>
    <c:plotArea>
      <c:layout/>
      <c:lineChart>
        <c:grouping val="standard"/>
        <c:varyColors val="0"/>
        <c:ser>
          <c:idx val="0"/>
          <c:order val="0"/>
          <c:tx>
            <c:strRef>
              <c:f>Sheet1!$D$9</c:f>
              <c:strCache>
                <c:ptCount val="1"/>
                <c:pt idx="0">
                  <c:v>Receivables turnover</c:v>
                </c:pt>
              </c:strCache>
            </c:strRef>
          </c:tx>
          <c:spPr>
            <a:ln w="317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Sheet1!$E$8:$I$8</c:f>
              <c:numCache>
                <c:formatCode>General</c:formatCode>
                <c:ptCount val="5"/>
                <c:pt idx="0">
                  <c:v>2015</c:v>
                </c:pt>
                <c:pt idx="1">
                  <c:v>2016</c:v>
                </c:pt>
                <c:pt idx="2">
                  <c:v>2017</c:v>
                </c:pt>
                <c:pt idx="3">
                  <c:v>2018</c:v>
                </c:pt>
                <c:pt idx="4">
                  <c:v>2019</c:v>
                </c:pt>
              </c:numCache>
            </c:numRef>
          </c:cat>
          <c:val>
            <c:numRef>
              <c:f>Sheet1!$E$9:$I$9</c:f>
              <c:numCache>
                <c:formatCode>General</c:formatCode>
                <c:ptCount val="5"/>
                <c:pt idx="0">
                  <c:v>0</c:v>
                </c:pt>
                <c:pt idx="1">
                  <c:v>219.49</c:v>
                </c:pt>
                <c:pt idx="2">
                  <c:v>56.74</c:v>
                </c:pt>
                <c:pt idx="3">
                  <c:v>38.880000000000003</c:v>
                </c:pt>
                <c:pt idx="4">
                  <c:v>40.94</c:v>
                </c:pt>
              </c:numCache>
            </c:numRef>
          </c:val>
          <c:smooth val="0"/>
          <c:extLst xmlns:c16r2="http://schemas.microsoft.com/office/drawing/2015/06/chart">
            <c:ext xmlns:c16="http://schemas.microsoft.com/office/drawing/2014/chart" uri="{C3380CC4-5D6E-409C-BE32-E72D297353CC}">
              <c16:uniqueId val="{00000000-63E8-4A90-8F25-72FF6E9B10C9}"/>
            </c:ext>
          </c:extLst>
        </c:ser>
        <c:ser>
          <c:idx val="1"/>
          <c:order val="1"/>
          <c:tx>
            <c:strRef>
              <c:f>Sheet1!$D$10</c:f>
              <c:strCache>
                <c:ptCount val="1"/>
                <c:pt idx="0">
                  <c:v>Inventory turnover</c:v>
                </c:pt>
              </c:strCache>
            </c:strRef>
          </c:tx>
          <c:spPr>
            <a:ln w="317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Sheet1!$E$8:$I$8</c:f>
              <c:numCache>
                <c:formatCode>General</c:formatCode>
                <c:ptCount val="5"/>
                <c:pt idx="0">
                  <c:v>2015</c:v>
                </c:pt>
                <c:pt idx="1">
                  <c:v>2016</c:v>
                </c:pt>
                <c:pt idx="2">
                  <c:v>2017</c:v>
                </c:pt>
                <c:pt idx="3">
                  <c:v>2018</c:v>
                </c:pt>
                <c:pt idx="4">
                  <c:v>2019</c:v>
                </c:pt>
              </c:numCache>
            </c:numRef>
          </c:cat>
          <c:val>
            <c:numRef>
              <c:f>Sheet1!$E$10:$I$10</c:f>
              <c:numCache>
                <c:formatCode>General</c:formatCode>
                <c:ptCount val="5"/>
                <c:pt idx="0">
                  <c:v>19.71</c:v>
                </c:pt>
                <c:pt idx="1">
                  <c:v>19.149999999999999</c:v>
                </c:pt>
                <c:pt idx="2">
                  <c:v>22.41</c:v>
                </c:pt>
                <c:pt idx="3">
                  <c:v>23.73</c:v>
                </c:pt>
                <c:pt idx="4">
                  <c:v>24.49</c:v>
                </c:pt>
              </c:numCache>
            </c:numRef>
          </c:val>
          <c:smooth val="0"/>
          <c:extLst xmlns:c16r2="http://schemas.microsoft.com/office/drawing/2015/06/chart">
            <c:ext xmlns:c16="http://schemas.microsoft.com/office/drawing/2014/chart" uri="{C3380CC4-5D6E-409C-BE32-E72D297353CC}">
              <c16:uniqueId val="{00000001-63E8-4A90-8F25-72FF6E9B10C9}"/>
            </c:ext>
          </c:extLst>
        </c:ser>
        <c:ser>
          <c:idx val="2"/>
          <c:order val="2"/>
          <c:tx>
            <c:strRef>
              <c:f>Sheet1!$D$11</c:f>
              <c:strCache>
                <c:ptCount val="1"/>
                <c:pt idx="0">
                  <c:v>Fixed assets turnover</c:v>
                </c:pt>
              </c:strCache>
            </c:strRef>
          </c:tx>
          <c:spPr>
            <a:ln w="3175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Sheet1!$E$8:$I$8</c:f>
              <c:numCache>
                <c:formatCode>General</c:formatCode>
                <c:ptCount val="5"/>
                <c:pt idx="0">
                  <c:v>2015</c:v>
                </c:pt>
                <c:pt idx="1">
                  <c:v>2016</c:v>
                </c:pt>
                <c:pt idx="2">
                  <c:v>2017</c:v>
                </c:pt>
                <c:pt idx="3">
                  <c:v>2018</c:v>
                </c:pt>
                <c:pt idx="4">
                  <c:v>2019</c:v>
                </c:pt>
              </c:numCache>
            </c:numRef>
          </c:cat>
          <c:val>
            <c:numRef>
              <c:f>Sheet1!$E$11:$I$11</c:f>
              <c:numCache>
                <c:formatCode>General</c:formatCode>
                <c:ptCount val="5"/>
                <c:pt idx="0">
                  <c:v>2.77</c:v>
                </c:pt>
                <c:pt idx="1">
                  <c:v>2.84</c:v>
                </c:pt>
                <c:pt idx="2">
                  <c:v>3.11</c:v>
                </c:pt>
                <c:pt idx="3">
                  <c:v>3.14</c:v>
                </c:pt>
                <c:pt idx="4">
                  <c:v>3.4</c:v>
                </c:pt>
              </c:numCache>
            </c:numRef>
          </c:val>
          <c:smooth val="0"/>
          <c:extLst xmlns:c16r2="http://schemas.microsoft.com/office/drawing/2015/06/chart">
            <c:ext xmlns:c16="http://schemas.microsoft.com/office/drawing/2014/chart" uri="{C3380CC4-5D6E-409C-BE32-E72D297353CC}">
              <c16:uniqueId val="{00000002-63E8-4A90-8F25-72FF6E9B10C9}"/>
            </c:ext>
          </c:extLst>
        </c:ser>
        <c:ser>
          <c:idx val="3"/>
          <c:order val="3"/>
          <c:tx>
            <c:strRef>
              <c:f>Sheet1!$D$12</c:f>
              <c:strCache>
                <c:ptCount val="1"/>
                <c:pt idx="0">
                  <c:v>Asset turnover</c:v>
                </c:pt>
              </c:strCache>
            </c:strRef>
          </c:tx>
          <c:spPr>
            <a:ln w="31750"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Sheet1!$E$8:$I$8</c:f>
              <c:numCache>
                <c:formatCode>General</c:formatCode>
                <c:ptCount val="5"/>
                <c:pt idx="0">
                  <c:v>2015</c:v>
                </c:pt>
                <c:pt idx="1">
                  <c:v>2016</c:v>
                </c:pt>
                <c:pt idx="2">
                  <c:v>2017</c:v>
                </c:pt>
                <c:pt idx="3">
                  <c:v>2018</c:v>
                </c:pt>
                <c:pt idx="4">
                  <c:v>2019</c:v>
                </c:pt>
              </c:numCache>
            </c:numRef>
          </c:cat>
          <c:val>
            <c:numRef>
              <c:f>Sheet1!$E$12:$I$12</c:f>
              <c:numCache>
                <c:formatCode>General</c:formatCode>
                <c:ptCount val="5"/>
                <c:pt idx="0">
                  <c:v>1.32</c:v>
                </c:pt>
                <c:pt idx="1">
                  <c:v>1.24</c:v>
                </c:pt>
                <c:pt idx="2">
                  <c:v>1.24</c:v>
                </c:pt>
                <c:pt idx="3">
                  <c:v>1.27</c:v>
                </c:pt>
                <c:pt idx="4">
                  <c:v>1.36</c:v>
                </c:pt>
              </c:numCache>
            </c:numRef>
          </c:val>
          <c:smooth val="0"/>
          <c:extLst xmlns:c16r2="http://schemas.microsoft.com/office/drawing/2015/06/chart">
            <c:ext xmlns:c16="http://schemas.microsoft.com/office/drawing/2014/chart" uri="{C3380CC4-5D6E-409C-BE32-E72D297353CC}">
              <c16:uniqueId val="{00000003-63E8-4A90-8F25-72FF6E9B10C9}"/>
            </c:ext>
          </c:extLst>
        </c:ser>
        <c:dLbls>
          <c:dLblPos val="ctr"/>
          <c:showLegendKey val="0"/>
          <c:showVal val="1"/>
          <c:showCatName val="0"/>
          <c:showSerName val="0"/>
          <c:showPercent val="0"/>
          <c:showBubbleSize val="0"/>
        </c:dLbls>
        <c:marker val="1"/>
        <c:smooth val="0"/>
        <c:axId val="275925632"/>
        <c:axId val="275935616"/>
      </c:lineChart>
      <c:catAx>
        <c:axId val="27592563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75935616"/>
        <c:crosses val="autoZero"/>
        <c:auto val="1"/>
        <c:lblAlgn val="ctr"/>
        <c:lblOffset val="100"/>
        <c:noMultiLvlLbl val="0"/>
      </c:catAx>
      <c:valAx>
        <c:axId val="27593561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7592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DA2A74-BD59-46A7-A329-6E1617EAEA76}" type="doc">
      <dgm:prSet loTypeId="urn:microsoft.com/office/officeart/2005/8/layout/cycle8" loCatId="cycle" qsTypeId="urn:microsoft.com/office/officeart/2005/8/quickstyle/simple1" qsCatId="simple" csTypeId="urn:microsoft.com/office/officeart/2005/8/colors/accent1_2" csCatId="accent1" phldr="1"/>
      <dgm:spPr/>
    </dgm:pt>
    <dgm:pt modelId="{7437BFB1-DA0D-49C6-9EB1-23E343E2C7CE}">
      <dgm:prSet phldrT="[Text]"/>
      <dgm:spPr/>
      <dgm:t>
        <a:bodyPr/>
        <a:lstStyle/>
        <a:p>
          <a:r>
            <a:rPr lang="en-US"/>
            <a:t>Products</a:t>
          </a:r>
        </a:p>
      </dgm:t>
    </dgm:pt>
    <dgm:pt modelId="{4517B5E0-960C-40C4-94E7-A91736F844AC}" type="parTrans" cxnId="{000CC838-A844-44B8-9C9C-3ADECA9BE5DC}">
      <dgm:prSet/>
      <dgm:spPr/>
      <dgm:t>
        <a:bodyPr/>
        <a:lstStyle/>
        <a:p>
          <a:endParaRPr lang="en-GB"/>
        </a:p>
      </dgm:t>
    </dgm:pt>
    <dgm:pt modelId="{5A029B39-C0C1-47D0-BD68-21ED9BD3B6BD}" type="sibTrans" cxnId="{000CC838-A844-44B8-9C9C-3ADECA9BE5DC}">
      <dgm:prSet/>
      <dgm:spPr/>
      <dgm:t>
        <a:bodyPr/>
        <a:lstStyle/>
        <a:p>
          <a:endParaRPr lang="en-GB"/>
        </a:p>
      </dgm:t>
    </dgm:pt>
    <dgm:pt modelId="{8748AA1C-6E15-4F34-A073-14DC61653F7B}">
      <dgm:prSet phldrT="[Text]"/>
      <dgm:spPr/>
      <dgm:t>
        <a:bodyPr/>
        <a:lstStyle/>
        <a:p>
          <a:r>
            <a:rPr lang="en-US"/>
            <a:t>Channels</a:t>
          </a:r>
        </a:p>
      </dgm:t>
    </dgm:pt>
    <dgm:pt modelId="{CCA2B160-23E4-4B06-B4C0-BD082E108D5D}" type="parTrans" cxnId="{AD7F70A5-1E96-4B9A-BB07-2F61D5EF192C}">
      <dgm:prSet/>
      <dgm:spPr/>
      <dgm:t>
        <a:bodyPr/>
        <a:lstStyle/>
        <a:p>
          <a:endParaRPr lang="en-GB"/>
        </a:p>
      </dgm:t>
    </dgm:pt>
    <dgm:pt modelId="{94954E57-56F8-4D4C-B31F-67247C8B54C7}" type="sibTrans" cxnId="{AD7F70A5-1E96-4B9A-BB07-2F61D5EF192C}">
      <dgm:prSet/>
      <dgm:spPr/>
      <dgm:t>
        <a:bodyPr/>
        <a:lstStyle/>
        <a:p>
          <a:endParaRPr lang="en-GB"/>
        </a:p>
      </dgm:t>
    </dgm:pt>
    <dgm:pt modelId="{1C0281D6-0DA4-42D6-83CC-46F0114170F2}">
      <dgm:prSet phldrT="[Text]"/>
      <dgm:spPr/>
      <dgm:t>
        <a:bodyPr/>
        <a:lstStyle/>
        <a:p>
          <a:r>
            <a:rPr lang="en-US"/>
            <a:t>Customers</a:t>
          </a:r>
        </a:p>
      </dgm:t>
    </dgm:pt>
    <dgm:pt modelId="{46D525FB-EBE5-4CB8-83D0-140C96FAC85D}" type="parTrans" cxnId="{6A292039-124F-4DAF-817B-DA0B330A9204}">
      <dgm:prSet/>
      <dgm:spPr/>
      <dgm:t>
        <a:bodyPr/>
        <a:lstStyle/>
        <a:p>
          <a:endParaRPr lang="en-GB"/>
        </a:p>
      </dgm:t>
    </dgm:pt>
    <dgm:pt modelId="{276AA7A8-ADFB-46A7-97B0-C5F5FAF64C04}" type="sibTrans" cxnId="{6A292039-124F-4DAF-817B-DA0B330A9204}">
      <dgm:prSet/>
      <dgm:spPr/>
      <dgm:t>
        <a:bodyPr/>
        <a:lstStyle/>
        <a:p>
          <a:endParaRPr lang="en-GB"/>
        </a:p>
      </dgm:t>
    </dgm:pt>
    <dgm:pt modelId="{7946B6F9-3359-4F7D-BE4C-AE3707973B78}" type="pres">
      <dgm:prSet presAssocID="{5ADA2A74-BD59-46A7-A329-6E1617EAEA76}" presName="compositeShape" presStyleCnt="0">
        <dgm:presLayoutVars>
          <dgm:chMax val="7"/>
          <dgm:dir/>
          <dgm:resizeHandles val="exact"/>
        </dgm:presLayoutVars>
      </dgm:prSet>
      <dgm:spPr/>
    </dgm:pt>
    <dgm:pt modelId="{A197BC65-012C-4B9E-807A-6E4A7808A313}" type="pres">
      <dgm:prSet presAssocID="{5ADA2A74-BD59-46A7-A329-6E1617EAEA76}" presName="wedge1" presStyleLbl="node1" presStyleIdx="0" presStyleCnt="3"/>
      <dgm:spPr/>
      <dgm:t>
        <a:bodyPr/>
        <a:lstStyle/>
        <a:p>
          <a:endParaRPr lang="en-GB"/>
        </a:p>
      </dgm:t>
    </dgm:pt>
    <dgm:pt modelId="{FD9AFD33-7265-4282-B51A-A0B866A69732}" type="pres">
      <dgm:prSet presAssocID="{5ADA2A74-BD59-46A7-A329-6E1617EAEA76}" presName="dummy1a" presStyleCnt="0"/>
      <dgm:spPr/>
    </dgm:pt>
    <dgm:pt modelId="{4510E5F3-57A1-4499-95E2-B37A765CC92B}" type="pres">
      <dgm:prSet presAssocID="{5ADA2A74-BD59-46A7-A329-6E1617EAEA76}" presName="dummy1b" presStyleCnt="0"/>
      <dgm:spPr/>
    </dgm:pt>
    <dgm:pt modelId="{348E2D1E-AFDB-40EA-9845-52118F204552}" type="pres">
      <dgm:prSet presAssocID="{5ADA2A74-BD59-46A7-A329-6E1617EAEA76}" presName="wedge1Tx" presStyleLbl="node1" presStyleIdx="0" presStyleCnt="3">
        <dgm:presLayoutVars>
          <dgm:chMax val="0"/>
          <dgm:chPref val="0"/>
          <dgm:bulletEnabled val="1"/>
        </dgm:presLayoutVars>
      </dgm:prSet>
      <dgm:spPr/>
      <dgm:t>
        <a:bodyPr/>
        <a:lstStyle/>
        <a:p>
          <a:endParaRPr lang="en-GB"/>
        </a:p>
      </dgm:t>
    </dgm:pt>
    <dgm:pt modelId="{B45D957F-AD3B-4AFC-82C6-985AFF56BD38}" type="pres">
      <dgm:prSet presAssocID="{5ADA2A74-BD59-46A7-A329-6E1617EAEA76}" presName="wedge2" presStyleLbl="node1" presStyleIdx="1" presStyleCnt="3"/>
      <dgm:spPr/>
      <dgm:t>
        <a:bodyPr/>
        <a:lstStyle/>
        <a:p>
          <a:endParaRPr lang="en-GB"/>
        </a:p>
      </dgm:t>
    </dgm:pt>
    <dgm:pt modelId="{66FCE5CF-AC9C-43F9-8111-1680DF246A6C}" type="pres">
      <dgm:prSet presAssocID="{5ADA2A74-BD59-46A7-A329-6E1617EAEA76}" presName="dummy2a" presStyleCnt="0"/>
      <dgm:spPr/>
    </dgm:pt>
    <dgm:pt modelId="{38338DA3-6C0A-4B0A-AFB0-5A5AD9864A88}" type="pres">
      <dgm:prSet presAssocID="{5ADA2A74-BD59-46A7-A329-6E1617EAEA76}" presName="dummy2b" presStyleCnt="0"/>
      <dgm:spPr/>
    </dgm:pt>
    <dgm:pt modelId="{2541056F-6758-4A17-8E31-8F2BE6642DE2}" type="pres">
      <dgm:prSet presAssocID="{5ADA2A74-BD59-46A7-A329-6E1617EAEA76}" presName="wedge2Tx" presStyleLbl="node1" presStyleIdx="1" presStyleCnt="3">
        <dgm:presLayoutVars>
          <dgm:chMax val="0"/>
          <dgm:chPref val="0"/>
          <dgm:bulletEnabled val="1"/>
        </dgm:presLayoutVars>
      </dgm:prSet>
      <dgm:spPr/>
      <dgm:t>
        <a:bodyPr/>
        <a:lstStyle/>
        <a:p>
          <a:endParaRPr lang="en-GB"/>
        </a:p>
      </dgm:t>
    </dgm:pt>
    <dgm:pt modelId="{0C855CB1-D17E-4F0F-A010-11442FCF7865}" type="pres">
      <dgm:prSet presAssocID="{5ADA2A74-BD59-46A7-A329-6E1617EAEA76}" presName="wedge3" presStyleLbl="node1" presStyleIdx="2" presStyleCnt="3"/>
      <dgm:spPr/>
      <dgm:t>
        <a:bodyPr/>
        <a:lstStyle/>
        <a:p>
          <a:endParaRPr lang="en-GB"/>
        </a:p>
      </dgm:t>
    </dgm:pt>
    <dgm:pt modelId="{1DC40511-44B8-43BA-A361-D0AD750A2006}" type="pres">
      <dgm:prSet presAssocID="{5ADA2A74-BD59-46A7-A329-6E1617EAEA76}" presName="dummy3a" presStyleCnt="0"/>
      <dgm:spPr/>
    </dgm:pt>
    <dgm:pt modelId="{CF063CEA-C2E2-4FBC-8FA7-25BAE2DE04E5}" type="pres">
      <dgm:prSet presAssocID="{5ADA2A74-BD59-46A7-A329-6E1617EAEA76}" presName="dummy3b" presStyleCnt="0"/>
      <dgm:spPr/>
    </dgm:pt>
    <dgm:pt modelId="{E2F05BEA-CEBD-4038-BBF8-68551FB07B40}" type="pres">
      <dgm:prSet presAssocID="{5ADA2A74-BD59-46A7-A329-6E1617EAEA76}" presName="wedge3Tx" presStyleLbl="node1" presStyleIdx="2" presStyleCnt="3">
        <dgm:presLayoutVars>
          <dgm:chMax val="0"/>
          <dgm:chPref val="0"/>
          <dgm:bulletEnabled val="1"/>
        </dgm:presLayoutVars>
      </dgm:prSet>
      <dgm:spPr/>
      <dgm:t>
        <a:bodyPr/>
        <a:lstStyle/>
        <a:p>
          <a:endParaRPr lang="en-GB"/>
        </a:p>
      </dgm:t>
    </dgm:pt>
    <dgm:pt modelId="{44EFFB80-CB3C-401C-A40D-446E1F9E757A}" type="pres">
      <dgm:prSet presAssocID="{5A029B39-C0C1-47D0-BD68-21ED9BD3B6BD}" presName="arrowWedge1" presStyleLbl="fgSibTrans2D1" presStyleIdx="0" presStyleCnt="3"/>
      <dgm:spPr/>
    </dgm:pt>
    <dgm:pt modelId="{32BD44D0-296B-4BC9-8A1E-630F7FD95E19}" type="pres">
      <dgm:prSet presAssocID="{94954E57-56F8-4D4C-B31F-67247C8B54C7}" presName="arrowWedge2" presStyleLbl="fgSibTrans2D1" presStyleIdx="1" presStyleCnt="3"/>
      <dgm:spPr/>
    </dgm:pt>
    <dgm:pt modelId="{28CEFEA9-9F7A-4066-B016-42BB443A8D03}" type="pres">
      <dgm:prSet presAssocID="{276AA7A8-ADFB-46A7-97B0-C5F5FAF64C04}" presName="arrowWedge3" presStyleLbl="fgSibTrans2D1" presStyleIdx="2" presStyleCnt="3"/>
      <dgm:spPr/>
    </dgm:pt>
  </dgm:ptLst>
  <dgm:cxnLst>
    <dgm:cxn modelId="{EE18DC8E-49DF-468A-982C-44508EE19D0A}" type="presOf" srcId="{7437BFB1-DA0D-49C6-9EB1-23E343E2C7CE}" destId="{348E2D1E-AFDB-40EA-9845-52118F204552}" srcOrd="1" destOrd="0" presId="urn:microsoft.com/office/officeart/2005/8/layout/cycle8"/>
    <dgm:cxn modelId="{000CC838-A844-44B8-9C9C-3ADECA9BE5DC}" srcId="{5ADA2A74-BD59-46A7-A329-6E1617EAEA76}" destId="{7437BFB1-DA0D-49C6-9EB1-23E343E2C7CE}" srcOrd="0" destOrd="0" parTransId="{4517B5E0-960C-40C4-94E7-A91736F844AC}" sibTransId="{5A029B39-C0C1-47D0-BD68-21ED9BD3B6BD}"/>
    <dgm:cxn modelId="{65419C5C-68A0-424C-9882-DAA1B049F7B8}" type="presOf" srcId="{1C0281D6-0DA4-42D6-83CC-46F0114170F2}" destId="{E2F05BEA-CEBD-4038-BBF8-68551FB07B40}" srcOrd="1" destOrd="0" presId="urn:microsoft.com/office/officeart/2005/8/layout/cycle8"/>
    <dgm:cxn modelId="{13D4277A-73D4-42FF-A54C-F27EC764B19E}" type="presOf" srcId="{1C0281D6-0DA4-42D6-83CC-46F0114170F2}" destId="{0C855CB1-D17E-4F0F-A010-11442FCF7865}" srcOrd="0" destOrd="0" presId="urn:microsoft.com/office/officeart/2005/8/layout/cycle8"/>
    <dgm:cxn modelId="{AD7F70A5-1E96-4B9A-BB07-2F61D5EF192C}" srcId="{5ADA2A74-BD59-46A7-A329-6E1617EAEA76}" destId="{8748AA1C-6E15-4F34-A073-14DC61653F7B}" srcOrd="1" destOrd="0" parTransId="{CCA2B160-23E4-4B06-B4C0-BD082E108D5D}" sibTransId="{94954E57-56F8-4D4C-B31F-67247C8B54C7}"/>
    <dgm:cxn modelId="{EBD0A0ED-8A33-4FD7-AD99-94484BB92584}" type="presOf" srcId="{8748AA1C-6E15-4F34-A073-14DC61653F7B}" destId="{2541056F-6758-4A17-8E31-8F2BE6642DE2}" srcOrd="1" destOrd="0" presId="urn:microsoft.com/office/officeart/2005/8/layout/cycle8"/>
    <dgm:cxn modelId="{71589A77-2C17-4DAC-A690-697FED9C1FE3}" type="presOf" srcId="{8748AA1C-6E15-4F34-A073-14DC61653F7B}" destId="{B45D957F-AD3B-4AFC-82C6-985AFF56BD38}" srcOrd="0" destOrd="0" presId="urn:microsoft.com/office/officeart/2005/8/layout/cycle8"/>
    <dgm:cxn modelId="{8A57D769-AD6C-439A-8314-476D5F9A0D17}" type="presOf" srcId="{5ADA2A74-BD59-46A7-A329-6E1617EAEA76}" destId="{7946B6F9-3359-4F7D-BE4C-AE3707973B78}" srcOrd="0" destOrd="0" presId="urn:microsoft.com/office/officeart/2005/8/layout/cycle8"/>
    <dgm:cxn modelId="{6A292039-124F-4DAF-817B-DA0B330A9204}" srcId="{5ADA2A74-BD59-46A7-A329-6E1617EAEA76}" destId="{1C0281D6-0DA4-42D6-83CC-46F0114170F2}" srcOrd="2" destOrd="0" parTransId="{46D525FB-EBE5-4CB8-83D0-140C96FAC85D}" sibTransId="{276AA7A8-ADFB-46A7-97B0-C5F5FAF64C04}"/>
    <dgm:cxn modelId="{B122B256-0B03-4108-ACBF-C00EEF2ABB9A}" type="presOf" srcId="{7437BFB1-DA0D-49C6-9EB1-23E343E2C7CE}" destId="{A197BC65-012C-4B9E-807A-6E4A7808A313}" srcOrd="0" destOrd="0" presId="urn:microsoft.com/office/officeart/2005/8/layout/cycle8"/>
    <dgm:cxn modelId="{CF7F1E87-F5D0-4D49-BF48-A9E78FB4BED0}" type="presParOf" srcId="{7946B6F9-3359-4F7D-BE4C-AE3707973B78}" destId="{A197BC65-012C-4B9E-807A-6E4A7808A313}" srcOrd="0" destOrd="0" presId="urn:microsoft.com/office/officeart/2005/8/layout/cycle8"/>
    <dgm:cxn modelId="{D335742B-75BC-4E6D-A4BF-23B04CE57707}" type="presParOf" srcId="{7946B6F9-3359-4F7D-BE4C-AE3707973B78}" destId="{FD9AFD33-7265-4282-B51A-A0B866A69732}" srcOrd="1" destOrd="0" presId="urn:microsoft.com/office/officeart/2005/8/layout/cycle8"/>
    <dgm:cxn modelId="{D444278D-2FFA-44C9-A1A4-D24FE2AE276D}" type="presParOf" srcId="{7946B6F9-3359-4F7D-BE4C-AE3707973B78}" destId="{4510E5F3-57A1-4499-95E2-B37A765CC92B}" srcOrd="2" destOrd="0" presId="urn:microsoft.com/office/officeart/2005/8/layout/cycle8"/>
    <dgm:cxn modelId="{ABD931A8-98AC-42CF-BDB9-07FDDC7101D6}" type="presParOf" srcId="{7946B6F9-3359-4F7D-BE4C-AE3707973B78}" destId="{348E2D1E-AFDB-40EA-9845-52118F204552}" srcOrd="3" destOrd="0" presId="urn:microsoft.com/office/officeart/2005/8/layout/cycle8"/>
    <dgm:cxn modelId="{66963980-FF9E-437F-A5B0-2CCDA1A021CB}" type="presParOf" srcId="{7946B6F9-3359-4F7D-BE4C-AE3707973B78}" destId="{B45D957F-AD3B-4AFC-82C6-985AFF56BD38}" srcOrd="4" destOrd="0" presId="urn:microsoft.com/office/officeart/2005/8/layout/cycle8"/>
    <dgm:cxn modelId="{4F4A2DC0-5A4E-40E6-824B-0CE896E5AA4C}" type="presParOf" srcId="{7946B6F9-3359-4F7D-BE4C-AE3707973B78}" destId="{66FCE5CF-AC9C-43F9-8111-1680DF246A6C}" srcOrd="5" destOrd="0" presId="urn:microsoft.com/office/officeart/2005/8/layout/cycle8"/>
    <dgm:cxn modelId="{5CCB8226-8D79-4465-A3C3-0769860E43C8}" type="presParOf" srcId="{7946B6F9-3359-4F7D-BE4C-AE3707973B78}" destId="{38338DA3-6C0A-4B0A-AFB0-5A5AD9864A88}" srcOrd="6" destOrd="0" presId="urn:microsoft.com/office/officeart/2005/8/layout/cycle8"/>
    <dgm:cxn modelId="{714274DF-FF8B-43F4-B9A4-A813B57C5D7D}" type="presParOf" srcId="{7946B6F9-3359-4F7D-BE4C-AE3707973B78}" destId="{2541056F-6758-4A17-8E31-8F2BE6642DE2}" srcOrd="7" destOrd="0" presId="urn:microsoft.com/office/officeart/2005/8/layout/cycle8"/>
    <dgm:cxn modelId="{DB1E038C-E26E-443E-AE23-D2FE3218FFBB}" type="presParOf" srcId="{7946B6F9-3359-4F7D-BE4C-AE3707973B78}" destId="{0C855CB1-D17E-4F0F-A010-11442FCF7865}" srcOrd="8" destOrd="0" presId="urn:microsoft.com/office/officeart/2005/8/layout/cycle8"/>
    <dgm:cxn modelId="{BCB46125-D9AE-442E-B2EA-8AD2DC44B137}" type="presParOf" srcId="{7946B6F9-3359-4F7D-BE4C-AE3707973B78}" destId="{1DC40511-44B8-43BA-A361-D0AD750A2006}" srcOrd="9" destOrd="0" presId="urn:microsoft.com/office/officeart/2005/8/layout/cycle8"/>
    <dgm:cxn modelId="{60FF3C1E-0D93-41C8-B65D-0DD35638C80C}" type="presParOf" srcId="{7946B6F9-3359-4F7D-BE4C-AE3707973B78}" destId="{CF063CEA-C2E2-4FBC-8FA7-25BAE2DE04E5}" srcOrd="10" destOrd="0" presId="urn:microsoft.com/office/officeart/2005/8/layout/cycle8"/>
    <dgm:cxn modelId="{FD32E24E-0C9A-4822-911D-C9AA50DD4389}" type="presParOf" srcId="{7946B6F9-3359-4F7D-BE4C-AE3707973B78}" destId="{E2F05BEA-CEBD-4038-BBF8-68551FB07B40}" srcOrd="11" destOrd="0" presId="urn:microsoft.com/office/officeart/2005/8/layout/cycle8"/>
    <dgm:cxn modelId="{99145C06-545E-4382-B3AC-7345413CDBE0}" type="presParOf" srcId="{7946B6F9-3359-4F7D-BE4C-AE3707973B78}" destId="{44EFFB80-CB3C-401C-A40D-446E1F9E757A}" srcOrd="12" destOrd="0" presId="urn:microsoft.com/office/officeart/2005/8/layout/cycle8"/>
    <dgm:cxn modelId="{9E07AF92-63DD-4A47-A558-570D98FCC2B5}" type="presParOf" srcId="{7946B6F9-3359-4F7D-BE4C-AE3707973B78}" destId="{32BD44D0-296B-4BC9-8A1E-630F7FD95E19}" srcOrd="13" destOrd="0" presId="urn:microsoft.com/office/officeart/2005/8/layout/cycle8"/>
    <dgm:cxn modelId="{081F5BA5-99FD-4382-B913-3639A74B9259}" type="presParOf" srcId="{7946B6F9-3359-4F7D-BE4C-AE3707973B78}" destId="{28CEFEA9-9F7A-4066-B016-42BB443A8D03}" srcOrd="14" destOrd="0" presId="urn:microsoft.com/office/officeart/2005/8/layout/cycle8"/>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97BC65-012C-4B9E-807A-6E4A7808A313}">
      <dsp:nvSpPr>
        <dsp:cNvPr id="0" name=""/>
        <dsp:cNvSpPr/>
      </dsp:nvSpPr>
      <dsp:spPr>
        <a:xfrm>
          <a:off x="1454398" y="208025"/>
          <a:ext cx="2688336" cy="2688336"/>
        </a:xfrm>
        <a:prstGeom prst="pie">
          <a:avLst>
            <a:gd name="adj1" fmla="val 16200000"/>
            <a:gd name="adj2" fmla="val 1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Products</a:t>
          </a:r>
        </a:p>
      </dsp:txBody>
      <dsp:txXfrm>
        <a:off x="2871216" y="777697"/>
        <a:ext cx="960120" cy="800100"/>
      </dsp:txXfrm>
    </dsp:sp>
    <dsp:sp modelId="{B45D957F-AD3B-4AFC-82C6-985AFF56BD38}">
      <dsp:nvSpPr>
        <dsp:cNvPr id="0" name=""/>
        <dsp:cNvSpPr/>
      </dsp:nvSpPr>
      <dsp:spPr>
        <a:xfrm>
          <a:off x="1399032" y="304037"/>
          <a:ext cx="2688336" cy="2688336"/>
        </a:xfrm>
        <a:prstGeom prst="pie">
          <a:avLst>
            <a:gd name="adj1" fmla="val 1800000"/>
            <a:gd name="adj2" fmla="val 90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Channels</a:t>
          </a:r>
        </a:p>
      </dsp:txBody>
      <dsp:txXfrm>
        <a:off x="2039112" y="2048256"/>
        <a:ext cx="1440180" cy="704088"/>
      </dsp:txXfrm>
    </dsp:sp>
    <dsp:sp modelId="{0C855CB1-D17E-4F0F-A010-11442FCF7865}">
      <dsp:nvSpPr>
        <dsp:cNvPr id="0" name=""/>
        <dsp:cNvSpPr/>
      </dsp:nvSpPr>
      <dsp:spPr>
        <a:xfrm>
          <a:off x="1343665" y="208025"/>
          <a:ext cx="2688336" cy="2688336"/>
        </a:xfrm>
        <a:prstGeom prst="pie">
          <a:avLst>
            <a:gd name="adj1" fmla="val 90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Customers</a:t>
          </a:r>
        </a:p>
      </dsp:txBody>
      <dsp:txXfrm>
        <a:off x="1655064" y="777697"/>
        <a:ext cx="960120" cy="800100"/>
      </dsp:txXfrm>
    </dsp:sp>
    <dsp:sp modelId="{44EFFB80-CB3C-401C-A40D-446E1F9E757A}">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2BD44D0-296B-4BC9-8A1E-630F7FD95E19}">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CEFEA9-9F7A-4066-B016-42BB443A8D03}">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F40B2-3530-4D7B-AA3B-224B334B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27</Pages>
  <Words>5367</Words>
  <Characters>30598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Ogundayo</dc:creator>
  <cp:lastModifiedBy>Janet</cp:lastModifiedBy>
  <cp:revision>6</cp:revision>
  <dcterms:created xsi:type="dcterms:W3CDTF">2020-07-05T15:37:00Z</dcterms:created>
  <dcterms:modified xsi:type="dcterms:W3CDTF">2020-08-25T17:04:00Z</dcterms:modified>
</cp:coreProperties>
</file>