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C19CF" w14:textId="77777777" w:rsidR="00883CA0" w:rsidRPr="00AE786F" w:rsidRDefault="00000000" w:rsidP="00883CA0">
      <w:pPr>
        <w:spacing w:line="259" w:lineRule="auto"/>
        <w:jc w:val="center"/>
        <w:rPr>
          <w:rFonts w:cs="Times New Roman"/>
        </w:rPr>
      </w:pPr>
      <w:r w:rsidRPr="00AE786F">
        <w:rPr>
          <w:rFonts w:cs="Times New Roman"/>
          <w:noProof/>
        </w:rPr>
        <w:drawing>
          <wp:inline distT="0" distB="0" distL="0" distR="0" wp14:anchorId="603687B6" wp14:editId="27013719">
            <wp:extent cx="2476500" cy="1375711"/>
            <wp:effectExtent l="0" t="0" r="0" b="0"/>
            <wp:docPr id="1395038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038485"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492624" cy="1384668"/>
                    </a:xfrm>
                    <a:prstGeom prst="rect">
                      <a:avLst/>
                    </a:prstGeom>
                    <a:noFill/>
                    <a:ln>
                      <a:noFill/>
                    </a:ln>
                  </pic:spPr>
                </pic:pic>
              </a:graphicData>
            </a:graphic>
          </wp:inline>
        </w:drawing>
      </w:r>
    </w:p>
    <w:p w14:paraId="6306FED3" w14:textId="77777777" w:rsidR="00AE786F" w:rsidRDefault="00AE786F" w:rsidP="00883CA0">
      <w:pPr>
        <w:spacing w:line="259" w:lineRule="auto"/>
        <w:jc w:val="center"/>
        <w:rPr>
          <w:rFonts w:cs="Times New Roman"/>
          <w:sz w:val="36"/>
          <w:szCs w:val="32"/>
        </w:rPr>
      </w:pPr>
    </w:p>
    <w:p w14:paraId="44381109" w14:textId="77777777" w:rsidR="00C8346E" w:rsidRDefault="00C8346E" w:rsidP="00883CA0">
      <w:pPr>
        <w:spacing w:line="259" w:lineRule="auto"/>
        <w:jc w:val="center"/>
        <w:rPr>
          <w:rFonts w:cs="Times New Roman"/>
          <w:sz w:val="36"/>
          <w:szCs w:val="32"/>
        </w:rPr>
      </w:pPr>
    </w:p>
    <w:p w14:paraId="2EE7DDA3" w14:textId="77777777" w:rsidR="00C8346E" w:rsidRPr="00AE786F" w:rsidRDefault="00C8346E" w:rsidP="00883CA0">
      <w:pPr>
        <w:spacing w:line="259" w:lineRule="auto"/>
        <w:jc w:val="center"/>
        <w:rPr>
          <w:rFonts w:cs="Times New Roman"/>
          <w:sz w:val="36"/>
          <w:szCs w:val="32"/>
        </w:rPr>
      </w:pPr>
    </w:p>
    <w:p w14:paraId="1E6AE2AF" w14:textId="77777777" w:rsidR="00883CA0" w:rsidRPr="00AE786F" w:rsidRDefault="00000000" w:rsidP="00883CA0">
      <w:pPr>
        <w:spacing w:line="259" w:lineRule="auto"/>
        <w:jc w:val="center"/>
        <w:rPr>
          <w:rFonts w:cs="Times New Roman"/>
          <w:sz w:val="36"/>
          <w:szCs w:val="32"/>
        </w:rPr>
      </w:pPr>
      <w:r w:rsidRPr="00AE786F">
        <w:rPr>
          <w:rFonts w:cs="Times New Roman"/>
          <w:sz w:val="36"/>
          <w:szCs w:val="32"/>
        </w:rPr>
        <w:t xml:space="preserve">BA Business Management </w:t>
      </w:r>
    </w:p>
    <w:p w14:paraId="05871AFC" w14:textId="77777777" w:rsidR="00883CA0" w:rsidRPr="00AE786F" w:rsidRDefault="00000000" w:rsidP="00883CA0">
      <w:pPr>
        <w:spacing w:line="259" w:lineRule="auto"/>
        <w:jc w:val="center"/>
        <w:rPr>
          <w:rFonts w:cs="Times New Roman"/>
          <w:sz w:val="36"/>
          <w:szCs w:val="32"/>
        </w:rPr>
      </w:pPr>
      <w:r w:rsidRPr="00AE786F">
        <w:rPr>
          <w:rFonts w:cs="Times New Roman"/>
          <w:sz w:val="36"/>
          <w:szCs w:val="32"/>
        </w:rPr>
        <w:t>Strategic Management &amp; Sustainability</w:t>
      </w:r>
    </w:p>
    <w:p w14:paraId="2B22ECFF" w14:textId="77777777" w:rsidR="00883CA0" w:rsidRPr="00AE786F" w:rsidRDefault="00000000" w:rsidP="00883CA0">
      <w:pPr>
        <w:spacing w:line="259" w:lineRule="auto"/>
        <w:jc w:val="center"/>
        <w:rPr>
          <w:rFonts w:cs="Times New Roman"/>
          <w:sz w:val="32"/>
          <w:szCs w:val="28"/>
        </w:rPr>
      </w:pPr>
      <w:r w:rsidRPr="00AE786F">
        <w:rPr>
          <w:rFonts w:cs="Times New Roman"/>
          <w:sz w:val="32"/>
          <w:szCs w:val="28"/>
        </w:rPr>
        <w:t>LCBB6004</w:t>
      </w:r>
    </w:p>
    <w:p w14:paraId="75EAB5FF" w14:textId="77777777" w:rsidR="00883CA0" w:rsidRPr="00AE786F" w:rsidRDefault="00000000" w:rsidP="00883CA0">
      <w:pPr>
        <w:spacing w:line="259" w:lineRule="auto"/>
        <w:jc w:val="center"/>
        <w:rPr>
          <w:rFonts w:cs="Times New Roman"/>
          <w:sz w:val="36"/>
          <w:szCs w:val="32"/>
        </w:rPr>
      </w:pPr>
      <w:r w:rsidRPr="00AE786F">
        <w:rPr>
          <w:rFonts w:cs="Times New Roman"/>
          <w:sz w:val="36"/>
          <w:szCs w:val="32"/>
        </w:rPr>
        <w:t>Component 1</w:t>
      </w:r>
    </w:p>
    <w:p w14:paraId="4854DCCA" w14:textId="77777777" w:rsidR="00AE786F" w:rsidRPr="00AE786F" w:rsidRDefault="00000000" w:rsidP="00883CA0">
      <w:pPr>
        <w:spacing w:line="259" w:lineRule="auto"/>
        <w:jc w:val="center"/>
        <w:rPr>
          <w:rFonts w:cs="Times New Roman"/>
          <w:sz w:val="36"/>
          <w:szCs w:val="32"/>
        </w:rPr>
      </w:pPr>
      <w:r w:rsidRPr="00AE786F">
        <w:rPr>
          <w:rFonts w:cs="Times New Roman"/>
          <w:sz w:val="36"/>
          <w:szCs w:val="32"/>
        </w:rPr>
        <w:t xml:space="preserve">Coursework: Written Report </w:t>
      </w:r>
    </w:p>
    <w:p w14:paraId="7AA7139C" w14:textId="77777777" w:rsidR="00AE786F" w:rsidRPr="00AE786F" w:rsidRDefault="00AE786F" w:rsidP="00883CA0">
      <w:pPr>
        <w:spacing w:line="259" w:lineRule="auto"/>
        <w:jc w:val="center"/>
        <w:rPr>
          <w:rFonts w:cs="Times New Roman"/>
          <w:sz w:val="36"/>
          <w:szCs w:val="32"/>
        </w:rPr>
      </w:pPr>
    </w:p>
    <w:p w14:paraId="76A84CE4" w14:textId="77777777" w:rsidR="00AE786F" w:rsidRPr="00AE786F" w:rsidRDefault="00AE786F" w:rsidP="00883CA0">
      <w:pPr>
        <w:spacing w:line="259" w:lineRule="auto"/>
        <w:jc w:val="center"/>
        <w:rPr>
          <w:rFonts w:cs="Times New Roman"/>
          <w:sz w:val="36"/>
          <w:szCs w:val="32"/>
        </w:rPr>
      </w:pPr>
    </w:p>
    <w:p w14:paraId="319AC588" w14:textId="77777777" w:rsidR="00AE786F" w:rsidRPr="00AE786F" w:rsidRDefault="00AE786F" w:rsidP="00883CA0">
      <w:pPr>
        <w:spacing w:line="259" w:lineRule="auto"/>
        <w:jc w:val="center"/>
        <w:rPr>
          <w:rFonts w:cs="Times New Roman"/>
          <w:sz w:val="36"/>
          <w:szCs w:val="32"/>
        </w:rPr>
      </w:pPr>
    </w:p>
    <w:p w14:paraId="1998D23E" w14:textId="77777777" w:rsidR="00AE786F" w:rsidRDefault="00AE786F" w:rsidP="00883CA0">
      <w:pPr>
        <w:spacing w:line="259" w:lineRule="auto"/>
        <w:jc w:val="center"/>
        <w:rPr>
          <w:rFonts w:cs="Times New Roman"/>
          <w:sz w:val="36"/>
          <w:szCs w:val="32"/>
        </w:rPr>
      </w:pPr>
    </w:p>
    <w:p w14:paraId="123FDC61" w14:textId="77777777" w:rsidR="00797DAB" w:rsidRPr="00AE786F" w:rsidRDefault="00797DAB" w:rsidP="00883CA0">
      <w:pPr>
        <w:spacing w:line="259" w:lineRule="auto"/>
        <w:jc w:val="center"/>
        <w:rPr>
          <w:rFonts w:cs="Times New Roman"/>
          <w:sz w:val="36"/>
          <w:szCs w:val="32"/>
        </w:rPr>
      </w:pPr>
    </w:p>
    <w:p w14:paraId="15678A22" w14:textId="77777777" w:rsidR="002A6BC2" w:rsidRDefault="002A6BC2" w:rsidP="002A6BC2">
      <w:pPr>
        <w:spacing w:line="259" w:lineRule="auto"/>
        <w:rPr>
          <w:rFonts w:cs="Times New Roman"/>
          <w:sz w:val="32"/>
          <w:szCs w:val="32"/>
        </w:rPr>
      </w:pPr>
    </w:p>
    <w:p w14:paraId="7AEF6974" w14:textId="4DAD88D7" w:rsidR="002A6BC2" w:rsidRPr="002A6BC2" w:rsidRDefault="002A6BC2" w:rsidP="002A6BC2">
      <w:pPr>
        <w:spacing w:line="259" w:lineRule="auto"/>
        <w:rPr>
          <w:rFonts w:cs="Times New Roman"/>
          <w:sz w:val="32"/>
          <w:szCs w:val="32"/>
        </w:rPr>
      </w:pPr>
      <w:r w:rsidRPr="00797DAB">
        <w:rPr>
          <w:rFonts w:cs="Times New Roman"/>
          <w:sz w:val="32"/>
          <w:szCs w:val="32"/>
        </w:rPr>
        <w:t>Student Name</w:t>
      </w:r>
      <w:r w:rsidRPr="002A6BC2">
        <w:rPr>
          <w:rFonts w:cs="Times New Roman"/>
          <w:sz w:val="32"/>
          <w:szCs w:val="32"/>
        </w:rPr>
        <w:t xml:space="preserve">: Olga </w:t>
      </w:r>
      <w:proofErr w:type="spellStart"/>
      <w:r w:rsidRPr="002A6BC2">
        <w:rPr>
          <w:rFonts w:cs="Times New Roman"/>
          <w:sz w:val="32"/>
          <w:szCs w:val="32"/>
        </w:rPr>
        <w:t>Andronic</w:t>
      </w:r>
      <w:proofErr w:type="spellEnd"/>
      <w:r w:rsidRPr="002A6BC2">
        <w:rPr>
          <w:rFonts w:cs="Times New Roman"/>
          <w:sz w:val="32"/>
          <w:szCs w:val="32"/>
        </w:rPr>
        <w:t xml:space="preserve"> </w:t>
      </w:r>
    </w:p>
    <w:p w14:paraId="51998497" w14:textId="251D231B" w:rsidR="00AE786F" w:rsidRPr="002A6BC2" w:rsidRDefault="002A6BC2" w:rsidP="002A6BC2">
      <w:pPr>
        <w:spacing w:line="259" w:lineRule="auto"/>
        <w:jc w:val="left"/>
        <w:rPr>
          <w:rFonts w:cs="Times New Roman"/>
          <w:sz w:val="36"/>
          <w:szCs w:val="36"/>
        </w:rPr>
      </w:pPr>
      <w:r w:rsidRPr="002A6BC2">
        <w:rPr>
          <w:rFonts w:cs="Times New Roman"/>
          <w:sz w:val="36"/>
          <w:szCs w:val="36"/>
        </w:rPr>
        <w:t>Student ID: 2119164</w:t>
      </w:r>
    </w:p>
    <w:p w14:paraId="49CBC10B" w14:textId="7E0F8B23" w:rsidR="00797DAB" w:rsidRPr="00797DAB" w:rsidRDefault="00797DAB" w:rsidP="00797DAB">
      <w:pPr>
        <w:spacing w:line="259" w:lineRule="auto"/>
        <w:rPr>
          <w:rFonts w:cs="Times New Roman"/>
          <w:sz w:val="32"/>
          <w:szCs w:val="32"/>
        </w:rPr>
      </w:pPr>
      <w:r w:rsidRPr="002A6BC2">
        <w:rPr>
          <w:rFonts w:cs="Times New Roman"/>
          <w:sz w:val="32"/>
          <w:szCs w:val="32"/>
        </w:rPr>
        <w:t>Module</w:t>
      </w:r>
      <w:r w:rsidRPr="00797DAB">
        <w:rPr>
          <w:rFonts w:cs="Times New Roman"/>
          <w:sz w:val="32"/>
          <w:szCs w:val="32"/>
        </w:rPr>
        <w:t xml:space="preserve"> </w:t>
      </w:r>
      <w:proofErr w:type="gramStart"/>
      <w:r w:rsidRPr="00797DAB">
        <w:rPr>
          <w:rFonts w:cs="Times New Roman"/>
          <w:sz w:val="32"/>
          <w:szCs w:val="32"/>
        </w:rPr>
        <w:t>code :</w:t>
      </w:r>
      <w:proofErr w:type="gramEnd"/>
      <w:r w:rsidRPr="00797DAB">
        <w:rPr>
          <w:rFonts w:cs="Times New Roman"/>
          <w:sz w:val="32"/>
          <w:szCs w:val="32"/>
        </w:rPr>
        <w:t xml:space="preserve"> LCBB6004</w:t>
      </w:r>
    </w:p>
    <w:p w14:paraId="28B996D8" w14:textId="6D2D7828" w:rsidR="00797DAB" w:rsidRDefault="00797DAB" w:rsidP="00797DAB">
      <w:pPr>
        <w:spacing w:line="259" w:lineRule="auto"/>
        <w:rPr>
          <w:rFonts w:cs="Times New Roman"/>
          <w:sz w:val="32"/>
          <w:szCs w:val="32"/>
        </w:rPr>
      </w:pPr>
      <w:r w:rsidRPr="00797DAB">
        <w:rPr>
          <w:rFonts w:cs="Times New Roman"/>
          <w:sz w:val="32"/>
          <w:szCs w:val="32"/>
        </w:rPr>
        <w:t xml:space="preserve">Lecturer:  </w:t>
      </w:r>
      <w:proofErr w:type="spellStart"/>
      <w:r w:rsidRPr="00797DAB">
        <w:rPr>
          <w:rFonts w:cs="Times New Roman"/>
          <w:sz w:val="32"/>
          <w:szCs w:val="32"/>
        </w:rPr>
        <w:t>Dr.</w:t>
      </w:r>
      <w:proofErr w:type="spellEnd"/>
      <w:r w:rsidRPr="00797DAB">
        <w:rPr>
          <w:rFonts w:cs="Times New Roman"/>
          <w:sz w:val="32"/>
          <w:szCs w:val="32"/>
        </w:rPr>
        <w:t xml:space="preserve"> Jaya Gopalkrishnan</w:t>
      </w:r>
    </w:p>
    <w:p w14:paraId="21E3B4A7" w14:textId="0CFA7024" w:rsidR="00BA37C0" w:rsidRPr="00C8346E" w:rsidRDefault="002A6BC2" w:rsidP="00C8346E">
      <w:pPr>
        <w:spacing w:line="259" w:lineRule="auto"/>
        <w:rPr>
          <w:rFonts w:cs="Times New Roman"/>
          <w:sz w:val="32"/>
          <w:szCs w:val="32"/>
        </w:rPr>
      </w:pPr>
      <w:r>
        <w:rPr>
          <w:rFonts w:cs="Times New Roman"/>
          <w:sz w:val="32"/>
          <w:szCs w:val="32"/>
        </w:rPr>
        <w:t>Submission date: 24</w:t>
      </w:r>
      <w:r w:rsidRPr="002A6BC2">
        <w:rPr>
          <w:rFonts w:cs="Times New Roman"/>
          <w:sz w:val="32"/>
          <w:szCs w:val="32"/>
          <w:vertAlign w:val="superscript"/>
        </w:rPr>
        <w:t>th</w:t>
      </w:r>
      <w:r>
        <w:rPr>
          <w:rFonts w:cs="Times New Roman"/>
          <w:sz w:val="32"/>
          <w:szCs w:val="32"/>
        </w:rPr>
        <w:t xml:space="preserve"> of August 2024</w:t>
      </w:r>
    </w:p>
    <w:sdt>
      <w:sdtPr>
        <w:rPr>
          <w:rFonts w:ascii="Times New Roman" w:eastAsiaTheme="minorHAnsi" w:hAnsi="Times New Roman" w:cs="Times New Roman"/>
          <w:color w:val="auto"/>
          <w:sz w:val="24"/>
          <w:szCs w:val="22"/>
          <w:lang w:val="en-GB"/>
        </w:rPr>
        <w:id w:val="497779445"/>
        <w:docPartObj>
          <w:docPartGallery w:val="Table of Contents"/>
          <w:docPartUnique/>
        </w:docPartObj>
      </w:sdtPr>
      <w:sdtEndPr>
        <w:rPr>
          <w:b/>
          <w:bCs/>
          <w:noProof/>
        </w:rPr>
      </w:sdtEndPr>
      <w:sdtContent>
        <w:p w14:paraId="379637D8" w14:textId="77777777" w:rsidR="00AE786F" w:rsidRPr="00AE786F" w:rsidRDefault="00000000" w:rsidP="00AE786F">
          <w:pPr>
            <w:pStyle w:val="TOCHeading"/>
            <w:jc w:val="center"/>
            <w:rPr>
              <w:rFonts w:ascii="Times New Roman" w:hAnsi="Times New Roman" w:cs="Times New Roman"/>
            </w:rPr>
          </w:pPr>
          <w:r w:rsidRPr="00AE786F">
            <w:rPr>
              <w:rFonts w:ascii="Times New Roman" w:hAnsi="Times New Roman" w:cs="Times New Roman"/>
            </w:rPr>
            <w:t>Table of Contents</w:t>
          </w:r>
        </w:p>
        <w:p w14:paraId="18E936C2" w14:textId="77777777" w:rsidR="00AE786F" w:rsidRPr="00AE786F" w:rsidRDefault="00000000">
          <w:pPr>
            <w:pStyle w:val="TOC1"/>
            <w:tabs>
              <w:tab w:val="right" w:leader="dot" w:pos="9016"/>
            </w:tabs>
            <w:rPr>
              <w:rFonts w:cs="Times New Roman"/>
              <w:noProof/>
            </w:rPr>
          </w:pPr>
          <w:r w:rsidRPr="00AE786F">
            <w:rPr>
              <w:rFonts w:cs="Times New Roman"/>
            </w:rPr>
            <w:fldChar w:fldCharType="begin"/>
          </w:r>
          <w:r w:rsidRPr="00AE786F">
            <w:rPr>
              <w:rFonts w:cs="Times New Roman"/>
            </w:rPr>
            <w:instrText xml:space="preserve"> TOC \o "1-3" \h \z \u </w:instrText>
          </w:r>
          <w:r w:rsidRPr="00AE786F">
            <w:rPr>
              <w:rFonts w:cs="Times New Roman"/>
            </w:rPr>
            <w:fldChar w:fldCharType="separate"/>
          </w:r>
          <w:hyperlink w:anchor="_Toc174808225" w:history="1">
            <w:r w:rsidRPr="00AE786F">
              <w:rPr>
                <w:rStyle w:val="Hyperlink"/>
                <w:rFonts w:cs="Times New Roman"/>
                <w:noProof/>
              </w:rPr>
              <w:t>Introduction:</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_Toc174808225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3</w:t>
            </w:r>
            <w:r w:rsidRPr="00AE786F">
              <w:rPr>
                <w:rFonts w:cs="Times New Roman"/>
                <w:noProof/>
                <w:webHidden/>
              </w:rPr>
              <w:fldChar w:fldCharType="end"/>
            </w:r>
          </w:hyperlink>
        </w:p>
        <w:p w14:paraId="45E6696C" w14:textId="77777777" w:rsidR="00AE786F" w:rsidRPr="00AE786F" w:rsidRDefault="00000000">
          <w:pPr>
            <w:pStyle w:val="TOC1"/>
            <w:tabs>
              <w:tab w:val="right" w:leader="dot" w:pos="9016"/>
            </w:tabs>
            <w:rPr>
              <w:rFonts w:cs="Times New Roman"/>
              <w:noProof/>
            </w:rPr>
          </w:pPr>
          <w:hyperlink w:anchor="_Toc174808226" w:history="1">
            <w:r w:rsidRPr="00AE786F">
              <w:rPr>
                <w:rStyle w:val="Hyperlink"/>
                <w:rFonts w:cs="Times New Roman"/>
                <w:noProof/>
              </w:rPr>
              <w:t>Key Business and Corporate Strategies:</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_Toc174808226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3</w:t>
            </w:r>
            <w:r w:rsidRPr="00AE786F">
              <w:rPr>
                <w:rFonts w:cs="Times New Roman"/>
                <w:noProof/>
                <w:webHidden/>
              </w:rPr>
              <w:fldChar w:fldCharType="end"/>
            </w:r>
          </w:hyperlink>
        </w:p>
        <w:p w14:paraId="33672FDF" w14:textId="77777777" w:rsidR="00AE786F" w:rsidRPr="00AE786F" w:rsidRDefault="00000000">
          <w:pPr>
            <w:pStyle w:val="TOC1"/>
            <w:tabs>
              <w:tab w:val="right" w:leader="dot" w:pos="9016"/>
            </w:tabs>
            <w:rPr>
              <w:rFonts w:cs="Times New Roman"/>
              <w:noProof/>
            </w:rPr>
          </w:pPr>
          <w:hyperlink w:anchor="_Toc174808227" w:history="1">
            <w:r w:rsidRPr="00AE786F">
              <w:rPr>
                <w:rStyle w:val="Hyperlink"/>
                <w:rFonts w:cs="Times New Roman"/>
                <w:noProof/>
              </w:rPr>
              <w:t>Resources and Capabilities:</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_Toc174808227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5</w:t>
            </w:r>
            <w:r w:rsidRPr="00AE786F">
              <w:rPr>
                <w:rFonts w:cs="Times New Roman"/>
                <w:noProof/>
                <w:webHidden/>
              </w:rPr>
              <w:fldChar w:fldCharType="end"/>
            </w:r>
          </w:hyperlink>
        </w:p>
        <w:p w14:paraId="18A45D79" w14:textId="77777777" w:rsidR="00AE786F" w:rsidRPr="00AE786F" w:rsidRDefault="00000000">
          <w:pPr>
            <w:pStyle w:val="TOC1"/>
            <w:tabs>
              <w:tab w:val="right" w:leader="dot" w:pos="9016"/>
            </w:tabs>
            <w:rPr>
              <w:rFonts w:cs="Times New Roman"/>
              <w:noProof/>
            </w:rPr>
          </w:pPr>
          <w:hyperlink w:anchor="_Toc174808228" w:history="1">
            <w:r w:rsidRPr="00AE786F">
              <w:rPr>
                <w:rStyle w:val="Hyperlink"/>
                <w:rFonts w:cs="Times New Roman"/>
                <w:noProof/>
              </w:rPr>
              <w:t>Strategy Implementation and Success:</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_Toc174808228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6</w:t>
            </w:r>
            <w:r w:rsidRPr="00AE786F">
              <w:rPr>
                <w:rFonts w:cs="Times New Roman"/>
                <w:noProof/>
                <w:webHidden/>
              </w:rPr>
              <w:fldChar w:fldCharType="end"/>
            </w:r>
          </w:hyperlink>
        </w:p>
        <w:p w14:paraId="74A2AE2A" w14:textId="77777777" w:rsidR="00AE786F" w:rsidRPr="00AE786F" w:rsidRDefault="00000000">
          <w:pPr>
            <w:pStyle w:val="TOC1"/>
            <w:tabs>
              <w:tab w:val="right" w:leader="dot" w:pos="9016"/>
            </w:tabs>
            <w:rPr>
              <w:rFonts w:cs="Times New Roman"/>
              <w:noProof/>
            </w:rPr>
          </w:pPr>
          <w:hyperlink w:anchor="_Toc174808229" w:history="1">
            <w:r w:rsidRPr="00AE786F">
              <w:rPr>
                <w:rStyle w:val="Hyperlink"/>
                <w:rFonts w:cs="Times New Roman"/>
                <w:noProof/>
              </w:rPr>
              <w:t>Sustainability and Environmental Considerations:</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_Toc174808229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7</w:t>
            </w:r>
            <w:r w:rsidRPr="00AE786F">
              <w:rPr>
                <w:rFonts w:cs="Times New Roman"/>
                <w:noProof/>
                <w:webHidden/>
              </w:rPr>
              <w:fldChar w:fldCharType="end"/>
            </w:r>
          </w:hyperlink>
        </w:p>
        <w:p w14:paraId="20007ED7" w14:textId="77777777" w:rsidR="00AE786F" w:rsidRPr="00AE786F" w:rsidRDefault="00000000">
          <w:pPr>
            <w:pStyle w:val="TOC1"/>
            <w:tabs>
              <w:tab w:val="right" w:leader="dot" w:pos="9016"/>
            </w:tabs>
            <w:rPr>
              <w:rFonts w:cs="Times New Roman"/>
              <w:noProof/>
            </w:rPr>
          </w:pPr>
          <w:hyperlink w:anchor="_Toc174808230" w:history="1">
            <w:r w:rsidRPr="00AE786F">
              <w:rPr>
                <w:rStyle w:val="Hyperlink"/>
                <w:rFonts w:cs="Times New Roman"/>
                <w:noProof/>
              </w:rPr>
              <w:t>Future Strategic Directions:</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_Toc174808230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8</w:t>
            </w:r>
            <w:r w:rsidRPr="00AE786F">
              <w:rPr>
                <w:rFonts w:cs="Times New Roman"/>
                <w:noProof/>
                <w:webHidden/>
              </w:rPr>
              <w:fldChar w:fldCharType="end"/>
            </w:r>
          </w:hyperlink>
        </w:p>
        <w:p w14:paraId="4E0EC211" w14:textId="77777777" w:rsidR="00AE786F" w:rsidRPr="00AE786F" w:rsidRDefault="00000000">
          <w:pPr>
            <w:pStyle w:val="TOC2"/>
            <w:tabs>
              <w:tab w:val="right" w:leader="dot" w:pos="9016"/>
            </w:tabs>
            <w:rPr>
              <w:rFonts w:cs="Times New Roman"/>
              <w:noProof/>
            </w:rPr>
          </w:pPr>
          <w:hyperlink w:anchor="_Toc174808231" w:history="1">
            <w:r w:rsidRPr="00AE786F">
              <w:rPr>
                <w:rStyle w:val="Hyperlink"/>
                <w:rFonts w:cs="Times New Roman"/>
                <w:noProof/>
              </w:rPr>
              <w:t>Recommendations:</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_Toc174808231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8</w:t>
            </w:r>
            <w:r w:rsidRPr="00AE786F">
              <w:rPr>
                <w:rFonts w:cs="Times New Roman"/>
                <w:noProof/>
                <w:webHidden/>
              </w:rPr>
              <w:fldChar w:fldCharType="end"/>
            </w:r>
          </w:hyperlink>
        </w:p>
        <w:p w14:paraId="2737D65A" w14:textId="77777777" w:rsidR="00AE786F" w:rsidRPr="00AE786F" w:rsidRDefault="00000000">
          <w:pPr>
            <w:pStyle w:val="TOC1"/>
            <w:tabs>
              <w:tab w:val="right" w:leader="dot" w:pos="9016"/>
            </w:tabs>
            <w:rPr>
              <w:rFonts w:cs="Times New Roman"/>
              <w:noProof/>
            </w:rPr>
          </w:pPr>
          <w:hyperlink w:anchor="_Toc174808232" w:history="1">
            <w:r w:rsidRPr="00AE786F">
              <w:rPr>
                <w:rStyle w:val="Hyperlink"/>
                <w:rFonts w:cs="Times New Roman"/>
                <w:noProof/>
              </w:rPr>
              <w:t>Conclusion:</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_Toc174808232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9</w:t>
            </w:r>
            <w:r w:rsidRPr="00AE786F">
              <w:rPr>
                <w:rFonts w:cs="Times New Roman"/>
                <w:noProof/>
                <w:webHidden/>
              </w:rPr>
              <w:fldChar w:fldCharType="end"/>
            </w:r>
          </w:hyperlink>
        </w:p>
        <w:p w14:paraId="2426FBCF" w14:textId="77777777" w:rsidR="00AE786F" w:rsidRPr="00AE786F" w:rsidRDefault="00000000">
          <w:pPr>
            <w:pStyle w:val="TOC1"/>
            <w:tabs>
              <w:tab w:val="right" w:leader="dot" w:pos="9016"/>
            </w:tabs>
            <w:rPr>
              <w:rFonts w:cs="Times New Roman"/>
              <w:noProof/>
            </w:rPr>
          </w:pPr>
          <w:hyperlink w:anchor="_Toc174808233" w:history="1">
            <w:r w:rsidRPr="00AE786F">
              <w:rPr>
                <w:rStyle w:val="Hyperlink"/>
                <w:rFonts w:cs="Times New Roman"/>
                <w:noProof/>
              </w:rPr>
              <w:t>Reference List:</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_Toc174808233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11</w:t>
            </w:r>
            <w:r w:rsidRPr="00AE786F">
              <w:rPr>
                <w:rFonts w:cs="Times New Roman"/>
                <w:noProof/>
                <w:webHidden/>
              </w:rPr>
              <w:fldChar w:fldCharType="end"/>
            </w:r>
          </w:hyperlink>
        </w:p>
        <w:p w14:paraId="0697081F" w14:textId="77777777" w:rsidR="00AE786F" w:rsidRPr="00AE786F" w:rsidRDefault="00000000">
          <w:pPr>
            <w:pStyle w:val="TOC1"/>
            <w:tabs>
              <w:tab w:val="right" w:leader="dot" w:pos="9016"/>
            </w:tabs>
            <w:rPr>
              <w:rFonts w:cs="Times New Roman"/>
              <w:noProof/>
            </w:rPr>
          </w:pPr>
          <w:hyperlink w:anchor="_Toc174808234" w:history="1">
            <w:r w:rsidRPr="00AE786F">
              <w:rPr>
                <w:rStyle w:val="Hyperlink"/>
                <w:rFonts w:cs="Times New Roman"/>
                <w:noProof/>
              </w:rPr>
              <w:t>Appendices</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_Toc174808234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12</w:t>
            </w:r>
            <w:r w:rsidRPr="00AE786F">
              <w:rPr>
                <w:rFonts w:cs="Times New Roman"/>
                <w:noProof/>
                <w:webHidden/>
              </w:rPr>
              <w:fldChar w:fldCharType="end"/>
            </w:r>
          </w:hyperlink>
        </w:p>
        <w:p w14:paraId="6B1F5185" w14:textId="77777777" w:rsidR="00AE786F" w:rsidRPr="00AE786F" w:rsidRDefault="00000000">
          <w:pPr>
            <w:pStyle w:val="TOC2"/>
            <w:tabs>
              <w:tab w:val="right" w:leader="dot" w:pos="9016"/>
            </w:tabs>
            <w:rPr>
              <w:rFonts w:cs="Times New Roman"/>
              <w:noProof/>
            </w:rPr>
          </w:pPr>
          <w:hyperlink w:anchor="_Toc174808235" w:history="1">
            <w:r w:rsidRPr="00AE786F">
              <w:rPr>
                <w:rStyle w:val="Hyperlink"/>
                <w:rFonts w:cs="Times New Roman"/>
                <w:noProof/>
              </w:rPr>
              <w:t>SWOT Analysis:</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_Toc174808235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12</w:t>
            </w:r>
            <w:r w:rsidRPr="00AE786F">
              <w:rPr>
                <w:rFonts w:cs="Times New Roman"/>
                <w:noProof/>
                <w:webHidden/>
              </w:rPr>
              <w:fldChar w:fldCharType="end"/>
            </w:r>
          </w:hyperlink>
        </w:p>
        <w:p w14:paraId="2B87475D" w14:textId="77777777" w:rsidR="00AE786F" w:rsidRPr="00AE786F" w:rsidRDefault="00000000">
          <w:pPr>
            <w:pStyle w:val="TOC2"/>
            <w:tabs>
              <w:tab w:val="right" w:leader="dot" w:pos="9016"/>
            </w:tabs>
            <w:rPr>
              <w:rFonts w:cs="Times New Roman"/>
              <w:noProof/>
            </w:rPr>
          </w:pPr>
          <w:hyperlink w:anchor="_Toc174808236" w:history="1">
            <w:r w:rsidRPr="00AE786F">
              <w:rPr>
                <w:rStyle w:val="Hyperlink"/>
                <w:rFonts w:cs="Times New Roman"/>
                <w:noProof/>
              </w:rPr>
              <w:t>PESTEL Analysis:</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_Toc174808236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13</w:t>
            </w:r>
            <w:r w:rsidRPr="00AE786F">
              <w:rPr>
                <w:rFonts w:cs="Times New Roman"/>
                <w:noProof/>
                <w:webHidden/>
              </w:rPr>
              <w:fldChar w:fldCharType="end"/>
            </w:r>
          </w:hyperlink>
        </w:p>
        <w:p w14:paraId="7FC991EC" w14:textId="77777777" w:rsidR="00AE786F" w:rsidRPr="00AE786F" w:rsidRDefault="00000000">
          <w:pPr>
            <w:pStyle w:val="TOC2"/>
            <w:tabs>
              <w:tab w:val="right" w:leader="dot" w:pos="9016"/>
            </w:tabs>
            <w:rPr>
              <w:rFonts w:cs="Times New Roman"/>
              <w:noProof/>
            </w:rPr>
          </w:pPr>
          <w:hyperlink w:anchor="_Toc174808237" w:history="1">
            <w:r w:rsidRPr="00AE786F">
              <w:rPr>
                <w:rStyle w:val="Hyperlink"/>
                <w:rFonts w:cs="Times New Roman"/>
                <w:noProof/>
              </w:rPr>
              <w:t>Porter’s Five Forces:</w:t>
            </w:r>
            <w:r w:rsidRPr="00AE786F">
              <w:rPr>
                <w:rFonts w:cs="Times New Roman"/>
                <w:noProof/>
                <w:webHidden/>
              </w:rPr>
              <w:tab/>
            </w:r>
            <w:r w:rsidRPr="00AE786F">
              <w:rPr>
                <w:rFonts w:cs="Times New Roman"/>
                <w:noProof/>
                <w:webHidden/>
              </w:rPr>
              <w:fldChar w:fldCharType="begin"/>
            </w:r>
            <w:r w:rsidRPr="00AE786F">
              <w:rPr>
                <w:rFonts w:cs="Times New Roman"/>
                <w:noProof/>
                <w:webHidden/>
              </w:rPr>
              <w:instrText xml:space="preserve"> PAGEREF _Toc174808237 \h </w:instrText>
            </w:r>
            <w:r w:rsidRPr="00AE786F">
              <w:rPr>
                <w:rFonts w:cs="Times New Roman"/>
                <w:noProof/>
                <w:webHidden/>
              </w:rPr>
            </w:r>
            <w:r w:rsidRPr="00AE786F">
              <w:rPr>
                <w:rFonts w:cs="Times New Roman"/>
                <w:noProof/>
                <w:webHidden/>
              </w:rPr>
              <w:fldChar w:fldCharType="separate"/>
            </w:r>
            <w:r w:rsidRPr="00AE786F">
              <w:rPr>
                <w:rFonts w:cs="Times New Roman"/>
                <w:noProof/>
                <w:webHidden/>
              </w:rPr>
              <w:t>14</w:t>
            </w:r>
            <w:r w:rsidRPr="00AE786F">
              <w:rPr>
                <w:rFonts w:cs="Times New Roman"/>
                <w:noProof/>
                <w:webHidden/>
              </w:rPr>
              <w:fldChar w:fldCharType="end"/>
            </w:r>
          </w:hyperlink>
        </w:p>
        <w:p w14:paraId="72F01473" w14:textId="77777777" w:rsidR="00AE786F" w:rsidRPr="00AE786F" w:rsidRDefault="00000000">
          <w:pPr>
            <w:rPr>
              <w:rFonts w:cs="Times New Roman"/>
            </w:rPr>
          </w:pPr>
          <w:r w:rsidRPr="00AE786F">
            <w:rPr>
              <w:rFonts w:cs="Times New Roman"/>
              <w:b/>
              <w:bCs/>
              <w:noProof/>
            </w:rPr>
            <w:fldChar w:fldCharType="end"/>
          </w:r>
        </w:p>
      </w:sdtContent>
    </w:sdt>
    <w:p w14:paraId="7F4D7A95" w14:textId="77777777" w:rsidR="00BA37C0" w:rsidRPr="00AE786F" w:rsidRDefault="00000000">
      <w:pPr>
        <w:spacing w:line="259" w:lineRule="auto"/>
        <w:jc w:val="left"/>
        <w:rPr>
          <w:rFonts w:eastAsiaTheme="majorEastAsia" w:cs="Times New Roman"/>
          <w:b/>
          <w:color w:val="2F5496" w:themeColor="accent1" w:themeShade="BF"/>
          <w:sz w:val="32"/>
          <w:szCs w:val="32"/>
        </w:rPr>
      </w:pPr>
      <w:r w:rsidRPr="00AE786F">
        <w:rPr>
          <w:rFonts w:cs="Times New Roman"/>
        </w:rPr>
        <w:br w:type="page"/>
      </w:r>
    </w:p>
    <w:p w14:paraId="5A649B3E" w14:textId="77777777" w:rsidR="00D5602F" w:rsidRPr="00AE786F" w:rsidRDefault="00000000" w:rsidP="00D5602F">
      <w:pPr>
        <w:pStyle w:val="Heading1"/>
        <w:rPr>
          <w:rFonts w:cs="Times New Roman"/>
        </w:rPr>
      </w:pPr>
      <w:bookmarkStart w:id="0" w:name="_Toc174808225"/>
      <w:r w:rsidRPr="00AE786F">
        <w:rPr>
          <w:rFonts w:cs="Times New Roman"/>
        </w:rPr>
        <w:lastRenderedPageBreak/>
        <w:t>Introduction:</w:t>
      </w:r>
      <w:bookmarkEnd w:id="0"/>
    </w:p>
    <w:p w14:paraId="60A46FC4" w14:textId="77777777" w:rsidR="00D5602F" w:rsidRPr="00AE786F" w:rsidRDefault="00000000" w:rsidP="00D5602F">
      <w:pPr>
        <w:rPr>
          <w:rFonts w:cs="Times New Roman"/>
        </w:rPr>
      </w:pPr>
      <w:r w:rsidRPr="00AE786F">
        <w:rPr>
          <w:rFonts w:cs="Times New Roman"/>
        </w:rPr>
        <w:t xml:space="preserve">This report aims to undertake a strategic analysis of Shell PLC, its corporate and business level strategies, the effectiveness of the implementation of these strategies, and the likely future strategic developments. In this analysis, I will explore the works of Shell which is a British Plc company and the company is listed on the London Stock Exchange to evaluate the extent of the firm's strategy implementation to realize competitive benefits and to manage sustainability concerns. </w:t>
      </w:r>
    </w:p>
    <w:p w14:paraId="1F608EAB" w14:textId="77777777" w:rsidR="00BA37C0" w:rsidRPr="00AE786F" w:rsidRDefault="00000000" w:rsidP="00BA37C0">
      <w:pPr>
        <w:jc w:val="center"/>
        <w:rPr>
          <w:rFonts w:cs="Times New Roman"/>
        </w:rPr>
      </w:pPr>
      <w:r w:rsidRPr="00AE786F">
        <w:rPr>
          <w:rFonts w:cs="Times New Roman"/>
          <w:noProof/>
        </w:rPr>
        <w:drawing>
          <wp:inline distT="0" distB="0" distL="0" distR="0" wp14:anchorId="74AB75B9" wp14:editId="70D02A86">
            <wp:extent cx="3568700" cy="1784350"/>
            <wp:effectExtent l="0" t="0" r="0" b="0"/>
            <wp:docPr id="1844542855" name="Picture 1" descr="Shell logo - Social media &amp; Logos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42855" name="Picture 10" descr="Shell logo - Social media &amp; Logos Icons"/>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568700" cy="1784350"/>
                    </a:xfrm>
                    <a:prstGeom prst="rect">
                      <a:avLst/>
                    </a:prstGeom>
                    <a:noFill/>
                    <a:ln>
                      <a:noFill/>
                    </a:ln>
                  </pic:spPr>
                </pic:pic>
              </a:graphicData>
            </a:graphic>
          </wp:inline>
        </w:drawing>
      </w:r>
    </w:p>
    <w:p w14:paraId="564DEF24" w14:textId="77777777" w:rsidR="00BA37C0" w:rsidRPr="00AE786F" w:rsidRDefault="00000000" w:rsidP="00BA37C0">
      <w:pPr>
        <w:jc w:val="center"/>
        <w:rPr>
          <w:rFonts w:cs="Times New Roman"/>
        </w:rPr>
      </w:pPr>
      <w:r w:rsidRPr="00AE786F">
        <w:rPr>
          <w:rFonts w:cs="Times New Roman"/>
        </w:rPr>
        <w:t>Figure: Logo of Shell plc (Shell, 2023).</w:t>
      </w:r>
    </w:p>
    <w:p w14:paraId="06DC1AB0" w14:textId="77777777" w:rsidR="00D5602F" w:rsidRPr="00AE786F" w:rsidRDefault="00000000" w:rsidP="00D5602F">
      <w:pPr>
        <w:rPr>
          <w:rFonts w:cs="Times New Roman"/>
        </w:rPr>
      </w:pPr>
      <w:r w:rsidRPr="00AE786F">
        <w:rPr>
          <w:rFonts w:cs="Times New Roman"/>
        </w:rPr>
        <w:t xml:space="preserve">Shell is an Anglo-Dutch company that is in the business of exploring for and trading in oil, natural gas and other energy products; it was founded nearly 115 years ago and is based in The Hague. With its business footprint in over 70 countries, Shell is involved in the upstream, downstream and integrated oil and gas segment of the industry. The business also has main stakes in renewable power and IT to capture its latest goal of changing into extra sustainable. Given the fact that the stakes of the global energy sector seem to shift more and more towards the decarbonisation landscape, Shell's strategies are critical in addressing the challenges of the market and the directives that inhibit or shape the company's position. </w:t>
      </w:r>
    </w:p>
    <w:p w14:paraId="44F886E9" w14:textId="77777777" w:rsidR="00D5602F" w:rsidRPr="00AE786F" w:rsidRDefault="00000000" w:rsidP="00D5602F">
      <w:pPr>
        <w:pStyle w:val="Heading1"/>
        <w:rPr>
          <w:rFonts w:cs="Times New Roman"/>
        </w:rPr>
      </w:pPr>
      <w:bookmarkStart w:id="1" w:name="_Toc174808226"/>
      <w:r w:rsidRPr="00AE786F">
        <w:rPr>
          <w:rFonts w:cs="Times New Roman"/>
        </w:rPr>
        <w:t>Key Business and Corporate Strategies:</w:t>
      </w:r>
      <w:bookmarkEnd w:id="1"/>
      <w:r w:rsidRPr="00AE786F">
        <w:rPr>
          <w:rFonts w:cs="Times New Roman"/>
        </w:rPr>
        <w:t xml:space="preserve"> </w:t>
      </w:r>
    </w:p>
    <w:p w14:paraId="0D5C8299" w14:textId="77777777" w:rsidR="00D5602F" w:rsidRPr="00AE786F" w:rsidRDefault="00000000" w:rsidP="00D5602F">
      <w:pPr>
        <w:rPr>
          <w:rFonts w:cs="Times New Roman"/>
        </w:rPr>
      </w:pPr>
      <w:r w:rsidRPr="00AE786F">
        <w:rPr>
          <w:rFonts w:cs="Times New Roman"/>
        </w:rPr>
        <w:t xml:space="preserve">Shell is one of the biggest oil and gas establishments in the world, and to retain its role of being a market leader in the global energy market, the company has put together a complex plan. Shell's organizational strategic direction encompasses three elements of the strategic direction of the company which include operational excellence, technological advancement, and the portfolio approach. </w:t>
      </w:r>
    </w:p>
    <w:p w14:paraId="310AD4EA" w14:textId="77777777" w:rsidR="00D5602F" w:rsidRPr="00AE786F" w:rsidRDefault="00000000" w:rsidP="00D5602F">
      <w:pPr>
        <w:rPr>
          <w:rFonts w:cs="Times New Roman"/>
        </w:rPr>
      </w:pPr>
      <w:r w:rsidRPr="00AE786F">
        <w:rPr>
          <w:rFonts w:cs="Times New Roman"/>
        </w:rPr>
        <w:t xml:space="preserve">Shell does mainly business based on the fact that Shell has infrastructure facilities in almost all the countries around the globe and this provides Shell with massive economies of scale. The </w:t>
      </w:r>
      <w:r w:rsidRPr="00AE786F">
        <w:rPr>
          <w:rFonts w:cs="Times New Roman"/>
        </w:rPr>
        <w:lastRenderedPageBreak/>
        <w:t xml:space="preserve">company places a lot of focus on operational efficiency, which is the core business area of supply chain management, and was integrationist and reductionist by nature, aimed at making upstream and downstream operations cost-effective and efficient. This is well captured in Shell's heavy capital expenditure on emerging trends like digitization and automation to enhance productivity and avert hazards (Shell, 2023). For example, Shell has integrated the use of big data and analytics and the integration of machine learning in its exploration and production activities to enhance its resource estimation and also to increase minimal operational disruption (Smith, 2023). </w:t>
      </w:r>
    </w:p>
    <w:p w14:paraId="0796EABB" w14:textId="77777777" w:rsidR="00D5602F" w:rsidRPr="00AE786F" w:rsidRDefault="00000000" w:rsidP="00D5602F">
      <w:pPr>
        <w:rPr>
          <w:rFonts w:cs="Times New Roman"/>
        </w:rPr>
      </w:pPr>
      <w:r w:rsidRPr="00AE786F">
        <w:rPr>
          <w:rFonts w:cs="Times New Roman"/>
        </w:rPr>
        <w:t xml:space="preserve">Moreover, Shell has a clear focus on business advancement in the innovation section, including renewable energy sources and technologies. There is also a capital investment in the process of transformation from traditional sources of energy such as fossil fuels. This is in line with Shell's current aim of keeping up with prime energy rivals and profiting from the changes in the energy market by investing in renewable energies and low-carbon technologies. Shell's wind, solar and hydrogen WA and EU projects show company transformation towards sustainable power investments and risk diversification in facing the reduction of global fossil fuel consumption (Jones </w:t>
      </w:r>
      <w:r w:rsidR="00BA37C0" w:rsidRPr="00AE786F">
        <w:rPr>
          <w:rFonts w:cs="Times New Roman"/>
        </w:rPr>
        <w:t>and</w:t>
      </w:r>
      <w:r w:rsidRPr="00AE786F">
        <w:rPr>
          <w:rFonts w:cs="Times New Roman"/>
        </w:rPr>
        <w:t xml:space="preserve"> Roberts, 2023). </w:t>
      </w:r>
    </w:p>
    <w:p w14:paraId="43B7B39E" w14:textId="77777777" w:rsidR="00D5602F" w:rsidRPr="00AE786F" w:rsidRDefault="00000000" w:rsidP="00D5602F">
      <w:pPr>
        <w:rPr>
          <w:rFonts w:cs="Times New Roman"/>
        </w:rPr>
      </w:pPr>
      <w:r w:rsidRPr="00AE786F">
        <w:rPr>
          <w:rFonts w:cs="Times New Roman"/>
        </w:rPr>
        <w:t>By referring to Porter's Generic Strategies framework, Shell's strategy can be described mainly as a differentiation strategy. Shell has a goal of differentiation by focusing more on operation excellence, tech-savviness and a wide range of energy solutions. This strategy works for Shell because it allows the company to diversify its market and link space the company from the effects of the volatile market and regulatory changes as the company deals in the provision of differentiated products and services</w:t>
      </w:r>
      <w:r w:rsidR="00740FD8" w:rsidRPr="00AE786F">
        <w:rPr>
          <w:rFonts w:cs="Times New Roman"/>
        </w:rPr>
        <w:t xml:space="preserve"> (</w:t>
      </w:r>
      <w:r w:rsidR="00740FD8" w:rsidRPr="00C210BB">
        <w:rPr>
          <w:rFonts w:cs="Times New Roman"/>
        </w:rPr>
        <w:t>IEA</w:t>
      </w:r>
      <w:r w:rsidR="00740FD8" w:rsidRPr="00AE786F">
        <w:rPr>
          <w:rFonts w:cs="Times New Roman"/>
        </w:rPr>
        <w:t>, 2022)</w:t>
      </w:r>
      <w:r w:rsidRPr="00AE786F">
        <w:rPr>
          <w:rFonts w:cs="Times New Roman"/>
        </w:rPr>
        <w:t xml:space="preserve">. </w:t>
      </w:r>
    </w:p>
    <w:p w14:paraId="79728A43" w14:textId="77777777" w:rsidR="00D5602F" w:rsidRPr="00AE786F" w:rsidRDefault="00000000" w:rsidP="00D5602F">
      <w:pPr>
        <w:rPr>
          <w:rFonts w:cs="Times New Roman"/>
        </w:rPr>
      </w:pPr>
      <w:r w:rsidRPr="00AE786F">
        <w:rPr>
          <w:rFonts w:cs="Times New Roman"/>
        </w:rPr>
        <w:t>At the corporate level, the strategy with which Shell operates is well captured by portfolio management and strategic investments. In investing in its operations, Shell uses the balanced portfolio strategy to address the wide and varied risks involved in operating in the different energy sectors</w:t>
      </w:r>
      <w:r w:rsidR="00B61502" w:rsidRPr="00AE786F">
        <w:rPr>
          <w:rFonts w:cs="Times New Roman"/>
        </w:rPr>
        <w:t xml:space="preserve"> (KMPG, 2023)</w:t>
      </w:r>
      <w:r w:rsidRPr="00AE786F">
        <w:rPr>
          <w:rFonts w:cs="Times New Roman"/>
        </w:rPr>
        <w:t xml:space="preserve">. The firm's corporate-level strategy is focused on the acquisition and management of the assets of a business and the proper alignment of its segments to create the most value. Thus, Royal Dutch Shell's recent takeover of BG Group can be considered a strategic one as it evidenced the company's focus on key priorities such as the natural gas and </w:t>
      </w:r>
      <w:proofErr w:type="gramStart"/>
      <w:r w:rsidRPr="00AE786F">
        <w:rPr>
          <w:rFonts w:cs="Times New Roman"/>
        </w:rPr>
        <w:t>deep water</w:t>
      </w:r>
      <w:proofErr w:type="gramEnd"/>
      <w:r w:rsidRPr="00AE786F">
        <w:rPr>
          <w:rFonts w:cs="Times New Roman"/>
        </w:rPr>
        <w:t xml:space="preserve"> division, and the generally increasing interest in the high-growth businesses (Thompson, 2023). </w:t>
      </w:r>
    </w:p>
    <w:p w14:paraId="3A2F32B0" w14:textId="77777777" w:rsidR="00D5602F" w:rsidRPr="00AE786F" w:rsidRDefault="00000000" w:rsidP="00D5602F">
      <w:pPr>
        <w:rPr>
          <w:rFonts w:cs="Times New Roman"/>
        </w:rPr>
      </w:pPr>
      <w:r w:rsidRPr="00AE786F">
        <w:rPr>
          <w:rFonts w:cs="Times New Roman"/>
        </w:rPr>
        <w:lastRenderedPageBreak/>
        <w:t xml:space="preserve">In the light of the Ansoff Matrix, Shell has apparent plans of market development and, diversification as the long-term corporate strategy. More so, in the current world, Shell is venturing into a new region where energy demands are growing and is also diversifying into new energy segments including renewables and EV charging. This approach assisted Shell in building on its strengths and diversifying and looking for other opportunities for growth regarding new market requirements and changing regulations (Ansoff, 1957). </w:t>
      </w:r>
    </w:p>
    <w:p w14:paraId="3FB857A3" w14:textId="77777777" w:rsidR="00D5602F" w:rsidRPr="00AE786F" w:rsidRDefault="00000000" w:rsidP="00D5602F">
      <w:pPr>
        <w:pStyle w:val="Heading1"/>
        <w:rPr>
          <w:rFonts w:cs="Times New Roman"/>
        </w:rPr>
      </w:pPr>
      <w:bookmarkStart w:id="2" w:name="_Toc174808227"/>
      <w:r w:rsidRPr="00AE786F">
        <w:rPr>
          <w:rFonts w:cs="Times New Roman"/>
        </w:rPr>
        <w:t>Resources and Capabilities:</w:t>
      </w:r>
      <w:bookmarkEnd w:id="2"/>
      <w:r w:rsidRPr="00AE786F">
        <w:rPr>
          <w:rFonts w:cs="Times New Roman"/>
        </w:rPr>
        <w:t xml:space="preserve"> </w:t>
      </w:r>
    </w:p>
    <w:p w14:paraId="1E06EFEB" w14:textId="77777777" w:rsidR="00D5602F" w:rsidRPr="00AE786F" w:rsidRDefault="00000000" w:rsidP="00D5602F">
      <w:pPr>
        <w:rPr>
          <w:rFonts w:cs="Times New Roman"/>
        </w:rPr>
      </w:pPr>
      <w:r w:rsidRPr="00AE786F">
        <w:rPr>
          <w:rFonts w:cs="Times New Roman"/>
        </w:rPr>
        <w:t xml:space="preserve">Shell's strategic space in the global energy industry can be supported by numerous resources and essential competencies. These elements are important in getting an understanding of how Shell can relate its business operations and undertake operations that enable it to achieve its business and market goals. </w:t>
      </w:r>
    </w:p>
    <w:p w14:paraId="0B2ECCD6" w14:textId="77777777" w:rsidR="00D5602F" w:rsidRPr="00AE786F" w:rsidRDefault="00000000" w:rsidP="00D5602F">
      <w:pPr>
        <w:rPr>
          <w:rFonts w:cs="Times New Roman"/>
        </w:rPr>
      </w:pPr>
      <w:r w:rsidRPr="00AE786F">
        <w:rPr>
          <w:rFonts w:cs="Times New Roman"/>
        </w:rPr>
        <w:t xml:space="preserve">Financial assets are the most crucial resources as they form the basis of investing in key resources of Shell which are humans and technologies. In terms of financials, Shell is presented as a company of solid and healthy financial standing; the company recorded revenues of $372 billion for the FY 2023 and a net income of $20 billion (Shell, 2023). This strong financial base allows Shell to fund huge capex projects and fuel exploration of new solutions, as part of the organization's new focus on renewable energy. It also provides the means for banking the vagaries of oil markets, and to finance large-scale research activity as Shell does. </w:t>
      </w:r>
    </w:p>
    <w:p w14:paraId="1D74E5A4" w14:textId="77777777" w:rsidR="00D5602F" w:rsidRPr="00AE786F" w:rsidRDefault="00000000" w:rsidP="00D5602F">
      <w:pPr>
        <w:rPr>
          <w:rFonts w:cs="Times New Roman"/>
        </w:rPr>
      </w:pPr>
      <w:r w:rsidRPr="00AE786F">
        <w:rPr>
          <w:rFonts w:cs="Times New Roman"/>
        </w:rPr>
        <w:t xml:space="preserve">Employees or human resources are another source of strength for Shell. Currently, it has over 80,000 workers globally; it comprises professionals in engineering, geoscience, and business management (Shell, 2023). Human Capital Management is an area in which Shell has invested significantly; Shell has training programs and leadership development, which aim at developing its human capital. It remains critical for managing specific large-scale projects and delivering outstanding company performance. </w:t>
      </w:r>
    </w:p>
    <w:p w14:paraId="289A8B63" w14:textId="77777777" w:rsidR="00D5602F" w:rsidRPr="00AE786F" w:rsidRDefault="00000000" w:rsidP="00D5602F">
      <w:pPr>
        <w:rPr>
          <w:rFonts w:cs="Times New Roman"/>
        </w:rPr>
      </w:pPr>
      <w:r w:rsidRPr="00AE786F">
        <w:rPr>
          <w:rFonts w:cs="Times New Roman"/>
        </w:rPr>
        <w:t>In terms of technology, Shell has been considered advanced mainly because of its investments in the technological front. The firm's strength in deepwater drilling, hydraulic fracturing, and digital tools, including data and AI, improve its operation and resource utilization (</w:t>
      </w:r>
      <w:r w:rsidR="00740FD8" w:rsidRPr="00C210BB">
        <w:rPr>
          <w:rFonts w:cs="Times New Roman"/>
        </w:rPr>
        <w:t>Mazzucato,</w:t>
      </w:r>
      <w:r w:rsidR="00740FD8" w:rsidRPr="00AE786F">
        <w:rPr>
          <w:rFonts w:cs="Times New Roman"/>
        </w:rPr>
        <w:t xml:space="preserve"> </w:t>
      </w:r>
      <w:r w:rsidR="00740FD8" w:rsidRPr="00C210BB">
        <w:rPr>
          <w:rFonts w:cs="Times New Roman"/>
        </w:rPr>
        <w:t>2018</w:t>
      </w:r>
      <w:r w:rsidRPr="00AE786F">
        <w:rPr>
          <w:rFonts w:cs="Times New Roman"/>
        </w:rPr>
        <w:t xml:space="preserve">). These technological resources are central to Shell's plans to boost operational performance and the company's renewable energy drive. </w:t>
      </w:r>
    </w:p>
    <w:p w14:paraId="4BE22164" w14:textId="77777777" w:rsidR="00D5602F" w:rsidRPr="00AE786F" w:rsidRDefault="00000000" w:rsidP="00D5602F">
      <w:pPr>
        <w:rPr>
          <w:rFonts w:cs="Times New Roman"/>
        </w:rPr>
      </w:pPr>
      <w:r w:rsidRPr="00AE786F">
        <w:rPr>
          <w:rFonts w:cs="Times New Roman"/>
        </w:rPr>
        <w:t xml:space="preserve">Looking closer at Shell's fundamental competencies and analysing them shows an advantage in Innovativeness and Operations. Shell has positioned itself as a technological genius in </w:t>
      </w:r>
      <w:r w:rsidRPr="00AE786F">
        <w:rPr>
          <w:rFonts w:cs="Times New Roman"/>
        </w:rPr>
        <w:lastRenderedPageBreak/>
        <w:t>matters concerning energy. Investments in Carbon capture and storage (CCS), and advanced biofuels are examples of long-term strategies in sustainable energy initiatives and industry trends (</w:t>
      </w:r>
      <w:r w:rsidR="00740FD8" w:rsidRPr="00C210BB">
        <w:rPr>
          <w:rFonts w:cs="Times New Roman"/>
        </w:rPr>
        <w:t>Ghemawat, 2001</w:t>
      </w:r>
      <w:r w:rsidRPr="00AE786F">
        <w:rPr>
          <w:rFonts w:cs="Times New Roman"/>
        </w:rPr>
        <w:t xml:space="preserve">). This focus on innovation also is in line with Shell’s strategic plan of moving towards being involved in the provision of more sustainable sources of energy. </w:t>
      </w:r>
    </w:p>
    <w:p w14:paraId="3D27DDA8" w14:textId="77777777" w:rsidR="00D5602F" w:rsidRPr="00AE786F" w:rsidRDefault="00000000" w:rsidP="00D5602F">
      <w:pPr>
        <w:rPr>
          <w:rFonts w:cs="Times New Roman"/>
        </w:rPr>
      </w:pPr>
      <w:r w:rsidRPr="00AE786F">
        <w:rPr>
          <w:rFonts w:cs="Times New Roman"/>
        </w:rPr>
        <w:t xml:space="preserve">Shell also boasts of high levels of operating efficiency. This means that the company engages in a various facet of the business from the upstream production process to the midstream and downstream thus allowing it to organize its procedures and hence cut costs. The use of digital technologies and analysis with the help of advanced quantitative methods helps to gain real-time data, thus improving the decisions that are made and the overall performance of operations (Smith, 2023). These capabilities are in support of Shell's strategic management in that the company seeks to sustain a competitive edge through effective and innovative operations. </w:t>
      </w:r>
    </w:p>
    <w:p w14:paraId="3D6F5830" w14:textId="77777777" w:rsidR="0035004A" w:rsidRPr="00AE786F" w:rsidRDefault="00000000" w:rsidP="00D5602F">
      <w:pPr>
        <w:pStyle w:val="Heading1"/>
        <w:rPr>
          <w:rFonts w:cs="Times New Roman"/>
        </w:rPr>
      </w:pPr>
      <w:bookmarkStart w:id="3" w:name="_Toc174808228"/>
      <w:r w:rsidRPr="00AE786F">
        <w:rPr>
          <w:rFonts w:cs="Times New Roman"/>
        </w:rPr>
        <w:t>Strategy Implementation and Success:</w:t>
      </w:r>
      <w:bookmarkEnd w:id="3"/>
    </w:p>
    <w:p w14:paraId="73970153" w14:textId="77777777" w:rsidR="007E3814" w:rsidRPr="00AE786F" w:rsidRDefault="00000000" w:rsidP="007E3814">
      <w:pPr>
        <w:rPr>
          <w:rFonts w:cs="Times New Roman"/>
        </w:rPr>
      </w:pPr>
      <w:r w:rsidRPr="00AE786F">
        <w:rPr>
          <w:rFonts w:cs="Times New Roman"/>
        </w:rPr>
        <w:t xml:space="preserve">In this context, the strategic initiatives have shown good results in Shell plc mainly due to operational excellence as well as the ability to build suitable market positions. One of the key strategies that are being implemented by the company is the embracing of digital technologies as well as the improvement of the operational functionality has been proven to generate significant outcomes. For instance, Shell identified and invested in the exploration and production of advanced data analytics and automation as part of the make-over that has triggered cost-cutting and efficiency gains. For 2023 the company generated an operational cash flow of $45 billion and the strategic investments as well as the improvements in operating strategies depicted the benefit (Shell, 2023). </w:t>
      </w:r>
    </w:p>
    <w:p w14:paraId="031ACFD5" w14:textId="77777777" w:rsidR="007E3814" w:rsidRPr="00AE786F" w:rsidRDefault="00000000" w:rsidP="007E3814">
      <w:pPr>
        <w:rPr>
          <w:rFonts w:cs="Times New Roman"/>
        </w:rPr>
      </w:pPr>
      <w:r w:rsidRPr="00AE786F">
        <w:rPr>
          <w:rFonts w:cs="Times New Roman"/>
        </w:rPr>
        <w:t xml:space="preserve">Shell Corporation's shift towards renewable energy has also been strategic. There has been a lot of progress in the area of geographic diversification of the company's clean energy projects. The capacity of Shell's renewable energy was raised by 20% in 2023, especially in the areas of offshore wind and hydrogen generation plants (Jones </w:t>
      </w:r>
      <w:r w:rsidR="00BA37C0" w:rsidRPr="00AE786F">
        <w:rPr>
          <w:rFonts w:cs="Times New Roman"/>
        </w:rPr>
        <w:t>and</w:t>
      </w:r>
      <w:r w:rsidRPr="00AE786F">
        <w:rPr>
          <w:rFonts w:cs="Times New Roman"/>
        </w:rPr>
        <w:t xml:space="preserve"> Roberts, 2023). On the one hand, this extension corresponds to the strategic development plan of Shell, on the other hand, it can serve as a confirmation of the company’s readiness to play a key role in the transition to sustainable energy sources. </w:t>
      </w:r>
    </w:p>
    <w:p w14:paraId="36A3C977" w14:textId="77777777" w:rsidR="007E3814" w:rsidRPr="00AE786F" w:rsidRDefault="00000000" w:rsidP="007E3814">
      <w:pPr>
        <w:rPr>
          <w:rFonts w:cs="Times New Roman"/>
        </w:rPr>
      </w:pPr>
      <w:r w:rsidRPr="00AE786F">
        <w:rPr>
          <w:rFonts w:cs="Times New Roman"/>
        </w:rPr>
        <w:t xml:space="preserve">By considering the competitive advantage Shell’s key competitive capabilities reflect a high-level integrated business model technological specialization. Together with the company’s vast experience in the sphere and a large number of field infrastructures, it has even strengthened </w:t>
      </w:r>
      <w:r w:rsidRPr="00AE786F">
        <w:rPr>
          <w:rFonts w:cs="Times New Roman"/>
        </w:rPr>
        <w:lastRenderedPageBreak/>
        <w:t>its competitive advantage in both the classical and renewable energy segments. Shell has a net income of $20 billion in 2023 which is suggestive of competent execution of strategies for explorations and production of conventional and renewable energy resources (</w:t>
      </w:r>
      <w:r w:rsidR="00B61502" w:rsidRPr="00C210BB">
        <w:rPr>
          <w:rFonts w:cs="Times New Roman"/>
        </w:rPr>
        <w:t>S&amp;P Global</w:t>
      </w:r>
      <w:r w:rsidR="00B61502" w:rsidRPr="00AE786F">
        <w:rPr>
          <w:rFonts w:cs="Times New Roman"/>
        </w:rPr>
        <w:t xml:space="preserve">, </w:t>
      </w:r>
      <w:r w:rsidR="00B61502" w:rsidRPr="00C210BB">
        <w:rPr>
          <w:rFonts w:cs="Times New Roman"/>
        </w:rPr>
        <w:t>2023</w:t>
      </w:r>
      <w:r w:rsidRPr="00AE786F">
        <w:rPr>
          <w:rFonts w:cs="Times New Roman"/>
        </w:rPr>
        <w:t xml:space="preserve">). In addition, Shell's strategic initiatives of innovation including new developments in technology like carbon capture underlines the ability of the company to retain the position of competitive advantage through constant innovativeness and by the trends. </w:t>
      </w:r>
    </w:p>
    <w:p w14:paraId="44749EB8" w14:textId="77777777" w:rsidR="007E3814" w:rsidRPr="00AE786F" w:rsidRDefault="00000000" w:rsidP="007E3814">
      <w:pPr>
        <w:pStyle w:val="Heading1"/>
        <w:rPr>
          <w:rFonts w:cs="Times New Roman"/>
        </w:rPr>
      </w:pPr>
      <w:bookmarkStart w:id="4" w:name="_Toc174808229"/>
      <w:r w:rsidRPr="00AE786F">
        <w:rPr>
          <w:rFonts w:cs="Times New Roman"/>
        </w:rPr>
        <w:t>Sustainability and Environmental Considerations:</w:t>
      </w:r>
      <w:bookmarkEnd w:id="4"/>
      <w:r w:rsidRPr="00AE786F">
        <w:rPr>
          <w:rFonts w:cs="Times New Roman"/>
        </w:rPr>
        <w:t xml:space="preserve"> </w:t>
      </w:r>
    </w:p>
    <w:p w14:paraId="48F9C412" w14:textId="77777777" w:rsidR="007E3814" w:rsidRPr="00AE786F" w:rsidRDefault="00000000" w:rsidP="007E3814">
      <w:pPr>
        <w:rPr>
          <w:rFonts w:cs="Times New Roman"/>
        </w:rPr>
      </w:pPr>
      <w:r w:rsidRPr="00AE786F">
        <w:rPr>
          <w:rFonts w:cs="Times New Roman"/>
        </w:rPr>
        <w:t xml:space="preserve">Over the past few years, Shell has gone through aggressive changes to its sustainability and environmental risk management which are a core part of the company's priorities. Some of the most important measures are the company making a huge bet on decreasing CO2 emissions and changing to cleaner sources of energy. Shell, for instance, has pledged to reduce its emissions by sixty per cent by the year 2050 and has been exploring the renewable power sectors within the energy industry with the likes of wind, solar, and biopower. Investing in these programmes, Shell 2023 committed over $10, billion to these programmes (Shell, 2023). </w:t>
      </w:r>
    </w:p>
    <w:p w14:paraId="30E3CE77" w14:textId="77777777" w:rsidR="007E3814" w:rsidRPr="00AE786F" w:rsidRDefault="00000000" w:rsidP="007E3814">
      <w:pPr>
        <w:rPr>
          <w:rFonts w:cs="Times New Roman"/>
        </w:rPr>
      </w:pPr>
      <w:r w:rsidRPr="00AE786F">
        <w:rPr>
          <w:rFonts w:cs="Times New Roman"/>
        </w:rPr>
        <w:t xml:space="preserve">Sustainability is another area that gives the firm a competitive edge since it responds to the increasing concern about the planet's future. Even though Shell's effort regarding sustainability is strategic, it also presents two significant benefits: building up Shell's brand image and responding to the growing pressure from regulation and market forces towards providing cleaner energy. CCS and investment in green technology makes Shell stand out from competition and pull environmental-sensitive investors and consumers (Jones </w:t>
      </w:r>
      <w:r w:rsidR="00BA37C0" w:rsidRPr="00AE786F">
        <w:rPr>
          <w:rFonts w:cs="Times New Roman"/>
        </w:rPr>
        <w:t>and</w:t>
      </w:r>
      <w:r w:rsidRPr="00AE786F">
        <w:rPr>
          <w:rFonts w:cs="Times New Roman"/>
        </w:rPr>
        <w:t xml:space="preserve"> Roberts, 2023). </w:t>
      </w:r>
    </w:p>
    <w:p w14:paraId="2E748299" w14:textId="77777777" w:rsidR="007E3814" w:rsidRPr="00AE786F" w:rsidRDefault="00000000" w:rsidP="007E3814">
      <w:pPr>
        <w:rPr>
          <w:rFonts w:cs="Times New Roman"/>
        </w:rPr>
      </w:pPr>
      <w:r w:rsidRPr="00AE786F">
        <w:rPr>
          <w:rFonts w:cs="Times New Roman"/>
        </w:rPr>
        <w:t xml:space="preserve">In addition, sustainability is instrumental to Shell because it can improve organisational robustness and optimise operational performance in the long run. The use of renewable power sources in the portfolio means that the company keeps minimal risk by fluctuating fossil fuel prices or regulatory changes. This strategic alignment places Shell in a favourable market environment in a world that is shifting towards sustainability, and this gives Shell an edge that will help it in the new energy market (Thompson, 2023). </w:t>
      </w:r>
    </w:p>
    <w:p w14:paraId="46C2F97B" w14:textId="77777777" w:rsidR="007E3814" w:rsidRPr="00AE786F" w:rsidRDefault="00000000" w:rsidP="007E3814">
      <w:pPr>
        <w:pStyle w:val="Heading1"/>
        <w:rPr>
          <w:rFonts w:cs="Times New Roman"/>
        </w:rPr>
      </w:pPr>
      <w:bookmarkStart w:id="5" w:name="_Toc174808230"/>
      <w:r w:rsidRPr="00AE786F">
        <w:rPr>
          <w:rFonts w:cs="Times New Roman"/>
        </w:rPr>
        <w:t>Future Strategic Directions:</w:t>
      </w:r>
      <w:bookmarkEnd w:id="5"/>
      <w:r w:rsidRPr="00AE786F">
        <w:rPr>
          <w:rFonts w:cs="Times New Roman"/>
        </w:rPr>
        <w:t xml:space="preserve"> </w:t>
      </w:r>
    </w:p>
    <w:p w14:paraId="40E9AB9D" w14:textId="77777777" w:rsidR="007E3814" w:rsidRPr="00AE786F" w:rsidRDefault="00000000" w:rsidP="007E3814">
      <w:pPr>
        <w:rPr>
          <w:rFonts w:cs="Times New Roman"/>
        </w:rPr>
      </w:pPr>
      <w:r w:rsidRPr="00AE786F">
        <w:rPr>
          <w:rFonts w:cs="Times New Roman"/>
        </w:rPr>
        <w:t xml:space="preserve">Based on the growing concerns towards the changing energy market environment, below are some possible strategic directions for Shell plc in the future. Some of the possible strategies </w:t>
      </w:r>
      <w:r w:rsidRPr="00AE786F">
        <w:rPr>
          <w:rFonts w:cs="Times New Roman"/>
        </w:rPr>
        <w:lastRenderedPageBreak/>
        <w:t xml:space="preserve">which can be implemented are diversification into renewable energy forms, secondly, enhance the digital platforms and third, and expansion into new geographies. </w:t>
      </w:r>
    </w:p>
    <w:p w14:paraId="5F698E42" w14:textId="77777777" w:rsidR="007E3814" w:rsidRPr="00AE786F" w:rsidRDefault="00000000" w:rsidP="007E3814">
      <w:pPr>
        <w:rPr>
          <w:rFonts w:cs="Times New Roman"/>
        </w:rPr>
      </w:pPr>
      <w:r w:rsidRPr="00AE786F">
        <w:rPr>
          <w:rFonts w:cs="Times New Roman"/>
          <w:b/>
          <w:bCs/>
          <w:i/>
          <w:iCs/>
        </w:rPr>
        <w:t>Diversification:</w:t>
      </w:r>
      <w:r w:rsidRPr="00AE786F">
        <w:rPr>
          <w:rFonts w:cs="Times New Roman"/>
        </w:rPr>
        <w:t xml:space="preserve"> On a positive note, Shell is in the process of transitioning to renewable energy sources and can continue the diversification further seamlessly. The firm could increase its position in new segments like EV charging stations as well as storage batteries. These areas provide a good avenue for growth given the following reasons; the world is turning to clean energy and electrification of transport. The opportunities are in line with Shell's current business portfolio in renewable technologies and its net-zero emissions target (</w:t>
      </w:r>
      <w:r w:rsidR="00740FD8" w:rsidRPr="00AE786F">
        <w:rPr>
          <w:rFonts w:cs="Times New Roman"/>
        </w:rPr>
        <w:t>PWC</w:t>
      </w:r>
      <w:r w:rsidRPr="00AE786F">
        <w:rPr>
          <w:rFonts w:cs="Times New Roman"/>
        </w:rPr>
        <w:t xml:space="preserve">, 2023). </w:t>
      </w:r>
    </w:p>
    <w:p w14:paraId="6F836D37" w14:textId="77777777" w:rsidR="007E3814" w:rsidRPr="00AE786F" w:rsidRDefault="00000000" w:rsidP="007E3814">
      <w:pPr>
        <w:rPr>
          <w:rFonts w:cs="Times New Roman"/>
        </w:rPr>
      </w:pPr>
      <w:r w:rsidRPr="00AE786F">
        <w:rPr>
          <w:rFonts w:cs="Times New Roman"/>
          <w:b/>
          <w:bCs/>
          <w:i/>
          <w:iCs/>
        </w:rPr>
        <w:t>Digital Transformation:</w:t>
      </w:r>
      <w:r w:rsidRPr="00AE786F">
        <w:rPr>
          <w:rFonts w:cs="Times New Roman"/>
        </w:rPr>
        <w:t xml:space="preserve"> Further focus on digital transformation remains the last strategic choice. Shell can leverage its current improvement in data analytics, and artificial intelligence and automation for other improvements in Shell business</w:t>
      </w:r>
      <w:r w:rsidR="00740FD8" w:rsidRPr="00AE786F">
        <w:rPr>
          <w:rFonts w:cs="Times New Roman"/>
        </w:rPr>
        <w:t xml:space="preserve"> (EIA, 2023)</w:t>
      </w:r>
      <w:r w:rsidRPr="00AE786F">
        <w:rPr>
          <w:rFonts w:cs="Times New Roman"/>
        </w:rPr>
        <w:t xml:space="preserve">. For example, the utilisation of digital technologies in managing and improving supply chains and operational intelligence within such areas as Predictive Maintenance at Ford can create value within focal areas such as cost reduction. While following the advancement in digital tools, Shell has the chance to incorporate sophisticated tools that can improve its market position (Smith, 2023). </w:t>
      </w:r>
    </w:p>
    <w:p w14:paraId="2001BEC2" w14:textId="77777777" w:rsidR="0007735C" w:rsidRPr="0007735C" w:rsidRDefault="00000000" w:rsidP="007E3814">
      <w:pPr>
        <w:rPr>
          <w:rFonts w:cs="Times New Roman"/>
        </w:rPr>
      </w:pPr>
      <w:r w:rsidRPr="00AE786F">
        <w:rPr>
          <w:rFonts w:cs="Times New Roman"/>
          <w:b/>
          <w:bCs/>
          <w:i/>
          <w:iCs/>
        </w:rPr>
        <w:t>New Markets:</w:t>
      </w:r>
      <w:r w:rsidRPr="00AE786F">
        <w:rPr>
          <w:rFonts w:cs="Times New Roman"/>
        </w:rPr>
        <w:t xml:space="preserve"> To sum up, the idea of entering new geographical locations, especially in countries with high energy demand growth rates, can be regarded as a strategic development path. Shell could concentrate on increasing its operations in developing countries in Asia and Africa since the establishment of structures to support energy usage and industrialization is well underway. These new markets present opportunities in both the conventional and the renewal sources of energy in which Shell can invest to increase its streams of overall market revenue and also help it manage its exposure to certain markets.</w:t>
      </w:r>
    </w:p>
    <w:p w14:paraId="7DFFE1FA" w14:textId="77777777" w:rsidR="0007735C" w:rsidRPr="00AE786F" w:rsidRDefault="00000000" w:rsidP="007E3814">
      <w:pPr>
        <w:pStyle w:val="Heading2"/>
        <w:rPr>
          <w:rFonts w:cs="Times New Roman"/>
        </w:rPr>
      </w:pPr>
      <w:bookmarkStart w:id="6" w:name="_Toc174808231"/>
      <w:r w:rsidRPr="00AE786F">
        <w:rPr>
          <w:rFonts w:cs="Times New Roman"/>
        </w:rPr>
        <w:t>Recommendations:</w:t>
      </w:r>
      <w:bookmarkEnd w:id="6"/>
    </w:p>
    <w:p w14:paraId="5C8D3B4A" w14:textId="77777777" w:rsidR="007E3814" w:rsidRPr="00AE786F" w:rsidRDefault="00000000" w:rsidP="007E3814">
      <w:pPr>
        <w:rPr>
          <w:rFonts w:cs="Times New Roman"/>
        </w:rPr>
      </w:pPr>
      <w:r w:rsidRPr="00AE786F">
        <w:rPr>
          <w:rFonts w:cs="Times New Roman"/>
        </w:rPr>
        <w:t xml:space="preserve">To enhance its competitiveness and sustainability, Shell should consider the following strategies: </w:t>
      </w:r>
    </w:p>
    <w:p w14:paraId="31286F4F" w14:textId="77777777" w:rsidR="007E3814" w:rsidRPr="00AE786F" w:rsidRDefault="00000000" w:rsidP="007E3814">
      <w:pPr>
        <w:rPr>
          <w:rFonts w:cs="Times New Roman"/>
        </w:rPr>
      </w:pPr>
      <w:r w:rsidRPr="00AE786F">
        <w:rPr>
          <w:rFonts w:cs="Times New Roman"/>
          <w:b/>
          <w:bCs/>
          <w:i/>
          <w:iCs/>
        </w:rPr>
        <w:t>Accelerate Investments in Renewable Energy:</w:t>
      </w:r>
      <w:r w:rsidRPr="00AE786F">
        <w:rPr>
          <w:rFonts w:cs="Times New Roman"/>
        </w:rPr>
        <w:t xml:space="preserve"> Shell ought to focus on expanding investment in renewable energy production, especially in offshore wind and solar production. This is due to the demands of clean energy and policies across the world that press Companies, especially in extraditing their leadership in the shift of Shell as it transits to a low carbon economy. Shell in its 2023 sustainability report postures that additional investment will boost its position in the market for green energy (Shell, 2023). </w:t>
      </w:r>
    </w:p>
    <w:p w14:paraId="7742F2FA" w14:textId="77777777" w:rsidR="007E3814" w:rsidRPr="00AE786F" w:rsidRDefault="00000000" w:rsidP="007E3814">
      <w:pPr>
        <w:rPr>
          <w:rFonts w:cs="Times New Roman"/>
        </w:rPr>
      </w:pPr>
      <w:r w:rsidRPr="00AE786F">
        <w:rPr>
          <w:rFonts w:cs="Times New Roman"/>
          <w:b/>
          <w:bCs/>
          <w:i/>
          <w:iCs/>
        </w:rPr>
        <w:lastRenderedPageBreak/>
        <w:t>Enhance Digital Capabilities:</w:t>
      </w:r>
      <w:r w:rsidRPr="00AE786F">
        <w:rPr>
          <w:rFonts w:cs="Times New Roman"/>
        </w:rPr>
        <w:t xml:space="preserve"> Shell needs to sustain and extend its programme of digitalisation, for example, blockchain to supply chain and for predictive analytical purposes based on improved machine learning. These innovations can therefore lead to increased efficiency, decreased costs as well and better decision makings which enhances Shell's competitiveness (Smith, 2023). </w:t>
      </w:r>
    </w:p>
    <w:p w14:paraId="5E705362" w14:textId="77777777" w:rsidR="007E3814" w:rsidRPr="00AE786F" w:rsidRDefault="00000000" w:rsidP="007E3814">
      <w:pPr>
        <w:rPr>
          <w:rFonts w:cs="Times New Roman"/>
        </w:rPr>
      </w:pPr>
      <w:r w:rsidRPr="00AE786F">
        <w:rPr>
          <w:rFonts w:cs="Times New Roman"/>
          <w:b/>
          <w:bCs/>
          <w:i/>
          <w:iCs/>
        </w:rPr>
        <w:t>Expand into High-Growth Markets:</w:t>
      </w:r>
      <w:r w:rsidRPr="00AE786F">
        <w:rPr>
          <w:rFonts w:cs="Times New Roman"/>
        </w:rPr>
        <w:t xml:space="preserve"> In general, the Asian and African high-growth markets may be of great benefit to Shell. Thus, by investing in these regions Shell can use its experience that is backed up by rigid structure and successfully address the steadily growing demands for energy sources Free Power, together with expanding the List of Shell's Sources of Income and avoiding over-dependence on established and often – saturated markets (Jones </w:t>
      </w:r>
      <w:r w:rsidR="00BA37C0" w:rsidRPr="00AE786F">
        <w:rPr>
          <w:rFonts w:cs="Times New Roman"/>
        </w:rPr>
        <w:t>and</w:t>
      </w:r>
      <w:r w:rsidRPr="00AE786F">
        <w:rPr>
          <w:rFonts w:cs="Times New Roman"/>
        </w:rPr>
        <w:t xml:space="preserve"> Roberts, 2023). </w:t>
      </w:r>
    </w:p>
    <w:p w14:paraId="163BCC77" w14:textId="77777777" w:rsidR="007E3814" w:rsidRPr="00AE786F" w:rsidRDefault="00000000" w:rsidP="007E3814">
      <w:pPr>
        <w:rPr>
          <w:rFonts w:cs="Times New Roman"/>
        </w:rPr>
      </w:pPr>
      <w:r w:rsidRPr="00AE786F">
        <w:rPr>
          <w:rFonts w:cs="Times New Roman"/>
        </w:rPr>
        <w:t xml:space="preserve">Therefore, the future strategic directions that should be taken by Shell include diversification into renewable energy, increased investment in digitisation and entering new markets. The corporate strategies outlined above mean that Shell can increase its competitive advantage and stability in the context of dynamic changes in the global energy sector. </w:t>
      </w:r>
    </w:p>
    <w:p w14:paraId="0F1FC05C" w14:textId="77777777" w:rsidR="007E3814" w:rsidRPr="00AE786F" w:rsidRDefault="00000000" w:rsidP="007E3814">
      <w:pPr>
        <w:pStyle w:val="Heading1"/>
        <w:rPr>
          <w:rFonts w:cs="Times New Roman"/>
        </w:rPr>
      </w:pPr>
      <w:bookmarkStart w:id="7" w:name="_Toc174808232"/>
      <w:r w:rsidRPr="00AE786F">
        <w:rPr>
          <w:rFonts w:cs="Times New Roman"/>
        </w:rPr>
        <w:t>Conclusion:</w:t>
      </w:r>
      <w:bookmarkEnd w:id="7"/>
      <w:r w:rsidRPr="00AE786F">
        <w:rPr>
          <w:rFonts w:cs="Times New Roman"/>
        </w:rPr>
        <w:t xml:space="preserve"> </w:t>
      </w:r>
    </w:p>
    <w:p w14:paraId="502335B4" w14:textId="77777777" w:rsidR="007E3814" w:rsidRPr="00AE786F" w:rsidRDefault="00000000" w:rsidP="007E3814">
      <w:pPr>
        <w:rPr>
          <w:rFonts w:cs="Times New Roman"/>
        </w:rPr>
      </w:pPr>
      <w:r w:rsidRPr="00AE786F">
        <w:rPr>
          <w:rFonts w:cs="Times New Roman"/>
        </w:rPr>
        <w:t xml:space="preserve">Altogether that is a clear understanding that Shell has well-developed its core business and corporate strategies and good examples of this can be seen by looking at its performance indicators, operational excellence, emphasis on technologies and strategies for further diversification. It has also been a point of strength having a strong financial base, a skilled workforce, and technology that has played a key role in moving to renewable energy and improving operations. Shell has also embraced sustainability and environmental causes, which cements the company's strong point given the growing evolution of the energy market. </w:t>
      </w:r>
    </w:p>
    <w:p w14:paraId="71D021A4" w14:textId="77777777" w:rsidR="0007735C" w:rsidRPr="0035004A" w:rsidRDefault="00000000" w:rsidP="007E3814">
      <w:pPr>
        <w:rPr>
          <w:rFonts w:cs="Times New Roman"/>
        </w:rPr>
      </w:pPr>
      <w:r w:rsidRPr="00AE786F">
        <w:rPr>
          <w:rFonts w:cs="Times New Roman"/>
        </w:rPr>
        <w:t>A glance into the future and some major shifts such as Shell's emphasis on increasing investment in renewable resources, embracing the era of digitalisation and exploring new horizons are some of the most important factors that will help Shell to maintain its competitive advantage. Through these approaches, Shell is likely to be in good stead in the occurrence of future risks while benefitting from future opportunities. In conclusion, Shell has been strategic in their planning and approach towards the global market and as a result, this company will continue to thrive and remain at the top of the global energy market.</w:t>
      </w:r>
    </w:p>
    <w:p w14:paraId="58A775F4" w14:textId="77777777" w:rsidR="0007735C" w:rsidRPr="00AE786F" w:rsidRDefault="00000000">
      <w:pPr>
        <w:spacing w:line="259" w:lineRule="auto"/>
        <w:jc w:val="left"/>
        <w:rPr>
          <w:rFonts w:eastAsiaTheme="majorEastAsia" w:cs="Times New Roman"/>
          <w:b/>
          <w:color w:val="2F5496" w:themeColor="accent1" w:themeShade="BF"/>
          <w:sz w:val="32"/>
          <w:szCs w:val="32"/>
        </w:rPr>
      </w:pPr>
      <w:r w:rsidRPr="00AE786F">
        <w:rPr>
          <w:rFonts w:cs="Times New Roman"/>
        </w:rPr>
        <w:br w:type="page"/>
      </w:r>
    </w:p>
    <w:p w14:paraId="2B6508B4" w14:textId="77777777" w:rsidR="007E3814" w:rsidRPr="00AE786F" w:rsidRDefault="00000000" w:rsidP="007E3814">
      <w:pPr>
        <w:pStyle w:val="Heading1"/>
        <w:rPr>
          <w:rFonts w:cs="Times New Roman"/>
        </w:rPr>
      </w:pPr>
      <w:bookmarkStart w:id="8" w:name="_Toc174808233"/>
      <w:r w:rsidRPr="00AE786F">
        <w:rPr>
          <w:rFonts w:cs="Times New Roman"/>
        </w:rPr>
        <w:lastRenderedPageBreak/>
        <w:t>Reference List:</w:t>
      </w:r>
      <w:bookmarkEnd w:id="8"/>
    </w:p>
    <w:p w14:paraId="5E0BACEB" w14:textId="77777777" w:rsidR="00667E36" w:rsidRPr="00667E36" w:rsidRDefault="00000000" w:rsidP="00667E36">
      <w:pPr>
        <w:rPr>
          <w:rFonts w:cs="Times New Roman"/>
        </w:rPr>
      </w:pPr>
      <w:r w:rsidRPr="00667E36">
        <w:rPr>
          <w:rFonts w:cs="Times New Roman"/>
        </w:rPr>
        <w:t xml:space="preserve">Ansoff, H. I. (1957). </w:t>
      </w:r>
      <w:r w:rsidRPr="00667E36">
        <w:rPr>
          <w:rFonts w:cs="Times New Roman"/>
          <w:i/>
          <w:iCs/>
        </w:rPr>
        <w:t>Strategies for Diversification</w:t>
      </w:r>
      <w:r w:rsidRPr="00667E36">
        <w:rPr>
          <w:rFonts w:cs="Times New Roman"/>
        </w:rPr>
        <w:t>. Harvard Business Review, 35(5), 113-124.</w:t>
      </w:r>
    </w:p>
    <w:p w14:paraId="00F590D0" w14:textId="77777777" w:rsidR="00B61502" w:rsidRPr="00C210BB" w:rsidRDefault="00000000" w:rsidP="00B61502">
      <w:pPr>
        <w:rPr>
          <w:rFonts w:cs="Times New Roman"/>
        </w:rPr>
      </w:pPr>
      <w:r w:rsidRPr="00C210BB">
        <w:rPr>
          <w:rFonts w:cs="Times New Roman"/>
        </w:rPr>
        <w:t xml:space="preserve">EIA (U.S. Energy Information Administration). (2023). </w:t>
      </w:r>
      <w:r w:rsidRPr="00C210BB">
        <w:rPr>
          <w:rFonts w:cs="Times New Roman"/>
          <w:i/>
          <w:iCs/>
        </w:rPr>
        <w:t>International Energy Outlook 2023</w:t>
      </w:r>
      <w:r w:rsidRPr="00C210BB">
        <w:rPr>
          <w:rFonts w:cs="Times New Roman"/>
        </w:rPr>
        <w:t xml:space="preserve">. </w:t>
      </w:r>
      <w:r w:rsidRPr="00AE786F">
        <w:rPr>
          <w:rFonts w:cs="Times New Roman"/>
        </w:rPr>
        <w:t xml:space="preserve">Available at: </w:t>
      </w:r>
      <w:r w:rsidRPr="00C210BB">
        <w:rPr>
          <w:rFonts w:cs="Times New Roman"/>
        </w:rPr>
        <w:t xml:space="preserve"> https://www.eia.gov/outlooks/international/</w:t>
      </w:r>
    </w:p>
    <w:p w14:paraId="67C11C14" w14:textId="77777777" w:rsidR="00B61502" w:rsidRPr="00C210BB" w:rsidRDefault="00000000" w:rsidP="00B61502">
      <w:pPr>
        <w:rPr>
          <w:rFonts w:cs="Times New Roman"/>
        </w:rPr>
      </w:pPr>
      <w:r w:rsidRPr="00C210BB">
        <w:rPr>
          <w:rFonts w:cs="Times New Roman"/>
        </w:rPr>
        <w:t xml:space="preserve">Ghemawat, P. (2001). </w:t>
      </w:r>
      <w:r w:rsidRPr="00C210BB">
        <w:rPr>
          <w:rFonts w:cs="Times New Roman"/>
          <w:i/>
          <w:iCs/>
        </w:rPr>
        <w:t>Distance Still Matters: The Hard Reality of Global Expansion</w:t>
      </w:r>
      <w:r w:rsidRPr="00C210BB">
        <w:rPr>
          <w:rFonts w:cs="Times New Roman"/>
        </w:rPr>
        <w:t>. Harvard Business Review, 79(8), 137-147.</w:t>
      </w:r>
    </w:p>
    <w:p w14:paraId="765F2506" w14:textId="77777777" w:rsidR="00B61502" w:rsidRPr="00C210BB" w:rsidRDefault="00000000" w:rsidP="00B61502">
      <w:pPr>
        <w:rPr>
          <w:rFonts w:cs="Times New Roman"/>
        </w:rPr>
      </w:pPr>
      <w:r w:rsidRPr="00C210BB">
        <w:rPr>
          <w:rFonts w:cs="Times New Roman"/>
        </w:rPr>
        <w:t xml:space="preserve">IEA (International Energy Agency). (2022). </w:t>
      </w:r>
      <w:r w:rsidRPr="00C210BB">
        <w:rPr>
          <w:rFonts w:cs="Times New Roman"/>
          <w:i/>
          <w:iCs/>
        </w:rPr>
        <w:t>World Energy Investment 2022</w:t>
      </w:r>
      <w:r w:rsidRPr="00C210BB">
        <w:rPr>
          <w:rFonts w:cs="Times New Roman"/>
        </w:rPr>
        <w:t xml:space="preserve">. </w:t>
      </w:r>
      <w:r w:rsidRPr="00AE786F">
        <w:rPr>
          <w:rFonts w:cs="Times New Roman"/>
        </w:rPr>
        <w:t xml:space="preserve">Available at: </w:t>
      </w:r>
      <w:r w:rsidRPr="00C210BB">
        <w:rPr>
          <w:rFonts w:cs="Times New Roman"/>
        </w:rPr>
        <w:t xml:space="preserve"> https://www.iea.org/reports/world-energy-investment-2022</w:t>
      </w:r>
    </w:p>
    <w:p w14:paraId="3B1C42DA" w14:textId="77777777" w:rsidR="00667E36" w:rsidRPr="00667E36" w:rsidRDefault="00000000" w:rsidP="00667E36">
      <w:pPr>
        <w:rPr>
          <w:rFonts w:cs="Times New Roman"/>
        </w:rPr>
      </w:pPr>
      <w:r w:rsidRPr="00667E36">
        <w:rPr>
          <w:rFonts w:cs="Times New Roman"/>
        </w:rPr>
        <w:t xml:space="preserve">Jones, M., </w:t>
      </w:r>
      <w:r w:rsidR="00BA37C0" w:rsidRPr="00AE786F">
        <w:rPr>
          <w:rFonts w:cs="Times New Roman"/>
        </w:rPr>
        <w:t>and</w:t>
      </w:r>
      <w:r w:rsidRPr="00667E36">
        <w:rPr>
          <w:rFonts w:cs="Times New Roman"/>
        </w:rPr>
        <w:t xml:space="preserve"> Roberts, P. (2023). </w:t>
      </w:r>
      <w:r w:rsidRPr="00667E36">
        <w:rPr>
          <w:rFonts w:cs="Times New Roman"/>
          <w:i/>
          <w:iCs/>
        </w:rPr>
        <w:t>Shell’s Green Transition: Investing in Renewable Energy and Technology</w:t>
      </w:r>
      <w:r w:rsidRPr="00667E36">
        <w:rPr>
          <w:rFonts w:cs="Times New Roman"/>
        </w:rPr>
        <w:t>. Energy Journal, 48(2), 85-102.</w:t>
      </w:r>
    </w:p>
    <w:p w14:paraId="463D7FC9" w14:textId="77777777" w:rsidR="00B61502" w:rsidRPr="00C210BB" w:rsidRDefault="00000000" w:rsidP="00B61502">
      <w:pPr>
        <w:rPr>
          <w:rFonts w:cs="Times New Roman"/>
        </w:rPr>
      </w:pPr>
      <w:r w:rsidRPr="00C210BB">
        <w:rPr>
          <w:rFonts w:cs="Times New Roman"/>
        </w:rPr>
        <w:t xml:space="preserve">KPMG. (2023). </w:t>
      </w:r>
      <w:r w:rsidRPr="00C210BB">
        <w:rPr>
          <w:rFonts w:cs="Times New Roman"/>
          <w:i/>
          <w:iCs/>
        </w:rPr>
        <w:t>The Future of Energy: Transformation and Innovation</w:t>
      </w:r>
      <w:r w:rsidRPr="00C210BB">
        <w:rPr>
          <w:rFonts w:cs="Times New Roman"/>
        </w:rPr>
        <w:t xml:space="preserve">. </w:t>
      </w:r>
      <w:r w:rsidRPr="00AE786F">
        <w:rPr>
          <w:rFonts w:cs="Times New Roman"/>
        </w:rPr>
        <w:t xml:space="preserve">Available at: </w:t>
      </w:r>
      <w:r w:rsidRPr="00C210BB">
        <w:rPr>
          <w:rFonts w:cs="Times New Roman"/>
        </w:rPr>
        <w:t xml:space="preserve"> https://home.kpmg/xx/en/home/insights/2023/01/future-of-energy.html</w:t>
      </w:r>
    </w:p>
    <w:p w14:paraId="405C0CA6" w14:textId="77777777" w:rsidR="00B61502" w:rsidRPr="00C210BB" w:rsidRDefault="00000000" w:rsidP="00B61502">
      <w:pPr>
        <w:rPr>
          <w:rFonts w:cs="Times New Roman"/>
        </w:rPr>
      </w:pPr>
      <w:r w:rsidRPr="00C210BB">
        <w:rPr>
          <w:rFonts w:cs="Times New Roman"/>
        </w:rPr>
        <w:t xml:space="preserve">Mazzucato, M. (2018). </w:t>
      </w:r>
      <w:r w:rsidRPr="00C210BB">
        <w:rPr>
          <w:rFonts w:cs="Times New Roman"/>
          <w:i/>
          <w:iCs/>
        </w:rPr>
        <w:t>The Value of Everything: Making and Taking in the Global Economy</w:t>
      </w:r>
      <w:r w:rsidRPr="00C210BB">
        <w:rPr>
          <w:rFonts w:cs="Times New Roman"/>
        </w:rPr>
        <w:t>. Penguin Books.</w:t>
      </w:r>
    </w:p>
    <w:p w14:paraId="265E12D9" w14:textId="77777777" w:rsidR="00667E36" w:rsidRPr="00667E36" w:rsidRDefault="00000000" w:rsidP="00667E36">
      <w:pPr>
        <w:rPr>
          <w:rFonts w:cs="Times New Roman"/>
        </w:rPr>
      </w:pPr>
      <w:r w:rsidRPr="00667E36">
        <w:rPr>
          <w:rFonts w:cs="Times New Roman"/>
        </w:rPr>
        <w:t xml:space="preserve">Porter, M. E. (1985). </w:t>
      </w:r>
      <w:r w:rsidRPr="00667E36">
        <w:rPr>
          <w:rFonts w:cs="Times New Roman"/>
          <w:i/>
          <w:iCs/>
        </w:rPr>
        <w:t>Competitive Advantage: Creating and Sustaining Superior Performance</w:t>
      </w:r>
      <w:r w:rsidRPr="00667E36">
        <w:rPr>
          <w:rFonts w:cs="Times New Roman"/>
        </w:rPr>
        <w:t>. Free Press.</w:t>
      </w:r>
    </w:p>
    <w:p w14:paraId="0205E0CF" w14:textId="77777777" w:rsidR="00B61502" w:rsidRPr="00C210BB" w:rsidRDefault="00000000" w:rsidP="00B61502">
      <w:pPr>
        <w:rPr>
          <w:rFonts w:cs="Times New Roman"/>
        </w:rPr>
      </w:pPr>
      <w:r w:rsidRPr="00C210BB">
        <w:rPr>
          <w:rFonts w:cs="Times New Roman"/>
        </w:rPr>
        <w:t xml:space="preserve">PWC (PricewaterhouseCoopers). (2023). </w:t>
      </w:r>
      <w:r w:rsidRPr="00C210BB">
        <w:rPr>
          <w:rFonts w:cs="Times New Roman"/>
          <w:i/>
          <w:iCs/>
        </w:rPr>
        <w:t>Global Energy, Utilities and Resources: Trends and Insights</w:t>
      </w:r>
      <w:r w:rsidRPr="00C210BB">
        <w:rPr>
          <w:rFonts w:cs="Times New Roman"/>
        </w:rPr>
        <w:t xml:space="preserve">. </w:t>
      </w:r>
      <w:r w:rsidRPr="00AE786F">
        <w:rPr>
          <w:rFonts w:cs="Times New Roman"/>
        </w:rPr>
        <w:t xml:space="preserve">Available at: </w:t>
      </w:r>
      <w:r w:rsidRPr="00C210BB">
        <w:rPr>
          <w:rFonts w:cs="Times New Roman"/>
        </w:rPr>
        <w:t xml:space="preserve"> https://www.pwc.com/gx/en/industries/energy-utilities-resources.html</w:t>
      </w:r>
    </w:p>
    <w:p w14:paraId="368E0DBD" w14:textId="77777777" w:rsidR="00667E36" w:rsidRPr="00667E36" w:rsidRDefault="00000000" w:rsidP="00667E36">
      <w:pPr>
        <w:rPr>
          <w:rFonts w:cs="Times New Roman"/>
        </w:rPr>
      </w:pPr>
      <w:r w:rsidRPr="00667E36">
        <w:rPr>
          <w:rFonts w:cs="Times New Roman"/>
        </w:rPr>
        <w:t xml:space="preserve">Shell. (2023). </w:t>
      </w:r>
      <w:r w:rsidRPr="00667E36">
        <w:rPr>
          <w:rFonts w:cs="Times New Roman"/>
          <w:i/>
          <w:iCs/>
        </w:rPr>
        <w:t>Annual Report and Form 20-F</w:t>
      </w:r>
      <w:r w:rsidRPr="00667E36">
        <w:rPr>
          <w:rFonts w:cs="Times New Roman"/>
        </w:rPr>
        <w:t xml:space="preserve">. </w:t>
      </w:r>
      <w:r w:rsidR="00B61502" w:rsidRPr="00AE786F">
        <w:rPr>
          <w:rFonts w:cs="Times New Roman"/>
        </w:rPr>
        <w:t xml:space="preserve">Available at: </w:t>
      </w:r>
      <w:r w:rsidRPr="00667E36">
        <w:rPr>
          <w:rFonts w:cs="Times New Roman"/>
        </w:rPr>
        <w:t xml:space="preserve"> https://www.shell.com/investors/annual-report.html</w:t>
      </w:r>
    </w:p>
    <w:p w14:paraId="02B1C968" w14:textId="77777777" w:rsidR="00667E36" w:rsidRPr="00667E36" w:rsidRDefault="00000000" w:rsidP="00667E36">
      <w:pPr>
        <w:rPr>
          <w:rFonts w:cs="Times New Roman"/>
        </w:rPr>
      </w:pPr>
      <w:r w:rsidRPr="00667E36">
        <w:rPr>
          <w:rFonts w:cs="Times New Roman"/>
        </w:rPr>
        <w:t xml:space="preserve">Smith, J. (2023). </w:t>
      </w:r>
      <w:r w:rsidRPr="00667E36">
        <w:rPr>
          <w:rFonts w:cs="Times New Roman"/>
          <w:i/>
          <w:iCs/>
        </w:rPr>
        <w:t>Digital Transformation in Oil &amp; Gas: How Shell is Leading the Way</w:t>
      </w:r>
      <w:r w:rsidRPr="00667E36">
        <w:rPr>
          <w:rFonts w:cs="Times New Roman"/>
        </w:rPr>
        <w:t>. Journal of Energy Technology, 62(4), 233-250.</w:t>
      </w:r>
    </w:p>
    <w:p w14:paraId="798858AB" w14:textId="77777777" w:rsidR="00B61502" w:rsidRPr="00C210BB" w:rsidRDefault="00000000" w:rsidP="00B61502">
      <w:pPr>
        <w:rPr>
          <w:rFonts w:cs="Times New Roman"/>
        </w:rPr>
      </w:pPr>
      <w:r w:rsidRPr="00C210BB">
        <w:rPr>
          <w:rFonts w:cs="Times New Roman"/>
        </w:rPr>
        <w:t xml:space="preserve">S&amp;P Global. (2023). </w:t>
      </w:r>
      <w:r w:rsidRPr="00C210BB">
        <w:rPr>
          <w:rFonts w:cs="Times New Roman"/>
          <w:i/>
          <w:iCs/>
        </w:rPr>
        <w:t>Shell plc: Corporate Profile</w:t>
      </w:r>
      <w:r w:rsidRPr="00C210BB">
        <w:rPr>
          <w:rFonts w:cs="Times New Roman"/>
        </w:rPr>
        <w:t xml:space="preserve">. </w:t>
      </w:r>
      <w:r w:rsidRPr="00AE786F">
        <w:rPr>
          <w:rFonts w:cs="Times New Roman"/>
        </w:rPr>
        <w:t xml:space="preserve">Available at: </w:t>
      </w:r>
      <w:r w:rsidRPr="00C210BB">
        <w:rPr>
          <w:rFonts w:cs="Times New Roman"/>
        </w:rPr>
        <w:t xml:space="preserve"> https://www.spglobal.com/marketintelligence/en/</w:t>
      </w:r>
    </w:p>
    <w:p w14:paraId="7EBE99AC" w14:textId="77777777" w:rsidR="00667E36" w:rsidRPr="00AE786F" w:rsidRDefault="00000000" w:rsidP="00667E36">
      <w:pPr>
        <w:rPr>
          <w:rFonts w:cs="Times New Roman"/>
        </w:rPr>
      </w:pPr>
      <w:r w:rsidRPr="00667E36">
        <w:rPr>
          <w:rFonts w:cs="Times New Roman"/>
        </w:rPr>
        <w:t xml:space="preserve">Thompson, R. (2023). </w:t>
      </w:r>
      <w:r w:rsidRPr="00667E36">
        <w:rPr>
          <w:rFonts w:cs="Times New Roman"/>
          <w:i/>
          <w:iCs/>
        </w:rPr>
        <w:t>Strategic Acquisitions in the Energy Sector: The Case of Shell and BG Group</w:t>
      </w:r>
      <w:r w:rsidRPr="00667E36">
        <w:rPr>
          <w:rFonts w:cs="Times New Roman"/>
        </w:rPr>
        <w:t>. International Business Review, 30(1), 45-61.</w:t>
      </w:r>
    </w:p>
    <w:p w14:paraId="711A4E7F" w14:textId="77777777" w:rsidR="00C210BB" w:rsidRPr="00AE786F" w:rsidRDefault="00C210BB" w:rsidP="00667E36">
      <w:pPr>
        <w:rPr>
          <w:rFonts w:cs="Times New Roman"/>
        </w:rPr>
      </w:pPr>
    </w:p>
    <w:p w14:paraId="19425773" w14:textId="77777777" w:rsidR="00AE694F" w:rsidRPr="00AE786F" w:rsidRDefault="00000000" w:rsidP="00CB7876">
      <w:pPr>
        <w:pStyle w:val="Heading1"/>
        <w:rPr>
          <w:rFonts w:cs="Times New Roman"/>
        </w:rPr>
      </w:pPr>
      <w:bookmarkStart w:id="9" w:name="_Toc174808234"/>
      <w:r w:rsidRPr="00AE786F">
        <w:rPr>
          <w:rFonts w:cs="Times New Roman"/>
        </w:rPr>
        <w:lastRenderedPageBreak/>
        <w:t>Appendices</w:t>
      </w:r>
      <w:bookmarkEnd w:id="9"/>
    </w:p>
    <w:p w14:paraId="21218D41" w14:textId="77777777" w:rsidR="00CB7876" w:rsidRPr="00AE786F" w:rsidRDefault="00000000" w:rsidP="00CB7876">
      <w:pPr>
        <w:pStyle w:val="Heading2"/>
        <w:rPr>
          <w:rFonts w:cs="Times New Roman"/>
        </w:rPr>
      </w:pPr>
      <w:bookmarkStart w:id="10" w:name="_Toc174808235"/>
      <w:r w:rsidRPr="00AE786F">
        <w:rPr>
          <w:rFonts w:cs="Times New Roman"/>
        </w:rPr>
        <w:t>SWOT Analysis:</w:t>
      </w:r>
      <w:bookmarkEnd w:id="10"/>
    </w:p>
    <w:p w14:paraId="1F34AC1D" w14:textId="77777777" w:rsidR="00CB7876" w:rsidRPr="00AE786F" w:rsidRDefault="00000000" w:rsidP="00CB7876">
      <w:pPr>
        <w:rPr>
          <w:rFonts w:cs="Times New Roman"/>
        </w:rPr>
      </w:pPr>
      <w:r w:rsidRPr="00AE786F">
        <w:rPr>
          <w:rFonts w:cs="Times New Roman"/>
        </w:rPr>
        <w:t xml:space="preserve">SWOT is carried out to determine present internal and external capabilities and threats, and the position of Shell plc. </w:t>
      </w:r>
    </w:p>
    <w:tbl>
      <w:tblPr>
        <w:tblStyle w:val="GridTable4-Accent6"/>
        <w:tblW w:w="0" w:type="auto"/>
        <w:tblLook w:val="04A0" w:firstRow="1" w:lastRow="0" w:firstColumn="1" w:lastColumn="0" w:noHBand="0" w:noVBand="1"/>
      </w:tblPr>
      <w:tblGrid>
        <w:gridCol w:w="4508"/>
        <w:gridCol w:w="4508"/>
      </w:tblGrid>
      <w:tr w:rsidR="00565D11" w14:paraId="3517FB86" w14:textId="77777777" w:rsidTr="00565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A8D08D" w:themeFill="accent6" w:themeFillTint="99"/>
          </w:tcPr>
          <w:p w14:paraId="42BBA289" w14:textId="77777777" w:rsidR="00CB7876" w:rsidRPr="00AE786F" w:rsidRDefault="00000000" w:rsidP="004B0BB7">
            <w:pPr>
              <w:jc w:val="center"/>
              <w:rPr>
                <w:rFonts w:cs="Times New Roman"/>
              </w:rPr>
            </w:pPr>
            <w:r w:rsidRPr="00AE786F">
              <w:rPr>
                <w:rFonts w:cs="Times New Roman"/>
              </w:rPr>
              <w:t>Strengths</w:t>
            </w:r>
          </w:p>
        </w:tc>
        <w:tc>
          <w:tcPr>
            <w:tcW w:w="4508" w:type="dxa"/>
            <w:shd w:val="clear" w:color="auto" w:fill="A8D08D" w:themeFill="accent6" w:themeFillTint="99"/>
          </w:tcPr>
          <w:p w14:paraId="33573EFB" w14:textId="77777777" w:rsidR="00CB7876" w:rsidRPr="00AE786F" w:rsidRDefault="00000000" w:rsidP="004B0BB7">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AE786F">
              <w:rPr>
                <w:rFonts w:cs="Times New Roman"/>
              </w:rPr>
              <w:t>Weaknesses</w:t>
            </w:r>
          </w:p>
        </w:tc>
      </w:tr>
      <w:tr w:rsidR="00565D11" w14:paraId="4EE95716" w14:textId="77777777" w:rsidTr="00565D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419236F" w14:textId="77777777" w:rsidR="00CB7876" w:rsidRPr="00AE786F" w:rsidRDefault="00000000" w:rsidP="00CB7876">
            <w:pPr>
              <w:rPr>
                <w:rFonts w:cs="Times New Roman"/>
              </w:rPr>
            </w:pPr>
            <w:r w:rsidRPr="00AE786F">
              <w:rPr>
                <w:rFonts w:cs="Times New Roman"/>
                <w:b w:val="0"/>
                <w:bCs w:val="0"/>
              </w:rPr>
              <w:t xml:space="preserve">These are most prominent in Shell’s global market coverage which Orlov (2008) referred to as making the oil major </w:t>
            </w:r>
            <w:proofErr w:type="spellStart"/>
            <w:r w:rsidRPr="00AE786F">
              <w:rPr>
                <w:rFonts w:cs="Times New Roman"/>
                <w:b w:val="0"/>
                <w:bCs w:val="0"/>
              </w:rPr>
              <w:t>favor</w:t>
            </w:r>
            <w:proofErr w:type="spellEnd"/>
            <w:r w:rsidRPr="00AE786F">
              <w:rPr>
                <w:rFonts w:cs="Times New Roman"/>
                <w:b w:val="0"/>
                <w:bCs w:val="0"/>
              </w:rPr>
              <w:t xml:space="preserve"> advantage of economy of scale. The kind of financial strength that the company has with a large asset base and consistent cash flow can help fund new technologies and projects. This is because Shell has a broad experience in the oil and gas business, and enjoys a good-standing reputation in the market. Further, Shell is blessed with an integrated business structure whereby it handles both the upstream exploration segment as well as the downstream refining as well as distributing segment.</w:t>
            </w:r>
          </w:p>
        </w:tc>
        <w:tc>
          <w:tcPr>
            <w:tcW w:w="4508" w:type="dxa"/>
          </w:tcPr>
          <w:p w14:paraId="03715EC7" w14:textId="77777777" w:rsidR="00CB7876" w:rsidRPr="00AE786F" w:rsidRDefault="00000000" w:rsidP="00CB7876">
            <w:pPr>
              <w:cnfStyle w:val="000000100000" w:firstRow="0" w:lastRow="0" w:firstColumn="0" w:lastColumn="0" w:oddVBand="0" w:evenVBand="0" w:oddHBand="1" w:evenHBand="0" w:firstRowFirstColumn="0" w:firstRowLastColumn="0" w:lastRowFirstColumn="0" w:lastRowLastColumn="0"/>
              <w:rPr>
                <w:rFonts w:cs="Times New Roman"/>
              </w:rPr>
            </w:pPr>
            <w:r w:rsidRPr="00AE786F">
              <w:rPr>
                <w:rFonts w:cs="Times New Roman"/>
              </w:rPr>
              <w:t xml:space="preserve">However, Shell has various vices as outlined below under the Light category they are; It has to deal with fluctuating prices of oil and with regulations inherent in a dependence on fossil fuels. Also, there have been concerns about environmental and safety disasters to which the company's reputation and cash inflow have fallen victim. Global operation is also very complex hence leading to a lot of management and operational issues being encountered. </w:t>
            </w:r>
          </w:p>
          <w:p w14:paraId="2F4D98BD" w14:textId="77777777" w:rsidR="00CB7876" w:rsidRPr="00AE786F" w:rsidRDefault="00CB7876" w:rsidP="00CB7876">
            <w:pPr>
              <w:cnfStyle w:val="000000100000" w:firstRow="0" w:lastRow="0" w:firstColumn="0" w:lastColumn="0" w:oddVBand="0" w:evenVBand="0" w:oddHBand="1" w:evenHBand="0" w:firstRowFirstColumn="0" w:firstRowLastColumn="0" w:lastRowFirstColumn="0" w:lastRowLastColumn="0"/>
              <w:rPr>
                <w:rFonts w:cs="Times New Roman"/>
              </w:rPr>
            </w:pPr>
          </w:p>
        </w:tc>
      </w:tr>
      <w:tr w:rsidR="00565D11" w14:paraId="3E641DCE" w14:textId="77777777" w:rsidTr="00565D11">
        <w:tc>
          <w:tcPr>
            <w:cnfStyle w:val="001000000000" w:firstRow="0" w:lastRow="0" w:firstColumn="1" w:lastColumn="0" w:oddVBand="0" w:evenVBand="0" w:oddHBand="0" w:evenHBand="0" w:firstRowFirstColumn="0" w:firstRowLastColumn="0" w:lastRowFirstColumn="0" w:lastRowLastColumn="0"/>
            <w:tcW w:w="4508" w:type="dxa"/>
            <w:shd w:val="clear" w:color="auto" w:fill="A8D08D" w:themeFill="accent6" w:themeFillTint="99"/>
          </w:tcPr>
          <w:p w14:paraId="68BECB52" w14:textId="77777777" w:rsidR="00CB7876" w:rsidRPr="00AE786F" w:rsidRDefault="00000000" w:rsidP="004B0BB7">
            <w:pPr>
              <w:jc w:val="center"/>
              <w:rPr>
                <w:rFonts w:cs="Times New Roman"/>
              </w:rPr>
            </w:pPr>
            <w:r w:rsidRPr="00AE786F">
              <w:rPr>
                <w:rFonts w:cs="Times New Roman"/>
              </w:rPr>
              <w:t>Opportunities</w:t>
            </w:r>
          </w:p>
        </w:tc>
        <w:tc>
          <w:tcPr>
            <w:tcW w:w="4508" w:type="dxa"/>
            <w:shd w:val="clear" w:color="auto" w:fill="A8D08D" w:themeFill="accent6" w:themeFillTint="99"/>
          </w:tcPr>
          <w:p w14:paraId="7A8AEAF1" w14:textId="77777777" w:rsidR="00CB7876" w:rsidRPr="00AE786F" w:rsidRDefault="00000000" w:rsidP="004B0BB7">
            <w:pPr>
              <w:jc w:val="center"/>
              <w:cnfStyle w:val="000000000000" w:firstRow="0" w:lastRow="0" w:firstColumn="0" w:lastColumn="0" w:oddVBand="0" w:evenVBand="0" w:oddHBand="0" w:evenHBand="0" w:firstRowFirstColumn="0" w:firstRowLastColumn="0" w:lastRowFirstColumn="0" w:lastRowLastColumn="0"/>
              <w:rPr>
                <w:rFonts w:cs="Times New Roman"/>
                <w:b/>
                <w:bCs/>
              </w:rPr>
            </w:pPr>
            <w:r w:rsidRPr="00AE786F">
              <w:rPr>
                <w:rFonts w:cs="Times New Roman"/>
                <w:b/>
                <w:bCs/>
              </w:rPr>
              <w:t>Threats</w:t>
            </w:r>
          </w:p>
        </w:tc>
      </w:tr>
      <w:tr w:rsidR="00565D11" w14:paraId="69CB2DFB" w14:textId="77777777" w:rsidTr="00565D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1D8443A" w14:textId="77777777" w:rsidR="00CB7876" w:rsidRPr="00AE786F" w:rsidRDefault="00000000" w:rsidP="00CB7876">
            <w:pPr>
              <w:rPr>
                <w:rFonts w:cs="Times New Roman"/>
              </w:rPr>
            </w:pPr>
            <w:r w:rsidRPr="00AE786F">
              <w:rPr>
                <w:rFonts w:cs="Times New Roman"/>
                <w:b w:val="0"/>
                <w:bCs w:val="0"/>
              </w:rPr>
              <w:t xml:space="preserve">Shell has many great chances to profit, for example, on the shift towards utilizing renewable energy sources. The enhancement of green technologies and the coming up of renewable power solutions are part of the energy transition that corroborates Shell's shift. The huge potentials that exist in penetrating the markets in emerging economies where energy consumption is on the rise cannot be ruled out as well. </w:t>
            </w:r>
          </w:p>
          <w:p w14:paraId="00BE1720" w14:textId="77777777" w:rsidR="00CB7876" w:rsidRPr="00AE786F" w:rsidRDefault="00CB7876" w:rsidP="00CB7876">
            <w:pPr>
              <w:rPr>
                <w:rFonts w:cs="Times New Roman"/>
              </w:rPr>
            </w:pPr>
          </w:p>
        </w:tc>
        <w:tc>
          <w:tcPr>
            <w:tcW w:w="4508" w:type="dxa"/>
          </w:tcPr>
          <w:p w14:paraId="1789E6FE" w14:textId="77777777" w:rsidR="00CB7876" w:rsidRPr="00AE786F" w:rsidRDefault="00000000" w:rsidP="00CB7876">
            <w:pPr>
              <w:cnfStyle w:val="000000100000" w:firstRow="0" w:lastRow="0" w:firstColumn="0" w:lastColumn="0" w:oddVBand="0" w:evenVBand="0" w:oddHBand="1" w:evenHBand="0" w:firstRowFirstColumn="0" w:firstRowLastColumn="0" w:lastRowFirstColumn="0" w:lastRowLastColumn="0"/>
              <w:rPr>
                <w:rFonts w:cs="Times New Roman"/>
              </w:rPr>
            </w:pPr>
            <w:r w:rsidRPr="00AE786F">
              <w:rPr>
                <w:rFonts w:cs="Times New Roman"/>
              </w:rPr>
              <w:t xml:space="preserve">There are several threats that Shell encountered; standard environmental regulation act that hinders the pace of its activities and fluctuations of geopolitical events. The advent of other forms of energy, especially the increased focus on green energy to reduce carbon footprint placed pressure on the energy firms. Furthermore, there are everyday issues like the volatility of the market and the competition with other energy companies. </w:t>
            </w:r>
          </w:p>
          <w:p w14:paraId="206F52E0" w14:textId="77777777" w:rsidR="00CB7876" w:rsidRPr="00AE786F" w:rsidRDefault="00CB7876" w:rsidP="00CB7876">
            <w:pPr>
              <w:cnfStyle w:val="000000100000" w:firstRow="0" w:lastRow="0" w:firstColumn="0" w:lastColumn="0" w:oddVBand="0" w:evenVBand="0" w:oddHBand="1" w:evenHBand="0" w:firstRowFirstColumn="0" w:firstRowLastColumn="0" w:lastRowFirstColumn="0" w:lastRowLastColumn="0"/>
              <w:rPr>
                <w:rFonts w:cs="Times New Roman"/>
              </w:rPr>
            </w:pPr>
          </w:p>
        </w:tc>
      </w:tr>
    </w:tbl>
    <w:p w14:paraId="32AFED22" w14:textId="77777777" w:rsidR="00CB7876" w:rsidRPr="00AE786F" w:rsidRDefault="00CB7876" w:rsidP="00CB7876">
      <w:pPr>
        <w:rPr>
          <w:rFonts w:cs="Times New Roman"/>
        </w:rPr>
      </w:pPr>
    </w:p>
    <w:p w14:paraId="22290593" w14:textId="77777777" w:rsidR="00CB7876" w:rsidRPr="00AE786F" w:rsidRDefault="00000000" w:rsidP="003F4EF7">
      <w:pPr>
        <w:pStyle w:val="Heading2"/>
        <w:rPr>
          <w:rFonts w:cs="Times New Roman"/>
        </w:rPr>
      </w:pPr>
      <w:bookmarkStart w:id="11" w:name="_Toc174808236"/>
      <w:r w:rsidRPr="00AE786F">
        <w:rPr>
          <w:rFonts w:cs="Times New Roman"/>
        </w:rPr>
        <w:t>PESTEL Analysis:</w:t>
      </w:r>
      <w:bookmarkEnd w:id="11"/>
      <w:r w:rsidRPr="00AE786F">
        <w:rPr>
          <w:rFonts w:cs="Times New Roman"/>
        </w:rPr>
        <w:t xml:space="preserve"> </w:t>
      </w:r>
    </w:p>
    <w:p w14:paraId="1AC7922D" w14:textId="77777777" w:rsidR="00CB7876" w:rsidRPr="00AE786F" w:rsidRDefault="00000000" w:rsidP="00CB7876">
      <w:pPr>
        <w:rPr>
          <w:rFonts w:cs="Times New Roman"/>
        </w:rPr>
      </w:pPr>
      <w:r w:rsidRPr="00AE786F">
        <w:rPr>
          <w:rFonts w:cs="Times New Roman"/>
        </w:rPr>
        <w:t>PEST</w:t>
      </w:r>
      <w:r w:rsidR="004B0BB7" w:rsidRPr="00AE786F">
        <w:rPr>
          <w:rFonts w:cs="Times New Roman"/>
        </w:rPr>
        <w:t>EL</w:t>
      </w:r>
      <w:r w:rsidRPr="00AE786F">
        <w:rPr>
          <w:rFonts w:cs="Times New Roman"/>
        </w:rPr>
        <w:t xml:space="preserve"> analysis tools appraise the macro-environmental factors that impact Shell plc concerning Political, Economic, Social, Technological, Environmental, and Legal factors. </w:t>
      </w:r>
    </w:p>
    <w:tbl>
      <w:tblPr>
        <w:tblStyle w:val="TableGrid"/>
        <w:tblW w:w="0" w:type="auto"/>
        <w:tblLook w:val="04A0" w:firstRow="1" w:lastRow="0" w:firstColumn="1" w:lastColumn="0" w:noHBand="0" w:noVBand="1"/>
      </w:tblPr>
      <w:tblGrid>
        <w:gridCol w:w="1763"/>
        <w:gridCol w:w="7253"/>
      </w:tblGrid>
      <w:tr w:rsidR="00565D11" w14:paraId="2CD8101A" w14:textId="77777777" w:rsidTr="004B0BB7">
        <w:tc>
          <w:tcPr>
            <w:tcW w:w="1413" w:type="dxa"/>
            <w:shd w:val="clear" w:color="auto" w:fill="8496B0" w:themeFill="text2" w:themeFillTint="99"/>
          </w:tcPr>
          <w:p w14:paraId="753F7D8B" w14:textId="77777777" w:rsidR="004B0BB7" w:rsidRPr="00AE786F" w:rsidRDefault="00000000" w:rsidP="002B59D0">
            <w:pPr>
              <w:jc w:val="center"/>
              <w:rPr>
                <w:rFonts w:cs="Times New Roman"/>
                <w:b/>
                <w:bCs/>
                <w:color w:val="FFFFFF" w:themeColor="background1"/>
              </w:rPr>
            </w:pPr>
            <w:r w:rsidRPr="00AE786F">
              <w:rPr>
                <w:rFonts w:cs="Times New Roman"/>
                <w:b/>
                <w:bCs/>
                <w:color w:val="FFFFFF" w:themeColor="background1"/>
              </w:rPr>
              <w:t>Political</w:t>
            </w:r>
          </w:p>
        </w:tc>
        <w:tc>
          <w:tcPr>
            <w:tcW w:w="7603" w:type="dxa"/>
            <w:shd w:val="clear" w:color="auto" w:fill="D5DCE4" w:themeFill="text2" w:themeFillTint="33"/>
          </w:tcPr>
          <w:p w14:paraId="1FC03C5A" w14:textId="77777777" w:rsidR="004B0BB7" w:rsidRPr="00AE786F" w:rsidRDefault="00000000" w:rsidP="00CB7876">
            <w:pPr>
              <w:rPr>
                <w:rFonts w:cs="Times New Roman"/>
              </w:rPr>
            </w:pPr>
            <w:r w:rsidRPr="00AE786F">
              <w:rPr>
                <w:rFonts w:cs="Times New Roman"/>
              </w:rPr>
              <w:t xml:space="preserve">Even though Shell is an international company, it has to work in a highly political industry, so political stability in the interested countries is essential for the company's success. By </w:t>
            </w:r>
            <w:proofErr w:type="spellStart"/>
            <w:r w:rsidRPr="00AE786F">
              <w:rPr>
                <w:rFonts w:cs="Times New Roman"/>
              </w:rPr>
              <w:t>analyzing</w:t>
            </w:r>
            <w:proofErr w:type="spellEnd"/>
            <w:r w:rsidRPr="00AE786F">
              <w:rPr>
                <w:rFonts w:cs="Times New Roman"/>
              </w:rPr>
              <w:t xml:space="preserve"> the legal environment of Shell several factors could be distinguished as crucial for the company’s strategic management: the energy production and consumption regulation and climate change policies, taxation legislation. However, it has a weakness of being vulnerable to natural disasters, its global supply chain may also be disrupted by geopolitical tensions and trade policies. </w:t>
            </w:r>
          </w:p>
        </w:tc>
      </w:tr>
      <w:tr w:rsidR="00565D11" w14:paraId="48F6DE78" w14:textId="77777777" w:rsidTr="002B59D0">
        <w:tc>
          <w:tcPr>
            <w:tcW w:w="1413" w:type="dxa"/>
            <w:shd w:val="clear" w:color="auto" w:fill="7B7B7B" w:themeFill="accent3" w:themeFillShade="BF"/>
          </w:tcPr>
          <w:p w14:paraId="77EE9341" w14:textId="77777777" w:rsidR="004B0BB7" w:rsidRPr="00AE786F" w:rsidRDefault="00000000" w:rsidP="002B59D0">
            <w:pPr>
              <w:jc w:val="center"/>
              <w:rPr>
                <w:rFonts w:cs="Times New Roman"/>
                <w:b/>
                <w:bCs/>
                <w:color w:val="FFFFFF" w:themeColor="background1"/>
              </w:rPr>
            </w:pPr>
            <w:r w:rsidRPr="00AE786F">
              <w:rPr>
                <w:rFonts w:cs="Times New Roman"/>
                <w:b/>
                <w:bCs/>
                <w:color w:val="FFFFFF" w:themeColor="background1"/>
              </w:rPr>
              <w:t>Economic</w:t>
            </w:r>
          </w:p>
        </w:tc>
        <w:tc>
          <w:tcPr>
            <w:tcW w:w="7603" w:type="dxa"/>
            <w:shd w:val="clear" w:color="auto" w:fill="DBDBDB" w:themeFill="accent3" w:themeFillTint="66"/>
          </w:tcPr>
          <w:p w14:paraId="16940E57" w14:textId="77777777" w:rsidR="004B0BB7" w:rsidRPr="00AE786F" w:rsidRDefault="00000000" w:rsidP="00CB7876">
            <w:pPr>
              <w:rPr>
                <w:rFonts w:cs="Times New Roman"/>
              </w:rPr>
            </w:pPr>
            <w:r w:rsidRPr="00AE786F">
              <w:rPr>
                <w:rFonts w:cs="Times New Roman"/>
              </w:rPr>
              <w:t xml:space="preserve">The world economic environment affects Shell's business considerably because Shell draws its operation from such an environment. The lack of supply of oil as well as its demand in the global markets influences its prices and, therefore, the company's earnings. energy demand from the emergent markets is also influenced by the levels of economic growth rates resulting in expansion chances for Shell. Also, fluctuations in the foreign exchange rate may affect the firm's foreign revenues and expenses. </w:t>
            </w:r>
          </w:p>
        </w:tc>
      </w:tr>
      <w:tr w:rsidR="00565D11" w14:paraId="038661D6" w14:textId="77777777" w:rsidTr="002B59D0">
        <w:tc>
          <w:tcPr>
            <w:tcW w:w="1413" w:type="dxa"/>
            <w:shd w:val="clear" w:color="auto" w:fill="A8D08D" w:themeFill="accent6" w:themeFillTint="99"/>
          </w:tcPr>
          <w:p w14:paraId="41C18AA5" w14:textId="77777777" w:rsidR="004B0BB7" w:rsidRPr="00AE786F" w:rsidRDefault="00000000" w:rsidP="002B59D0">
            <w:pPr>
              <w:jc w:val="center"/>
              <w:rPr>
                <w:rFonts w:cs="Times New Roman"/>
                <w:b/>
                <w:bCs/>
                <w:color w:val="FFFFFF" w:themeColor="background1"/>
              </w:rPr>
            </w:pPr>
            <w:r w:rsidRPr="00AE786F">
              <w:rPr>
                <w:rFonts w:cs="Times New Roman"/>
                <w:b/>
                <w:bCs/>
                <w:color w:val="FFFFFF" w:themeColor="background1"/>
              </w:rPr>
              <w:t>Social</w:t>
            </w:r>
          </w:p>
        </w:tc>
        <w:tc>
          <w:tcPr>
            <w:tcW w:w="7603" w:type="dxa"/>
            <w:shd w:val="clear" w:color="auto" w:fill="E2EFD9" w:themeFill="accent6" w:themeFillTint="33"/>
          </w:tcPr>
          <w:p w14:paraId="38F0A8BE" w14:textId="77777777" w:rsidR="004B0BB7" w:rsidRPr="00AE786F" w:rsidRDefault="00000000" w:rsidP="00CB7876">
            <w:pPr>
              <w:rPr>
                <w:rFonts w:cs="Times New Roman"/>
              </w:rPr>
            </w:pPr>
            <w:r w:rsidRPr="00AE786F">
              <w:rPr>
                <w:rFonts w:cs="Times New Roman"/>
              </w:rPr>
              <w:t xml:space="preserve">There is influence by social factors in the case of sustainability and environmental consciousness that hits Shell’s business strategies. Higher risk for climate change leads to higher public awareness and pressure for clean energy leading to Shell switching to renewable energy and lowering its emissions. Social and cultural factors such as consumer orientation and pressure on the company’s CSR are also vital for forming the brand imagery and running the business. </w:t>
            </w:r>
          </w:p>
        </w:tc>
      </w:tr>
      <w:tr w:rsidR="00565D11" w14:paraId="51A9CCC6" w14:textId="77777777" w:rsidTr="002B59D0">
        <w:tc>
          <w:tcPr>
            <w:tcW w:w="1413" w:type="dxa"/>
            <w:shd w:val="clear" w:color="auto" w:fill="FF5B5B"/>
          </w:tcPr>
          <w:p w14:paraId="5563F5EE" w14:textId="77777777" w:rsidR="004B0BB7" w:rsidRPr="00AE786F" w:rsidRDefault="00000000" w:rsidP="002B59D0">
            <w:pPr>
              <w:jc w:val="center"/>
              <w:rPr>
                <w:rFonts w:cs="Times New Roman"/>
                <w:b/>
                <w:bCs/>
                <w:color w:val="FFFFFF" w:themeColor="background1"/>
              </w:rPr>
            </w:pPr>
            <w:r w:rsidRPr="00AE786F">
              <w:rPr>
                <w:rFonts w:cs="Times New Roman"/>
                <w:b/>
                <w:bCs/>
                <w:color w:val="FFFFFF" w:themeColor="background1"/>
              </w:rPr>
              <w:t>Technological</w:t>
            </w:r>
          </w:p>
        </w:tc>
        <w:tc>
          <w:tcPr>
            <w:tcW w:w="7603" w:type="dxa"/>
            <w:shd w:val="clear" w:color="auto" w:fill="FFB9B9"/>
          </w:tcPr>
          <w:p w14:paraId="76DE8539" w14:textId="77777777" w:rsidR="004B0BB7" w:rsidRPr="00AE786F" w:rsidRDefault="00000000" w:rsidP="00CB7876">
            <w:pPr>
              <w:rPr>
                <w:rFonts w:cs="Times New Roman"/>
              </w:rPr>
            </w:pPr>
            <w:r w:rsidRPr="00AE786F">
              <w:rPr>
                <w:rFonts w:cs="Times New Roman"/>
              </w:rPr>
              <w:t xml:space="preserve">Technological capabilities are accorded due importance in the running of the Shell company. Advanced consistent drilling technologies, renewable power generation systems, and digital platforms help in optimizing the operations and fulfilling the organizational strategies. CCS is among the </w:t>
            </w:r>
            <w:r w:rsidRPr="00AE786F">
              <w:rPr>
                <w:rFonts w:cs="Times New Roman"/>
              </w:rPr>
              <w:lastRenderedPageBreak/>
              <w:t xml:space="preserve">technologies in line with Shell’s sustainability goals and the legal necessities for the firm. </w:t>
            </w:r>
          </w:p>
        </w:tc>
      </w:tr>
      <w:tr w:rsidR="00565D11" w14:paraId="2366B016" w14:textId="77777777" w:rsidTr="002B59D0">
        <w:tc>
          <w:tcPr>
            <w:tcW w:w="1413" w:type="dxa"/>
            <w:shd w:val="clear" w:color="auto" w:fill="00B050"/>
          </w:tcPr>
          <w:p w14:paraId="7A21A583" w14:textId="77777777" w:rsidR="004B0BB7" w:rsidRPr="00AE786F" w:rsidRDefault="00000000" w:rsidP="002B59D0">
            <w:pPr>
              <w:jc w:val="center"/>
              <w:rPr>
                <w:rFonts w:cs="Times New Roman"/>
                <w:b/>
                <w:bCs/>
                <w:color w:val="FFFFFF" w:themeColor="background1"/>
              </w:rPr>
            </w:pPr>
            <w:r w:rsidRPr="00AE786F">
              <w:rPr>
                <w:rFonts w:cs="Times New Roman"/>
                <w:b/>
                <w:bCs/>
                <w:color w:val="FFFFFF" w:themeColor="background1"/>
              </w:rPr>
              <w:t>Environmental</w:t>
            </w:r>
          </w:p>
        </w:tc>
        <w:tc>
          <w:tcPr>
            <w:tcW w:w="7603" w:type="dxa"/>
            <w:shd w:val="clear" w:color="auto" w:fill="A8D08D" w:themeFill="accent6" w:themeFillTint="99"/>
          </w:tcPr>
          <w:p w14:paraId="77D78DC5" w14:textId="77777777" w:rsidR="004B0BB7" w:rsidRPr="00AE786F" w:rsidRDefault="00000000" w:rsidP="00CB7876">
            <w:pPr>
              <w:rPr>
                <w:rFonts w:cs="Times New Roman"/>
              </w:rPr>
            </w:pPr>
            <w:r w:rsidRPr="00AE786F">
              <w:rPr>
                <w:rFonts w:cs="Times New Roman"/>
              </w:rPr>
              <w:t xml:space="preserve">Another evidence of the strategic planning at Shell is the absolute focus on the impact of the environment. The company has to deal with challenges that stand before most companies of the modern world concerning the emission of greenhouse gases and overall management of impacts on the environment. Shell's sustainability strategies and activities are partly determined by the following regulations about sustainability: environmental legal standards related to the company's management of the environment, climate change policies, and natural resource policies. </w:t>
            </w:r>
          </w:p>
        </w:tc>
      </w:tr>
      <w:tr w:rsidR="00565D11" w14:paraId="2C70DF99" w14:textId="77777777" w:rsidTr="002B59D0">
        <w:tc>
          <w:tcPr>
            <w:tcW w:w="1413" w:type="dxa"/>
            <w:shd w:val="clear" w:color="auto" w:fill="248FAC"/>
          </w:tcPr>
          <w:p w14:paraId="357DF6A9" w14:textId="77777777" w:rsidR="004B0BB7" w:rsidRPr="00AE786F" w:rsidRDefault="00000000" w:rsidP="002B59D0">
            <w:pPr>
              <w:jc w:val="center"/>
              <w:rPr>
                <w:rFonts w:cs="Times New Roman"/>
                <w:b/>
                <w:bCs/>
                <w:color w:val="FFFFFF" w:themeColor="background1"/>
              </w:rPr>
            </w:pPr>
            <w:r w:rsidRPr="00AE786F">
              <w:rPr>
                <w:rFonts w:cs="Times New Roman"/>
                <w:b/>
                <w:bCs/>
                <w:color w:val="FFFFFF" w:themeColor="background1"/>
              </w:rPr>
              <w:t>Legal</w:t>
            </w:r>
          </w:p>
        </w:tc>
        <w:tc>
          <w:tcPr>
            <w:tcW w:w="7603" w:type="dxa"/>
            <w:shd w:val="clear" w:color="auto" w:fill="86D1E6"/>
          </w:tcPr>
          <w:p w14:paraId="3C6C93DA" w14:textId="77777777" w:rsidR="004B0BB7" w:rsidRPr="00AE786F" w:rsidRDefault="00000000" w:rsidP="00CB7876">
            <w:pPr>
              <w:rPr>
                <w:rFonts w:cs="Times New Roman"/>
              </w:rPr>
            </w:pPr>
            <w:r w:rsidRPr="00AE786F">
              <w:rPr>
                <w:rFonts w:cs="Times New Roman"/>
              </w:rPr>
              <w:t xml:space="preserve">Organizational issues involve legal consequences such as conformity to the national and international legal frameworks within the energy sector that are appropriate. Shell operates under the legal requirement of environmental conservation, health, safety and Corporate Social Responsibility. Risk Legal risk means that a legal case affecting the company and its activities can come up for example liability for environmental pollution or failing to meet the law. </w:t>
            </w:r>
          </w:p>
        </w:tc>
      </w:tr>
    </w:tbl>
    <w:p w14:paraId="013EBC6A" w14:textId="77777777" w:rsidR="00CB7876" w:rsidRPr="00AE786F" w:rsidRDefault="00000000" w:rsidP="003F4EF7">
      <w:pPr>
        <w:pStyle w:val="Heading2"/>
        <w:rPr>
          <w:rFonts w:cs="Times New Roman"/>
        </w:rPr>
      </w:pPr>
      <w:bookmarkStart w:id="12" w:name="_Toc174808237"/>
      <w:r w:rsidRPr="00AE786F">
        <w:rPr>
          <w:rFonts w:cs="Times New Roman"/>
        </w:rPr>
        <w:t>Porter’s Five Forces:</w:t>
      </w:r>
      <w:bookmarkEnd w:id="12"/>
      <w:r w:rsidRPr="00AE786F">
        <w:rPr>
          <w:rFonts w:cs="Times New Roman"/>
        </w:rPr>
        <w:t xml:space="preserve"> </w:t>
      </w:r>
    </w:p>
    <w:p w14:paraId="5ECEDB17" w14:textId="77777777" w:rsidR="00CB7876" w:rsidRPr="00AE786F" w:rsidRDefault="00000000" w:rsidP="00CB7876">
      <w:pPr>
        <w:rPr>
          <w:rFonts w:cs="Times New Roman"/>
        </w:rPr>
      </w:pPr>
      <w:r w:rsidRPr="00AE786F">
        <w:rPr>
          <w:rFonts w:cs="Times New Roman"/>
        </w:rPr>
        <w:t xml:space="preserve">Porter’s Five Forces is used to understand the competitive forces in the context of the oil and gas industry, which affect the strategic operation of Shell plc. </w:t>
      </w:r>
    </w:p>
    <w:tbl>
      <w:tblPr>
        <w:tblStyle w:val="TableGrid"/>
        <w:tblW w:w="0" w:type="auto"/>
        <w:tblLook w:val="04A0" w:firstRow="1" w:lastRow="0" w:firstColumn="1" w:lastColumn="0" w:noHBand="0" w:noVBand="1"/>
      </w:tblPr>
      <w:tblGrid>
        <w:gridCol w:w="1980"/>
        <w:gridCol w:w="7036"/>
      </w:tblGrid>
      <w:tr w:rsidR="00565D11" w14:paraId="35C37F15" w14:textId="77777777" w:rsidTr="003F4EF7">
        <w:tc>
          <w:tcPr>
            <w:tcW w:w="1980" w:type="dxa"/>
            <w:shd w:val="clear" w:color="auto" w:fill="86D1E6"/>
          </w:tcPr>
          <w:p w14:paraId="40B7DE1E" w14:textId="77777777" w:rsidR="00C561D3" w:rsidRPr="00AE786F" w:rsidRDefault="00000000" w:rsidP="00C561D3">
            <w:pPr>
              <w:jc w:val="center"/>
              <w:rPr>
                <w:rFonts w:cs="Times New Roman"/>
                <w:b/>
                <w:bCs/>
                <w:color w:val="FFFFFF" w:themeColor="background1"/>
              </w:rPr>
            </w:pPr>
            <w:r w:rsidRPr="00AE786F">
              <w:rPr>
                <w:rFonts w:cs="Times New Roman"/>
                <w:b/>
                <w:bCs/>
                <w:color w:val="FFFFFF" w:themeColor="background1"/>
              </w:rPr>
              <w:t>Threat of New Entrants</w:t>
            </w:r>
          </w:p>
        </w:tc>
        <w:tc>
          <w:tcPr>
            <w:tcW w:w="7036" w:type="dxa"/>
            <w:shd w:val="clear" w:color="auto" w:fill="CFEDF5"/>
          </w:tcPr>
          <w:p w14:paraId="68D10541" w14:textId="77777777" w:rsidR="00C561D3" w:rsidRPr="00AE786F" w:rsidRDefault="00000000" w:rsidP="00CB7876">
            <w:pPr>
              <w:rPr>
                <w:rFonts w:cs="Times New Roman"/>
              </w:rPr>
            </w:pPr>
            <w:r w:rsidRPr="00AE786F">
              <w:rPr>
                <w:rFonts w:cs="Times New Roman"/>
              </w:rPr>
              <w:t>New entrants pose a low threat in the context of the oil and gas sector as entry into the business requires capital investment, regulatory compliance and professional technology on a high scale. Shell has well-developed assets and brand awareness, which deter new entrants in the industry which protects Shell.</w:t>
            </w:r>
          </w:p>
        </w:tc>
      </w:tr>
      <w:tr w:rsidR="00565D11" w14:paraId="783B8319" w14:textId="77777777" w:rsidTr="003F4EF7">
        <w:tc>
          <w:tcPr>
            <w:tcW w:w="1980" w:type="dxa"/>
            <w:shd w:val="clear" w:color="auto" w:fill="86D1E6"/>
          </w:tcPr>
          <w:p w14:paraId="27EF14C2" w14:textId="77777777" w:rsidR="00C561D3" w:rsidRPr="00AE786F" w:rsidRDefault="00000000" w:rsidP="00C561D3">
            <w:pPr>
              <w:jc w:val="center"/>
              <w:rPr>
                <w:rFonts w:cs="Times New Roman"/>
                <w:b/>
                <w:bCs/>
                <w:color w:val="FFFFFF" w:themeColor="background1"/>
              </w:rPr>
            </w:pPr>
            <w:r w:rsidRPr="00AE786F">
              <w:rPr>
                <w:rFonts w:cs="Times New Roman"/>
                <w:b/>
                <w:bCs/>
                <w:color w:val="FFFFFF" w:themeColor="background1"/>
              </w:rPr>
              <w:t>Bargaining Power of Suppliers</w:t>
            </w:r>
          </w:p>
        </w:tc>
        <w:tc>
          <w:tcPr>
            <w:tcW w:w="7036" w:type="dxa"/>
            <w:shd w:val="clear" w:color="auto" w:fill="CFEDF5"/>
          </w:tcPr>
          <w:p w14:paraId="19FC1EEF" w14:textId="77777777" w:rsidR="00C561D3" w:rsidRPr="00AE786F" w:rsidRDefault="00000000" w:rsidP="00CB7876">
            <w:pPr>
              <w:rPr>
                <w:rFonts w:cs="Times New Roman"/>
              </w:rPr>
            </w:pPr>
            <w:r w:rsidRPr="00AE786F">
              <w:rPr>
                <w:rFonts w:cs="Times New Roman"/>
              </w:rPr>
              <w:t xml:space="preserve">This bargaining power is somewhat variable. As for the upstream segment, the required equipment and services can be acquired only from particular suppliers, which somewhat controls the prices and conditions of contracts. Still, in this case, Shell has certain advantages, such as its size and the existence of long-term contracts with suppliers, which can decrease this kind of power. In the downstream segment, downstream </w:t>
            </w:r>
            <w:r w:rsidRPr="00AE786F">
              <w:rPr>
                <w:rFonts w:cs="Times New Roman"/>
              </w:rPr>
              <w:lastRenderedPageBreak/>
              <w:t>integration of the supply chain in Shell minimizes its source from outside the supply chain.</w:t>
            </w:r>
          </w:p>
        </w:tc>
      </w:tr>
      <w:tr w:rsidR="00565D11" w14:paraId="17880A18" w14:textId="77777777" w:rsidTr="003F4EF7">
        <w:tc>
          <w:tcPr>
            <w:tcW w:w="1980" w:type="dxa"/>
            <w:shd w:val="clear" w:color="auto" w:fill="86D1E6"/>
          </w:tcPr>
          <w:p w14:paraId="1E2152D7" w14:textId="77777777" w:rsidR="00C561D3" w:rsidRPr="00AE786F" w:rsidRDefault="00000000" w:rsidP="00C561D3">
            <w:pPr>
              <w:jc w:val="center"/>
              <w:rPr>
                <w:rFonts w:cs="Times New Roman"/>
                <w:b/>
                <w:bCs/>
                <w:color w:val="FFFFFF" w:themeColor="background1"/>
              </w:rPr>
            </w:pPr>
            <w:r w:rsidRPr="00AE786F">
              <w:rPr>
                <w:rFonts w:cs="Times New Roman"/>
                <w:b/>
                <w:bCs/>
                <w:color w:val="FFFFFF" w:themeColor="background1"/>
              </w:rPr>
              <w:t>Bargaining Power of Buyers</w:t>
            </w:r>
          </w:p>
        </w:tc>
        <w:tc>
          <w:tcPr>
            <w:tcW w:w="7036" w:type="dxa"/>
            <w:shd w:val="clear" w:color="auto" w:fill="CFEDF5"/>
          </w:tcPr>
          <w:p w14:paraId="7F73C636" w14:textId="77777777" w:rsidR="00C561D3" w:rsidRPr="00AE786F" w:rsidRDefault="00000000" w:rsidP="00CB7876">
            <w:pPr>
              <w:rPr>
                <w:rFonts w:cs="Times New Roman"/>
              </w:rPr>
            </w:pPr>
            <w:r w:rsidRPr="00AE786F">
              <w:rPr>
                <w:rFonts w:cs="Times New Roman"/>
              </w:rPr>
              <w:t>In terms of the bargaining power of buyers, it is moderate. There is a lot of competition in the consumer market for fuel and energy products which enables buyers to negotiate the price and service standards. Yet, Shell has many cards up its sleeve in this respect: it has a vast network of clients and customers are loyal to the brand.</w:t>
            </w:r>
          </w:p>
        </w:tc>
      </w:tr>
      <w:tr w:rsidR="00565D11" w14:paraId="70754442" w14:textId="77777777" w:rsidTr="003F4EF7">
        <w:tc>
          <w:tcPr>
            <w:tcW w:w="1980" w:type="dxa"/>
            <w:shd w:val="clear" w:color="auto" w:fill="86D1E6"/>
          </w:tcPr>
          <w:p w14:paraId="58F7F397" w14:textId="77777777" w:rsidR="00C561D3" w:rsidRPr="00AE786F" w:rsidRDefault="00000000" w:rsidP="00C561D3">
            <w:pPr>
              <w:jc w:val="center"/>
              <w:rPr>
                <w:rFonts w:cs="Times New Roman"/>
                <w:b/>
                <w:bCs/>
                <w:color w:val="FFFFFF" w:themeColor="background1"/>
              </w:rPr>
            </w:pPr>
            <w:r w:rsidRPr="00AE786F">
              <w:rPr>
                <w:rFonts w:cs="Times New Roman"/>
                <w:b/>
                <w:bCs/>
                <w:color w:val="FFFFFF" w:themeColor="background1"/>
              </w:rPr>
              <w:t>Threat of Substitute Products</w:t>
            </w:r>
          </w:p>
        </w:tc>
        <w:tc>
          <w:tcPr>
            <w:tcW w:w="7036" w:type="dxa"/>
            <w:shd w:val="clear" w:color="auto" w:fill="CFEDF5"/>
          </w:tcPr>
          <w:p w14:paraId="3B48BC86" w14:textId="77777777" w:rsidR="00C561D3" w:rsidRPr="00AE786F" w:rsidRDefault="00000000" w:rsidP="00CB7876">
            <w:pPr>
              <w:rPr>
                <w:rFonts w:cs="Times New Roman"/>
              </w:rPr>
            </w:pPr>
            <w:r w:rsidRPr="00AE786F">
              <w:rPr>
                <w:rFonts w:cs="Times New Roman"/>
              </w:rPr>
              <w:t xml:space="preserve">The threat of substitutes has been increasing day by day because of new forms of energy production and storage like solar, wind, and electric vehicles. With the development in technology and the increased emphasis on the use of environmentally sustainable sources of energy, the use of the more conventional sources of energy, which form the basic operations of Shell threatens to be overshadowed. </w:t>
            </w:r>
          </w:p>
        </w:tc>
      </w:tr>
      <w:tr w:rsidR="00565D11" w14:paraId="428F028F" w14:textId="77777777" w:rsidTr="003F4EF7">
        <w:tc>
          <w:tcPr>
            <w:tcW w:w="1980" w:type="dxa"/>
            <w:shd w:val="clear" w:color="auto" w:fill="86D1E6"/>
          </w:tcPr>
          <w:p w14:paraId="5DC8812D" w14:textId="77777777" w:rsidR="00C561D3" w:rsidRPr="00AE786F" w:rsidRDefault="00000000" w:rsidP="00C561D3">
            <w:pPr>
              <w:jc w:val="center"/>
              <w:rPr>
                <w:rFonts w:cs="Times New Roman"/>
                <w:b/>
                <w:bCs/>
                <w:color w:val="FFFFFF" w:themeColor="background1"/>
              </w:rPr>
            </w:pPr>
            <w:r w:rsidRPr="00AE786F">
              <w:rPr>
                <w:rFonts w:cs="Times New Roman"/>
                <w:b/>
                <w:bCs/>
                <w:color w:val="FFFFFF" w:themeColor="background1"/>
              </w:rPr>
              <w:t>Industry Rivalry</w:t>
            </w:r>
          </w:p>
        </w:tc>
        <w:tc>
          <w:tcPr>
            <w:tcW w:w="7036" w:type="dxa"/>
            <w:shd w:val="clear" w:color="auto" w:fill="CFEDF5"/>
          </w:tcPr>
          <w:p w14:paraId="70107615" w14:textId="77777777" w:rsidR="00C561D3" w:rsidRPr="00AE786F" w:rsidRDefault="00000000" w:rsidP="00CB7876">
            <w:pPr>
              <w:rPr>
                <w:rFonts w:cs="Times New Roman"/>
              </w:rPr>
            </w:pPr>
            <w:r w:rsidRPr="00AE786F">
              <w:rPr>
                <w:rFonts w:cs="Times New Roman"/>
              </w:rPr>
              <w:t>Competition intensity in the industry is rather high and the primary competitors include ExxonMobil, BP, and Total Energies. Competition creates tensions in terms of innovation, pricing cost management and other organizational performance measures. This has left Shell in a very sensitive and precarious position because the company depends on research, efficiency and adaptability to maintain a competitive edge.</w:t>
            </w:r>
          </w:p>
        </w:tc>
      </w:tr>
    </w:tbl>
    <w:p w14:paraId="0361F667" w14:textId="77777777" w:rsidR="00D94BEB" w:rsidRPr="00AE786F" w:rsidRDefault="00D94BEB">
      <w:pPr>
        <w:rPr>
          <w:rFonts w:cs="Times New Roman"/>
        </w:rPr>
      </w:pPr>
    </w:p>
    <w:sectPr w:rsidR="00D94BEB" w:rsidRPr="00AE786F" w:rsidSect="00BA5925">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7D9E9" w14:textId="77777777" w:rsidR="0020031D" w:rsidRDefault="0020031D">
      <w:pPr>
        <w:spacing w:after="0" w:line="240" w:lineRule="auto"/>
      </w:pPr>
      <w:r>
        <w:separator/>
      </w:r>
    </w:p>
  </w:endnote>
  <w:endnote w:type="continuationSeparator" w:id="0">
    <w:p w14:paraId="45A1A7B8" w14:textId="77777777" w:rsidR="0020031D" w:rsidRDefault="00200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777697"/>
      <w:docPartObj>
        <w:docPartGallery w:val="Page Numbers (Bottom of Page)"/>
        <w:docPartUnique/>
      </w:docPartObj>
    </w:sdtPr>
    <w:sdtEndPr>
      <w:rPr>
        <w:noProof/>
      </w:rPr>
    </w:sdtEndPr>
    <w:sdtContent>
      <w:p w14:paraId="5B1297DC" w14:textId="77777777" w:rsidR="00AE786F"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58B79F" w14:textId="77777777" w:rsidR="00AE786F" w:rsidRDefault="00AE78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27790" w14:textId="77777777" w:rsidR="0020031D" w:rsidRDefault="0020031D">
      <w:pPr>
        <w:spacing w:after="0" w:line="240" w:lineRule="auto"/>
      </w:pPr>
      <w:r>
        <w:separator/>
      </w:r>
    </w:p>
  </w:footnote>
  <w:footnote w:type="continuationSeparator" w:id="0">
    <w:p w14:paraId="0663395A" w14:textId="77777777" w:rsidR="0020031D" w:rsidRDefault="002003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328F"/>
    <w:multiLevelType w:val="multilevel"/>
    <w:tmpl w:val="8832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B0F03"/>
    <w:multiLevelType w:val="multilevel"/>
    <w:tmpl w:val="43801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06197E"/>
    <w:multiLevelType w:val="multilevel"/>
    <w:tmpl w:val="52DC2C84"/>
    <w:lvl w:ilvl="0">
      <w:start w:val="1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7467C15"/>
    <w:multiLevelType w:val="multilevel"/>
    <w:tmpl w:val="09348F44"/>
    <w:lvl w:ilvl="0">
      <w:start w:val="1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38F667BB"/>
    <w:multiLevelType w:val="multilevel"/>
    <w:tmpl w:val="8056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41057C"/>
    <w:multiLevelType w:val="multilevel"/>
    <w:tmpl w:val="1FEA93EA"/>
    <w:lvl w:ilvl="0">
      <w:start w:val="1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3F6950E4"/>
    <w:multiLevelType w:val="multilevel"/>
    <w:tmpl w:val="DEB2E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A76D0F"/>
    <w:multiLevelType w:val="multilevel"/>
    <w:tmpl w:val="5CB4D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584D9E"/>
    <w:multiLevelType w:val="multilevel"/>
    <w:tmpl w:val="DB62B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BF2668"/>
    <w:multiLevelType w:val="multilevel"/>
    <w:tmpl w:val="18E0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AF6AD6"/>
    <w:multiLevelType w:val="multilevel"/>
    <w:tmpl w:val="DC22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0417C7"/>
    <w:multiLevelType w:val="multilevel"/>
    <w:tmpl w:val="C09A5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DB6F9C"/>
    <w:multiLevelType w:val="multilevel"/>
    <w:tmpl w:val="F8A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4A5D8B"/>
    <w:multiLevelType w:val="multilevel"/>
    <w:tmpl w:val="BC968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C40D46"/>
    <w:multiLevelType w:val="multilevel"/>
    <w:tmpl w:val="E8E2D7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BB7DAD"/>
    <w:multiLevelType w:val="multilevel"/>
    <w:tmpl w:val="576EA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A2119E"/>
    <w:multiLevelType w:val="hybridMultilevel"/>
    <w:tmpl w:val="1DFA4AB4"/>
    <w:lvl w:ilvl="0" w:tplc="3EC468FC">
      <w:start w:val="1"/>
      <w:numFmt w:val="decimal"/>
      <w:lvlText w:val="%1."/>
      <w:lvlJc w:val="left"/>
      <w:pPr>
        <w:ind w:left="360" w:hanging="360"/>
      </w:pPr>
    </w:lvl>
    <w:lvl w:ilvl="1" w:tplc="0010B9A0" w:tentative="1">
      <w:start w:val="1"/>
      <w:numFmt w:val="lowerLetter"/>
      <w:lvlText w:val="%2."/>
      <w:lvlJc w:val="left"/>
      <w:pPr>
        <w:ind w:left="1080" w:hanging="360"/>
      </w:pPr>
    </w:lvl>
    <w:lvl w:ilvl="2" w:tplc="CC3EDCB2" w:tentative="1">
      <w:start w:val="1"/>
      <w:numFmt w:val="lowerRoman"/>
      <w:lvlText w:val="%3."/>
      <w:lvlJc w:val="right"/>
      <w:pPr>
        <w:ind w:left="1800" w:hanging="180"/>
      </w:pPr>
    </w:lvl>
    <w:lvl w:ilvl="3" w:tplc="384AE64C" w:tentative="1">
      <w:start w:val="1"/>
      <w:numFmt w:val="decimal"/>
      <w:lvlText w:val="%4."/>
      <w:lvlJc w:val="left"/>
      <w:pPr>
        <w:ind w:left="2520" w:hanging="360"/>
      </w:pPr>
    </w:lvl>
    <w:lvl w:ilvl="4" w:tplc="87A2DEF4" w:tentative="1">
      <w:start w:val="1"/>
      <w:numFmt w:val="lowerLetter"/>
      <w:lvlText w:val="%5."/>
      <w:lvlJc w:val="left"/>
      <w:pPr>
        <w:ind w:left="3240" w:hanging="360"/>
      </w:pPr>
    </w:lvl>
    <w:lvl w:ilvl="5" w:tplc="E0A268B8" w:tentative="1">
      <w:start w:val="1"/>
      <w:numFmt w:val="lowerRoman"/>
      <w:lvlText w:val="%6."/>
      <w:lvlJc w:val="right"/>
      <w:pPr>
        <w:ind w:left="3960" w:hanging="180"/>
      </w:pPr>
    </w:lvl>
    <w:lvl w:ilvl="6" w:tplc="EB721F34" w:tentative="1">
      <w:start w:val="1"/>
      <w:numFmt w:val="decimal"/>
      <w:lvlText w:val="%7."/>
      <w:lvlJc w:val="left"/>
      <w:pPr>
        <w:ind w:left="4680" w:hanging="360"/>
      </w:pPr>
    </w:lvl>
    <w:lvl w:ilvl="7" w:tplc="6ECE6F60" w:tentative="1">
      <w:start w:val="1"/>
      <w:numFmt w:val="lowerLetter"/>
      <w:lvlText w:val="%8."/>
      <w:lvlJc w:val="left"/>
      <w:pPr>
        <w:ind w:left="5400" w:hanging="360"/>
      </w:pPr>
    </w:lvl>
    <w:lvl w:ilvl="8" w:tplc="30F44D04" w:tentative="1">
      <w:start w:val="1"/>
      <w:numFmt w:val="lowerRoman"/>
      <w:lvlText w:val="%9."/>
      <w:lvlJc w:val="right"/>
      <w:pPr>
        <w:ind w:left="6120" w:hanging="180"/>
      </w:pPr>
    </w:lvl>
  </w:abstractNum>
  <w:num w:numId="1" w16cid:durableId="461071034">
    <w:abstractNumId w:val="0"/>
  </w:num>
  <w:num w:numId="2" w16cid:durableId="408232287">
    <w:abstractNumId w:val="6"/>
  </w:num>
  <w:num w:numId="3" w16cid:durableId="1295209396">
    <w:abstractNumId w:val="11"/>
  </w:num>
  <w:num w:numId="4" w16cid:durableId="767694572">
    <w:abstractNumId w:val="14"/>
  </w:num>
  <w:num w:numId="5" w16cid:durableId="1667394965">
    <w:abstractNumId w:val="1"/>
  </w:num>
  <w:num w:numId="6" w16cid:durableId="1495874189">
    <w:abstractNumId w:val="8"/>
  </w:num>
  <w:num w:numId="7" w16cid:durableId="80181470">
    <w:abstractNumId w:val="13"/>
  </w:num>
  <w:num w:numId="8" w16cid:durableId="1530217207">
    <w:abstractNumId w:val="4"/>
  </w:num>
  <w:num w:numId="9" w16cid:durableId="1646079264">
    <w:abstractNumId w:val="7"/>
  </w:num>
  <w:num w:numId="10" w16cid:durableId="1870990597">
    <w:abstractNumId w:val="10"/>
  </w:num>
  <w:num w:numId="11" w16cid:durableId="1125005278">
    <w:abstractNumId w:val="15"/>
  </w:num>
  <w:num w:numId="12" w16cid:durableId="508256501">
    <w:abstractNumId w:val="2"/>
  </w:num>
  <w:num w:numId="13" w16cid:durableId="783575204">
    <w:abstractNumId w:val="9"/>
  </w:num>
  <w:num w:numId="14" w16cid:durableId="1230267778">
    <w:abstractNumId w:val="3"/>
  </w:num>
  <w:num w:numId="15" w16cid:durableId="2087990726">
    <w:abstractNumId w:val="12"/>
  </w:num>
  <w:num w:numId="16" w16cid:durableId="2075739392">
    <w:abstractNumId w:val="5"/>
  </w:num>
  <w:num w:numId="17" w16cid:durableId="10842555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94F"/>
    <w:rsid w:val="0007735C"/>
    <w:rsid w:val="0020031D"/>
    <w:rsid w:val="002A6BC2"/>
    <w:rsid w:val="002B59D0"/>
    <w:rsid w:val="0035004A"/>
    <w:rsid w:val="003F4EF7"/>
    <w:rsid w:val="004B0BB7"/>
    <w:rsid w:val="00541225"/>
    <w:rsid w:val="00565D11"/>
    <w:rsid w:val="005758A0"/>
    <w:rsid w:val="00596818"/>
    <w:rsid w:val="00667E36"/>
    <w:rsid w:val="007162CD"/>
    <w:rsid w:val="00740FD8"/>
    <w:rsid w:val="00797DAB"/>
    <w:rsid w:val="007E3814"/>
    <w:rsid w:val="00826223"/>
    <w:rsid w:val="00883CA0"/>
    <w:rsid w:val="009712AB"/>
    <w:rsid w:val="00996F6C"/>
    <w:rsid w:val="00AE694F"/>
    <w:rsid w:val="00AE786F"/>
    <w:rsid w:val="00B2548D"/>
    <w:rsid w:val="00B61502"/>
    <w:rsid w:val="00BA37C0"/>
    <w:rsid w:val="00BA5925"/>
    <w:rsid w:val="00C15C55"/>
    <w:rsid w:val="00C210BB"/>
    <w:rsid w:val="00C561D3"/>
    <w:rsid w:val="00C8346E"/>
    <w:rsid w:val="00CB7876"/>
    <w:rsid w:val="00D5602F"/>
    <w:rsid w:val="00D94BEB"/>
    <w:rsid w:val="00F97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C354A"/>
  <w15:chartTrackingRefBased/>
  <w15:docId w15:val="{BDA6BEF1-BEDD-4CB2-8921-4B6ED4660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2A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712AB"/>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712A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D94BEB"/>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2AB"/>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9712A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D94BEB"/>
    <w:rPr>
      <w:rFonts w:ascii="Times New Roman" w:eastAsiaTheme="majorEastAsia" w:hAnsi="Times New Roman" w:cstheme="majorBidi"/>
      <w:b/>
      <w:sz w:val="24"/>
      <w:szCs w:val="24"/>
    </w:rPr>
  </w:style>
  <w:style w:type="table" w:styleId="TableGrid">
    <w:name w:val="Table Grid"/>
    <w:basedOn w:val="TableNormal"/>
    <w:uiPriority w:val="39"/>
    <w:rsid w:val="00CB7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4B0BB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AE7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86F"/>
    <w:rPr>
      <w:rFonts w:ascii="Times New Roman" w:hAnsi="Times New Roman"/>
      <w:sz w:val="24"/>
    </w:rPr>
  </w:style>
  <w:style w:type="paragraph" w:styleId="Footer">
    <w:name w:val="footer"/>
    <w:basedOn w:val="Normal"/>
    <w:link w:val="FooterChar"/>
    <w:uiPriority w:val="99"/>
    <w:unhideWhenUsed/>
    <w:rsid w:val="00AE78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86F"/>
    <w:rPr>
      <w:rFonts w:ascii="Times New Roman" w:hAnsi="Times New Roman"/>
      <w:sz w:val="24"/>
    </w:rPr>
  </w:style>
  <w:style w:type="paragraph" w:styleId="TOCHeading">
    <w:name w:val="TOC Heading"/>
    <w:basedOn w:val="Heading1"/>
    <w:next w:val="Normal"/>
    <w:uiPriority w:val="39"/>
    <w:unhideWhenUsed/>
    <w:qFormat/>
    <w:rsid w:val="00AE786F"/>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E786F"/>
    <w:pPr>
      <w:spacing w:after="100"/>
    </w:pPr>
  </w:style>
  <w:style w:type="paragraph" w:styleId="TOC2">
    <w:name w:val="toc 2"/>
    <w:basedOn w:val="Normal"/>
    <w:next w:val="Normal"/>
    <w:autoRedefine/>
    <w:uiPriority w:val="39"/>
    <w:unhideWhenUsed/>
    <w:rsid w:val="00AE786F"/>
    <w:pPr>
      <w:spacing w:after="100"/>
      <w:ind w:left="240"/>
    </w:pPr>
  </w:style>
  <w:style w:type="character" w:styleId="Hyperlink">
    <w:name w:val="Hyperlink"/>
    <w:basedOn w:val="DefaultParagraphFont"/>
    <w:uiPriority w:val="99"/>
    <w:unhideWhenUsed/>
    <w:rsid w:val="00AE78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2AA24-F279-4D0C-9C70-F64A9F91B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14</Pages>
  <Words>4225</Words>
  <Characters>24088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2024-08-17T10:47:00Z</dcterms:created>
  <dcterms:modified xsi:type="dcterms:W3CDTF">2024-08-23T23:05:00Z</dcterms:modified>
</cp:coreProperties>
</file>