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00866" w14:textId="2FD80C9C" w:rsidR="00C56282" w:rsidRDefault="00043D59" w:rsidP="00185FE3">
      <w:pPr>
        <w:spacing w:before="30"/>
        <w:rPr>
          <w:rFonts w:cstheme="minorHAnsi"/>
          <w:sz w:val="24"/>
          <w:szCs w:val="24"/>
        </w:rPr>
      </w:pPr>
      <w:r>
        <w:rPr>
          <w:rFonts w:cstheme="minorHAnsi"/>
          <w:sz w:val="24"/>
          <w:szCs w:val="24"/>
        </w:rPr>
        <w:t>Ria Boreham</w:t>
      </w:r>
    </w:p>
    <w:p w14:paraId="59A2DC75" w14:textId="34CF7EC0" w:rsidR="00043D59" w:rsidRPr="00185FE3" w:rsidRDefault="00043D59" w:rsidP="00185FE3">
      <w:pPr>
        <w:spacing w:before="30"/>
        <w:rPr>
          <w:rFonts w:cstheme="minorHAnsi"/>
          <w:sz w:val="24"/>
          <w:szCs w:val="24"/>
        </w:rPr>
      </w:pPr>
      <w:r>
        <w:rPr>
          <w:rFonts w:cstheme="minorHAnsi"/>
          <w:sz w:val="24"/>
          <w:szCs w:val="24"/>
        </w:rPr>
        <w:t>Student ID : 2134468</w:t>
      </w:r>
    </w:p>
    <w:p w14:paraId="78A74D6B" w14:textId="77777777" w:rsidR="00490ADC" w:rsidRPr="00185FE3" w:rsidRDefault="00490ADC" w:rsidP="00185FE3">
      <w:pPr>
        <w:pStyle w:val="Default"/>
        <w:spacing w:before="30"/>
        <w:rPr>
          <w:rFonts w:asciiTheme="minorHAnsi" w:hAnsiTheme="minorHAnsi" w:cstheme="minorHAnsi"/>
        </w:rPr>
      </w:pPr>
      <w:r w:rsidRPr="00185FE3">
        <w:rPr>
          <w:rFonts w:asciiTheme="minorHAnsi" w:hAnsiTheme="minorHAnsi" w:cstheme="minorHAnsi"/>
          <w:b/>
          <w:bCs/>
        </w:rPr>
        <w:t xml:space="preserve">Essay one: </w:t>
      </w:r>
    </w:p>
    <w:p w14:paraId="3204F6DF" w14:textId="77777777" w:rsidR="00490ADC" w:rsidRPr="00185FE3" w:rsidRDefault="00490ADC" w:rsidP="00185FE3">
      <w:pPr>
        <w:pStyle w:val="Default"/>
        <w:spacing w:before="30"/>
        <w:rPr>
          <w:rFonts w:asciiTheme="minorHAnsi" w:hAnsiTheme="minorHAnsi" w:cstheme="minorHAnsi"/>
        </w:rPr>
      </w:pPr>
    </w:p>
    <w:p w14:paraId="2C386CA7" w14:textId="1A95FED6" w:rsidR="00185FE3" w:rsidRDefault="00185FE3" w:rsidP="00185FE3">
      <w:pPr>
        <w:pStyle w:val="Default"/>
        <w:spacing w:before="30"/>
        <w:rPr>
          <w:rFonts w:asciiTheme="minorHAnsi" w:hAnsiTheme="minorHAnsi" w:cstheme="minorHAnsi"/>
        </w:rPr>
      </w:pPr>
      <w:r>
        <w:rPr>
          <w:rFonts w:asciiTheme="minorHAnsi" w:hAnsiTheme="minorHAnsi" w:cstheme="minorHAnsi"/>
        </w:rPr>
        <w:t xml:space="preserve">This essay will consider how the Code of Ethics can reduce incidences of professional misconduct and increase public confidence in the police. This essay will focus on 3 key points </w:t>
      </w:r>
      <w:r w:rsidR="007034D5">
        <w:rPr>
          <w:rFonts w:asciiTheme="minorHAnsi" w:hAnsiTheme="minorHAnsi" w:cstheme="minorHAnsi"/>
        </w:rPr>
        <w:t xml:space="preserve">of the Code of Ethics, </w:t>
      </w:r>
      <w:r w:rsidR="00AA6592">
        <w:rPr>
          <w:rFonts w:asciiTheme="minorHAnsi" w:hAnsiTheme="minorHAnsi" w:cstheme="minorHAnsi"/>
        </w:rPr>
        <w:t>challenge,</w:t>
      </w:r>
      <w:r w:rsidR="007034D5">
        <w:rPr>
          <w:rFonts w:asciiTheme="minorHAnsi" w:hAnsiTheme="minorHAnsi" w:cstheme="minorHAnsi"/>
        </w:rPr>
        <w:t xml:space="preserve"> and report improper behaviour, treating people fairly and honesty and integrity. </w:t>
      </w:r>
    </w:p>
    <w:p w14:paraId="3A254546" w14:textId="77777777" w:rsidR="007034D5" w:rsidRDefault="007034D5" w:rsidP="00185FE3">
      <w:pPr>
        <w:pStyle w:val="Default"/>
        <w:spacing w:before="30"/>
        <w:rPr>
          <w:rFonts w:asciiTheme="minorHAnsi" w:hAnsiTheme="minorHAnsi" w:cstheme="minorHAnsi"/>
        </w:rPr>
      </w:pPr>
    </w:p>
    <w:p w14:paraId="1A5FAE8E" w14:textId="4C9ED019" w:rsidR="00571BCB" w:rsidRPr="00185FE3" w:rsidRDefault="00571BCB" w:rsidP="00185FE3">
      <w:pPr>
        <w:pStyle w:val="Default"/>
        <w:spacing w:before="30"/>
        <w:rPr>
          <w:rFonts w:asciiTheme="minorHAnsi" w:hAnsiTheme="minorHAnsi" w:cstheme="minorHAnsi"/>
        </w:rPr>
      </w:pPr>
      <w:r w:rsidRPr="00185FE3">
        <w:rPr>
          <w:rFonts w:asciiTheme="minorHAnsi" w:hAnsiTheme="minorHAnsi" w:cstheme="minorHAnsi"/>
        </w:rPr>
        <w:t>The aim of the Code of Ethics is to support police to deliver the highest professional standards in their service to the public</w:t>
      </w:r>
      <w:r w:rsidR="00AA6592">
        <w:rPr>
          <w:rFonts w:asciiTheme="minorHAnsi" w:hAnsiTheme="minorHAnsi" w:cstheme="minorHAnsi"/>
        </w:rPr>
        <w:t xml:space="preserve"> </w:t>
      </w:r>
      <w:r w:rsidR="0072715B" w:rsidRPr="0072715B">
        <w:rPr>
          <w:rFonts w:asciiTheme="minorHAnsi" w:hAnsiTheme="minorHAnsi" w:cstheme="minorHAnsi"/>
        </w:rPr>
        <w:t>(College of Policing, 2014a)</w:t>
      </w:r>
      <w:r w:rsidR="006502B6">
        <w:rPr>
          <w:rFonts w:asciiTheme="minorHAnsi" w:hAnsiTheme="minorHAnsi" w:cstheme="minorHAnsi"/>
        </w:rPr>
        <w:t xml:space="preserve">. </w:t>
      </w:r>
      <w:r w:rsidRPr="00185FE3">
        <w:rPr>
          <w:rFonts w:asciiTheme="minorHAnsi" w:hAnsiTheme="minorHAnsi" w:cstheme="minorHAnsi"/>
        </w:rPr>
        <w:t>Every officer is expected to adopt</w:t>
      </w:r>
      <w:r w:rsidR="00C63841" w:rsidRPr="00185FE3">
        <w:rPr>
          <w:rFonts w:asciiTheme="minorHAnsi" w:hAnsiTheme="minorHAnsi" w:cstheme="minorHAnsi"/>
        </w:rPr>
        <w:t xml:space="preserve"> and abide by</w:t>
      </w:r>
      <w:r w:rsidRPr="00185FE3">
        <w:rPr>
          <w:rFonts w:asciiTheme="minorHAnsi" w:hAnsiTheme="minorHAnsi" w:cstheme="minorHAnsi"/>
        </w:rPr>
        <w:t xml:space="preserve"> the Code of Ethics. The Code of Ethics consists of </w:t>
      </w:r>
      <w:r w:rsidR="00C63841" w:rsidRPr="00185FE3">
        <w:rPr>
          <w:rFonts w:asciiTheme="minorHAnsi" w:hAnsiTheme="minorHAnsi" w:cstheme="minorHAnsi"/>
        </w:rPr>
        <w:t>10</w:t>
      </w:r>
      <w:r w:rsidRPr="00185FE3">
        <w:rPr>
          <w:rFonts w:asciiTheme="minorHAnsi" w:hAnsiTheme="minorHAnsi" w:cstheme="minorHAnsi"/>
        </w:rPr>
        <w:t xml:space="preserve"> different principles </w:t>
      </w:r>
      <w:r w:rsidR="005655C0" w:rsidRPr="00185FE3">
        <w:rPr>
          <w:rFonts w:asciiTheme="minorHAnsi" w:hAnsiTheme="minorHAnsi" w:cstheme="minorHAnsi"/>
        </w:rPr>
        <w:t xml:space="preserve">that officers </w:t>
      </w:r>
      <w:r w:rsidR="00AA6592" w:rsidRPr="00185FE3">
        <w:rPr>
          <w:rFonts w:asciiTheme="minorHAnsi" w:hAnsiTheme="minorHAnsi" w:cstheme="minorHAnsi"/>
        </w:rPr>
        <w:t>must</w:t>
      </w:r>
      <w:r w:rsidRPr="00185FE3">
        <w:rPr>
          <w:rFonts w:asciiTheme="minorHAnsi" w:hAnsiTheme="minorHAnsi" w:cstheme="minorHAnsi"/>
        </w:rPr>
        <w:t xml:space="preserve"> consider during the </w:t>
      </w:r>
      <w:r w:rsidR="00AA6592" w:rsidRPr="00185FE3">
        <w:rPr>
          <w:rFonts w:asciiTheme="minorHAnsi" w:hAnsiTheme="minorHAnsi" w:cstheme="minorHAnsi"/>
        </w:rPr>
        <w:t>decision-making</w:t>
      </w:r>
      <w:r w:rsidRPr="00185FE3">
        <w:rPr>
          <w:rFonts w:asciiTheme="minorHAnsi" w:hAnsiTheme="minorHAnsi" w:cstheme="minorHAnsi"/>
        </w:rPr>
        <w:t xml:space="preserve"> process</w:t>
      </w:r>
      <w:r w:rsidR="00C63841" w:rsidRPr="00185FE3">
        <w:rPr>
          <w:rFonts w:asciiTheme="minorHAnsi" w:hAnsiTheme="minorHAnsi" w:cstheme="minorHAnsi"/>
        </w:rPr>
        <w:t xml:space="preserve"> and throughout their daily lives whilst on or off duty</w:t>
      </w:r>
      <w:r w:rsidRPr="00185FE3">
        <w:rPr>
          <w:rFonts w:asciiTheme="minorHAnsi" w:hAnsiTheme="minorHAnsi" w:cstheme="minorHAnsi"/>
        </w:rPr>
        <w:t xml:space="preserve">. There are repercussions set for those who fail to meet the requirements set by the Code of Ethics. This can result in career changing or even life-changing events for those involved depending on the severity of the misconduct. </w:t>
      </w:r>
    </w:p>
    <w:p w14:paraId="2BF0BD8C" w14:textId="77777777" w:rsidR="00571BCB" w:rsidRPr="00185FE3" w:rsidRDefault="00571BCB" w:rsidP="00185FE3">
      <w:pPr>
        <w:pStyle w:val="Default"/>
        <w:spacing w:before="30"/>
        <w:rPr>
          <w:rFonts w:asciiTheme="minorHAnsi" w:hAnsiTheme="minorHAnsi" w:cstheme="minorHAnsi"/>
        </w:rPr>
      </w:pPr>
    </w:p>
    <w:p w14:paraId="15A7ACDA" w14:textId="2717FBB1" w:rsidR="00AA6592" w:rsidRDefault="00F84723" w:rsidP="00185FE3">
      <w:pPr>
        <w:pStyle w:val="Default"/>
        <w:spacing w:before="30"/>
        <w:rPr>
          <w:rFonts w:asciiTheme="minorHAnsi" w:hAnsiTheme="minorHAnsi" w:cstheme="minorHAnsi"/>
        </w:rPr>
      </w:pPr>
      <w:r>
        <w:rPr>
          <w:rFonts w:asciiTheme="minorHAnsi" w:hAnsiTheme="minorHAnsi" w:cstheme="minorHAnsi"/>
        </w:rPr>
        <w:t>For policing to work effectively it</w:t>
      </w:r>
      <w:r w:rsidR="008203D9">
        <w:rPr>
          <w:rFonts w:asciiTheme="minorHAnsi" w:hAnsiTheme="minorHAnsi" w:cstheme="minorHAnsi"/>
        </w:rPr>
        <w:t>’s</w:t>
      </w:r>
      <w:r>
        <w:rPr>
          <w:rFonts w:asciiTheme="minorHAnsi" w:hAnsiTheme="minorHAnsi" w:cstheme="minorHAnsi"/>
        </w:rPr>
        <w:t xml:space="preserve"> important that police officers have the trust and confidence from the public. The more confidence that the public have in the police the more they are likely to make reports and provide information such as intelligence around drug use or supply and drink drivers. This allows police to act on this information and potentially </w:t>
      </w:r>
      <w:r w:rsidR="00B874E1">
        <w:rPr>
          <w:rFonts w:asciiTheme="minorHAnsi" w:hAnsiTheme="minorHAnsi" w:cstheme="minorHAnsi"/>
        </w:rPr>
        <w:t xml:space="preserve">achieve successful results and identify offenders. This is in turn will help to increase public confidence further if the public can see that the police force is acting on information provided by the public. </w:t>
      </w:r>
      <w:r w:rsidR="005B4697" w:rsidRPr="00185FE3">
        <w:rPr>
          <w:rFonts w:asciiTheme="minorHAnsi" w:hAnsiTheme="minorHAnsi" w:cstheme="minorHAnsi"/>
        </w:rPr>
        <w:t xml:space="preserve">“Public confidence has been the key indicator of trust, legitimacy and consent in policing” </w:t>
      </w:r>
      <w:r w:rsidR="0072715B" w:rsidRPr="0072715B">
        <w:rPr>
          <w:rFonts w:asciiTheme="minorHAnsi" w:hAnsiTheme="minorHAnsi" w:cstheme="minorHAnsi"/>
        </w:rPr>
        <w:t>(MERRY et al., 2011)</w:t>
      </w:r>
      <w:r w:rsidR="0072715B">
        <w:rPr>
          <w:rFonts w:asciiTheme="minorHAnsi" w:hAnsiTheme="minorHAnsi" w:cstheme="minorHAnsi"/>
        </w:rPr>
        <w:t>.</w:t>
      </w:r>
    </w:p>
    <w:p w14:paraId="0A2886FB" w14:textId="2FDF2750" w:rsidR="009B536B" w:rsidRDefault="00F84723" w:rsidP="00185FE3">
      <w:pPr>
        <w:pStyle w:val="Default"/>
        <w:spacing w:before="30"/>
        <w:rPr>
          <w:rFonts w:asciiTheme="minorHAnsi" w:hAnsiTheme="minorHAnsi" w:cstheme="minorHAnsi"/>
        </w:rPr>
      </w:pPr>
      <w:r w:rsidRPr="00185FE3">
        <w:rPr>
          <w:rFonts w:asciiTheme="minorHAnsi" w:hAnsiTheme="minorHAnsi" w:cstheme="minorHAnsi"/>
        </w:rPr>
        <w:t xml:space="preserve">The findings from the British Crime Survey </w:t>
      </w:r>
      <w:r w:rsidR="009A0528">
        <w:rPr>
          <w:rFonts w:asciiTheme="minorHAnsi" w:hAnsiTheme="minorHAnsi" w:cstheme="minorHAnsi"/>
        </w:rPr>
        <w:t>from the</w:t>
      </w:r>
      <w:r>
        <w:rPr>
          <w:rFonts w:asciiTheme="minorHAnsi" w:hAnsiTheme="minorHAnsi" w:cstheme="minorHAnsi"/>
        </w:rPr>
        <w:t xml:space="preserve"> year ending March 2020 </w:t>
      </w:r>
      <w:r w:rsidRPr="00185FE3">
        <w:rPr>
          <w:rFonts w:asciiTheme="minorHAnsi" w:hAnsiTheme="minorHAnsi" w:cstheme="minorHAnsi"/>
        </w:rPr>
        <w:t xml:space="preserve">showed that 74% of people aged 16 and over in England and Wales said they had confidence in their local police </w:t>
      </w:r>
      <w:r w:rsidR="0072715B" w:rsidRPr="0072715B">
        <w:rPr>
          <w:rFonts w:asciiTheme="minorHAnsi" w:hAnsiTheme="minorHAnsi" w:cstheme="minorHAnsi"/>
        </w:rPr>
        <w:t>(Office for National Statistics, 2021a)</w:t>
      </w:r>
      <w:r w:rsidR="009D58EE">
        <w:rPr>
          <w:rFonts w:asciiTheme="minorHAnsi" w:hAnsiTheme="minorHAnsi" w:cstheme="minorHAnsi"/>
        </w:rPr>
        <w:t>.</w:t>
      </w:r>
      <w:r w:rsidR="0072715B">
        <w:rPr>
          <w:rFonts w:asciiTheme="minorHAnsi" w:hAnsiTheme="minorHAnsi" w:cstheme="minorHAnsi"/>
        </w:rPr>
        <w:t xml:space="preserve"> </w:t>
      </w:r>
      <w:r>
        <w:rPr>
          <w:rFonts w:asciiTheme="minorHAnsi" w:hAnsiTheme="minorHAnsi" w:cstheme="minorHAnsi"/>
        </w:rPr>
        <w:t xml:space="preserve">In addition to that </w:t>
      </w:r>
      <w:r w:rsidR="005B4697" w:rsidRPr="00185FE3">
        <w:rPr>
          <w:rFonts w:asciiTheme="minorHAnsi" w:hAnsiTheme="minorHAnsi" w:cstheme="minorHAnsi"/>
        </w:rPr>
        <w:t xml:space="preserve">recent surveys </w:t>
      </w:r>
      <w:r w:rsidR="00D17971" w:rsidRPr="00185FE3">
        <w:rPr>
          <w:rFonts w:asciiTheme="minorHAnsi" w:hAnsiTheme="minorHAnsi" w:cstheme="minorHAnsi"/>
        </w:rPr>
        <w:t>conducted by the Office for National Statistics most responses stated that their local police were doing either a good or excellent job. However</w:t>
      </w:r>
      <w:r>
        <w:rPr>
          <w:rFonts w:asciiTheme="minorHAnsi" w:hAnsiTheme="minorHAnsi" w:cstheme="minorHAnsi"/>
        </w:rPr>
        <w:t>,</w:t>
      </w:r>
      <w:r w:rsidR="00D17971" w:rsidRPr="00185FE3">
        <w:rPr>
          <w:rFonts w:asciiTheme="minorHAnsi" w:hAnsiTheme="minorHAnsi" w:cstheme="minorHAnsi"/>
        </w:rPr>
        <w:t xml:space="preserve"> </w:t>
      </w:r>
      <w:r>
        <w:rPr>
          <w:rFonts w:asciiTheme="minorHAnsi" w:hAnsiTheme="minorHAnsi" w:cstheme="minorHAnsi"/>
        </w:rPr>
        <w:t>the statistics did also</w:t>
      </w:r>
      <w:r w:rsidR="00D17971" w:rsidRPr="00185FE3">
        <w:rPr>
          <w:rFonts w:asciiTheme="minorHAnsi" w:hAnsiTheme="minorHAnsi" w:cstheme="minorHAnsi"/>
        </w:rPr>
        <w:t xml:space="preserve"> show a decline in the figures in 2019/2020 from those in 2015/2016. The figures showed a 63% decrease. </w:t>
      </w:r>
      <w:r w:rsidR="0072715B" w:rsidRPr="0072715B">
        <w:rPr>
          <w:rFonts w:asciiTheme="minorHAnsi" w:hAnsiTheme="minorHAnsi" w:cstheme="minorHAnsi"/>
        </w:rPr>
        <w:t>(Office for National Statistics, 2021</w:t>
      </w:r>
      <w:r w:rsidR="0072715B">
        <w:rPr>
          <w:rFonts w:asciiTheme="minorHAnsi" w:hAnsiTheme="minorHAnsi" w:cstheme="minorHAnsi"/>
        </w:rPr>
        <w:t>b</w:t>
      </w:r>
      <w:r w:rsidR="0072715B" w:rsidRPr="0072715B">
        <w:rPr>
          <w:rFonts w:asciiTheme="minorHAnsi" w:hAnsiTheme="minorHAnsi" w:cstheme="minorHAnsi"/>
        </w:rPr>
        <w:t>)</w:t>
      </w:r>
      <w:r w:rsidR="009D58EE">
        <w:t>.</w:t>
      </w:r>
    </w:p>
    <w:p w14:paraId="1D838234" w14:textId="734925B7" w:rsidR="00121664" w:rsidRPr="00185FE3" w:rsidRDefault="00121664" w:rsidP="00185FE3">
      <w:pPr>
        <w:pStyle w:val="Default"/>
        <w:spacing w:before="30"/>
        <w:rPr>
          <w:rFonts w:asciiTheme="minorHAnsi" w:hAnsiTheme="minorHAnsi" w:cstheme="minorHAnsi"/>
        </w:rPr>
      </w:pPr>
      <w:r>
        <w:rPr>
          <w:rFonts w:asciiTheme="minorHAnsi" w:hAnsiTheme="minorHAnsi" w:cstheme="minorHAnsi"/>
        </w:rPr>
        <w:t>This shows that although the figures are relatively high for confidence in poli</w:t>
      </w:r>
      <w:r w:rsidR="001B38C1">
        <w:rPr>
          <w:rFonts w:asciiTheme="minorHAnsi" w:hAnsiTheme="minorHAnsi" w:cstheme="minorHAnsi"/>
        </w:rPr>
        <w:t xml:space="preserve">cing of 74%, that the trust and confidence that members of the public have in the police force has decrease by a substantial 63% in comparison. This could be because of a number of </w:t>
      </w:r>
      <w:r w:rsidR="008203D9">
        <w:rPr>
          <w:rFonts w:asciiTheme="minorHAnsi" w:hAnsiTheme="minorHAnsi" w:cstheme="minorHAnsi"/>
        </w:rPr>
        <w:t>high-profile</w:t>
      </w:r>
      <w:r w:rsidR="001B38C1">
        <w:rPr>
          <w:rFonts w:asciiTheme="minorHAnsi" w:hAnsiTheme="minorHAnsi" w:cstheme="minorHAnsi"/>
        </w:rPr>
        <w:t xml:space="preserve"> events involving police officers particularly from The Met Police whereby it was highlighted that officers with concerning convictions had not been vetted appropriately and were allowed to continue as police officers. </w:t>
      </w:r>
    </w:p>
    <w:p w14:paraId="4F65ECD3" w14:textId="77777777" w:rsidR="006C7842" w:rsidRPr="00185FE3" w:rsidRDefault="006C7842" w:rsidP="00185FE3">
      <w:pPr>
        <w:pStyle w:val="Default"/>
        <w:spacing w:before="30"/>
        <w:rPr>
          <w:rFonts w:asciiTheme="minorHAnsi" w:hAnsiTheme="minorHAnsi" w:cstheme="minorHAnsi"/>
        </w:rPr>
      </w:pPr>
    </w:p>
    <w:p w14:paraId="74A8D0CF" w14:textId="7E7A89FB" w:rsidR="00F16A8E" w:rsidRDefault="00F16A8E" w:rsidP="00185FE3">
      <w:pPr>
        <w:pStyle w:val="Default"/>
        <w:spacing w:before="30"/>
        <w:rPr>
          <w:rFonts w:asciiTheme="minorHAnsi" w:hAnsiTheme="minorHAnsi" w:cstheme="minorHAnsi"/>
        </w:rPr>
      </w:pPr>
      <w:r w:rsidRPr="00F16A8E">
        <w:rPr>
          <w:rFonts w:asciiTheme="minorHAnsi" w:hAnsiTheme="minorHAnsi" w:cstheme="minorHAnsi"/>
        </w:rPr>
        <w:t>Some</w:t>
      </w:r>
      <w:r w:rsidR="005A753D" w:rsidRPr="00F16A8E">
        <w:rPr>
          <w:rFonts w:asciiTheme="minorHAnsi" w:hAnsiTheme="minorHAnsi" w:cstheme="minorHAnsi"/>
        </w:rPr>
        <w:t xml:space="preserve"> recent </w:t>
      </w:r>
      <w:r w:rsidR="008203D9" w:rsidRPr="00F16A8E">
        <w:rPr>
          <w:rFonts w:asciiTheme="minorHAnsi" w:hAnsiTheme="minorHAnsi" w:cstheme="minorHAnsi"/>
        </w:rPr>
        <w:t>high-profile</w:t>
      </w:r>
      <w:r w:rsidR="005A753D" w:rsidRPr="00F16A8E">
        <w:rPr>
          <w:rFonts w:asciiTheme="minorHAnsi" w:hAnsiTheme="minorHAnsi" w:cstheme="minorHAnsi"/>
        </w:rPr>
        <w:t xml:space="preserve"> even</w:t>
      </w:r>
      <w:r w:rsidRPr="00F16A8E">
        <w:rPr>
          <w:rFonts w:asciiTheme="minorHAnsi" w:hAnsiTheme="minorHAnsi" w:cstheme="minorHAnsi"/>
        </w:rPr>
        <w:t>s such as</w:t>
      </w:r>
      <w:r w:rsidR="00B874E1" w:rsidRPr="00F16A8E">
        <w:rPr>
          <w:rFonts w:asciiTheme="minorHAnsi" w:hAnsiTheme="minorHAnsi" w:cstheme="minorHAnsi"/>
        </w:rPr>
        <w:t xml:space="preserve"> the murder or Sarah Everard by PC Wayne Couzens </w:t>
      </w:r>
      <w:r w:rsidR="00807D2A" w:rsidRPr="00F16A8E">
        <w:rPr>
          <w:rFonts w:asciiTheme="minorHAnsi" w:hAnsiTheme="minorHAnsi" w:cstheme="minorHAnsi"/>
        </w:rPr>
        <w:t>make</w:t>
      </w:r>
      <w:r w:rsidR="005A753D" w:rsidRPr="00F16A8E">
        <w:rPr>
          <w:rFonts w:asciiTheme="minorHAnsi" w:hAnsiTheme="minorHAnsi" w:cstheme="minorHAnsi"/>
        </w:rPr>
        <w:t>s</w:t>
      </w:r>
      <w:r w:rsidR="00807D2A" w:rsidRPr="00F16A8E">
        <w:rPr>
          <w:rFonts w:asciiTheme="minorHAnsi" w:hAnsiTheme="minorHAnsi" w:cstheme="minorHAnsi"/>
        </w:rPr>
        <w:t xml:space="preserve"> it clear to see why members of the public</w:t>
      </w:r>
      <w:r w:rsidRPr="00F16A8E">
        <w:rPr>
          <w:rFonts w:asciiTheme="minorHAnsi" w:hAnsiTheme="minorHAnsi" w:cstheme="minorHAnsi"/>
        </w:rPr>
        <w:t xml:space="preserve"> may begin to </w:t>
      </w:r>
      <w:r w:rsidR="006502B6" w:rsidRPr="00F16A8E">
        <w:rPr>
          <w:rFonts w:asciiTheme="minorHAnsi" w:hAnsiTheme="minorHAnsi" w:cstheme="minorHAnsi"/>
        </w:rPr>
        <w:t>lose</w:t>
      </w:r>
      <w:r w:rsidR="00807D2A" w:rsidRPr="00F16A8E">
        <w:rPr>
          <w:rFonts w:asciiTheme="minorHAnsi" w:hAnsiTheme="minorHAnsi" w:cstheme="minorHAnsi"/>
        </w:rPr>
        <w:t xml:space="preserve"> confidence in the police. </w:t>
      </w:r>
      <w:r w:rsidR="008203D9" w:rsidRPr="00F16A8E">
        <w:rPr>
          <w:rFonts w:asciiTheme="minorHAnsi" w:hAnsiTheme="minorHAnsi" w:cstheme="minorHAnsi"/>
        </w:rPr>
        <w:t xml:space="preserve">This case </w:t>
      </w:r>
      <w:r w:rsidR="00807D2A" w:rsidRPr="00F16A8E">
        <w:rPr>
          <w:rFonts w:asciiTheme="minorHAnsi" w:hAnsiTheme="minorHAnsi" w:cstheme="minorHAnsi"/>
        </w:rPr>
        <w:t>is a</w:t>
      </w:r>
      <w:r w:rsidR="00C86338" w:rsidRPr="00F16A8E">
        <w:rPr>
          <w:rFonts w:asciiTheme="minorHAnsi" w:hAnsiTheme="minorHAnsi" w:cstheme="minorHAnsi"/>
        </w:rPr>
        <w:t xml:space="preserve">n extreme example of how a police officer can betray the code of ethics and abuse their position of power as a constable, their actions severely damaging public trust in the police service. </w:t>
      </w:r>
    </w:p>
    <w:p w14:paraId="6B01F82C" w14:textId="19D7C36F" w:rsidR="00237726" w:rsidRDefault="00F16A8E" w:rsidP="00185FE3">
      <w:pPr>
        <w:pStyle w:val="Default"/>
        <w:spacing w:before="30"/>
      </w:pPr>
      <w:r>
        <w:rPr>
          <w:rFonts w:asciiTheme="minorHAnsi" w:hAnsiTheme="minorHAnsi" w:cstheme="minorHAnsi"/>
        </w:rPr>
        <w:lastRenderedPageBreak/>
        <w:t>According to a nationwide research study, conducted by The End Violence Against Women Coalition, 47% of woman and 40% of men stated that they had a declining trust in the police after details of the rape and murder of Sarah Everard were published</w:t>
      </w:r>
      <w:r w:rsidRPr="00237726">
        <w:rPr>
          <w:rFonts w:asciiTheme="majorHAnsi" w:hAnsiTheme="majorHAnsi" w:cstheme="majorHAnsi"/>
        </w:rPr>
        <w:t>. (Geoghegan, 2021)</w:t>
      </w:r>
    </w:p>
    <w:p w14:paraId="7DE63509" w14:textId="7AB47277" w:rsidR="00237726" w:rsidRDefault="00237726" w:rsidP="00185FE3">
      <w:pPr>
        <w:pStyle w:val="Default"/>
        <w:spacing w:before="30"/>
        <w:rPr>
          <w:rFonts w:asciiTheme="minorHAnsi" w:hAnsiTheme="minorHAnsi" w:cstheme="minorHAnsi"/>
        </w:rPr>
      </w:pPr>
      <w:r>
        <w:rPr>
          <w:rFonts w:asciiTheme="minorHAnsi" w:hAnsiTheme="minorHAnsi" w:cstheme="minorHAnsi"/>
        </w:rPr>
        <w:t xml:space="preserve">The research also showed that 1 in 10 females were less likely to report a sexual assault following this case. This is a concerning figure as police are unable to conduct any investigation </w:t>
      </w:r>
      <w:r w:rsidR="006502B6">
        <w:rPr>
          <w:rFonts w:asciiTheme="minorHAnsi" w:hAnsiTheme="minorHAnsi" w:cstheme="minorHAnsi"/>
        </w:rPr>
        <w:t>in regard to</w:t>
      </w:r>
      <w:r>
        <w:rPr>
          <w:rFonts w:asciiTheme="minorHAnsi" w:hAnsiTheme="minorHAnsi" w:cstheme="minorHAnsi"/>
        </w:rPr>
        <w:t xml:space="preserve"> the perpetrator if they are not made aware of the offence.</w:t>
      </w:r>
    </w:p>
    <w:p w14:paraId="760859ED" w14:textId="62C7224B" w:rsidR="00237726" w:rsidRDefault="00237726" w:rsidP="00185FE3">
      <w:pPr>
        <w:pStyle w:val="Default"/>
        <w:spacing w:before="30"/>
        <w:rPr>
          <w:rFonts w:asciiTheme="minorHAnsi" w:hAnsiTheme="minorHAnsi" w:cstheme="minorHAnsi"/>
        </w:rPr>
      </w:pPr>
      <w:r>
        <w:rPr>
          <w:rFonts w:asciiTheme="minorHAnsi" w:hAnsiTheme="minorHAnsi" w:cstheme="minorHAnsi"/>
        </w:rPr>
        <w:t xml:space="preserve">Figures also showed that an extremely high number of women who took part in the research said that the culture of policing had to change to protect women and girls against violence. </w:t>
      </w:r>
    </w:p>
    <w:p w14:paraId="79434CEA" w14:textId="27F9E94F" w:rsidR="00237726" w:rsidRPr="00237726" w:rsidRDefault="00237726" w:rsidP="00185FE3">
      <w:pPr>
        <w:pStyle w:val="Default"/>
        <w:spacing w:before="30"/>
        <w:rPr>
          <w:rFonts w:asciiTheme="minorHAnsi" w:hAnsiTheme="minorHAnsi" w:cstheme="minorHAnsi"/>
        </w:rPr>
      </w:pPr>
      <w:r>
        <w:rPr>
          <w:rFonts w:asciiTheme="minorHAnsi" w:hAnsiTheme="minorHAnsi" w:cstheme="minorHAnsi"/>
        </w:rPr>
        <w:t xml:space="preserve">If police officers </w:t>
      </w:r>
      <w:r w:rsidR="006502B6">
        <w:rPr>
          <w:rFonts w:asciiTheme="minorHAnsi" w:hAnsiTheme="minorHAnsi" w:cstheme="minorHAnsi"/>
        </w:rPr>
        <w:t>always acted within the code of ethics</w:t>
      </w:r>
      <w:r>
        <w:rPr>
          <w:rFonts w:asciiTheme="minorHAnsi" w:hAnsiTheme="minorHAnsi" w:cstheme="minorHAnsi"/>
        </w:rPr>
        <w:t xml:space="preserve">, this would encourage trust in the police as police would be seen to be doing the right thing and protecting vulnerable people and women and girls against violence and sexual offences. </w:t>
      </w:r>
    </w:p>
    <w:p w14:paraId="03E689C2" w14:textId="77777777" w:rsidR="00F16A8E" w:rsidRDefault="00F16A8E" w:rsidP="00185FE3">
      <w:pPr>
        <w:pStyle w:val="Default"/>
        <w:spacing w:before="30"/>
        <w:rPr>
          <w:rFonts w:asciiTheme="minorHAnsi" w:hAnsiTheme="minorHAnsi" w:cstheme="minorHAnsi"/>
        </w:rPr>
      </w:pPr>
    </w:p>
    <w:p w14:paraId="2F233933" w14:textId="17DD3E04" w:rsidR="00C86338" w:rsidRPr="00DC2E6E" w:rsidRDefault="00F16A8E" w:rsidP="00185FE3">
      <w:pPr>
        <w:pStyle w:val="Default"/>
        <w:spacing w:before="30"/>
        <w:rPr>
          <w:rFonts w:asciiTheme="minorHAnsi" w:hAnsiTheme="minorHAnsi" w:cstheme="minorHAnsi"/>
        </w:rPr>
      </w:pPr>
      <w:r w:rsidRPr="00237726">
        <w:rPr>
          <w:rFonts w:asciiTheme="minorHAnsi" w:hAnsiTheme="minorHAnsi" w:cstheme="minorHAnsi"/>
        </w:rPr>
        <w:t xml:space="preserve">One of </w:t>
      </w:r>
      <w:r w:rsidR="00C86338" w:rsidRPr="00237726">
        <w:rPr>
          <w:rFonts w:asciiTheme="minorHAnsi" w:hAnsiTheme="minorHAnsi" w:cstheme="minorHAnsi"/>
        </w:rPr>
        <w:t>The Code of Ethics</w:t>
      </w:r>
      <w:r w:rsidRPr="00237726">
        <w:rPr>
          <w:rFonts w:asciiTheme="minorHAnsi" w:hAnsiTheme="minorHAnsi" w:cstheme="minorHAnsi"/>
        </w:rPr>
        <w:t xml:space="preserve"> is to</w:t>
      </w:r>
      <w:r w:rsidR="00C86338" w:rsidRPr="00237726">
        <w:rPr>
          <w:rFonts w:asciiTheme="minorHAnsi" w:hAnsiTheme="minorHAnsi" w:cstheme="minorHAnsi"/>
        </w:rPr>
        <w:t xml:space="preserve"> “Challenge and report improper behaviour”. </w:t>
      </w:r>
      <w:r w:rsidR="00DB58C2" w:rsidRPr="00237726">
        <w:rPr>
          <w:rFonts w:asciiTheme="minorHAnsi" w:hAnsiTheme="minorHAnsi" w:cstheme="minorHAnsi"/>
        </w:rPr>
        <w:t>Colleagues are expected to report and challenge any behaviour conducted by a colleague</w:t>
      </w:r>
      <w:r w:rsidR="00237726" w:rsidRPr="00237726">
        <w:rPr>
          <w:rFonts w:asciiTheme="minorHAnsi" w:hAnsiTheme="minorHAnsi" w:cstheme="minorHAnsi"/>
        </w:rPr>
        <w:t>. However</w:t>
      </w:r>
      <w:r w:rsidR="00237726">
        <w:rPr>
          <w:rFonts w:asciiTheme="minorHAnsi" w:hAnsiTheme="minorHAnsi" w:cstheme="minorHAnsi"/>
        </w:rPr>
        <w:t xml:space="preserve">, </w:t>
      </w:r>
      <w:r w:rsidR="00237726" w:rsidRPr="00237726">
        <w:rPr>
          <w:rFonts w:asciiTheme="minorHAnsi" w:hAnsiTheme="minorHAnsi" w:cstheme="minorHAnsi"/>
        </w:rPr>
        <w:t>studies have shown that there is a “code of silence” when it comes to reporting misconduct amongst colleagues.</w:t>
      </w:r>
      <w:r w:rsidR="00DC2E6E">
        <w:rPr>
          <w:rFonts w:asciiTheme="minorHAnsi" w:hAnsiTheme="minorHAnsi" w:cstheme="minorHAnsi"/>
        </w:rPr>
        <w:t xml:space="preserve"> </w:t>
      </w:r>
      <w:r w:rsidR="00BF1D85">
        <w:rPr>
          <w:rFonts w:asciiTheme="minorHAnsi" w:hAnsiTheme="minorHAnsi" w:cstheme="minorHAnsi"/>
        </w:rPr>
        <w:t>Research</w:t>
      </w:r>
      <w:r w:rsidR="00237726" w:rsidRPr="00DC2E6E">
        <w:rPr>
          <w:rFonts w:asciiTheme="minorHAnsi" w:hAnsiTheme="minorHAnsi" w:cstheme="minorHAnsi"/>
        </w:rPr>
        <w:t xml:space="preserve"> </w:t>
      </w:r>
      <w:r w:rsidR="00DC2E6E" w:rsidRPr="00DC2E6E">
        <w:rPr>
          <w:rFonts w:asciiTheme="minorHAnsi" w:hAnsiTheme="minorHAnsi" w:cstheme="minorHAnsi"/>
        </w:rPr>
        <w:t>(Westmarland and Conway, 2020)</w:t>
      </w:r>
      <w:r w:rsidR="00BF1D85">
        <w:rPr>
          <w:rFonts w:asciiTheme="minorHAnsi" w:hAnsiTheme="minorHAnsi" w:cstheme="minorHAnsi"/>
        </w:rPr>
        <w:t xml:space="preserve"> into how likely an officer is to report misconduct shows that it is </w:t>
      </w:r>
      <w:r w:rsidR="00DC2E6E" w:rsidRPr="00DC2E6E">
        <w:rPr>
          <w:rFonts w:asciiTheme="minorHAnsi" w:hAnsiTheme="minorHAnsi" w:cstheme="minorHAnsi"/>
        </w:rPr>
        <w:t>determine</w:t>
      </w:r>
      <w:r w:rsidR="00BF1D85">
        <w:rPr>
          <w:rFonts w:asciiTheme="minorHAnsi" w:hAnsiTheme="minorHAnsi" w:cstheme="minorHAnsi"/>
        </w:rPr>
        <w:t xml:space="preserve">d by </w:t>
      </w:r>
      <w:r w:rsidR="00DC2E6E">
        <w:rPr>
          <w:rFonts w:asciiTheme="minorHAnsi" w:hAnsiTheme="minorHAnsi" w:cstheme="minorHAnsi"/>
        </w:rPr>
        <w:t>how serious an officer perceives an inciden</w:t>
      </w:r>
      <w:r w:rsidR="00BF1D85">
        <w:rPr>
          <w:rFonts w:asciiTheme="minorHAnsi" w:hAnsiTheme="minorHAnsi" w:cstheme="minorHAnsi"/>
        </w:rPr>
        <w:t>t to be. The incidents used in the research ranged</w:t>
      </w:r>
      <w:r w:rsidR="00DC2E6E">
        <w:rPr>
          <w:rFonts w:asciiTheme="minorHAnsi" w:hAnsiTheme="minorHAnsi" w:cstheme="minorHAnsi"/>
        </w:rPr>
        <w:t xml:space="preserve"> from minor infringements</w:t>
      </w:r>
      <w:r w:rsidR="00BF1D85">
        <w:rPr>
          <w:rFonts w:asciiTheme="minorHAnsi" w:hAnsiTheme="minorHAnsi" w:cstheme="minorHAnsi"/>
        </w:rPr>
        <w:t>,</w:t>
      </w:r>
      <w:r w:rsidR="00DC2E6E">
        <w:rPr>
          <w:rFonts w:asciiTheme="minorHAnsi" w:hAnsiTheme="minorHAnsi" w:cstheme="minorHAnsi"/>
        </w:rPr>
        <w:t xml:space="preserve"> </w:t>
      </w:r>
      <w:r w:rsidR="00BF1D85">
        <w:rPr>
          <w:rFonts w:asciiTheme="minorHAnsi" w:hAnsiTheme="minorHAnsi" w:cstheme="minorHAnsi"/>
        </w:rPr>
        <w:t xml:space="preserve">such as doing something against force policy like baking and selling cakes for extra money, to major infringements or potentially harmful infringements such as covering for a colleague who drove whilst intoxicated or a colleague who used excessive force. According to this research we can determine that the incidents used to indicate major or potentially harmful infringements were perceived to be serious or very serious by 87% of those answering the survey. This also reflected that 77% were highly likely to report this behaviour. In contrast to that the less minor infringements mentioned above only 15% of those who answered were highly likely to report it with 27% being unlikely to report. </w:t>
      </w:r>
    </w:p>
    <w:p w14:paraId="71F387CF" w14:textId="77777777" w:rsidR="00E122E0" w:rsidRDefault="00E122E0" w:rsidP="00185FE3">
      <w:pPr>
        <w:pStyle w:val="Default"/>
        <w:spacing w:before="30"/>
        <w:rPr>
          <w:rFonts w:asciiTheme="minorHAnsi" w:hAnsiTheme="minorHAnsi" w:cstheme="minorHAnsi"/>
        </w:rPr>
      </w:pPr>
    </w:p>
    <w:p w14:paraId="5DB4E8B1" w14:textId="4EA179FE" w:rsidR="006628CD" w:rsidRDefault="0010425A" w:rsidP="00185FE3">
      <w:pPr>
        <w:pStyle w:val="Default"/>
        <w:spacing w:before="30"/>
        <w:rPr>
          <w:rFonts w:asciiTheme="minorHAnsi" w:hAnsiTheme="minorHAnsi" w:cstheme="minorHAnsi"/>
        </w:rPr>
      </w:pPr>
      <w:r w:rsidRPr="00185FE3">
        <w:rPr>
          <w:rFonts w:asciiTheme="minorHAnsi" w:hAnsiTheme="minorHAnsi" w:cstheme="minorHAnsi"/>
        </w:rPr>
        <w:t xml:space="preserve">Studies have shown that individuals who feel they are treated fairly and respectfully by the police are more likely to trust the police. The interaction that the public receive from a police officer can have a huge impact on that </w:t>
      </w:r>
      <w:r w:rsidR="00043D59" w:rsidRPr="00185FE3">
        <w:rPr>
          <w:rFonts w:asciiTheme="minorHAnsi" w:hAnsiTheme="minorHAnsi" w:cstheme="minorHAnsi"/>
        </w:rPr>
        <w:t>person’s</w:t>
      </w:r>
      <w:r w:rsidRPr="00185FE3">
        <w:rPr>
          <w:rFonts w:asciiTheme="minorHAnsi" w:hAnsiTheme="minorHAnsi" w:cstheme="minorHAnsi"/>
        </w:rPr>
        <w:t xml:space="preserve"> confidence in the police. (Brown, 2023). The Policing Principles set out in the Code of Ethics can ensure that public confidence is gained by treating people fairly</w:t>
      </w:r>
      <w:r w:rsidR="003D2032" w:rsidRPr="00185FE3">
        <w:rPr>
          <w:rFonts w:asciiTheme="minorHAnsi" w:hAnsiTheme="minorHAnsi" w:cstheme="minorHAnsi"/>
        </w:rPr>
        <w:t xml:space="preserve">, being open and honest and always have integrity. </w:t>
      </w:r>
      <w:r w:rsidR="006628CD">
        <w:rPr>
          <w:rFonts w:asciiTheme="minorHAnsi" w:hAnsiTheme="minorHAnsi" w:cstheme="minorHAnsi"/>
        </w:rPr>
        <w:t xml:space="preserve">A survey conducted by the polling organisation YouGov indicated a loss in public confidence from 2020 to 2023. In 2020 the figures showed that an average of 70% of responders thought police were doing a good job and 21% thought police were not doing a good job. In April 2023 these figures showed a change of 47% of respondents saying police were doing a good job and 44% of respondents believing police were doing a bad job. </w:t>
      </w:r>
    </w:p>
    <w:p w14:paraId="1EF20DF0" w14:textId="77777777" w:rsidR="00F16A8E" w:rsidRDefault="00F16A8E" w:rsidP="00185FE3">
      <w:pPr>
        <w:pStyle w:val="Default"/>
        <w:spacing w:before="30"/>
        <w:rPr>
          <w:rFonts w:asciiTheme="minorHAnsi" w:hAnsiTheme="minorHAnsi" w:cstheme="minorHAnsi"/>
        </w:rPr>
      </w:pPr>
    </w:p>
    <w:p w14:paraId="7E6E9510" w14:textId="0FBE9F4D" w:rsidR="009A0528" w:rsidRDefault="009A0528" w:rsidP="00185FE3">
      <w:pPr>
        <w:pStyle w:val="Default"/>
        <w:spacing w:before="30"/>
        <w:rPr>
          <w:rFonts w:asciiTheme="minorHAnsi" w:hAnsiTheme="minorHAnsi" w:cstheme="minorHAnsi"/>
        </w:rPr>
      </w:pPr>
      <w:r w:rsidRPr="005B53F4">
        <w:rPr>
          <w:rFonts w:asciiTheme="minorHAnsi" w:hAnsiTheme="minorHAnsi" w:cstheme="minorHAnsi"/>
        </w:rPr>
        <w:t>It</w:t>
      </w:r>
      <w:r w:rsidR="008203D9" w:rsidRPr="005B53F4">
        <w:rPr>
          <w:rFonts w:asciiTheme="minorHAnsi" w:hAnsiTheme="minorHAnsi" w:cstheme="minorHAnsi"/>
        </w:rPr>
        <w:t>’s</w:t>
      </w:r>
      <w:r w:rsidRPr="005B53F4">
        <w:rPr>
          <w:rFonts w:asciiTheme="minorHAnsi" w:hAnsiTheme="minorHAnsi" w:cstheme="minorHAnsi"/>
        </w:rPr>
        <w:t xml:space="preserve"> imperative that Police officers abide by the rules set out within the Code of Ethics as doing so will evoke more trust from the public in the police force over time.</w:t>
      </w:r>
      <w:r>
        <w:rPr>
          <w:rFonts w:asciiTheme="minorHAnsi" w:hAnsiTheme="minorHAnsi" w:cstheme="minorHAnsi"/>
        </w:rPr>
        <w:t xml:space="preserve"> </w:t>
      </w:r>
    </w:p>
    <w:p w14:paraId="5C4B35B3" w14:textId="77777777" w:rsidR="0010425A" w:rsidRPr="00185FE3" w:rsidRDefault="0010425A" w:rsidP="00185FE3">
      <w:pPr>
        <w:pStyle w:val="Default"/>
        <w:spacing w:before="30"/>
        <w:rPr>
          <w:rFonts w:asciiTheme="minorHAnsi" w:hAnsiTheme="minorHAnsi" w:cstheme="minorHAnsi"/>
        </w:rPr>
      </w:pPr>
    </w:p>
    <w:p w14:paraId="08D76E29" w14:textId="2C4D7A8F" w:rsidR="0010425A" w:rsidRPr="00185FE3" w:rsidRDefault="00713A77" w:rsidP="00185FE3">
      <w:pPr>
        <w:pStyle w:val="Default"/>
        <w:spacing w:before="30"/>
        <w:rPr>
          <w:rFonts w:asciiTheme="minorHAnsi" w:hAnsiTheme="minorHAnsi" w:cstheme="minorHAnsi"/>
        </w:rPr>
      </w:pPr>
      <w:r w:rsidRPr="00185FE3">
        <w:rPr>
          <w:rFonts w:asciiTheme="minorHAnsi" w:hAnsiTheme="minorHAnsi" w:cstheme="minorHAnsi"/>
        </w:rPr>
        <w:t>WORD</w:t>
      </w:r>
      <w:r w:rsidR="00D21E08" w:rsidRPr="00185FE3">
        <w:rPr>
          <w:rFonts w:asciiTheme="minorHAnsi" w:hAnsiTheme="minorHAnsi" w:cstheme="minorHAnsi"/>
        </w:rPr>
        <w:t xml:space="preserve"> COUNT</w:t>
      </w:r>
      <w:r w:rsidRPr="00185FE3">
        <w:rPr>
          <w:rFonts w:asciiTheme="minorHAnsi" w:hAnsiTheme="minorHAnsi" w:cstheme="minorHAnsi"/>
        </w:rPr>
        <w:t xml:space="preserve">: </w:t>
      </w:r>
      <w:r w:rsidR="00AA6592">
        <w:rPr>
          <w:rFonts w:asciiTheme="minorHAnsi" w:hAnsiTheme="minorHAnsi" w:cstheme="minorHAnsi"/>
        </w:rPr>
        <w:t>1</w:t>
      </w:r>
      <w:r w:rsidR="00B02D13">
        <w:rPr>
          <w:rFonts w:asciiTheme="minorHAnsi" w:hAnsiTheme="minorHAnsi" w:cstheme="minorHAnsi"/>
        </w:rPr>
        <w:t xml:space="preserve">054 </w:t>
      </w:r>
    </w:p>
    <w:p w14:paraId="51D6BF88" w14:textId="77777777" w:rsidR="00490ADC" w:rsidRPr="00185FE3" w:rsidRDefault="00490ADC" w:rsidP="00185FE3">
      <w:pPr>
        <w:pStyle w:val="Default"/>
        <w:spacing w:before="30"/>
        <w:rPr>
          <w:rFonts w:asciiTheme="minorHAnsi" w:hAnsiTheme="minorHAnsi" w:cstheme="minorHAnsi"/>
        </w:rPr>
      </w:pPr>
    </w:p>
    <w:p w14:paraId="3F230B5F" w14:textId="1CC45936" w:rsidR="00490ADC" w:rsidRPr="00185FE3" w:rsidRDefault="00490ADC" w:rsidP="00185FE3">
      <w:pPr>
        <w:pStyle w:val="Default"/>
        <w:spacing w:before="30"/>
        <w:rPr>
          <w:rFonts w:asciiTheme="minorHAnsi" w:hAnsiTheme="minorHAnsi" w:cstheme="minorHAnsi"/>
        </w:rPr>
      </w:pPr>
      <w:r w:rsidRPr="00185FE3">
        <w:rPr>
          <w:rFonts w:asciiTheme="minorHAnsi" w:hAnsiTheme="minorHAnsi" w:cstheme="minorHAnsi"/>
          <w:b/>
          <w:bCs/>
        </w:rPr>
        <w:t xml:space="preserve">Essay two: </w:t>
      </w:r>
      <w:r w:rsidRPr="00185FE3">
        <w:rPr>
          <w:rFonts w:asciiTheme="minorHAnsi" w:hAnsiTheme="minorHAnsi" w:cstheme="minorHAnsi"/>
        </w:rPr>
        <w:t xml:space="preserve"> </w:t>
      </w:r>
    </w:p>
    <w:p w14:paraId="364ADF62" w14:textId="77777777" w:rsidR="00C23B76" w:rsidRPr="00185FE3" w:rsidRDefault="00C23B76" w:rsidP="00185FE3">
      <w:pPr>
        <w:pStyle w:val="Default"/>
        <w:spacing w:before="30"/>
        <w:rPr>
          <w:rFonts w:asciiTheme="minorHAnsi" w:hAnsiTheme="minorHAnsi" w:cstheme="minorHAnsi"/>
        </w:rPr>
      </w:pPr>
    </w:p>
    <w:p w14:paraId="3BF72215" w14:textId="252855C3" w:rsidR="008203D9" w:rsidRDefault="008203D9" w:rsidP="00185FE3">
      <w:pPr>
        <w:pStyle w:val="Default"/>
        <w:spacing w:before="30"/>
        <w:rPr>
          <w:rFonts w:asciiTheme="minorHAnsi" w:hAnsiTheme="minorHAnsi" w:cstheme="minorHAnsi"/>
        </w:rPr>
      </w:pPr>
      <w:r>
        <w:rPr>
          <w:rFonts w:asciiTheme="minorHAnsi" w:hAnsiTheme="minorHAnsi" w:cstheme="minorHAnsi"/>
        </w:rPr>
        <w:lastRenderedPageBreak/>
        <w:t xml:space="preserve">This essay will consider how effective a multi-agency approach is as a means of managing violent and sexual offenders. It will focus on </w:t>
      </w:r>
      <w:r w:rsidR="00043D59">
        <w:rPr>
          <w:rFonts w:asciiTheme="minorHAnsi" w:hAnsiTheme="minorHAnsi" w:cstheme="minorHAnsi"/>
        </w:rPr>
        <w:t>Multi-Agency</w:t>
      </w:r>
      <w:r>
        <w:rPr>
          <w:rFonts w:asciiTheme="minorHAnsi" w:hAnsiTheme="minorHAnsi" w:cstheme="minorHAnsi"/>
        </w:rPr>
        <w:t xml:space="preserve"> </w:t>
      </w:r>
      <w:r w:rsidR="00043D59">
        <w:rPr>
          <w:rFonts w:asciiTheme="minorHAnsi" w:hAnsiTheme="minorHAnsi" w:cstheme="minorHAnsi"/>
        </w:rPr>
        <w:t>P</w:t>
      </w:r>
      <w:r>
        <w:rPr>
          <w:rFonts w:asciiTheme="minorHAnsi" w:hAnsiTheme="minorHAnsi" w:cstheme="minorHAnsi"/>
        </w:rPr>
        <w:t xml:space="preserve">ublic </w:t>
      </w:r>
      <w:r w:rsidR="00043D59">
        <w:rPr>
          <w:rFonts w:asciiTheme="minorHAnsi" w:hAnsiTheme="minorHAnsi" w:cstheme="minorHAnsi"/>
        </w:rPr>
        <w:t>P</w:t>
      </w:r>
      <w:r>
        <w:rPr>
          <w:rFonts w:asciiTheme="minorHAnsi" w:hAnsiTheme="minorHAnsi" w:cstheme="minorHAnsi"/>
        </w:rPr>
        <w:t xml:space="preserve">rotection </w:t>
      </w:r>
      <w:r w:rsidR="00043D59">
        <w:rPr>
          <w:rFonts w:asciiTheme="minorHAnsi" w:hAnsiTheme="minorHAnsi" w:cstheme="minorHAnsi"/>
        </w:rPr>
        <w:t>A</w:t>
      </w:r>
      <w:r>
        <w:rPr>
          <w:rFonts w:asciiTheme="minorHAnsi" w:hAnsiTheme="minorHAnsi" w:cstheme="minorHAnsi"/>
        </w:rPr>
        <w:t xml:space="preserve">rrangements </w:t>
      </w:r>
      <w:r w:rsidR="00043D59">
        <w:rPr>
          <w:rFonts w:asciiTheme="minorHAnsi" w:hAnsiTheme="minorHAnsi" w:cstheme="minorHAnsi"/>
        </w:rPr>
        <w:t xml:space="preserve">(MAPPA) </w:t>
      </w:r>
      <w:r>
        <w:rPr>
          <w:rFonts w:asciiTheme="minorHAnsi" w:hAnsiTheme="minorHAnsi" w:cstheme="minorHAnsi"/>
        </w:rPr>
        <w:t xml:space="preserve">and how well they work together. </w:t>
      </w:r>
    </w:p>
    <w:p w14:paraId="1F4130CC" w14:textId="77777777" w:rsidR="008203D9" w:rsidRDefault="008203D9" w:rsidP="00185FE3">
      <w:pPr>
        <w:pStyle w:val="Default"/>
        <w:spacing w:before="30"/>
        <w:rPr>
          <w:rFonts w:asciiTheme="minorHAnsi" w:hAnsiTheme="minorHAnsi" w:cstheme="minorHAnsi"/>
        </w:rPr>
      </w:pPr>
    </w:p>
    <w:p w14:paraId="1CB9B350" w14:textId="20564353" w:rsidR="00107E01" w:rsidRPr="00185FE3" w:rsidRDefault="00016FAF" w:rsidP="00185FE3">
      <w:pPr>
        <w:pStyle w:val="Default"/>
        <w:spacing w:before="30"/>
        <w:rPr>
          <w:rFonts w:asciiTheme="minorHAnsi" w:hAnsiTheme="minorHAnsi" w:cstheme="minorHAnsi"/>
        </w:rPr>
      </w:pPr>
      <w:r w:rsidRPr="00185FE3">
        <w:rPr>
          <w:rFonts w:asciiTheme="minorHAnsi" w:hAnsiTheme="minorHAnsi" w:cstheme="minorHAnsi"/>
        </w:rPr>
        <w:t xml:space="preserve">People who have committed crimes of a violent or sexual nature can be placed on the Violent and Sexual Offenders Register (ViSOR). Offender manager teams are then allocated to work with the registered offender. </w:t>
      </w:r>
      <w:r w:rsidR="00992B72" w:rsidRPr="00185FE3">
        <w:rPr>
          <w:rFonts w:asciiTheme="minorHAnsi" w:hAnsiTheme="minorHAnsi" w:cstheme="minorHAnsi"/>
        </w:rPr>
        <w:t xml:space="preserve">The purpose of the </w:t>
      </w:r>
      <w:r w:rsidR="00F23E4F">
        <w:rPr>
          <w:rFonts w:asciiTheme="minorHAnsi" w:hAnsiTheme="minorHAnsi" w:cstheme="minorHAnsi"/>
        </w:rPr>
        <w:t>M</w:t>
      </w:r>
      <w:r w:rsidR="00992B72" w:rsidRPr="00185FE3">
        <w:rPr>
          <w:rFonts w:asciiTheme="minorHAnsi" w:hAnsiTheme="minorHAnsi" w:cstheme="minorHAnsi"/>
        </w:rPr>
        <w:t xml:space="preserve">anagement </w:t>
      </w:r>
      <w:r w:rsidR="00F23E4F">
        <w:rPr>
          <w:rFonts w:asciiTheme="minorHAnsi" w:hAnsiTheme="minorHAnsi" w:cstheme="minorHAnsi"/>
        </w:rPr>
        <w:t>O</w:t>
      </w:r>
      <w:r w:rsidR="00992B72" w:rsidRPr="00185FE3">
        <w:rPr>
          <w:rFonts w:asciiTheme="minorHAnsi" w:hAnsiTheme="minorHAnsi" w:cstheme="minorHAnsi"/>
        </w:rPr>
        <w:t xml:space="preserve">f </w:t>
      </w:r>
      <w:r w:rsidR="00F23E4F">
        <w:rPr>
          <w:rFonts w:asciiTheme="minorHAnsi" w:hAnsiTheme="minorHAnsi" w:cstheme="minorHAnsi"/>
        </w:rPr>
        <w:t>S</w:t>
      </w:r>
      <w:r w:rsidR="00992B72" w:rsidRPr="00185FE3">
        <w:rPr>
          <w:rFonts w:asciiTheme="minorHAnsi" w:hAnsiTheme="minorHAnsi" w:cstheme="minorHAnsi"/>
        </w:rPr>
        <w:t xml:space="preserve">exual </w:t>
      </w:r>
      <w:r w:rsidR="00F23E4F">
        <w:rPr>
          <w:rFonts w:asciiTheme="minorHAnsi" w:hAnsiTheme="minorHAnsi" w:cstheme="minorHAnsi"/>
        </w:rPr>
        <w:t>O</w:t>
      </w:r>
      <w:r w:rsidR="00992B72" w:rsidRPr="00185FE3">
        <w:rPr>
          <w:rFonts w:asciiTheme="minorHAnsi" w:hAnsiTheme="minorHAnsi" w:cstheme="minorHAnsi"/>
        </w:rPr>
        <w:t xml:space="preserve">r </w:t>
      </w:r>
      <w:r w:rsidR="00F23E4F">
        <w:rPr>
          <w:rFonts w:asciiTheme="minorHAnsi" w:hAnsiTheme="minorHAnsi" w:cstheme="minorHAnsi"/>
        </w:rPr>
        <w:t>V</w:t>
      </w:r>
      <w:r w:rsidR="00992B72" w:rsidRPr="00185FE3">
        <w:rPr>
          <w:rFonts w:asciiTheme="minorHAnsi" w:hAnsiTheme="minorHAnsi" w:cstheme="minorHAnsi"/>
        </w:rPr>
        <w:t xml:space="preserve">iolent </w:t>
      </w:r>
      <w:r w:rsidR="00F23E4F">
        <w:rPr>
          <w:rFonts w:asciiTheme="minorHAnsi" w:hAnsiTheme="minorHAnsi" w:cstheme="minorHAnsi"/>
        </w:rPr>
        <w:t>O</w:t>
      </w:r>
      <w:r w:rsidR="00992B72" w:rsidRPr="00185FE3">
        <w:rPr>
          <w:rFonts w:asciiTheme="minorHAnsi" w:hAnsiTheme="minorHAnsi" w:cstheme="minorHAnsi"/>
        </w:rPr>
        <w:t xml:space="preserve">ffenders (MOSOVO) is to assess an </w:t>
      </w:r>
      <w:r w:rsidRPr="00185FE3">
        <w:rPr>
          <w:rFonts w:asciiTheme="minorHAnsi" w:hAnsiTheme="minorHAnsi" w:cstheme="minorHAnsi"/>
        </w:rPr>
        <w:t>individual’s</w:t>
      </w:r>
      <w:r w:rsidR="00992B72" w:rsidRPr="00185FE3">
        <w:rPr>
          <w:rFonts w:asciiTheme="minorHAnsi" w:hAnsiTheme="minorHAnsi" w:cstheme="minorHAnsi"/>
        </w:rPr>
        <w:t xml:space="preserve"> level of risk or harm that they may pose to others. They are required to develop a risk management plan to manage this risk</w:t>
      </w:r>
      <w:r w:rsidR="00F23E4F">
        <w:rPr>
          <w:rFonts w:asciiTheme="minorHAnsi" w:hAnsiTheme="minorHAnsi" w:cstheme="minorHAnsi"/>
        </w:rPr>
        <w:t xml:space="preserve"> and to prevent reoffending by the individual being managed. </w:t>
      </w:r>
      <w:r w:rsidRPr="00185FE3">
        <w:rPr>
          <w:rFonts w:asciiTheme="minorHAnsi" w:hAnsiTheme="minorHAnsi" w:cstheme="minorHAnsi"/>
        </w:rPr>
        <w:t xml:space="preserve">The number of offenders being placed on the </w:t>
      </w:r>
      <w:r w:rsidR="00286C1A" w:rsidRPr="00185FE3">
        <w:rPr>
          <w:rFonts w:asciiTheme="minorHAnsi" w:hAnsiTheme="minorHAnsi" w:cstheme="minorHAnsi"/>
        </w:rPr>
        <w:t xml:space="preserve">Violent and Sexual Offenders list increases annually and a review carried out by Her Majesty’s Inspectorate of Probation found that the essential element to manage these is offenders is through supervision. </w:t>
      </w:r>
      <w:r w:rsidR="00207436" w:rsidRPr="00185FE3">
        <w:rPr>
          <w:rFonts w:asciiTheme="minorHAnsi" w:hAnsiTheme="minorHAnsi" w:cstheme="minorHAnsi"/>
        </w:rPr>
        <w:t>Multi-agency public protection arrangements (MAPPA) were introduced in 2000 in England and Wales. This was introduced with the purpose to minimise risk of sexual and violent offences from identified high risk individuals that live within the community.</w:t>
      </w:r>
      <w:r w:rsidR="00107E01" w:rsidRPr="00185FE3">
        <w:rPr>
          <w:rFonts w:asciiTheme="minorHAnsi" w:hAnsiTheme="minorHAnsi" w:cstheme="minorHAnsi"/>
        </w:rPr>
        <w:t xml:space="preserve"> Alongside Police, probation and the prison service other agencies involved as part of MAPPA are local authority youth offending teams, social care services, housing, education, Jobcentre Plus, the UK Border Agency and health authority. A representative from each agency is expected to attend case conferences to share information about the offender. </w:t>
      </w:r>
      <w:r w:rsidR="0072715B" w:rsidRPr="0072715B">
        <w:rPr>
          <w:rFonts w:asciiTheme="minorHAnsi" w:hAnsiTheme="minorHAnsi" w:cstheme="minorHAnsi"/>
        </w:rPr>
        <w:t>(Her Majesty's Inspectorate of Probation, 2021)</w:t>
      </w:r>
      <w:r w:rsidR="0072715B">
        <w:rPr>
          <w:rFonts w:asciiTheme="minorHAnsi" w:hAnsiTheme="minorHAnsi" w:cstheme="minorHAnsi"/>
        </w:rPr>
        <w:t>.</w:t>
      </w:r>
    </w:p>
    <w:p w14:paraId="09960C67" w14:textId="77777777" w:rsidR="00531DD8" w:rsidRPr="00185FE3" w:rsidRDefault="00531DD8" w:rsidP="00185FE3">
      <w:pPr>
        <w:pStyle w:val="Default"/>
        <w:spacing w:before="30"/>
        <w:rPr>
          <w:rFonts w:asciiTheme="minorHAnsi" w:hAnsiTheme="minorHAnsi" w:cstheme="minorHAnsi"/>
        </w:rPr>
      </w:pPr>
    </w:p>
    <w:p w14:paraId="2C16A415" w14:textId="07846B6A" w:rsidR="00140952" w:rsidRPr="00185FE3" w:rsidRDefault="00531DD8" w:rsidP="00185FE3">
      <w:pPr>
        <w:pStyle w:val="Default"/>
        <w:spacing w:before="30"/>
        <w:rPr>
          <w:rFonts w:asciiTheme="minorHAnsi" w:hAnsiTheme="minorHAnsi" w:cstheme="minorHAnsi"/>
        </w:rPr>
      </w:pPr>
      <w:r w:rsidRPr="00185FE3">
        <w:rPr>
          <w:rFonts w:asciiTheme="minorHAnsi" w:hAnsiTheme="minorHAnsi" w:cstheme="minorHAnsi"/>
        </w:rPr>
        <w:t>According to His Majesty’s Inspectorate Probation</w:t>
      </w:r>
      <w:r w:rsidR="009D58EE">
        <w:rPr>
          <w:rFonts w:asciiTheme="minorHAnsi" w:hAnsiTheme="minorHAnsi" w:cstheme="minorHAnsi"/>
        </w:rPr>
        <w:t xml:space="preserve"> (2020)</w:t>
      </w:r>
      <w:r w:rsidRPr="00185FE3">
        <w:rPr>
          <w:rFonts w:asciiTheme="minorHAnsi" w:hAnsiTheme="minorHAnsi" w:cstheme="minorHAnsi"/>
        </w:rPr>
        <w:t xml:space="preserve"> at the end of March 2019 there has been an 85% rise in the number of nominals in England and Wales since 2009. This figure shows the number of new nominals introduced to MAPPA</w:t>
      </w:r>
      <w:r w:rsidR="0027637A" w:rsidRPr="00185FE3">
        <w:rPr>
          <w:rFonts w:asciiTheme="minorHAnsi" w:hAnsiTheme="minorHAnsi" w:cstheme="minorHAnsi"/>
        </w:rPr>
        <w:t xml:space="preserve"> </w:t>
      </w:r>
      <w:r w:rsidR="00F23E4F" w:rsidRPr="00185FE3">
        <w:rPr>
          <w:rFonts w:asciiTheme="minorHAnsi" w:hAnsiTheme="minorHAnsi" w:cstheme="minorHAnsi"/>
        </w:rPr>
        <w:t>and</w:t>
      </w:r>
      <w:r w:rsidR="0027637A" w:rsidRPr="00185FE3">
        <w:rPr>
          <w:rFonts w:asciiTheme="minorHAnsi" w:hAnsiTheme="minorHAnsi" w:cstheme="minorHAnsi"/>
        </w:rPr>
        <w:t xml:space="preserve"> indicates that fewer are leaving the register after joining</w:t>
      </w:r>
      <w:r w:rsidRPr="00185FE3">
        <w:rPr>
          <w:rFonts w:asciiTheme="minorHAnsi" w:hAnsiTheme="minorHAnsi" w:cstheme="minorHAnsi"/>
        </w:rPr>
        <w:t xml:space="preserve">. The evidence also states that an evaluation conducted found a reduced number of re-offending from individuals since the beginning of the MAPPA initiative. </w:t>
      </w:r>
      <w:r w:rsidR="0031628B" w:rsidRPr="00185FE3">
        <w:rPr>
          <w:rFonts w:asciiTheme="minorHAnsi" w:hAnsiTheme="minorHAnsi" w:cstheme="minorHAnsi"/>
        </w:rPr>
        <w:t>According to</w:t>
      </w:r>
      <w:r w:rsidR="00F23E4F">
        <w:rPr>
          <w:rFonts w:asciiTheme="minorHAnsi" w:hAnsiTheme="minorHAnsi" w:cstheme="minorHAnsi"/>
        </w:rPr>
        <w:t xml:space="preserve"> more</w:t>
      </w:r>
      <w:r w:rsidR="0031628B" w:rsidRPr="00185FE3">
        <w:rPr>
          <w:rFonts w:asciiTheme="minorHAnsi" w:hAnsiTheme="minorHAnsi" w:cstheme="minorHAnsi"/>
        </w:rPr>
        <w:t xml:space="preserve"> research by Ministry of Justice the reoffending rate amongst Category 2 offenders decreased from 26% in 2000 which was pre-introduction of MAPPA, to 23% in 2004. Since then and up until 2010 it has remained stable at a rate between 22% and 24%. The research also </w:t>
      </w:r>
      <w:r w:rsidR="00140952" w:rsidRPr="00185FE3">
        <w:rPr>
          <w:rFonts w:asciiTheme="minorHAnsi" w:hAnsiTheme="minorHAnsi" w:cstheme="minorHAnsi"/>
        </w:rPr>
        <w:t>revealed that amongst Category 1 offenders the reoffending rates decreased from 13% during 2000 down to 10% in 2004. However, the research has also shown that this figure has increased back up to 13% in 2010. The figures also state that between 2000 and 2010 the group with the highest risk of reoffending had 45% reduction with the rate decreasing from 29% down to 66</w:t>
      </w:r>
      <w:r w:rsidR="00F02297" w:rsidRPr="00185FE3">
        <w:rPr>
          <w:rFonts w:asciiTheme="minorHAnsi" w:hAnsiTheme="minorHAnsi" w:cstheme="minorHAnsi"/>
        </w:rPr>
        <w:t xml:space="preserve">%. </w:t>
      </w:r>
      <w:r w:rsidR="0072715B" w:rsidRPr="0072715B">
        <w:rPr>
          <w:rFonts w:asciiTheme="minorHAnsi" w:hAnsiTheme="minorHAnsi" w:cstheme="minorHAnsi"/>
        </w:rPr>
        <w:t>(Bryant, Peck and Lovbakke, 2015)</w:t>
      </w:r>
    </w:p>
    <w:p w14:paraId="64B156C1" w14:textId="1A39BDCB" w:rsidR="00531DD8" w:rsidRPr="00185FE3" w:rsidRDefault="00531DD8" w:rsidP="00185FE3">
      <w:pPr>
        <w:pStyle w:val="Default"/>
        <w:spacing w:before="30"/>
        <w:rPr>
          <w:rFonts w:asciiTheme="minorHAnsi" w:hAnsiTheme="minorHAnsi" w:cstheme="minorHAnsi"/>
        </w:rPr>
      </w:pPr>
    </w:p>
    <w:p w14:paraId="6F34F1FD" w14:textId="134AAB51" w:rsidR="00E20B62" w:rsidRPr="00185FE3" w:rsidRDefault="00E20B62" w:rsidP="00185FE3">
      <w:pPr>
        <w:pStyle w:val="Default"/>
        <w:spacing w:before="30"/>
        <w:rPr>
          <w:rFonts w:asciiTheme="minorHAnsi" w:hAnsiTheme="minorHAnsi" w:cstheme="minorHAnsi"/>
        </w:rPr>
      </w:pPr>
      <w:r w:rsidRPr="00185FE3">
        <w:rPr>
          <w:rFonts w:asciiTheme="minorHAnsi" w:hAnsiTheme="minorHAnsi" w:cstheme="minorHAnsi"/>
        </w:rPr>
        <w:t>A review has also been conducted by the Criminal Justice Joint Inspection</w:t>
      </w:r>
      <w:r w:rsidR="009D58EE">
        <w:rPr>
          <w:rFonts w:asciiTheme="minorHAnsi" w:hAnsiTheme="minorHAnsi" w:cstheme="minorHAnsi"/>
        </w:rPr>
        <w:t xml:space="preserve"> (2022b)</w:t>
      </w:r>
      <w:r w:rsidRPr="00185FE3">
        <w:rPr>
          <w:rFonts w:asciiTheme="minorHAnsi" w:hAnsiTheme="minorHAnsi" w:cstheme="minorHAnsi"/>
        </w:rPr>
        <w:t xml:space="preserve">. Their findings showed that Level 1 MAPPA status has little meaning to the responsible practitioners in prisons, probation and police or other partner agencies. The lack of focus on probation-led Level 1 cases has </w:t>
      </w:r>
      <w:r w:rsidR="00F02297" w:rsidRPr="00185FE3">
        <w:rPr>
          <w:rFonts w:asciiTheme="minorHAnsi" w:hAnsiTheme="minorHAnsi" w:cstheme="minorHAnsi"/>
        </w:rPr>
        <w:t>led</w:t>
      </w:r>
      <w:r w:rsidRPr="00185FE3">
        <w:rPr>
          <w:rFonts w:asciiTheme="minorHAnsi" w:hAnsiTheme="minorHAnsi" w:cstheme="minorHAnsi"/>
        </w:rPr>
        <w:t xml:space="preserve"> to unsatisfactory risk management in too many cases. They found that there were failures to plan sufficiently prior to release from prison and that sufficient resources were not in place to allow the effective use of prisoner communication monitoring.</w:t>
      </w:r>
    </w:p>
    <w:p w14:paraId="3F2C77E8" w14:textId="77777777" w:rsidR="00E20B62" w:rsidRPr="00185FE3" w:rsidRDefault="00E20B62" w:rsidP="00185FE3">
      <w:pPr>
        <w:pStyle w:val="Default"/>
        <w:spacing w:before="30"/>
        <w:rPr>
          <w:rFonts w:asciiTheme="minorHAnsi" w:hAnsiTheme="minorHAnsi" w:cstheme="minorHAnsi"/>
        </w:rPr>
      </w:pPr>
    </w:p>
    <w:p w14:paraId="3C164C20" w14:textId="329AF959" w:rsidR="00E20B62" w:rsidRPr="00185FE3" w:rsidRDefault="00E20B62" w:rsidP="00185FE3">
      <w:pPr>
        <w:pStyle w:val="Default"/>
        <w:spacing w:before="30"/>
        <w:rPr>
          <w:rFonts w:asciiTheme="minorHAnsi" w:hAnsiTheme="minorHAnsi" w:cstheme="minorHAnsi"/>
        </w:rPr>
      </w:pPr>
      <w:r w:rsidRPr="00185FE3">
        <w:rPr>
          <w:rFonts w:asciiTheme="minorHAnsi" w:hAnsiTheme="minorHAnsi" w:cstheme="minorHAnsi"/>
        </w:rPr>
        <w:t xml:space="preserve">In comparison to Level 1 MAPPA the findings for Level 2 and 3 were much more positive. The meetings conducted about Level 2 and 3 offenders showed to have a significant impact in the management of these offenders. Appropriate information was shared between </w:t>
      </w:r>
      <w:r w:rsidRPr="00185FE3">
        <w:rPr>
          <w:rFonts w:asciiTheme="minorHAnsi" w:hAnsiTheme="minorHAnsi" w:cstheme="minorHAnsi"/>
        </w:rPr>
        <w:lastRenderedPageBreak/>
        <w:t xml:space="preserve">agencies and access was gained to services that would not have been possible without the MAPPA process being introduced. </w:t>
      </w:r>
      <w:r w:rsidR="0072715B" w:rsidRPr="0072715B">
        <w:rPr>
          <w:rFonts w:asciiTheme="minorHAnsi" w:hAnsiTheme="minorHAnsi" w:cstheme="minorHAnsi"/>
        </w:rPr>
        <w:t>(Criminal Justice Joint Inspection, 2022)</w:t>
      </w:r>
      <w:r w:rsidR="009D58EE">
        <w:rPr>
          <w:rFonts w:asciiTheme="minorHAnsi" w:hAnsiTheme="minorHAnsi" w:cstheme="minorHAnsi"/>
        </w:rPr>
        <w:t>.</w:t>
      </w:r>
    </w:p>
    <w:p w14:paraId="0D1C2149" w14:textId="77777777" w:rsidR="00D21E08" w:rsidRPr="00185FE3" w:rsidRDefault="00D21E08" w:rsidP="00185FE3">
      <w:pPr>
        <w:pStyle w:val="Default"/>
        <w:spacing w:before="30"/>
        <w:rPr>
          <w:rFonts w:asciiTheme="minorHAnsi" w:hAnsiTheme="minorHAnsi" w:cstheme="minorHAnsi"/>
        </w:rPr>
      </w:pPr>
    </w:p>
    <w:p w14:paraId="26B5828C" w14:textId="6625F5F0" w:rsidR="00D21E08" w:rsidRDefault="00D21E08" w:rsidP="00185FE3">
      <w:pPr>
        <w:pStyle w:val="Default"/>
        <w:spacing w:before="30"/>
        <w:rPr>
          <w:rFonts w:asciiTheme="minorHAnsi" w:hAnsiTheme="minorHAnsi" w:cstheme="minorHAnsi"/>
        </w:rPr>
      </w:pPr>
      <w:r w:rsidRPr="00185FE3">
        <w:rPr>
          <w:rFonts w:asciiTheme="minorHAnsi" w:hAnsiTheme="minorHAnsi" w:cstheme="minorHAnsi"/>
        </w:rPr>
        <w:t xml:space="preserve">Another review conducted by The Ministry of Justice showed key findings which highlighted that amongst new MAPPA offenders who had been assessed as high risk there was a 20% reduction in </w:t>
      </w:r>
      <w:r w:rsidR="00F02297" w:rsidRPr="00185FE3">
        <w:rPr>
          <w:rFonts w:asciiTheme="minorHAnsi" w:hAnsiTheme="minorHAnsi" w:cstheme="minorHAnsi"/>
        </w:rPr>
        <w:t>one-year</w:t>
      </w:r>
      <w:r w:rsidRPr="00185FE3">
        <w:rPr>
          <w:rFonts w:asciiTheme="minorHAnsi" w:hAnsiTheme="minorHAnsi" w:cstheme="minorHAnsi"/>
        </w:rPr>
        <w:t xml:space="preserve"> proven offending between 2000 and 2010 with the reoffending rate for these offenders falling from 83% to 66%. These findings show that MAPPA may </w:t>
      </w:r>
      <w:r w:rsidR="00F02297" w:rsidRPr="00185FE3">
        <w:rPr>
          <w:rFonts w:asciiTheme="minorHAnsi" w:hAnsiTheme="minorHAnsi" w:cstheme="minorHAnsi"/>
        </w:rPr>
        <w:t>have</w:t>
      </w:r>
      <w:r w:rsidRPr="00185FE3">
        <w:rPr>
          <w:rFonts w:asciiTheme="minorHAnsi" w:hAnsiTheme="minorHAnsi" w:cstheme="minorHAnsi"/>
        </w:rPr>
        <w:t xml:space="preserve"> a positive effect on the contribution to managing Violent and Sexual offenders. The results indicate success in the process for management for the offenders who are assessed as being high-risk.</w:t>
      </w:r>
      <w:r w:rsidR="0072715B">
        <w:rPr>
          <w:rFonts w:asciiTheme="minorHAnsi" w:hAnsiTheme="minorHAnsi" w:cstheme="minorHAnsi"/>
        </w:rPr>
        <w:t xml:space="preserve"> </w:t>
      </w:r>
      <w:r w:rsidR="000F7ACF" w:rsidRPr="000F7ACF">
        <w:rPr>
          <w:rFonts w:asciiTheme="minorHAnsi" w:hAnsiTheme="minorHAnsi" w:cstheme="minorHAnsi"/>
        </w:rPr>
        <w:t>(Bryant, Peck and Lovbakke, 2015b)</w:t>
      </w:r>
      <w:r w:rsidR="000F7ACF" w:rsidRPr="000F7ACF">
        <w:rPr>
          <w:rFonts w:asciiTheme="minorHAnsi" w:hAnsiTheme="minorHAnsi" w:cstheme="minorHAnsi"/>
        </w:rPr>
        <w:t>.</w:t>
      </w:r>
    </w:p>
    <w:p w14:paraId="1C186A52" w14:textId="77777777" w:rsidR="00F02297" w:rsidRDefault="00F02297" w:rsidP="00185FE3">
      <w:pPr>
        <w:pStyle w:val="Default"/>
        <w:spacing w:before="30"/>
        <w:rPr>
          <w:rFonts w:asciiTheme="minorHAnsi" w:hAnsiTheme="minorHAnsi" w:cstheme="minorHAnsi"/>
        </w:rPr>
      </w:pPr>
    </w:p>
    <w:p w14:paraId="5579561D" w14:textId="1509BA37" w:rsidR="00F02297" w:rsidRPr="005A60E2" w:rsidRDefault="00515EA8" w:rsidP="00185FE3">
      <w:pPr>
        <w:pStyle w:val="Default"/>
        <w:spacing w:before="30"/>
        <w:rPr>
          <w:rFonts w:asciiTheme="minorHAnsi" w:hAnsiTheme="minorHAnsi" w:cstheme="minorHAnsi"/>
          <w:highlight w:val="yellow"/>
        </w:rPr>
      </w:pPr>
      <w:r w:rsidRPr="005A60E2">
        <w:rPr>
          <w:rFonts w:asciiTheme="minorHAnsi" w:hAnsiTheme="minorHAnsi" w:cstheme="minorHAnsi"/>
        </w:rPr>
        <w:t xml:space="preserve">Research conducted following the killings at </w:t>
      </w:r>
      <w:r w:rsidR="00006105" w:rsidRPr="005A60E2">
        <w:rPr>
          <w:rFonts w:asciiTheme="minorHAnsi" w:hAnsiTheme="minorHAnsi" w:cstheme="minorHAnsi"/>
        </w:rPr>
        <w:t>Fishmongers’ Hall</w:t>
      </w:r>
      <w:r w:rsidRPr="005A60E2">
        <w:rPr>
          <w:rFonts w:asciiTheme="minorHAnsi" w:hAnsiTheme="minorHAnsi" w:cstheme="minorHAnsi"/>
        </w:rPr>
        <w:t xml:space="preserve"> has called the events a “preventable tragedy”. (Clarke, 2021)</w:t>
      </w:r>
      <w:r>
        <w:rPr>
          <w:rFonts w:asciiTheme="minorHAnsi" w:hAnsiTheme="minorHAnsi" w:cstheme="minorHAnsi"/>
        </w:rPr>
        <w:t xml:space="preserve"> The research dictates that there was vital evidence of the intention of Usman Khan, an Islamic terrorist, to conduct the terrorist attack. It also stats that the information and intelligence was not shard with those who needed to aware of it, in order to be able to try and prevent such a tragedy. MAPPA meetings conducted about Khan did not receive this crucial information, even though there were people at the meeting who were aware of his intentions </w:t>
      </w:r>
      <w:r w:rsidR="005A60E2">
        <w:rPr>
          <w:rFonts w:asciiTheme="minorHAnsi" w:hAnsiTheme="minorHAnsi" w:cstheme="minorHAnsi"/>
        </w:rPr>
        <w:t xml:space="preserve">and failed to disclose them to </w:t>
      </w:r>
      <w:r w:rsidR="00006105">
        <w:rPr>
          <w:rFonts w:asciiTheme="minorHAnsi" w:hAnsiTheme="minorHAnsi" w:cstheme="minorHAnsi"/>
        </w:rPr>
        <w:t>others.</w:t>
      </w:r>
      <w:r w:rsidR="00006105" w:rsidRPr="00515EA8">
        <w:rPr>
          <w:rFonts w:asciiTheme="minorHAnsi" w:hAnsiTheme="minorHAnsi" w:cstheme="minorHAnsi"/>
        </w:rPr>
        <w:t xml:space="preserve"> (</w:t>
      </w:r>
      <w:r w:rsidRPr="00515EA8">
        <w:rPr>
          <w:rFonts w:asciiTheme="minorHAnsi" w:hAnsiTheme="minorHAnsi" w:cstheme="minorHAnsi"/>
        </w:rPr>
        <w:t>Clarke, 2021)</w:t>
      </w:r>
    </w:p>
    <w:p w14:paraId="11484DDA" w14:textId="77777777" w:rsidR="00E20B62" w:rsidRPr="00185FE3" w:rsidRDefault="00E20B62" w:rsidP="00185FE3">
      <w:pPr>
        <w:pStyle w:val="Default"/>
        <w:spacing w:before="30"/>
        <w:rPr>
          <w:rFonts w:asciiTheme="minorHAnsi" w:hAnsiTheme="minorHAnsi" w:cstheme="minorHAnsi"/>
        </w:rPr>
      </w:pPr>
    </w:p>
    <w:p w14:paraId="1BCBB7D1" w14:textId="35918A81" w:rsidR="00E20B62" w:rsidRPr="00185FE3" w:rsidRDefault="00D21E08" w:rsidP="00185FE3">
      <w:pPr>
        <w:pStyle w:val="Default"/>
        <w:spacing w:before="30"/>
        <w:rPr>
          <w:rFonts w:asciiTheme="minorHAnsi" w:hAnsiTheme="minorHAnsi" w:cstheme="minorHAnsi"/>
        </w:rPr>
      </w:pPr>
      <w:r w:rsidRPr="00185FE3">
        <w:rPr>
          <w:rFonts w:asciiTheme="minorHAnsi" w:hAnsiTheme="minorHAnsi" w:cstheme="minorHAnsi"/>
        </w:rPr>
        <w:t xml:space="preserve">In conclusion from the </w:t>
      </w:r>
      <w:r w:rsidR="00875FB2" w:rsidRPr="00185FE3">
        <w:rPr>
          <w:rFonts w:asciiTheme="minorHAnsi" w:hAnsiTheme="minorHAnsi" w:cstheme="minorHAnsi"/>
        </w:rPr>
        <w:t>research</w:t>
      </w:r>
      <w:r w:rsidRPr="00185FE3">
        <w:rPr>
          <w:rFonts w:asciiTheme="minorHAnsi" w:hAnsiTheme="minorHAnsi" w:cstheme="minorHAnsi"/>
        </w:rPr>
        <w:t xml:space="preserve"> reviewed the management of Violent and Sexual offenders through a multi-agency approach is very effective at protecting the public and communities that the offenders live with in </w:t>
      </w:r>
      <w:r w:rsidR="00043D59" w:rsidRPr="00185FE3">
        <w:rPr>
          <w:rFonts w:asciiTheme="minorHAnsi" w:hAnsiTheme="minorHAnsi" w:cstheme="minorHAnsi"/>
        </w:rPr>
        <w:t>and</w:t>
      </w:r>
      <w:r w:rsidRPr="00185FE3">
        <w:rPr>
          <w:rFonts w:asciiTheme="minorHAnsi" w:hAnsiTheme="minorHAnsi" w:cstheme="minorHAnsi"/>
        </w:rPr>
        <w:t xml:space="preserve"> at protecting the offenders themselves from coming to any harm. If the processes and meetings are adhered to agencies </w:t>
      </w:r>
      <w:r w:rsidR="00225EA0" w:rsidRPr="00185FE3">
        <w:rPr>
          <w:rFonts w:asciiTheme="minorHAnsi" w:hAnsiTheme="minorHAnsi" w:cstheme="minorHAnsi"/>
        </w:rPr>
        <w:t>can</w:t>
      </w:r>
      <w:r w:rsidRPr="00185FE3">
        <w:rPr>
          <w:rFonts w:asciiTheme="minorHAnsi" w:hAnsiTheme="minorHAnsi" w:cstheme="minorHAnsi"/>
        </w:rPr>
        <w:t xml:space="preserve"> discuss individuals and share any information they have, this would not be possible without the introduction of MAPPA. The figures show a decrease in re-offending rates when the offenders have been managed at Level 2 and Level 3. The research does suggest however that offenders at Level 1 are not being managed as effectively and processes are not being followed and adhered to due to lack of responsibility or lack of sufficient resources by those allocated to manage Level 1 offenders. </w:t>
      </w:r>
      <w:r w:rsidR="006B3396">
        <w:rPr>
          <w:rFonts w:asciiTheme="minorHAnsi" w:hAnsiTheme="minorHAnsi" w:cstheme="minorHAnsi"/>
        </w:rPr>
        <w:t>The research conducted that has been reviewed would suggest that</w:t>
      </w:r>
      <w:r w:rsidR="00A36459">
        <w:rPr>
          <w:rFonts w:asciiTheme="minorHAnsi" w:hAnsiTheme="minorHAnsi" w:cstheme="minorHAnsi"/>
        </w:rPr>
        <w:t xml:space="preserve"> the main success that lays behind MAPPA being successful is the sharing of information between relevant parties and the</w:t>
      </w:r>
      <w:r w:rsidR="00897CA3">
        <w:rPr>
          <w:rFonts w:asciiTheme="minorHAnsi" w:hAnsiTheme="minorHAnsi" w:cstheme="minorHAnsi"/>
        </w:rPr>
        <w:t xml:space="preserve"> accurate</w:t>
      </w:r>
      <w:r w:rsidR="00A36459">
        <w:rPr>
          <w:rFonts w:asciiTheme="minorHAnsi" w:hAnsiTheme="minorHAnsi" w:cstheme="minorHAnsi"/>
        </w:rPr>
        <w:t xml:space="preserve"> documentation of what has been shared</w:t>
      </w:r>
      <w:r w:rsidR="00897CA3">
        <w:rPr>
          <w:rFonts w:asciiTheme="minorHAnsi" w:hAnsiTheme="minorHAnsi" w:cstheme="minorHAnsi"/>
        </w:rPr>
        <w:t xml:space="preserve"> at the MAPPA meetings. </w:t>
      </w:r>
    </w:p>
    <w:p w14:paraId="08B42782" w14:textId="77777777" w:rsidR="00E20B62" w:rsidRPr="00185FE3" w:rsidRDefault="00E20B62" w:rsidP="00185FE3">
      <w:pPr>
        <w:pStyle w:val="Default"/>
        <w:spacing w:before="30"/>
        <w:rPr>
          <w:rFonts w:asciiTheme="minorHAnsi" w:hAnsiTheme="minorHAnsi" w:cstheme="minorHAnsi"/>
        </w:rPr>
      </w:pPr>
    </w:p>
    <w:p w14:paraId="362EC68A" w14:textId="323BD8F0" w:rsidR="00286C1A" w:rsidRDefault="00D21E08" w:rsidP="00185FE3">
      <w:pPr>
        <w:pStyle w:val="Default"/>
        <w:spacing w:before="30"/>
        <w:rPr>
          <w:rFonts w:asciiTheme="minorHAnsi" w:hAnsiTheme="minorHAnsi" w:cstheme="minorHAnsi"/>
        </w:rPr>
      </w:pPr>
      <w:r w:rsidRPr="00185FE3">
        <w:rPr>
          <w:rFonts w:asciiTheme="minorHAnsi" w:hAnsiTheme="minorHAnsi" w:cstheme="minorHAnsi"/>
        </w:rPr>
        <w:t xml:space="preserve">WORD COUNT: </w:t>
      </w:r>
      <w:r w:rsidR="005A60E2">
        <w:rPr>
          <w:rFonts w:asciiTheme="minorHAnsi" w:hAnsiTheme="minorHAnsi" w:cstheme="minorHAnsi"/>
        </w:rPr>
        <w:t>95</w:t>
      </w:r>
      <w:r w:rsidR="006B3396">
        <w:rPr>
          <w:rFonts w:asciiTheme="minorHAnsi" w:hAnsiTheme="minorHAnsi" w:cstheme="minorHAnsi"/>
        </w:rPr>
        <w:t>9</w:t>
      </w:r>
    </w:p>
    <w:p w14:paraId="16B97B6A" w14:textId="77777777" w:rsidR="005A60E2" w:rsidRPr="00185FE3" w:rsidRDefault="005A60E2" w:rsidP="00185FE3">
      <w:pPr>
        <w:pStyle w:val="Default"/>
        <w:spacing w:before="30"/>
        <w:rPr>
          <w:rFonts w:asciiTheme="minorHAnsi" w:hAnsiTheme="minorHAnsi" w:cstheme="minorHAnsi"/>
        </w:rPr>
      </w:pPr>
    </w:p>
    <w:p w14:paraId="3ADC1F74" w14:textId="77777777" w:rsidR="00286C1A" w:rsidRPr="00185FE3" w:rsidRDefault="00286C1A" w:rsidP="00185FE3">
      <w:pPr>
        <w:pStyle w:val="Default"/>
        <w:spacing w:before="30"/>
        <w:rPr>
          <w:rFonts w:asciiTheme="minorHAnsi" w:hAnsiTheme="minorHAnsi" w:cstheme="minorHAnsi"/>
        </w:rPr>
      </w:pPr>
    </w:p>
    <w:p w14:paraId="49DB750F" w14:textId="77777777" w:rsidR="00286C1A" w:rsidRPr="00185FE3" w:rsidRDefault="00286C1A" w:rsidP="00185FE3">
      <w:pPr>
        <w:pStyle w:val="Default"/>
        <w:spacing w:before="30"/>
        <w:rPr>
          <w:rFonts w:asciiTheme="minorHAnsi" w:hAnsiTheme="minorHAnsi" w:cstheme="minorHAnsi"/>
        </w:rPr>
      </w:pPr>
    </w:p>
    <w:p w14:paraId="6D864E17" w14:textId="77777777" w:rsidR="00490ADC" w:rsidRPr="00185FE3" w:rsidRDefault="00490ADC" w:rsidP="00185FE3">
      <w:pPr>
        <w:pStyle w:val="Default"/>
        <w:spacing w:before="30"/>
        <w:rPr>
          <w:rFonts w:asciiTheme="minorHAnsi" w:hAnsiTheme="minorHAnsi" w:cstheme="minorHAnsi"/>
        </w:rPr>
      </w:pPr>
    </w:p>
    <w:p w14:paraId="388F8D97" w14:textId="0F5FAD53" w:rsidR="00490ADC" w:rsidRDefault="00490ADC" w:rsidP="00185FE3">
      <w:pPr>
        <w:pStyle w:val="Default"/>
        <w:spacing w:before="30"/>
        <w:rPr>
          <w:rFonts w:asciiTheme="minorHAnsi" w:hAnsiTheme="minorHAnsi" w:cstheme="minorHAnsi"/>
        </w:rPr>
      </w:pPr>
      <w:r w:rsidRPr="00185FE3">
        <w:rPr>
          <w:rFonts w:asciiTheme="minorHAnsi" w:hAnsiTheme="minorHAnsi" w:cstheme="minorHAnsi"/>
          <w:b/>
          <w:bCs/>
        </w:rPr>
        <w:t xml:space="preserve">Essay three: </w:t>
      </w:r>
    </w:p>
    <w:p w14:paraId="76815BF5" w14:textId="77777777" w:rsidR="00BF3748" w:rsidRPr="00185FE3" w:rsidRDefault="00BF3748" w:rsidP="00185FE3">
      <w:pPr>
        <w:pStyle w:val="Default"/>
        <w:spacing w:before="30"/>
        <w:rPr>
          <w:rFonts w:asciiTheme="minorHAnsi" w:hAnsiTheme="minorHAnsi" w:cstheme="minorHAnsi"/>
        </w:rPr>
      </w:pPr>
    </w:p>
    <w:p w14:paraId="699ED37F" w14:textId="01DE4B47" w:rsidR="00225EA0" w:rsidRDefault="00875FB2" w:rsidP="00185FE3">
      <w:pPr>
        <w:pStyle w:val="Default"/>
        <w:spacing w:before="30"/>
        <w:rPr>
          <w:rFonts w:asciiTheme="minorHAnsi" w:hAnsiTheme="minorHAnsi" w:cstheme="minorHAnsi"/>
        </w:rPr>
      </w:pPr>
      <w:r>
        <w:rPr>
          <w:rFonts w:asciiTheme="minorHAnsi" w:hAnsiTheme="minorHAnsi" w:cstheme="minorHAnsi"/>
        </w:rPr>
        <w:t xml:space="preserve">This essay will consider how “lifestyle” theory is an accurate reflection of what makes certain people vulnerable to becoming a victim of Serious and Organised Crime. </w:t>
      </w:r>
      <w:r w:rsidR="00043D59">
        <w:rPr>
          <w:rFonts w:asciiTheme="minorHAnsi" w:hAnsiTheme="minorHAnsi" w:cstheme="minorHAnsi"/>
        </w:rPr>
        <w:t>It will focus on how people become vulnerable to victimization</w:t>
      </w:r>
      <w:r w:rsidR="00800C83">
        <w:rPr>
          <w:rFonts w:asciiTheme="minorHAnsi" w:hAnsiTheme="minorHAnsi" w:cstheme="minorHAnsi"/>
        </w:rPr>
        <w:t>.</w:t>
      </w:r>
      <w:r w:rsidR="000E310A">
        <w:rPr>
          <w:rFonts w:asciiTheme="minorHAnsi" w:hAnsiTheme="minorHAnsi" w:cstheme="minorHAnsi"/>
        </w:rPr>
        <w:t xml:space="preserve"> </w:t>
      </w:r>
      <w:r w:rsidR="00800C83">
        <w:rPr>
          <w:rFonts w:asciiTheme="minorHAnsi" w:hAnsiTheme="minorHAnsi" w:cstheme="minorHAnsi"/>
        </w:rPr>
        <w:t>T</w:t>
      </w:r>
      <w:r w:rsidR="000E310A">
        <w:rPr>
          <w:rFonts w:asciiTheme="minorHAnsi" w:hAnsiTheme="minorHAnsi" w:cstheme="minorHAnsi"/>
        </w:rPr>
        <w:t xml:space="preserve">he key people I will focus on are young people and </w:t>
      </w:r>
      <w:r w:rsidR="00876824">
        <w:rPr>
          <w:rFonts w:asciiTheme="minorHAnsi" w:hAnsiTheme="minorHAnsi" w:cstheme="minorHAnsi"/>
        </w:rPr>
        <w:t xml:space="preserve">vulnerable adults who are </w:t>
      </w:r>
      <w:r w:rsidR="00800C83">
        <w:rPr>
          <w:rFonts w:asciiTheme="minorHAnsi" w:hAnsiTheme="minorHAnsi" w:cstheme="minorHAnsi"/>
        </w:rPr>
        <w:t>victims of</w:t>
      </w:r>
      <w:r w:rsidR="00876824">
        <w:rPr>
          <w:rFonts w:asciiTheme="minorHAnsi" w:hAnsiTheme="minorHAnsi" w:cstheme="minorHAnsi"/>
        </w:rPr>
        <w:t xml:space="preserve"> cuckooing</w:t>
      </w:r>
      <w:r w:rsidR="00EB5253">
        <w:rPr>
          <w:rFonts w:asciiTheme="minorHAnsi" w:hAnsiTheme="minorHAnsi" w:cstheme="minorHAnsi"/>
        </w:rPr>
        <w:t xml:space="preserve"> and their psychological and socio-economic characteristics</w:t>
      </w:r>
      <w:r w:rsidR="00006105">
        <w:rPr>
          <w:rFonts w:asciiTheme="minorHAnsi" w:hAnsiTheme="minorHAnsi" w:cstheme="minorHAnsi"/>
        </w:rPr>
        <w:t xml:space="preserve"> and why this makes them vulnerable to victimization within serious and organised crime. </w:t>
      </w:r>
    </w:p>
    <w:p w14:paraId="251437C9" w14:textId="77777777" w:rsidR="006B3396" w:rsidRDefault="006B3396" w:rsidP="00185FE3">
      <w:pPr>
        <w:pStyle w:val="Default"/>
        <w:spacing w:before="30"/>
        <w:rPr>
          <w:rFonts w:asciiTheme="minorHAnsi" w:hAnsiTheme="minorHAnsi" w:cstheme="minorHAnsi"/>
        </w:rPr>
      </w:pPr>
    </w:p>
    <w:p w14:paraId="67DB7C42" w14:textId="2370F1D3" w:rsidR="006B3396" w:rsidRDefault="006B3396" w:rsidP="00185FE3">
      <w:pPr>
        <w:pStyle w:val="Default"/>
        <w:spacing w:before="30"/>
        <w:rPr>
          <w:rFonts w:ascii="Calibri" w:hAnsi="Calibri" w:cs="Calibri"/>
          <w:color w:val="auto"/>
        </w:rPr>
      </w:pPr>
      <w:r>
        <w:rPr>
          <w:rFonts w:asciiTheme="minorHAnsi" w:hAnsiTheme="minorHAnsi" w:cstheme="minorHAnsi"/>
        </w:rPr>
        <w:t xml:space="preserve">Lifestyle </w:t>
      </w:r>
      <w:r w:rsidRPr="006B3396">
        <w:rPr>
          <w:rFonts w:asciiTheme="minorHAnsi" w:hAnsiTheme="minorHAnsi" w:cstheme="minorHAnsi"/>
        </w:rPr>
        <w:t xml:space="preserve">theory </w:t>
      </w:r>
      <w:r w:rsidR="003B4333">
        <w:rPr>
          <w:rFonts w:ascii="Calibri" w:hAnsi="Calibri" w:cs="Calibri"/>
          <w:color w:val="auto"/>
        </w:rPr>
        <w:t>states</w:t>
      </w:r>
      <w:r w:rsidRPr="006B3396">
        <w:rPr>
          <w:rFonts w:ascii="Calibri" w:hAnsi="Calibri" w:cs="Calibri"/>
          <w:color w:val="auto"/>
        </w:rPr>
        <w:t xml:space="preserve"> that one may be at a higher risk of being victimized due to certain choices and/or lifestyle</w:t>
      </w:r>
      <w:r>
        <w:rPr>
          <w:rFonts w:ascii="Calibri" w:hAnsi="Calibri" w:cs="Calibri"/>
          <w:color w:val="auto"/>
        </w:rPr>
        <w:t xml:space="preserve">s. </w:t>
      </w:r>
    </w:p>
    <w:p w14:paraId="506D4BA2" w14:textId="04C81FE3" w:rsidR="003B4333" w:rsidRDefault="003B4333" w:rsidP="00185FE3">
      <w:pPr>
        <w:pStyle w:val="Default"/>
        <w:spacing w:before="30"/>
        <w:rPr>
          <w:rFonts w:ascii="Calibri" w:hAnsi="Calibri" w:cs="Calibri"/>
          <w:color w:val="auto"/>
        </w:rPr>
      </w:pPr>
    </w:p>
    <w:p w14:paraId="129E8A9D" w14:textId="3EF9E6C5" w:rsidR="00EF4AC2" w:rsidRDefault="00EF4AC2" w:rsidP="00185FE3">
      <w:pPr>
        <w:pStyle w:val="Default"/>
        <w:spacing w:before="30"/>
        <w:rPr>
          <w:rFonts w:asciiTheme="minorHAnsi" w:hAnsiTheme="minorHAnsi" w:cstheme="minorHAnsi"/>
        </w:rPr>
      </w:pPr>
      <w:r>
        <w:rPr>
          <w:rFonts w:ascii="Calibri" w:hAnsi="Calibri" w:cs="Calibri"/>
          <w:color w:val="auto"/>
        </w:rPr>
        <w:t xml:space="preserve">The lifestyle theoretical model of Hindelang and colleagues (1978) </w:t>
      </w:r>
      <w:r w:rsidR="003B4333">
        <w:rPr>
          <w:rFonts w:ascii="Calibri" w:hAnsi="Calibri" w:cs="Calibri"/>
          <w:color w:val="auto"/>
        </w:rPr>
        <w:t>focus on how an individual’s life activities and routines have an influence on how likely they are to be subjected to personal victimization. F</w:t>
      </w:r>
      <w:r w:rsidR="003B4333">
        <w:rPr>
          <w:rFonts w:asciiTheme="minorHAnsi" w:hAnsiTheme="minorHAnsi" w:cstheme="minorHAnsi"/>
        </w:rPr>
        <w:t xml:space="preserve">or example, if a person is spending more time with groups of offenders or potential offenders then they would be at a greater risk of being victimized. </w:t>
      </w:r>
      <w:r w:rsidR="003B4333" w:rsidRPr="003B4333">
        <w:rPr>
          <w:rFonts w:asciiTheme="minorHAnsi" w:hAnsiTheme="minorHAnsi" w:cstheme="minorHAnsi"/>
        </w:rPr>
        <w:t>(Corkin et al., 2015)</w:t>
      </w:r>
      <w:r w:rsidR="003B4333">
        <w:rPr>
          <w:rFonts w:asciiTheme="minorHAnsi" w:hAnsiTheme="minorHAnsi" w:cstheme="minorHAnsi"/>
        </w:rPr>
        <w:t>.</w:t>
      </w:r>
      <w:r w:rsidR="003B4333">
        <w:rPr>
          <w:rFonts w:asciiTheme="minorHAnsi" w:hAnsiTheme="minorHAnsi" w:cstheme="minorHAnsi"/>
        </w:rPr>
        <w:t xml:space="preserve"> </w:t>
      </w:r>
    </w:p>
    <w:p w14:paraId="75D08ACE" w14:textId="77777777" w:rsidR="00006105" w:rsidRDefault="00006105" w:rsidP="00185FE3">
      <w:pPr>
        <w:pStyle w:val="Default"/>
        <w:spacing w:before="30"/>
        <w:rPr>
          <w:rFonts w:asciiTheme="minorHAnsi" w:hAnsiTheme="minorHAnsi" w:cstheme="minorHAnsi"/>
        </w:rPr>
      </w:pPr>
    </w:p>
    <w:p w14:paraId="662D370A" w14:textId="1D765146" w:rsidR="00006105" w:rsidRDefault="00006105" w:rsidP="00185FE3">
      <w:pPr>
        <w:pStyle w:val="Default"/>
        <w:spacing w:before="30"/>
        <w:rPr>
          <w:rFonts w:asciiTheme="minorHAnsi" w:hAnsiTheme="minorHAnsi" w:cstheme="minorHAnsi"/>
        </w:rPr>
      </w:pPr>
      <w:r>
        <w:rPr>
          <w:rFonts w:asciiTheme="minorHAnsi" w:hAnsiTheme="minorHAnsi" w:cstheme="minorHAnsi"/>
        </w:rPr>
        <w:t xml:space="preserve">The lifestyle theory also proposes that victimization rates can differ across different demographic groups because of how the individuals in these groups chose to engage in different activities. </w:t>
      </w:r>
      <w:r w:rsidRPr="00006105">
        <w:rPr>
          <w:rFonts w:asciiTheme="minorHAnsi" w:hAnsiTheme="minorHAnsi" w:cstheme="minorHAnsi"/>
        </w:rPr>
        <w:t>(Malone Bunch, 2008)</w:t>
      </w:r>
    </w:p>
    <w:p w14:paraId="0B3681A6" w14:textId="77777777" w:rsidR="00CA13D5" w:rsidRDefault="00CA13D5" w:rsidP="00185FE3">
      <w:pPr>
        <w:pStyle w:val="Default"/>
        <w:spacing w:before="30"/>
        <w:rPr>
          <w:rFonts w:asciiTheme="minorHAnsi" w:hAnsiTheme="minorHAnsi" w:cstheme="minorHAnsi"/>
        </w:rPr>
      </w:pPr>
    </w:p>
    <w:p w14:paraId="21F93676" w14:textId="29867AE3" w:rsidR="00AA7549" w:rsidRDefault="00C40FD9" w:rsidP="00185FE3">
      <w:pPr>
        <w:pStyle w:val="Default"/>
        <w:spacing w:before="30"/>
        <w:rPr>
          <w:rFonts w:asciiTheme="minorHAnsi" w:hAnsiTheme="minorHAnsi" w:cstheme="minorHAnsi"/>
        </w:rPr>
      </w:pPr>
      <w:r w:rsidRPr="00AA7549">
        <w:rPr>
          <w:rFonts w:asciiTheme="minorHAnsi" w:hAnsiTheme="minorHAnsi" w:cstheme="minorHAnsi"/>
        </w:rPr>
        <w:t xml:space="preserve">Young children </w:t>
      </w:r>
      <w:r w:rsidR="000E310A" w:rsidRPr="00AA7549">
        <w:rPr>
          <w:rFonts w:asciiTheme="minorHAnsi" w:hAnsiTheme="minorHAnsi" w:cstheme="minorHAnsi"/>
        </w:rPr>
        <w:t xml:space="preserve">can be exposed to risk for a variety of reasons. </w:t>
      </w:r>
      <w:r w:rsidR="00AA7549" w:rsidRPr="00AA7549">
        <w:rPr>
          <w:rFonts w:asciiTheme="minorHAnsi" w:hAnsiTheme="minorHAnsi" w:cstheme="minorHAnsi"/>
        </w:rPr>
        <w:t>One of the reasons</w:t>
      </w:r>
      <w:r w:rsidR="000E310A" w:rsidRPr="00AA7549">
        <w:rPr>
          <w:rFonts w:asciiTheme="minorHAnsi" w:hAnsiTheme="minorHAnsi" w:cstheme="minorHAnsi"/>
        </w:rPr>
        <w:t xml:space="preserve"> can be from lack of guardianship</w:t>
      </w:r>
      <w:r w:rsidR="003B4333" w:rsidRPr="00AA7549">
        <w:rPr>
          <w:rFonts w:asciiTheme="minorHAnsi" w:hAnsiTheme="minorHAnsi" w:cstheme="minorHAnsi"/>
        </w:rPr>
        <w:t xml:space="preserve"> and their ability to protect themselves</w:t>
      </w:r>
      <w:r w:rsidR="000E310A" w:rsidRPr="00AA7549">
        <w:rPr>
          <w:rFonts w:asciiTheme="minorHAnsi" w:hAnsiTheme="minorHAnsi" w:cstheme="minorHAnsi"/>
        </w:rPr>
        <w:t>.</w:t>
      </w:r>
      <w:r w:rsidR="00AA7549" w:rsidRPr="00AA7549">
        <w:rPr>
          <w:rFonts w:asciiTheme="minorHAnsi" w:hAnsiTheme="minorHAnsi" w:cstheme="minorHAnsi"/>
        </w:rPr>
        <w:t xml:space="preserve"> </w:t>
      </w:r>
      <w:r w:rsidR="00AA7549" w:rsidRPr="00AA7549">
        <w:rPr>
          <w:rFonts w:asciiTheme="minorHAnsi" w:hAnsiTheme="minorHAnsi" w:cstheme="minorHAnsi"/>
        </w:rPr>
        <w:t>Finkelhor (1995)</w:t>
      </w:r>
      <w:r w:rsidR="00AA7549">
        <w:rPr>
          <w:rFonts w:asciiTheme="minorHAnsi" w:hAnsiTheme="minorHAnsi" w:cstheme="minorHAnsi"/>
        </w:rPr>
        <w:t xml:space="preserve">. </w:t>
      </w:r>
      <w:r w:rsidR="00AA7549" w:rsidRPr="00AA7549">
        <w:rPr>
          <w:rFonts w:asciiTheme="minorHAnsi" w:hAnsiTheme="minorHAnsi" w:cstheme="minorHAnsi"/>
        </w:rPr>
        <w:t xml:space="preserve">According the the NSPCC (2019) a young person may be recruited into a gang based on where they live or because of who their family is. Studies have shown that children are at higher risk of being recruited into gang culture if they have special educational needs, they have problems at home such as neglect and domestic abuse or they are already existing in gang culture because of their family. </w:t>
      </w:r>
      <w:r w:rsidR="00D63554">
        <w:rPr>
          <w:rFonts w:asciiTheme="minorHAnsi" w:hAnsiTheme="minorHAnsi" w:cstheme="minorHAnsi"/>
        </w:rPr>
        <w:t>(NSPCC, 2019)</w:t>
      </w:r>
    </w:p>
    <w:p w14:paraId="55E0D2DB" w14:textId="77777777" w:rsidR="00D63554" w:rsidRPr="00AA7549" w:rsidRDefault="00D63554" w:rsidP="00185FE3">
      <w:pPr>
        <w:pStyle w:val="Default"/>
        <w:spacing w:before="30"/>
        <w:rPr>
          <w:rFonts w:asciiTheme="minorHAnsi" w:hAnsiTheme="minorHAnsi" w:cstheme="minorHAnsi"/>
        </w:rPr>
      </w:pPr>
    </w:p>
    <w:p w14:paraId="7E21F4D4" w14:textId="5401E7E5" w:rsidR="00D63554" w:rsidRDefault="00D63554" w:rsidP="00D63554">
      <w:pPr>
        <w:pStyle w:val="Default"/>
        <w:spacing w:before="30"/>
        <w:rPr>
          <w:rFonts w:asciiTheme="minorHAnsi" w:hAnsiTheme="minorHAnsi" w:cstheme="minorHAnsi"/>
        </w:rPr>
      </w:pPr>
      <w:r>
        <w:rPr>
          <w:rFonts w:asciiTheme="minorHAnsi" w:hAnsiTheme="minorHAnsi" w:cstheme="minorHAnsi"/>
        </w:rPr>
        <w:t>Children can also be targeted by gangs because of their socio-economic status. This is determined on factors such as the kind of education they receive, where they live and their ethic origin or their personal religious background</w:t>
      </w:r>
      <w:r w:rsidRPr="00D63554">
        <w:rPr>
          <w:rFonts w:asciiTheme="minorHAnsi" w:hAnsiTheme="minorHAnsi" w:cstheme="minorHAnsi"/>
        </w:rPr>
        <w:t>.</w:t>
      </w:r>
      <w:r w:rsidRPr="00D63554">
        <w:rPr>
          <w:rFonts w:asciiTheme="minorHAnsi" w:hAnsiTheme="minorHAnsi" w:cstheme="minorHAnsi"/>
        </w:rPr>
        <w:t xml:space="preserve"> </w:t>
      </w:r>
      <w:r w:rsidRPr="00D63554">
        <w:rPr>
          <w:rFonts w:asciiTheme="minorHAnsi" w:hAnsiTheme="minorHAnsi" w:cstheme="minorHAnsi"/>
        </w:rPr>
        <w:t>(American Psychological Association, 2022)</w:t>
      </w:r>
      <w:r w:rsidR="000F7129">
        <w:rPr>
          <w:rFonts w:asciiTheme="minorHAnsi" w:hAnsiTheme="minorHAnsi" w:cstheme="minorHAnsi"/>
        </w:rPr>
        <w:t xml:space="preserve"> According to a study conducted by Manchester university </w:t>
      </w:r>
      <w:r w:rsidR="000F7129">
        <w:t>(</w:t>
      </w:r>
      <w:r w:rsidR="000F7129" w:rsidRPr="000F7129">
        <w:rPr>
          <w:rFonts w:asciiTheme="minorHAnsi" w:hAnsiTheme="minorHAnsi" w:cstheme="minorHAnsi"/>
        </w:rPr>
        <w:t>Cebulla, Ross and Aldridge, n.d.)</w:t>
      </w:r>
      <w:r w:rsidR="000F7129">
        <w:rPr>
          <w:rFonts w:asciiTheme="minorHAnsi" w:hAnsiTheme="minorHAnsi" w:cstheme="minorHAnsi"/>
        </w:rPr>
        <w:t xml:space="preserve"> their study suggested that young people joining a gang increased their likelihood of spending more time socialising in the street</w:t>
      </w:r>
      <w:r w:rsidR="008A2EDE">
        <w:rPr>
          <w:rFonts w:asciiTheme="minorHAnsi" w:hAnsiTheme="minorHAnsi" w:cstheme="minorHAnsi"/>
        </w:rPr>
        <w:t xml:space="preserve"> and in turn became more committed to their “friends” that were engaging in delinquent behaviour. The study also looked at identifying risk factors for joining a gang and the strongest predictors highlighted for both joining and staying in a gang were a pre-existing problem or antisocial behaviour, both which fit in with the lifestyle theory model. </w:t>
      </w:r>
    </w:p>
    <w:p w14:paraId="318DA33A" w14:textId="61039294" w:rsidR="008A2EDE" w:rsidRPr="00D63554" w:rsidRDefault="008A2EDE" w:rsidP="00D63554">
      <w:pPr>
        <w:pStyle w:val="Default"/>
        <w:spacing w:before="30"/>
        <w:rPr>
          <w:rFonts w:asciiTheme="minorHAnsi" w:hAnsiTheme="minorHAnsi" w:cstheme="minorHAnsi"/>
        </w:rPr>
      </w:pPr>
      <w:r>
        <w:rPr>
          <w:rFonts w:asciiTheme="minorHAnsi" w:hAnsiTheme="minorHAnsi" w:cstheme="minorHAnsi"/>
        </w:rPr>
        <w:t xml:space="preserve">However, in contract to this the study also looked at neighbourhood characteristics and socio-economic characteristics and they were not found to be significant enablers of reasons why young children may join a gang. </w:t>
      </w:r>
    </w:p>
    <w:p w14:paraId="3557A356" w14:textId="77777777" w:rsidR="00D63554" w:rsidRDefault="00D63554" w:rsidP="00185FE3">
      <w:pPr>
        <w:pStyle w:val="Default"/>
        <w:spacing w:before="30"/>
        <w:rPr>
          <w:rFonts w:asciiTheme="minorHAnsi" w:hAnsiTheme="minorHAnsi" w:cstheme="minorHAnsi"/>
        </w:rPr>
      </w:pPr>
    </w:p>
    <w:p w14:paraId="3E748146" w14:textId="12438C49" w:rsidR="00252935" w:rsidRDefault="00252935" w:rsidP="00185FE3">
      <w:pPr>
        <w:pStyle w:val="Default"/>
        <w:spacing w:before="30"/>
        <w:rPr>
          <w:rFonts w:asciiTheme="minorHAnsi" w:hAnsiTheme="minorHAnsi" w:cstheme="minorHAnsi"/>
        </w:rPr>
      </w:pPr>
      <w:r>
        <w:rPr>
          <w:rFonts w:asciiTheme="minorHAnsi" w:hAnsiTheme="minorHAnsi" w:cstheme="minorHAnsi"/>
        </w:rPr>
        <w:t xml:space="preserve">According to figures provided by the Department for Education 12,720 children that were assessed by children’s social services were deemed to be at risk due to involvement in gangs, in England between April 2020 and March 2021. </w:t>
      </w:r>
      <w:r w:rsidR="00876824" w:rsidRPr="00876824">
        <w:rPr>
          <w:rFonts w:asciiTheme="minorHAnsi" w:hAnsiTheme="minorHAnsi" w:cstheme="minorHAnsi"/>
        </w:rPr>
        <w:t>60,000 young people (aged 10-17) identify as a gang member or know a gang member who is a relative.</w:t>
      </w:r>
      <w:r w:rsidR="00B81C19">
        <w:rPr>
          <w:rFonts w:asciiTheme="minorHAnsi" w:hAnsiTheme="minorHAnsi" w:cstheme="minorHAnsi"/>
        </w:rPr>
        <w:t xml:space="preserve"> </w:t>
      </w:r>
      <w:r w:rsidR="008454F2">
        <w:rPr>
          <w:rFonts w:asciiTheme="minorHAnsi" w:hAnsiTheme="minorHAnsi" w:cstheme="minorHAnsi"/>
        </w:rPr>
        <w:t>(</w:t>
      </w:r>
      <w:r w:rsidR="008454F2" w:rsidRPr="008454F2">
        <w:rPr>
          <w:rFonts w:asciiTheme="minorHAnsi" w:hAnsiTheme="minorHAnsi" w:cstheme="minorHAnsi"/>
        </w:rPr>
        <w:t>NATIONAL YOUTH AGENCY</w:t>
      </w:r>
      <w:r w:rsidR="008454F2">
        <w:rPr>
          <w:rFonts w:asciiTheme="minorHAnsi" w:hAnsiTheme="minorHAnsi" w:cstheme="minorHAnsi"/>
        </w:rPr>
        <w:t xml:space="preserve">, </w:t>
      </w:r>
      <w:r w:rsidR="008454F2" w:rsidRPr="008454F2">
        <w:rPr>
          <w:rFonts w:asciiTheme="minorHAnsi" w:hAnsiTheme="minorHAnsi" w:cstheme="minorHAnsi"/>
        </w:rPr>
        <w:t>2020)</w:t>
      </w:r>
      <w:r w:rsidR="008454F2">
        <w:rPr>
          <w:rFonts w:asciiTheme="minorHAnsi" w:hAnsiTheme="minorHAnsi" w:cstheme="minorHAnsi"/>
        </w:rPr>
        <w:t xml:space="preserve">. </w:t>
      </w:r>
      <w:r w:rsidR="00B81C19">
        <w:rPr>
          <w:rFonts w:asciiTheme="minorHAnsi" w:hAnsiTheme="minorHAnsi" w:cstheme="minorHAnsi"/>
        </w:rPr>
        <w:t>In additional to these figures, a</w:t>
      </w:r>
      <w:r w:rsidR="0000583F">
        <w:rPr>
          <w:rFonts w:asciiTheme="minorHAnsi" w:hAnsiTheme="minorHAnsi" w:cstheme="minorHAnsi"/>
        </w:rPr>
        <w:t xml:space="preserve">ccording to research conducted by </w:t>
      </w:r>
      <w:r w:rsidR="00B81C19">
        <w:rPr>
          <w:rFonts w:asciiTheme="minorHAnsi" w:hAnsiTheme="minorHAnsi" w:cstheme="minorHAnsi"/>
        </w:rPr>
        <w:t>Barnardo’s</w:t>
      </w:r>
      <w:r w:rsidR="0000583F">
        <w:rPr>
          <w:rFonts w:asciiTheme="minorHAnsi" w:hAnsiTheme="minorHAnsi" w:cstheme="minorHAnsi"/>
        </w:rPr>
        <w:t xml:space="preserve"> Childrens Charity i</w:t>
      </w:r>
      <w:r w:rsidR="0000583F" w:rsidRPr="0000583F">
        <w:rPr>
          <w:rFonts w:asciiTheme="minorHAnsi" w:hAnsiTheme="minorHAnsi" w:cstheme="minorHAnsi"/>
        </w:rPr>
        <w:t xml:space="preserve">n 2020, the number of children assessed by children’s social care of being at risk from gang involvement increased from 10,960 to 14,700. </w:t>
      </w:r>
      <w:r w:rsidR="0000583F">
        <w:rPr>
          <w:rFonts w:asciiTheme="minorHAnsi" w:hAnsiTheme="minorHAnsi" w:cstheme="minorHAnsi"/>
        </w:rPr>
        <w:t xml:space="preserve">It also stated that </w:t>
      </w:r>
      <w:r w:rsidR="0000583F" w:rsidRPr="0000583F">
        <w:rPr>
          <w:rFonts w:asciiTheme="minorHAnsi" w:hAnsiTheme="minorHAnsi" w:cstheme="minorHAnsi"/>
        </w:rPr>
        <w:t xml:space="preserve">children involved in drug misuse increased from 23,710 to 29,170 </w:t>
      </w:r>
      <w:r w:rsidR="0072715B">
        <w:rPr>
          <w:rFonts w:asciiTheme="minorHAnsi" w:hAnsiTheme="minorHAnsi" w:cstheme="minorHAnsi"/>
        </w:rPr>
        <w:t>(</w:t>
      </w:r>
      <w:r w:rsidR="008454F2" w:rsidRPr="008454F2">
        <w:rPr>
          <w:rFonts w:asciiTheme="minorHAnsi" w:hAnsiTheme="minorHAnsi" w:cstheme="minorHAnsi"/>
        </w:rPr>
        <w:t>Barnardo’s</w:t>
      </w:r>
      <w:r w:rsidR="0072715B">
        <w:rPr>
          <w:rFonts w:asciiTheme="minorHAnsi" w:hAnsiTheme="minorHAnsi" w:cstheme="minorHAnsi"/>
        </w:rPr>
        <w:t xml:space="preserve">, </w:t>
      </w:r>
      <w:r w:rsidR="008454F2" w:rsidRPr="008454F2">
        <w:rPr>
          <w:rFonts w:asciiTheme="minorHAnsi" w:hAnsiTheme="minorHAnsi" w:cstheme="minorHAnsi"/>
        </w:rPr>
        <w:t>2021)</w:t>
      </w:r>
    </w:p>
    <w:p w14:paraId="073F3071" w14:textId="77777777" w:rsidR="008454F2" w:rsidRDefault="008454F2" w:rsidP="00185FE3">
      <w:pPr>
        <w:pStyle w:val="Default"/>
        <w:spacing w:before="30"/>
        <w:rPr>
          <w:rFonts w:asciiTheme="minorHAnsi" w:hAnsiTheme="minorHAnsi" w:cstheme="minorHAnsi"/>
        </w:rPr>
      </w:pPr>
    </w:p>
    <w:p w14:paraId="0FF3986B" w14:textId="05C1AC47" w:rsidR="00C40FD9" w:rsidRDefault="00252935" w:rsidP="00185FE3">
      <w:pPr>
        <w:pStyle w:val="Default"/>
        <w:spacing w:before="30"/>
        <w:rPr>
          <w:rFonts w:asciiTheme="minorHAnsi" w:hAnsiTheme="minorHAnsi" w:cstheme="minorHAnsi"/>
        </w:rPr>
      </w:pPr>
      <w:r>
        <w:rPr>
          <w:rFonts w:asciiTheme="minorHAnsi" w:hAnsiTheme="minorHAnsi" w:cstheme="minorHAnsi"/>
        </w:rPr>
        <w:lastRenderedPageBreak/>
        <w:t xml:space="preserve">These figures </w:t>
      </w:r>
      <w:r w:rsidR="00876824">
        <w:rPr>
          <w:rFonts w:asciiTheme="minorHAnsi" w:hAnsiTheme="minorHAnsi" w:cstheme="minorHAnsi"/>
        </w:rPr>
        <w:t>show a high number of youths who are either involved with or know somebody who is involved in gang culture and Serious and Organised Crime groups.</w:t>
      </w:r>
      <w:r w:rsidR="00530AF6">
        <w:rPr>
          <w:rFonts w:asciiTheme="minorHAnsi" w:hAnsiTheme="minorHAnsi" w:cstheme="minorHAnsi"/>
        </w:rPr>
        <w:t xml:space="preserve"> Youths may become involved in gangs and organised crime for a </w:t>
      </w:r>
      <w:r w:rsidR="00006105">
        <w:rPr>
          <w:rFonts w:asciiTheme="minorHAnsi" w:hAnsiTheme="minorHAnsi" w:cstheme="minorHAnsi"/>
        </w:rPr>
        <w:t>number of</w:t>
      </w:r>
      <w:r w:rsidR="00530AF6">
        <w:rPr>
          <w:rFonts w:asciiTheme="minorHAnsi" w:hAnsiTheme="minorHAnsi" w:cstheme="minorHAnsi"/>
        </w:rPr>
        <w:t xml:space="preserve"> reasons, for example to have protection from other by being part of gang, to feel a sense of identity or to increase their own social status.</w:t>
      </w:r>
      <w:r w:rsidR="00530AF6" w:rsidRPr="00530AF6">
        <w:t xml:space="preserve"> </w:t>
      </w:r>
      <w:r w:rsidR="00530AF6" w:rsidRPr="00530AF6">
        <w:rPr>
          <w:rFonts w:ascii="Calibri" w:hAnsi="Calibri" w:cs="Calibri"/>
        </w:rPr>
        <w:t>(Thurrock Council, 2019)</w:t>
      </w:r>
      <w:r w:rsidR="00530AF6">
        <w:rPr>
          <w:rFonts w:asciiTheme="minorHAnsi" w:hAnsiTheme="minorHAnsi" w:cstheme="minorHAnsi"/>
        </w:rPr>
        <w:t xml:space="preserve"> </w:t>
      </w:r>
    </w:p>
    <w:p w14:paraId="5261015E" w14:textId="77777777" w:rsidR="00D63554" w:rsidRDefault="00D63554" w:rsidP="00185FE3">
      <w:pPr>
        <w:pStyle w:val="Default"/>
        <w:spacing w:before="30"/>
        <w:rPr>
          <w:rFonts w:asciiTheme="minorHAnsi" w:hAnsiTheme="minorHAnsi" w:cstheme="minorHAnsi"/>
        </w:rPr>
      </w:pPr>
    </w:p>
    <w:p w14:paraId="27C51B12" w14:textId="77777777" w:rsidR="00530AF6" w:rsidRDefault="00530AF6" w:rsidP="00185FE3">
      <w:pPr>
        <w:pStyle w:val="Default"/>
        <w:spacing w:before="30"/>
        <w:rPr>
          <w:rFonts w:asciiTheme="minorHAnsi" w:hAnsiTheme="minorHAnsi" w:cstheme="minorHAnsi"/>
        </w:rPr>
      </w:pPr>
    </w:p>
    <w:p w14:paraId="1E6ED5A0" w14:textId="77777777" w:rsidR="00530AF6" w:rsidRDefault="00530AF6" w:rsidP="00185FE3">
      <w:pPr>
        <w:pStyle w:val="Default"/>
        <w:spacing w:before="30"/>
        <w:rPr>
          <w:rFonts w:asciiTheme="minorHAnsi" w:hAnsiTheme="minorHAnsi" w:cstheme="minorHAnsi"/>
        </w:rPr>
      </w:pPr>
    </w:p>
    <w:p w14:paraId="14CC3DF9" w14:textId="0688A355" w:rsidR="001F0385" w:rsidRDefault="00C40FD9" w:rsidP="00185FE3">
      <w:pPr>
        <w:pStyle w:val="Default"/>
        <w:spacing w:before="30"/>
        <w:rPr>
          <w:rFonts w:asciiTheme="minorHAnsi" w:hAnsiTheme="minorHAnsi" w:cstheme="minorHAnsi"/>
        </w:rPr>
      </w:pPr>
      <w:r w:rsidRPr="001F0385">
        <w:rPr>
          <w:rFonts w:asciiTheme="minorHAnsi" w:hAnsiTheme="minorHAnsi" w:cstheme="minorHAnsi"/>
        </w:rPr>
        <w:t>Cuckooing</w:t>
      </w:r>
      <w:r w:rsidR="00742EF2" w:rsidRPr="001F0385">
        <w:rPr>
          <w:rFonts w:asciiTheme="minorHAnsi" w:hAnsiTheme="minorHAnsi" w:cstheme="minorHAnsi"/>
        </w:rPr>
        <w:t xml:space="preserve"> is when a person or group of people take over a </w:t>
      </w:r>
      <w:r w:rsidR="00800C83" w:rsidRPr="001F0385">
        <w:rPr>
          <w:rFonts w:asciiTheme="minorHAnsi" w:hAnsiTheme="minorHAnsi" w:cstheme="minorHAnsi"/>
        </w:rPr>
        <w:t>person’s</w:t>
      </w:r>
      <w:r w:rsidR="00742EF2" w:rsidRPr="001F0385">
        <w:rPr>
          <w:rFonts w:asciiTheme="minorHAnsi" w:hAnsiTheme="minorHAnsi" w:cstheme="minorHAnsi"/>
        </w:rPr>
        <w:t xml:space="preserve"> home and use them and their property </w:t>
      </w:r>
      <w:r w:rsidR="00AC6E4F" w:rsidRPr="001F0385">
        <w:rPr>
          <w:rFonts w:asciiTheme="minorHAnsi" w:hAnsiTheme="minorHAnsi" w:cstheme="minorHAnsi"/>
        </w:rPr>
        <w:t>to</w:t>
      </w:r>
      <w:r w:rsidR="00742EF2" w:rsidRPr="001F0385">
        <w:rPr>
          <w:rFonts w:asciiTheme="minorHAnsi" w:hAnsiTheme="minorHAnsi" w:cstheme="minorHAnsi"/>
        </w:rPr>
        <w:t xml:space="preserve"> facilitate crime.</w:t>
      </w:r>
      <w:r w:rsidR="001F0385" w:rsidRPr="001F0385">
        <w:rPr>
          <w:rFonts w:asciiTheme="minorHAnsi" w:hAnsiTheme="minorHAnsi" w:cstheme="minorHAnsi"/>
        </w:rPr>
        <w:t xml:space="preserve"> In recent years cuckooing has become allied with extensive drug supply</w:t>
      </w:r>
      <w:r w:rsidR="001F0385">
        <w:rPr>
          <w:rFonts w:asciiTheme="minorHAnsi" w:hAnsiTheme="minorHAnsi" w:cstheme="minorHAnsi"/>
        </w:rPr>
        <w:t>, typically heroin and cocaine</w:t>
      </w:r>
      <w:r w:rsidR="001F0385" w:rsidRPr="001F0385">
        <w:rPr>
          <w:rFonts w:asciiTheme="minorHAnsi" w:hAnsiTheme="minorHAnsi" w:cstheme="minorHAnsi"/>
        </w:rPr>
        <w:t xml:space="preserve"> </w:t>
      </w:r>
      <w:r w:rsidR="001F0385" w:rsidRPr="001F0385">
        <w:rPr>
          <w:rFonts w:asciiTheme="minorHAnsi" w:hAnsiTheme="minorHAnsi" w:cstheme="minorHAnsi"/>
        </w:rPr>
        <w:t>(Spicer, Moyle and Coomber, 2019)</w:t>
      </w:r>
      <w:r w:rsidR="00742EF2" w:rsidRPr="001F0385">
        <w:rPr>
          <w:rFonts w:asciiTheme="minorHAnsi" w:hAnsiTheme="minorHAnsi" w:cstheme="minorHAnsi"/>
        </w:rPr>
        <w:t xml:space="preserve"> </w:t>
      </w:r>
    </w:p>
    <w:p w14:paraId="0242B77E" w14:textId="1A25BF8A" w:rsidR="001F0385" w:rsidRPr="001F0385" w:rsidRDefault="001F0385" w:rsidP="00185FE3">
      <w:pPr>
        <w:pStyle w:val="Default"/>
        <w:spacing w:before="30"/>
        <w:rPr>
          <w:rFonts w:asciiTheme="minorHAnsi" w:hAnsiTheme="minorHAnsi" w:cstheme="minorHAnsi"/>
        </w:rPr>
      </w:pPr>
      <w:r>
        <w:rPr>
          <w:rFonts w:asciiTheme="minorHAnsi" w:hAnsiTheme="minorHAnsi" w:cstheme="minorHAnsi"/>
        </w:rPr>
        <w:t xml:space="preserve">Victims of cuckooing are vulnerable individuals that can have either mental health issues or issues with drug addictions. They can be using drug addicts or recovering addicts and it is </w:t>
      </w:r>
      <w:r w:rsidRPr="001F0385">
        <w:rPr>
          <w:rFonts w:asciiTheme="minorHAnsi" w:hAnsiTheme="minorHAnsi" w:cstheme="minorHAnsi"/>
        </w:rPr>
        <w:t xml:space="preserve">usually the clients of the drug dealers that have their homes taken over by them. </w:t>
      </w:r>
    </w:p>
    <w:p w14:paraId="12199C74" w14:textId="5E8BA663" w:rsidR="001F0385" w:rsidRDefault="001F0385" w:rsidP="00185FE3">
      <w:pPr>
        <w:pStyle w:val="Default"/>
        <w:spacing w:before="30"/>
        <w:rPr>
          <w:rFonts w:asciiTheme="minorHAnsi" w:hAnsiTheme="minorHAnsi" w:cstheme="minorHAnsi"/>
        </w:rPr>
      </w:pPr>
      <w:r w:rsidRPr="001F0385">
        <w:rPr>
          <w:rFonts w:asciiTheme="minorHAnsi" w:hAnsiTheme="minorHAnsi" w:cstheme="minorHAnsi"/>
        </w:rPr>
        <w:t>(Butera, 2013)</w:t>
      </w:r>
      <w:r>
        <w:rPr>
          <w:rFonts w:asciiTheme="minorHAnsi" w:hAnsiTheme="minorHAnsi" w:cstheme="minorHAnsi"/>
        </w:rPr>
        <w:t xml:space="preserve"> </w:t>
      </w:r>
    </w:p>
    <w:p w14:paraId="4CF620C7" w14:textId="77777777" w:rsidR="00D63554" w:rsidRDefault="00D63554" w:rsidP="00185FE3">
      <w:pPr>
        <w:pStyle w:val="Default"/>
        <w:spacing w:before="30"/>
        <w:rPr>
          <w:rFonts w:asciiTheme="minorHAnsi" w:hAnsiTheme="minorHAnsi" w:cstheme="minorHAnsi"/>
        </w:rPr>
      </w:pPr>
    </w:p>
    <w:p w14:paraId="0FECA1B1" w14:textId="73DBA92D" w:rsidR="0000583F" w:rsidRDefault="005162D5" w:rsidP="00185FE3">
      <w:pPr>
        <w:pStyle w:val="Default"/>
        <w:spacing w:before="30"/>
        <w:rPr>
          <w:rFonts w:asciiTheme="minorHAnsi" w:hAnsiTheme="minorHAnsi" w:cstheme="minorHAnsi"/>
        </w:rPr>
      </w:pPr>
      <w:r>
        <w:rPr>
          <w:rFonts w:asciiTheme="minorHAnsi" w:hAnsiTheme="minorHAnsi" w:cstheme="minorHAnsi"/>
        </w:rPr>
        <w:t>According to figures provided by The Metropolitan Police the number of reports made to them of people being cuckooed was:</w:t>
      </w:r>
      <w:r w:rsidR="004C4940">
        <w:rPr>
          <w:rFonts w:asciiTheme="minorHAnsi" w:hAnsiTheme="minorHAnsi" w:cstheme="minorHAnsi"/>
        </w:rPr>
        <w:t xml:space="preserve"> </w:t>
      </w:r>
      <w:r>
        <w:rPr>
          <w:rFonts w:asciiTheme="minorHAnsi" w:hAnsiTheme="minorHAnsi" w:cstheme="minorHAnsi"/>
        </w:rPr>
        <w:t>108 in 2020</w:t>
      </w:r>
      <w:r w:rsidR="0000583F">
        <w:rPr>
          <w:rFonts w:asciiTheme="minorHAnsi" w:hAnsiTheme="minorHAnsi" w:cstheme="minorHAnsi"/>
        </w:rPr>
        <w:t xml:space="preserve">, </w:t>
      </w:r>
      <w:r>
        <w:rPr>
          <w:rFonts w:asciiTheme="minorHAnsi" w:hAnsiTheme="minorHAnsi" w:cstheme="minorHAnsi"/>
        </w:rPr>
        <w:t>156 in 2021</w:t>
      </w:r>
      <w:r w:rsidR="0000583F">
        <w:rPr>
          <w:rFonts w:asciiTheme="minorHAnsi" w:hAnsiTheme="minorHAnsi" w:cstheme="minorHAnsi"/>
        </w:rPr>
        <w:t xml:space="preserve">, </w:t>
      </w:r>
      <w:r>
        <w:rPr>
          <w:rFonts w:asciiTheme="minorHAnsi" w:hAnsiTheme="minorHAnsi" w:cstheme="minorHAnsi"/>
        </w:rPr>
        <w:t xml:space="preserve">109 in 2022 (Up until September 2022) </w:t>
      </w:r>
      <w:r w:rsidR="0000583F">
        <w:rPr>
          <w:rFonts w:asciiTheme="minorHAnsi" w:hAnsiTheme="minorHAnsi" w:cstheme="minorHAnsi"/>
        </w:rPr>
        <w:t>. Figures also show that t</w:t>
      </w:r>
      <w:r w:rsidR="0000583F" w:rsidRPr="0000583F">
        <w:rPr>
          <w:rFonts w:asciiTheme="minorHAnsi" w:hAnsiTheme="minorHAnsi" w:cstheme="minorHAnsi"/>
        </w:rPr>
        <w:t>here were 316 recorded instances of cuckooing in the capital</w:t>
      </w:r>
      <w:r w:rsidR="004C4940">
        <w:rPr>
          <w:rFonts w:asciiTheme="minorHAnsi" w:hAnsiTheme="minorHAnsi" w:cstheme="minorHAnsi"/>
        </w:rPr>
        <w:t xml:space="preserve"> (London)</w:t>
      </w:r>
      <w:r w:rsidR="0000583F" w:rsidRPr="0000583F">
        <w:rPr>
          <w:rFonts w:asciiTheme="minorHAnsi" w:hAnsiTheme="minorHAnsi" w:cstheme="minorHAnsi"/>
        </w:rPr>
        <w:t xml:space="preserve"> in 2022, up from 79 in 2018</w:t>
      </w:r>
      <w:r w:rsidR="0000583F">
        <w:rPr>
          <w:rFonts w:asciiTheme="minorHAnsi" w:hAnsiTheme="minorHAnsi" w:cstheme="minorHAnsi"/>
        </w:rPr>
        <w:t xml:space="preserve"> </w:t>
      </w:r>
      <w:r w:rsidR="0072715B">
        <w:rPr>
          <w:rFonts w:asciiTheme="minorHAnsi" w:hAnsiTheme="minorHAnsi" w:cstheme="minorHAnsi"/>
        </w:rPr>
        <w:t>(</w:t>
      </w:r>
      <w:r w:rsidR="008454F2" w:rsidRPr="008454F2">
        <w:rPr>
          <w:rFonts w:asciiTheme="minorHAnsi" w:hAnsiTheme="minorHAnsi" w:cstheme="minorHAnsi"/>
        </w:rPr>
        <w:t>Elgueta</w:t>
      </w:r>
      <w:r w:rsidR="0072715B">
        <w:rPr>
          <w:rFonts w:asciiTheme="minorHAnsi" w:hAnsiTheme="minorHAnsi" w:cstheme="minorHAnsi"/>
        </w:rPr>
        <w:t xml:space="preserve">, </w:t>
      </w:r>
      <w:r w:rsidR="008454F2" w:rsidRPr="008454F2">
        <w:rPr>
          <w:rFonts w:asciiTheme="minorHAnsi" w:hAnsiTheme="minorHAnsi" w:cstheme="minorHAnsi"/>
        </w:rPr>
        <w:t>2023)</w:t>
      </w:r>
      <w:r w:rsidR="0072715B">
        <w:rPr>
          <w:rFonts w:asciiTheme="minorHAnsi" w:hAnsiTheme="minorHAnsi" w:cstheme="minorHAnsi"/>
        </w:rPr>
        <w:t>.</w:t>
      </w:r>
    </w:p>
    <w:p w14:paraId="3BDBE805" w14:textId="77777777" w:rsidR="005162D5" w:rsidRDefault="005162D5" w:rsidP="00185FE3">
      <w:pPr>
        <w:pStyle w:val="Default"/>
        <w:spacing w:before="30"/>
        <w:rPr>
          <w:rFonts w:asciiTheme="minorHAnsi" w:hAnsiTheme="minorHAnsi" w:cstheme="minorHAnsi"/>
        </w:rPr>
      </w:pPr>
    </w:p>
    <w:p w14:paraId="0F4BDEFC" w14:textId="5FFF9B8C" w:rsidR="00043D59" w:rsidRPr="00185FE3" w:rsidRDefault="000F4119" w:rsidP="00185FE3">
      <w:pPr>
        <w:pStyle w:val="Default"/>
        <w:spacing w:before="30"/>
        <w:rPr>
          <w:rFonts w:asciiTheme="minorHAnsi" w:hAnsiTheme="minorHAnsi" w:cstheme="minorHAnsi"/>
        </w:rPr>
      </w:pPr>
      <w:r>
        <w:rPr>
          <w:rFonts w:asciiTheme="minorHAnsi" w:hAnsiTheme="minorHAnsi" w:cstheme="minorHAnsi"/>
        </w:rPr>
        <w:t xml:space="preserve">Lifestyle theory is an accurate reflection of what makes some people vulnerable to victimization of Serious and Organised Crime due to the arguments highlighted above. People are unable to protect themselves from harm or exploitation due to their psychological or socio-economic characteristics such as substance </w:t>
      </w:r>
      <w:r w:rsidR="00EB1220">
        <w:rPr>
          <w:rFonts w:asciiTheme="minorHAnsi" w:hAnsiTheme="minorHAnsi" w:cstheme="minorHAnsi"/>
        </w:rPr>
        <w:t>misuse</w:t>
      </w:r>
      <w:r>
        <w:rPr>
          <w:rFonts w:asciiTheme="minorHAnsi" w:hAnsiTheme="minorHAnsi" w:cstheme="minorHAnsi"/>
        </w:rPr>
        <w:t xml:space="preserve"> or learning difficulties. People without these types of characteristics are less likely to be victims of this type of crime as they </w:t>
      </w:r>
      <w:r w:rsidR="00B81C19">
        <w:rPr>
          <w:rFonts w:asciiTheme="minorHAnsi" w:hAnsiTheme="minorHAnsi" w:cstheme="minorHAnsi"/>
        </w:rPr>
        <w:t>can</w:t>
      </w:r>
      <w:r>
        <w:rPr>
          <w:rFonts w:asciiTheme="minorHAnsi" w:hAnsiTheme="minorHAnsi" w:cstheme="minorHAnsi"/>
        </w:rPr>
        <w:t xml:space="preserve"> protect themselves and do not put themselves in a position of such risk. </w:t>
      </w:r>
      <w:r w:rsidR="008A2EDE">
        <w:rPr>
          <w:rFonts w:asciiTheme="minorHAnsi" w:hAnsiTheme="minorHAnsi" w:cstheme="minorHAnsi"/>
        </w:rPr>
        <w:t xml:space="preserve">On the other </w:t>
      </w:r>
      <w:r w:rsidR="00006105">
        <w:rPr>
          <w:rFonts w:asciiTheme="minorHAnsi" w:hAnsiTheme="minorHAnsi" w:cstheme="minorHAnsi"/>
        </w:rPr>
        <w:t>hand,</w:t>
      </w:r>
      <w:r w:rsidR="008A2EDE">
        <w:rPr>
          <w:rFonts w:asciiTheme="minorHAnsi" w:hAnsiTheme="minorHAnsi" w:cstheme="minorHAnsi"/>
        </w:rPr>
        <w:t xml:space="preserve"> some studies mentioned above have stated that socioeconomic characteristics were evaluated as part of the studies and no evidence was found that it contributed towards the likelihood of young people becoming a member of a gang. </w:t>
      </w:r>
    </w:p>
    <w:p w14:paraId="5306990D" w14:textId="77777777" w:rsidR="00490ADC" w:rsidRDefault="00490ADC" w:rsidP="00185FE3">
      <w:pPr>
        <w:pStyle w:val="Default"/>
        <w:spacing w:before="30"/>
        <w:rPr>
          <w:rFonts w:asciiTheme="minorHAnsi" w:hAnsiTheme="minorHAnsi" w:cstheme="minorHAnsi"/>
        </w:rPr>
      </w:pPr>
    </w:p>
    <w:p w14:paraId="52489298" w14:textId="31ECB076" w:rsidR="00006105" w:rsidRPr="00185FE3" w:rsidRDefault="00006105" w:rsidP="00185FE3">
      <w:pPr>
        <w:pStyle w:val="Default"/>
        <w:spacing w:before="30"/>
        <w:rPr>
          <w:rFonts w:asciiTheme="minorHAnsi" w:hAnsiTheme="minorHAnsi" w:cstheme="minorHAnsi"/>
        </w:rPr>
      </w:pPr>
      <w:r>
        <w:rPr>
          <w:rFonts w:asciiTheme="minorHAnsi" w:hAnsiTheme="minorHAnsi" w:cstheme="minorHAnsi"/>
        </w:rPr>
        <w:t>Word count: 903</w:t>
      </w:r>
    </w:p>
    <w:p w14:paraId="126303E1" w14:textId="77777777" w:rsidR="004C4940" w:rsidRDefault="004C4940" w:rsidP="00185FE3">
      <w:pPr>
        <w:pStyle w:val="Default"/>
        <w:spacing w:before="30"/>
        <w:rPr>
          <w:rFonts w:asciiTheme="minorHAnsi" w:hAnsiTheme="minorHAnsi" w:cstheme="minorHAnsi"/>
          <w:b/>
          <w:bCs/>
        </w:rPr>
      </w:pPr>
    </w:p>
    <w:p w14:paraId="29BF4B6E" w14:textId="62091B23" w:rsidR="00490ADC" w:rsidRPr="00185FE3" w:rsidRDefault="00490ADC" w:rsidP="00185FE3">
      <w:pPr>
        <w:pStyle w:val="Default"/>
        <w:spacing w:before="30"/>
        <w:rPr>
          <w:rFonts w:asciiTheme="minorHAnsi" w:hAnsiTheme="minorHAnsi" w:cstheme="minorHAnsi"/>
        </w:rPr>
      </w:pPr>
      <w:r w:rsidRPr="00185FE3">
        <w:rPr>
          <w:rFonts w:asciiTheme="minorHAnsi" w:hAnsiTheme="minorHAnsi" w:cstheme="minorHAnsi"/>
          <w:b/>
          <w:bCs/>
        </w:rPr>
        <w:t xml:space="preserve">Essay four: </w:t>
      </w:r>
    </w:p>
    <w:p w14:paraId="275A8C0A" w14:textId="4B9C9676" w:rsidR="004C4940" w:rsidRDefault="008E5F31" w:rsidP="00185FE3">
      <w:pPr>
        <w:spacing w:before="30"/>
        <w:rPr>
          <w:rFonts w:cstheme="minorHAnsi"/>
          <w:sz w:val="24"/>
          <w:szCs w:val="24"/>
        </w:rPr>
      </w:pPr>
      <w:r>
        <w:rPr>
          <w:rFonts w:cstheme="minorHAnsi"/>
          <w:sz w:val="24"/>
          <w:szCs w:val="24"/>
        </w:rPr>
        <w:t xml:space="preserve">This essay will consider why a partnership approach is the most effective way of preventing re-offending. It will focus on reviews and feedback from offenders on a partnership approach and the most effective methods to prevent re-offending. </w:t>
      </w:r>
    </w:p>
    <w:p w14:paraId="24592BC4" w14:textId="68558537" w:rsidR="00792D3B" w:rsidRDefault="00792D3B" w:rsidP="00185FE3">
      <w:pPr>
        <w:spacing w:before="30"/>
        <w:rPr>
          <w:rFonts w:cstheme="minorHAnsi"/>
          <w:sz w:val="24"/>
          <w:szCs w:val="24"/>
        </w:rPr>
      </w:pPr>
      <w:r>
        <w:rPr>
          <w:rFonts w:cstheme="minorHAnsi"/>
          <w:sz w:val="24"/>
          <w:szCs w:val="24"/>
        </w:rPr>
        <w:t xml:space="preserve">In 2009 the Integrated Offender Management (IOM) framework was introduced into England and Wales with the aim </w:t>
      </w:r>
      <w:r w:rsidR="006F3BED">
        <w:rPr>
          <w:rFonts w:cstheme="minorHAnsi"/>
          <w:sz w:val="24"/>
          <w:szCs w:val="24"/>
        </w:rPr>
        <w:t xml:space="preserve">to facilitate teamworking by police, probation, and other agencies in order to provide a response to persistent and problematic offending. </w:t>
      </w:r>
      <w:r w:rsidR="008454F2" w:rsidRPr="008454F2">
        <w:rPr>
          <w:rFonts w:cstheme="minorHAnsi"/>
          <w:sz w:val="24"/>
          <w:szCs w:val="24"/>
        </w:rPr>
        <w:t>(HM Inspectorate of Probation, 2021)</w:t>
      </w:r>
    </w:p>
    <w:p w14:paraId="52097410" w14:textId="4FB66706" w:rsidR="00271830" w:rsidRPr="00271830" w:rsidRDefault="008E5F31" w:rsidP="00185FE3">
      <w:pPr>
        <w:spacing w:before="30"/>
      </w:pPr>
      <w:r w:rsidRPr="00A74D62">
        <w:rPr>
          <w:rFonts w:cstheme="minorHAnsi"/>
          <w:sz w:val="24"/>
          <w:szCs w:val="24"/>
        </w:rPr>
        <w:t xml:space="preserve">A partnership approach to supporting offenders on their release from prison can be made up of various support networks such as probation, education, </w:t>
      </w:r>
      <w:r w:rsidR="006F3BED" w:rsidRPr="00A74D62">
        <w:rPr>
          <w:rFonts w:cstheme="minorHAnsi"/>
          <w:sz w:val="24"/>
          <w:szCs w:val="24"/>
        </w:rPr>
        <w:t>housing,</w:t>
      </w:r>
      <w:r w:rsidRPr="00A74D62">
        <w:rPr>
          <w:rFonts w:cstheme="minorHAnsi"/>
          <w:sz w:val="24"/>
          <w:szCs w:val="24"/>
        </w:rPr>
        <w:t xml:space="preserve"> and the police. This </w:t>
      </w:r>
      <w:r w:rsidRPr="00A74D62">
        <w:rPr>
          <w:rFonts w:cstheme="minorHAnsi"/>
          <w:sz w:val="24"/>
          <w:szCs w:val="24"/>
        </w:rPr>
        <w:lastRenderedPageBreak/>
        <w:t>ensures that the responsibility of an offender is not placed on one organisation but rather sits with various people. This can be very useful</w:t>
      </w:r>
      <w:r w:rsidR="00792D3B" w:rsidRPr="00A74D62">
        <w:rPr>
          <w:rFonts w:cstheme="minorHAnsi"/>
          <w:sz w:val="24"/>
          <w:szCs w:val="24"/>
        </w:rPr>
        <w:t xml:space="preserve"> to closely manage and monitor an offender and their behaviours to support them to reduce re-offending rates. If the offender has contact with a few different services on a regular basis this will provide them with the help and support, they need when they need it by being able to contact the right person. It can also help because if the offender is under such close monitoring, they are more likely to make the decision not to re-offend because they know they are likely face further consequences. </w:t>
      </w:r>
      <w:r w:rsidR="00A74D62" w:rsidRPr="00A74D62">
        <w:t>(</w:t>
      </w:r>
      <w:r w:rsidR="00A74D62">
        <w:t>HM Inspectorate of Probation, 2021b)</w:t>
      </w:r>
    </w:p>
    <w:p w14:paraId="52C80A0F" w14:textId="1294B314" w:rsidR="00271830" w:rsidRPr="00271830" w:rsidRDefault="006F3BED" w:rsidP="00185FE3">
      <w:pPr>
        <w:spacing w:before="30"/>
        <w:rPr>
          <w:sz w:val="24"/>
          <w:szCs w:val="24"/>
        </w:rPr>
      </w:pPr>
      <w:r>
        <w:rPr>
          <w:rFonts w:cstheme="minorHAnsi"/>
          <w:sz w:val="24"/>
          <w:szCs w:val="24"/>
        </w:rPr>
        <w:t xml:space="preserve">According to research conducted into the effectiveness of the IOM, in the 18 months prior to the introduction of IOM the number of arrests, for each offender that took part in the study, ranged from a minimum of 0 to a maximum of 23 arrests. The findings showed that in the 18 months prior to the introduction of IOM the rates of arrest changed to between a minimum of 0 and a maximum of 15. This shows a significant decrease in the higher numbers of reoffending and suggests that the partnership approach is effective at reducing re-offending. </w:t>
      </w:r>
      <w:r w:rsidR="00271830" w:rsidRPr="00271830">
        <w:rPr>
          <w:sz w:val="24"/>
          <w:szCs w:val="24"/>
        </w:rPr>
        <w:t>(Evans, 2016a)</w:t>
      </w:r>
      <w:r w:rsidR="00271830">
        <w:rPr>
          <w:sz w:val="24"/>
          <w:szCs w:val="24"/>
        </w:rPr>
        <w:t>.</w:t>
      </w:r>
    </w:p>
    <w:p w14:paraId="023205BA" w14:textId="2EBED03E" w:rsidR="00DA5BD6" w:rsidRDefault="006F3BED" w:rsidP="00185FE3">
      <w:pPr>
        <w:spacing w:before="30"/>
        <w:rPr>
          <w:rFonts w:cstheme="minorHAnsi"/>
          <w:sz w:val="24"/>
          <w:szCs w:val="24"/>
        </w:rPr>
      </w:pPr>
      <w:r w:rsidRPr="00A74D62">
        <w:rPr>
          <w:rFonts w:cstheme="minorHAnsi"/>
          <w:sz w:val="24"/>
          <w:szCs w:val="24"/>
        </w:rPr>
        <w:t xml:space="preserve">Other methods that can used as part of the partnership approach as enforcers are things such as setting curfews, electronic tagging, drug testing. This can be an effective way of monitoring an offender and ensuring that they are complying with </w:t>
      </w:r>
      <w:r w:rsidR="00DA5BD6" w:rsidRPr="00A74D62">
        <w:rPr>
          <w:rFonts w:cstheme="minorHAnsi"/>
          <w:sz w:val="24"/>
          <w:szCs w:val="24"/>
        </w:rPr>
        <w:t>the conditions set. The offenders will be subject to consequences, such as being re-called to prison, if they fail to comply with any of the above mentioned.</w:t>
      </w:r>
      <w:r w:rsidR="00A74D62" w:rsidRPr="00A74D62">
        <w:rPr>
          <w:rFonts w:cstheme="minorHAnsi"/>
          <w:sz w:val="24"/>
          <w:szCs w:val="24"/>
        </w:rPr>
        <w:t xml:space="preserve"> </w:t>
      </w:r>
      <w:r w:rsidR="00A74D62" w:rsidRPr="00A74D62">
        <w:rPr>
          <w:rFonts w:cstheme="minorHAnsi"/>
          <w:sz w:val="24"/>
          <w:szCs w:val="24"/>
        </w:rPr>
        <w:t>(Sleath and Brown, 2017b)</w:t>
      </w:r>
      <w:r w:rsidR="006502B6">
        <w:rPr>
          <w:rFonts w:cstheme="minorHAnsi"/>
          <w:sz w:val="24"/>
          <w:szCs w:val="24"/>
        </w:rPr>
        <w:t xml:space="preserve">. </w:t>
      </w:r>
      <w:r w:rsidR="00DA5BD6" w:rsidRPr="00A74D62">
        <w:rPr>
          <w:rFonts w:cstheme="minorHAnsi"/>
          <w:sz w:val="24"/>
          <w:szCs w:val="24"/>
        </w:rPr>
        <w:t>This may help in the short term whilst these conditions are set to prevent re-</w:t>
      </w:r>
      <w:r w:rsidR="008454F2" w:rsidRPr="00A74D62">
        <w:rPr>
          <w:rFonts w:cstheme="minorHAnsi"/>
          <w:sz w:val="24"/>
          <w:szCs w:val="24"/>
        </w:rPr>
        <w:t>offending,</w:t>
      </w:r>
      <w:r w:rsidR="00DA5BD6" w:rsidRPr="00A74D62">
        <w:rPr>
          <w:rFonts w:cstheme="minorHAnsi"/>
          <w:sz w:val="24"/>
          <w:szCs w:val="24"/>
        </w:rPr>
        <w:t xml:space="preserve"> but this would only be in place for a set amount of time. It is not likely to be effective for the long term as once these conditions have passed the offender is likely to return to their previous lifestyle.</w:t>
      </w:r>
      <w:r w:rsidR="00DA5BD6">
        <w:rPr>
          <w:rFonts w:cstheme="minorHAnsi"/>
          <w:sz w:val="24"/>
          <w:szCs w:val="24"/>
        </w:rPr>
        <w:t xml:space="preserve"> </w:t>
      </w:r>
    </w:p>
    <w:p w14:paraId="49B77292" w14:textId="77777777" w:rsidR="005B53F4" w:rsidRDefault="005B53F4" w:rsidP="00185FE3">
      <w:pPr>
        <w:spacing w:before="30"/>
        <w:rPr>
          <w:rFonts w:cstheme="minorHAnsi"/>
          <w:sz w:val="24"/>
          <w:szCs w:val="24"/>
        </w:rPr>
      </w:pPr>
    </w:p>
    <w:p w14:paraId="5ED76614" w14:textId="7522CE74" w:rsidR="00DA5BD6" w:rsidRDefault="00DA5BD6" w:rsidP="00185FE3">
      <w:pPr>
        <w:spacing w:before="30"/>
        <w:rPr>
          <w:rFonts w:cstheme="minorHAnsi"/>
          <w:sz w:val="24"/>
          <w:szCs w:val="24"/>
        </w:rPr>
      </w:pPr>
      <w:r>
        <w:rPr>
          <w:rFonts w:cstheme="minorHAnsi"/>
          <w:sz w:val="24"/>
          <w:szCs w:val="24"/>
        </w:rPr>
        <w:t xml:space="preserve">According to research conducted whereby offenders were asked for their own opinion on curfews and tagging some feedback received suggested that this type of monitoring could have unintended consequences once it was removed as some stated that once it has </w:t>
      </w:r>
      <w:r w:rsidR="001646DD">
        <w:rPr>
          <w:rFonts w:cstheme="minorHAnsi"/>
          <w:sz w:val="24"/>
          <w:szCs w:val="24"/>
        </w:rPr>
        <w:t>gone,</w:t>
      </w:r>
      <w:r>
        <w:rPr>
          <w:rFonts w:cstheme="minorHAnsi"/>
          <w:sz w:val="24"/>
          <w:szCs w:val="24"/>
        </w:rPr>
        <w:t xml:space="preserve"> they will go back to doing whatever they want because they are no longer monitored. </w:t>
      </w:r>
      <w:r w:rsidR="006E586B">
        <w:rPr>
          <w:rFonts w:cstheme="minorHAnsi"/>
          <w:sz w:val="24"/>
          <w:szCs w:val="24"/>
        </w:rPr>
        <w:t xml:space="preserve">Other feedback received from offenders and probation as part of this research stated that it was not a helpful way of trying to get offenders to engage in rehabilitation as because of the intensity of the monitoring they would feel like they were still a criminal. </w:t>
      </w:r>
      <w:r w:rsidR="006502B6">
        <w:rPr>
          <w:rFonts w:cstheme="minorHAnsi"/>
          <w:sz w:val="24"/>
          <w:szCs w:val="24"/>
        </w:rPr>
        <w:t>Alternatively</w:t>
      </w:r>
      <w:r w:rsidR="001646DD">
        <w:rPr>
          <w:rFonts w:cstheme="minorHAnsi"/>
          <w:sz w:val="24"/>
          <w:szCs w:val="24"/>
        </w:rPr>
        <w:t xml:space="preserve"> some feedback provided by offenders was positive and stated that they enjoyed having the routine and stability that tagging and curfews came with</w:t>
      </w:r>
      <w:r w:rsidR="00FF5943">
        <w:rPr>
          <w:rFonts w:cstheme="minorHAnsi"/>
          <w:sz w:val="24"/>
          <w:szCs w:val="24"/>
        </w:rPr>
        <w:t xml:space="preserve"> and</w:t>
      </w:r>
      <w:r w:rsidR="001646DD">
        <w:rPr>
          <w:rFonts w:cstheme="minorHAnsi"/>
          <w:sz w:val="24"/>
          <w:szCs w:val="24"/>
        </w:rPr>
        <w:t xml:space="preserve"> it allowed</w:t>
      </w:r>
      <w:r w:rsidR="00FF5943">
        <w:rPr>
          <w:rFonts w:cstheme="minorHAnsi"/>
          <w:sz w:val="24"/>
          <w:szCs w:val="24"/>
        </w:rPr>
        <w:t xml:space="preserve"> and encouraged</w:t>
      </w:r>
      <w:r w:rsidR="001646DD">
        <w:rPr>
          <w:rFonts w:cstheme="minorHAnsi"/>
          <w:sz w:val="24"/>
          <w:szCs w:val="24"/>
        </w:rPr>
        <w:t xml:space="preserve"> them to </w:t>
      </w:r>
      <w:r w:rsidR="00FF5943">
        <w:rPr>
          <w:rFonts w:cstheme="minorHAnsi"/>
          <w:sz w:val="24"/>
          <w:szCs w:val="24"/>
        </w:rPr>
        <w:t xml:space="preserve">stay on track. </w:t>
      </w:r>
      <w:r w:rsidR="008454F2">
        <w:rPr>
          <w:rFonts w:cstheme="minorHAnsi"/>
          <w:sz w:val="24"/>
          <w:szCs w:val="24"/>
        </w:rPr>
        <w:t>(</w:t>
      </w:r>
      <w:r w:rsidR="008454F2" w:rsidRPr="008454F2">
        <w:rPr>
          <w:rFonts w:cstheme="minorHAnsi"/>
          <w:sz w:val="24"/>
          <w:szCs w:val="24"/>
        </w:rPr>
        <w:t>Sleath and Brown</w:t>
      </w:r>
      <w:r w:rsidR="008454F2">
        <w:rPr>
          <w:rFonts w:cstheme="minorHAnsi"/>
          <w:sz w:val="24"/>
          <w:szCs w:val="24"/>
        </w:rPr>
        <w:t xml:space="preserve">, </w:t>
      </w:r>
      <w:r w:rsidR="008454F2" w:rsidRPr="008454F2">
        <w:rPr>
          <w:rFonts w:cstheme="minorHAnsi"/>
          <w:sz w:val="24"/>
          <w:szCs w:val="24"/>
        </w:rPr>
        <w:t>2017b)</w:t>
      </w:r>
      <w:r w:rsidR="006502B6">
        <w:rPr>
          <w:rFonts w:cstheme="minorHAnsi"/>
          <w:sz w:val="24"/>
          <w:szCs w:val="24"/>
        </w:rPr>
        <w:t xml:space="preserve">. </w:t>
      </w:r>
    </w:p>
    <w:p w14:paraId="1749290C" w14:textId="7EC8E067" w:rsidR="0018405C" w:rsidRDefault="006E586B" w:rsidP="00185FE3">
      <w:pPr>
        <w:spacing w:before="30"/>
        <w:rPr>
          <w:rFonts w:cstheme="minorHAnsi"/>
          <w:sz w:val="24"/>
          <w:szCs w:val="24"/>
        </w:rPr>
      </w:pPr>
      <w:r w:rsidRPr="00A74D62">
        <w:rPr>
          <w:rFonts w:cstheme="minorHAnsi"/>
          <w:sz w:val="24"/>
          <w:szCs w:val="24"/>
        </w:rPr>
        <w:t xml:space="preserve">The success of the IOM can partly rely on the </w:t>
      </w:r>
      <w:r w:rsidR="00503D2B" w:rsidRPr="00A74D62">
        <w:rPr>
          <w:rFonts w:cstheme="minorHAnsi"/>
          <w:sz w:val="24"/>
          <w:szCs w:val="24"/>
        </w:rPr>
        <w:t>offender’s</w:t>
      </w:r>
      <w:r w:rsidRPr="00A74D62">
        <w:rPr>
          <w:rFonts w:cstheme="minorHAnsi"/>
          <w:sz w:val="24"/>
          <w:szCs w:val="24"/>
        </w:rPr>
        <w:t xml:space="preserve"> willingness to engage and co-operate with the IOM programme.</w:t>
      </w:r>
      <w:r w:rsidR="00A74D62" w:rsidRPr="00A74D62">
        <w:rPr>
          <w:rFonts w:cstheme="minorHAnsi"/>
          <w:sz w:val="24"/>
          <w:szCs w:val="24"/>
        </w:rPr>
        <w:t xml:space="preserve"> </w:t>
      </w:r>
      <w:r w:rsidR="00A74D62" w:rsidRPr="00A74D62">
        <w:t>(Evans, 2016b)</w:t>
      </w:r>
      <w:r w:rsidR="00D93DBD">
        <w:t>.</w:t>
      </w:r>
      <w:r w:rsidR="00503D2B" w:rsidRPr="00A74D62">
        <w:rPr>
          <w:rFonts w:cstheme="minorHAnsi"/>
          <w:sz w:val="24"/>
          <w:szCs w:val="24"/>
        </w:rPr>
        <w:t xml:space="preserve"> If the offender is not willing to engage in the process, then they are more likely to re-offend. Ultimately, regardless of how much support from different agencies they are offered, they </w:t>
      </w:r>
      <w:r w:rsidR="001646DD" w:rsidRPr="00A74D62">
        <w:rPr>
          <w:rFonts w:cstheme="minorHAnsi"/>
          <w:sz w:val="24"/>
          <w:szCs w:val="24"/>
        </w:rPr>
        <w:t>must</w:t>
      </w:r>
      <w:r w:rsidR="00503D2B" w:rsidRPr="00A74D62">
        <w:rPr>
          <w:rFonts w:cstheme="minorHAnsi"/>
          <w:sz w:val="24"/>
          <w:szCs w:val="24"/>
        </w:rPr>
        <w:t xml:space="preserve"> want to change for the better and stop their re-offending cycle themselves. It is important that agencies and partnerships work together with the individual prior to them being part of the IOM so that they can be motivated to want to change.</w:t>
      </w:r>
      <w:r w:rsidR="00503D2B">
        <w:rPr>
          <w:rFonts w:cstheme="minorHAnsi"/>
          <w:sz w:val="24"/>
          <w:szCs w:val="24"/>
        </w:rPr>
        <w:t xml:space="preserve"> </w:t>
      </w:r>
    </w:p>
    <w:p w14:paraId="219BBB39" w14:textId="77777777" w:rsidR="00F1629F" w:rsidRDefault="00503D2B" w:rsidP="00185FE3">
      <w:pPr>
        <w:spacing w:before="30"/>
        <w:rPr>
          <w:rFonts w:cstheme="minorHAnsi"/>
          <w:sz w:val="24"/>
          <w:szCs w:val="24"/>
        </w:rPr>
      </w:pPr>
      <w:r w:rsidRPr="00A74D62">
        <w:rPr>
          <w:rFonts w:cstheme="minorHAnsi"/>
          <w:sz w:val="24"/>
          <w:szCs w:val="24"/>
        </w:rPr>
        <w:lastRenderedPageBreak/>
        <w:t xml:space="preserve">Research conducted around the IOM states that the IOM may be a trigger for change or may be a support to those who have made the decision to change. The offenders spoken to as part of this research </w:t>
      </w:r>
      <w:r w:rsidR="008454F2" w:rsidRPr="00A74D62">
        <w:rPr>
          <w:rFonts w:cstheme="minorHAnsi"/>
          <w:sz w:val="24"/>
          <w:szCs w:val="24"/>
        </w:rPr>
        <w:t>also stated that it was down the to the individual to want to change but if they are not ready and do not want to engage the process is just a hindrance. (Evans, 2016)</w:t>
      </w:r>
      <w:r w:rsidR="001646DD" w:rsidRPr="00A74D62">
        <w:rPr>
          <w:rFonts w:cstheme="minorHAnsi"/>
          <w:sz w:val="24"/>
          <w:szCs w:val="24"/>
        </w:rPr>
        <w:t>.</w:t>
      </w:r>
    </w:p>
    <w:p w14:paraId="2E240E74" w14:textId="3967C0A9" w:rsidR="006F3BED" w:rsidRDefault="001646DD" w:rsidP="00185FE3">
      <w:pPr>
        <w:spacing w:before="30"/>
        <w:rPr>
          <w:rFonts w:cstheme="minorHAnsi"/>
          <w:sz w:val="24"/>
          <w:szCs w:val="24"/>
        </w:rPr>
      </w:pPr>
      <w:r w:rsidRPr="00F1629F">
        <w:rPr>
          <w:rFonts w:cstheme="minorHAnsi"/>
          <w:sz w:val="24"/>
          <w:szCs w:val="24"/>
        </w:rPr>
        <w:t xml:space="preserve">Some of the benefits to the offender, which may encourage them to engage and change their behaviour, are things such as housing. When working effectively with the IOM the offender could be offered housing which is often one of the main causes for committing crime or offences in the first instance. </w:t>
      </w:r>
    </w:p>
    <w:p w14:paraId="405EA609" w14:textId="0A494EFC" w:rsidR="00F1629F" w:rsidRDefault="00F1629F" w:rsidP="00185FE3">
      <w:pPr>
        <w:spacing w:before="30"/>
        <w:rPr>
          <w:sz w:val="24"/>
          <w:szCs w:val="24"/>
        </w:rPr>
      </w:pPr>
      <w:r w:rsidRPr="00F1629F">
        <w:rPr>
          <w:rFonts w:cstheme="minorHAnsi"/>
          <w:sz w:val="24"/>
          <w:szCs w:val="24"/>
          <w:shd w:val="clear" w:color="auto" w:fill="FFFFFF"/>
        </w:rPr>
        <w:t>The importance of addressing the housing need of ex-offenders has been recognised by the UK Government</w:t>
      </w:r>
      <w:r w:rsidRPr="00F1629F">
        <w:rPr>
          <w:rFonts w:cstheme="minorHAnsi"/>
          <w:sz w:val="24"/>
          <w:szCs w:val="24"/>
          <w:shd w:val="clear" w:color="auto" w:fill="FFFFFF"/>
        </w:rPr>
        <w:t xml:space="preserve">, </w:t>
      </w:r>
      <w:r w:rsidRPr="00F1629F">
        <w:rPr>
          <w:rFonts w:cstheme="minorHAnsi"/>
          <w:sz w:val="24"/>
          <w:szCs w:val="24"/>
          <w:shd w:val="clear" w:color="auto" w:fill="FFFFFF"/>
        </w:rPr>
        <w:t xml:space="preserve">Research </w:t>
      </w:r>
      <w:r>
        <w:rPr>
          <w:rFonts w:cstheme="minorHAnsi"/>
          <w:sz w:val="24"/>
          <w:szCs w:val="24"/>
          <w:shd w:val="clear" w:color="auto" w:fill="FFFFFF"/>
        </w:rPr>
        <w:t xml:space="preserve">conducted by the Home Office </w:t>
      </w:r>
      <w:r w:rsidRPr="00F1629F">
        <w:rPr>
          <w:rFonts w:cstheme="minorHAnsi"/>
          <w:sz w:val="24"/>
          <w:szCs w:val="24"/>
          <w:shd w:val="clear" w:color="auto" w:fill="FFFFFF"/>
        </w:rPr>
        <w:t>suggests that stable accommodation can make a difference of over 20 per cent in terms of reduction in reconviction.</w:t>
      </w:r>
      <w:r w:rsidRPr="00F1629F">
        <w:rPr>
          <w:rFonts w:ascii="Roboto" w:hAnsi="Roboto"/>
          <w:sz w:val="24"/>
          <w:szCs w:val="24"/>
          <w:shd w:val="clear" w:color="auto" w:fill="FFFFFF"/>
        </w:rPr>
        <w:t xml:space="preserve"> </w:t>
      </w:r>
      <w:r w:rsidRPr="00F1629F">
        <w:rPr>
          <w:sz w:val="24"/>
          <w:szCs w:val="24"/>
        </w:rPr>
        <w:t>(Ellison et al., 2013)</w:t>
      </w:r>
    </w:p>
    <w:p w14:paraId="411B2B00" w14:textId="5C56E630" w:rsidR="0018405C" w:rsidRDefault="00F1629F" w:rsidP="00185FE3">
      <w:pPr>
        <w:spacing w:before="30"/>
        <w:rPr>
          <w:rFonts w:cstheme="minorHAnsi"/>
          <w:sz w:val="24"/>
          <w:szCs w:val="24"/>
        </w:rPr>
      </w:pPr>
      <w:r>
        <w:rPr>
          <w:sz w:val="24"/>
          <w:szCs w:val="24"/>
        </w:rPr>
        <w:t>In 2023 the Ministry of Justice produced an evaluation report on an Offender Accomodation Pilot.</w:t>
      </w:r>
      <w:r w:rsidRPr="00F1629F">
        <w:t xml:space="preserve"> </w:t>
      </w:r>
      <w:r>
        <w:t>(Kerr, Kersting and Reid, 2023)</w:t>
      </w:r>
      <w:r>
        <w:rPr>
          <w:sz w:val="24"/>
          <w:szCs w:val="24"/>
        </w:rPr>
        <w:t xml:space="preserve"> </w:t>
      </w:r>
      <w:r>
        <w:t xml:space="preserve">Research </w:t>
      </w:r>
      <w:r>
        <w:t xml:space="preserve">conducted as part of this pilot provided </w:t>
      </w:r>
      <w:r>
        <w:t>evidence that prison leavers’ accommodation status on release influences whether they reoffend</w:t>
      </w:r>
      <w:r>
        <w:t xml:space="preserve">. </w:t>
      </w:r>
      <w:r>
        <w:rPr>
          <w:sz w:val="24"/>
          <w:szCs w:val="24"/>
        </w:rPr>
        <w:t xml:space="preserve">Figures showed that 66% of people went onto re-offending compared to a lower number of 51% who were living in stable accommodation. </w:t>
      </w:r>
    </w:p>
    <w:p w14:paraId="33E57014" w14:textId="2B01A0CA" w:rsidR="001646DD" w:rsidRDefault="00FF5943" w:rsidP="00185FE3">
      <w:pPr>
        <w:spacing w:before="30"/>
        <w:rPr>
          <w:rFonts w:cstheme="minorHAnsi"/>
          <w:sz w:val="24"/>
          <w:szCs w:val="24"/>
        </w:rPr>
      </w:pPr>
      <w:r>
        <w:rPr>
          <w:rFonts w:cstheme="minorHAnsi"/>
          <w:sz w:val="24"/>
          <w:szCs w:val="24"/>
        </w:rPr>
        <w:t>To conclude the research shown has proved that a partnership approach is the most effective way of preventing re-offending by offering different services to offenders they can provide varying levels of support depending on the needs of that offender. It allows them to build rapport and speak with those who they feel most comfortable such as a housing officer or drugs working who they must trust more and work better with than the police due to previous incidents involving police as they may see officers in a negative light, whereby they feel more supported by housing and the drugs workers that are providing them with support to make changes to their lives.</w:t>
      </w:r>
      <w:r w:rsidR="00F1629F">
        <w:rPr>
          <w:rFonts w:cstheme="minorHAnsi"/>
          <w:sz w:val="24"/>
          <w:szCs w:val="24"/>
        </w:rPr>
        <w:t xml:space="preserve"> On the other hand t</w:t>
      </w:r>
      <w:r>
        <w:rPr>
          <w:rFonts w:cstheme="minorHAnsi"/>
          <w:sz w:val="24"/>
          <w:szCs w:val="24"/>
        </w:rPr>
        <w:t xml:space="preserve">he research also shows that the success of preventing re-offending can ultimately lay with the offender and </w:t>
      </w:r>
      <w:r w:rsidR="00F1629F">
        <w:rPr>
          <w:rFonts w:cstheme="minorHAnsi"/>
          <w:sz w:val="24"/>
          <w:szCs w:val="24"/>
        </w:rPr>
        <w:t>whether</w:t>
      </w:r>
      <w:r>
        <w:rPr>
          <w:rFonts w:cstheme="minorHAnsi"/>
          <w:sz w:val="24"/>
          <w:szCs w:val="24"/>
        </w:rPr>
        <w:t xml:space="preserve"> they have made the decision to want to make a change to their lives, this can be influenced and motivated by the services provided but ultimately the offender needs to want to engage for the process to be the most successful.</w:t>
      </w:r>
    </w:p>
    <w:p w14:paraId="13D0A4AE" w14:textId="25C2FBD2" w:rsidR="009D2585" w:rsidRDefault="00F1629F" w:rsidP="00185FE3">
      <w:pPr>
        <w:spacing w:before="30"/>
        <w:rPr>
          <w:rFonts w:cstheme="minorHAnsi"/>
          <w:sz w:val="24"/>
          <w:szCs w:val="24"/>
        </w:rPr>
      </w:pPr>
      <w:r>
        <w:rPr>
          <w:rFonts w:cstheme="minorHAnsi"/>
          <w:sz w:val="24"/>
          <w:szCs w:val="24"/>
        </w:rPr>
        <w:t>Word count: 108</w:t>
      </w:r>
      <w:r w:rsidR="00D93DBD">
        <w:rPr>
          <w:rFonts w:cstheme="minorHAnsi"/>
          <w:sz w:val="24"/>
          <w:szCs w:val="24"/>
        </w:rPr>
        <w:t>7</w:t>
      </w:r>
    </w:p>
    <w:p w14:paraId="2CC516DF" w14:textId="77777777" w:rsidR="00271830" w:rsidRDefault="00271830" w:rsidP="00185FE3">
      <w:pPr>
        <w:spacing w:before="30"/>
        <w:rPr>
          <w:rFonts w:cstheme="minorHAnsi"/>
          <w:b/>
          <w:bCs/>
          <w:sz w:val="24"/>
          <w:szCs w:val="24"/>
          <w:u w:val="single"/>
        </w:rPr>
      </w:pPr>
    </w:p>
    <w:p w14:paraId="6883F439" w14:textId="77777777" w:rsidR="00271830" w:rsidRDefault="00271830" w:rsidP="00185FE3">
      <w:pPr>
        <w:spacing w:before="30"/>
        <w:rPr>
          <w:rFonts w:cstheme="minorHAnsi"/>
          <w:b/>
          <w:bCs/>
          <w:sz w:val="24"/>
          <w:szCs w:val="24"/>
          <w:u w:val="single"/>
        </w:rPr>
      </w:pPr>
    </w:p>
    <w:p w14:paraId="27A2BBD5" w14:textId="77777777" w:rsidR="00271830" w:rsidRDefault="00271830" w:rsidP="00185FE3">
      <w:pPr>
        <w:spacing w:before="30"/>
        <w:rPr>
          <w:rFonts w:cstheme="minorHAnsi"/>
          <w:b/>
          <w:bCs/>
          <w:sz w:val="24"/>
          <w:szCs w:val="24"/>
          <w:u w:val="single"/>
        </w:rPr>
      </w:pPr>
    </w:p>
    <w:p w14:paraId="645F9D10" w14:textId="77777777" w:rsidR="00271830" w:rsidRDefault="00271830" w:rsidP="00185FE3">
      <w:pPr>
        <w:spacing w:before="30"/>
        <w:rPr>
          <w:rFonts w:cstheme="minorHAnsi"/>
          <w:b/>
          <w:bCs/>
          <w:sz w:val="24"/>
          <w:szCs w:val="24"/>
          <w:u w:val="single"/>
        </w:rPr>
      </w:pPr>
    </w:p>
    <w:p w14:paraId="3C9799BF" w14:textId="77777777" w:rsidR="00271830" w:rsidRDefault="00271830" w:rsidP="00185FE3">
      <w:pPr>
        <w:spacing w:before="30"/>
        <w:rPr>
          <w:rFonts w:cstheme="minorHAnsi"/>
          <w:b/>
          <w:bCs/>
          <w:sz w:val="24"/>
          <w:szCs w:val="24"/>
          <w:u w:val="single"/>
        </w:rPr>
      </w:pPr>
    </w:p>
    <w:p w14:paraId="44471934" w14:textId="77777777" w:rsidR="00271830" w:rsidRDefault="00271830" w:rsidP="00185FE3">
      <w:pPr>
        <w:spacing w:before="30"/>
        <w:rPr>
          <w:rFonts w:cstheme="minorHAnsi"/>
          <w:b/>
          <w:bCs/>
          <w:sz w:val="24"/>
          <w:szCs w:val="24"/>
          <w:u w:val="single"/>
        </w:rPr>
      </w:pPr>
    </w:p>
    <w:p w14:paraId="42002FD7" w14:textId="77777777" w:rsidR="00271830" w:rsidRDefault="00271830" w:rsidP="00185FE3">
      <w:pPr>
        <w:spacing w:before="30"/>
        <w:rPr>
          <w:rFonts w:cstheme="minorHAnsi"/>
          <w:b/>
          <w:bCs/>
          <w:sz w:val="24"/>
          <w:szCs w:val="24"/>
          <w:u w:val="single"/>
        </w:rPr>
      </w:pPr>
    </w:p>
    <w:p w14:paraId="5896F6E9" w14:textId="769EB7DA" w:rsidR="0047658C" w:rsidRDefault="009D2585" w:rsidP="00185FE3">
      <w:pPr>
        <w:spacing w:before="30"/>
        <w:rPr>
          <w:rFonts w:cstheme="minorHAnsi"/>
          <w:b/>
          <w:bCs/>
          <w:sz w:val="24"/>
          <w:szCs w:val="24"/>
          <w:u w:val="single"/>
        </w:rPr>
      </w:pPr>
      <w:r>
        <w:rPr>
          <w:rFonts w:cstheme="minorHAnsi"/>
          <w:b/>
          <w:bCs/>
          <w:sz w:val="24"/>
          <w:szCs w:val="24"/>
          <w:u w:val="single"/>
        </w:rPr>
        <w:lastRenderedPageBreak/>
        <w:t xml:space="preserve">Bibliography: </w:t>
      </w:r>
    </w:p>
    <w:p w14:paraId="43597CEB" w14:textId="77777777" w:rsidR="00271830" w:rsidRDefault="00271830" w:rsidP="00271830">
      <w:pPr>
        <w:pStyle w:val="NormalWeb"/>
        <w:spacing w:before="0" w:beforeAutospacing="0" w:after="240" w:afterAutospacing="0" w:line="360" w:lineRule="auto"/>
      </w:pPr>
      <w:r>
        <w:t xml:space="preserve">American Psychological Association (2022). </w:t>
      </w:r>
      <w:r>
        <w:rPr>
          <w:i/>
          <w:iCs/>
        </w:rPr>
        <w:t>Socioeconomic status</w:t>
      </w:r>
      <w:r>
        <w:t>. [online] Apa.org. Available at: https://www.apa.org/topics/socioeconomic-status#:~:text=Socioeconomic%20status%20is%20the%20position.</w:t>
      </w:r>
    </w:p>
    <w:p w14:paraId="5B1A2407" w14:textId="77777777" w:rsidR="00271830" w:rsidRDefault="00271830" w:rsidP="00271830">
      <w:pPr>
        <w:pStyle w:val="NormalWeb"/>
        <w:spacing w:before="0" w:beforeAutospacing="0" w:after="240" w:afterAutospacing="0" w:line="360" w:lineRule="auto"/>
      </w:pPr>
      <w:r>
        <w:t xml:space="preserve">Barnardo’s. (2021). </w:t>
      </w:r>
      <w:r>
        <w:rPr>
          <w:i/>
          <w:iCs/>
        </w:rPr>
        <w:t>Organised crime gangs take advantage of pandemic to target children</w:t>
      </w:r>
      <w:r>
        <w:t>. [online] Available at: https://www.barnardos.org.uk/news/urgent-action-needed-organised-crime-gangs-take-advantage-pandemic-target-vulnerable-children.</w:t>
      </w:r>
    </w:p>
    <w:p w14:paraId="14E50686" w14:textId="77777777" w:rsidR="00271830" w:rsidRDefault="00271830" w:rsidP="00271830">
      <w:pPr>
        <w:pStyle w:val="NormalWeb"/>
        <w:spacing w:before="0" w:beforeAutospacing="0" w:after="240" w:afterAutospacing="0" w:line="360" w:lineRule="auto"/>
      </w:pPr>
      <w:r>
        <w:t xml:space="preserve">Brown, R. (2023). </w:t>
      </w:r>
      <w:r>
        <w:rPr>
          <w:i/>
          <w:iCs/>
        </w:rPr>
        <w:t>Do We Trust the Police? | Psychology Today United Kingdom</w:t>
      </w:r>
      <w:r>
        <w:t>. [online] www.psychologytoday.com. Available at: https://www.psychologytoday.com/gb/blog/understanding-health-behaviors/202303/do-we-trust-the-police#:~:text=Procedural%20Justice [Accessed 4 Sep. 2023].</w:t>
      </w:r>
    </w:p>
    <w:p w14:paraId="3137FE53" w14:textId="77777777" w:rsidR="00271830" w:rsidRDefault="00271830" w:rsidP="00271830">
      <w:pPr>
        <w:pStyle w:val="NormalWeb"/>
        <w:spacing w:before="0" w:beforeAutospacing="0" w:after="240" w:afterAutospacing="0" w:line="360" w:lineRule="auto"/>
      </w:pPr>
      <w:r>
        <w:t xml:space="preserve">Bryant, S., Peck, M. and Lovbakke, J. (2015a). </w:t>
      </w:r>
      <w:r>
        <w:rPr>
          <w:i/>
          <w:iCs/>
        </w:rPr>
        <w:t>Reoffending Analysis of MAPPA Eligible Offenders</w:t>
      </w:r>
      <w:r>
        <w:t>. [online] Available at: https://assets.publishing.service.gov.uk/government/uploads/system/uploads/attachment_data/file/407139/reoffending-analysis-of-mappa-eligible-offenders.pdf.</w:t>
      </w:r>
    </w:p>
    <w:p w14:paraId="4C24801B" w14:textId="77777777" w:rsidR="00271830" w:rsidRDefault="00271830" w:rsidP="00271830">
      <w:pPr>
        <w:pStyle w:val="NormalWeb"/>
        <w:spacing w:before="0" w:beforeAutospacing="0" w:after="240" w:afterAutospacing="0" w:line="360" w:lineRule="auto"/>
      </w:pPr>
      <w:r>
        <w:t xml:space="preserve">Bryant, S., Peck, M. and Lovbakke, J. (2015b). </w:t>
      </w:r>
      <w:r>
        <w:rPr>
          <w:i/>
          <w:iCs/>
        </w:rPr>
        <w:t>Reoffending Analysis of MAPPA Eligible Offenders</w:t>
      </w:r>
      <w:r>
        <w:t>. [online] Available at: https://assets.publishing.service.gov.uk/government/uploads/system/uploads/attachment_data/file/407139/reoffending-analysis-of-mappa-eligible-offenders.pdf.</w:t>
      </w:r>
    </w:p>
    <w:p w14:paraId="2F53705D" w14:textId="77777777" w:rsidR="00271830" w:rsidRDefault="00271830" w:rsidP="00271830">
      <w:pPr>
        <w:pStyle w:val="NormalWeb"/>
        <w:spacing w:before="0" w:beforeAutospacing="0" w:after="240" w:afterAutospacing="0" w:line="360" w:lineRule="auto"/>
      </w:pPr>
      <w:r>
        <w:t xml:space="preserve">Bryant, S., Peck, M. and Ministry Of Justice, J. (2015). </w:t>
      </w:r>
      <w:r>
        <w:rPr>
          <w:i/>
          <w:iCs/>
        </w:rPr>
        <w:t>Reoffending Analysis of MAPPA Eligible Offenders</w:t>
      </w:r>
      <w:r>
        <w:t>.</w:t>
      </w:r>
    </w:p>
    <w:p w14:paraId="2F0A707C" w14:textId="77777777" w:rsidR="00271830" w:rsidRDefault="00271830" w:rsidP="00271830">
      <w:pPr>
        <w:pStyle w:val="NormalWeb"/>
        <w:spacing w:before="0" w:beforeAutospacing="0" w:after="240" w:afterAutospacing="0" w:line="360" w:lineRule="auto"/>
      </w:pPr>
      <w:r>
        <w:t xml:space="preserve">Butera, J.-A. (2013). </w:t>
      </w:r>
      <w:r>
        <w:rPr>
          <w:i/>
          <w:iCs/>
        </w:rPr>
        <w:t>Cuckooing: Home Takeovers of Vulnerable Tenants</w:t>
      </w:r>
      <w:r>
        <w:t>. [online] Available at: https://homelesshub.ca/sites/default/files/Cuckooing-Home%20takeovers%20of%20vulnerable%20tenants.pdf.</w:t>
      </w:r>
    </w:p>
    <w:p w14:paraId="3E8A1093" w14:textId="77777777" w:rsidR="00271830" w:rsidRDefault="00271830" w:rsidP="00271830">
      <w:pPr>
        <w:pStyle w:val="NormalWeb"/>
        <w:spacing w:before="0" w:beforeAutospacing="0" w:after="240" w:afterAutospacing="0" w:line="360" w:lineRule="auto"/>
      </w:pPr>
      <w:r>
        <w:t xml:space="preserve">Cebulla, J., Ross, A. and Aldridge, amp; (n.d.). </w:t>
      </w:r>
      <w:r>
        <w:rPr>
          <w:i/>
          <w:iCs/>
        </w:rPr>
        <w:t>Children and Young People in Gangs: a Longitudinal Analysis Citation for published version (APA)</w:t>
      </w:r>
      <w:r>
        <w:t>. [online] Available at: https://pure.manchester.ac.uk/ws/portalfiles/portal/32552889/FULL_TEXT.PDF.</w:t>
      </w:r>
    </w:p>
    <w:p w14:paraId="51AAB4D6" w14:textId="77777777" w:rsidR="00271830" w:rsidRDefault="00271830" w:rsidP="00271830">
      <w:pPr>
        <w:pStyle w:val="NormalWeb"/>
        <w:spacing w:before="0" w:beforeAutospacing="0" w:after="240" w:afterAutospacing="0" w:line="360" w:lineRule="auto"/>
      </w:pPr>
      <w:r>
        <w:t xml:space="preserve">Clarke, P. (2021). </w:t>
      </w:r>
      <w:r>
        <w:rPr>
          <w:i/>
          <w:iCs/>
        </w:rPr>
        <w:t>Fishmongers’ Hall: A Preventable Tragedy</w:t>
      </w:r>
      <w:r>
        <w:t>. [online] Policy Exchange. Available at: https://policyexchange.org.uk/publication/fishmongers-hall-a-preventable-</w:t>
      </w:r>
      <w:r>
        <w:lastRenderedPageBreak/>
        <w:t>tragedy/#:~:text=Vital%20intelligence%20about%20his%20possible [Accessed 3 Nov. 2023].</w:t>
      </w:r>
    </w:p>
    <w:p w14:paraId="1CE862FD" w14:textId="77777777" w:rsidR="00271830" w:rsidRDefault="00271830" w:rsidP="00271830">
      <w:pPr>
        <w:pStyle w:val="NormalWeb"/>
        <w:spacing w:before="0" w:beforeAutospacing="0" w:after="240" w:afterAutospacing="0" w:line="360" w:lineRule="auto"/>
      </w:pPr>
      <w:r>
        <w:t xml:space="preserve">College of Policing (2014a). </w:t>
      </w:r>
      <w:r>
        <w:rPr>
          <w:i/>
          <w:iCs/>
        </w:rPr>
        <w:t>Code of Ethics</w:t>
      </w:r>
      <w:r>
        <w:t xml:space="preserve">. [online] </w:t>
      </w:r>
      <w:r>
        <w:rPr>
          <w:i/>
          <w:iCs/>
        </w:rPr>
        <w:t>College of Policing</w:t>
      </w:r>
      <w:r>
        <w:t>. College of Policing. Available at: https://assets.college.police.uk/s3fs-public/2021-02/code_of_ethics.pdf.</w:t>
      </w:r>
    </w:p>
    <w:p w14:paraId="1A2A574F" w14:textId="77777777" w:rsidR="00271830" w:rsidRDefault="00271830" w:rsidP="00271830">
      <w:pPr>
        <w:pStyle w:val="NormalWeb"/>
        <w:spacing w:before="0" w:beforeAutospacing="0" w:after="240" w:afterAutospacing="0" w:line="360" w:lineRule="auto"/>
      </w:pPr>
      <w:r>
        <w:t xml:space="preserve">College of Policing (2014b). </w:t>
      </w:r>
      <w:r>
        <w:rPr>
          <w:i/>
          <w:iCs/>
        </w:rPr>
        <w:t>Code of Ethics</w:t>
      </w:r>
      <w:r>
        <w:t xml:space="preserve">. [online] </w:t>
      </w:r>
      <w:r>
        <w:rPr>
          <w:i/>
          <w:iCs/>
        </w:rPr>
        <w:t>College of Policing</w:t>
      </w:r>
      <w:r>
        <w:t>. College of Policing. Available at: https://assets.college.police.uk/s3fs-public/2021-02/code_of_ethics.pdf.</w:t>
      </w:r>
    </w:p>
    <w:p w14:paraId="65642B8B" w14:textId="77777777" w:rsidR="00271830" w:rsidRDefault="00271830" w:rsidP="00271830">
      <w:pPr>
        <w:pStyle w:val="NormalWeb"/>
        <w:spacing w:before="0" w:beforeAutospacing="0" w:after="240" w:afterAutospacing="0" w:line="360" w:lineRule="auto"/>
      </w:pPr>
      <w:r>
        <w:t xml:space="preserve">College of Policing (n.d.). </w:t>
      </w:r>
      <w:r>
        <w:rPr>
          <w:i/>
          <w:iCs/>
        </w:rPr>
        <w:t>Sexual or Violent Offender Manager (MOSOVO)</w:t>
      </w:r>
      <w:r>
        <w:t>. [online] College of Policing. Available at: https://profdev.college.police.uk/professional-profile/sexual-or-violent-offender-manager-mosovo/.</w:t>
      </w:r>
    </w:p>
    <w:p w14:paraId="4EE75607" w14:textId="77777777" w:rsidR="00271830" w:rsidRDefault="00271830" w:rsidP="00271830">
      <w:pPr>
        <w:pStyle w:val="NormalWeb"/>
        <w:spacing w:before="0" w:beforeAutospacing="0" w:after="240" w:afterAutospacing="0" w:line="360" w:lineRule="auto"/>
      </w:pPr>
      <w:r>
        <w:t xml:space="preserve">Corkin, D., Wiesner, M., Reyna, R.S. and Shukla, K. (2015). The Role of Deviant Lifestyles on Violent Victimization in Multiple Contexts. </w:t>
      </w:r>
      <w:r>
        <w:rPr>
          <w:i/>
          <w:iCs/>
        </w:rPr>
        <w:t>Deviant Behavior</w:t>
      </w:r>
      <w:r>
        <w:t>, 36(5), pp.405–428. doi:https://doi.org/10.1080/01639625.2014.935690.</w:t>
      </w:r>
    </w:p>
    <w:p w14:paraId="1BDC1EEA" w14:textId="77777777" w:rsidR="00271830" w:rsidRDefault="00271830" w:rsidP="00271830">
      <w:pPr>
        <w:pStyle w:val="NormalWeb"/>
        <w:spacing w:before="0" w:beforeAutospacing="0" w:after="240" w:afterAutospacing="0" w:line="360" w:lineRule="auto"/>
      </w:pPr>
      <w:r>
        <w:t xml:space="preserve">Criminal Justice Joint Inspection (2022a). </w:t>
      </w:r>
      <w:r>
        <w:rPr>
          <w:i/>
          <w:iCs/>
        </w:rPr>
        <w:t>A joint thematic inspection of Multi-Agency Public Protection Arrangements Twenty years on, is MAPPA achieving its objectives? A joint thematic inspection of Multi-Agency Public Protection Arrangements</w:t>
      </w:r>
      <w:r>
        <w:t>. [online] Available at: https://www.justiceinspectorates.gov.uk/hmiprobation/wp-content/uploads/sites/5/2022/07/A-joint-thematic-inspection-of-Multi-Agency-Public-Protection-Arrangements.pdf.</w:t>
      </w:r>
    </w:p>
    <w:p w14:paraId="669ABEB6" w14:textId="77777777" w:rsidR="00271830" w:rsidRDefault="00271830" w:rsidP="00271830">
      <w:pPr>
        <w:pStyle w:val="NormalWeb"/>
        <w:spacing w:before="0" w:beforeAutospacing="0" w:after="240" w:afterAutospacing="0" w:line="360" w:lineRule="auto"/>
      </w:pPr>
      <w:r>
        <w:t xml:space="preserve">Criminal Justice Joint Inspection (2022b). </w:t>
      </w:r>
      <w:r>
        <w:rPr>
          <w:i/>
          <w:iCs/>
        </w:rPr>
        <w:t>A joint thematic inspection of Multi-Agency Public Protection Arrangements Twenty years on, is MAPPA achieving its objectives? A joint thematic inspection of Multi-Agency Public Protection Arrangements</w:t>
      </w:r>
      <w:r>
        <w:t>. [online] Available at: https://www.justiceinspectorates.gov.uk/hmiprobation/wp-content/uploads/sites/5/2022/07/A-joint-thematic-inspection-of-Multi-Agency-Public-Protection-Arrangements.pdf.</w:t>
      </w:r>
    </w:p>
    <w:p w14:paraId="599345CD" w14:textId="77777777" w:rsidR="00271830" w:rsidRDefault="00271830" w:rsidP="00271830">
      <w:pPr>
        <w:pStyle w:val="NormalWeb"/>
        <w:spacing w:before="0" w:beforeAutospacing="0" w:after="240" w:afterAutospacing="0" w:line="360" w:lineRule="auto"/>
      </w:pPr>
      <w:r>
        <w:t xml:space="preserve">Elgueta, A. (2023). Cuckooing crimes on rise across London. </w:t>
      </w:r>
      <w:r>
        <w:rPr>
          <w:i/>
          <w:iCs/>
        </w:rPr>
        <w:t>BBC News</w:t>
      </w:r>
      <w:r>
        <w:t>. [online] 18 May. Available at: https://www.bbc.co.uk/news/uk-england-london-65637307.</w:t>
      </w:r>
    </w:p>
    <w:p w14:paraId="01E9A2B7" w14:textId="77777777" w:rsidR="00271830" w:rsidRDefault="00271830" w:rsidP="00271830">
      <w:pPr>
        <w:pStyle w:val="NormalWeb"/>
        <w:spacing w:before="0" w:beforeAutospacing="0" w:after="240" w:afterAutospacing="0" w:line="360" w:lineRule="auto"/>
      </w:pPr>
      <w:r>
        <w:t xml:space="preserve">Ellison, M., Fox, C., Gains, A. and Pollock, G. (2013). </w:t>
      </w:r>
      <w:r>
        <w:rPr>
          <w:i/>
          <w:iCs/>
        </w:rPr>
        <w:t>An evaluation of the effect of housing provision - ProQuest</w:t>
      </w:r>
      <w:r>
        <w:t>. [online] www.proquest.com. Available at: https://www.proquest.com/docview/1266442877?accountid=130472.</w:t>
      </w:r>
    </w:p>
    <w:p w14:paraId="7B1406C4" w14:textId="77777777" w:rsidR="00271830" w:rsidRDefault="00271830" w:rsidP="00271830">
      <w:pPr>
        <w:pStyle w:val="NormalWeb"/>
        <w:spacing w:before="0" w:beforeAutospacing="0" w:after="240" w:afterAutospacing="0" w:line="360" w:lineRule="auto"/>
      </w:pPr>
      <w:r>
        <w:lastRenderedPageBreak/>
        <w:t xml:space="preserve">Evans, E. (2016a). </w:t>
      </w:r>
      <w:r>
        <w:rPr>
          <w:i/>
          <w:iCs/>
        </w:rPr>
        <w:t>A Realistic Evaluation of Integrated Offender Management in one English County: A Partnership for Desistance?</w:t>
      </w:r>
      <w:r>
        <w:t xml:space="preserve"> [online] Available at: https://eprints.nottingham.ac.uk/33014/2/Thesis%20Emily%20Victoria%20Evans%204174493%20FOR%20SUBMISSION%20Diagram%20removed.pdf [Accessed 10 Oct. 2023].</w:t>
      </w:r>
    </w:p>
    <w:p w14:paraId="4A548790" w14:textId="77777777" w:rsidR="00271830" w:rsidRDefault="00271830" w:rsidP="00271830">
      <w:pPr>
        <w:pStyle w:val="NormalWeb"/>
        <w:spacing w:before="0" w:beforeAutospacing="0" w:after="240" w:afterAutospacing="0" w:line="360" w:lineRule="auto"/>
      </w:pPr>
      <w:r>
        <w:t xml:space="preserve">Evans, E. (2016b). </w:t>
      </w:r>
      <w:r>
        <w:rPr>
          <w:i/>
          <w:iCs/>
        </w:rPr>
        <w:t>A Realistic Evaluation of Integrated Offender Management in one English County: A Partnership for Desistance?</w:t>
      </w:r>
      <w:r>
        <w:t xml:space="preserve"> [online] Available at: https://eprints.nottingham.ac.uk/33014/2/Thesis%20Emily%20Victoria%20Evans%204174493%20FOR%20SUBMISSION%20Diagram%20removed.pdf.</w:t>
      </w:r>
    </w:p>
    <w:p w14:paraId="27E1818C" w14:textId="77777777" w:rsidR="00271830" w:rsidRDefault="00271830" w:rsidP="00271830">
      <w:pPr>
        <w:pStyle w:val="NormalWeb"/>
        <w:spacing w:before="0" w:beforeAutospacing="0" w:after="240" w:afterAutospacing="0" w:line="360" w:lineRule="auto"/>
      </w:pPr>
      <w:r>
        <w:t xml:space="preserve">Finkelhor, D. (1995). The victimization of children: A developmental perspective. </w:t>
      </w:r>
      <w:r>
        <w:rPr>
          <w:i/>
          <w:iCs/>
        </w:rPr>
        <w:t>American Journal of Orthopsychiatry</w:t>
      </w:r>
      <w:r>
        <w:t>, 65(2), pp.177–193. doi:https://doi.org/10.1037/h0079618.</w:t>
      </w:r>
    </w:p>
    <w:p w14:paraId="1133905C" w14:textId="77777777" w:rsidR="00271830" w:rsidRDefault="00271830" w:rsidP="00271830">
      <w:pPr>
        <w:pStyle w:val="NormalWeb"/>
        <w:spacing w:before="0" w:beforeAutospacing="0" w:after="240" w:afterAutospacing="0" w:line="360" w:lineRule="auto"/>
      </w:pPr>
      <w:r>
        <w:t xml:space="preserve">Geoghegan, S. (2021). </w:t>
      </w:r>
      <w:r>
        <w:rPr>
          <w:i/>
          <w:iCs/>
        </w:rPr>
        <w:t>Almost Half of Women Have Less Trust in Police following Sarah Everard Murder</w:t>
      </w:r>
      <w:r>
        <w:t>. [online] End Violence against Women. Available at: https://www.endviolenceagainstwomen.org.uk/almost-half-of-women-have-less-trust-in-police-following-sarah-everard-murder/#:~:text=The%20End%20Violence%20Against%20Women.</w:t>
      </w:r>
    </w:p>
    <w:p w14:paraId="0235CB41" w14:textId="681D02AA" w:rsidR="00271830" w:rsidRDefault="00271830" w:rsidP="00271830">
      <w:pPr>
        <w:pStyle w:val="NormalWeb"/>
        <w:spacing w:before="0" w:beforeAutospacing="0" w:after="240" w:afterAutospacing="0" w:line="360" w:lineRule="auto"/>
      </w:pPr>
      <w:r>
        <w:t>H</w:t>
      </w:r>
      <w:r>
        <w:t>is</w:t>
      </w:r>
      <w:r>
        <w:t xml:space="preserve"> Majesty's Inspectorate of Probation (2021). </w:t>
      </w:r>
      <w:r>
        <w:rPr>
          <w:i/>
          <w:iCs/>
        </w:rPr>
        <w:t>Multi-agency public protection arrangements</w:t>
      </w:r>
      <w:r>
        <w:t>. [online] www.justiceinspectorates.gov.uk. Available at: https://www.justiceinspectorates.gov.uk/hmiprobation/research/the-evidence-base-probation/specific-types-of-delivery/mappa/.</w:t>
      </w:r>
    </w:p>
    <w:p w14:paraId="64C32812" w14:textId="77777777" w:rsidR="00271830" w:rsidRDefault="00271830" w:rsidP="00271830">
      <w:pPr>
        <w:pStyle w:val="NormalWeb"/>
        <w:spacing w:before="0" w:beforeAutospacing="0" w:after="240" w:afterAutospacing="0" w:line="360" w:lineRule="auto"/>
      </w:pPr>
      <w:r>
        <w:t xml:space="preserve">HM Inspectorate of Probation (2021a). </w:t>
      </w:r>
      <w:r>
        <w:rPr>
          <w:i/>
          <w:iCs/>
        </w:rPr>
        <w:t>Integrated Offender Management</w:t>
      </w:r>
      <w:r>
        <w:t>. [online] www.justiceinspectorates.gov.uk. Available at: https://www.justiceinspectorates.gov.uk/hmiprobation/research/the-evidence-base-probation/specific-types-of-delivery/integrated-offender-management/.</w:t>
      </w:r>
    </w:p>
    <w:p w14:paraId="2DE521DE" w14:textId="77777777" w:rsidR="00271830" w:rsidRDefault="00271830" w:rsidP="00271830">
      <w:pPr>
        <w:pStyle w:val="NormalWeb"/>
        <w:spacing w:before="0" w:beforeAutospacing="0" w:after="240" w:afterAutospacing="0" w:line="360" w:lineRule="auto"/>
      </w:pPr>
      <w:r>
        <w:t xml:space="preserve">HM Inspectorate of Probation (2021b). </w:t>
      </w:r>
      <w:r>
        <w:rPr>
          <w:i/>
          <w:iCs/>
        </w:rPr>
        <w:t>Integrated Offender Management</w:t>
      </w:r>
      <w:r>
        <w:t>. [online] www.justiceinspectorates.gov.uk. Available at: https://www.justiceinspectorates.gov.uk/hmiprobation/research/the-evidence-base-probation/specific-types-of-delivery/integrated-offender-management/.</w:t>
      </w:r>
    </w:p>
    <w:p w14:paraId="4A511EA2" w14:textId="77777777" w:rsidR="00271830" w:rsidRDefault="00271830" w:rsidP="00271830">
      <w:pPr>
        <w:pStyle w:val="NormalWeb"/>
        <w:spacing w:before="0" w:beforeAutospacing="0" w:after="240" w:afterAutospacing="0" w:line="360" w:lineRule="auto"/>
      </w:pPr>
      <w:r>
        <w:lastRenderedPageBreak/>
        <w:t xml:space="preserve">Kemshall, H. and Wood, J. (2008). Risk and Public Protection: Responding to Involuntary and ‘Taboo’ Risk. </w:t>
      </w:r>
      <w:r>
        <w:rPr>
          <w:i/>
          <w:iCs/>
        </w:rPr>
        <w:t>Social Policy &amp; Administration</w:t>
      </w:r>
      <w:r>
        <w:t>, 42(6), pp.611–629. doi:https://doi.org/10.1111/j.1467-9515.2008.00627.x.</w:t>
      </w:r>
    </w:p>
    <w:p w14:paraId="251116A7" w14:textId="77777777" w:rsidR="00271830" w:rsidRDefault="00271830" w:rsidP="00271830">
      <w:pPr>
        <w:pStyle w:val="NormalWeb"/>
        <w:spacing w:before="0" w:beforeAutospacing="0" w:after="240" w:afterAutospacing="0" w:line="360" w:lineRule="auto"/>
      </w:pPr>
      <w:r>
        <w:t xml:space="preserve">Kerr, J., Kersting, F. and Reid, S. (2023). </w:t>
      </w:r>
      <w:r>
        <w:rPr>
          <w:i/>
          <w:iCs/>
        </w:rPr>
        <w:t>Offender Accommodation Pilot Process evaluation report</w:t>
      </w:r>
      <w:r>
        <w:t>. [online] Available at: https://assets.publishing.service.gov.uk/government/uploads/system/uploads/attachment_data/file/1182910/offender-accommodation-pilot-process-evaluation-report.pdf [Accessed 5 Nov. 2023].</w:t>
      </w:r>
    </w:p>
    <w:p w14:paraId="1B9ECA6E" w14:textId="77777777" w:rsidR="00271830" w:rsidRDefault="00271830" w:rsidP="00271830">
      <w:pPr>
        <w:pStyle w:val="NormalWeb"/>
        <w:spacing w:before="0" w:beforeAutospacing="0" w:after="240" w:afterAutospacing="0" w:line="360" w:lineRule="auto"/>
      </w:pPr>
      <w:r>
        <w:t xml:space="preserve">Malone Bunch, J. (2008). </w:t>
      </w:r>
      <w:r>
        <w:rPr>
          <w:i/>
          <w:iCs/>
        </w:rPr>
        <w:t>LIFESTYLES AND VICTIMIZATION</w:t>
      </w:r>
      <w:r>
        <w:t>. [online] Available at: https://getd.libs.uga.edu/pdfs/bunch_jackson_m_200808_ma.pdf.</w:t>
      </w:r>
    </w:p>
    <w:p w14:paraId="35C8958F" w14:textId="77777777" w:rsidR="00271830" w:rsidRDefault="00271830" w:rsidP="00271830">
      <w:pPr>
        <w:pStyle w:val="NormalWeb"/>
        <w:spacing w:before="0" w:beforeAutospacing="0" w:after="240" w:afterAutospacing="0" w:line="360" w:lineRule="auto"/>
      </w:pPr>
      <w:r>
        <w:t xml:space="preserve">MERRY, S., POWER , N., MCMANUS, M. and ALINSON, L. (2011). </w:t>
      </w:r>
      <w:r>
        <w:rPr>
          <w:i/>
          <w:iCs/>
        </w:rPr>
        <w:t>Drivers of public trust and confidence in police in the UK</w:t>
      </w:r>
      <w:r>
        <w:t>. [online] Uwtsd.ac.uk. Available at: https://web-s-ebscohost-com.ezproxy.uwtsd.ac.uk/ehost/pdfviewer/pdfviewer?vid=0&amp;sid=325eab18-846d-453b-a3a5-8abf3744f112%40redis [Accessed 4 Sep. 2023].</w:t>
      </w:r>
    </w:p>
    <w:p w14:paraId="6B1E603E" w14:textId="77777777" w:rsidR="00271830" w:rsidRDefault="00271830" w:rsidP="00271830">
      <w:pPr>
        <w:pStyle w:val="NormalWeb"/>
        <w:spacing w:before="0" w:beforeAutospacing="0" w:after="240" w:afterAutospacing="0" w:line="360" w:lineRule="auto"/>
      </w:pPr>
      <w:r>
        <w:t xml:space="preserve">NATIONAL YOUTH AGENCY (2020). </w:t>
      </w:r>
      <w:r>
        <w:rPr>
          <w:i/>
          <w:iCs/>
        </w:rPr>
        <w:t>‘Hidden in Plain Sight’ – A Youth Work Response to Gangs and Exploitation during COVID-19 – NYA</w:t>
      </w:r>
      <w:r>
        <w:t>. [online] National Youth Agency. Available at: https://www.nya.org.uk/hidden-in-plain-sight/#:~:text=60%2C000%20young%20people%20(aged%2010.</w:t>
      </w:r>
    </w:p>
    <w:p w14:paraId="075F2DCD" w14:textId="77777777" w:rsidR="00271830" w:rsidRDefault="00271830" w:rsidP="00271830">
      <w:pPr>
        <w:pStyle w:val="NormalWeb"/>
        <w:spacing w:before="0" w:beforeAutospacing="0" w:after="240" w:afterAutospacing="0" w:line="360" w:lineRule="auto"/>
      </w:pPr>
      <w:r>
        <w:t xml:space="preserve">NPCC (2021). </w:t>
      </w:r>
      <w:r>
        <w:rPr>
          <w:i/>
          <w:iCs/>
        </w:rPr>
        <w:t>Policing renews commitment to earn black communities’ confidence</w:t>
      </w:r>
      <w:r>
        <w:t>. [online] National Police Chiefs’ Council (NPCC). Available at: https://news.npcc.police.uk/releases/policing-renews-commitment-to-earn-black-communities-confidence.</w:t>
      </w:r>
    </w:p>
    <w:p w14:paraId="696CCDF0" w14:textId="77777777" w:rsidR="00271830" w:rsidRDefault="00271830" w:rsidP="00271830">
      <w:pPr>
        <w:pStyle w:val="NormalWeb"/>
        <w:spacing w:before="0" w:beforeAutospacing="0" w:after="240" w:afterAutospacing="0" w:line="360" w:lineRule="auto"/>
      </w:pPr>
      <w:r>
        <w:t xml:space="preserve">NSPCC (2019). </w:t>
      </w:r>
      <w:r>
        <w:rPr>
          <w:i/>
          <w:iCs/>
        </w:rPr>
        <w:t>Criminal exploitation and gangs</w:t>
      </w:r>
      <w:r>
        <w:t>. [online] NSPCC. Available at: https://www.nspcc.org.uk/what-is-child-abuse/types-of-abuse/gangs-criminal-exploitation/.</w:t>
      </w:r>
    </w:p>
    <w:p w14:paraId="0E25606F" w14:textId="77777777" w:rsidR="00271830" w:rsidRDefault="00271830" w:rsidP="00271830">
      <w:pPr>
        <w:pStyle w:val="NormalWeb"/>
        <w:spacing w:before="0" w:beforeAutospacing="0" w:after="240" w:afterAutospacing="0" w:line="360" w:lineRule="auto"/>
      </w:pPr>
      <w:r>
        <w:t xml:space="preserve">O’Hagan, A. and Elliot, A. (2018). Offender management: a review of approaches, benefits and challenges. </w:t>
      </w:r>
      <w:r>
        <w:rPr>
          <w:i/>
          <w:iCs/>
        </w:rPr>
        <w:t>Foresic Research &amp; Criminology International Journal</w:t>
      </w:r>
      <w:r>
        <w:t>, [online] 6(6), pp.527–533. doi:https://doi.org/10.15406/frcij.2018.06.00254.</w:t>
      </w:r>
    </w:p>
    <w:p w14:paraId="4AF1398C" w14:textId="77777777" w:rsidR="00271830" w:rsidRDefault="00271830" w:rsidP="00271830">
      <w:pPr>
        <w:pStyle w:val="NormalWeb"/>
        <w:spacing w:before="0" w:beforeAutospacing="0" w:after="240" w:afterAutospacing="0" w:line="360" w:lineRule="auto"/>
      </w:pPr>
      <w:r>
        <w:lastRenderedPageBreak/>
        <w:t xml:space="preserve">Office for National Statistics (2019). </w:t>
      </w:r>
      <w:r>
        <w:rPr>
          <w:i/>
          <w:iCs/>
        </w:rPr>
        <w:t>Crime and Justice - Office for National Statistics</w:t>
      </w:r>
      <w:r>
        <w:t>. [online] Ons.gov.uk. Available at: https://www.ons.gov.uk/peoplepopulationandcommunity/crimeandjustice.</w:t>
      </w:r>
    </w:p>
    <w:p w14:paraId="233984AE" w14:textId="77777777" w:rsidR="00271830" w:rsidRDefault="00271830" w:rsidP="00271830">
      <w:pPr>
        <w:pStyle w:val="NormalWeb"/>
        <w:spacing w:before="0" w:beforeAutospacing="0" w:after="240" w:afterAutospacing="0" w:line="360" w:lineRule="auto"/>
      </w:pPr>
      <w:r>
        <w:t xml:space="preserve">Office for National Statistics (2021a). </w:t>
      </w:r>
      <w:r>
        <w:rPr>
          <w:i/>
          <w:iCs/>
        </w:rPr>
        <w:t>Confidence in the Local police</w:t>
      </w:r>
      <w:r>
        <w:t>. [online] Service.gov.uk. Available at: https://www.ethnicity-facts-figures.service.gov.uk/crime-justice-and-the-law/policing/confidence-in-the-local-police/latest.</w:t>
      </w:r>
    </w:p>
    <w:p w14:paraId="70A3D25D" w14:textId="77777777" w:rsidR="00271830" w:rsidRDefault="00271830" w:rsidP="00271830">
      <w:pPr>
        <w:pStyle w:val="NormalWeb"/>
        <w:spacing w:before="0" w:beforeAutospacing="0" w:after="240" w:afterAutospacing="0" w:line="360" w:lineRule="auto"/>
      </w:pPr>
      <w:r>
        <w:t xml:space="preserve">Office for National Statistics (2021b). </w:t>
      </w:r>
      <w:r>
        <w:rPr>
          <w:i/>
          <w:iCs/>
        </w:rPr>
        <w:t>Confidence in the Local police</w:t>
      </w:r>
      <w:r>
        <w:t>. [online] Service.gov.uk. Available at: https://www.ethnicity-facts-figures.service.gov.uk/crime-justice-and-the-law/policing/confidence-in-the-local-police/latest.</w:t>
      </w:r>
    </w:p>
    <w:p w14:paraId="57CA1ABE" w14:textId="77777777" w:rsidR="00271830" w:rsidRDefault="00271830" w:rsidP="00271830">
      <w:pPr>
        <w:pStyle w:val="NormalWeb"/>
        <w:spacing w:before="0" w:beforeAutospacing="0" w:after="240" w:afterAutospacing="0" w:line="360" w:lineRule="auto"/>
      </w:pPr>
      <w:r>
        <w:t xml:space="preserve">Sleath, E. and Brown, S. (2017a). Staff and offender perspectives of Integrated Offender Management and the impact of its introduction on arrests and risk of reoffending in one police force region. </w:t>
      </w:r>
      <w:r>
        <w:rPr>
          <w:i/>
          <w:iCs/>
        </w:rPr>
        <w:t>Policing and Society</w:t>
      </w:r>
      <w:r>
        <w:t>, 29(5), pp.511–529. doi:https://doi.org/10.1080/10439463.2017.1410148.</w:t>
      </w:r>
    </w:p>
    <w:p w14:paraId="7F70C6A8" w14:textId="77777777" w:rsidR="00271830" w:rsidRDefault="00271830" w:rsidP="00271830">
      <w:pPr>
        <w:pStyle w:val="NormalWeb"/>
        <w:spacing w:before="0" w:beforeAutospacing="0" w:after="240" w:afterAutospacing="0" w:line="360" w:lineRule="auto"/>
      </w:pPr>
      <w:r>
        <w:t xml:space="preserve">Sleath, E. and Brown, S. (2017b). Staff and offender perspectives of Integrated Offender Management and the impact of its introduction on arrests and risk of reoffending in one police force region. </w:t>
      </w:r>
      <w:r>
        <w:rPr>
          <w:i/>
          <w:iCs/>
        </w:rPr>
        <w:t>Policing and Society</w:t>
      </w:r>
      <w:r>
        <w:t>, 29(5), pp.511–529. doi:https://doi.org/10.1080/10439463.2017.1410148.</w:t>
      </w:r>
    </w:p>
    <w:p w14:paraId="248220DB" w14:textId="77777777" w:rsidR="00271830" w:rsidRDefault="00271830" w:rsidP="00271830">
      <w:pPr>
        <w:pStyle w:val="NormalWeb"/>
        <w:spacing w:before="0" w:beforeAutospacing="0" w:after="240" w:afterAutospacing="0" w:line="360" w:lineRule="auto"/>
      </w:pPr>
      <w:r>
        <w:t xml:space="preserve">Spicer, J., Moyle, L. and Coomber, R. (2019). The variable and evolving nature of ‘cuckooing’ as a form of criminal exploitation in street level drug markets. </w:t>
      </w:r>
      <w:r>
        <w:rPr>
          <w:i/>
          <w:iCs/>
        </w:rPr>
        <w:t>Trends in Organized Crime</w:t>
      </w:r>
      <w:r>
        <w:t>, 23. doi:https://doi.org/10.1007/s12117-019-09368-5.</w:t>
      </w:r>
    </w:p>
    <w:p w14:paraId="2F3334EC" w14:textId="77777777" w:rsidR="00271830" w:rsidRDefault="00271830" w:rsidP="00271830">
      <w:pPr>
        <w:pStyle w:val="NormalWeb"/>
        <w:spacing w:before="0" w:beforeAutospacing="0" w:after="240" w:afterAutospacing="0" w:line="360" w:lineRule="auto"/>
      </w:pPr>
      <w:r>
        <w:t xml:space="preserve">The Metropolitan Police (n.d.). </w:t>
      </w:r>
      <w:r>
        <w:rPr>
          <w:i/>
          <w:iCs/>
        </w:rPr>
        <w:t>Reports of Cuckooing from January 2018 to September 2022</w:t>
      </w:r>
      <w:r>
        <w:t>. Metropolitan Police.</w:t>
      </w:r>
    </w:p>
    <w:p w14:paraId="5A820086" w14:textId="77777777" w:rsidR="00271830" w:rsidRDefault="00271830" w:rsidP="00271830">
      <w:pPr>
        <w:pStyle w:val="NormalWeb"/>
        <w:spacing w:before="0" w:beforeAutospacing="0" w:after="240" w:afterAutospacing="0" w:line="360" w:lineRule="auto"/>
      </w:pPr>
      <w:r>
        <w:t xml:space="preserve">Thurrock Council (2019). </w:t>
      </w:r>
      <w:r>
        <w:rPr>
          <w:i/>
          <w:iCs/>
        </w:rPr>
        <w:t>What attracts young people | Gangs and gang crime | Thurrock Council</w:t>
      </w:r>
      <w:r>
        <w:t>. [online] Thurrock.gov.uk. Available at: https://www.thurrock.gov.uk/gangs-and-gang-crime/what-attracts-young-people.</w:t>
      </w:r>
    </w:p>
    <w:p w14:paraId="485AF6C3" w14:textId="77777777" w:rsidR="00271830" w:rsidRDefault="00271830" w:rsidP="00271830">
      <w:pPr>
        <w:pStyle w:val="NormalWeb"/>
        <w:spacing w:before="0" w:beforeAutospacing="0" w:after="240" w:afterAutospacing="0" w:line="360" w:lineRule="auto"/>
      </w:pPr>
      <w:r>
        <w:t xml:space="preserve">Westmarland, L. and Conway, S. (2020). Police ethics and integrity: Keeping the ‘blue code’ of silence. </w:t>
      </w:r>
      <w:r>
        <w:rPr>
          <w:i/>
          <w:iCs/>
        </w:rPr>
        <w:t>International Journal of Police Science &amp; Management</w:t>
      </w:r>
      <w:r>
        <w:t>, [online] 22(4), pp.378–392. doi:https://doi.org/10.1177/1461355720947762.</w:t>
      </w:r>
    </w:p>
    <w:p w14:paraId="76E09D66" w14:textId="77777777" w:rsidR="00271830" w:rsidRPr="00271830" w:rsidRDefault="00271830" w:rsidP="00185FE3">
      <w:pPr>
        <w:spacing w:before="30"/>
        <w:rPr>
          <w:rFonts w:cstheme="minorHAnsi"/>
          <w:b/>
          <w:bCs/>
          <w:sz w:val="24"/>
          <w:szCs w:val="24"/>
          <w:u w:val="single"/>
        </w:rPr>
      </w:pPr>
    </w:p>
    <w:sectPr w:rsidR="00271830" w:rsidRPr="002718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ADC"/>
    <w:rsid w:val="0000583F"/>
    <w:rsid w:val="00006105"/>
    <w:rsid w:val="00016FAF"/>
    <w:rsid w:val="00043D59"/>
    <w:rsid w:val="000661F4"/>
    <w:rsid w:val="000E310A"/>
    <w:rsid w:val="000F4119"/>
    <w:rsid w:val="000F7129"/>
    <w:rsid w:val="000F7ACF"/>
    <w:rsid w:val="0010425A"/>
    <w:rsid w:val="00107E01"/>
    <w:rsid w:val="00121664"/>
    <w:rsid w:val="00140952"/>
    <w:rsid w:val="001646DD"/>
    <w:rsid w:val="0018405C"/>
    <w:rsid w:val="00185FE3"/>
    <w:rsid w:val="0019128D"/>
    <w:rsid w:val="001A056F"/>
    <w:rsid w:val="001B38C1"/>
    <w:rsid w:val="001F0385"/>
    <w:rsid w:val="00207436"/>
    <w:rsid w:val="00225EA0"/>
    <w:rsid w:val="00237726"/>
    <w:rsid w:val="00252935"/>
    <w:rsid w:val="00271830"/>
    <w:rsid w:val="0027637A"/>
    <w:rsid w:val="00286C1A"/>
    <w:rsid w:val="002D32C1"/>
    <w:rsid w:val="0031628B"/>
    <w:rsid w:val="003B4333"/>
    <w:rsid w:val="003D2032"/>
    <w:rsid w:val="00403278"/>
    <w:rsid w:val="0047658C"/>
    <w:rsid w:val="00490ADC"/>
    <w:rsid w:val="004C4940"/>
    <w:rsid w:val="00503D2B"/>
    <w:rsid w:val="00515EA8"/>
    <w:rsid w:val="005162D5"/>
    <w:rsid w:val="00530AF6"/>
    <w:rsid w:val="00531DD8"/>
    <w:rsid w:val="0055195B"/>
    <w:rsid w:val="005655C0"/>
    <w:rsid w:val="00567612"/>
    <w:rsid w:val="00571BCB"/>
    <w:rsid w:val="005A60E2"/>
    <w:rsid w:val="005A753D"/>
    <w:rsid w:val="005B4697"/>
    <w:rsid w:val="005B53F4"/>
    <w:rsid w:val="006502B6"/>
    <w:rsid w:val="006628CD"/>
    <w:rsid w:val="006B3396"/>
    <w:rsid w:val="006C7842"/>
    <w:rsid w:val="006E586B"/>
    <w:rsid w:val="006F3BED"/>
    <w:rsid w:val="007034D5"/>
    <w:rsid w:val="00713A77"/>
    <w:rsid w:val="00715E0A"/>
    <w:rsid w:val="00720D9A"/>
    <w:rsid w:val="0072715B"/>
    <w:rsid w:val="00735FE0"/>
    <w:rsid w:val="00742EF2"/>
    <w:rsid w:val="00792D3B"/>
    <w:rsid w:val="00794DED"/>
    <w:rsid w:val="00800C83"/>
    <w:rsid w:val="00807D2A"/>
    <w:rsid w:val="008203D9"/>
    <w:rsid w:val="00833ECC"/>
    <w:rsid w:val="00843367"/>
    <w:rsid w:val="008454F2"/>
    <w:rsid w:val="00853714"/>
    <w:rsid w:val="00875FB2"/>
    <w:rsid w:val="00876824"/>
    <w:rsid w:val="00897CA3"/>
    <w:rsid w:val="008A2EDE"/>
    <w:rsid w:val="008E2925"/>
    <w:rsid w:val="008E5F31"/>
    <w:rsid w:val="009551C4"/>
    <w:rsid w:val="00955812"/>
    <w:rsid w:val="00992B72"/>
    <w:rsid w:val="009A0528"/>
    <w:rsid w:val="009B536B"/>
    <w:rsid w:val="009D2585"/>
    <w:rsid w:val="009D58EE"/>
    <w:rsid w:val="00A36459"/>
    <w:rsid w:val="00A74D62"/>
    <w:rsid w:val="00AA6592"/>
    <w:rsid w:val="00AA7549"/>
    <w:rsid w:val="00AC6E4F"/>
    <w:rsid w:val="00B02D13"/>
    <w:rsid w:val="00B81C19"/>
    <w:rsid w:val="00B874E1"/>
    <w:rsid w:val="00BF1D85"/>
    <w:rsid w:val="00BF3748"/>
    <w:rsid w:val="00C23B76"/>
    <w:rsid w:val="00C40FD9"/>
    <w:rsid w:val="00C56282"/>
    <w:rsid w:val="00C63841"/>
    <w:rsid w:val="00C86338"/>
    <w:rsid w:val="00CA13D5"/>
    <w:rsid w:val="00D17971"/>
    <w:rsid w:val="00D21E08"/>
    <w:rsid w:val="00D63554"/>
    <w:rsid w:val="00D93DBD"/>
    <w:rsid w:val="00DA5BD6"/>
    <w:rsid w:val="00DB58C2"/>
    <w:rsid w:val="00DC2E6E"/>
    <w:rsid w:val="00E122E0"/>
    <w:rsid w:val="00E20B62"/>
    <w:rsid w:val="00E62B02"/>
    <w:rsid w:val="00EB1220"/>
    <w:rsid w:val="00EB5253"/>
    <w:rsid w:val="00EF4AC2"/>
    <w:rsid w:val="00F02297"/>
    <w:rsid w:val="00F1629F"/>
    <w:rsid w:val="00F16A8E"/>
    <w:rsid w:val="00F23E4F"/>
    <w:rsid w:val="00F84723"/>
    <w:rsid w:val="00FF5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8BDAD"/>
  <w15:chartTrackingRefBased/>
  <w15:docId w15:val="{82D602D5-5BBE-42E3-BC21-DFB5B58B7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93D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90ADC"/>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semiHidden/>
    <w:unhideWhenUsed/>
    <w:rsid w:val="009D25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F16A8E"/>
    <w:rPr>
      <w:color w:val="0000FF"/>
      <w:u w:val="single"/>
    </w:rPr>
  </w:style>
  <w:style w:type="character" w:customStyle="1" w:styleId="ref-lnk">
    <w:name w:val="ref-lnk"/>
    <w:basedOn w:val="DefaultParagraphFont"/>
    <w:rsid w:val="00EF4AC2"/>
  </w:style>
  <w:style w:type="character" w:customStyle="1" w:styleId="off-screen">
    <w:name w:val="off-screen"/>
    <w:basedOn w:val="DefaultParagraphFont"/>
    <w:rsid w:val="00EF4AC2"/>
  </w:style>
  <w:style w:type="character" w:customStyle="1" w:styleId="Heading1Char">
    <w:name w:val="Heading 1 Char"/>
    <w:basedOn w:val="DefaultParagraphFont"/>
    <w:link w:val="Heading1"/>
    <w:uiPriority w:val="9"/>
    <w:rsid w:val="00D93DBD"/>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293897">
      <w:bodyDiv w:val="1"/>
      <w:marLeft w:val="0"/>
      <w:marRight w:val="0"/>
      <w:marTop w:val="0"/>
      <w:marBottom w:val="0"/>
      <w:divBdr>
        <w:top w:val="none" w:sz="0" w:space="0" w:color="auto"/>
        <w:left w:val="none" w:sz="0" w:space="0" w:color="auto"/>
        <w:bottom w:val="none" w:sz="0" w:space="0" w:color="auto"/>
        <w:right w:val="none" w:sz="0" w:space="0" w:color="auto"/>
      </w:divBdr>
      <w:divsChild>
        <w:div w:id="1252541942">
          <w:marLeft w:val="0"/>
          <w:marRight w:val="0"/>
          <w:marTop w:val="0"/>
          <w:marBottom w:val="0"/>
          <w:divBdr>
            <w:top w:val="none" w:sz="0" w:space="0" w:color="auto"/>
            <w:left w:val="none" w:sz="0" w:space="0" w:color="auto"/>
            <w:bottom w:val="none" w:sz="0" w:space="0" w:color="auto"/>
            <w:right w:val="none" w:sz="0" w:space="0" w:color="auto"/>
          </w:divBdr>
        </w:div>
      </w:divsChild>
    </w:div>
    <w:div w:id="333849492">
      <w:bodyDiv w:val="1"/>
      <w:marLeft w:val="0"/>
      <w:marRight w:val="0"/>
      <w:marTop w:val="0"/>
      <w:marBottom w:val="0"/>
      <w:divBdr>
        <w:top w:val="none" w:sz="0" w:space="0" w:color="auto"/>
        <w:left w:val="none" w:sz="0" w:space="0" w:color="auto"/>
        <w:bottom w:val="none" w:sz="0" w:space="0" w:color="auto"/>
        <w:right w:val="none" w:sz="0" w:space="0" w:color="auto"/>
      </w:divBdr>
      <w:divsChild>
        <w:div w:id="1383402474">
          <w:marLeft w:val="0"/>
          <w:marRight w:val="0"/>
          <w:marTop w:val="0"/>
          <w:marBottom w:val="0"/>
          <w:divBdr>
            <w:top w:val="none" w:sz="0" w:space="0" w:color="auto"/>
            <w:left w:val="none" w:sz="0" w:space="0" w:color="auto"/>
            <w:bottom w:val="none" w:sz="0" w:space="0" w:color="auto"/>
            <w:right w:val="none" w:sz="0" w:space="0" w:color="auto"/>
          </w:divBdr>
        </w:div>
      </w:divsChild>
    </w:div>
    <w:div w:id="634796257">
      <w:bodyDiv w:val="1"/>
      <w:marLeft w:val="0"/>
      <w:marRight w:val="0"/>
      <w:marTop w:val="0"/>
      <w:marBottom w:val="0"/>
      <w:divBdr>
        <w:top w:val="none" w:sz="0" w:space="0" w:color="auto"/>
        <w:left w:val="none" w:sz="0" w:space="0" w:color="auto"/>
        <w:bottom w:val="none" w:sz="0" w:space="0" w:color="auto"/>
        <w:right w:val="none" w:sz="0" w:space="0" w:color="auto"/>
      </w:divBdr>
      <w:divsChild>
        <w:div w:id="4402227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1582</TotalTime>
  <Pages>14</Pages>
  <Words>5160</Words>
  <Characters>29417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 Boreham (2134468)</dc:creator>
  <cp:keywords/>
  <dc:description/>
  <cp:lastModifiedBy>Ria Boreham (2134468)</cp:lastModifiedBy>
  <cp:revision>11</cp:revision>
  <dcterms:created xsi:type="dcterms:W3CDTF">2023-10-10T16:42:00Z</dcterms:created>
  <dcterms:modified xsi:type="dcterms:W3CDTF">2023-11-06T15:45:00Z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2023-09-04T16:05:35Z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491c96f2-12cd-49a3-8f8d-d6f6d46758a6</vt:lpwstr>
  </property>
  <property fmtid="{D5CDD505-2E9C-101B-9397-08002B2CF9AE}" pid="8" name="MSIP_Label_66cf8fe5-b7b7-4df7-b38d-1c61ac2f6639_ContentBits">
    <vt:lpwstr>0</vt:lpwstr>
  </property>
</Properties>
</file>