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838B2" w14:textId="33BEA730" w:rsidR="00211318" w:rsidRDefault="00E65FD8">
      <w:r>
        <w:tab/>
        <w:t xml:space="preserve">This </w:t>
      </w:r>
      <w:r w:rsidR="003D3626">
        <w:t>rationale</w:t>
      </w:r>
      <w:r>
        <w:t xml:space="preserve"> will demonstrate what an </w:t>
      </w:r>
      <w:r w:rsidR="00974CA9">
        <w:t>A</w:t>
      </w:r>
      <w:r>
        <w:t>dvocate is</w:t>
      </w:r>
      <w:r w:rsidR="00974CA9">
        <w:t>,</w:t>
      </w:r>
      <w:r w:rsidR="009C03F6">
        <w:t xml:space="preserve"> as </w:t>
      </w:r>
      <w:r w:rsidR="00FC3229">
        <w:t>there are many different types of advocates and in turn, many different types of Advocacy</w:t>
      </w:r>
      <w:r w:rsidR="00C50AE1">
        <w:t>.</w:t>
      </w:r>
      <w:r w:rsidR="00FC3229">
        <w:t xml:space="preserve"> </w:t>
      </w:r>
      <w:r w:rsidR="00C50AE1">
        <w:t>F</w:t>
      </w:r>
      <w:r w:rsidR="00FC3229">
        <w:t xml:space="preserve">or example, these include, self-Advocacy, peer Advocacy, independent Advocacy, citizen Advocacy and statutory Advocacy. The focus for this rationale will </w:t>
      </w:r>
      <w:r w:rsidR="00C50AE1">
        <w:t xml:space="preserve">explore </w:t>
      </w:r>
      <w:r w:rsidR="00974CA9">
        <w:t>I</w:t>
      </w:r>
      <w:r w:rsidR="003D3626">
        <w:t xml:space="preserve">ndependent </w:t>
      </w:r>
      <w:r w:rsidR="00D0308D">
        <w:t xml:space="preserve">child </w:t>
      </w:r>
      <w:r w:rsidR="00974CA9">
        <w:t>A</w:t>
      </w:r>
      <w:r w:rsidR="003D3626">
        <w:t>dvoc</w:t>
      </w:r>
      <w:r w:rsidR="00FC3229">
        <w:t>acy</w:t>
      </w:r>
      <w:r w:rsidR="003D3626">
        <w:t xml:space="preserve"> </w:t>
      </w:r>
      <w:r>
        <w:t xml:space="preserve">and how </w:t>
      </w:r>
      <w:r w:rsidR="003D3626">
        <w:t xml:space="preserve">in which an </w:t>
      </w:r>
      <w:r w:rsidR="00974CA9">
        <w:t>I</w:t>
      </w:r>
      <w:r w:rsidR="003D3626">
        <w:t xml:space="preserve">ndependent </w:t>
      </w:r>
      <w:r w:rsidR="00974CA9">
        <w:t>A</w:t>
      </w:r>
      <w:r>
        <w:t xml:space="preserve">dvocate can ensure that they support the needs of the client, from the perspective of </w:t>
      </w:r>
      <w:r w:rsidR="000B1EE6">
        <w:t>vulnerable children perceived as ‘at risk’ and children being looked after by the state,</w:t>
      </w:r>
      <w:r>
        <w:t xml:space="preserve"> and how </w:t>
      </w:r>
      <w:r w:rsidR="000B1EE6">
        <w:t xml:space="preserve">in which </w:t>
      </w:r>
      <w:r>
        <w:t xml:space="preserve">their voice can </w:t>
      </w:r>
      <w:r w:rsidR="00974CA9">
        <w:t xml:space="preserve">be </w:t>
      </w:r>
      <w:r>
        <w:t>he</w:t>
      </w:r>
      <w:r w:rsidR="00974CA9">
        <w:t>a</w:t>
      </w:r>
      <w:r>
        <w:t>rd</w:t>
      </w:r>
      <w:r w:rsidR="00C50AE1">
        <w:t>.</w:t>
      </w:r>
      <w:r>
        <w:t xml:space="preserve"> </w:t>
      </w:r>
      <w:r w:rsidR="00C50AE1">
        <w:t>D</w:t>
      </w:r>
      <w:r>
        <w:t>emonstrating advocacy techniques</w:t>
      </w:r>
      <w:r w:rsidR="003D3626">
        <w:t xml:space="preserve">, theories, policies and legislation </w:t>
      </w:r>
      <w:r w:rsidR="00FC3229">
        <w:t xml:space="preserve">with evidence provided </w:t>
      </w:r>
      <w:r w:rsidR="003B7291">
        <w:t xml:space="preserve">in </w:t>
      </w:r>
      <w:r w:rsidR="003D3626">
        <w:t>the accompanying</w:t>
      </w:r>
      <w:r w:rsidR="00581C34">
        <w:t xml:space="preserve"> portfolio.</w:t>
      </w:r>
    </w:p>
    <w:p w14:paraId="1E024FAB" w14:textId="4D7BDC7E" w:rsidR="00AA3DDE" w:rsidRDefault="00E65FD8" w:rsidP="00AA3DDE">
      <w:pPr>
        <w:ind w:firstLine="720"/>
      </w:pPr>
      <w:r>
        <w:t xml:space="preserve">Advocacy is a multifunctional </w:t>
      </w:r>
      <w:r w:rsidR="00927167">
        <w:t>resource</w:t>
      </w:r>
      <w:r w:rsidR="00974CA9">
        <w:t>,</w:t>
      </w:r>
      <w:r>
        <w:t xml:space="preserve"> </w:t>
      </w:r>
      <w:r w:rsidR="00927167">
        <w:t>Wilks (2012)</w:t>
      </w:r>
      <w:r w:rsidR="00C034BB">
        <w:t xml:space="preserve"> </w:t>
      </w:r>
      <w:r w:rsidR="00974CA9">
        <w:t>suggests</w:t>
      </w:r>
      <w:r w:rsidR="00C034BB">
        <w:t xml:space="preserve"> that to fully understand advocacy</w:t>
      </w:r>
      <w:r w:rsidR="005029C1">
        <w:t>,</w:t>
      </w:r>
      <w:r w:rsidR="00927167">
        <w:t xml:space="preserve"> </w:t>
      </w:r>
      <w:r w:rsidR="005E0593">
        <w:t xml:space="preserve">it requires </w:t>
      </w:r>
      <w:r w:rsidR="005029C1">
        <w:t xml:space="preserve">an </w:t>
      </w:r>
      <w:r w:rsidR="005E0593">
        <w:t>appreciation of what an advocate does</w:t>
      </w:r>
      <w:r w:rsidR="005029C1">
        <w:t>,</w:t>
      </w:r>
      <w:r w:rsidR="005E0593">
        <w:t xml:space="preserve"> the context in which </w:t>
      </w:r>
      <w:r w:rsidR="003D3626">
        <w:t>A</w:t>
      </w:r>
      <w:r w:rsidR="005029C1">
        <w:t>dvocacy takes</w:t>
      </w:r>
      <w:r w:rsidR="005E0593">
        <w:t xml:space="preserve"> place</w:t>
      </w:r>
      <w:r w:rsidR="005029C1">
        <w:t xml:space="preserve"> and also</w:t>
      </w:r>
      <w:r w:rsidR="005E0593">
        <w:t xml:space="preserve"> what the purpose and values are of the </w:t>
      </w:r>
      <w:r w:rsidR="000B1EE6">
        <w:t>A</w:t>
      </w:r>
      <w:r w:rsidR="005E0593">
        <w:t>dvocate</w:t>
      </w:r>
      <w:r w:rsidR="005029C1">
        <w:t xml:space="preserve">. </w:t>
      </w:r>
      <w:r w:rsidR="007F243A">
        <w:t xml:space="preserve">Wilk’s view is supported by the principles laid out in the </w:t>
      </w:r>
      <w:r w:rsidR="00D346FB">
        <w:t>A</w:t>
      </w:r>
      <w:r w:rsidR="007F243A">
        <w:t xml:space="preserve">dvocacy </w:t>
      </w:r>
      <w:r w:rsidR="00D346FB">
        <w:t>C</w:t>
      </w:r>
      <w:r w:rsidR="007F243A">
        <w:t xml:space="preserve">ode </w:t>
      </w:r>
      <w:r w:rsidR="00D346FB">
        <w:t>O</w:t>
      </w:r>
      <w:r w:rsidR="007F243A">
        <w:t xml:space="preserve">f </w:t>
      </w:r>
      <w:r w:rsidR="00D346FB">
        <w:t>P</w:t>
      </w:r>
      <w:r w:rsidR="007F243A">
        <w:t xml:space="preserve">ractice </w:t>
      </w:r>
      <w:r w:rsidR="00BA009E">
        <w:t xml:space="preserve">(2014) </w:t>
      </w:r>
      <w:r w:rsidR="007F243A">
        <w:t xml:space="preserve">(see </w:t>
      </w:r>
      <w:r w:rsidR="00974CA9">
        <w:t>A</w:t>
      </w:r>
      <w:r w:rsidR="007F243A">
        <w:t>ppendix A</w:t>
      </w:r>
      <w:r w:rsidR="00E25D34">
        <w:t xml:space="preserve"> p</w:t>
      </w:r>
      <w:r w:rsidR="003670A0">
        <w:t>p</w:t>
      </w:r>
      <w:r w:rsidR="00E25D34">
        <w:t>. 5-6</w:t>
      </w:r>
      <w:r w:rsidR="007F243A">
        <w:t xml:space="preserve">) </w:t>
      </w:r>
      <w:r w:rsidR="000B1EE6">
        <w:t xml:space="preserve">which refers </w:t>
      </w:r>
      <w:r w:rsidR="007F243A">
        <w:t xml:space="preserve">the purpose of the </w:t>
      </w:r>
      <w:r w:rsidR="00D346FB">
        <w:t>A</w:t>
      </w:r>
      <w:r w:rsidR="007F243A">
        <w:t>dvocate as</w:t>
      </w:r>
      <w:r w:rsidR="000B1EE6">
        <w:t xml:space="preserve"> being </w:t>
      </w:r>
      <w:r w:rsidR="007F243A">
        <w:t>independent from statutory organisations, to promote clear policies in relation to safeguarding</w:t>
      </w:r>
      <w:r w:rsidR="00E25D34">
        <w:t xml:space="preserve"> using a person centred approach that will ensure that the wishes and interests of the client</w:t>
      </w:r>
      <w:r w:rsidR="00595CA8">
        <w:t xml:space="preserve"> are h</w:t>
      </w:r>
      <w:r w:rsidR="00661A5A">
        <w:t>ea</w:t>
      </w:r>
      <w:r w:rsidR="00595CA8">
        <w:t>rd</w:t>
      </w:r>
      <w:r w:rsidR="00E25D34">
        <w:t xml:space="preserve">, where </w:t>
      </w:r>
      <w:r w:rsidR="000B1EE6">
        <w:t>A</w:t>
      </w:r>
      <w:r w:rsidR="00E25D34">
        <w:t xml:space="preserve">dvocates should be non-judgemental and respectful of peoples needs, views, </w:t>
      </w:r>
      <w:r w:rsidR="0016199F">
        <w:t>culture and experienc</w:t>
      </w:r>
      <w:r w:rsidR="00D346FB">
        <w:t>e and</w:t>
      </w:r>
      <w:r w:rsidR="007F243A">
        <w:t xml:space="preserve"> </w:t>
      </w:r>
      <w:r w:rsidR="000B1EE6">
        <w:t>A</w:t>
      </w:r>
      <w:r w:rsidR="007F243A">
        <w:t>dvocates are supported to understand the different forms of abuse or neglect</w:t>
      </w:r>
      <w:r w:rsidR="0016199F">
        <w:t>, issues rel</w:t>
      </w:r>
      <w:r w:rsidR="008B32D5">
        <w:t>a</w:t>
      </w:r>
      <w:r w:rsidR="0016199F">
        <w:t>ting to confident</w:t>
      </w:r>
      <w:r w:rsidR="008B32D5">
        <w:t xml:space="preserve">iality and what to do if they suspect a client is at risk. Confidentiality will be written into policy that is in line with the </w:t>
      </w:r>
      <w:r w:rsidR="00C50AE1">
        <w:t>D</w:t>
      </w:r>
      <w:r w:rsidR="008B32D5">
        <w:t xml:space="preserve">ata Protection Act </w:t>
      </w:r>
      <w:r w:rsidR="00D346FB">
        <w:t>(</w:t>
      </w:r>
      <w:r w:rsidR="001110FE">
        <w:t>1998</w:t>
      </w:r>
      <w:r w:rsidR="001D3845">
        <w:t xml:space="preserve">) </w:t>
      </w:r>
      <w:r w:rsidR="000B1EE6">
        <w:t xml:space="preserve">specifically with sensitive, personal data </w:t>
      </w:r>
      <w:r w:rsidR="001D3845">
        <w:t>(</w:t>
      </w:r>
      <w:r w:rsidR="008B32D5">
        <w:t>See Appendix B</w:t>
      </w:r>
      <w:r w:rsidR="000B1EE6">
        <w:t>, part2 and 4 subsection 4)</w:t>
      </w:r>
      <w:r w:rsidR="00C87394">
        <w:t xml:space="preserve">. </w:t>
      </w:r>
      <w:r w:rsidR="009C03F6">
        <w:t xml:space="preserve">The Advocacy </w:t>
      </w:r>
      <w:r w:rsidR="000B1EE6">
        <w:t>C</w:t>
      </w:r>
      <w:r w:rsidR="00E25D34">
        <w:t xml:space="preserve">ode of </w:t>
      </w:r>
      <w:r w:rsidR="000B1EE6">
        <w:t>P</w:t>
      </w:r>
      <w:r w:rsidR="00E25D34">
        <w:t>ractice also</w:t>
      </w:r>
      <w:r w:rsidR="008B32D5">
        <w:t xml:space="preserve"> demonstrates the way in which an </w:t>
      </w:r>
      <w:r w:rsidR="000B1EE6">
        <w:t>A</w:t>
      </w:r>
      <w:r w:rsidR="008B32D5">
        <w:t xml:space="preserve">dvocate can and should relate to their client, by not befriending them, but </w:t>
      </w:r>
      <w:r w:rsidR="000B1EE6">
        <w:t xml:space="preserve">by </w:t>
      </w:r>
      <w:r w:rsidR="008B32D5">
        <w:t>being a mode of support. Write and Jaffe</w:t>
      </w:r>
      <w:r w:rsidR="00C50AE1">
        <w:t xml:space="preserve"> (</w:t>
      </w:r>
      <w:r w:rsidR="0012354C">
        <w:t>2014</w:t>
      </w:r>
      <w:r w:rsidR="00C50AE1">
        <w:t>)</w:t>
      </w:r>
      <w:r w:rsidR="0012354C">
        <w:t xml:space="preserve"> support the emotional side of advocacy when looking at child </w:t>
      </w:r>
      <w:r w:rsidR="000B1EE6">
        <w:t>A</w:t>
      </w:r>
      <w:r w:rsidR="0012354C">
        <w:t xml:space="preserve">dvocacy, by suggesting that the effective </w:t>
      </w:r>
      <w:r w:rsidR="000B1EE6">
        <w:t>A</w:t>
      </w:r>
      <w:r w:rsidR="0012354C">
        <w:t>dvocate must work within a comfortable emotional range that allows the advocate to be the most productive</w:t>
      </w:r>
      <w:r w:rsidR="000B1EE6">
        <w:t>,</w:t>
      </w:r>
      <w:r w:rsidR="0012354C">
        <w:t xml:space="preserve"> </w:t>
      </w:r>
      <w:r w:rsidR="000B1EE6">
        <w:t>b</w:t>
      </w:r>
      <w:r w:rsidR="0012354C">
        <w:t>y balancing passion and emotion</w:t>
      </w:r>
      <w:r w:rsidR="00AA3DDE">
        <w:t xml:space="preserve"> </w:t>
      </w:r>
      <w:r w:rsidR="0012354C">
        <w:t>with professional advocacy work</w:t>
      </w:r>
      <w:r w:rsidR="00AA3DDE">
        <w:t>.</w:t>
      </w:r>
      <w:r w:rsidR="0012354C">
        <w:t xml:space="preserve"> </w:t>
      </w:r>
    </w:p>
    <w:p w14:paraId="4D268FC1" w14:textId="179FD7CF" w:rsidR="005029C1" w:rsidRDefault="00FC3229" w:rsidP="00AA3DDE">
      <w:pPr>
        <w:ind w:left="680" w:right="680"/>
      </w:pPr>
      <w:r>
        <w:t>A</w:t>
      </w:r>
      <w:r w:rsidR="00435431">
        <w:t xml:space="preserve">n </w:t>
      </w:r>
      <w:r w:rsidR="000B1EE6">
        <w:t>A</w:t>
      </w:r>
      <w:r w:rsidR="00435431">
        <w:t xml:space="preserve">dvocate can be </w:t>
      </w:r>
      <w:r w:rsidR="000B0340">
        <w:t xml:space="preserve">described as a device that can help to influence the needs or rights of a group in the favour of the needs or rights of individuals, especially those on the social margins </w:t>
      </w:r>
      <w:sdt>
        <w:sdtPr>
          <w:id w:val="-1942753201"/>
          <w:citation/>
        </w:sdtPr>
        <w:sdtEndPr/>
        <w:sdtContent>
          <w:r>
            <w:fldChar w:fldCharType="begin"/>
          </w:r>
          <w:r>
            <w:instrText xml:space="preserve"> CITATION Bra95 \l 2057 </w:instrText>
          </w:r>
          <w:r>
            <w:fldChar w:fldCharType="separate"/>
          </w:r>
          <w:r w:rsidRPr="00FC3229">
            <w:rPr>
              <w:noProof/>
            </w:rPr>
            <w:t>(Brandon, 1995)</w:t>
          </w:r>
          <w:r>
            <w:fldChar w:fldCharType="end"/>
          </w:r>
        </w:sdtContent>
      </w:sdt>
      <w:r>
        <w:t xml:space="preserve">. </w:t>
      </w:r>
    </w:p>
    <w:p w14:paraId="0D0E1181" w14:textId="6553DC1F" w:rsidR="00595CA8" w:rsidRDefault="00AA3DDE" w:rsidP="00D33BAF">
      <w:r>
        <w:t xml:space="preserve">Children being looked after by the state are victims of these social margins, for whatever </w:t>
      </w:r>
      <w:r w:rsidR="000B1EE6">
        <w:t>circumstance</w:t>
      </w:r>
      <w:r>
        <w:t xml:space="preserve"> for them being within the system, they are marginalised in a way in which makes them vulnerable and untrusting</w:t>
      </w:r>
      <w:r w:rsidR="00D90C47">
        <w:t>.</w:t>
      </w:r>
      <w:r w:rsidR="008D4AA2">
        <w:t xml:space="preserve"> </w:t>
      </w:r>
      <w:r w:rsidR="00D90C47">
        <w:t>H</w:t>
      </w:r>
      <w:r w:rsidR="008D4AA2">
        <w:t>owever</w:t>
      </w:r>
      <w:r w:rsidR="00D90C47">
        <w:t>,</w:t>
      </w:r>
      <w:r w:rsidR="008D4AA2">
        <w:t xml:space="preserve"> Boylan and Dalrymple (2009) suggest that the concept of Independent </w:t>
      </w:r>
      <w:r w:rsidR="00D90C47">
        <w:t>A</w:t>
      </w:r>
      <w:r w:rsidR="008D4AA2">
        <w:t>dvocacy with children and young people is relatively new de</w:t>
      </w:r>
      <w:r w:rsidR="003B4872">
        <w:t>s</w:t>
      </w:r>
      <w:r w:rsidR="008D4AA2">
        <w:t>pite the policy and legislative frameworks</w:t>
      </w:r>
      <w:r w:rsidR="003B4872">
        <w:t>, which</w:t>
      </w:r>
      <w:r w:rsidR="008D4AA2">
        <w:t xml:space="preserve"> includ</w:t>
      </w:r>
      <w:r w:rsidR="003B4872">
        <w:t>e</w:t>
      </w:r>
      <w:r w:rsidR="008D4AA2">
        <w:t xml:space="preserve"> the Children Acts </w:t>
      </w:r>
      <w:r w:rsidR="00D65A81">
        <w:t>(</w:t>
      </w:r>
      <w:r w:rsidR="008D4AA2">
        <w:t>1989</w:t>
      </w:r>
      <w:r w:rsidR="00D65A81">
        <w:t>)</w:t>
      </w:r>
      <w:r w:rsidR="008D4AA2">
        <w:t xml:space="preserve"> </w:t>
      </w:r>
      <w:r w:rsidR="000B1EE6">
        <w:t>(see Appendix C)</w:t>
      </w:r>
      <w:r w:rsidR="008D4AA2">
        <w:t xml:space="preserve">and </w:t>
      </w:r>
      <w:r w:rsidR="00D65A81">
        <w:t>(</w:t>
      </w:r>
      <w:r w:rsidR="008D4AA2">
        <w:t>2004</w:t>
      </w:r>
      <w:r w:rsidR="00D65A81">
        <w:t>)</w:t>
      </w:r>
      <w:r w:rsidR="008D4AA2">
        <w:t xml:space="preserve"> </w:t>
      </w:r>
      <w:r w:rsidR="000B1EE6">
        <w:t xml:space="preserve">(see Appendix H, pp1-5) </w:t>
      </w:r>
      <w:r w:rsidR="008D4AA2">
        <w:t xml:space="preserve">and the United Nations Convention of Rights Of the Child </w:t>
      </w:r>
      <w:r w:rsidR="003670A0">
        <w:t>(</w:t>
      </w:r>
      <w:r w:rsidR="008D4AA2">
        <w:t>1989</w:t>
      </w:r>
      <w:r w:rsidR="003670A0">
        <w:t>)</w:t>
      </w:r>
      <w:r w:rsidR="008D4AA2">
        <w:t xml:space="preserve"> (UNCRC) (See Appendix </w:t>
      </w:r>
      <w:r w:rsidR="00C87394">
        <w:t>D</w:t>
      </w:r>
      <w:r w:rsidR="008D4AA2">
        <w:t xml:space="preserve">) </w:t>
      </w:r>
      <w:r w:rsidR="003B4872">
        <w:t>whereby</w:t>
      </w:r>
      <w:r w:rsidR="008D4AA2">
        <w:t xml:space="preserve"> decision making for children and young </w:t>
      </w:r>
      <w:r w:rsidR="008D4AA2">
        <w:lastRenderedPageBreak/>
        <w:t xml:space="preserve">people has been largely dominated by adults </w:t>
      </w:r>
      <w:r w:rsidR="003B4872">
        <w:t xml:space="preserve">making decisions which can typically silence the views of children and young people. However, the political concept of </w:t>
      </w:r>
      <w:r w:rsidR="000B1EE6">
        <w:t>A</w:t>
      </w:r>
      <w:r w:rsidR="003B4872">
        <w:t xml:space="preserve">dvocacy for children and young people has changed </w:t>
      </w:r>
      <w:r w:rsidR="00661A5A">
        <w:t>during the 20</w:t>
      </w:r>
      <w:r w:rsidR="00661A5A" w:rsidRPr="00661A5A">
        <w:rPr>
          <w:vertAlign w:val="superscript"/>
        </w:rPr>
        <w:t>th</w:t>
      </w:r>
      <w:r w:rsidR="00661A5A">
        <w:t xml:space="preserve"> and 21</w:t>
      </w:r>
      <w:r w:rsidR="00661A5A" w:rsidRPr="00661A5A">
        <w:rPr>
          <w:vertAlign w:val="superscript"/>
        </w:rPr>
        <w:t>st</w:t>
      </w:r>
      <w:r w:rsidR="00661A5A">
        <w:t xml:space="preserve"> century, </w:t>
      </w:r>
      <w:r w:rsidR="003B4872">
        <w:t xml:space="preserve">and children’s rights and </w:t>
      </w:r>
      <w:r w:rsidR="00D90C47">
        <w:t>A</w:t>
      </w:r>
      <w:r w:rsidR="003B4872">
        <w:t xml:space="preserve">dvocacy services now operate across all four nations of the United Kingdom. </w:t>
      </w:r>
      <w:r w:rsidR="00661A5A">
        <w:t>However, looking closer at Wales, t</w:t>
      </w:r>
      <w:r w:rsidR="003B4872">
        <w:t>his can be supported by</w:t>
      </w:r>
      <w:r w:rsidR="00484815">
        <w:t xml:space="preserve"> the Social Services and Wellbeing (Wales) Act </w:t>
      </w:r>
      <w:r w:rsidR="003670A0">
        <w:t>(</w:t>
      </w:r>
      <w:r w:rsidR="00484815">
        <w:t>2014</w:t>
      </w:r>
      <w:r w:rsidR="003670A0">
        <w:t xml:space="preserve">) </w:t>
      </w:r>
      <w:r w:rsidR="00484815">
        <w:t xml:space="preserve"> within part 10 code of practice (Advocacy) (See Appendix </w:t>
      </w:r>
      <w:r w:rsidR="00C87394">
        <w:t>E</w:t>
      </w:r>
      <w:r w:rsidR="00484815">
        <w:t xml:space="preserve"> p.</w:t>
      </w:r>
      <w:r w:rsidR="002919A6">
        <w:t>13</w:t>
      </w:r>
      <w:r w:rsidR="000B1EE6">
        <w:t>, section 10, no.36</w:t>
      </w:r>
      <w:r w:rsidR="00484815">
        <w:t xml:space="preserve">) which </w:t>
      </w:r>
      <w:r w:rsidR="002919A6">
        <w:t xml:space="preserve">states that </w:t>
      </w:r>
      <w:r w:rsidR="008538AA">
        <w:t>‘</w:t>
      </w:r>
      <w:r w:rsidR="002919A6">
        <w:t>local authorities need to understand and support the wellbeing outcomes that people wish to achieve</w:t>
      </w:r>
      <w:r w:rsidR="008538AA">
        <w:t>’</w:t>
      </w:r>
      <w:r w:rsidR="002919A6">
        <w:t xml:space="preserve"> and that advocacy services are fundamental in ensuring that the support for the people who need it is used to engage and participate actively in the development of their own personal wellbeing. This gives evidence that the rights of the child </w:t>
      </w:r>
      <w:r w:rsidR="00466C9F">
        <w:t>have</w:t>
      </w:r>
      <w:r w:rsidR="002919A6">
        <w:t xml:space="preserve"> been </w:t>
      </w:r>
      <w:r w:rsidR="000B1EE6">
        <w:t>handed</w:t>
      </w:r>
      <w:r w:rsidR="002919A6">
        <w:t xml:space="preserve"> back to the children, and also highlights the key role in which an advocate has with the child or young person within the care system. </w:t>
      </w:r>
    </w:p>
    <w:p w14:paraId="725CF112" w14:textId="7E88D626" w:rsidR="00AA3DDE" w:rsidRDefault="0082089C" w:rsidP="00D33BAF">
      <w:pPr>
        <w:ind w:firstLine="720"/>
      </w:pPr>
      <w:r>
        <w:t xml:space="preserve">Boylan and Dalrymple (2009) address the changes that the UNCRC (see Appendix </w:t>
      </w:r>
      <w:r w:rsidR="003670A0">
        <w:t>D</w:t>
      </w:r>
      <w:r w:rsidR="00E80338">
        <w:t xml:space="preserve"> p.5 Article 12</w:t>
      </w:r>
      <w:r>
        <w:t xml:space="preserve">) </w:t>
      </w:r>
      <w:r w:rsidR="00E1506B">
        <w:t xml:space="preserve">that </w:t>
      </w:r>
      <w:r>
        <w:t>w</w:t>
      </w:r>
      <w:r w:rsidR="003670A0">
        <w:t>ere</w:t>
      </w:r>
      <w:r>
        <w:t xml:space="preserve"> ratified by the UK in 1991 which focusses on an internationally agreed minimum standards for children and young people under the age of eighteen. The convention includes two articles that underpin the principles of </w:t>
      </w:r>
      <w:r w:rsidR="00E776EC">
        <w:t>A</w:t>
      </w:r>
      <w:r>
        <w:t xml:space="preserve">dvocacy, children’s rights to freedom of expression and to be listened to. </w:t>
      </w:r>
      <w:r w:rsidR="00595CA8">
        <w:t xml:space="preserve">In a broader sense the articles look at key aspects of children’s and young person’s lives including, non-discrimination, protection, play, liberty, family life, health and information support, having decisions made in their best interests, awareness of the UNCRC and education. </w:t>
      </w:r>
      <w:r w:rsidR="00661A5A">
        <w:t>An example of t</w:t>
      </w:r>
      <w:r w:rsidR="00595CA8">
        <w:t xml:space="preserve">his can be seen </w:t>
      </w:r>
      <w:r w:rsidR="00E776EC">
        <w:t>within</w:t>
      </w:r>
      <w:r w:rsidR="00595CA8">
        <w:t xml:space="preserve"> a case study from a child being looked after by the state</w:t>
      </w:r>
      <w:r w:rsidR="004C77DD">
        <w:t xml:space="preserve"> from Boylan and Dalrymple (2009</w:t>
      </w:r>
      <w:r w:rsidR="00D90C47">
        <w:t>,</w:t>
      </w:r>
      <w:r w:rsidR="004C77DD">
        <w:t xml:space="preserve"> p. 75) which focuses on a </w:t>
      </w:r>
      <w:r w:rsidR="00E776EC">
        <w:t>sixteen-year-old</w:t>
      </w:r>
      <w:r w:rsidR="004C77DD">
        <w:t xml:space="preserve"> boy named Tim, who is being looked after by </w:t>
      </w:r>
      <w:proofErr w:type="spellStart"/>
      <w:r w:rsidR="004C77DD">
        <w:t>Crosscountry</w:t>
      </w:r>
      <w:proofErr w:type="spellEnd"/>
      <w:r w:rsidR="004C77DD">
        <w:t xml:space="preserve"> local authority</w:t>
      </w:r>
      <w:r w:rsidR="00E776EC">
        <w:t>. The case study</w:t>
      </w:r>
      <w:r w:rsidR="004C77DD">
        <w:t xml:space="preserve"> explains</w:t>
      </w:r>
      <w:r w:rsidR="00E776EC">
        <w:t>,</w:t>
      </w:r>
      <w:r w:rsidR="004C77DD">
        <w:t xml:space="preserve"> that for the past six months he has lived in a small local authority residential children’s home, where Tim had seen posters encouraging looked after children and young people to express their views and opinions</w:t>
      </w:r>
      <w:r w:rsidR="008538AA">
        <w:t xml:space="preserve">. The children were </w:t>
      </w:r>
      <w:r w:rsidR="004C77DD">
        <w:t>provided</w:t>
      </w:r>
      <w:r w:rsidR="008538AA">
        <w:t xml:space="preserve"> with</w:t>
      </w:r>
      <w:r w:rsidR="004C77DD">
        <w:t xml:space="preserve"> information about the representations and complaints procedure and</w:t>
      </w:r>
      <w:r w:rsidR="0082355D">
        <w:t xml:space="preserve"> it was</w:t>
      </w:r>
      <w:r w:rsidR="004C77DD">
        <w:t xml:space="preserve"> emphasized that any complaint would be treated with respect. Tim did have a complaint, and confidently wrote it down and </w:t>
      </w:r>
      <w:r w:rsidR="0082355D">
        <w:t>handed</w:t>
      </w:r>
      <w:r w:rsidR="004C77DD">
        <w:t xml:space="preserve"> it to the officer in charge. Tim was then invited into the office where his complaint was shredded in front of him. Tim talked to another young person about what had happened, and </w:t>
      </w:r>
      <w:r w:rsidR="00E1506B">
        <w:t xml:space="preserve">it was suggested that Tim </w:t>
      </w:r>
      <w:r w:rsidR="00D90C47">
        <w:t xml:space="preserve">should </w:t>
      </w:r>
      <w:r w:rsidR="00E1506B">
        <w:t xml:space="preserve">talk to the </w:t>
      </w:r>
      <w:r w:rsidR="00E776EC">
        <w:t>I</w:t>
      </w:r>
      <w:r w:rsidR="00E1506B">
        <w:t xml:space="preserve">ndependent </w:t>
      </w:r>
      <w:r w:rsidR="00E776EC">
        <w:t>A</w:t>
      </w:r>
      <w:r w:rsidR="00E1506B">
        <w:t xml:space="preserve">dvocate who regularly visited the residential unit. Following Tim meeting the </w:t>
      </w:r>
      <w:r w:rsidR="00E776EC">
        <w:t>I</w:t>
      </w:r>
      <w:r w:rsidR="00E1506B">
        <w:t xml:space="preserve">ndependent Advocate, Tim made another complaint, and this time it was taken seriously. </w:t>
      </w:r>
    </w:p>
    <w:p w14:paraId="059F5A0A" w14:textId="3B40B68D" w:rsidR="00D33BAF" w:rsidRDefault="00E1506B" w:rsidP="00D33BAF">
      <w:pPr>
        <w:ind w:firstLine="720"/>
      </w:pPr>
      <w:r>
        <w:t xml:space="preserve">This can show two things, firstly, that by having an </w:t>
      </w:r>
      <w:r w:rsidR="00D90C47">
        <w:t>A</w:t>
      </w:r>
      <w:r>
        <w:t>dvocate Tim was able to confidently re-write his complaint in order to have his voice heard</w:t>
      </w:r>
      <w:r w:rsidR="00760206">
        <w:t xml:space="preserve"> after suffering from the initial act of counter-resistance</w:t>
      </w:r>
      <w:r>
        <w:t>,</w:t>
      </w:r>
      <w:r w:rsidR="00760206">
        <w:t xml:space="preserve"> which attempted to supress his voice</w:t>
      </w:r>
      <w:r w:rsidR="00E776EC">
        <w:t>,</w:t>
      </w:r>
      <w:r>
        <w:t xml:space="preserve"> and secondly, having an </w:t>
      </w:r>
      <w:r w:rsidR="00D90C47">
        <w:lastRenderedPageBreak/>
        <w:t>A</w:t>
      </w:r>
      <w:r>
        <w:t xml:space="preserve">dvocate allowed Tim to </w:t>
      </w:r>
      <w:r w:rsidR="00760206">
        <w:t xml:space="preserve">recover his voice to </w:t>
      </w:r>
      <w:r>
        <w:t xml:space="preserve">enforce his rights. However, there is evidence that there is a special relationship that must be addressed between an </w:t>
      </w:r>
      <w:r w:rsidR="00D90C47">
        <w:t>I</w:t>
      </w:r>
      <w:r>
        <w:t xml:space="preserve">ndependent child </w:t>
      </w:r>
      <w:r w:rsidR="00D90C47">
        <w:t>A</w:t>
      </w:r>
      <w:r>
        <w:t xml:space="preserve">dvocate and a child or young person, </w:t>
      </w:r>
      <w:r w:rsidR="005E0593">
        <w:t xml:space="preserve">Henderson and </w:t>
      </w:r>
      <w:proofErr w:type="spellStart"/>
      <w:r w:rsidR="005E0593">
        <w:t>Pochin</w:t>
      </w:r>
      <w:proofErr w:type="spellEnd"/>
      <w:r w:rsidR="00D90C47">
        <w:t>,</w:t>
      </w:r>
      <w:r w:rsidR="005E0593">
        <w:t xml:space="preserve"> describe the relationship between client and </w:t>
      </w:r>
      <w:r w:rsidR="00D90C47">
        <w:t>A</w:t>
      </w:r>
      <w:r w:rsidR="005E0593">
        <w:t>dvocate as:</w:t>
      </w:r>
    </w:p>
    <w:p w14:paraId="214EF197" w14:textId="6A0259FD" w:rsidR="005E0593" w:rsidRDefault="00D33BAF" w:rsidP="00D90C47">
      <w:pPr>
        <w:ind w:left="680" w:right="680"/>
      </w:pPr>
      <w:r>
        <w:t>‘</w:t>
      </w:r>
      <w:r w:rsidR="005E0593">
        <w:t>Advocacy can be described as the process of identifying with and representing a person’s views and concerns, in order to ensure enhance</w:t>
      </w:r>
      <w:r w:rsidR="00611FC9">
        <w:t>d</w:t>
      </w:r>
      <w:r w:rsidR="005E0593">
        <w:t xml:space="preserve"> rights and entitlements, undertaken by someone who has little or no conflict of interest</w:t>
      </w:r>
      <w:r>
        <w:t>’</w:t>
      </w:r>
      <w:sdt>
        <w:sdtPr>
          <w:id w:val="43954146"/>
          <w:citation/>
        </w:sdtPr>
        <w:sdtEndPr/>
        <w:sdtContent>
          <w:r w:rsidR="005E0593">
            <w:fldChar w:fldCharType="begin"/>
          </w:r>
          <w:r w:rsidR="005E0593">
            <w:instrText xml:space="preserve"> CITATION Hen01 \l 2057 </w:instrText>
          </w:r>
          <w:r w:rsidR="005E0593">
            <w:fldChar w:fldCharType="separate"/>
          </w:r>
          <w:r w:rsidR="005E0593">
            <w:rPr>
              <w:noProof/>
            </w:rPr>
            <w:t xml:space="preserve"> </w:t>
          </w:r>
          <w:r w:rsidR="005E0593" w:rsidRPr="005E0593">
            <w:rPr>
              <w:noProof/>
            </w:rPr>
            <w:t>(Henderson &amp; Pochin, 2001)</w:t>
          </w:r>
          <w:r w:rsidR="005E0593">
            <w:fldChar w:fldCharType="end"/>
          </w:r>
        </w:sdtContent>
      </w:sdt>
      <w:r>
        <w:t xml:space="preserve">. </w:t>
      </w:r>
    </w:p>
    <w:p w14:paraId="774326D5" w14:textId="55C98B19" w:rsidR="00D33BAF" w:rsidRDefault="00760206" w:rsidP="00D33BAF">
      <w:r>
        <w:t>Oliver and Dalrymple (2008) suggest that research shows</w:t>
      </w:r>
      <w:r w:rsidR="00E776EC">
        <w:t xml:space="preserve">, </w:t>
      </w:r>
      <w:r>
        <w:t xml:space="preserve">children and young people have a clear idea about what </w:t>
      </w:r>
      <w:r w:rsidR="00D90C47">
        <w:t>A</w:t>
      </w:r>
      <w:r>
        <w:t xml:space="preserve">dvocacy is, and the importance of an </w:t>
      </w:r>
      <w:r w:rsidR="00D90C47">
        <w:t>A</w:t>
      </w:r>
      <w:r>
        <w:t xml:space="preserve">dvocate being able to listen to and speak up for them. This implies that there is something about the </w:t>
      </w:r>
      <w:r w:rsidR="00D90C47">
        <w:t>A</w:t>
      </w:r>
      <w:r>
        <w:t xml:space="preserve">dvocacy relationship between </w:t>
      </w:r>
      <w:r w:rsidR="00D90C47">
        <w:t>A</w:t>
      </w:r>
      <w:r>
        <w:t xml:space="preserve">dvocate and child or young person </w:t>
      </w:r>
      <w:r w:rsidR="00395D37">
        <w:t>is</w:t>
      </w:r>
      <w:r>
        <w:t xml:space="preserve"> unique and </w:t>
      </w:r>
      <w:r w:rsidR="00395D37">
        <w:t xml:space="preserve">distinct. </w:t>
      </w:r>
    </w:p>
    <w:p w14:paraId="37597CFD" w14:textId="0A48BB27" w:rsidR="001917BA" w:rsidRDefault="00395D37" w:rsidP="001917BA">
      <w:r>
        <w:tab/>
        <w:t xml:space="preserve">Looking at this relationship, it can be linked to </w:t>
      </w:r>
      <w:r w:rsidR="007468B7">
        <w:t xml:space="preserve">Bowlby’s Attachment Theory, </w:t>
      </w:r>
      <w:r w:rsidR="00045D7D">
        <w:t xml:space="preserve">Prior and Glaser (2006) explain that Bowlby </w:t>
      </w:r>
      <w:r w:rsidR="00891A3B">
        <w:t xml:space="preserve">defined attachment theory as a biological instinct that when a child senses a threat or discomfort, they look for an attachment figure, in the hope that the attachment figure can remove the threat or the discomfort. This </w:t>
      </w:r>
      <w:r w:rsidR="0005316E">
        <w:t xml:space="preserve">shows that </w:t>
      </w:r>
      <w:r w:rsidR="00857A6D">
        <w:t xml:space="preserve">as an </w:t>
      </w:r>
      <w:r w:rsidR="00E776EC">
        <w:t>I</w:t>
      </w:r>
      <w:r w:rsidR="00857A6D">
        <w:t xml:space="preserve">ndependent child advocate, it is imperative to keep to the professional boundaries set out in the </w:t>
      </w:r>
      <w:r w:rsidR="00D90C47">
        <w:t>A</w:t>
      </w:r>
      <w:r w:rsidR="00857A6D">
        <w:t xml:space="preserve">dvocacy </w:t>
      </w:r>
      <w:r w:rsidR="00D90C47">
        <w:t>C</w:t>
      </w:r>
      <w:r w:rsidR="00857A6D">
        <w:t xml:space="preserve">ode of </w:t>
      </w:r>
      <w:r w:rsidR="00D90C47">
        <w:t>P</w:t>
      </w:r>
      <w:r w:rsidR="00857A6D">
        <w:t>ractice</w:t>
      </w:r>
      <w:r w:rsidR="00066250">
        <w:t xml:space="preserve"> </w:t>
      </w:r>
      <w:r w:rsidR="001110FE">
        <w:t xml:space="preserve">(2014) </w:t>
      </w:r>
      <w:r w:rsidR="00066250">
        <w:t>(see Appendix A p.</w:t>
      </w:r>
      <w:r w:rsidR="001110FE">
        <w:t>7</w:t>
      </w:r>
      <w:r w:rsidR="00066250">
        <w:t>)</w:t>
      </w:r>
      <w:r w:rsidR="009D71E7">
        <w:t xml:space="preserve"> </w:t>
      </w:r>
      <w:r w:rsidR="005F0B9A">
        <w:t xml:space="preserve">The work of Prior and Glaser (2009, p.20) distinguishes the difference between attachment and dependency, </w:t>
      </w:r>
      <w:r w:rsidR="00D90C47">
        <w:t xml:space="preserve">and describes how </w:t>
      </w:r>
      <w:r w:rsidR="005F0B9A">
        <w:t xml:space="preserve">within the care system, a child can be dependent on the carer, yet still have an attachment to their parents, which can be </w:t>
      </w:r>
      <w:r w:rsidR="00D90C47">
        <w:t xml:space="preserve">a </w:t>
      </w:r>
      <w:r w:rsidR="005F0B9A">
        <w:t xml:space="preserve">fundamental emotional element when working with children being looked after. This can directly link to </w:t>
      </w:r>
      <w:r w:rsidR="000050C8">
        <w:t xml:space="preserve">the process and steps of safeguarding children within the care system, and the vital role in which an </w:t>
      </w:r>
      <w:r w:rsidR="00D90C47">
        <w:t>A</w:t>
      </w:r>
      <w:r w:rsidR="000050C8">
        <w:t>dvocate can play</w:t>
      </w:r>
      <w:r w:rsidR="001D3845">
        <w:t>.</w:t>
      </w:r>
      <w:r w:rsidR="000050C8">
        <w:t xml:space="preserve"> </w:t>
      </w:r>
      <w:r w:rsidR="001D3845">
        <w:t>T</w:t>
      </w:r>
      <w:r w:rsidR="000050C8">
        <w:t>hese are agreed steps in a sequence with the end result being an agreed best outcome for the child in question</w:t>
      </w:r>
      <w:r w:rsidR="0082355D">
        <w:t>, which</w:t>
      </w:r>
      <w:r w:rsidR="000050C8">
        <w:t xml:space="preserve"> </w:t>
      </w:r>
      <w:r w:rsidR="0082355D">
        <w:t>c</w:t>
      </w:r>
      <w:r w:rsidR="000050C8">
        <w:t>onside</w:t>
      </w:r>
      <w:r w:rsidR="0082355D">
        <w:t>rs</w:t>
      </w:r>
      <w:r w:rsidR="000050C8">
        <w:t xml:space="preserve"> </w:t>
      </w:r>
      <w:r w:rsidR="002C7BFE">
        <w:t xml:space="preserve">the </w:t>
      </w:r>
      <w:r w:rsidR="000050C8">
        <w:t>protecti</w:t>
      </w:r>
      <w:r w:rsidR="002C7BFE">
        <w:t xml:space="preserve">on of </w:t>
      </w:r>
      <w:r w:rsidR="000050C8">
        <w:t>the vulnerabili</w:t>
      </w:r>
      <w:r w:rsidR="002C7BFE">
        <w:t>ty</w:t>
      </w:r>
      <w:r w:rsidR="000050C8">
        <w:t xml:space="preserve"> of the child. There are a range of professionals and services that share the responsibilities to protect children and young people</w:t>
      </w:r>
      <w:r w:rsidR="00533FAA">
        <w:t xml:space="preserve">, </w:t>
      </w:r>
      <w:r w:rsidR="005A48B0">
        <w:t xml:space="preserve">of which an </w:t>
      </w:r>
      <w:r w:rsidR="001D3845">
        <w:t>A</w:t>
      </w:r>
      <w:r w:rsidR="005A48B0">
        <w:t xml:space="preserve">dvocate has a critical role. </w:t>
      </w:r>
      <w:r w:rsidR="00574745">
        <w:t>Looking through history it is apparent that there are multiple cases that prove the failings within social services and following through</w:t>
      </w:r>
      <w:r w:rsidR="00D52AB3">
        <w:t>,</w:t>
      </w:r>
      <w:r w:rsidR="00574745">
        <w:t xml:space="preserve"> the changes that these cases initiated within legislation</w:t>
      </w:r>
      <w:r w:rsidR="00E776EC">
        <w:t>,</w:t>
      </w:r>
      <w:r w:rsidR="00D52AB3">
        <w:t xml:space="preserve"> which in turn can show </w:t>
      </w:r>
      <w:r w:rsidR="00574745">
        <w:t xml:space="preserve">that </w:t>
      </w:r>
      <w:r w:rsidR="001D3845">
        <w:t>A</w:t>
      </w:r>
      <w:r w:rsidR="00574745">
        <w:t xml:space="preserve">dvocacy is paramount to the welfare of children who are being looked after or are known to the social services. </w:t>
      </w:r>
    </w:p>
    <w:p w14:paraId="7F1CDA3C" w14:textId="5B6FCE06" w:rsidR="001917BA" w:rsidRDefault="001917BA" w:rsidP="001917BA">
      <w:pPr>
        <w:ind w:firstLine="720"/>
      </w:pPr>
      <w:r>
        <w:t xml:space="preserve">The law started to evolve in relation to </w:t>
      </w:r>
      <w:r w:rsidR="001D3845">
        <w:t>S</w:t>
      </w:r>
      <w:r>
        <w:t xml:space="preserve">afeguarding in 1975, when the Child Protection Register, first known as an ‘At Risk Register’ was put into place. This followed a high-profile case where tragically it took the non-accidental death of a child to highlight physical abuse effectively into the public eye. The case in question is that of a seven-year-old girl, Maria Colwell, when in 1973 she suffered physical abuse that resulted in her death at the hands of her </w:t>
      </w:r>
      <w:r>
        <w:lastRenderedPageBreak/>
        <w:t xml:space="preserve">stepfather. Sadly, Maria was a child who was known to be at risk by the local authority. The case was highly criticised in 1974 by the public inquiry who blamed the lack of communication between various agencies as the reason for the failure of safeguarding this child. In 1975 the ‘At-Risk Register’ was established as a national requirement for local authorities to improve contact between the services in such situations </w:t>
      </w:r>
      <w:sdt>
        <w:sdtPr>
          <w:id w:val="1538543810"/>
          <w:citation/>
        </w:sdtPr>
        <w:sdtEndPr/>
        <w:sdtContent>
          <w:r>
            <w:fldChar w:fldCharType="begin"/>
          </w:r>
          <w:r>
            <w:instrText xml:space="preserve"> CITATION Jen12 \l 2057 </w:instrText>
          </w:r>
          <w:r>
            <w:fldChar w:fldCharType="separate"/>
          </w:r>
          <w:r w:rsidRPr="009E0C87">
            <w:rPr>
              <w:noProof/>
            </w:rPr>
            <w:t>(Lindon, 2012)</w:t>
          </w:r>
          <w:r>
            <w:fldChar w:fldCharType="end"/>
          </w:r>
        </w:sdtContent>
      </w:sdt>
      <w:r>
        <w:t>.</w:t>
      </w:r>
      <w:r w:rsidR="00F47907">
        <w:t xml:space="preserve"> A link </w:t>
      </w:r>
      <w:r w:rsidR="007A78BC">
        <w:t>for information</w:t>
      </w:r>
      <w:r w:rsidR="00F47907">
        <w:t xml:space="preserve"> provided by the NSPCC</w:t>
      </w:r>
      <w:r>
        <w:t xml:space="preserve"> on the Child Protection Register</w:t>
      </w:r>
      <w:r w:rsidR="00F47907">
        <w:t xml:space="preserve">, specifically in </w:t>
      </w:r>
      <w:r w:rsidR="003316D5">
        <w:t>W</w:t>
      </w:r>
      <w:r w:rsidR="00F47907">
        <w:t xml:space="preserve">ales </w:t>
      </w:r>
      <w:r>
        <w:t xml:space="preserve">can be found in Appendix </w:t>
      </w:r>
      <w:r w:rsidR="001D3845">
        <w:t xml:space="preserve">F </w:t>
      </w:r>
      <w:r>
        <w:t xml:space="preserve">(see Appendix </w:t>
      </w:r>
      <w:r w:rsidR="00C87394">
        <w:t>F</w:t>
      </w:r>
      <w:r>
        <w:t xml:space="preserve">). </w:t>
      </w:r>
    </w:p>
    <w:p w14:paraId="10ED3852" w14:textId="3DA32BAD" w:rsidR="001917BA" w:rsidRDefault="001917BA" w:rsidP="001917BA">
      <w:r>
        <w:tab/>
        <w:t xml:space="preserve">Peter Jenkins (2013) explores the Children’s Act </w:t>
      </w:r>
      <w:r w:rsidR="00CE77AE">
        <w:t>(</w:t>
      </w:r>
      <w:proofErr w:type="gramStart"/>
      <w:r>
        <w:t>1989</w:t>
      </w:r>
      <w:r w:rsidR="00CE77AE">
        <w:t>)</w:t>
      </w:r>
      <w:r w:rsidR="00E776EC">
        <w:t>(</w:t>
      </w:r>
      <w:proofErr w:type="gramEnd"/>
      <w:r w:rsidR="00E776EC">
        <w:t>see Appendix C)</w:t>
      </w:r>
      <w:r>
        <w:t xml:space="preserve">, which was the first major change in legislation following the initiation of the ‘At Risk Register’ in 1975, where previously the legislation consisted of a patchwork of Acts of Parliament. Jenkins lists the main principles of the Children’s Act </w:t>
      </w:r>
      <w:r w:rsidR="00CE77AE">
        <w:t>(</w:t>
      </w:r>
      <w:r>
        <w:t>1989</w:t>
      </w:r>
      <w:r w:rsidR="00CE77AE">
        <w:t>)</w:t>
      </w:r>
      <w:r>
        <w:t xml:space="preserve">, including: Philosophies, structures and practices provided for promoting the care and welfare of children, Courts to treat the welfare of children as paramount and better co-ordination and a wider range of services for children and families. </w:t>
      </w:r>
      <w:r w:rsidR="00D46A66">
        <w:t xml:space="preserve">Jenkins summarises the Children’s Act </w:t>
      </w:r>
      <w:r w:rsidR="00951D6A">
        <w:t>(1</w:t>
      </w:r>
      <w:r w:rsidR="00D46A66">
        <w:t>989</w:t>
      </w:r>
      <w:r w:rsidR="00951D6A">
        <w:t>)</w:t>
      </w:r>
      <w:r w:rsidR="00D46A66">
        <w:t xml:space="preserve"> as:</w:t>
      </w:r>
    </w:p>
    <w:p w14:paraId="20564E9B" w14:textId="65182F97" w:rsidR="00D46A66" w:rsidRDefault="00D46A66" w:rsidP="00D46A66">
      <w:pPr>
        <w:ind w:left="680" w:right="680"/>
      </w:pPr>
      <w:r>
        <w:t>‘A progressive and far-reaching reform of childcare legislation. It includes specific individual rights for children as well as a substantial range of duties for the local authority as a whole. It enshrines good practice as a set of requirements placed upon social workers, courts and local authorities in making decisions about the welfare of children, with a significant space for the voices of children themselves to be heard’</w:t>
      </w:r>
      <w:sdt>
        <w:sdtPr>
          <w:id w:val="-469136882"/>
          <w:citation/>
        </w:sdtPr>
        <w:sdtEndPr/>
        <w:sdtContent>
          <w:r>
            <w:fldChar w:fldCharType="begin"/>
          </w:r>
          <w:r w:rsidR="002C693B">
            <w:instrText xml:space="preserve">CITATION Pet13 \p 55 \l 2057 </w:instrText>
          </w:r>
          <w:r>
            <w:fldChar w:fldCharType="separate"/>
          </w:r>
          <w:r w:rsidR="002C693B">
            <w:rPr>
              <w:noProof/>
            </w:rPr>
            <w:t xml:space="preserve"> </w:t>
          </w:r>
          <w:r w:rsidR="002C693B" w:rsidRPr="002C693B">
            <w:rPr>
              <w:noProof/>
            </w:rPr>
            <w:t>(Jenkins, 2013, p. 55)</w:t>
          </w:r>
          <w:r>
            <w:fldChar w:fldCharType="end"/>
          </w:r>
        </w:sdtContent>
      </w:sdt>
      <w:r>
        <w:t>.</w:t>
      </w:r>
    </w:p>
    <w:p w14:paraId="1EDB6114" w14:textId="3925D2EA" w:rsidR="00C918EB" w:rsidRPr="00F17423" w:rsidRDefault="00D52AB3" w:rsidP="00C918EB">
      <w:r>
        <w:t xml:space="preserve">This conceives the idea of child </w:t>
      </w:r>
      <w:r w:rsidR="00E776EC">
        <w:t>A</w:t>
      </w:r>
      <w:r>
        <w:t xml:space="preserve">dvocacy and that children have the right to have their voices heard. </w:t>
      </w:r>
      <w:r w:rsidR="00574745">
        <w:t xml:space="preserve">Looking </w:t>
      </w:r>
      <w:r>
        <w:t>further into critical cases that changed the law, more recently a</w:t>
      </w:r>
      <w:r w:rsidR="00574745">
        <w:t xml:space="preserve"> case involving an eight-year-old girl,</w:t>
      </w:r>
      <w:r>
        <w:t xml:space="preserve"> named</w:t>
      </w:r>
      <w:r w:rsidR="00574745">
        <w:t xml:space="preserve"> Victoria Climbié in 2002</w:t>
      </w:r>
      <w:r w:rsidR="00251C70">
        <w:t xml:space="preserve"> had an incredible impact on legislation today</w:t>
      </w:r>
      <w:r>
        <w:t>.</w:t>
      </w:r>
      <w:r w:rsidR="00574745">
        <w:t xml:space="preserve"> Victoria’s death was avoidable as she was well known to a wide range of North London services, professionals and community groups. The public inquiry led by Lord Lambing identified twelve separate occasions when Victoria could have been safeguarded had the multiple agencies shared the information that they held </w:t>
      </w:r>
      <w:sdt>
        <w:sdtPr>
          <w:id w:val="-1818565405"/>
          <w:citation/>
        </w:sdtPr>
        <w:sdtEndPr/>
        <w:sdtContent>
          <w:r w:rsidR="00574745">
            <w:fldChar w:fldCharType="begin"/>
          </w:r>
          <w:r w:rsidR="00574745">
            <w:instrText xml:space="preserve"> CITATION Jen12 \l 2057 </w:instrText>
          </w:r>
          <w:r w:rsidR="00574745">
            <w:fldChar w:fldCharType="separate"/>
          </w:r>
          <w:r w:rsidR="00574745" w:rsidRPr="00574745">
            <w:rPr>
              <w:noProof/>
            </w:rPr>
            <w:t>(Lindon, 2012)</w:t>
          </w:r>
          <w:r w:rsidR="00574745">
            <w:fldChar w:fldCharType="end"/>
          </w:r>
        </w:sdtContent>
      </w:sdt>
      <w:r w:rsidR="00574745">
        <w:t xml:space="preserve">. The report identifies </w:t>
      </w:r>
      <w:r w:rsidR="001917BA">
        <w:t xml:space="preserve">a list of serious problems </w:t>
      </w:r>
      <w:r>
        <w:t>including poor inter-agency working and information sharing</w:t>
      </w:r>
      <w:r w:rsidR="00251C70">
        <w:t xml:space="preserve"> which again highlights a failing of the services which by law, within the Children’s </w:t>
      </w:r>
      <w:r w:rsidR="00951D6A">
        <w:t>A</w:t>
      </w:r>
      <w:r w:rsidR="00251C70">
        <w:t>ct (1989) the co-ordination of these services should not have led to the failings of Victoria.</w:t>
      </w:r>
      <w:r w:rsidR="00C918EB">
        <w:t xml:space="preserve"> Another case that was reviewed by Lord Laming was that of a seventeen-month-old baby boy, named Peter Connelly in 2007. Lindon (2012) reflects on the death of Peter Connelly stating that Peter was a child that was known to social care services and his name was on the </w:t>
      </w:r>
      <w:r w:rsidR="001D3845">
        <w:t>C</w:t>
      </w:r>
      <w:r w:rsidR="00C918EB">
        <w:t xml:space="preserve">hild </w:t>
      </w:r>
      <w:r w:rsidR="001D3845">
        <w:t>P</w:t>
      </w:r>
      <w:r w:rsidR="00C918EB">
        <w:t xml:space="preserve">rotection </w:t>
      </w:r>
      <w:r w:rsidR="001D3845">
        <w:t>R</w:t>
      </w:r>
      <w:r w:rsidR="00C918EB">
        <w:t xml:space="preserve">egister with multiple agencies involved with the family. However, with every injury that </w:t>
      </w:r>
      <w:r w:rsidR="00F17423">
        <w:t>P</w:t>
      </w:r>
      <w:r w:rsidR="00C918EB">
        <w:t xml:space="preserve">eter received, Peters mother was able to give explanations </w:t>
      </w:r>
      <w:r w:rsidR="00E776EC">
        <w:t>as to how they had occurred</w:t>
      </w:r>
      <w:r w:rsidR="00C918EB">
        <w:t xml:space="preserve">, which were </w:t>
      </w:r>
      <w:r w:rsidR="00C918EB">
        <w:lastRenderedPageBreak/>
        <w:t xml:space="preserve">surprisingly accepted by health professionals. </w:t>
      </w:r>
      <w:r w:rsidR="00E776EC">
        <w:t>Lindon (2012) explains that after l</w:t>
      </w:r>
      <w:r w:rsidR="00C918EB">
        <w:t xml:space="preserve">ooking into the case, it became apparent that key medical </w:t>
      </w:r>
      <w:r w:rsidR="00C918EB" w:rsidRPr="00F17423">
        <w:t xml:space="preserve">professionals were absent from important case meetings, and there was no proper investigation made concerning the adults that lived in the house where Peter and other children has already been judged at risk. </w:t>
      </w:r>
      <w:r w:rsidR="00F17423">
        <w:t xml:space="preserve">Lord </w:t>
      </w:r>
      <w:r w:rsidR="00F17423" w:rsidRPr="00F17423">
        <w:t>Laming</w:t>
      </w:r>
      <w:r w:rsidR="00F17423">
        <w:t xml:space="preserve"> concluded that ‘there was overwhelming support for the reforms that he had introduced after the landmark 2003 report of Victoria Climbié, yet he found that public bodies had not done enough to make them a reality in front-line practice’</w:t>
      </w:r>
      <w:sdt>
        <w:sdtPr>
          <w:id w:val="549733489"/>
          <w:citation/>
        </w:sdtPr>
        <w:sdtEndPr/>
        <w:sdtContent>
          <w:r w:rsidR="00F17423">
            <w:fldChar w:fldCharType="begin"/>
          </w:r>
          <w:r w:rsidR="00F17423">
            <w:instrText xml:space="preserve"> CITATION The09 \l 2057 </w:instrText>
          </w:r>
          <w:r w:rsidR="00F17423">
            <w:fldChar w:fldCharType="separate"/>
          </w:r>
          <w:r w:rsidR="00F17423">
            <w:rPr>
              <w:noProof/>
            </w:rPr>
            <w:t xml:space="preserve"> </w:t>
          </w:r>
          <w:r w:rsidR="00F17423" w:rsidRPr="00F17423">
            <w:rPr>
              <w:noProof/>
            </w:rPr>
            <w:t>(Telegraph, 2009)</w:t>
          </w:r>
          <w:r w:rsidR="00F17423">
            <w:fldChar w:fldCharType="end"/>
          </w:r>
        </w:sdtContent>
      </w:sdt>
      <w:r w:rsidR="00F17423">
        <w:t xml:space="preserve">. </w:t>
      </w:r>
    </w:p>
    <w:p w14:paraId="506461D0" w14:textId="3FB4B17C" w:rsidR="00C87394" w:rsidRDefault="00C918EB" w:rsidP="00CE77AE">
      <w:pPr>
        <w:ind w:firstLine="720"/>
      </w:pPr>
      <w:r>
        <w:t xml:space="preserve">The recommendations of the Laming report led to the overarching framework called </w:t>
      </w:r>
      <w:r w:rsidRPr="00E776EC">
        <w:t>Every Child Matters</w:t>
      </w:r>
      <w:r w:rsidR="00E776EC" w:rsidRPr="00E776EC">
        <w:t xml:space="preserve"> (2003)</w:t>
      </w:r>
      <w:r>
        <w:t xml:space="preserve"> (See Appendix </w:t>
      </w:r>
      <w:r w:rsidR="00F47907">
        <w:t>G</w:t>
      </w:r>
      <w:r w:rsidR="00E776EC">
        <w:t>, p.14, chapter 1.3</w:t>
      </w:r>
      <w:r w:rsidR="00F17423">
        <w:t>) which establishes five key outcomes by which to judge the success of any policies for children and young people, described by Lindon (2012) as, being healthy,</w:t>
      </w:r>
      <w:r w:rsidR="00CE77AE">
        <w:t xml:space="preserve"> s</w:t>
      </w:r>
      <w:r w:rsidR="00F17423">
        <w:t xml:space="preserve">taying safe, enjoying and achieving, </w:t>
      </w:r>
      <w:r w:rsidR="00CE77AE">
        <w:t xml:space="preserve">making a positive contribution and economic wellbeing. The impact of the </w:t>
      </w:r>
      <w:r w:rsidR="00951D6A">
        <w:t>L</w:t>
      </w:r>
      <w:r w:rsidR="00CE77AE">
        <w:t>aming report made leg</w:t>
      </w:r>
      <w:r w:rsidR="00E24BD3">
        <w:t>islative</w:t>
      </w:r>
      <w:r w:rsidR="00CE77AE">
        <w:t xml:space="preserve"> changes through the Children Act </w:t>
      </w:r>
      <w:r w:rsidR="00E24BD3">
        <w:t>(</w:t>
      </w:r>
      <w:r w:rsidR="00CE77AE">
        <w:t>2004</w:t>
      </w:r>
      <w:r w:rsidR="00E24BD3">
        <w:t>), which included an instruction to appoint a children’s Commissioner to promote awareness of the views and interests of children to ensure they have a voice (Children Act, 2004). Within section two of the Children Act (2004)</w:t>
      </w:r>
      <w:r w:rsidR="007A78BC">
        <w:t xml:space="preserve"> (See Appendix H</w:t>
      </w:r>
      <w:r w:rsidR="00E776EC">
        <w:t xml:space="preserve"> within introduction, no.4 and section 2, no.</w:t>
      </w:r>
      <w:r w:rsidR="00532DD9">
        <w:t>20-29</w:t>
      </w:r>
      <w:r w:rsidR="007A78BC">
        <w:t>)</w:t>
      </w:r>
      <w:r w:rsidR="00E24BD3">
        <w:t xml:space="preserve"> it gives the general function of the commissioner which is to ‘promote awareness of the views and interests of children’</w:t>
      </w:r>
      <w:r w:rsidR="00B36250">
        <w:t xml:space="preserve"> </w:t>
      </w:r>
      <w:r w:rsidR="00BD6C51">
        <w:t xml:space="preserve">and elaborates that in exercising his power, the commissioner will be expected to encourage services by sharing best practice that will ensure the views and interests of children to coincide with new policies and practices. In carrying out his general function, the commissioner should have particular regard to the wellbeing which should reflect the five outcomes listed above, </w:t>
      </w:r>
      <w:r w:rsidR="00532DD9">
        <w:t xml:space="preserve">and </w:t>
      </w:r>
      <w:r w:rsidR="00BD6C51">
        <w:t xml:space="preserve">identifies children as being the most important to them. This in turn resulted in a report for the children’s </w:t>
      </w:r>
      <w:r w:rsidR="001D3845">
        <w:t>C</w:t>
      </w:r>
      <w:r w:rsidR="00BD6C51">
        <w:t>ommissioner entitled</w:t>
      </w:r>
      <w:r w:rsidR="00BD6C51" w:rsidRPr="00532DD9">
        <w:t xml:space="preserve">: Independent advocacy: Impact and Outcomes for Children and Young people </w:t>
      </w:r>
      <w:r w:rsidR="00532DD9" w:rsidRPr="00532DD9">
        <w:t>(</w:t>
      </w:r>
      <w:r w:rsidR="00BD6C51">
        <w:t xml:space="preserve">2016) (See Appendix </w:t>
      </w:r>
      <w:r w:rsidR="007A78BC">
        <w:t>I p.</w:t>
      </w:r>
      <w:r w:rsidR="003316D5">
        <w:t>4</w:t>
      </w:r>
      <w:r w:rsidR="00532DD9">
        <w:t xml:space="preserve"> within executive summary and key findings)</w:t>
      </w:r>
      <w:r w:rsidR="00BD6C51">
        <w:t xml:space="preserve"> in which the objectives </w:t>
      </w:r>
      <w:r w:rsidR="0042214E">
        <w:t xml:space="preserve">of the research were to identify and review good practice in information gathering, understanding the impact of </w:t>
      </w:r>
      <w:r w:rsidR="001D3845">
        <w:t>A</w:t>
      </w:r>
      <w:r w:rsidR="0042214E">
        <w:t xml:space="preserve">dvocacy from a young person’s perspective and to understand how </w:t>
      </w:r>
      <w:r w:rsidR="001D3845">
        <w:t>A</w:t>
      </w:r>
      <w:r w:rsidR="0042214E">
        <w:t xml:space="preserve">dvocacy services might effectively collect and combine information towards agreed objectives and outcome measurement. The key findings from the report suggest that it addresses the gap between a child or young person’s view on the impact of </w:t>
      </w:r>
      <w:r w:rsidR="001D3845">
        <w:t>A</w:t>
      </w:r>
      <w:r w:rsidR="0042214E">
        <w:t xml:space="preserve">dvocacy and concluded that there was considerable evidence of the extent to which young people had benefitted from </w:t>
      </w:r>
      <w:r w:rsidR="001D3845">
        <w:t>I</w:t>
      </w:r>
      <w:r w:rsidR="0042214E">
        <w:t xml:space="preserve">ndependent </w:t>
      </w:r>
      <w:r w:rsidR="001D3845">
        <w:t>A</w:t>
      </w:r>
      <w:r w:rsidR="0042214E">
        <w:t xml:space="preserve">dvocacy including the value of which they placed on the experience. </w:t>
      </w:r>
      <w:r w:rsidR="00C87394">
        <w:tab/>
      </w:r>
    </w:p>
    <w:p w14:paraId="297BD6D8" w14:textId="49470727" w:rsidR="00574745" w:rsidRDefault="00C87394" w:rsidP="00BF3F6E">
      <w:pPr>
        <w:ind w:firstLine="720"/>
      </w:pPr>
      <w:r>
        <w:t>This only cements the im</w:t>
      </w:r>
      <w:r w:rsidR="00532DD9">
        <w:t>pact</w:t>
      </w:r>
      <w:r>
        <w:t xml:space="preserve"> of </w:t>
      </w:r>
      <w:r w:rsidR="001D3845">
        <w:t>I</w:t>
      </w:r>
      <w:r>
        <w:t xml:space="preserve">ndependent child </w:t>
      </w:r>
      <w:r w:rsidR="001D3845">
        <w:t>A</w:t>
      </w:r>
      <w:r>
        <w:t xml:space="preserve">dvocacy, the importance of which it has within the social system and the children being looked after, and where the values of the work that they do are. In </w:t>
      </w:r>
      <w:r w:rsidR="00532DD9">
        <w:t>the</w:t>
      </w:r>
      <w:r>
        <w:t xml:space="preserve"> three case studies looked at within this rationale, it is important to </w:t>
      </w:r>
      <w:r>
        <w:lastRenderedPageBreak/>
        <w:t xml:space="preserve">consider the age of the three children, and how in each case the common denominator is that the fault was with the services and persons involved in safeguarding </w:t>
      </w:r>
      <w:r w:rsidR="00BF3F6E">
        <w:t xml:space="preserve">them. Had these three children had access to </w:t>
      </w:r>
      <w:r w:rsidR="001D3845">
        <w:t>A</w:t>
      </w:r>
      <w:r w:rsidR="00BF3F6E">
        <w:t xml:space="preserve">dvocacy services, the question must be asked, could there have been a difficult outcome? By looking at the changes </w:t>
      </w:r>
      <w:r>
        <w:t xml:space="preserve">in legislation, it would be sensible to </w:t>
      </w:r>
      <w:r w:rsidR="00BF3F6E">
        <w:t xml:space="preserve">assume that collaboration between services should no longer be a problem, and with the child’s own input, having their voice heard through their </w:t>
      </w:r>
      <w:r w:rsidR="001D3845">
        <w:t>I</w:t>
      </w:r>
      <w:r w:rsidR="00BF3F6E">
        <w:t xml:space="preserve">ndependent </w:t>
      </w:r>
      <w:r w:rsidR="001D3845">
        <w:t>A</w:t>
      </w:r>
      <w:r w:rsidR="00BF3F6E">
        <w:t xml:space="preserve">dvocate, it can be argued that now it is possible to avoid such cases as those written about in this rationale, but most importantly, children’s rights are now being acknowledged in a respectful and equal way. However, </w:t>
      </w:r>
      <w:r w:rsidR="0064604D">
        <w:t xml:space="preserve">Oliver and Dalrymple (2008) </w:t>
      </w:r>
      <w:r w:rsidR="00BF3F6E">
        <w:t>argue</w:t>
      </w:r>
      <w:r w:rsidR="0064604D">
        <w:t xml:space="preserve"> </w:t>
      </w:r>
      <w:r w:rsidR="00BF3F6E">
        <w:t xml:space="preserve">that even though it has been written into legislation, </w:t>
      </w:r>
      <w:r w:rsidR="00532DD9">
        <w:t>A</w:t>
      </w:r>
      <w:r w:rsidR="00BF3F6E">
        <w:t xml:space="preserve">dvocacy services are provided for commissioning agencies that target </w:t>
      </w:r>
      <w:r w:rsidR="00532DD9">
        <w:t>A</w:t>
      </w:r>
      <w:r w:rsidR="00BF3F6E">
        <w:t xml:space="preserve">dvocacy services for particular children and young people, which means that access to </w:t>
      </w:r>
      <w:r w:rsidR="00532DD9">
        <w:t>A</w:t>
      </w:r>
      <w:r w:rsidR="00BF3F6E">
        <w:t xml:space="preserve">dvocacy can be limited and controlled by the criteria of funders. Commissioners also have the ability to </w:t>
      </w:r>
      <w:r w:rsidR="0064604D">
        <w:t>stop</w:t>
      </w:r>
      <w:r w:rsidR="00BF3F6E">
        <w:t xml:space="preserve"> funding contracts for </w:t>
      </w:r>
      <w:r w:rsidR="00532DD9">
        <w:t>A</w:t>
      </w:r>
      <w:r w:rsidR="00BF3F6E">
        <w:t xml:space="preserve">dvocacy. Since research has shown the relationships between health and social care professionals and </w:t>
      </w:r>
      <w:r w:rsidR="00532DD9">
        <w:t>A</w:t>
      </w:r>
      <w:r w:rsidR="00BF3F6E">
        <w:t>dvocates can sometimes be difficult</w:t>
      </w:r>
      <w:r w:rsidR="0064604D">
        <w:t xml:space="preserve">, there is a possibility that uncertainty about future funding may constrain </w:t>
      </w:r>
      <w:r w:rsidR="00532DD9">
        <w:t>A</w:t>
      </w:r>
      <w:r w:rsidR="0064604D">
        <w:t xml:space="preserve">dvocates’ ability to enable children and young people to gain more control over their own lives. This in turn shows the complexity in which these cases are, and that </w:t>
      </w:r>
      <w:r w:rsidR="00532DD9">
        <w:t>A</w:t>
      </w:r>
      <w:r w:rsidR="0064604D">
        <w:t xml:space="preserve">dvocacy is another service that in this current day is stretched, however, weighing up the benefits of </w:t>
      </w:r>
      <w:r w:rsidR="00532DD9">
        <w:t>A</w:t>
      </w:r>
      <w:r w:rsidR="0064604D">
        <w:t xml:space="preserve">dvocacy, and the impact it can have on children’s and young people’s lives, it can be argued that it is paramount and will become an essential tool in which is used to ensure the voice of the children are heard. </w:t>
      </w:r>
    </w:p>
    <w:p w14:paraId="0C760DAB" w14:textId="27F716DD" w:rsidR="0072594B" w:rsidRDefault="0072594B" w:rsidP="00CA0D42"/>
    <w:sdt>
      <w:sdtPr>
        <w:rPr>
          <w:rFonts w:ascii="Times New Roman" w:eastAsiaTheme="minorHAnsi" w:hAnsi="Times New Roman" w:cs="Times New Roman (Body CS)"/>
          <w:b w:val="0"/>
          <w:bCs w:val="0"/>
          <w:color w:val="auto"/>
          <w:sz w:val="24"/>
          <w:szCs w:val="24"/>
          <w:lang w:val="en-GB" w:bidi="ar-SA"/>
        </w:rPr>
        <w:id w:val="1907110557"/>
        <w:docPartObj>
          <w:docPartGallery w:val="Bibliographies"/>
          <w:docPartUnique/>
        </w:docPartObj>
      </w:sdtPr>
      <w:sdtEndPr/>
      <w:sdtContent>
        <w:p w14:paraId="48138203" w14:textId="7EB6482C" w:rsidR="00CA0D42" w:rsidRPr="00E8425F" w:rsidRDefault="003603B1">
          <w:pPr>
            <w:pStyle w:val="Heading1"/>
            <w:rPr>
              <w:rFonts w:ascii="Times New Roman" w:hAnsi="Times New Roman" w:cs="Times New Roman"/>
              <w:color w:val="000000" w:themeColor="text1"/>
              <w:u w:val="single"/>
            </w:rPr>
          </w:pPr>
          <w:r w:rsidRPr="00E8425F">
            <w:rPr>
              <w:rFonts w:ascii="Times New Roman" w:hAnsi="Times New Roman" w:cs="Times New Roman"/>
              <w:color w:val="000000" w:themeColor="text1"/>
              <w:u w:val="single"/>
            </w:rPr>
            <w:t>References</w:t>
          </w:r>
          <w:bookmarkStart w:id="0" w:name="_GoBack"/>
          <w:bookmarkEnd w:id="0"/>
        </w:p>
        <w:p w14:paraId="2D46F096" w14:textId="77777777" w:rsidR="00CA0D42" w:rsidRPr="00CA0D42" w:rsidRDefault="00CA0D42" w:rsidP="00CA0D42">
          <w:pPr>
            <w:rPr>
              <w:lang w:val="en-US" w:bidi="en-US"/>
            </w:rPr>
          </w:pPr>
        </w:p>
        <w:sdt>
          <w:sdtPr>
            <w:id w:val="111145805"/>
            <w:bibliography/>
          </w:sdtPr>
          <w:sdtEndPr/>
          <w:sdtContent>
            <w:p w14:paraId="4EFB77D7" w14:textId="77777777" w:rsidR="0035284A" w:rsidRDefault="00532DD9" w:rsidP="002A5AB1">
              <w:pPr>
                <w:pStyle w:val="Bibliography"/>
                <w:jc w:val="left"/>
                <w:rPr>
                  <w:noProof/>
                  <w:lang w:val="en-US"/>
                </w:rPr>
              </w:pPr>
              <w:r>
                <w:t>Advocacy QPM</w:t>
              </w:r>
              <w:r w:rsidR="0035284A">
                <w:t xml:space="preserve"> (2014)</w:t>
              </w:r>
              <w:r>
                <w:t xml:space="preserve"> </w:t>
              </w:r>
              <w:r w:rsidR="00CA0D42">
                <w:fldChar w:fldCharType="begin"/>
              </w:r>
              <w:r w:rsidR="00CA0D42">
                <w:instrText xml:space="preserve"> BIBLIOGRAPHY </w:instrText>
              </w:r>
              <w:r w:rsidR="00CA0D42">
                <w:fldChar w:fldCharType="separate"/>
              </w:r>
              <w:r w:rsidR="00CA0D42" w:rsidRPr="00532DD9">
                <w:rPr>
                  <w:i/>
                  <w:noProof/>
                  <w:lang w:val="en-US"/>
                </w:rPr>
                <w:t>A</w:t>
              </w:r>
              <w:r w:rsidR="009A504A" w:rsidRPr="00532DD9">
                <w:rPr>
                  <w:i/>
                  <w:noProof/>
                  <w:lang w:val="en-US"/>
                </w:rPr>
                <w:t>dvocacy code of practice</w:t>
              </w:r>
              <w:r w:rsidR="00CA0D42">
                <w:rPr>
                  <w:noProof/>
                  <w:lang w:val="en-US"/>
                </w:rPr>
                <w:t xml:space="preserve"> </w:t>
              </w:r>
            </w:p>
            <w:p w14:paraId="2A982D04" w14:textId="05DB50EC" w:rsidR="00CA0D42" w:rsidRDefault="00CA0D42" w:rsidP="002A5AB1">
              <w:pPr>
                <w:pStyle w:val="Bibliography"/>
                <w:jc w:val="left"/>
                <w:rPr>
                  <w:noProof/>
                  <w:lang w:val="en-US"/>
                </w:rPr>
              </w:pPr>
              <w:r>
                <w:rPr>
                  <w:noProof/>
                  <w:lang w:val="en-US"/>
                </w:rPr>
                <w:t xml:space="preserve">Available at: </w:t>
              </w:r>
              <w:r>
                <w:rPr>
                  <w:noProof/>
                  <w:u w:val="single"/>
                  <w:lang w:val="en-US"/>
                </w:rPr>
                <w:t>https://qualityadvocacy.org.uk/wp-content/uploads/2018/05/Code-of-Practice-1.pdf</w:t>
              </w:r>
              <w:r>
                <w:rPr>
                  <w:noProof/>
                  <w:lang w:val="en-US"/>
                </w:rPr>
                <w:br/>
                <w:t>Accessed 24</w:t>
              </w:r>
              <w:r w:rsidR="00E8425F">
                <w:rPr>
                  <w:noProof/>
                  <w:lang w:val="en-US"/>
                </w:rPr>
                <w:t>/</w:t>
              </w:r>
              <w:r>
                <w:rPr>
                  <w:noProof/>
                  <w:lang w:val="en-US"/>
                </w:rPr>
                <w:t>2</w:t>
              </w:r>
              <w:r w:rsidR="00E8425F">
                <w:rPr>
                  <w:noProof/>
                  <w:lang w:val="en-US"/>
                </w:rPr>
                <w:t>/</w:t>
              </w:r>
              <w:r>
                <w:rPr>
                  <w:noProof/>
                  <w:lang w:val="en-US"/>
                </w:rPr>
                <w:t>2019</w:t>
              </w:r>
            </w:p>
            <w:p w14:paraId="5A2AB192" w14:textId="77777777" w:rsidR="009A504A" w:rsidRPr="009A504A" w:rsidRDefault="009A504A" w:rsidP="002A5AB1">
              <w:pPr>
                <w:jc w:val="left"/>
                <w:rPr>
                  <w:lang w:val="en-US"/>
                </w:rPr>
              </w:pPr>
            </w:p>
            <w:p w14:paraId="2B03B6A4" w14:textId="30DFB667" w:rsidR="00CA0D42" w:rsidRDefault="00CA0D42" w:rsidP="002A5AB1">
              <w:pPr>
                <w:pStyle w:val="Bibliography"/>
                <w:jc w:val="left"/>
                <w:rPr>
                  <w:noProof/>
                  <w:lang w:val="en-US"/>
                </w:rPr>
              </w:pPr>
              <w:r>
                <w:rPr>
                  <w:noProof/>
                  <w:lang w:val="en-US"/>
                </w:rPr>
                <w:t>Boylan, J. &amp; Dalrymple, J</w:t>
              </w:r>
              <w:r w:rsidR="002A5AB1">
                <w:rPr>
                  <w:noProof/>
                  <w:lang w:val="en-US"/>
                </w:rPr>
                <w:t xml:space="preserve"> </w:t>
              </w:r>
              <w:r>
                <w:rPr>
                  <w:noProof/>
                  <w:lang w:val="en-US"/>
                </w:rPr>
                <w:t xml:space="preserve"> </w:t>
              </w:r>
              <w:r w:rsidR="002A5AB1">
                <w:rPr>
                  <w:noProof/>
                  <w:lang w:val="en-US"/>
                </w:rPr>
                <w:t>(</w:t>
              </w:r>
              <w:r>
                <w:rPr>
                  <w:noProof/>
                  <w:lang w:val="en-US"/>
                </w:rPr>
                <w:t>2009</w:t>
              </w:r>
              <w:r w:rsidR="002A5AB1">
                <w:rPr>
                  <w:noProof/>
                  <w:lang w:val="en-US"/>
                </w:rPr>
                <w:t xml:space="preserve">) </w:t>
              </w:r>
              <w:r>
                <w:rPr>
                  <w:i/>
                  <w:iCs/>
                  <w:noProof/>
                  <w:lang w:val="en-US"/>
                </w:rPr>
                <w:t xml:space="preserve">Understanding Advocacy for children and young people. </w:t>
              </w:r>
              <w:r>
                <w:rPr>
                  <w:noProof/>
                  <w:lang w:val="en-US"/>
                </w:rPr>
                <w:t>Berkshire: Open University Press.</w:t>
              </w:r>
            </w:p>
            <w:p w14:paraId="41109065" w14:textId="77777777" w:rsidR="002A5AB1" w:rsidRPr="002A5AB1" w:rsidRDefault="002A5AB1" w:rsidP="002A5AB1">
              <w:pPr>
                <w:rPr>
                  <w:lang w:val="en-US"/>
                </w:rPr>
              </w:pPr>
            </w:p>
            <w:p w14:paraId="4882704B" w14:textId="209E08F4" w:rsidR="00CA0D42" w:rsidRDefault="00CA0D42" w:rsidP="002A5AB1">
              <w:pPr>
                <w:pStyle w:val="Bibliography"/>
                <w:jc w:val="left"/>
                <w:rPr>
                  <w:noProof/>
                  <w:lang w:val="en-US"/>
                </w:rPr>
              </w:pPr>
              <w:r>
                <w:rPr>
                  <w:noProof/>
                  <w:lang w:val="en-US"/>
                </w:rPr>
                <w:t>Brandon, D</w:t>
              </w:r>
              <w:r w:rsidR="002A5AB1">
                <w:rPr>
                  <w:noProof/>
                  <w:lang w:val="en-US"/>
                </w:rPr>
                <w:t xml:space="preserve"> (</w:t>
              </w:r>
              <w:r>
                <w:rPr>
                  <w:noProof/>
                  <w:lang w:val="en-US"/>
                </w:rPr>
                <w:t>1995</w:t>
              </w:r>
              <w:r w:rsidR="002A5AB1">
                <w:rPr>
                  <w:noProof/>
                  <w:lang w:val="en-US"/>
                </w:rPr>
                <w:t>)</w:t>
              </w:r>
              <w:r>
                <w:rPr>
                  <w:noProof/>
                  <w:lang w:val="en-US"/>
                </w:rPr>
                <w:t xml:space="preserve"> </w:t>
              </w:r>
              <w:r>
                <w:rPr>
                  <w:i/>
                  <w:iCs/>
                  <w:noProof/>
                  <w:lang w:val="en-US"/>
                </w:rPr>
                <w:t xml:space="preserve">Advocacy Power To People With Disabilities. </w:t>
              </w:r>
              <w:r>
                <w:rPr>
                  <w:noProof/>
                  <w:lang w:val="en-US"/>
                </w:rPr>
                <w:t>Birmingham: Venture Press.</w:t>
              </w:r>
            </w:p>
            <w:p w14:paraId="4F1AC85C" w14:textId="7B9D471A" w:rsidR="00CA0D42" w:rsidRDefault="00CA0D42" w:rsidP="002A5AB1">
              <w:pPr>
                <w:pStyle w:val="Bibliography"/>
                <w:jc w:val="left"/>
                <w:rPr>
                  <w:noProof/>
                  <w:lang w:val="en-US"/>
                </w:rPr>
              </w:pPr>
              <w:r w:rsidRPr="00E8425F">
                <w:rPr>
                  <w:noProof/>
                  <w:lang w:val="en-US"/>
                </w:rPr>
                <w:lastRenderedPageBreak/>
                <w:t>C</w:t>
              </w:r>
              <w:r w:rsidR="009A504A" w:rsidRPr="00E8425F">
                <w:rPr>
                  <w:noProof/>
                  <w:lang w:val="en-US"/>
                </w:rPr>
                <w:t>hildren Act</w:t>
              </w:r>
              <w:r w:rsidRPr="00E8425F">
                <w:rPr>
                  <w:noProof/>
                  <w:lang w:val="en-US"/>
                </w:rPr>
                <w:t xml:space="preserve"> </w:t>
              </w:r>
              <w:r w:rsidR="00E8425F">
                <w:rPr>
                  <w:noProof/>
                  <w:lang w:val="en-US"/>
                </w:rPr>
                <w:t>(</w:t>
              </w:r>
              <w:r w:rsidRPr="00E8425F">
                <w:rPr>
                  <w:noProof/>
                  <w:lang w:val="en-US"/>
                </w:rPr>
                <w:t>1989</w:t>
              </w:r>
              <w:r w:rsidR="00E8425F">
                <w:rPr>
                  <w:noProof/>
                  <w:lang w:val="en-US"/>
                </w:rPr>
                <w:t>)</w:t>
              </w:r>
              <w:r>
                <w:rPr>
                  <w:noProof/>
                  <w:lang w:val="en-US"/>
                </w:rPr>
                <w:br/>
                <w:t xml:space="preserve">Available at: </w:t>
              </w:r>
              <w:r>
                <w:rPr>
                  <w:noProof/>
                  <w:u w:val="single"/>
                  <w:lang w:val="en-US"/>
                </w:rPr>
                <w:t>https://www.legislation.gov.uk/ukpga/1989/41/contents/data.pdf</w:t>
              </w:r>
              <w:r>
                <w:rPr>
                  <w:noProof/>
                  <w:lang w:val="en-US"/>
                </w:rPr>
                <w:br/>
                <w:t>Accessed 24</w:t>
              </w:r>
              <w:r w:rsidR="00E8425F">
                <w:rPr>
                  <w:noProof/>
                  <w:lang w:val="en-US"/>
                </w:rPr>
                <w:t>/</w:t>
              </w:r>
              <w:r>
                <w:rPr>
                  <w:noProof/>
                  <w:lang w:val="en-US"/>
                </w:rPr>
                <w:t>2</w:t>
              </w:r>
              <w:r w:rsidR="00E8425F">
                <w:rPr>
                  <w:noProof/>
                  <w:lang w:val="en-US"/>
                </w:rPr>
                <w:t>/</w:t>
              </w:r>
              <w:r>
                <w:rPr>
                  <w:noProof/>
                  <w:lang w:val="en-US"/>
                </w:rPr>
                <w:t>2019</w:t>
              </w:r>
            </w:p>
            <w:p w14:paraId="74E220D7" w14:textId="77777777" w:rsidR="002A5AB1" w:rsidRPr="00E8425F" w:rsidRDefault="002A5AB1" w:rsidP="002A5AB1">
              <w:pPr>
                <w:rPr>
                  <w:lang w:val="en-US"/>
                </w:rPr>
              </w:pPr>
            </w:p>
            <w:p w14:paraId="51854677" w14:textId="15B33320" w:rsidR="00CA0D42" w:rsidRDefault="002A5AB1" w:rsidP="002A5AB1">
              <w:pPr>
                <w:pStyle w:val="Bibliography"/>
                <w:jc w:val="left"/>
                <w:rPr>
                  <w:noProof/>
                  <w:lang w:val="en-US"/>
                </w:rPr>
              </w:pPr>
              <w:r w:rsidRPr="00E8425F">
                <w:rPr>
                  <w:noProof/>
                  <w:lang w:val="en-US"/>
                </w:rPr>
                <w:t>C</w:t>
              </w:r>
              <w:r w:rsidR="00CA0D42" w:rsidRPr="00E8425F">
                <w:rPr>
                  <w:noProof/>
                  <w:lang w:val="en-US"/>
                </w:rPr>
                <w:t>hildren</w:t>
              </w:r>
              <w:r w:rsidRPr="00E8425F">
                <w:rPr>
                  <w:noProof/>
                  <w:lang w:val="en-US"/>
                </w:rPr>
                <w:t xml:space="preserve"> A</w:t>
              </w:r>
              <w:r w:rsidR="00CA0D42" w:rsidRPr="00E8425F">
                <w:rPr>
                  <w:noProof/>
                  <w:lang w:val="en-US"/>
                </w:rPr>
                <w:t xml:space="preserve">ct </w:t>
              </w:r>
              <w:r w:rsidR="00E8425F">
                <w:rPr>
                  <w:noProof/>
                  <w:lang w:val="en-US"/>
                </w:rPr>
                <w:t>(</w:t>
              </w:r>
              <w:r w:rsidR="00CA0D42" w:rsidRPr="00E8425F">
                <w:rPr>
                  <w:noProof/>
                  <w:lang w:val="en-US"/>
                </w:rPr>
                <w:t>2004</w:t>
              </w:r>
              <w:r w:rsidR="00E8425F">
                <w:rPr>
                  <w:noProof/>
                  <w:lang w:val="en-US"/>
                </w:rPr>
                <w:t>)</w:t>
              </w:r>
              <w:r w:rsidR="00CA0D42">
                <w:rPr>
                  <w:noProof/>
                  <w:lang w:val="en-US"/>
                </w:rPr>
                <w:br/>
                <w:t xml:space="preserve">Available at: </w:t>
              </w:r>
              <w:r w:rsidR="00CA0D42">
                <w:rPr>
                  <w:noProof/>
                  <w:u w:val="single"/>
                  <w:lang w:val="en-US"/>
                </w:rPr>
                <w:t>http://www.legislation.gov.uk/ukpga/2004/31/notes/data.pdf</w:t>
              </w:r>
              <w:r w:rsidR="00CA0D42">
                <w:rPr>
                  <w:noProof/>
                  <w:lang w:val="en-US"/>
                </w:rPr>
                <w:br/>
                <w:t>Accessed 24</w:t>
              </w:r>
              <w:r w:rsidR="00E8425F">
                <w:rPr>
                  <w:noProof/>
                  <w:lang w:val="en-US"/>
                </w:rPr>
                <w:t>/</w:t>
              </w:r>
              <w:r w:rsidR="00CA0D42">
                <w:rPr>
                  <w:noProof/>
                  <w:lang w:val="en-US"/>
                </w:rPr>
                <w:t>2</w:t>
              </w:r>
              <w:r w:rsidR="00E8425F">
                <w:rPr>
                  <w:noProof/>
                  <w:lang w:val="en-US"/>
                </w:rPr>
                <w:t>/</w:t>
              </w:r>
              <w:r w:rsidR="00CA0D42">
                <w:rPr>
                  <w:noProof/>
                  <w:lang w:val="en-US"/>
                </w:rPr>
                <w:t>2019</w:t>
              </w:r>
            </w:p>
            <w:p w14:paraId="0AE2E6F1" w14:textId="77777777" w:rsidR="002A5AB1" w:rsidRPr="002A5AB1" w:rsidRDefault="002A5AB1" w:rsidP="002A5AB1">
              <w:pPr>
                <w:rPr>
                  <w:lang w:val="en-US"/>
                </w:rPr>
              </w:pPr>
            </w:p>
            <w:p w14:paraId="246FA27B" w14:textId="026CBE68" w:rsidR="00CA0D42" w:rsidRDefault="00CA0D42" w:rsidP="002A5AB1">
              <w:pPr>
                <w:pStyle w:val="Bibliography"/>
                <w:jc w:val="left"/>
                <w:rPr>
                  <w:noProof/>
                  <w:lang w:val="en-US"/>
                </w:rPr>
              </w:pPr>
              <w:r w:rsidRPr="00E8425F">
                <w:rPr>
                  <w:noProof/>
                  <w:lang w:val="en-US"/>
                </w:rPr>
                <w:t>D</w:t>
              </w:r>
              <w:r w:rsidR="002A5AB1" w:rsidRPr="00E8425F">
                <w:rPr>
                  <w:noProof/>
                  <w:lang w:val="en-US"/>
                </w:rPr>
                <w:t xml:space="preserve">ata </w:t>
              </w:r>
              <w:r w:rsidRPr="00E8425F">
                <w:rPr>
                  <w:noProof/>
                  <w:lang w:val="en-US"/>
                </w:rPr>
                <w:t>P</w:t>
              </w:r>
              <w:r w:rsidR="002A5AB1" w:rsidRPr="00E8425F">
                <w:rPr>
                  <w:noProof/>
                  <w:lang w:val="en-US"/>
                </w:rPr>
                <w:t xml:space="preserve">rotection </w:t>
              </w:r>
              <w:r w:rsidRPr="00E8425F">
                <w:rPr>
                  <w:noProof/>
                  <w:lang w:val="en-US"/>
                </w:rPr>
                <w:t>A</w:t>
              </w:r>
              <w:r w:rsidR="002A5AB1" w:rsidRPr="00E8425F">
                <w:rPr>
                  <w:noProof/>
                  <w:lang w:val="en-US"/>
                </w:rPr>
                <w:t>ct</w:t>
              </w:r>
              <w:r w:rsidRPr="00E8425F">
                <w:rPr>
                  <w:noProof/>
                  <w:lang w:val="en-US"/>
                </w:rPr>
                <w:t xml:space="preserve"> </w:t>
              </w:r>
              <w:r w:rsidR="00E8425F">
                <w:rPr>
                  <w:noProof/>
                  <w:lang w:val="en-US"/>
                </w:rPr>
                <w:t>(</w:t>
              </w:r>
              <w:r w:rsidRPr="00E8425F">
                <w:rPr>
                  <w:noProof/>
                  <w:lang w:val="en-US"/>
                </w:rPr>
                <w:t>1998</w:t>
              </w:r>
              <w:r w:rsidR="00E8425F">
                <w:rPr>
                  <w:noProof/>
                  <w:lang w:val="en-US"/>
                </w:rPr>
                <w:t>)</w:t>
              </w:r>
              <w:r>
                <w:rPr>
                  <w:noProof/>
                  <w:lang w:val="en-US"/>
                </w:rPr>
                <w:br/>
                <w:t xml:space="preserve">Available at: </w:t>
              </w:r>
              <w:r>
                <w:rPr>
                  <w:noProof/>
                  <w:u w:val="single"/>
                  <w:lang w:val="en-US"/>
                </w:rPr>
                <w:t>https://www.legislation.gov.uk/ukpga/1998/29/pdfs/ukpga_19980029_en.pdf</w:t>
              </w:r>
              <w:r>
                <w:rPr>
                  <w:noProof/>
                  <w:lang w:val="en-US"/>
                </w:rPr>
                <w:br/>
                <w:t>Accessed 24</w:t>
              </w:r>
              <w:r w:rsidR="00E8425F">
                <w:rPr>
                  <w:noProof/>
                  <w:lang w:val="en-US"/>
                </w:rPr>
                <w:t>/</w:t>
              </w:r>
              <w:r>
                <w:rPr>
                  <w:noProof/>
                  <w:lang w:val="en-US"/>
                </w:rPr>
                <w:t>2</w:t>
              </w:r>
              <w:r w:rsidR="00E8425F">
                <w:rPr>
                  <w:noProof/>
                  <w:lang w:val="en-US"/>
                </w:rPr>
                <w:t>/</w:t>
              </w:r>
              <w:r>
                <w:rPr>
                  <w:noProof/>
                  <w:lang w:val="en-US"/>
                </w:rPr>
                <w:t>2019</w:t>
              </w:r>
            </w:p>
            <w:p w14:paraId="37759DC1" w14:textId="77777777" w:rsidR="002A5AB1" w:rsidRPr="002A5AB1" w:rsidRDefault="002A5AB1" w:rsidP="002A5AB1">
              <w:pPr>
                <w:rPr>
                  <w:lang w:val="en-US"/>
                </w:rPr>
              </w:pPr>
            </w:p>
            <w:p w14:paraId="69B8FEEE" w14:textId="0430576F" w:rsidR="00CA0D42" w:rsidRDefault="00CA0D42" w:rsidP="002A5AB1">
              <w:pPr>
                <w:pStyle w:val="Bibliography"/>
                <w:jc w:val="left"/>
                <w:rPr>
                  <w:noProof/>
                  <w:lang w:val="en-US"/>
                </w:rPr>
              </w:pPr>
              <w:r w:rsidRPr="00E8425F">
                <w:rPr>
                  <w:noProof/>
                  <w:lang w:val="en-US"/>
                </w:rPr>
                <w:t>E</w:t>
              </w:r>
              <w:r w:rsidR="002A5AB1" w:rsidRPr="00E8425F">
                <w:rPr>
                  <w:noProof/>
                  <w:lang w:val="en-US"/>
                </w:rPr>
                <w:t xml:space="preserve">very </w:t>
              </w:r>
              <w:r w:rsidRPr="00E8425F">
                <w:rPr>
                  <w:noProof/>
                  <w:lang w:val="en-US"/>
                </w:rPr>
                <w:t>C</w:t>
              </w:r>
              <w:r w:rsidR="002A5AB1" w:rsidRPr="00E8425F">
                <w:rPr>
                  <w:noProof/>
                  <w:lang w:val="en-US"/>
                </w:rPr>
                <w:t xml:space="preserve">hild </w:t>
              </w:r>
              <w:r w:rsidRPr="00E8425F">
                <w:rPr>
                  <w:noProof/>
                  <w:lang w:val="en-US"/>
                </w:rPr>
                <w:t>M</w:t>
              </w:r>
              <w:r w:rsidR="002A5AB1" w:rsidRPr="00E8425F">
                <w:rPr>
                  <w:noProof/>
                  <w:lang w:val="en-US"/>
                </w:rPr>
                <w:t>atters</w:t>
              </w:r>
              <w:r w:rsidRPr="00E8425F">
                <w:rPr>
                  <w:noProof/>
                  <w:lang w:val="en-US"/>
                </w:rPr>
                <w:t xml:space="preserve"> </w:t>
              </w:r>
              <w:r w:rsidR="002A5AB1" w:rsidRPr="00E8425F">
                <w:rPr>
                  <w:noProof/>
                  <w:lang w:val="en-US"/>
                </w:rPr>
                <w:t>(</w:t>
              </w:r>
              <w:r w:rsidRPr="00E8425F">
                <w:rPr>
                  <w:noProof/>
                  <w:lang w:val="en-US"/>
                </w:rPr>
                <w:t>2003</w:t>
              </w:r>
              <w:r w:rsidR="002A5AB1" w:rsidRPr="00E8425F">
                <w:rPr>
                  <w:noProof/>
                  <w:lang w:val="en-US"/>
                </w:rPr>
                <w:t>)</w:t>
              </w:r>
              <w:r w:rsidRPr="00E8425F">
                <w:rPr>
                  <w:noProof/>
                  <w:lang w:val="en-US"/>
                </w:rPr>
                <w:t xml:space="preserve"> </w:t>
              </w:r>
              <w:r>
                <w:rPr>
                  <w:noProof/>
                  <w:lang w:val="en-US"/>
                </w:rPr>
                <w:br/>
                <w:t xml:space="preserve">Available at: </w:t>
              </w:r>
              <w:r>
                <w:rPr>
                  <w:noProof/>
                  <w:u w:val="single"/>
                  <w:lang w:val="en-US"/>
                </w:rPr>
                <w:t>https://assets.publishing.service.gov.uk/government/uploads/system/uploads/attachment_data/file/272064/5860.pdf</w:t>
              </w:r>
              <w:r>
                <w:rPr>
                  <w:noProof/>
                  <w:lang w:val="en-US"/>
                </w:rPr>
                <w:br/>
                <w:t>[Accessed 24 2 2019].</w:t>
              </w:r>
            </w:p>
            <w:p w14:paraId="31661E79" w14:textId="5C539E83" w:rsidR="002A5AB1" w:rsidRPr="002A5AB1" w:rsidRDefault="002A5AB1" w:rsidP="002A5AB1">
              <w:pPr>
                <w:rPr>
                  <w:lang w:val="en-US"/>
                </w:rPr>
              </w:pPr>
            </w:p>
            <w:p w14:paraId="7918E948" w14:textId="18E85DEE" w:rsidR="00CA0D42" w:rsidRDefault="00CA0D42" w:rsidP="002A5AB1">
              <w:pPr>
                <w:pStyle w:val="Bibliography"/>
                <w:jc w:val="left"/>
                <w:rPr>
                  <w:noProof/>
                  <w:lang w:val="en-US"/>
                </w:rPr>
              </w:pPr>
              <w:r>
                <w:rPr>
                  <w:noProof/>
                  <w:lang w:val="en-US"/>
                </w:rPr>
                <w:t>Henderson, R. &amp; Pochin, M</w:t>
              </w:r>
              <w:r w:rsidR="002A5AB1">
                <w:rPr>
                  <w:noProof/>
                  <w:lang w:val="en-US"/>
                </w:rPr>
                <w:t xml:space="preserve"> (</w:t>
              </w:r>
              <w:r>
                <w:rPr>
                  <w:noProof/>
                  <w:lang w:val="en-US"/>
                </w:rPr>
                <w:t>2001</w:t>
              </w:r>
              <w:r w:rsidR="002A5AB1">
                <w:rPr>
                  <w:noProof/>
                  <w:lang w:val="en-US"/>
                </w:rPr>
                <w:t>)</w:t>
              </w:r>
              <w:r>
                <w:rPr>
                  <w:noProof/>
                  <w:lang w:val="en-US"/>
                </w:rPr>
                <w:t xml:space="preserve"> </w:t>
              </w:r>
              <w:r>
                <w:rPr>
                  <w:i/>
                  <w:iCs/>
                  <w:noProof/>
                  <w:lang w:val="en-US"/>
                </w:rPr>
                <w:t xml:space="preserve">A right result? Advocacy, Justice and Empowerment. </w:t>
              </w:r>
              <w:r>
                <w:rPr>
                  <w:noProof/>
                  <w:lang w:val="en-US"/>
                </w:rPr>
                <w:t>Bristol: Policy Press.</w:t>
              </w:r>
            </w:p>
            <w:p w14:paraId="2568352D" w14:textId="29CCBE4A" w:rsidR="0035284A" w:rsidRDefault="0035284A" w:rsidP="0035284A">
              <w:pPr>
                <w:rPr>
                  <w:lang w:val="en-US"/>
                </w:rPr>
              </w:pPr>
            </w:p>
            <w:p w14:paraId="3A1504D0" w14:textId="0ABBCFAB" w:rsidR="0035284A" w:rsidRDefault="0035284A" w:rsidP="0035284A">
              <w:pPr>
                <w:pStyle w:val="Bibliography"/>
                <w:jc w:val="left"/>
                <w:rPr>
                  <w:noProof/>
                  <w:lang w:val="en-US"/>
                </w:rPr>
              </w:pPr>
              <w:r>
                <w:rPr>
                  <w:noProof/>
                  <w:lang w:val="en-US"/>
                </w:rPr>
                <w:t xml:space="preserve">Independent Advocacy: Impact and Outcomes for Children and young People (2016) </w:t>
              </w:r>
              <w:r>
                <w:rPr>
                  <w:noProof/>
                  <w:lang w:val="en-US"/>
                </w:rPr>
                <w:br/>
                <w:t xml:space="preserve">Available at: </w:t>
              </w:r>
              <w:r>
                <w:rPr>
                  <w:noProof/>
                  <w:u w:val="single"/>
                  <w:lang w:val="en-US"/>
                </w:rPr>
                <w:t>https://www.childrenscommissioner.gov.uk/wp-content/uploads/2017/06/Independent-Advocacy-Impact-and-outcomes-for-children-and-young-people-UCLAN-and-NCB_0.pdf</w:t>
              </w:r>
              <w:r>
                <w:rPr>
                  <w:noProof/>
                  <w:lang w:val="en-US"/>
                </w:rPr>
                <w:br/>
                <w:t>Accessed 24</w:t>
              </w:r>
              <w:r w:rsidR="00E8425F">
                <w:rPr>
                  <w:noProof/>
                  <w:lang w:val="en-US"/>
                </w:rPr>
                <w:t>/</w:t>
              </w:r>
              <w:r>
                <w:rPr>
                  <w:noProof/>
                  <w:lang w:val="en-US"/>
                </w:rPr>
                <w:t>2</w:t>
              </w:r>
              <w:r w:rsidR="00E8425F">
                <w:rPr>
                  <w:noProof/>
                  <w:lang w:val="en-US"/>
                </w:rPr>
                <w:t>/</w:t>
              </w:r>
              <w:r>
                <w:rPr>
                  <w:noProof/>
                  <w:lang w:val="en-US"/>
                </w:rPr>
                <w:t>2019</w:t>
              </w:r>
            </w:p>
            <w:p w14:paraId="6DF8BB29" w14:textId="77777777" w:rsidR="002A5AB1" w:rsidRPr="002A5AB1" w:rsidRDefault="002A5AB1" w:rsidP="002A5AB1">
              <w:pPr>
                <w:rPr>
                  <w:lang w:val="en-US"/>
                </w:rPr>
              </w:pPr>
            </w:p>
            <w:p w14:paraId="4BBA5835" w14:textId="350705E4" w:rsidR="00CA0D42" w:rsidRDefault="00CA0D42" w:rsidP="002A5AB1">
              <w:pPr>
                <w:pStyle w:val="Bibliography"/>
                <w:jc w:val="left"/>
                <w:rPr>
                  <w:noProof/>
                  <w:lang w:val="en-US"/>
                </w:rPr>
              </w:pPr>
              <w:r>
                <w:rPr>
                  <w:noProof/>
                  <w:lang w:val="en-US"/>
                </w:rPr>
                <w:t xml:space="preserve">Jenkins, P </w:t>
              </w:r>
              <w:r w:rsidR="002A5AB1">
                <w:rPr>
                  <w:noProof/>
                  <w:lang w:val="en-US"/>
                </w:rPr>
                <w:t>(</w:t>
              </w:r>
              <w:r>
                <w:rPr>
                  <w:noProof/>
                  <w:lang w:val="en-US"/>
                </w:rPr>
                <w:t>2013</w:t>
              </w:r>
              <w:r w:rsidR="002A5AB1">
                <w:rPr>
                  <w:noProof/>
                  <w:lang w:val="en-US"/>
                </w:rPr>
                <w:t>)</w:t>
              </w:r>
              <w:r>
                <w:rPr>
                  <w:noProof/>
                  <w:lang w:val="en-US"/>
                </w:rPr>
                <w:t xml:space="preserve"> </w:t>
              </w:r>
              <w:r>
                <w:rPr>
                  <w:i/>
                  <w:iCs/>
                  <w:noProof/>
                  <w:lang w:val="en-US"/>
                </w:rPr>
                <w:t xml:space="preserve">Exploring Childrens Rights. </w:t>
              </w:r>
              <w:r>
                <w:rPr>
                  <w:noProof/>
                  <w:lang w:val="en-US"/>
                </w:rPr>
                <w:t>2nd ed. Hove: Pavilion.</w:t>
              </w:r>
            </w:p>
            <w:p w14:paraId="6979C7E1" w14:textId="77777777" w:rsidR="002A5AB1" w:rsidRPr="002A5AB1" w:rsidRDefault="002A5AB1" w:rsidP="002A5AB1">
              <w:pPr>
                <w:rPr>
                  <w:lang w:val="en-US"/>
                </w:rPr>
              </w:pPr>
            </w:p>
            <w:p w14:paraId="46D6B635" w14:textId="379A297D" w:rsidR="00CA0D42" w:rsidRDefault="00CA0D42" w:rsidP="002A5AB1">
              <w:pPr>
                <w:pStyle w:val="Bibliography"/>
                <w:jc w:val="left"/>
                <w:rPr>
                  <w:noProof/>
                  <w:lang w:val="en-US"/>
                </w:rPr>
              </w:pPr>
              <w:r>
                <w:rPr>
                  <w:noProof/>
                  <w:lang w:val="en-US"/>
                </w:rPr>
                <w:t>Lindon, J</w:t>
              </w:r>
              <w:r w:rsidR="002A5AB1">
                <w:rPr>
                  <w:noProof/>
                  <w:lang w:val="en-US"/>
                </w:rPr>
                <w:t xml:space="preserve"> (</w:t>
              </w:r>
              <w:r>
                <w:rPr>
                  <w:noProof/>
                  <w:lang w:val="en-US"/>
                </w:rPr>
                <w:t>2012</w:t>
              </w:r>
              <w:r w:rsidR="002A5AB1">
                <w:rPr>
                  <w:noProof/>
                  <w:lang w:val="en-US"/>
                </w:rPr>
                <w:t>)</w:t>
              </w:r>
              <w:r>
                <w:rPr>
                  <w:noProof/>
                  <w:lang w:val="en-US"/>
                </w:rPr>
                <w:t xml:space="preserve"> </w:t>
              </w:r>
              <w:r>
                <w:rPr>
                  <w:i/>
                  <w:iCs/>
                  <w:noProof/>
                  <w:lang w:val="en-US"/>
                </w:rPr>
                <w:t xml:space="preserve">Safeguarding and Child Protection. </w:t>
              </w:r>
              <w:r>
                <w:rPr>
                  <w:noProof/>
                  <w:lang w:val="en-US"/>
                </w:rPr>
                <w:t>4th ed. London: Hodder Education.</w:t>
              </w:r>
            </w:p>
            <w:p w14:paraId="3036639F" w14:textId="77777777" w:rsidR="002A5AB1" w:rsidRPr="002A5AB1" w:rsidRDefault="002A5AB1" w:rsidP="002A5AB1">
              <w:pPr>
                <w:rPr>
                  <w:lang w:val="en-US"/>
                </w:rPr>
              </w:pPr>
            </w:p>
            <w:p w14:paraId="3618D7A3" w14:textId="7A59267B" w:rsidR="00CA0D42" w:rsidRDefault="00CA0D42" w:rsidP="002A5AB1">
              <w:pPr>
                <w:pStyle w:val="Bibliography"/>
                <w:jc w:val="left"/>
                <w:rPr>
                  <w:noProof/>
                  <w:lang w:val="en-US"/>
                </w:rPr>
              </w:pPr>
              <w:r>
                <w:rPr>
                  <w:noProof/>
                  <w:lang w:val="en-US"/>
                </w:rPr>
                <w:t xml:space="preserve">NSPCC, </w:t>
              </w:r>
              <w:r w:rsidR="002A5AB1">
                <w:rPr>
                  <w:noProof/>
                  <w:lang w:val="en-US"/>
                </w:rPr>
                <w:t>(</w:t>
              </w:r>
              <w:r>
                <w:rPr>
                  <w:noProof/>
                  <w:lang w:val="en-US"/>
                </w:rPr>
                <w:t>2018</w:t>
              </w:r>
              <w:r w:rsidR="002A5AB1">
                <w:rPr>
                  <w:noProof/>
                  <w:lang w:val="en-US"/>
                </w:rPr>
                <w:t>)</w:t>
              </w:r>
              <w:r>
                <w:rPr>
                  <w:noProof/>
                  <w:lang w:val="en-US"/>
                </w:rPr>
                <w:t xml:space="preserve"> </w:t>
              </w:r>
              <w:r>
                <w:rPr>
                  <w:i/>
                  <w:iCs/>
                  <w:noProof/>
                  <w:lang w:val="en-US"/>
                </w:rPr>
                <w:t xml:space="preserve">Child Protection System in Wales. </w:t>
              </w:r>
              <w:r>
                <w:rPr>
                  <w:noProof/>
                  <w:lang w:val="en-US"/>
                </w:rPr>
                <w:br/>
                <w:t xml:space="preserve">Available at: </w:t>
              </w:r>
              <w:r>
                <w:rPr>
                  <w:noProof/>
                  <w:u w:val="single"/>
                  <w:lang w:val="en-US"/>
                </w:rPr>
                <w:t>https://learning.nspcc.org.uk/child-protection-system/wales/?_ga=2.80852626.449154587.1551179512-1444266141.1549459871</w:t>
              </w:r>
              <w:r>
                <w:rPr>
                  <w:noProof/>
                  <w:lang w:val="en-US"/>
                </w:rPr>
                <w:br/>
                <w:t>Accessed 26</w:t>
              </w:r>
              <w:r w:rsidR="00E8425F">
                <w:rPr>
                  <w:noProof/>
                  <w:lang w:val="en-US"/>
                </w:rPr>
                <w:t>/</w:t>
              </w:r>
              <w:r>
                <w:rPr>
                  <w:noProof/>
                  <w:lang w:val="en-US"/>
                </w:rPr>
                <w:t>2</w:t>
              </w:r>
              <w:r w:rsidR="00E8425F">
                <w:rPr>
                  <w:noProof/>
                  <w:lang w:val="en-US"/>
                </w:rPr>
                <w:t>/</w:t>
              </w:r>
              <w:r>
                <w:rPr>
                  <w:noProof/>
                  <w:lang w:val="en-US"/>
                </w:rPr>
                <w:t>2019</w:t>
              </w:r>
            </w:p>
            <w:p w14:paraId="706F3482" w14:textId="77777777" w:rsidR="002A5AB1" w:rsidRPr="002A5AB1" w:rsidRDefault="002A5AB1" w:rsidP="002A5AB1">
              <w:pPr>
                <w:rPr>
                  <w:lang w:val="en-US"/>
                </w:rPr>
              </w:pPr>
            </w:p>
            <w:p w14:paraId="72154D85" w14:textId="700FC2D0" w:rsidR="00CA0D42" w:rsidRDefault="00CA0D42" w:rsidP="002A5AB1">
              <w:pPr>
                <w:pStyle w:val="Bibliography"/>
                <w:jc w:val="left"/>
                <w:rPr>
                  <w:noProof/>
                  <w:lang w:val="en-US"/>
                </w:rPr>
              </w:pPr>
              <w:r>
                <w:rPr>
                  <w:noProof/>
                  <w:lang w:val="en-US"/>
                </w:rPr>
                <w:t>Oliver, C. &amp; Dalrymple, J</w:t>
              </w:r>
              <w:r w:rsidR="002A5AB1">
                <w:rPr>
                  <w:noProof/>
                  <w:lang w:val="en-US"/>
                </w:rPr>
                <w:t xml:space="preserve"> (</w:t>
              </w:r>
              <w:r>
                <w:rPr>
                  <w:noProof/>
                  <w:lang w:val="en-US"/>
                </w:rPr>
                <w:t>2008</w:t>
              </w:r>
              <w:r w:rsidR="002A5AB1">
                <w:rPr>
                  <w:noProof/>
                  <w:lang w:val="en-US"/>
                </w:rPr>
                <w:t xml:space="preserve">) </w:t>
              </w:r>
              <w:r>
                <w:rPr>
                  <w:noProof/>
                  <w:lang w:val="en-US"/>
                </w:rPr>
                <w:t xml:space="preserve"> </w:t>
              </w:r>
              <w:r>
                <w:rPr>
                  <w:i/>
                  <w:iCs/>
                  <w:noProof/>
                  <w:lang w:val="en-US"/>
                </w:rPr>
                <w:t xml:space="preserve">Developing Advocacy for Children and Young People: Developing issues in Researchm Policy and Practice. </w:t>
              </w:r>
              <w:r>
                <w:rPr>
                  <w:noProof/>
                  <w:lang w:val="en-US"/>
                </w:rPr>
                <w:t>London: Jessica Kingsley.</w:t>
              </w:r>
            </w:p>
            <w:p w14:paraId="27B18759" w14:textId="77777777" w:rsidR="002A5AB1" w:rsidRPr="002A5AB1" w:rsidRDefault="002A5AB1" w:rsidP="002A5AB1">
              <w:pPr>
                <w:rPr>
                  <w:lang w:val="en-US"/>
                </w:rPr>
              </w:pPr>
            </w:p>
            <w:p w14:paraId="364BE832" w14:textId="23E5A3BB" w:rsidR="00CA0D42" w:rsidRDefault="00CA0D42" w:rsidP="002A5AB1">
              <w:pPr>
                <w:pStyle w:val="Bibliography"/>
                <w:jc w:val="left"/>
                <w:rPr>
                  <w:noProof/>
                  <w:lang w:val="en-US"/>
                </w:rPr>
              </w:pPr>
              <w:r>
                <w:rPr>
                  <w:noProof/>
                  <w:lang w:val="en-US"/>
                </w:rPr>
                <w:t>Prior, V. &amp; Glaser, D.</w:t>
              </w:r>
              <w:r w:rsidR="002A5AB1">
                <w:rPr>
                  <w:noProof/>
                  <w:lang w:val="en-US"/>
                </w:rPr>
                <w:t xml:space="preserve"> (</w:t>
              </w:r>
              <w:r>
                <w:rPr>
                  <w:noProof/>
                  <w:lang w:val="en-US"/>
                </w:rPr>
                <w:t>2006</w:t>
              </w:r>
              <w:r w:rsidR="002A5AB1">
                <w:rPr>
                  <w:noProof/>
                  <w:lang w:val="en-US"/>
                </w:rPr>
                <w:t>)</w:t>
              </w:r>
              <w:r>
                <w:rPr>
                  <w:noProof/>
                  <w:lang w:val="en-US"/>
                </w:rPr>
                <w:t xml:space="preserve"> </w:t>
              </w:r>
              <w:r>
                <w:rPr>
                  <w:i/>
                  <w:iCs/>
                  <w:noProof/>
                  <w:lang w:val="en-US"/>
                </w:rPr>
                <w:t xml:space="preserve">Understanding Attachment and Attatchment Disorders. </w:t>
              </w:r>
              <w:r>
                <w:rPr>
                  <w:noProof/>
                  <w:lang w:val="en-US"/>
                </w:rPr>
                <w:t>London: Jessica Kingsley Publishers.</w:t>
              </w:r>
            </w:p>
            <w:p w14:paraId="3BC70996" w14:textId="77777777" w:rsidR="002A5AB1" w:rsidRPr="002A5AB1" w:rsidRDefault="002A5AB1" w:rsidP="002A5AB1">
              <w:pPr>
                <w:rPr>
                  <w:lang w:val="en-US"/>
                </w:rPr>
              </w:pPr>
            </w:p>
            <w:p w14:paraId="191789D4" w14:textId="288F5355" w:rsidR="00CA0D42" w:rsidRPr="0035284A" w:rsidRDefault="002A5AB1" w:rsidP="002A5AB1">
              <w:pPr>
                <w:pStyle w:val="Bibliography"/>
                <w:jc w:val="left"/>
                <w:rPr>
                  <w:i/>
                  <w:noProof/>
                  <w:lang w:val="en-US"/>
                </w:rPr>
              </w:pPr>
              <w:r w:rsidRPr="00E8425F">
                <w:rPr>
                  <w:noProof/>
                  <w:lang w:val="en-US"/>
                </w:rPr>
                <w:t>Social Services and Wellbeing (Wales) Act</w:t>
              </w:r>
              <w:r w:rsidR="00CA0D42" w:rsidRPr="00E8425F">
                <w:rPr>
                  <w:noProof/>
                  <w:lang w:val="en-US"/>
                </w:rPr>
                <w:t xml:space="preserve"> </w:t>
              </w:r>
              <w:r w:rsidR="00E8425F">
                <w:rPr>
                  <w:noProof/>
                  <w:lang w:val="en-US"/>
                </w:rPr>
                <w:t>(</w:t>
              </w:r>
              <w:r w:rsidR="00CA0D42" w:rsidRPr="00E8425F">
                <w:rPr>
                  <w:noProof/>
                  <w:lang w:val="en-US"/>
                </w:rPr>
                <w:t>2014</w:t>
              </w:r>
              <w:r w:rsidR="00E8425F">
                <w:rPr>
                  <w:noProof/>
                  <w:lang w:val="en-US"/>
                </w:rPr>
                <w:t>)</w:t>
              </w:r>
              <w:r w:rsidR="00CA0D42" w:rsidRPr="00E8425F">
                <w:rPr>
                  <w:noProof/>
                  <w:lang w:val="en-US"/>
                </w:rPr>
                <w:t xml:space="preserve"> </w:t>
              </w:r>
              <w:r w:rsidR="00CA0D42">
                <w:rPr>
                  <w:noProof/>
                  <w:lang w:val="en-US"/>
                </w:rPr>
                <w:br/>
                <w:t xml:space="preserve">Available at: </w:t>
              </w:r>
              <w:r w:rsidR="00CA0D42">
                <w:rPr>
                  <w:noProof/>
                  <w:u w:val="single"/>
                  <w:lang w:val="en-US"/>
                </w:rPr>
                <w:t>http://www.legislation.gov.uk/anaw/2014/4/pdfs/anaw_20140004_en.pdf</w:t>
              </w:r>
              <w:r w:rsidR="00CA0D42">
                <w:rPr>
                  <w:noProof/>
                  <w:lang w:val="en-US"/>
                </w:rPr>
                <w:br/>
                <w:t>Accessed 24</w:t>
              </w:r>
              <w:r w:rsidR="00E8425F">
                <w:rPr>
                  <w:noProof/>
                  <w:lang w:val="en-US"/>
                </w:rPr>
                <w:t>/</w:t>
              </w:r>
              <w:r w:rsidR="00CA0D42">
                <w:rPr>
                  <w:noProof/>
                  <w:lang w:val="en-US"/>
                </w:rPr>
                <w:t>2</w:t>
              </w:r>
              <w:r w:rsidR="00E8425F">
                <w:rPr>
                  <w:noProof/>
                  <w:lang w:val="en-US"/>
                </w:rPr>
                <w:t>/</w:t>
              </w:r>
              <w:r w:rsidR="00CA0D42">
                <w:rPr>
                  <w:noProof/>
                  <w:lang w:val="en-US"/>
                </w:rPr>
                <w:t>2019</w:t>
              </w:r>
            </w:p>
            <w:p w14:paraId="08BE0A5F" w14:textId="77777777" w:rsidR="00FB49D7" w:rsidRPr="00FB49D7" w:rsidRDefault="00FB49D7" w:rsidP="00FB49D7">
              <w:pPr>
                <w:rPr>
                  <w:lang w:val="en-US"/>
                </w:rPr>
              </w:pPr>
            </w:p>
            <w:p w14:paraId="370F3E51" w14:textId="37FBB541" w:rsidR="00CA0D42" w:rsidRPr="00E8425F" w:rsidRDefault="00CA0D42" w:rsidP="002A5AB1">
              <w:pPr>
                <w:pStyle w:val="Bibliography"/>
                <w:jc w:val="left"/>
                <w:rPr>
                  <w:iCs/>
                  <w:noProof/>
                  <w:lang w:val="en-US"/>
                </w:rPr>
              </w:pPr>
              <w:r>
                <w:rPr>
                  <w:noProof/>
                  <w:lang w:val="en-US"/>
                </w:rPr>
                <w:t xml:space="preserve">Telegraph </w:t>
              </w:r>
              <w:r w:rsidR="00FB49D7">
                <w:rPr>
                  <w:noProof/>
                  <w:lang w:val="en-US"/>
                </w:rPr>
                <w:t>(</w:t>
              </w:r>
              <w:r>
                <w:rPr>
                  <w:noProof/>
                  <w:lang w:val="en-US"/>
                </w:rPr>
                <w:t>2009</w:t>
              </w:r>
              <w:r w:rsidR="00FB49D7">
                <w:rPr>
                  <w:noProof/>
                  <w:lang w:val="en-US"/>
                </w:rPr>
                <w:t>)</w:t>
              </w:r>
              <w:r>
                <w:rPr>
                  <w:noProof/>
                  <w:lang w:val="en-US"/>
                </w:rPr>
                <w:t xml:space="preserve"> </w:t>
              </w:r>
              <w:r>
                <w:rPr>
                  <w:i/>
                  <w:iCs/>
                  <w:noProof/>
                  <w:lang w:val="en-US"/>
                </w:rPr>
                <w:t xml:space="preserve">Lord Lamings </w:t>
              </w:r>
              <w:r w:rsidR="00E8166B">
                <w:rPr>
                  <w:i/>
                  <w:iCs/>
                  <w:noProof/>
                  <w:lang w:val="en-US"/>
                </w:rPr>
                <w:t>R</w:t>
              </w:r>
              <w:r>
                <w:rPr>
                  <w:i/>
                  <w:iCs/>
                  <w:noProof/>
                  <w:lang w:val="en-US"/>
                </w:rPr>
                <w:t xml:space="preserve">eview of Baby P failures. </w:t>
              </w:r>
              <w:r>
                <w:rPr>
                  <w:noProof/>
                  <w:lang w:val="en-US"/>
                </w:rPr>
                <w:t xml:space="preserve">[Online] </w:t>
              </w:r>
              <w:r>
                <w:rPr>
                  <w:noProof/>
                  <w:lang w:val="en-US"/>
                </w:rPr>
                <w:br/>
                <w:t xml:space="preserve">Available at: </w:t>
              </w:r>
              <w:r>
                <w:rPr>
                  <w:noProof/>
                  <w:u w:val="single"/>
                  <w:lang w:val="en-US"/>
                </w:rPr>
                <w:t>https://www.telegraph.co.uk/news/uknews/baby-p/5283897/Lord-Lamings-review-of-Baby-P-failures.html</w:t>
              </w:r>
              <w:r>
                <w:rPr>
                  <w:noProof/>
                  <w:lang w:val="en-US"/>
                </w:rPr>
                <w:br/>
                <w:t>[Acc</w:t>
              </w:r>
              <w:r w:rsidRPr="00E8425F">
                <w:rPr>
                  <w:noProof/>
                  <w:lang w:val="en-US"/>
                </w:rPr>
                <w:t>essed 25 2 2019].</w:t>
              </w:r>
            </w:p>
            <w:p w14:paraId="045953E4" w14:textId="77777777" w:rsidR="00FB49D7" w:rsidRPr="00E8425F" w:rsidRDefault="00FB49D7" w:rsidP="00FB49D7">
              <w:pPr>
                <w:rPr>
                  <w:lang w:val="en-US"/>
                </w:rPr>
              </w:pPr>
            </w:p>
            <w:p w14:paraId="5ED67B05" w14:textId="1072F65D" w:rsidR="00CA0D42" w:rsidRDefault="00CA0D42" w:rsidP="002A5AB1">
              <w:pPr>
                <w:pStyle w:val="Bibliography"/>
                <w:jc w:val="left"/>
                <w:rPr>
                  <w:noProof/>
                  <w:u w:val="single"/>
                  <w:lang w:val="en-US"/>
                </w:rPr>
              </w:pPr>
              <w:r w:rsidRPr="00E8425F">
                <w:rPr>
                  <w:noProof/>
                  <w:lang w:val="en-US"/>
                </w:rPr>
                <w:t>U</w:t>
              </w:r>
              <w:r w:rsidR="00FB49D7" w:rsidRPr="00E8425F">
                <w:rPr>
                  <w:noProof/>
                  <w:lang w:val="en-US"/>
                </w:rPr>
                <w:t xml:space="preserve">nited </w:t>
              </w:r>
              <w:r w:rsidRPr="00E8425F">
                <w:rPr>
                  <w:noProof/>
                  <w:lang w:val="en-US"/>
                </w:rPr>
                <w:t>N</w:t>
              </w:r>
              <w:r w:rsidR="00FB49D7" w:rsidRPr="00E8425F">
                <w:rPr>
                  <w:noProof/>
                  <w:lang w:val="en-US"/>
                </w:rPr>
                <w:t xml:space="preserve">ations </w:t>
              </w:r>
              <w:r w:rsidRPr="00E8425F">
                <w:rPr>
                  <w:noProof/>
                  <w:lang w:val="en-US"/>
                </w:rPr>
                <w:t>C</w:t>
              </w:r>
              <w:r w:rsidR="00FB49D7" w:rsidRPr="00E8425F">
                <w:rPr>
                  <w:noProof/>
                  <w:lang w:val="en-US"/>
                </w:rPr>
                <w:t xml:space="preserve">onvention </w:t>
              </w:r>
              <w:r w:rsidRPr="00E8425F">
                <w:rPr>
                  <w:noProof/>
                  <w:lang w:val="en-US"/>
                </w:rPr>
                <w:t>O</w:t>
              </w:r>
              <w:r w:rsidR="00FB49D7" w:rsidRPr="00E8425F">
                <w:rPr>
                  <w:noProof/>
                  <w:lang w:val="en-US"/>
                </w:rPr>
                <w:t xml:space="preserve">f </w:t>
              </w:r>
              <w:r w:rsidRPr="00E8425F">
                <w:rPr>
                  <w:noProof/>
                  <w:lang w:val="en-US"/>
                </w:rPr>
                <w:t>T</w:t>
              </w:r>
              <w:r w:rsidR="00FB49D7" w:rsidRPr="00E8425F">
                <w:rPr>
                  <w:noProof/>
                  <w:lang w:val="en-US"/>
                </w:rPr>
                <w:t xml:space="preserve">he </w:t>
              </w:r>
              <w:r w:rsidRPr="00E8425F">
                <w:rPr>
                  <w:noProof/>
                  <w:lang w:val="en-US"/>
                </w:rPr>
                <w:t>R</w:t>
              </w:r>
              <w:r w:rsidR="00FB49D7" w:rsidRPr="00E8425F">
                <w:rPr>
                  <w:noProof/>
                  <w:lang w:val="en-US"/>
                </w:rPr>
                <w:t xml:space="preserve">ights </w:t>
              </w:r>
              <w:r w:rsidRPr="00E8425F">
                <w:rPr>
                  <w:noProof/>
                  <w:lang w:val="en-US"/>
                </w:rPr>
                <w:t>O</w:t>
              </w:r>
              <w:r w:rsidR="00FB49D7" w:rsidRPr="00E8425F">
                <w:rPr>
                  <w:noProof/>
                  <w:lang w:val="en-US"/>
                </w:rPr>
                <w:t xml:space="preserve">f </w:t>
              </w:r>
              <w:r w:rsidRPr="00E8425F">
                <w:rPr>
                  <w:noProof/>
                  <w:lang w:val="en-US"/>
                </w:rPr>
                <w:t>T</w:t>
              </w:r>
              <w:r w:rsidR="00FB49D7" w:rsidRPr="00E8425F">
                <w:rPr>
                  <w:noProof/>
                  <w:lang w:val="en-US"/>
                </w:rPr>
                <w:t xml:space="preserve">he </w:t>
              </w:r>
              <w:r w:rsidRPr="00E8425F">
                <w:rPr>
                  <w:noProof/>
                  <w:lang w:val="en-US"/>
                </w:rPr>
                <w:t>C</w:t>
              </w:r>
              <w:r w:rsidR="00FB49D7" w:rsidRPr="00E8425F">
                <w:rPr>
                  <w:noProof/>
                  <w:lang w:val="en-US"/>
                </w:rPr>
                <w:t xml:space="preserve">hild </w:t>
              </w:r>
              <w:r w:rsidR="00E8425F">
                <w:rPr>
                  <w:noProof/>
                  <w:lang w:val="en-US"/>
                </w:rPr>
                <w:t>(</w:t>
              </w:r>
              <w:r w:rsidRPr="00E8425F">
                <w:rPr>
                  <w:noProof/>
                  <w:lang w:val="en-US"/>
                </w:rPr>
                <w:t>1989</w:t>
              </w:r>
              <w:r w:rsidR="00E8425F">
                <w:rPr>
                  <w:noProof/>
                  <w:lang w:val="en-US"/>
                </w:rPr>
                <w:t>)</w:t>
              </w:r>
              <w:r>
                <w:rPr>
                  <w:i/>
                  <w:iCs/>
                  <w:noProof/>
                  <w:lang w:val="en-US"/>
                </w:rPr>
                <w:t xml:space="preserve"> </w:t>
              </w:r>
              <w:r>
                <w:rPr>
                  <w:noProof/>
                  <w:lang w:val="en-US"/>
                </w:rPr>
                <w:t xml:space="preserve"> </w:t>
              </w:r>
              <w:r>
                <w:rPr>
                  <w:noProof/>
                  <w:lang w:val="en-US"/>
                </w:rPr>
                <w:br/>
                <w:t xml:space="preserve">Available at: </w:t>
              </w:r>
              <w:r>
                <w:rPr>
                  <w:noProof/>
                  <w:u w:val="single"/>
                  <w:lang w:val="en-US"/>
                </w:rPr>
                <w:t>https://www.unicef.org.uk/wp-content/uploads/2010/05/UNCRC_united_nations_convention_on_the_rights_of_the_child.pdf</w:t>
              </w:r>
            </w:p>
            <w:p w14:paraId="256205FC" w14:textId="1150FA49" w:rsidR="00E8425F" w:rsidRPr="00E8425F" w:rsidRDefault="00E8425F" w:rsidP="00E8425F">
              <w:pPr>
                <w:rPr>
                  <w:lang w:val="en-US"/>
                </w:rPr>
              </w:pPr>
              <w:r>
                <w:rPr>
                  <w:lang w:val="en-US"/>
                </w:rPr>
                <w:t>Accessed 24/2/2019</w:t>
              </w:r>
            </w:p>
            <w:p w14:paraId="2A5EE0A8" w14:textId="77777777" w:rsidR="00E8166B" w:rsidRPr="00E8166B" w:rsidRDefault="00E8166B" w:rsidP="00E8166B">
              <w:pPr>
                <w:rPr>
                  <w:lang w:val="en-US"/>
                </w:rPr>
              </w:pPr>
            </w:p>
            <w:p w14:paraId="653A6799" w14:textId="06558551" w:rsidR="00CA0D42" w:rsidRDefault="00CA0D42" w:rsidP="002A5AB1">
              <w:pPr>
                <w:pStyle w:val="Bibliography"/>
                <w:jc w:val="left"/>
                <w:rPr>
                  <w:noProof/>
                  <w:lang w:val="en-US"/>
                </w:rPr>
              </w:pPr>
              <w:r>
                <w:rPr>
                  <w:noProof/>
                  <w:lang w:val="en-US"/>
                </w:rPr>
                <w:t xml:space="preserve">Wilks, T </w:t>
              </w:r>
              <w:r w:rsidR="00E8166B">
                <w:rPr>
                  <w:noProof/>
                  <w:lang w:val="en-US"/>
                </w:rPr>
                <w:t>(</w:t>
              </w:r>
              <w:r>
                <w:rPr>
                  <w:noProof/>
                  <w:lang w:val="en-US"/>
                </w:rPr>
                <w:t>2012</w:t>
              </w:r>
              <w:r w:rsidR="00E8166B">
                <w:rPr>
                  <w:noProof/>
                  <w:lang w:val="en-US"/>
                </w:rPr>
                <w:t>)</w:t>
              </w:r>
              <w:r>
                <w:rPr>
                  <w:noProof/>
                  <w:lang w:val="en-US"/>
                </w:rPr>
                <w:t xml:space="preserve"> </w:t>
              </w:r>
              <w:r>
                <w:rPr>
                  <w:i/>
                  <w:iCs/>
                  <w:noProof/>
                  <w:lang w:val="en-US"/>
                </w:rPr>
                <w:t xml:space="preserve">Advocacy and social work practice. </w:t>
              </w:r>
              <w:r>
                <w:rPr>
                  <w:noProof/>
                  <w:lang w:val="en-US"/>
                </w:rPr>
                <w:t>1st ed. Berkshire : McGraw Hill Companies.</w:t>
              </w:r>
            </w:p>
            <w:p w14:paraId="19E82189" w14:textId="77777777" w:rsidR="00E8166B" w:rsidRPr="00E8166B" w:rsidRDefault="00E8166B" w:rsidP="00E8166B">
              <w:pPr>
                <w:rPr>
                  <w:lang w:val="en-US"/>
                </w:rPr>
              </w:pPr>
            </w:p>
            <w:p w14:paraId="0CA5514C" w14:textId="3BD00329" w:rsidR="00CA0D42" w:rsidRDefault="00CA0D42" w:rsidP="002A5AB1">
              <w:pPr>
                <w:pStyle w:val="Bibliography"/>
                <w:jc w:val="left"/>
                <w:rPr>
                  <w:noProof/>
                  <w:lang w:val="en-US"/>
                </w:rPr>
              </w:pPr>
              <w:r>
                <w:rPr>
                  <w:noProof/>
                  <w:lang w:val="en-US"/>
                </w:rPr>
                <w:t>Wright, A. C. &amp; Jaffe, K. J</w:t>
              </w:r>
              <w:r w:rsidR="00E8166B">
                <w:rPr>
                  <w:noProof/>
                  <w:lang w:val="en-US"/>
                </w:rPr>
                <w:t xml:space="preserve"> (2</w:t>
              </w:r>
              <w:r>
                <w:rPr>
                  <w:noProof/>
                  <w:lang w:val="en-US"/>
                </w:rPr>
                <w:t>014</w:t>
              </w:r>
              <w:r w:rsidR="00E8166B">
                <w:rPr>
                  <w:noProof/>
                  <w:lang w:val="en-US"/>
                </w:rPr>
                <w:t>)</w:t>
              </w:r>
              <w:r w:rsidR="0042614E">
                <w:rPr>
                  <w:noProof/>
                  <w:lang w:val="en-US"/>
                </w:rPr>
                <w:t xml:space="preserve"> </w:t>
              </w:r>
              <w:r>
                <w:rPr>
                  <w:i/>
                  <w:iCs/>
                  <w:noProof/>
                  <w:lang w:val="en-US"/>
                </w:rPr>
                <w:t xml:space="preserve">Six steps to Successful Child Advocacy. </w:t>
              </w:r>
              <w:r>
                <w:rPr>
                  <w:noProof/>
                  <w:lang w:val="en-US"/>
                </w:rPr>
                <w:t>London: Sage.</w:t>
              </w:r>
            </w:p>
            <w:p w14:paraId="2F6F8090" w14:textId="6DA94A9F" w:rsidR="00CA0D42" w:rsidRDefault="00CA0D42" w:rsidP="002A5AB1">
              <w:pPr>
                <w:jc w:val="left"/>
              </w:pPr>
              <w:r>
                <w:rPr>
                  <w:b/>
                  <w:bCs/>
                  <w:noProof/>
                </w:rPr>
                <w:fldChar w:fldCharType="end"/>
              </w:r>
            </w:p>
          </w:sdtContent>
        </w:sdt>
      </w:sdtContent>
    </w:sdt>
    <w:p w14:paraId="4D34E989" w14:textId="77777777" w:rsidR="0072594B" w:rsidRPr="00BD6C51" w:rsidRDefault="0072594B" w:rsidP="0072594B"/>
    <w:p w14:paraId="4542BE9B" w14:textId="77777777" w:rsidR="003A689F" w:rsidRDefault="003A689F"/>
    <w:sectPr w:rsidR="003A689F" w:rsidSect="0072594B">
      <w:headerReference w:type="even" r:id="rId7"/>
      <w:headerReference w:type="default" r:id="rId8"/>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A3F12" w14:textId="77777777" w:rsidR="008314F9" w:rsidRDefault="008314F9" w:rsidP="001D3845">
      <w:pPr>
        <w:spacing w:line="240" w:lineRule="auto"/>
      </w:pPr>
      <w:r>
        <w:separator/>
      </w:r>
    </w:p>
  </w:endnote>
  <w:endnote w:type="continuationSeparator" w:id="0">
    <w:p w14:paraId="14065E36" w14:textId="77777777" w:rsidR="008314F9" w:rsidRDefault="008314F9" w:rsidP="001D38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98E5D" w14:textId="77777777" w:rsidR="008314F9" w:rsidRDefault="008314F9" w:rsidP="001D3845">
      <w:pPr>
        <w:spacing w:line="240" w:lineRule="auto"/>
      </w:pPr>
      <w:r>
        <w:separator/>
      </w:r>
    </w:p>
  </w:footnote>
  <w:footnote w:type="continuationSeparator" w:id="0">
    <w:p w14:paraId="14036292" w14:textId="77777777" w:rsidR="008314F9" w:rsidRDefault="008314F9" w:rsidP="001D38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1037520"/>
      <w:docPartObj>
        <w:docPartGallery w:val="Page Numbers (Top of Page)"/>
        <w:docPartUnique/>
      </w:docPartObj>
    </w:sdtPr>
    <w:sdtEndPr>
      <w:rPr>
        <w:rStyle w:val="PageNumber"/>
      </w:rPr>
    </w:sdtEndPr>
    <w:sdtContent>
      <w:p w14:paraId="6C5E9E8F" w14:textId="1E99EA19" w:rsidR="0072594B" w:rsidRDefault="0072594B" w:rsidP="00491BC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3C55F308" w14:textId="77777777" w:rsidR="001D3845" w:rsidRDefault="001D38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7630450"/>
      <w:docPartObj>
        <w:docPartGallery w:val="Page Numbers (Top of Page)"/>
        <w:docPartUnique/>
      </w:docPartObj>
    </w:sdtPr>
    <w:sdtEndPr>
      <w:rPr>
        <w:rStyle w:val="PageNumber"/>
      </w:rPr>
    </w:sdtEndPr>
    <w:sdtContent>
      <w:p w14:paraId="11B6710A" w14:textId="7D1ABCD7" w:rsidR="0072594B" w:rsidRDefault="0072594B" w:rsidP="00491BC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95FE9A" w14:textId="094BC44E" w:rsidR="001D3845" w:rsidRDefault="001D3845">
    <w:pPr>
      <w:pStyle w:val="Header"/>
    </w:pPr>
    <w:r>
      <w:t xml:space="preserve">Module code: ECAY4001                                                             Student Number: 1805211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mirrorMargin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FD8"/>
    <w:rsid w:val="000050C8"/>
    <w:rsid w:val="00045D7D"/>
    <w:rsid w:val="0005316E"/>
    <w:rsid w:val="00066250"/>
    <w:rsid w:val="000B0340"/>
    <w:rsid w:val="000B1EE6"/>
    <w:rsid w:val="000C285D"/>
    <w:rsid w:val="001110FE"/>
    <w:rsid w:val="0012354C"/>
    <w:rsid w:val="0016199F"/>
    <w:rsid w:val="00190CD7"/>
    <w:rsid w:val="001917BA"/>
    <w:rsid w:val="001D3845"/>
    <w:rsid w:val="00211318"/>
    <w:rsid w:val="00251C70"/>
    <w:rsid w:val="002919A6"/>
    <w:rsid w:val="002A5AB1"/>
    <w:rsid w:val="002A61A4"/>
    <w:rsid w:val="002C693B"/>
    <w:rsid w:val="002C7BFE"/>
    <w:rsid w:val="002F00D8"/>
    <w:rsid w:val="003316D5"/>
    <w:rsid w:val="0035284A"/>
    <w:rsid w:val="003603B1"/>
    <w:rsid w:val="003670A0"/>
    <w:rsid w:val="00395D37"/>
    <w:rsid w:val="003A689F"/>
    <w:rsid w:val="003B4872"/>
    <w:rsid w:val="003B7291"/>
    <w:rsid w:val="003C4DD9"/>
    <w:rsid w:val="003D3626"/>
    <w:rsid w:val="003E6BB2"/>
    <w:rsid w:val="0042214E"/>
    <w:rsid w:val="0042614E"/>
    <w:rsid w:val="00435431"/>
    <w:rsid w:val="00466C9F"/>
    <w:rsid w:val="00484815"/>
    <w:rsid w:val="004C77DD"/>
    <w:rsid w:val="004D264D"/>
    <w:rsid w:val="005029C1"/>
    <w:rsid w:val="00532DD9"/>
    <w:rsid w:val="00533FAA"/>
    <w:rsid w:val="00540EB8"/>
    <w:rsid w:val="00574745"/>
    <w:rsid w:val="00581C34"/>
    <w:rsid w:val="00595CA8"/>
    <w:rsid w:val="005A48B0"/>
    <w:rsid w:val="005E0593"/>
    <w:rsid w:val="005F0B9A"/>
    <w:rsid w:val="00607DCC"/>
    <w:rsid w:val="00611FC9"/>
    <w:rsid w:val="00612410"/>
    <w:rsid w:val="0061258D"/>
    <w:rsid w:val="0064604D"/>
    <w:rsid w:val="00661A5A"/>
    <w:rsid w:val="00666E6F"/>
    <w:rsid w:val="00687ED1"/>
    <w:rsid w:val="00701F9C"/>
    <w:rsid w:val="0072594B"/>
    <w:rsid w:val="007468B7"/>
    <w:rsid w:val="00756C53"/>
    <w:rsid w:val="00760206"/>
    <w:rsid w:val="00773CBE"/>
    <w:rsid w:val="007A78BC"/>
    <w:rsid w:val="007F243A"/>
    <w:rsid w:val="0082089C"/>
    <w:rsid w:val="0082355D"/>
    <w:rsid w:val="008314F9"/>
    <w:rsid w:val="008538AA"/>
    <w:rsid w:val="00857A6D"/>
    <w:rsid w:val="00891A3B"/>
    <w:rsid w:val="008B32D5"/>
    <w:rsid w:val="008D4AA2"/>
    <w:rsid w:val="00927167"/>
    <w:rsid w:val="00951D6A"/>
    <w:rsid w:val="00974CA9"/>
    <w:rsid w:val="009A504A"/>
    <w:rsid w:val="009C03F6"/>
    <w:rsid w:val="009D71E7"/>
    <w:rsid w:val="009E0C87"/>
    <w:rsid w:val="00A3656E"/>
    <w:rsid w:val="00AA3DDE"/>
    <w:rsid w:val="00B36250"/>
    <w:rsid w:val="00BA009E"/>
    <w:rsid w:val="00BD6C51"/>
    <w:rsid w:val="00BF3F6E"/>
    <w:rsid w:val="00BF5A65"/>
    <w:rsid w:val="00C034BB"/>
    <w:rsid w:val="00C50AE1"/>
    <w:rsid w:val="00C67680"/>
    <w:rsid w:val="00C83689"/>
    <w:rsid w:val="00C87394"/>
    <w:rsid w:val="00C918EB"/>
    <w:rsid w:val="00CA0D42"/>
    <w:rsid w:val="00CA1CDF"/>
    <w:rsid w:val="00CB77AB"/>
    <w:rsid w:val="00CE77AE"/>
    <w:rsid w:val="00D0308D"/>
    <w:rsid w:val="00D3271B"/>
    <w:rsid w:val="00D33BAF"/>
    <w:rsid w:val="00D346FB"/>
    <w:rsid w:val="00D46A66"/>
    <w:rsid w:val="00D52AB3"/>
    <w:rsid w:val="00D65A81"/>
    <w:rsid w:val="00D7645B"/>
    <w:rsid w:val="00D90C47"/>
    <w:rsid w:val="00E131EB"/>
    <w:rsid w:val="00E1506B"/>
    <w:rsid w:val="00E24BD3"/>
    <w:rsid w:val="00E25D34"/>
    <w:rsid w:val="00E30B81"/>
    <w:rsid w:val="00E65FD8"/>
    <w:rsid w:val="00E776EC"/>
    <w:rsid w:val="00E80338"/>
    <w:rsid w:val="00E8166B"/>
    <w:rsid w:val="00E8425F"/>
    <w:rsid w:val="00F17423"/>
    <w:rsid w:val="00F47907"/>
    <w:rsid w:val="00F61181"/>
    <w:rsid w:val="00FB49D7"/>
    <w:rsid w:val="00FC3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2D4EB"/>
  <w15:chartTrackingRefBased/>
  <w15:docId w15:val="{C5049DC0-9479-FD48-B2D3-9107AAC11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sz w:val="24"/>
        <w:szCs w:val="24"/>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94B"/>
    <w:pPr>
      <w:keepNext/>
      <w:keepLines/>
      <w:spacing w:before="48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271B"/>
    <w:pPr>
      <w:spacing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D3271B"/>
    <w:rPr>
      <w:rFonts w:cs="Times New Roman"/>
      <w:sz w:val="18"/>
      <w:szCs w:val="18"/>
    </w:rPr>
  </w:style>
  <w:style w:type="paragraph" w:styleId="Header">
    <w:name w:val="header"/>
    <w:basedOn w:val="Normal"/>
    <w:link w:val="HeaderChar"/>
    <w:uiPriority w:val="99"/>
    <w:unhideWhenUsed/>
    <w:rsid w:val="001D3845"/>
    <w:pPr>
      <w:tabs>
        <w:tab w:val="center" w:pos="4680"/>
        <w:tab w:val="right" w:pos="9360"/>
      </w:tabs>
      <w:spacing w:line="240" w:lineRule="auto"/>
    </w:pPr>
  </w:style>
  <w:style w:type="character" w:customStyle="1" w:styleId="HeaderChar">
    <w:name w:val="Header Char"/>
    <w:basedOn w:val="DefaultParagraphFont"/>
    <w:link w:val="Header"/>
    <w:uiPriority w:val="99"/>
    <w:rsid w:val="001D3845"/>
  </w:style>
  <w:style w:type="paragraph" w:styleId="Footer">
    <w:name w:val="footer"/>
    <w:basedOn w:val="Normal"/>
    <w:link w:val="FooterChar"/>
    <w:uiPriority w:val="99"/>
    <w:unhideWhenUsed/>
    <w:rsid w:val="001D3845"/>
    <w:pPr>
      <w:tabs>
        <w:tab w:val="center" w:pos="4680"/>
        <w:tab w:val="right" w:pos="9360"/>
      </w:tabs>
      <w:spacing w:line="240" w:lineRule="auto"/>
    </w:pPr>
  </w:style>
  <w:style w:type="character" w:customStyle="1" w:styleId="FooterChar">
    <w:name w:val="Footer Char"/>
    <w:basedOn w:val="DefaultParagraphFont"/>
    <w:link w:val="Footer"/>
    <w:uiPriority w:val="99"/>
    <w:rsid w:val="001D3845"/>
  </w:style>
  <w:style w:type="character" w:styleId="PageNumber">
    <w:name w:val="page number"/>
    <w:basedOn w:val="DefaultParagraphFont"/>
    <w:uiPriority w:val="99"/>
    <w:semiHidden/>
    <w:unhideWhenUsed/>
    <w:rsid w:val="0072594B"/>
  </w:style>
  <w:style w:type="character" w:customStyle="1" w:styleId="Heading1Char">
    <w:name w:val="Heading 1 Char"/>
    <w:basedOn w:val="DefaultParagraphFont"/>
    <w:link w:val="Heading1"/>
    <w:uiPriority w:val="9"/>
    <w:rsid w:val="0072594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25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6468">
      <w:bodyDiv w:val="1"/>
      <w:marLeft w:val="0"/>
      <w:marRight w:val="0"/>
      <w:marTop w:val="0"/>
      <w:marBottom w:val="0"/>
      <w:divBdr>
        <w:top w:val="none" w:sz="0" w:space="0" w:color="auto"/>
        <w:left w:val="none" w:sz="0" w:space="0" w:color="auto"/>
        <w:bottom w:val="none" w:sz="0" w:space="0" w:color="auto"/>
        <w:right w:val="none" w:sz="0" w:space="0" w:color="auto"/>
      </w:divBdr>
    </w:div>
    <w:div w:id="71240824">
      <w:bodyDiv w:val="1"/>
      <w:marLeft w:val="0"/>
      <w:marRight w:val="0"/>
      <w:marTop w:val="0"/>
      <w:marBottom w:val="0"/>
      <w:divBdr>
        <w:top w:val="none" w:sz="0" w:space="0" w:color="auto"/>
        <w:left w:val="none" w:sz="0" w:space="0" w:color="auto"/>
        <w:bottom w:val="none" w:sz="0" w:space="0" w:color="auto"/>
        <w:right w:val="none" w:sz="0" w:space="0" w:color="auto"/>
      </w:divBdr>
    </w:div>
    <w:div w:id="78722670">
      <w:bodyDiv w:val="1"/>
      <w:marLeft w:val="0"/>
      <w:marRight w:val="0"/>
      <w:marTop w:val="0"/>
      <w:marBottom w:val="0"/>
      <w:divBdr>
        <w:top w:val="none" w:sz="0" w:space="0" w:color="auto"/>
        <w:left w:val="none" w:sz="0" w:space="0" w:color="auto"/>
        <w:bottom w:val="none" w:sz="0" w:space="0" w:color="auto"/>
        <w:right w:val="none" w:sz="0" w:space="0" w:color="auto"/>
      </w:divBdr>
    </w:div>
    <w:div w:id="132017893">
      <w:bodyDiv w:val="1"/>
      <w:marLeft w:val="0"/>
      <w:marRight w:val="0"/>
      <w:marTop w:val="0"/>
      <w:marBottom w:val="0"/>
      <w:divBdr>
        <w:top w:val="none" w:sz="0" w:space="0" w:color="auto"/>
        <w:left w:val="none" w:sz="0" w:space="0" w:color="auto"/>
        <w:bottom w:val="none" w:sz="0" w:space="0" w:color="auto"/>
        <w:right w:val="none" w:sz="0" w:space="0" w:color="auto"/>
      </w:divBdr>
    </w:div>
    <w:div w:id="147476876">
      <w:bodyDiv w:val="1"/>
      <w:marLeft w:val="0"/>
      <w:marRight w:val="0"/>
      <w:marTop w:val="0"/>
      <w:marBottom w:val="0"/>
      <w:divBdr>
        <w:top w:val="none" w:sz="0" w:space="0" w:color="auto"/>
        <w:left w:val="none" w:sz="0" w:space="0" w:color="auto"/>
        <w:bottom w:val="none" w:sz="0" w:space="0" w:color="auto"/>
        <w:right w:val="none" w:sz="0" w:space="0" w:color="auto"/>
      </w:divBdr>
    </w:div>
    <w:div w:id="193156646">
      <w:bodyDiv w:val="1"/>
      <w:marLeft w:val="0"/>
      <w:marRight w:val="0"/>
      <w:marTop w:val="0"/>
      <w:marBottom w:val="0"/>
      <w:divBdr>
        <w:top w:val="none" w:sz="0" w:space="0" w:color="auto"/>
        <w:left w:val="none" w:sz="0" w:space="0" w:color="auto"/>
        <w:bottom w:val="none" w:sz="0" w:space="0" w:color="auto"/>
        <w:right w:val="none" w:sz="0" w:space="0" w:color="auto"/>
      </w:divBdr>
    </w:div>
    <w:div w:id="213197617">
      <w:bodyDiv w:val="1"/>
      <w:marLeft w:val="0"/>
      <w:marRight w:val="0"/>
      <w:marTop w:val="0"/>
      <w:marBottom w:val="0"/>
      <w:divBdr>
        <w:top w:val="none" w:sz="0" w:space="0" w:color="auto"/>
        <w:left w:val="none" w:sz="0" w:space="0" w:color="auto"/>
        <w:bottom w:val="none" w:sz="0" w:space="0" w:color="auto"/>
        <w:right w:val="none" w:sz="0" w:space="0" w:color="auto"/>
      </w:divBdr>
    </w:div>
    <w:div w:id="318340519">
      <w:bodyDiv w:val="1"/>
      <w:marLeft w:val="0"/>
      <w:marRight w:val="0"/>
      <w:marTop w:val="0"/>
      <w:marBottom w:val="0"/>
      <w:divBdr>
        <w:top w:val="none" w:sz="0" w:space="0" w:color="auto"/>
        <w:left w:val="none" w:sz="0" w:space="0" w:color="auto"/>
        <w:bottom w:val="none" w:sz="0" w:space="0" w:color="auto"/>
        <w:right w:val="none" w:sz="0" w:space="0" w:color="auto"/>
      </w:divBdr>
    </w:div>
    <w:div w:id="468017041">
      <w:bodyDiv w:val="1"/>
      <w:marLeft w:val="0"/>
      <w:marRight w:val="0"/>
      <w:marTop w:val="0"/>
      <w:marBottom w:val="0"/>
      <w:divBdr>
        <w:top w:val="none" w:sz="0" w:space="0" w:color="auto"/>
        <w:left w:val="none" w:sz="0" w:space="0" w:color="auto"/>
        <w:bottom w:val="none" w:sz="0" w:space="0" w:color="auto"/>
        <w:right w:val="none" w:sz="0" w:space="0" w:color="auto"/>
      </w:divBdr>
    </w:div>
    <w:div w:id="498740759">
      <w:bodyDiv w:val="1"/>
      <w:marLeft w:val="0"/>
      <w:marRight w:val="0"/>
      <w:marTop w:val="0"/>
      <w:marBottom w:val="0"/>
      <w:divBdr>
        <w:top w:val="none" w:sz="0" w:space="0" w:color="auto"/>
        <w:left w:val="none" w:sz="0" w:space="0" w:color="auto"/>
        <w:bottom w:val="none" w:sz="0" w:space="0" w:color="auto"/>
        <w:right w:val="none" w:sz="0" w:space="0" w:color="auto"/>
      </w:divBdr>
    </w:div>
    <w:div w:id="499658700">
      <w:bodyDiv w:val="1"/>
      <w:marLeft w:val="0"/>
      <w:marRight w:val="0"/>
      <w:marTop w:val="0"/>
      <w:marBottom w:val="0"/>
      <w:divBdr>
        <w:top w:val="none" w:sz="0" w:space="0" w:color="auto"/>
        <w:left w:val="none" w:sz="0" w:space="0" w:color="auto"/>
        <w:bottom w:val="none" w:sz="0" w:space="0" w:color="auto"/>
        <w:right w:val="none" w:sz="0" w:space="0" w:color="auto"/>
      </w:divBdr>
    </w:div>
    <w:div w:id="544173654">
      <w:bodyDiv w:val="1"/>
      <w:marLeft w:val="0"/>
      <w:marRight w:val="0"/>
      <w:marTop w:val="0"/>
      <w:marBottom w:val="0"/>
      <w:divBdr>
        <w:top w:val="none" w:sz="0" w:space="0" w:color="auto"/>
        <w:left w:val="none" w:sz="0" w:space="0" w:color="auto"/>
        <w:bottom w:val="none" w:sz="0" w:space="0" w:color="auto"/>
        <w:right w:val="none" w:sz="0" w:space="0" w:color="auto"/>
      </w:divBdr>
    </w:div>
    <w:div w:id="647049611">
      <w:bodyDiv w:val="1"/>
      <w:marLeft w:val="0"/>
      <w:marRight w:val="0"/>
      <w:marTop w:val="0"/>
      <w:marBottom w:val="0"/>
      <w:divBdr>
        <w:top w:val="none" w:sz="0" w:space="0" w:color="auto"/>
        <w:left w:val="none" w:sz="0" w:space="0" w:color="auto"/>
        <w:bottom w:val="none" w:sz="0" w:space="0" w:color="auto"/>
        <w:right w:val="none" w:sz="0" w:space="0" w:color="auto"/>
      </w:divBdr>
    </w:div>
    <w:div w:id="652367529">
      <w:bodyDiv w:val="1"/>
      <w:marLeft w:val="0"/>
      <w:marRight w:val="0"/>
      <w:marTop w:val="0"/>
      <w:marBottom w:val="0"/>
      <w:divBdr>
        <w:top w:val="none" w:sz="0" w:space="0" w:color="auto"/>
        <w:left w:val="none" w:sz="0" w:space="0" w:color="auto"/>
        <w:bottom w:val="none" w:sz="0" w:space="0" w:color="auto"/>
        <w:right w:val="none" w:sz="0" w:space="0" w:color="auto"/>
      </w:divBdr>
    </w:div>
    <w:div w:id="660352848">
      <w:bodyDiv w:val="1"/>
      <w:marLeft w:val="0"/>
      <w:marRight w:val="0"/>
      <w:marTop w:val="0"/>
      <w:marBottom w:val="0"/>
      <w:divBdr>
        <w:top w:val="none" w:sz="0" w:space="0" w:color="auto"/>
        <w:left w:val="none" w:sz="0" w:space="0" w:color="auto"/>
        <w:bottom w:val="none" w:sz="0" w:space="0" w:color="auto"/>
        <w:right w:val="none" w:sz="0" w:space="0" w:color="auto"/>
      </w:divBdr>
    </w:div>
    <w:div w:id="719130292">
      <w:bodyDiv w:val="1"/>
      <w:marLeft w:val="0"/>
      <w:marRight w:val="0"/>
      <w:marTop w:val="0"/>
      <w:marBottom w:val="0"/>
      <w:divBdr>
        <w:top w:val="none" w:sz="0" w:space="0" w:color="auto"/>
        <w:left w:val="none" w:sz="0" w:space="0" w:color="auto"/>
        <w:bottom w:val="none" w:sz="0" w:space="0" w:color="auto"/>
        <w:right w:val="none" w:sz="0" w:space="0" w:color="auto"/>
      </w:divBdr>
    </w:div>
    <w:div w:id="794181832">
      <w:bodyDiv w:val="1"/>
      <w:marLeft w:val="0"/>
      <w:marRight w:val="0"/>
      <w:marTop w:val="0"/>
      <w:marBottom w:val="0"/>
      <w:divBdr>
        <w:top w:val="none" w:sz="0" w:space="0" w:color="auto"/>
        <w:left w:val="none" w:sz="0" w:space="0" w:color="auto"/>
        <w:bottom w:val="none" w:sz="0" w:space="0" w:color="auto"/>
        <w:right w:val="none" w:sz="0" w:space="0" w:color="auto"/>
      </w:divBdr>
    </w:div>
    <w:div w:id="892816850">
      <w:bodyDiv w:val="1"/>
      <w:marLeft w:val="0"/>
      <w:marRight w:val="0"/>
      <w:marTop w:val="0"/>
      <w:marBottom w:val="0"/>
      <w:divBdr>
        <w:top w:val="none" w:sz="0" w:space="0" w:color="auto"/>
        <w:left w:val="none" w:sz="0" w:space="0" w:color="auto"/>
        <w:bottom w:val="none" w:sz="0" w:space="0" w:color="auto"/>
        <w:right w:val="none" w:sz="0" w:space="0" w:color="auto"/>
      </w:divBdr>
    </w:div>
    <w:div w:id="953831760">
      <w:bodyDiv w:val="1"/>
      <w:marLeft w:val="0"/>
      <w:marRight w:val="0"/>
      <w:marTop w:val="0"/>
      <w:marBottom w:val="0"/>
      <w:divBdr>
        <w:top w:val="none" w:sz="0" w:space="0" w:color="auto"/>
        <w:left w:val="none" w:sz="0" w:space="0" w:color="auto"/>
        <w:bottom w:val="none" w:sz="0" w:space="0" w:color="auto"/>
        <w:right w:val="none" w:sz="0" w:space="0" w:color="auto"/>
      </w:divBdr>
    </w:div>
    <w:div w:id="1006446340">
      <w:bodyDiv w:val="1"/>
      <w:marLeft w:val="0"/>
      <w:marRight w:val="0"/>
      <w:marTop w:val="0"/>
      <w:marBottom w:val="0"/>
      <w:divBdr>
        <w:top w:val="none" w:sz="0" w:space="0" w:color="auto"/>
        <w:left w:val="none" w:sz="0" w:space="0" w:color="auto"/>
        <w:bottom w:val="none" w:sz="0" w:space="0" w:color="auto"/>
        <w:right w:val="none" w:sz="0" w:space="0" w:color="auto"/>
      </w:divBdr>
    </w:div>
    <w:div w:id="1073046122">
      <w:bodyDiv w:val="1"/>
      <w:marLeft w:val="0"/>
      <w:marRight w:val="0"/>
      <w:marTop w:val="0"/>
      <w:marBottom w:val="0"/>
      <w:divBdr>
        <w:top w:val="none" w:sz="0" w:space="0" w:color="auto"/>
        <w:left w:val="none" w:sz="0" w:space="0" w:color="auto"/>
        <w:bottom w:val="none" w:sz="0" w:space="0" w:color="auto"/>
        <w:right w:val="none" w:sz="0" w:space="0" w:color="auto"/>
      </w:divBdr>
    </w:div>
    <w:div w:id="1080256857">
      <w:bodyDiv w:val="1"/>
      <w:marLeft w:val="0"/>
      <w:marRight w:val="0"/>
      <w:marTop w:val="0"/>
      <w:marBottom w:val="0"/>
      <w:divBdr>
        <w:top w:val="none" w:sz="0" w:space="0" w:color="auto"/>
        <w:left w:val="none" w:sz="0" w:space="0" w:color="auto"/>
        <w:bottom w:val="none" w:sz="0" w:space="0" w:color="auto"/>
        <w:right w:val="none" w:sz="0" w:space="0" w:color="auto"/>
      </w:divBdr>
    </w:div>
    <w:div w:id="1189564615">
      <w:bodyDiv w:val="1"/>
      <w:marLeft w:val="0"/>
      <w:marRight w:val="0"/>
      <w:marTop w:val="0"/>
      <w:marBottom w:val="0"/>
      <w:divBdr>
        <w:top w:val="none" w:sz="0" w:space="0" w:color="auto"/>
        <w:left w:val="none" w:sz="0" w:space="0" w:color="auto"/>
        <w:bottom w:val="none" w:sz="0" w:space="0" w:color="auto"/>
        <w:right w:val="none" w:sz="0" w:space="0" w:color="auto"/>
      </w:divBdr>
    </w:div>
    <w:div w:id="1196312891">
      <w:bodyDiv w:val="1"/>
      <w:marLeft w:val="0"/>
      <w:marRight w:val="0"/>
      <w:marTop w:val="0"/>
      <w:marBottom w:val="0"/>
      <w:divBdr>
        <w:top w:val="none" w:sz="0" w:space="0" w:color="auto"/>
        <w:left w:val="none" w:sz="0" w:space="0" w:color="auto"/>
        <w:bottom w:val="none" w:sz="0" w:space="0" w:color="auto"/>
        <w:right w:val="none" w:sz="0" w:space="0" w:color="auto"/>
      </w:divBdr>
    </w:div>
    <w:div w:id="1210414434">
      <w:bodyDiv w:val="1"/>
      <w:marLeft w:val="0"/>
      <w:marRight w:val="0"/>
      <w:marTop w:val="0"/>
      <w:marBottom w:val="0"/>
      <w:divBdr>
        <w:top w:val="none" w:sz="0" w:space="0" w:color="auto"/>
        <w:left w:val="none" w:sz="0" w:space="0" w:color="auto"/>
        <w:bottom w:val="none" w:sz="0" w:space="0" w:color="auto"/>
        <w:right w:val="none" w:sz="0" w:space="0" w:color="auto"/>
      </w:divBdr>
    </w:div>
    <w:div w:id="1294558769">
      <w:bodyDiv w:val="1"/>
      <w:marLeft w:val="0"/>
      <w:marRight w:val="0"/>
      <w:marTop w:val="0"/>
      <w:marBottom w:val="0"/>
      <w:divBdr>
        <w:top w:val="none" w:sz="0" w:space="0" w:color="auto"/>
        <w:left w:val="none" w:sz="0" w:space="0" w:color="auto"/>
        <w:bottom w:val="none" w:sz="0" w:space="0" w:color="auto"/>
        <w:right w:val="none" w:sz="0" w:space="0" w:color="auto"/>
      </w:divBdr>
    </w:div>
    <w:div w:id="1306736395">
      <w:bodyDiv w:val="1"/>
      <w:marLeft w:val="0"/>
      <w:marRight w:val="0"/>
      <w:marTop w:val="0"/>
      <w:marBottom w:val="0"/>
      <w:divBdr>
        <w:top w:val="none" w:sz="0" w:space="0" w:color="auto"/>
        <w:left w:val="none" w:sz="0" w:space="0" w:color="auto"/>
        <w:bottom w:val="none" w:sz="0" w:space="0" w:color="auto"/>
        <w:right w:val="none" w:sz="0" w:space="0" w:color="auto"/>
      </w:divBdr>
    </w:div>
    <w:div w:id="1400132710">
      <w:bodyDiv w:val="1"/>
      <w:marLeft w:val="0"/>
      <w:marRight w:val="0"/>
      <w:marTop w:val="0"/>
      <w:marBottom w:val="0"/>
      <w:divBdr>
        <w:top w:val="none" w:sz="0" w:space="0" w:color="auto"/>
        <w:left w:val="none" w:sz="0" w:space="0" w:color="auto"/>
        <w:bottom w:val="none" w:sz="0" w:space="0" w:color="auto"/>
        <w:right w:val="none" w:sz="0" w:space="0" w:color="auto"/>
      </w:divBdr>
    </w:div>
    <w:div w:id="1409889623">
      <w:bodyDiv w:val="1"/>
      <w:marLeft w:val="0"/>
      <w:marRight w:val="0"/>
      <w:marTop w:val="0"/>
      <w:marBottom w:val="0"/>
      <w:divBdr>
        <w:top w:val="none" w:sz="0" w:space="0" w:color="auto"/>
        <w:left w:val="none" w:sz="0" w:space="0" w:color="auto"/>
        <w:bottom w:val="none" w:sz="0" w:space="0" w:color="auto"/>
        <w:right w:val="none" w:sz="0" w:space="0" w:color="auto"/>
      </w:divBdr>
    </w:div>
    <w:div w:id="1583837218">
      <w:bodyDiv w:val="1"/>
      <w:marLeft w:val="0"/>
      <w:marRight w:val="0"/>
      <w:marTop w:val="0"/>
      <w:marBottom w:val="0"/>
      <w:divBdr>
        <w:top w:val="none" w:sz="0" w:space="0" w:color="auto"/>
        <w:left w:val="none" w:sz="0" w:space="0" w:color="auto"/>
        <w:bottom w:val="none" w:sz="0" w:space="0" w:color="auto"/>
        <w:right w:val="none" w:sz="0" w:space="0" w:color="auto"/>
      </w:divBdr>
    </w:div>
    <w:div w:id="1628777085">
      <w:bodyDiv w:val="1"/>
      <w:marLeft w:val="0"/>
      <w:marRight w:val="0"/>
      <w:marTop w:val="0"/>
      <w:marBottom w:val="0"/>
      <w:divBdr>
        <w:top w:val="none" w:sz="0" w:space="0" w:color="auto"/>
        <w:left w:val="none" w:sz="0" w:space="0" w:color="auto"/>
        <w:bottom w:val="none" w:sz="0" w:space="0" w:color="auto"/>
        <w:right w:val="none" w:sz="0" w:space="0" w:color="auto"/>
      </w:divBdr>
    </w:div>
    <w:div w:id="1634213675">
      <w:bodyDiv w:val="1"/>
      <w:marLeft w:val="0"/>
      <w:marRight w:val="0"/>
      <w:marTop w:val="0"/>
      <w:marBottom w:val="0"/>
      <w:divBdr>
        <w:top w:val="none" w:sz="0" w:space="0" w:color="auto"/>
        <w:left w:val="none" w:sz="0" w:space="0" w:color="auto"/>
        <w:bottom w:val="none" w:sz="0" w:space="0" w:color="auto"/>
        <w:right w:val="none" w:sz="0" w:space="0" w:color="auto"/>
      </w:divBdr>
    </w:div>
    <w:div w:id="1671634740">
      <w:bodyDiv w:val="1"/>
      <w:marLeft w:val="0"/>
      <w:marRight w:val="0"/>
      <w:marTop w:val="0"/>
      <w:marBottom w:val="0"/>
      <w:divBdr>
        <w:top w:val="none" w:sz="0" w:space="0" w:color="auto"/>
        <w:left w:val="none" w:sz="0" w:space="0" w:color="auto"/>
        <w:bottom w:val="none" w:sz="0" w:space="0" w:color="auto"/>
        <w:right w:val="none" w:sz="0" w:space="0" w:color="auto"/>
      </w:divBdr>
    </w:div>
    <w:div w:id="1800028682">
      <w:bodyDiv w:val="1"/>
      <w:marLeft w:val="0"/>
      <w:marRight w:val="0"/>
      <w:marTop w:val="0"/>
      <w:marBottom w:val="0"/>
      <w:divBdr>
        <w:top w:val="none" w:sz="0" w:space="0" w:color="auto"/>
        <w:left w:val="none" w:sz="0" w:space="0" w:color="auto"/>
        <w:bottom w:val="none" w:sz="0" w:space="0" w:color="auto"/>
        <w:right w:val="none" w:sz="0" w:space="0" w:color="auto"/>
      </w:divBdr>
    </w:div>
    <w:div w:id="193936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Hen01</b:Tag>
    <b:SourceType>Book</b:SourceType>
    <b:Guid>{36F0D846-A890-AE4C-874D-B2E50733D4B7}</b:Guid>
    <b:Author>
      <b:Author>
        <b:NameList>
          <b:Person>
            <b:Last>Henderson</b:Last>
            <b:First>R</b:First>
          </b:Person>
          <b:Person>
            <b:Last>Pochin</b:Last>
            <b:First>M</b:First>
          </b:Person>
        </b:NameList>
      </b:Author>
    </b:Author>
    <b:Title>A right result? Advocacy, Justice and Empowerment</b:Title>
    <b:Year>2001</b:Year>
    <b:City>Bristol</b:City>
    <b:Publisher>Policy Press</b:Publisher>
    <b:RefOrder>2</b:RefOrder>
  </b:Source>
  <b:Source>
    <b:Tag>Tom12</b:Tag>
    <b:SourceType>Book</b:SourceType>
    <b:Guid>{5FDF22FB-A975-EE40-9191-770898844E6E}</b:Guid>
    <b:Author>
      <b:Author>
        <b:NameList>
          <b:Person>
            <b:Last>Wilks</b:Last>
            <b:First>Tom</b:First>
          </b:Person>
        </b:NameList>
      </b:Author>
    </b:Author>
    <b:Title>Advocacy and social work practice</b:Title>
    <b:City>Berkshire </b:City>
    <b:Publisher>McGraw Hill Companies</b:Publisher>
    <b:Year>2012</b:Year>
    <b:Edition>1st</b:Edition>
    <b:RefOrder>6</b:RefOrder>
  </b:Source>
  <b:Source>
    <b:Tag>Bra95</b:Tag>
    <b:SourceType>Book</b:SourceType>
    <b:Guid>{2B11E8DD-C3BC-4A4B-88A5-2DDDF94D2D8A}</b:Guid>
    <b:Author>
      <b:Author>
        <b:NameList>
          <b:Person>
            <b:Last>Brandon</b:Last>
            <b:First>D</b:First>
          </b:Person>
        </b:NameList>
      </b:Author>
    </b:Author>
    <b:Title>Advocacy Power To People With Disabilities</b:Title>
    <b:Year>1995</b:Year>
    <b:City>Birmingham</b:City>
    <b:Publisher>Venture Press</b:Publisher>
    <b:RefOrder>1</b:RefOrder>
  </b:Source>
  <b:Source>
    <b:Tag>Wri141</b:Tag>
    <b:SourceType>Book</b:SourceType>
    <b:Guid>{4FC2FE25-23A9-384A-AF4A-61BD50B38AAF}</b:Guid>
    <b:Author>
      <b:Author>
        <b:NameList>
          <b:Person>
            <b:Last>Wright</b:Last>
            <b:First>Amy</b:First>
            <b:Middle>Conley</b:Middle>
          </b:Person>
          <b:Person>
            <b:Last>Jaffe</b:Last>
            <b:Middle>J</b:Middle>
            <b:First>Kenneth</b:First>
          </b:Person>
        </b:NameList>
      </b:Author>
    </b:Author>
    <b:Title>Six steps to Successful Child Advocacy </b:Title>
    <b:City>London</b:City>
    <b:Publisher>Sage</b:Publisher>
    <b:Year>2014</b:Year>
    <b:RefOrder>7</b:RefOrder>
  </b:Source>
  <b:Source>
    <b:Tag>Boy09</b:Tag>
    <b:SourceType>Book</b:SourceType>
    <b:Guid>{F8E8676A-D746-5941-A435-BBA04D2EB633}</b:Guid>
    <b:Author>
      <b:Author>
        <b:NameList>
          <b:Person>
            <b:Last>Boylan</b:Last>
            <b:First>Jane</b:First>
          </b:Person>
          <b:Person>
            <b:Last>Dalrymple</b:Last>
            <b:First>Jane</b:First>
          </b:Person>
        </b:NameList>
      </b:Author>
    </b:Author>
    <b:Title>Understanding Advocacy for children and young people</b:Title>
    <b:City>Berkshire</b:City>
    <b:Publisher>Open University Press</b:Publisher>
    <b:Year>2009</b:Year>
    <b:RefOrder>8</b:RefOrder>
  </b:Source>
  <b:Source>
    <b:Tag>Oli08</b:Tag>
    <b:SourceType>Book</b:SourceType>
    <b:Guid>{D91E12ED-C0E8-694B-BC1A-9904ED1C87CB}</b:Guid>
    <b:Author>
      <b:Author>
        <b:NameList>
          <b:Person>
            <b:Last>Oliver</b:Last>
            <b:First>C</b:First>
          </b:Person>
          <b:Person>
            <b:Last>Dalrymple</b:Last>
            <b:First>J</b:First>
          </b:Person>
        </b:NameList>
      </b:Author>
    </b:Author>
    <b:Title>Developing Advocacy for Children and Young People: Developing issues in Researchm Policy and Practice </b:Title>
    <b:City>London</b:City>
    <b:Publisher>Jessica Kingsley</b:Publisher>
    <b:Year>2008</b:Year>
    <b:RefOrder>9</b:RefOrder>
  </b:Source>
  <b:Source>
    <b:Tag>Pri06</b:Tag>
    <b:SourceType>Book</b:SourceType>
    <b:Guid>{240EC83F-5425-7C40-9231-AFDB6A715E9A}</b:Guid>
    <b:Author>
      <b:Author>
        <b:NameList>
          <b:Person>
            <b:Last>Prior</b:Last>
            <b:First>Vivien</b:First>
          </b:Person>
          <b:Person>
            <b:Last>Glaser</b:Last>
            <b:First>Danya</b:First>
          </b:Person>
        </b:NameList>
      </b:Author>
    </b:Author>
    <b:Title>Understanding Attachment and Attatchment Disorders</b:Title>
    <b:City>London</b:City>
    <b:Publisher>Jessica Kingsley Publishers</b:Publisher>
    <b:Year>2006</b:Year>
    <b:RefOrder>10</b:RefOrder>
  </b:Source>
  <b:Source>
    <b:Tag>Jen12</b:Tag>
    <b:SourceType>Book</b:SourceType>
    <b:Guid>{D27D85C5-0FC1-2A4B-B4F2-8A35735E30E8}</b:Guid>
    <b:Author>
      <b:Author>
        <b:NameList>
          <b:Person>
            <b:Last>Lindon</b:Last>
            <b:First>Jennie</b:First>
          </b:Person>
        </b:NameList>
      </b:Author>
    </b:Author>
    <b:Title>Safeguarding and Child Protection</b:Title>
    <b:City>London</b:City>
    <b:Publisher>Hodder Education</b:Publisher>
    <b:Year>2012</b:Year>
    <b:Edition>4th </b:Edition>
    <b:RefOrder>3</b:RefOrder>
  </b:Source>
  <b:Source>
    <b:Tag>Pet13</b:Tag>
    <b:SourceType>Book</b:SourceType>
    <b:Guid>{590716AE-A045-8549-A30B-3F270BF3BE54}</b:Guid>
    <b:Author>
      <b:Author>
        <b:NameList>
          <b:Person>
            <b:Last>Jenkins</b:Last>
            <b:First>Peter</b:First>
          </b:Person>
        </b:NameList>
      </b:Author>
    </b:Author>
    <b:Title>Exploring Childrens Rights</b:Title>
    <b:City>Hove</b:City>
    <b:Publisher>Pavilion</b:Publisher>
    <b:Year>2013</b:Year>
    <b:Edition>2nd</b:Edition>
    <b:RefOrder>4</b:RefOrder>
  </b:Source>
  <b:Source>
    <b:Tag>The09</b:Tag>
    <b:SourceType>InternetSite</b:SourceType>
    <b:Guid>{8F52DFD9-9EF1-3F47-A4C2-C2D052E7A946}</b:Guid>
    <b:Title>Lord Lamings review of Baby P failures</b:Title>
    <b:Year>2009</b:Year>
    <b:Author>
      <b:Author>
        <b:NameList>
          <b:Person>
            <b:Last>Telegraph</b:Last>
            <b:First>The</b:First>
          </b:Person>
        </b:NameList>
      </b:Author>
    </b:Author>
    <b:URL>https://www.telegraph.co.uk/news/uknews/baby-p/5283897/Lord-Lamings-review-of-Baby-P-failures.html</b:URL>
    <b:YearAccessed>2019</b:YearAccessed>
    <b:MonthAccessed>2</b:MonthAccessed>
    <b:DayAccessed>25</b:DayAccessed>
    <b:RefOrder>5</b:RefOrder>
  </b:Source>
  <b:Source>
    <b:Tag>NSP18</b:Tag>
    <b:SourceType>InternetSite</b:SourceType>
    <b:Guid>{8151B38F-5977-7C46-B542-A2932793C7E3}</b:Guid>
    <b:Author>
      <b:Author>
        <b:NameList>
          <b:Person>
            <b:Last>NSPCC</b:Last>
          </b:Person>
        </b:NameList>
      </b:Author>
    </b:Author>
    <b:Title>Child Protection System in Wales</b:Title>
    <b:URL>https://learning.nspcc.org.uk/child-protection-system/wales/?_ga=2.80852626.449154587.1551179512-1444266141.1549459871</b:URL>
    <b:Year>2018</b:Year>
    <b:YearAccessed>2019</b:YearAccessed>
    <b:MonthAccessed>2</b:MonthAccessed>
    <b:DayAccessed>26</b:DayAccessed>
    <b:RefOrder>11</b:RefOrder>
  </b:Source>
  <b:Source>
    <b:Tag>Adv14</b:Tag>
    <b:SourceType>InternetSite</b:SourceType>
    <b:Guid>{687AC9B4-A786-DA45-8D95-5152F842B831}</b:Guid>
    <b:URL>https://qualityadvocacy.org.uk/wp-content/uploads/2018/05/Code-of-Practice-1.pdf</b:URL>
    <b:Year>2014</b:Year>
    <b:YearAccessed>2019</b:YearAccessed>
    <b:MonthAccessed>2</b:MonthAccessed>
    <b:DayAccessed>24</b:DayAccessed>
    <b:Author>
      <b:Author>
        <b:NameList>
          <b:Person>
            <b:Last>ADVOCACYCODEOFPRACTICE</b:Last>
          </b:Person>
        </b:NameList>
      </b:Author>
    </b:Author>
    <b:RefOrder>12</b:RefOrder>
  </b:Source>
  <b:Source>
    <b:Tag>DAT98</b:Tag>
    <b:SourceType>InternetSite</b:SourceType>
    <b:Guid>{E15E14C3-3925-1247-B951-2F2EB002C135}</b:Guid>
    <b:Author>
      <b:Author>
        <b:NameList>
          <b:Person>
            <b:Last>DATAPROTECTIONACT</b:Last>
          </b:Person>
        </b:NameList>
      </b:Author>
    </b:Author>
    <b:URL>https://www.legislation.gov.uk/ukpga/1998/29/pdfs/ukpga_19980029_en.pdf</b:URL>
    <b:Year>1998</b:Year>
    <b:YearAccessed>2019</b:YearAccessed>
    <b:MonthAccessed>2</b:MonthAccessed>
    <b:DayAccessed>24</b:DayAccessed>
    <b:RefOrder>13</b:RefOrder>
  </b:Source>
  <b:Source>
    <b:Tag>CHI89</b:Tag>
    <b:SourceType>InternetSite</b:SourceType>
    <b:Guid>{EEECFFA2-FABC-C34D-B847-9FAB07AEC269}</b:Guid>
    <b:Author>
      <b:Author>
        <b:NameList>
          <b:Person>
            <b:Last>CHILDRENACT1989</b:Last>
          </b:Person>
        </b:NameList>
      </b:Author>
    </b:Author>
    <b:URL>https://www.legislation.gov.uk/ukpga/1989/41/contents/data.pdf</b:URL>
    <b:Year>1989</b:Year>
    <b:YearAccessed>2019</b:YearAccessed>
    <b:MonthAccessed>2</b:MonthAccessed>
    <b:DayAccessed>24</b:DayAccessed>
    <b:RefOrder>14</b:RefOrder>
  </b:Source>
  <b:Source>
    <b:Tag>UNI</b:Tag>
    <b:SourceType>InternetSite</b:SourceType>
    <b:Guid>{A822F5EB-C7CB-224E-A215-C4CD3B924951}</b:Guid>
    <b:Author>
      <b:Author>
        <b:NameList>
          <b:Person>
            <b:Last>UNITEDNATIONSCONVENTIONOFTHERIGHTSOFTHECHILD1989</b:Last>
          </b:Person>
        </b:NameList>
      </b:Author>
    </b:Author>
    <b:Title>Unicef</b:Title>
    <b:URL>https://www.unicef.org.uk/wp-content/uploads/2010/05/UNCRC_united_nations_convention_on_the_rights_of_the_child.pdf</b:URL>
    <b:RefOrder>15</b:RefOrder>
  </b:Source>
  <b:Source>
    <b:Tag>soc14</b:Tag>
    <b:SourceType>InternetSite</b:SourceType>
    <b:Guid>{4866F0F5-EEE5-F946-8AF1-C9425E4A5F41}</b:Guid>
    <b:Author>
      <b:Author>
        <b:NameList>
          <b:Person>
            <b:Last>socialservicesandwellbeingactwales</b:Last>
          </b:Person>
        </b:NameList>
      </b:Author>
    </b:Author>
    <b:URL>http://www.legislation.gov.uk/anaw/2014/4/pdfs/anaw_20140004_en.pdf</b:URL>
    <b:Year>2014</b:Year>
    <b:YearAccessed>2019</b:YearAccessed>
    <b:MonthAccessed>2</b:MonthAccessed>
    <b:DayAccessed>24</b:DayAccessed>
    <b:RefOrder>16</b:RefOrder>
  </b:Source>
  <b:Source>
    <b:Tag>EVE03</b:Tag>
    <b:SourceType>InternetSite</b:SourceType>
    <b:Guid>{D5CDA688-256D-1F41-933C-812B966E6DB1}</b:Guid>
    <b:Author>
      <b:Author>
        <b:NameList>
          <b:Person>
            <b:Last>EVERYCHILDMATTERS</b:Last>
          </b:Person>
        </b:NameList>
      </b:Author>
    </b:Author>
    <b:URL>https://assets.publishing.service.gov.uk/government/uploads/system/uploads/attachment_data/file/272064/5860.pdf</b:URL>
    <b:Year>2003</b:Year>
    <b:YearAccessed>2019</b:YearAccessed>
    <b:MonthAccessed>2</b:MonthAccessed>
    <b:DayAccessed>24</b:DayAccessed>
    <b:RefOrder>17</b:RefOrder>
  </b:Source>
  <b:Source>
    <b:Tag>chi</b:Tag>
    <b:SourceType>InternetSite</b:SourceType>
    <b:Guid>{E224EE8C-91FB-F341-99E4-5554C5020038}</b:Guid>
    <b:Author>
      <b:Author>
        <b:NameList>
          <b:Person>
            <b:Last>childrenact2004</b:Last>
          </b:Person>
        </b:NameList>
      </b:Author>
    </b:Author>
    <b:URL>http://www.legislation.gov.uk/ukpga/2004/31/notes/data.pdf</b:URL>
    <b:Year>2004</b:Year>
    <b:YearAccessed>2019</b:YearAccessed>
    <b:MonthAccessed>2</b:MonthAccessed>
    <b:DayAccessed>24</b:DayAccessed>
    <b:RefOrder>18</b:RefOrder>
  </b:Source>
  <b:Source>
    <b:Tag>IND16</b:Tag>
    <b:SourceType>InternetSite</b:SourceType>
    <b:Guid>{95B18546-5AE0-E343-AED8-9F1518B8D22A}</b:Guid>
    <b:Author>
      <b:Author>
        <b:NameList>
          <b:Person>
            <b:Last>CHILDREN</b:Last>
            <b:First>INDEPENDENT</b:First>
            <b:Middle>ADVOCACY: IMPACT AND OUTCOMES FOR</b:Middle>
          </b:Person>
        </b:NameList>
      </b:Author>
    </b:Author>
    <b:URL>https://www.childrenscommissioner.gov.uk/wp-content/uploads/2017/06/Independent-Advocacy-Impact-and-outcomes-for-children-and-young-people-UCLAN-and-NCB_0.pdf</b:URL>
    <b:Year>2016</b:Year>
    <b:YearAccessed>2019</b:YearAccessed>
    <b:MonthAccessed>2</b:MonthAccessed>
    <b:DayAccessed>24</b:DayAccessed>
    <b:RefOrder>19</b:RefOrder>
  </b:Source>
</b:Sources>
</file>

<file path=customXml/itemProps1.xml><?xml version="1.0" encoding="utf-8"?>
<ds:datastoreItem xmlns:ds="http://schemas.openxmlformats.org/officeDocument/2006/customXml" ds:itemID="{50B1B815-E480-1149-9C23-138A910B4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3004</Words>
  <Characters>17126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2019-02-25T19:46:00Z</cp:lastPrinted>
  <dcterms:created xsi:type="dcterms:W3CDTF">2019-03-11T16:04:00Z</dcterms:created>
  <dcterms:modified xsi:type="dcterms:W3CDTF">2019-03-11T16:04:00Z</dcterms:modified>
</cp:coreProperties>
</file>