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6FE34" w14:textId="77777777" w:rsidR="00F04DC5" w:rsidRDefault="00F04DC5" w:rsidP="00F04DC5">
      <w:r>
        <w:t>Introduction</w:t>
      </w:r>
    </w:p>
    <w:p w14:paraId="70EA5753" w14:textId="77777777" w:rsidR="007B38C5" w:rsidRDefault="007B38C5" w:rsidP="00F04DC5"/>
    <w:p w14:paraId="2F12E603" w14:textId="77777777" w:rsidR="00F04DC5" w:rsidRPr="00E6169E" w:rsidRDefault="00F04DC5" w:rsidP="00F04DC5">
      <w:r>
        <w:t>The education system in Wales is currently changing, with Professor Graham Donaldson (</w:t>
      </w:r>
      <w:r w:rsidRPr="00DC5493">
        <w:t xml:space="preserve">2015) </w:t>
      </w:r>
      <w:r>
        <w:t xml:space="preserve">introducing a new curriculum that aims to create independent, creative, ethically informed individuals who will be an asset to Wales and the Welsh culture. However, it is essential that we still recognise the work of previous theorists, including Vygotsky and Bruner who identified that social interactions are essential to developing a child’s knowledge </w:t>
      </w:r>
      <w:r>
        <w:rPr>
          <w:rStyle w:val="Hyperlink"/>
          <w:color w:val="auto"/>
          <w:u w:val="none"/>
        </w:rPr>
        <w:t xml:space="preserve">(Webb and </w:t>
      </w:r>
      <w:proofErr w:type="spellStart"/>
      <w:r>
        <w:rPr>
          <w:rStyle w:val="Hyperlink"/>
          <w:color w:val="auto"/>
          <w:u w:val="none"/>
        </w:rPr>
        <w:t>Mastergeorge</w:t>
      </w:r>
      <w:proofErr w:type="spellEnd"/>
      <w:r>
        <w:rPr>
          <w:rStyle w:val="Hyperlink"/>
          <w:color w:val="auto"/>
          <w:u w:val="none"/>
        </w:rPr>
        <w:t>, 2003).</w:t>
      </w:r>
    </w:p>
    <w:p w14:paraId="030EC1C2" w14:textId="77777777" w:rsidR="00F04DC5" w:rsidRDefault="00F04DC5" w:rsidP="00F04DC5">
      <w:pPr>
        <w:spacing w:after="0" w:line="240" w:lineRule="auto"/>
      </w:pPr>
      <w:r>
        <w:t xml:space="preserve">This assignment aims to explore talk, specifically exploratory talk that is being used in classroom. Following on from this, the observation I witnessed will be connected to social constructivism and scaffolding in order to gain a better understanding of why and how theories are used in a classroom. </w:t>
      </w:r>
    </w:p>
    <w:p w14:paraId="682BD996" w14:textId="77777777" w:rsidR="00F04DC5" w:rsidRDefault="00F04DC5" w:rsidP="00F04DC5">
      <w:pPr>
        <w:spacing w:after="0" w:line="240" w:lineRule="auto"/>
      </w:pPr>
    </w:p>
    <w:p w14:paraId="75472C7A" w14:textId="77777777" w:rsidR="00F04DC5" w:rsidRDefault="00F04DC5" w:rsidP="00F04DC5">
      <w:pPr>
        <w:spacing w:after="0" w:line="240" w:lineRule="auto"/>
      </w:pPr>
      <w:r>
        <w:t xml:space="preserve">For this assignment, my observation took place a large primary school in a urban area of South Wales. This school consists of 471 pupils between 3-11 years old spread across nursery, foundation phase and key stage two. Following the schools latest ESTYN report, the school received a green status with 21% of its pupils being entitled to free school meals. For the purpose of this assignment, in accordance with BERA (2018) I have chosen to anonymous the school, teachers and pupils. This is to ensure confidentiality and safeguard all pupils and staff. </w:t>
      </w:r>
    </w:p>
    <w:p w14:paraId="4682451F" w14:textId="77777777" w:rsidR="00F04DC5" w:rsidRDefault="00F04DC5" w:rsidP="00F04DC5">
      <w:pPr>
        <w:spacing w:after="0" w:line="240" w:lineRule="auto"/>
      </w:pPr>
    </w:p>
    <w:p w14:paraId="0EA29965" w14:textId="77777777" w:rsidR="00F04DC5" w:rsidRDefault="00F04DC5" w:rsidP="00F04DC5">
      <w:pPr>
        <w:spacing w:after="0" w:line="240" w:lineRule="auto"/>
        <w:rPr>
          <w:u w:val="single"/>
        </w:rPr>
      </w:pPr>
      <w:r>
        <w:rPr>
          <w:u w:val="single"/>
        </w:rPr>
        <w:t>Part 1: Observe (1500)</w:t>
      </w:r>
    </w:p>
    <w:p w14:paraId="0EE37716" w14:textId="77777777" w:rsidR="00F04DC5" w:rsidRDefault="00F04DC5" w:rsidP="00F04DC5">
      <w:pPr>
        <w:spacing w:after="0" w:line="240" w:lineRule="auto"/>
        <w:rPr>
          <w:u w:val="single"/>
        </w:rPr>
      </w:pPr>
    </w:p>
    <w:p w14:paraId="475C2DBB" w14:textId="77777777" w:rsidR="00F04DC5" w:rsidRPr="002F361F" w:rsidRDefault="00F04DC5" w:rsidP="00F04DC5">
      <w:pPr>
        <w:spacing w:after="0" w:line="240" w:lineRule="auto"/>
      </w:pPr>
      <w:r>
        <w:rPr>
          <w:color w:val="FF0000"/>
        </w:rPr>
        <w:t>In this assignment,</w:t>
      </w:r>
      <w:r>
        <w:t xml:space="preserve"> </w:t>
      </w:r>
      <w:proofErr w:type="spellStart"/>
      <w:r>
        <w:t>oracy</w:t>
      </w:r>
      <w:proofErr w:type="spellEnd"/>
      <w:r>
        <w:t xml:space="preserve"> and language skills were observed while children were reading, discussing and questioning a Welsh storybook. Through this task, a group of children were able converse together in order to develop their knowledge and understanding skills. One book suggests that </w:t>
      </w:r>
      <w:proofErr w:type="spellStart"/>
      <w:r>
        <w:t>childrens</w:t>
      </w:r>
      <w:proofErr w:type="spellEnd"/>
      <w:r>
        <w:t xml:space="preserve"> cognitive development can be enhanced by the language they use and the language they hear around them (Alexander, 2004)</w:t>
      </w:r>
    </w:p>
    <w:p w14:paraId="36533540" w14:textId="77777777" w:rsidR="00F04DC5" w:rsidRDefault="00F04DC5" w:rsidP="00F04DC5">
      <w:pPr>
        <w:spacing w:after="0" w:line="240" w:lineRule="auto"/>
      </w:pPr>
      <w:r>
        <w:t xml:space="preserve">To record this observation, I used written notes. This tool enabled me to record the entire of the observation from the background and it ensured that I did not disrupt the observation while it took place. </w:t>
      </w:r>
      <w:proofErr w:type="spellStart"/>
      <w:r>
        <w:t>Futhermore</w:t>
      </w:r>
      <w:proofErr w:type="spellEnd"/>
      <w:r>
        <w:t>, using written note only required a small amount of resources meaning that the observation was easy to record. Recording using written notes doesn’t require any previous knowledge about the pupils being observed and it allows the observation to take place at real time.</w:t>
      </w:r>
    </w:p>
    <w:p w14:paraId="312EBBAE" w14:textId="77777777" w:rsidR="00F04DC5" w:rsidRDefault="00F04DC5" w:rsidP="00F04DC5">
      <w:pPr>
        <w:spacing w:after="0" w:line="240" w:lineRule="auto"/>
      </w:pPr>
      <w:r>
        <w:t xml:space="preserve">However, one limitation with this tool is that it can result in sections of the observation being missed if the observer does not record the observation quick enough (Hobart and Frankel, 2009:31, 37).  </w:t>
      </w:r>
    </w:p>
    <w:p w14:paraId="68E2DD79" w14:textId="77777777" w:rsidR="00F04DC5" w:rsidRDefault="00F04DC5" w:rsidP="00F04DC5">
      <w:pPr>
        <w:spacing w:after="0" w:line="240" w:lineRule="auto"/>
      </w:pPr>
    </w:p>
    <w:p w14:paraId="62574DEF" w14:textId="77777777" w:rsidR="00F04DC5" w:rsidRDefault="00F04DC5" w:rsidP="00F04DC5">
      <w:pPr>
        <w:spacing w:after="0" w:line="240" w:lineRule="auto"/>
      </w:pPr>
      <w:r>
        <w:t>For the purpose of this assignment, my recent observation took place in a year 1 classroom. All the children were sat in specific spaces on the carpet facing the teacher who had set up a Welsh story book on the interactive white board. The children were aware of the characters in the book and were engaged in the task. The children worked in groups and were able to analyse and criticise the text with assistance from their peers and teacher. Observing children in this Welsh session has shown me how language can be used to develop independent thinking and understanding.</w:t>
      </w:r>
    </w:p>
    <w:p w14:paraId="4A55C801" w14:textId="77777777" w:rsidR="00F04DC5" w:rsidRPr="00BA6C71" w:rsidRDefault="00F04DC5" w:rsidP="00F04DC5">
      <w:pPr>
        <w:spacing w:after="0" w:line="240" w:lineRule="auto"/>
      </w:pPr>
      <w:r>
        <w:t>The whole class listened to and read a Welsh book from the board entitled ‘</w:t>
      </w:r>
      <w:proofErr w:type="spellStart"/>
      <w:r>
        <w:t>Tedi</w:t>
      </w:r>
      <w:proofErr w:type="spellEnd"/>
      <w:r>
        <w:t xml:space="preserve"> </w:t>
      </w:r>
      <w:proofErr w:type="spellStart"/>
      <w:r>
        <w:t>Twt</w:t>
      </w:r>
      <w:proofErr w:type="spellEnd"/>
      <w:r>
        <w:t xml:space="preserve"> a </w:t>
      </w:r>
      <w:proofErr w:type="spellStart"/>
      <w:r>
        <w:t>Doli</w:t>
      </w:r>
      <w:proofErr w:type="spellEnd"/>
      <w:r>
        <w:t xml:space="preserve"> </w:t>
      </w:r>
      <w:proofErr w:type="spellStart"/>
      <w:r>
        <w:t>Glwt</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w:t>
      </w:r>
      <w:r w:rsidRPr="004E592C">
        <w:rPr>
          <w:color w:val="FF0000"/>
        </w:rPr>
        <w:t>REF</w:t>
      </w:r>
      <w:r>
        <w:t xml:space="preserve">). The teacher asked questions about the first page of the story and groups of children used their knowledge of Welsh and the pictures in front of them to answer. </w:t>
      </w:r>
      <w:r w:rsidRPr="00F13D54">
        <w:rPr>
          <w:color w:val="FF0000"/>
        </w:rPr>
        <w:t>The conversation proceeded as follows:</w:t>
      </w:r>
    </w:p>
    <w:p w14:paraId="57E6A3B5" w14:textId="77777777" w:rsidR="00F04DC5" w:rsidRDefault="00F04DC5" w:rsidP="00F04DC5">
      <w:pPr>
        <w:spacing w:after="0" w:line="240" w:lineRule="auto"/>
      </w:pPr>
    </w:p>
    <w:p w14:paraId="46232C52" w14:textId="77777777" w:rsidR="00F04DC5" w:rsidRDefault="00F04DC5" w:rsidP="00F04DC5">
      <w:pPr>
        <w:spacing w:after="0" w:line="240" w:lineRule="auto"/>
      </w:pPr>
      <w:r>
        <w:t xml:space="preserve">Teacher: (asking all the groups of children on the carpet) ‘This story is about </w:t>
      </w:r>
      <w:proofErr w:type="spellStart"/>
      <w:r>
        <w:t>Tedi</w:t>
      </w:r>
      <w:proofErr w:type="spellEnd"/>
      <w:r>
        <w:t xml:space="preserve"> </w:t>
      </w:r>
      <w:proofErr w:type="spellStart"/>
      <w:r>
        <w:t>Twt</w:t>
      </w:r>
      <w:proofErr w:type="spellEnd"/>
      <w:r>
        <w:t xml:space="preserve"> and </w:t>
      </w:r>
      <w:proofErr w:type="spellStart"/>
      <w:r>
        <w:t>Doli</w:t>
      </w:r>
      <w:proofErr w:type="spellEnd"/>
      <w:r>
        <w:t xml:space="preserve"> </w:t>
      </w:r>
      <w:proofErr w:type="spellStart"/>
      <w:r>
        <w:t>Glwt</w:t>
      </w:r>
      <w:proofErr w:type="spellEnd"/>
      <w:r>
        <w:t>. What are they doing on this page?’ (The pupils in one group discussed the answer and the teacher responded accordingly).</w:t>
      </w:r>
    </w:p>
    <w:p w14:paraId="4E683043" w14:textId="77777777" w:rsidR="00F04DC5" w:rsidRDefault="00F04DC5" w:rsidP="00F04DC5">
      <w:pPr>
        <w:spacing w:after="0" w:line="240" w:lineRule="auto"/>
      </w:pPr>
    </w:p>
    <w:p w14:paraId="0E105874" w14:textId="77777777" w:rsidR="00F04DC5" w:rsidRDefault="00F04DC5" w:rsidP="00F04DC5">
      <w:pPr>
        <w:spacing w:after="0" w:line="240" w:lineRule="auto"/>
      </w:pPr>
      <w:r>
        <w:t>Pupil 1: ‘</w:t>
      </w:r>
      <w:proofErr w:type="spellStart"/>
      <w:r>
        <w:t>Tedi</w:t>
      </w:r>
      <w:proofErr w:type="spellEnd"/>
      <w:r>
        <w:t xml:space="preserve"> </w:t>
      </w:r>
      <w:proofErr w:type="spellStart"/>
      <w:r>
        <w:t>Twt</w:t>
      </w:r>
      <w:proofErr w:type="spellEnd"/>
      <w:r>
        <w:t xml:space="preserve"> and </w:t>
      </w:r>
      <w:proofErr w:type="spellStart"/>
      <w:r>
        <w:t>Doli</w:t>
      </w:r>
      <w:proofErr w:type="spellEnd"/>
      <w:r>
        <w:t xml:space="preserve"> </w:t>
      </w:r>
      <w:proofErr w:type="spellStart"/>
      <w:r>
        <w:t>Glwt</w:t>
      </w:r>
      <w:proofErr w:type="spellEnd"/>
      <w:r>
        <w:t xml:space="preserve"> are going to have dinner’</w:t>
      </w:r>
    </w:p>
    <w:p w14:paraId="241E1303" w14:textId="77777777" w:rsidR="00F04DC5" w:rsidRDefault="00F04DC5" w:rsidP="00F04DC5">
      <w:pPr>
        <w:spacing w:after="0" w:line="240" w:lineRule="auto"/>
      </w:pPr>
    </w:p>
    <w:p w14:paraId="30CC2EC3" w14:textId="77777777" w:rsidR="00F04DC5" w:rsidRDefault="00F04DC5" w:rsidP="00F04DC5">
      <w:pPr>
        <w:spacing w:after="0" w:line="240" w:lineRule="auto"/>
      </w:pPr>
      <w:r>
        <w:t xml:space="preserve">Pupil 2: ‘No. </w:t>
      </w:r>
      <w:proofErr w:type="spellStart"/>
      <w:r>
        <w:t>Tedi</w:t>
      </w:r>
      <w:proofErr w:type="spellEnd"/>
      <w:r>
        <w:t xml:space="preserve"> </w:t>
      </w:r>
      <w:proofErr w:type="spellStart"/>
      <w:r>
        <w:t>Twt</w:t>
      </w:r>
      <w:proofErr w:type="spellEnd"/>
      <w:r>
        <w:t xml:space="preserve"> has a lunchbox. He is sandwiches’</w:t>
      </w:r>
    </w:p>
    <w:p w14:paraId="242AAC0F" w14:textId="77777777" w:rsidR="00F04DC5" w:rsidRDefault="00F04DC5" w:rsidP="00F04DC5">
      <w:pPr>
        <w:spacing w:after="0" w:line="240" w:lineRule="auto"/>
      </w:pPr>
    </w:p>
    <w:p w14:paraId="14177E4A" w14:textId="77777777" w:rsidR="00F04DC5" w:rsidRDefault="00F04DC5" w:rsidP="00F04DC5">
      <w:pPr>
        <w:spacing w:after="0" w:line="240" w:lineRule="auto"/>
      </w:pPr>
      <w:r>
        <w:t>Pupil 1: ‘</w:t>
      </w:r>
      <w:proofErr w:type="spellStart"/>
      <w:r>
        <w:t>Doli</w:t>
      </w:r>
      <w:proofErr w:type="spellEnd"/>
      <w:r>
        <w:t xml:space="preserve"> </w:t>
      </w:r>
      <w:proofErr w:type="spellStart"/>
      <w:r>
        <w:t>Glwt</w:t>
      </w:r>
      <w:proofErr w:type="spellEnd"/>
      <w:r>
        <w:t xml:space="preserve"> does not have a lunchbox’</w:t>
      </w:r>
    </w:p>
    <w:p w14:paraId="64549141" w14:textId="77777777" w:rsidR="00F04DC5" w:rsidRDefault="00F04DC5" w:rsidP="00F04DC5">
      <w:pPr>
        <w:spacing w:after="0" w:line="240" w:lineRule="auto"/>
      </w:pPr>
    </w:p>
    <w:p w14:paraId="1B55698B" w14:textId="77777777" w:rsidR="00F04DC5" w:rsidRDefault="00F04DC5" w:rsidP="00F04DC5">
      <w:pPr>
        <w:spacing w:after="0" w:line="240" w:lineRule="auto"/>
      </w:pPr>
      <w:r>
        <w:t xml:space="preserve">Teacher: ‘What does </w:t>
      </w:r>
      <w:proofErr w:type="spellStart"/>
      <w:r>
        <w:t>Doli</w:t>
      </w:r>
      <w:proofErr w:type="spellEnd"/>
      <w:r>
        <w:t xml:space="preserve"> </w:t>
      </w:r>
      <w:proofErr w:type="spellStart"/>
      <w:r>
        <w:t>Glwt</w:t>
      </w:r>
      <w:proofErr w:type="spellEnd"/>
      <w:r>
        <w:t xml:space="preserve"> have?’</w:t>
      </w:r>
    </w:p>
    <w:p w14:paraId="36BEC7CC" w14:textId="77777777" w:rsidR="00F04DC5" w:rsidRDefault="00F04DC5" w:rsidP="00F04DC5">
      <w:pPr>
        <w:spacing w:after="0" w:line="240" w:lineRule="auto"/>
      </w:pPr>
    </w:p>
    <w:p w14:paraId="5003AFD4" w14:textId="77777777" w:rsidR="00F04DC5" w:rsidRDefault="00F04DC5" w:rsidP="00F04DC5">
      <w:pPr>
        <w:spacing w:after="0" w:line="240" w:lineRule="auto"/>
      </w:pPr>
      <w:r>
        <w:t>Pupil 3: ‘</w:t>
      </w:r>
      <w:proofErr w:type="spellStart"/>
      <w:r>
        <w:t>Doli</w:t>
      </w:r>
      <w:proofErr w:type="spellEnd"/>
      <w:r>
        <w:t xml:space="preserve"> </w:t>
      </w:r>
      <w:proofErr w:type="spellStart"/>
      <w:r>
        <w:t>Glwt</w:t>
      </w:r>
      <w:proofErr w:type="spellEnd"/>
      <w:r>
        <w:t xml:space="preserve"> doesn’t have a lunch box. She only has a book bag’</w:t>
      </w:r>
    </w:p>
    <w:p w14:paraId="387D463C" w14:textId="77777777" w:rsidR="00F04DC5" w:rsidRDefault="00F04DC5" w:rsidP="00F04DC5">
      <w:pPr>
        <w:spacing w:after="0" w:line="240" w:lineRule="auto"/>
      </w:pPr>
    </w:p>
    <w:p w14:paraId="38FC4D0E" w14:textId="77777777" w:rsidR="00F04DC5" w:rsidRDefault="00F04DC5" w:rsidP="00F04DC5">
      <w:pPr>
        <w:spacing w:after="0" w:line="240" w:lineRule="auto"/>
      </w:pPr>
      <w:r>
        <w:t xml:space="preserve">Teacher: Why do you think </w:t>
      </w:r>
      <w:proofErr w:type="spellStart"/>
      <w:r>
        <w:t>Doli</w:t>
      </w:r>
      <w:proofErr w:type="spellEnd"/>
      <w:r>
        <w:t xml:space="preserve"> </w:t>
      </w:r>
      <w:proofErr w:type="spellStart"/>
      <w:r>
        <w:t>Glwt</w:t>
      </w:r>
      <w:proofErr w:type="spellEnd"/>
      <w:r>
        <w:t xml:space="preserve"> does not have a lunchbox?</w:t>
      </w:r>
    </w:p>
    <w:p w14:paraId="4224E315" w14:textId="77777777" w:rsidR="00F04DC5" w:rsidRDefault="00F04DC5" w:rsidP="00F04DC5">
      <w:pPr>
        <w:spacing w:after="0" w:line="240" w:lineRule="auto"/>
      </w:pPr>
    </w:p>
    <w:p w14:paraId="1C288408" w14:textId="77777777" w:rsidR="00F04DC5" w:rsidRDefault="00F04DC5" w:rsidP="00F04DC5">
      <w:pPr>
        <w:spacing w:after="0" w:line="240" w:lineRule="auto"/>
      </w:pPr>
      <w:r>
        <w:t>Pupil 3: ‘I don’t know (long pause), um, she isn’t having any food today’</w:t>
      </w:r>
    </w:p>
    <w:p w14:paraId="595DF3DB" w14:textId="77777777" w:rsidR="00F04DC5" w:rsidRDefault="00F04DC5" w:rsidP="00F04DC5">
      <w:pPr>
        <w:spacing w:after="0" w:line="240" w:lineRule="auto"/>
      </w:pPr>
    </w:p>
    <w:p w14:paraId="0461074E" w14:textId="77777777" w:rsidR="00F04DC5" w:rsidRDefault="00F04DC5" w:rsidP="00F04DC5">
      <w:pPr>
        <w:spacing w:after="0" w:line="240" w:lineRule="auto"/>
      </w:pPr>
      <w:r>
        <w:t>Pupil 1</w:t>
      </w:r>
      <w:bookmarkStart w:id="0" w:name="_Hlk526539336"/>
      <w:r>
        <w:t>: No... she must be having cooked dinners’</w:t>
      </w:r>
      <w:bookmarkEnd w:id="0"/>
    </w:p>
    <w:p w14:paraId="196200A6" w14:textId="77777777" w:rsidR="00F04DC5" w:rsidRDefault="00F04DC5" w:rsidP="00F04DC5">
      <w:pPr>
        <w:spacing w:after="0" w:line="240" w:lineRule="auto"/>
      </w:pPr>
    </w:p>
    <w:p w14:paraId="5FBF9474" w14:textId="77777777" w:rsidR="00F04DC5" w:rsidRDefault="00F04DC5" w:rsidP="00F04DC5">
      <w:pPr>
        <w:spacing w:after="0" w:line="240" w:lineRule="auto"/>
      </w:pPr>
      <w:r>
        <w:t xml:space="preserve">Pupil 2: </w:t>
      </w:r>
      <w:bookmarkStart w:id="1" w:name="_Hlk526540288"/>
      <w:r>
        <w:t>‘She doesn’t have a lunchbox so must be having dinners’</w:t>
      </w:r>
      <w:bookmarkEnd w:id="1"/>
    </w:p>
    <w:p w14:paraId="53AF102A" w14:textId="77777777" w:rsidR="00F04DC5" w:rsidRDefault="00F04DC5" w:rsidP="00F04DC5">
      <w:pPr>
        <w:spacing w:after="0" w:line="240" w:lineRule="auto"/>
      </w:pPr>
    </w:p>
    <w:p w14:paraId="7E0BF5EB" w14:textId="77777777" w:rsidR="00F04DC5" w:rsidRDefault="00F04DC5" w:rsidP="00F04DC5">
      <w:pPr>
        <w:spacing w:after="0" w:line="240" w:lineRule="auto"/>
      </w:pPr>
      <w:r>
        <w:t xml:space="preserve">Teacher: ‘We can see that </w:t>
      </w:r>
      <w:proofErr w:type="spellStart"/>
      <w:r>
        <w:t>Tedi</w:t>
      </w:r>
      <w:proofErr w:type="spellEnd"/>
      <w:r>
        <w:t xml:space="preserve"> </w:t>
      </w:r>
      <w:proofErr w:type="spellStart"/>
      <w:r>
        <w:t>Twt</w:t>
      </w:r>
      <w:proofErr w:type="spellEnd"/>
      <w:r>
        <w:t xml:space="preserve"> is having sandwiches and </w:t>
      </w:r>
      <w:proofErr w:type="spellStart"/>
      <w:r>
        <w:t>Doli</w:t>
      </w:r>
      <w:proofErr w:type="spellEnd"/>
      <w:r>
        <w:t xml:space="preserve"> </w:t>
      </w:r>
      <w:proofErr w:type="spellStart"/>
      <w:r>
        <w:t>Glwt</w:t>
      </w:r>
      <w:proofErr w:type="spellEnd"/>
      <w:r>
        <w:t xml:space="preserve"> is having dinners. What do you think happens next?’</w:t>
      </w:r>
    </w:p>
    <w:p w14:paraId="2BE63055" w14:textId="77777777" w:rsidR="00F04DC5" w:rsidRDefault="00F04DC5" w:rsidP="00F04DC5">
      <w:pPr>
        <w:spacing w:after="0" w:line="240" w:lineRule="auto"/>
      </w:pPr>
    </w:p>
    <w:p w14:paraId="38D8FF60" w14:textId="77777777" w:rsidR="00F04DC5" w:rsidRDefault="00F04DC5" w:rsidP="00F04DC5">
      <w:pPr>
        <w:spacing w:after="0" w:line="240" w:lineRule="auto"/>
      </w:pPr>
      <w:r>
        <w:t>Pupil 3: ‘They go have their dinner’</w:t>
      </w:r>
    </w:p>
    <w:p w14:paraId="77C9DF30" w14:textId="77777777" w:rsidR="00F04DC5" w:rsidRDefault="00F04DC5" w:rsidP="00F04DC5">
      <w:pPr>
        <w:spacing w:after="0" w:line="240" w:lineRule="auto"/>
      </w:pPr>
    </w:p>
    <w:p w14:paraId="1684220F" w14:textId="77777777" w:rsidR="00F04DC5" w:rsidRDefault="00F04DC5" w:rsidP="00F04DC5">
      <w:pPr>
        <w:spacing w:after="0" w:line="240" w:lineRule="auto"/>
      </w:pPr>
      <w:r>
        <w:t xml:space="preserve">Pupil 4: (is looking and pointing to the picture on the board. Child 4 has noticed that </w:t>
      </w:r>
      <w:proofErr w:type="spellStart"/>
      <w:r>
        <w:t>Tedi</w:t>
      </w:r>
      <w:proofErr w:type="spellEnd"/>
      <w:r>
        <w:t xml:space="preserve"> </w:t>
      </w:r>
      <w:proofErr w:type="spellStart"/>
      <w:r>
        <w:t>Twt</w:t>
      </w:r>
      <w:proofErr w:type="spellEnd"/>
      <w:r>
        <w:t xml:space="preserve"> and </w:t>
      </w:r>
      <w:proofErr w:type="spellStart"/>
      <w:r>
        <w:t>Doli</w:t>
      </w:r>
      <w:proofErr w:type="spellEnd"/>
      <w:r>
        <w:t xml:space="preserve"> </w:t>
      </w:r>
      <w:proofErr w:type="spellStart"/>
      <w:r>
        <w:t>Glwt</w:t>
      </w:r>
      <w:proofErr w:type="spellEnd"/>
      <w:r>
        <w:t xml:space="preserve"> are outside). ‘No, they are outside, it is too early for dinner’.</w:t>
      </w:r>
    </w:p>
    <w:p w14:paraId="661B6965" w14:textId="77777777" w:rsidR="00F04DC5" w:rsidRDefault="00F04DC5" w:rsidP="00F04DC5">
      <w:pPr>
        <w:spacing w:after="0" w:line="240" w:lineRule="auto"/>
      </w:pPr>
    </w:p>
    <w:p w14:paraId="44A740A0" w14:textId="77777777" w:rsidR="00F04DC5" w:rsidRDefault="00F04DC5" w:rsidP="00F04DC5">
      <w:pPr>
        <w:spacing w:after="0" w:line="240" w:lineRule="auto"/>
      </w:pPr>
      <w:r>
        <w:t>Pupil 1: ‘No. They are going into school. They are outside the school’</w:t>
      </w:r>
    </w:p>
    <w:p w14:paraId="5F671A68" w14:textId="77777777" w:rsidR="00F04DC5" w:rsidRDefault="00F04DC5" w:rsidP="00F04DC5">
      <w:pPr>
        <w:spacing w:after="0" w:line="240" w:lineRule="auto"/>
      </w:pPr>
    </w:p>
    <w:p w14:paraId="116CF149" w14:textId="77777777" w:rsidR="00F04DC5" w:rsidRDefault="00F04DC5" w:rsidP="00F04DC5">
      <w:pPr>
        <w:spacing w:after="0" w:line="240" w:lineRule="auto"/>
      </w:pPr>
      <w:r>
        <w:t>Pupil 3: ‘Yes. They are going to school’</w:t>
      </w:r>
    </w:p>
    <w:p w14:paraId="1B712768" w14:textId="77777777" w:rsidR="00F04DC5" w:rsidRDefault="00F04DC5" w:rsidP="00F04DC5">
      <w:pPr>
        <w:spacing w:after="0" w:line="240" w:lineRule="auto"/>
      </w:pPr>
    </w:p>
    <w:p w14:paraId="5F0188DC" w14:textId="77777777" w:rsidR="00F04DC5" w:rsidRDefault="00F04DC5" w:rsidP="00F04DC5">
      <w:pPr>
        <w:spacing w:after="0" w:line="240" w:lineRule="auto"/>
      </w:pPr>
      <w:r>
        <w:t xml:space="preserve">Pupils agree that </w:t>
      </w:r>
      <w:proofErr w:type="spellStart"/>
      <w:r>
        <w:t>Tedi</w:t>
      </w:r>
      <w:proofErr w:type="spellEnd"/>
      <w:r>
        <w:t xml:space="preserve"> </w:t>
      </w:r>
      <w:proofErr w:type="spellStart"/>
      <w:r>
        <w:t>Twt</w:t>
      </w:r>
      <w:proofErr w:type="spellEnd"/>
      <w:r>
        <w:t xml:space="preserve"> and </w:t>
      </w:r>
      <w:proofErr w:type="spellStart"/>
      <w:r>
        <w:t>Doli</w:t>
      </w:r>
      <w:proofErr w:type="spellEnd"/>
      <w:r>
        <w:t xml:space="preserve"> </w:t>
      </w:r>
      <w:proofErr w:type="spellStart"/>
      <w:r>
        <w:t>Glwt</w:t>
      </w:r>
      <w:proofErr w:type="spellEnd"/>
      <w:r>
        <w:t xml:space="preserve"> are going to school. The teacher praised the </w:t>
      </w:r>
      <w:proofErr w:type="spellStart"/>
      <w:r>
        <w:t>childrens</w:t>
      </w:r>
      <w:proofErr w:type="spellEnd"/>
      <w:r>
        <w:t xml:space="preserve"> responses and gave specific pupils </w:t>
      </w:r>
      <w:r w:rsidRPr="00A10BAD">
        <w:rPr>
          <w:color w:val="FF0000"/>
        </w:rPr>
        <w:t>rewards</w:t>
      </w:r>
      <w:r>
        <w:rPr>
          <w:color w:val="FF0000"/>
        </w:rPr>
        <w:t xml:space="preserve"> (pine cones)</w:t>
      </w:r>
      <w:r w:rsidRPr="00A10BAD">
        <w:rPr>
          <w:color w:val="FF0000"/>
        </w:rPr>
        <w:t xml:space="preserve"> to place on their class reward board</w:t>
      </w:r>
      <w:r>
        <w:t xml:space="preserve">. </w:t>
      </w:r>
    </w:p>
    <w:p w14:paraId="58EC5615" w14:textId="77777777" w:rsidR="00F04DC5" w:rsidRDefault="00F04DC5" w:rsidP="00F04DC5">
      <w:pPr>
        <w:spacing w:after="0" w:line="240" w:lineRule="auto"/>
      </w:pPr>
    </w:p>
    <w:p w14:paraId="7DAF4EA0" w14:textId="77777777" w:rsidR="00F04DC5" w:rsidRDefault="00F04DC5" w:rsidP="00F04DC5">
      <w:pPr>
        <w:spacing w:after="0" w:line="240" w:lineRule="auto"/>
      </w:pPr>
      <w:r>
        <w:t xml:space="preserve">Teacher: ‘Da </w:t>
      </w:r>
      <w:proofErr w:type="spellStart"/>
      <w:r>
        <w:t>iawn</w:t>
      </w:r>
      <w:proofErr w:type="spellEnd"/>
      <w:r>
        <w:t xml:space="preserve"> </w:t>
      </w:r>
      <w:proofErr w:type="spellStart"/>
      <w:r>
        <w:t>pawb</w:t>
      </w:r>
      <w:proofErr w:type="spellEnd"/>
      <w:r>
        <w:t xml:space="preserve">. Pupil 1 and Pupil 2 have been looking at </w:t>
      </w:r>
      <w:proofErr w:type="spellStart"/>
      <w:r>
        <w:t>Tedi</w:t>
      </w:r>
      <w:proofErr w:type="spellEnd"/>
      <w:r>
        <w:t xml:space="preserve"> </w:t>
      </w:r>
      <w:proofErr w:type="spellStart"/>
      <w:r>
        <w:t>Twt</w:t>
      </w:r>
      <w:proofErr w:type="spellEnd"/>
      <w:r>
        <w:t xml:space="preserve"> in the Welsh area and both read lovely. You two are great readers! You both can have two pinecones to put on own going for gold board’</w:t>
      </w:r>
    </w:p>
    <w:p w14:paraId="496838A6" w14:textId="77777777" w:rsidR="00F04DC5" w:rsidRDefault="00F04DC5" w:rsidP="00F04DC5">
      <w:pPr>
        <w:spacing w:after="0" w:line="240" w:lineRule="auto"/>
      </w:pPr>
    </w:p>
    <w:p w14:paraId="3E522121" w14:textId="77777777" w:rsidR="00F04DC5" w:rsidRDefault="00F04DC5" w:rsidP="00F04DC5">
      <w:pPr>
        <w:spacing w:after="0" w:line="240" w:lineRule="auto"/>
      </w:pPr>
      <w:r>
        <w:t xml:space="preserve">Throughout this observation the children were able to develop the way they talked to each other in order to analyse the story. This social interaction allows pupils to build on previous ideas and create a new understanding of the text (Mercer and Hodgkinson, 2008). </w:t>
      </w:r>
    </w:p>
    <w:p w14:paraId="6FCDCD3F" w14:textId="5E660E04" w:rsidR="00F04DC5" w:rsidRPr="007F1A85" w:rsidRDefault="00F04DC5" w:rsidP="00F04DC5">
      <w:pPr>
        <w:spacing w:after="0" w:line="240" w:lineRule="auto"/>
        <w:rPr>
          <w:rStyle w:val="Hyperlink"/>
          <w:color w:val="auto"/>
          <w:u w:val="none"/>
        </w:rPr>
      </w:pPr>
      <w:r>
        <w:t>In schools, talk and discussion is used throughout the day, however the way pupils interact with their peers and teachers can vary. There are two main types of talk that take place in class, this can be between a teacher and a pupil or between multiple pupils. Talk between a teacher and pupil is often based on ‘questions and answers’ and involves the teacher leading the discussion</w:t>
      </w:r>
      <w:r w:rsidR="003C2250">
        <w:t xml:space="preserve"> (Skinner, </w:t>
      </w:r>
      <w:r w:rsidR="005B6790">
        <w:t xml:space="preserve">2010; </w:t>
      </w:r>
      <w:r>
        <w:t>Mercer and Hodgkinson, 2008). Teachers use this style of dialogue to maintain control of the class, to find out what pupils understood about a topic and to instruct pupils on how to proceed. Following questions and answers, the teacher will give feedback to the pupil, often in the form of praise. This type of dialogue is known as ‘closed questioning´ as it only requires a brief answer (yes or no) and doesn’t expect pupils to explain or expand their understanding</w:t>
      </w:r>
      <w:r w:rsidR="00EE7F4B">
        <w:t xml:space="preserve"> (Sinclair and </w:t>
      </w:r>
      <w:proofErr w:type="spellStart"/>
      <w:r w:rsidR="00EE7F4B">
        <w:t>Coulthard</w:t>
      </w:r>
      <w:proofErr w:type="spellEnd"/>
      <w:r w:rsidR="00EE7F4B">
        <w:t xml:space="preserve">, </w:t>
      </w:r>
      <w:r w:rsidR="002B26D9">
        <w:t>1975).</w:t>
      </w:r>
      <w:r>
        <w:t xml:space="preserve"> This is evident in the work undertaken by Rojas-Drummond and Mercer (2003) who suggest that teacher led interactions are inhibiting children from being involved in classroom interactions.</w:t>
      </w:r>
    </w:p>
    <w:p w14:paraId="4547D70F" w14:textId="77777777" w:rsidR="00F04DC5" w:rsidRDefault="00F04DC5" w:rsidP="00F04DC5">
      <w:pPr>
        <w:spacing w:after="0" w:line="240" w:lineRule="auto"/>
      </w:pPr>
      <w:r>
        <w:lastRenderedPageBreak/>
        <w:t>In contrast to these findings, Mercer and Howe (2012) believe that a child’s reasoning skills will improve through correct use of teacher led talk.</w:t>
      </w:r>
    </w:p>
    <w:p w14:paraId="701226F3" w14:textId="77777777" w:rsidR="00F04DC5" w:rsidRDefault="00F04DC5" w:rsidP="00F04DC5">
      <w:pPr>
        <w:spacing w:after="0" w:line="240" w:lineRule="auto"/>
      </w:pPr>
    </w:p>
    <w:p w14:paraId="036D2394" w14:textId="77777777" w:rsidR="00F04DC5" w:rsidRDefault="00F04DC5" w:rsidP="00F04DC5">
      <w:pPr>
        <w:spacing w:after="0" w:line="240" w:lineRule="auto"/>
      </w:pPr>
      <w:r>
        <w:t xml:space="preserve">Peer dialogue occurs when children communicate with each other while working in groups, pairs </w:t>
      </w:r>
    </w:p>
    <w:p w14:paraId="0CFA9C71" w14:textId="77777777" w:rsidR="00F04DC5" w:rsidRPr="005E3018" w:rsidRDefault="00F04DC5" w:rsidP="00F04DC5">
      <w:pPr>
        <w:spacing w:after="0" w:line="240" w:lineRule="auto"/>
        <w:rPr>
          <w:color w:val="0563C1" w:themeColor="hyperlink"/>
          <w:u w:val="single"/>
        </w:rPr>
      </w:pPr>
      <w:r>
        <w:t xml:space="preserve">or class activities. Throughout peer dialogue, all members of the discussion are encouraged to share their own ideas, understand these ideas and then analyse them (Cooper and Marie, 2002; Alexander, 2004; Mercer and Howe, 2012) . This type of social interaction where children begin to recognise others opinions and can evaluate them is known as exploratory </w:t>
      </w:r>
      <w:r w:rsidRPr="00A203A3">
        <w:t xml:space="preserve">talk. Exploratory talk </w:t>
      </w:r>
      <w:r>
        <w:t xml:space="preserve">(Mercer, </w:t>
      </w:r>
      <w:proofErr w:type="spellStart"/>
      <w:r>
        <w:t>Wegerif</w:t>
      </w:r>
      <w:proofErr w:type="spellEnd"/>
      <w:r>
        <w:t xml:space="preserve"> and Dawes, 1999; </w:t>
      </w:r>
      <w:r>
        <w:rPr>
          <w:rStyle w:val="Hyperlink"/>
          <w:color w:val="auto"/>
          <w:u w:val="none"/>
        </w:rPr>
        <w:t xml:space="preserve">Light and Littleton, 1999) </w:t>
      </w:r>
      <w:r w:rsidRPr="00A203A3">
        <w:t xml:space="preserve">is explained in </w:t>
      </w:r>
      <w:r>
        <w:t>figure</w:t>
      </w:r>
      <w:r w:rsidRPr="00A203A3">
        <w:t xml:space="preserve"> 1. </w:t>
      </w:r>
    </w:p>
    <w:p w14:paraId="05504CF5" w14:textId="77777777" w:rsidR="00F04DC5" w:rsidRDefault="00F04DC5" w:rsidP="00F04DC5">
      <w:pPr>
        <w:spacing w:after="0" w:line="240" w:lineRule="auto"/>
      </w:pPr>
      <w:r w:rsidRPr="00A203A3">
        <w:t>It is seen as an open form of communication that begins to explore children</w:t>
      </w:r>
      <w:r>
        <w:t>’</w:t>
      </w:r>
      <w:r w:rsidRPr="00A203A3">
        <w:t xml:space="preserve">s language skills such as </w:t>
      </w:r>
      <w:proofErr w:type="spellStart"/>
      <w:r w:rsidRPr="00A203A3">
        <w:t>oracy</w:t>
      </w:r>
      <w:proofErr w:type="spellEnd"/>
      <w:r w:rsidRPr="00A203A3">
        <w:t>, questioning and problem solving. This skills can then be transferred across the curriculum in order for children to grow</w:t>
      </w:r>
      <w:r>
        <w:t>. The importance of exploratory talk is not the content that is being discussed, instead it is the way the children talk, listen and question each other before making decisions (Pollard, 2005; Mercer and Littleton, 2007).</w:t>
      </w:r>
    </w:p>
    <w:p w14:paraId="74A5056E" w14:textId="77777777" w:rsidR="00F04DC5" w:rsidRDefault="00F04DC5" w:rsidP="00F04DC5">
      <w:pPr>
        <w:spacing w:after="0" w:line="240" w:lineRule="auto"/>
      </w:pPr>
    </w:p>
    <w:p w14:paraId="79CE302A" w14:textId="77777777" w:rsidR="00F04DC5" w:rsidRDefault="00F04DC5" w:rsidP="00F04DC5">
      <w:pPr>
        <w:spacing w:after="0" w:line="240" w:lineRule="auto"/>
      </w:pPr>
      <w:r>
        <w:t>Exploratory talk is shown through my observation above. The ideas the children share are their own or are built on what has previously been mentioned. The teachers role in the discussion is to direct the talk and to allow the pupils to reason their ideas in order for the pupils to make an informed group decision about the story.</w:t>
      </w:r>
    </w:p>
    <w:p w14:paraId="761AA7FA" w14:textId="77777777" w:rsidR="00F04DC5" w:rsidRDefault="00F04DC5" w:rsidP="00F04DC5">
      <w:pPr>
        <w:spacing w:after="0" w:line="240" w:lineRule="auto"/>
      </w:pPr>
    </w:p>
    <w:tbl>
      <w:tblPr>
        <w:tblpPr w:leftFromText="180" w:rightFromText="180" w:vertAnchor="text" w:horzAnchor="margin" w:tblpY="-78"/>
        <w:tblW w:w="9368" w:type="dxa"/>
        <w:tblCellMar>
          <w:left w:w="0" w:type="dxa"/>
          <w:right w:w="0" w:type="dxa"/>
        </w:tblCellMar>
        <w:tblLook w:val="0600" w:firstRow="0" w:lastRow="0" w:firstColumn="0" w:lastColumn="0" w:noHBand="1" w:noVBand="1"/>
      </w:tblPr>
      <w:tblGrid>
        <w:gridCol w:w="2031"/>
        <w:gridCol w:w="7337"/>
      </w:tblGrid>
      <w:tr w:rsidR="00F04DC5" w:rsidRPr="00765640" w14:paraId="2630EA06" w14:textId="77777777" w:rsidTr="009961AC">
        <w:trPr>
          <w:trHeight w:val="611"/>
        </w:trPr>
        <w:tc>
          <w:tcPr>
            <w:tcW w:w="2031" w:type="dxa"/>
            <w:tcBorders>
              <w:top w:val="single" w:sz="8" w:space="0" w:color="333399"/>
              <w:left w:val="single" w:sz="8" w:space="0" w:color="333399"/>
              <w:bottom w:val="single" w:sz="8" w:space="0" w:color="333399"/>
              <w:right w:val="single" w:sz="8" w:space="0" w:color="333399"/>
            </w:tcBorders>
            <w:shd w:val="clear" w:color="auto" w:fill="E8E8EF"/>
            <w:tcMar>
              <w:top w:w="72" w:type="dxa"/>
              <w:left w:w="144" w:type="dxa"/>
              <w:bottom w:w="72" w:type="dxa"/>
              <w:right w:w="144" w:type="dxa"/>
            </w:tcMar>
            <w:hideMark/>
          </w:tcPr>
          <w:p w14:paraId="77AB113C"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color w:val="000000"/>
                <w:kern w:val="24"/>
                <w:sz w:val="28"/>
                <w:szCs w:val="28"/>
                <w:lang w:val="en-US" w:eastAsia="en-GB"/>
              </w:rPr>
              <w:t xml:space="preserve">Purpose </w:t>
            </w:r>
          </w:p>
        </w:tc>
        <w:tc>
          <w:tcPr>
            <w:tcW w:w="7337" w:type="dxa"/>
            <w:tcBorders>
              <w:top w:val="single" w:sz="8" w:space="0" w:color="333399"/>
              <w:left w:val="single" w:sz="8" w:space="0" w:color="333399"/>
              <w:bottom w:val="single" w:sz="8" w:space="0" w:color="333399"/>
              <w:right w:val="single" w:sz="8" w:space="0" w:color="333399"/>
            </w:tcBorders>
            <w:shd w:val="clear" w:color="auto" w:fill="E8E8EF"/>
            <w:tcMar>
              <w:top w:w="72" w:type="dxa"/>
              <w:left w:w="144" w:type="dxa"/>
              <w:bottom w:w="72" w:type="dxa"/>
              <w:right w:w="144" w:type="dxa"/>
            </w:tcMar>
            <w:hideMark/>
          </w:tcPr>
          <w:p w14:paraId="78C12EE4"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i/>
                <w:iCs/>
                <w:color w:val="000000"/>
                <w:kern w:val="24"/>
                <w:sz w:val="28"/>
                <w:szCs w:val="28"/>
                <w:lang w:val="en-US" w:eastAsia="en-GB"/>
              </w:rPr>
              <w:t>Problem solve; share ideas, opinions, reasons; negotiation.</w:t>
            </w:r>
          </w:p>
        </w:tc>
      </w:tr>
      <w:tr w:rsidR="00F04DC5" w:rsidRPr="00765640" w14:paraId="1893E2FB" w14:textId="77777777" w:rsidTr="009961AC">
        <w:trPr>
          <w:trHeight w:val="615"/>
        </w:trPr>
        <w:tc>
          <w:tcPr>
            <w:tcW w:w="2031" w:type="dxa"/>
            <w:tcBorders>
              <w:top w:val="single" w:sz="8" w:space="0" w:color="333399"/>
              <w:left w:val="single" w:sz="8" w:space="0" w:color="333399"/>
              <w:bottom w:val="single" w:sz="8" w:space="0" w:color="333399"/>
              <w:right w:val="single" w:sz="8" w:space="0" w:color="333399"/>
            </w:tcBorders>
            <w:shd w:val="clear" w:color="auto" w:fill="CDCDDE"/>
            <w:tcMar>
              <w:top w:w="72" w:type="dxa"/>
              <w:left w:w="144" w:type="dxa"/>
              <w:bottom w:w="72" w:type="dxa"/>
              <w:right w:w="144" w:type="dxa"/>
            </w:tcMar>
            <w:hideMark/>
          </w:tcPr>
          <w:p w14:paraId="3D8EB222"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proofErr w:type="spellStart"/>
            <w:r w:rsidRPr="00765640">
              <w:rPr>
                <w:rFonts w:ascii="Arial" w:eastAsia="MS PGothic" w:hAnsi="Arial" w:cs="Arial"/>
                <w:color w:val="000000"/>
                <w:kern w:val="24"/>
                <w:sz w:val="28"/>
                <w:szCs w:val="28"/>
                <w:lang w:val="en-US" w:eastAsia="en-GB"/>
              </w:rPr>
              <w:t>Organisation</w:t>
            </w:r>
            <w:proofErr w:type="spellEnd"/>
          </w:p>
        </w:tc>
        <w:tc>
          <w:tcPr>
            <w:tcW w:w="7337" w:type="dxa"/>
            <w:tcBorders>
              <w:top w:val="single" w:sz="8" w:space="0" w:color="333399"/>
              <w:left w:val="single" w:sz="8" w:space="0" w:color="333399"/>
              <w:bottom w:val="single" w:sz="8" w:space="0" w:color="333399"/>
              <w:right w:val="single" w:sz="8" w:space="0" w:color="333399"/>
            </w:tcBorders>
            <w:shd w:val="clear" w:color="auto" w:fill="CDCDDE"/>
            <w:tcMar>
              <w:top w:w="72" w:type="dxa"/>
              <w:left w:w="144" w:type="dxa"/>
              <w:bottom w:w="72" w:type="dxa"/>
              <w:right w:w="144" w:type="dxa"/>
            </w:tcMar>
            <w:hideMark/>
          </w:tcPr>
          <w:p w14:paraId="2654A6E8"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i/>
                <w:iCs/>
                <w:color w:val="000000"/>
                <w:kern w:val="24"/>
                <w:sz w:val="28"/>
                <w:szCs w:val="28"/>
                <w:lang w:val="en-US" w:eastAsia="en-GB"/>
              </w:rPr>
              <w:t>Small groups</w:t>
            </w:r>
          </w:p>
        </w:tc>
      </w:tr>
      <w:tr w:rsidR="00F04DC5" w:rsidRPr="00765640" w14:paraId="60B7D78B" w14:textId="77777777" w:rsidTr="009961AC">
        <w:trPr>
          <w:trHeight w:val="880"/>
        </w:trPr>
        <w:tc>
          <w:tcPr>
            <w:tcW w:w="2031" w:type="dxa"/>
            <w:tcBorders>
              <w:top w:val="single" w:sz="8" w:space="0" w:color="333399"/>
              <w:left w:val="single" w:sz="8" w:space="0" w:color="333399"/>
              <w:bottom w:val="single" w:sz="8" w:space="0" w:color="333399"/>
              <w:right w:val="single" w:sz="8" w:space="0" w:color="333399"/>
            </w:tcBorders>
            <w:shd w:val="clear" w:color="auto" w:fill="E8E8EF"/>
            <w:tcMar>
              <w:top w:w="72" w:type="dxa"/>
              <w:left w:w="144" w:type="dxa"/>
              <w:bottom w:w="72" w:type="dxa"/>
              <w:right w:w="144" w:type="dxa"/>
            </w:tcMar>
            <w:hideMark/>
          </w:tcPr>
          <w:p w14:paraId="7C7782B5"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color w:val="000000"/>
                <w:kern w:val="24"/>
                <w:sz w:val="28"/>
                <w:szCs w:val="28"/>
                <w:lang w:val="en-US" w:eastAsia="en-GB"/>
              </w:rPr>
              <w:t>During exploratory talk…</w:t>
            </w:r>
          </w:p>
        </w:tc>
        <w:tc>
          <w:tcPr>
            <w:tcW w:w="7337" w:type="dxa"/>
            <w:tcBorders>
              <w:top w:val="single" w:sz="8" w:space="0" w:color="333399"/>
              <w:left w:val="single" w:sz="8" w:space="0" w:color="333399"/>
              <w:bottom w:val="single" w:sz="8" w:space="0" w:color="333399"/>
              <w:right w:val="single" w:sz="8" w:space="0" w:color="333399"/>
            </w:tcBorders>
            <w:shd w:val="clear" w:color="auto" w:fill="E8E8EF"/>
            <w:tcMar>
              <w:top w:w="72" w:type="dxa"/>
              <w:left w:w="144" w:type="dxa"/>
              <w:bottom w:w="72" w:type="dxa"/>
              <w:right w:w="144" w:type="dxa"/>
            </w:tcMar>
            <w:hideMark/>
          </w:tcPr>
          <w:p w14:paraId="0FDE5D8E"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i/>
                <w:iCs/>
                <w:color w:val="000000"/>
                <w:kern w:val="24"/>
                <w:sz w:val="28"/>
                <w:szCs w:val="28"/>
                <w:lang w:val="en-US" w:eastAsia="en-GB"/>
              </w:rPr>
              <w:t>All are invited to contribute. Information is shared; agreement is sought; everyone listens</w:t>
            </w:r>
          </w:p>
        </w:tc>
      </w:tr>
      <w:tr w:rsidR="00F04DC5" w:rsidRPr="00765640" w14:paraId="0A7835D7" w14:textId="77777777" w:rsidTr="009961AC">
        <w:trPr>
          <w:trHeight w:val="1166"/>
        </w:trPr>
        <w:tc>
          <w:tcPr>
            <w:tcW w:w="2031" w:type="dxa"/>
            <w:tcBorders>
              <w:top w:val="single" w:sz="8" w:space="0" w:color="333399"/>
              <w:left w:val="single" w:sz="8" w:space="0" w:color="333399"/>
              <w:bottom w:val="single" w:sz="8" w:space="0" w:color="333399"/>
              <w:right w:val="single" w:sz="8" w:space="0" w:color="333399"/>
            </w:tcBorders>
            <w:shd w:val="clear" w:color="auto" w:fill="CDCDDE"/>
            <w:tcMar>
              <w:top w:w="72" w:type="dxa"/>
              <w:left w:w="144" w:type="dxa"/>
              <w:bottom w:w="72" w:type="dxa"/>
              <w:right w:w="144" w:type="dxa"/>
            </w:tcMar>
            <w:hideMark/>
          </w:tcPr>
          <w:p w14:paraId="07D4C9DD"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color w:val="000000"/>
                <w:kern w:val="24"/>
                <w:sz w:val="28"/>
                <w:szCs w:val="28"/>
                <w:lang w:val="en-US" w:eastAsia="en-GB"/>
              </w:rPr>
              <w:t>Talk tools</w:t>
            </w:r>
          </w:p>
        </w:tc>
        <w:tc>
          <w:tcPr>
            <w:tcW w:w="7337" w:type="dxa"/>
            <w:tcBorders>
              <w:top w:val="single" w:sz="8" w:space="0" w:color="333399"/>
              <w:left w:val="single" w:sz="8" w:space="0" w:color="333399"/>
              <w:bottom w:val="single" w:sz="8" w:space="0" w:color="333399"/>
              <w:right w:val="single" w:sz="8" w:space="0" w:color="333399"/>
            </w:tcBorders>
            <w:shd w:val="clear" w:color="auto" w:fill="CDCDDE"/>
            <w:tcMar>
              <w:top w:w="72" w:type="dxa"/>
              <w:left w:w="144" w:type="dxa"/>
              <w:bottom w:w="72" w:type="dxa"/>
              <w:right w:w="144" w:type="dxa"/>
            </w:tcMar>
            <w:hideMark/>
          </w:tcPr>
          <w:p w14:paraId="0950D903"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i/>
                <w:iCs/>
                <w:color w:val="000000"/>
                <w:kern w:val="24"/>
                <w:sz w:val="26"/>
                <w:szCs w:val="26"/>
                <w:lang w:val="en-US" w:eastAsia="en-GB"/>
              </w:rPr>
              <w:t>What do you think?</w:t>
            </w:r>
          </w:p>
          <w:p w14:paraId="7DA204A1"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i/>
                <w:iCs/>
                <w:color w:val="000000"/>
                <w:kern w:val="24"/>
                <w:sz w:val="26"/>
                <w:szCs w:val="26"/>
                <w:lang w:val="en-US" w:eastAsia="en-GB"/>
              </w:rPr>
              <w:t>Why do you think that?</w:t>
            </w:r>
          </w:p>
          <w:p w14:paraId="4B988BB3"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i/>
                <w:iCs/>
                <w:color w:val="000000"/>
                <w:kern w:val="24"/>
                <w:sz w:val="26"/>
                <w:szCs w:val="26"/>
                <w:lang w:val="en-US" w:eastAsia="en-GB"/>
              </w:rPr>
              <w:t>I agree/ disagree because…</w:t>
            </w:r>
          </w:p>
          <w:p w14:paraId="36342B91"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i/>
                <w:iCs/>
                <w:color w:val="000000"/>
                <w:kern w:val="24"/>
                <w:sz w:val="26"/>
                <w:szCs w:val="26"/>
                <w:lang w:val="en-US" w:eastAsia="en-GB"/>
              </w:rPr>
              <w:t>Shall we decide that…</w:t>
            </w:r>
          </w:p>
        </w:tc>
      </w:tr>
      <w:tr w:rsidR="00F04DC5" w:rsidRPr="00765640" w14:paraId="7ECF1376" w14:textId="77777777" w:rsidTr="009961AC">
        <w:trPr>
          <w:trHeight w:val="841"/>
        </w:trPr>
        <w:tc>
          <w:tcPr>
            <w:tcW w:w="2031" w:type="dxa"/>
            <w:tcBorders>
              <w:top w:val="single" w:sz="8" w:space="0" w:color="333399"/>
              <w:left w:val="single" w:sz="8" w:space="0" w:color="333399"/>
              <w:bottom w:val="single" w:sz="8" w:space="0" w:color="333399"/>
              <w:right w:val="single" w:sz="8" w:space="0" w:color="333399"/>
            </w:tcBorders>
            <w:shd w:val="clear" w:color="auto" w:fill="E8E8EF"/>
            <w:tcMar>
              <w:top w:w="72" w:type="dxa"/>
              <w:left w:w="144" w:type="dxa"/>
              <w:bottom w:w="72" w:type="dxa"/>
              <w:right w:w="144" w:type="dxa"/>
            </w:tcMar>
            <w:hideMark/>
          </w:tcPr>
          <w:p w14:paraId="40B63C9E"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color w:val="000000"/>
                <w:kern w:val="24"/>
                <w:sz w:val="28"/>
                <w:szCs w:val="28"/>
                <w:lang w:val="en-US" w:eastAsia="en-GB"/>
              </w:rPr>
              <w:t>Ground rules</w:t>
            </w:r>
          </w:p>
        </w:tc>
        <w:tc>
          <w:tcPr>
            <w:tcW w:w="7337" w:type="dxa"/>
            <w:tcBorders>
              <w:top w:val="single" w:sz="8" w:space="0" w:color="333399"/>
              <w:left w:val="single" w:sz="8" w:space="0" w:color="333399"/>
              <w:bottom w:val="single" w:sz="8" w:space="0" w:color="333399"/>
              <w:right w:val="single" w:sz="8" w:space="0" w:color="333399"/>
            </w:tcBorders>
            <w:shd w:val="clear" w:color="auto" w:fill="E8E8EF"/>
            <w:tcMar>
              <w:top w:w="72" w:type="dxa"/>
              <w:left w:w="144" w:type="dxa"/>
              <w:bottom w:w="72" w:type="dxa"/>
              <w:right w:w="144" w:type="dxa"/>
            </w:tcMar>
            <w:hideMark/>
          </w:tcPr>
          <w:p w14:paraId="2A404620"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i/>
                <w:iCs/>
                <w:color w:val="000000"/>
                <w:kern w:val="24"/>
                <w:sz w:val="28"/>
                <w:szCs w:val="28"/>
                <w:lang w:val="en-US" w:eastAsia="en-GB"/>
              </w:rPr>
              <w:t>Everyone invited to speak; contributions respected; reasons are asked for and given; ideas are considered.</w:t>
            </w:r>
          </w:p>
        </w:tc>
      </w:tr>
      <w:tr w:rsidR="00F04DC5" w:rsidRPr="00765640" w14:paraId="2724E7A2" w14:textId="77777777" w:rsidTr="009961AC">
        <w:trPr>
          <w:trHeight w:val="1111"/>
        </w:trPr>
        <w:tc>
          <w:tcPr>
            <w:tcW w:w="2031" w:type="dxa"/>
            <w:tcBorders>
              <w:top w:val="single" w:sz="8" w:space="0" w:color="333399"/>
              <w:left w:val="single" w:sz="8" w:space="0" w:color="333399"/>
              <w:bottom w:val="single" w:sz="8" w:space="0" w:color="333399"/>
              <w:right w:val="single" w:sz="8" w:space="0" w:color="333399"/>
            </w:tcBorders>
            <w:shd w:val="clear" w:color="auto" w:fill="CDCDDE"/>
            <w:tcMar>
              <w:top w:w="72" w:type="dxa"/>
              <w:left w:w="144" w:type="dxa"/>
              <w:bottom w:w="72" w:type="dxa"/>
              <w:right w:w="144" w:type="dxa"/>
            </w:tcMar>
            <w:hideMark/>
          </w:tcPr>
          <w:p w14:paraId="692A8DE6"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color w:val="000000"/>
                <w:kern w:val="24"/>
                <w:sz w:val="28"/>
                <w:szCs w:val="28"/>
                <w:lang w:val="en-US" w:eastAsia="en-GB"/>
              </w:rPr>
              <w:t>Outcomes</w:t>
            </w:r>
          </w:p>
        </w:tc>
        <w:tc>
          <w:tcPr>
            <w:tcW w:w="7337" w:type="dxa"/>
            <w:tcBorders>
              <w:top w:val="single" w:sz="8" w:space="0" w:color="333399"/>
              <w:left w:val="single" w:sz="8" w:space="0" w:color="333399"/>
              <w:bottom w:val="single" w:sz="8" w:space="0" w:color="333399"/>
              <w:right w:val="single" w:sz="8" w:space="0" w:color="333399"/>
            </w:tcBorders>
            <w:shd w:val="clear" w:color="auto" w:fill="CDCDDE"/>
            <w:tcMar>
              <w:top w:w="72" w:type="dxa"/>
              <w:left w:w="144" w:type="dxa"/>
              <w:bottom w:w="72" w:type="dxa"/>
              <w:right w:w="144" w:type="dxa"/>
            </w:tcMar>
            <w:hideMark/>
          </w:tcPr>
          <w:p w14:paraId="2092B076"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i/>
                <w:iCs/>
                <w:color w:val="000000"/>
                <w:kern w:val="24"/>
                <w:sz w:val="28"/>
                <w:szCs w:val="28"/>
                <w:lang w:val="en-US" w:eastAsia="en-GB"/>
              </w:rPr>
              <w:t>Group agreement on decision/ course of action.</w:t>
            </w:r>
          </w:p>
          <w:p w14:paraId="368854AB"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i/>
                <w:iCs/>
                <w:color w:val="000000"/>
                <w:kern w:val="24"/>
                <w:sz w:val="28"/>
                <w:szCs w:val="28"/>
                <w:lang w:val="en-US" w:eastAsia="en-GB"/>
              </w:rPr>
              <w:t>Group responsible for decisions. Children support one another.</w:t>
            </w:r>
          </w:p>
        </w:tc>
      </w:tr>
      <w:tr w:rsidR="00F04DC5" w:rsidRPr="00765640" w14:paraId="033B04FC" w14:textId="77777777" w:rsidTr="009961AC">
        <w:trPr>
          <w:trHeight w:val="509"/>
        </w:trPr>
        <w:tc>
          <w:tcPr>
            <w:tcW w:w="2031" w:type="dxa"/>
            <w:tcBorders>
              <w:top w:val="single" w:sz="8" w:space="0" w:color="333399"/>
              <w:left w:val="single" w:sz="8" w:space="0" w:color="333399"/>
              <w:bottom w:val="single" w:sz="8" w:space="0" w:color="333399"/>
              <w:right w:val="single" w:sz="8" w:space="0" w:color="333399"/>
            </w:tcBorders>
            <w:shd w:val="clear" w:color="auto" w:fill="E8E8EF"/>
            <w:tcMar>
              <w:top w:w="72" w:type="dxa"/>
              <w:left w:w="144" w:type="dxa"/>
              <w:bottom w:w="72" w:type="dxa"/>
              <w:right w:w="144" w:type="dxa"/>
            </w:tcMar>
            <w:hideMark/>
          </w:tcPr>
          <w:p w14:paraId="4DD6FE94"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color w:val="000000"/>
                <w:kern w:val="24"/>
                <w:sz w:val="28"/>
                <w:szCs w:val="28"/>
                <w:lang w:val="en-US" w:eastAsia="en-GB"/>
              </w:rPr>
              <w:t>Notes</w:t>
            </w:r>
          </w:p>
        </w:tc>
        <w:tc>
          <w:tcPr>
            <w:tcW w:w="7337" w:type="dxa"/>
            <w:tcBorders>
              <w:top w:val="single" w:sz="8" w:space="0" w:color="333399"/>
              <w:left w:val="single" w:sz="8" w:space="0" w:color="333399"/>
              <w:bottom w:val="single" w:sz="8" w:space="0" w:color="333399"/>
              <w:right w:val="single" w:sz="8" w:space="0" w:color="333399"/>
            </w:tcBorders>
            <w:shd w:val="clear" w:color="auto" w:fill="E8E8EF"/>
            <w:tcMar>
              <w:top w:w="72" w:type="dxa"/>
              <w:left w:w="144" w:type="dxa"/>
              <w:bottom w:w="72" w:type="dxa"/>
              <w:right w:w="144" w:type="dxa"/>
            </w:tcMar>
            <w:hideMark/>
          </w:tcPr>
          <w:p w14:paraId="4BF14D9B" w14:textId="77777777" w:rsidR="00F04DC5" w:rsidRPr="00765640" w:rsidRDefault="00F04DC5" w:rsidP="009961AC">
            <w:pPr>
              <w:spacing w:after="0" w:line="240" w:lineRule="auto"/>
              <w:textAlignment w:val="baseline"/>
              <w:rPr>
                <w:rFonts w:ascii="Arial" w:eastAsia="Times New Roman" w:hAnsi="Arial" w:cs="Arial"/>
                <w:sz w:val="36"/>
                <w:szCs w:val="36"/>
                <w:lang w:eastAsia="en-GB"/>
              </w:rPr>
            </w:pPr>
            <w:r w:rsidRPr="00765640">
              <w:rPr>
                <w:rFonts w:ascii="Arial" w:eastAsia="MS PGothic" w:hAnsi="Arial" w:cs="Arial"/>
                <w:i/>
                <w:iCs/>
                <w:color w:val="000000"/>
                <w:kern w:val="24"/>
                <w:sz w:val="28"/>
                <w:szCs w:val="28"/>
                <w:lang w:val="en-US" w:eastAsia="en-GB"/>
              </w:rPr>
              <w:t>The task must necessitate discussion.</w:t>
            </w:r>
          </w:p>
        </w:tc>
      </w:tr>
    </w:tbl>
    <w:p w14:paraId="0A3AEA94" w14:textId="77777777" w:rsidR="00F04DC5" w:rsidRPr="009F769A" w:rsidRDefault="00F04DC5" w:rsidP="00F04DC5">
      <w:pPr>
        <w:spacing w:after="0" w:line="240" w:lineRule="auto"/>
        <w:rPr>
          <w:sz w:val="20"/>
          <w:szCs w:val="20"/>
        </w:rPr>
      </w:pPr>
      <w:r>
        <w:rPr>
          <w:sz w:val="20"/>
          <w:szCs w:val="20"/>
        </w:rPr>
        <w:t xml:space="preserve">Figure </w:t>
      </w:r>
      <w:r w:rsidRPr="009F769A">
        <w:rPr>
          <w:sz w:val="20"/>
          <w:szCs w:val="20"/>
        </w:rPr>
        <w:t>1: Exploratory talk explained</w:t>
      </w:r>
    </w:p>
    <w:p w14:paraId="1145D7A2" w14:textId="77777777" w:rsidR="00F04DC5" w:rsidRDefault="00F04DC5" w:rsidP="00F04DC5">
      <w:pPr>
        <w:spacing w:after="0" w:line="240" w:lineRule="auto"/>
      </w:pPr>
    </w:p>
    <w:p w14:paraId="3F6E1E3C" w14:textId="77777777" w:rsidR="00F04DC5" w:rsidRDefault="00F04DC5" w:rsidP="00F04DC5">
      <w:pPr>
        <w:spacing w:after="0" w:line="240" w:lineRule="auto"/>
      </w:pPr>
      <w:r>
        <w:t xml:space="preserve">However, the majority of talk that occurs in classrooms between pupils is not exploratory and is instead of a low quality. Children have been found to sit by each other in classrooms but work and play independently without any social interactions with others (Baines, Blatchford and Webster, </w:t>
      </w:r>
      <w:r>
        <w:lastRenderedPageBreak/>
        <w:t xml:space="preserve">2014). This could be due to a lack of enjoyment while working as a group. Group work can be a very uncomfortable time for many pupils resulting in them looking for the teachers reassurance and guidance throughout. </w:t>
      </w:r>
      <w:r w:rsidRPr="001B7EAD">
        <w:rPr>
          <w:color w:val="FF0000"/>
        </w:rPr>
        <w:t>Moreove</w:t>
      </w:r>
      <w:r>
        <w:t xml:space="preserve">r, children may not engage in dialogue with peers due to a limited understanding of language (Blatchford, </w:t>
      </w:r>
      <w:proofErr w:type="spellStart"/>
      <w:r>
        <w:t>Kutnick</w:t>
      </w:r>
      <w:proofErr w:type="spellEnd"/>
      <w:r>
        <w:t xml:space="preserve"> and Baines, 2007). Hart and </w:t>
      </w:r>
      <w:proofErr w:type="spellStart"/>
      <w:r>
        <w:t>Risley</w:t>
      </w:r>
      <w:proofErr w:type="spellEnd"/>
      <w:r>
        <w:t xml:space="preserve"> (1995) suggest that a </w:t>
      </w:r>
      <w:proofErr w:type="spellStart"/>
      <w:r>
        <w:t>childs</w:t>
      </w:r>
      <w:proofErr w:type="spellEnd"/>
      <w:r>
        <w:t xml:space="preserve"> background can be very influential on their language skills. They believe that be the age of 4, children from middle-class backgrounds would have heard twice as many words in comparison to children from working-class backgrounds (Alexander, 2004). The outcome of this is that new ideas may not emerge from pupil discussions because the language needed to express these ideas is not present in the children.</w:t>
      </w:r>
    </w:p>
    <w:p w14:paraId="7E8ABDD2" w14:textId="77777777" w:rsidR="00F04DC5" w:rsidRDefault="00F04DC5" w:rsidP="00F04DC5">
      <w:pPr>
        <w:spacing w:after="0" w:line="240" w:lineRule="auto"/>
      </w:pPr>
    </w:p>
    <w:p w14:paraId="5E1061CB" w14:textId="2127CA6A" w:rsidR="00F04DC5" w:rsidRDefault="00F04DC5" w:rsidP="00F04DC5">
      <w:pPr>
        <w:spacing w:after="0" w:line="240" w:lineRule="auto"/>
      </w:pPr>
      <w:r>
        <w:t>It is therefore important for teachers to encourage their students to talk, express ideas and learn from their mistakes in other to realise that talk is essential for learning (Alexander, 2001). This idea is similar to that found by Mercer and Littleton (2007) who implied that children who take part in group discussions are more likely to take control of their own learning now and in the futur</w:t>
      </w:r>
      <w:r w:rsidR="00B831EC">
        <w:t xml:space="preserve">e </w:t>
      </w:r>
      <w:r w:rsidR="006816BC">
        <w:t>(Mercer and Littleton, 2007)</w:t>
      </w:r>
    </w:p>
    <w:p w14:paraId="35849B16" w14:textId="77777777" w:rsidR="00F04DC5" w:rsidRDefault="00F04DC5" w:rsidP="00F04DC5">
      <w:pPr>
        <w:spacing w:after="0" w:line="240" w:lineRule="auto"/>
      </w:pPr>
      <w:r>
        <w:t xml:space="preserve">Exploratory talk is not the only type of talk that occurs in the classroom. Other forms of talk are </w:t>
      </w:r>
      <w:proofErr w:type="spellStart"/>
      <w:r>
        <w:t>disputational</w:t>
      </w:r>
      <w:proofErr w:type="spellEnd"/>
      <w:r>
        <w:t xml:space="preserve"> talk and cumulative talk (</w:t>
      </w:r>
      <w:proofErr w:type="spellStart"/>
      <w:r>
        <w:t>Wegerif</w:t>
      </w:r>
      <w:proofErr w:type="spellEnd"/>
      <w:r>
        <w:t xml:space="preserve"> and Mercer, 1997).</w:t>
      </w:r>
    </w:p>
    <w:p w14:paraId="3B3E7BE0" w14:textId="133E7AFB" w:rsidR="00F04DC5" w:rsidRDefault="00F04DC5" w:rsidP="00F04DC5">
      <w:pPr>
        <w:spacing w:after="0" w:line="240" w:lineRule="auto"/>
      </w:pPr>
      <w:proofErr w:type="spellStart"/>
      <w:r>
        <w:t>Disputational</w:t>
      </w:r>
      <w:proofErr w:type="spellEnd"/>
      <w:r>
        <w:t xml:space="preserve"> talk is a way to control behaviour in the classroom and it used when confrontation or dispute occurs between individuals (Pollard, 2005;</w:t>
      </w:r>
      <w:r w:rsidR="00701A20">
        <w:t xml:space="preserve"> Mercer and Littleton, 2007).</w:t>
      </w:r>
      <w:r w:rsidR="00701A20">
        <w:rPr>
          <w:color w:val="FF0000"/>
        </w:rPr>
        <w:t xml:space="preserve"> </w:t>
      </w:r>
      <w:r>
        <w:t xml:space="preserve">This type of talk involves short and direct exchanges between individuals often in the form of commands. These commands are formed from individuals own opinions and ‘constructive criticism’ is rarely given. The exchange that occurs is a  competition rather than a discussion. </w:t>
      </w:r>
      <w:proofErr w:type="spellStart"/>
      <w:r>
        <w:t>Disputational</w:t>
      </w:r>
      <w:proofErr w:type="spellEnd"/>
      <w:r>
        <w:t xml:space="preserve"> talk therefore provides little or no opportunity for children to learn as they do not consider others opinions or how these opinions can shape their own ideas (Littleton and Light (1999);</w:t>
      </w:r>
      <w:r w:rsidR="00701A20">
        <w:t xml:space="preserve"> Mercer and Littleton, 2007</w:t>
      </w:r>
      <w:r>
        <w:t>)</w:t>
      </w:r>
      <w:r w:rsidR="00701A20">
        <w:t>.</w:t>
      </w:r>
    </w:p>
    <w:p w14:paraId="672314E4" w14:textId="77777777" w:rsidR="00F04DC5" w:rsidRDefault="00F04DC5" w:rsidP="00F04DC5">
      <w:pPr>
        <w:spacing w:after="0" w:line="240" w:lineRule="auto"/>
      </w:pPr>
    </w:p>
    <w:p w14:paraId="05AAF0FF" w14:textId="77777777" w:rsidR="00701A20" w:rsidRDefault="00F04DC5" w:rsidP="00F04DC5">
      <w:pPr>
        <w:spacing w:after="0" w:line="240" w:lineRule="auto"/>
      </w:pPr>
      <w:r>
        <w:t xml:space="preserve">In contrast to </w:t>
      </w:r>
      <w:proofErr w:type="spellStart"/>
      <w:r>
        <w:t>disputational</w:t>
      </w:r>
      <w:proofErr w:type="spellEnd"/>
      <w:r>
        <w:t xml:space="preserve"> talk, cumulative talk results when everyone accepts the opinion given. There is no challenge or criticism of this opinion and children agree with it without discussing it. Children exchange ideas to build on what has been said in order for them to all share the same level of knowledge. In cumulative talk, children will also repeat previous ideas without analysing them. This type of talk can benefit shy children as they don’t have to express their own opinion, instead they can nod and acknowledge the opinions being shared. Not challenging</w:t>
      </w:r>
      <w:r w:rsidRPr="00091C58">
        <w:rPr>
          <w:color w:val="FF0000"/>
        </w:rPr>
        <w:t xml:space="preserve"> </w:t>
      </w:r>
      <w:r>
        <w:t>this opinion,</w:t>
      </w:r>
      <w:r>
        <w:rPr>
          <w:color w:val="FF0000"/>
        </w:rPr>
        <w:t xml:space="preserve"> allows</w:t>
      </w:r>
      <w:r>
        <w:t xml:space="preserve"> children who are shy will increase in confidence and will be more likely to contribute and even challenge opinions in the future. (Littleton and Light, 1999;</w:t>
      </w:r>
      <w:r w:rsidR="00701A20">
        <w:t xml:space="preserve"> Mercer and Littleton, 2007).</w:t>
      </w:r>
    </w:p>
    <w:p w14:paraId="47405ED2" w14:textId="09EC2D5F" w:rsidR="00F04DC5" w:rsidRDefault="00F04DC5" w:rsidP="00F04DC5">
      <w:pPr>
        <w:spacing w:after="0" w:line="240" w:lineRule="auto"/>
      </w:pPr>
      <w:r>
        <w:t xml:space="preserve">Cumulative talk aims to create ‘a group cohesion’ </w:t>
      </w:r>
      <w:r>
        <w:rPr>
          <w:rFonts w:ascii="Arial" w:hAnsi="Arial" w:cs="Arial"/>
          <w:color w:val="000000"/>
          <w:sz w:val="20"/>
          <w:szCs w:val="20"/>
        </w:rPr>
        <w:t xml:space="preserve">(Rajala, </w:t>
      </w:r>
      <w:proofErr w:type="spellStart"/>
      <w:r>
        <w:rPr>
          <w:rFonts w:ascii="Arial" w:hAnsi="Arial" w:cs="Arial"/>
          <w:color w:val="000000"/>
          <w:sz w:val="20"/>
          <w:szCs w:val="20"/>
        </w:rPr>
        <w:t>Hilppö</w:t>
      </w:r>
      <w:proofErr w:type="spellEnd"/>
      <w:r>
        <w:rPr>
          <w:rFonts w:ascii="Arial" w:hAnsi="Arial" w:cs="Arial"/>
          <w:color w:val="000000"/>
          <w:sz w:val="20"/>
          <w:szCs w:val="20"/>
        </w:rPr>
        <w:t xml:space="preserve"> and </w:t>
      </w:r>
      <w:proofErr w:type="spellStart"/>
      <w:r>
        <w:rPr>
          <w:rFonts w:ascii="Arial" w:hAnsi="Arial" w:cs="Arial"/>
          <w:color w:val="000000"/>
          <w:sz w:val="20"/>
          <w:szCs w:val="20"/>
        </w:rPr>
        <w:t>Lipponen</w:t>
      </w:r>
      <w:proofErr w:type="spellEnd"/>
      <w:r>
        <w:rPr>
          <w:rFonts w:ascii="Arial" w:hAnsi="Arial" w:cs="Arial"/>
          <w:color w:val="000000"/>
          <w:sz w:val="20"/>
          <w:szCs w:val="20"/>
        </w:rPr>
        <w:t>, 2012)</w:t>
      </w:r>
      <w:r>
        <w:t xml:space="preserve"> which ensures that all children have the same opinions about a matter. On the other hand, it may also result in children who lack the skills needed to form and evaluate their own, as well as their peers, opinions on topics . </w:t>
      </w:r>
    </w:p>
    <w:p w14:paraId="0B827848" w14:textId="77777777" w:rsidR="00F04DC5" w:rsidRDefault="00F04DC5" w:rsidP="00F04DC5">
      <w:pPr>
        <w:spacing w:after="0" w:line="240" w:lineRule="auto"/>
      </w:pPr>
    </w:p>
    <w:p w14:paraId="274D1B67" w14:textId="77777777" w:rsidR="00F04DC5" w:rsidRDefault="00F04DC5" w:rsidP="00F04DC5">
      <w:pPr>
        <w:spacing w:after="0" w:line="240" w:lineRule="auto"/>
      </w:pPr>
      <w:r>
        <w:t>In this assignment, I believe exploratory talk has allowed pupils to voice their own opinions and ideas about the story. From these ideas, the group of children were able to listen to each other, respond accordingly and offer their own suggestions on the book before forming a joint decision about ‘</w:t>
      </w:r>
      <w:proofErr w:type="spellStart"/>
      <w:r>
        <w:t>Tedi</w:t>
      </w:r>
      <w:proofErr w:type="spellEnd"/>
      <w:r>
        <w:t xml:space="preserve"> </w:t>
      </w:r>
      <w:proofErr w:type="spellStart"/>
      <w:r>
        <w:t>Twt</w:t>
      </w:r>
      <w:proofErr w:type="spellEnd"/>
      <w:r>
        <w:t xml:space="preserve"> and </w:t>
      </w:r>
      <w:proofErr w:type="spellStart"/>
      <w:r>
        <w:t>Doli</w:t>
      </w:r>
      <w:proofErr w:type="spellEnd"/>
      <w:r>
        <w:t xml:space="preserve"> </w:t>
      </w:r>
      <w:proofErr w:type="spellStart"/>
      <w:r>
        <w:t>Glwt</w:t>
      </w:r>
      <w:proofErr w:type="spellEnd"/>
      <w:r>
        <w:t>’ (</w:t>
      </w:r>
      <w:r>
        <w:rPr>
          <w:color w:val="FF0000"/>
        </w:rPr>
        <w:t>ref)</w:t>
      </w:r>
      <w:r>
        <w:t xml:space="preserve">. </w:t>
      </w:r>
    </w:p>
    <w:p w14:paraId="54210F90" w14:textId="77777777" w:rsidR="00F04DC5" w:rsidRDefault="00F04DC5" w:rsidP="00F04DC5">
      <w:pPr>
        <w:spacing w:after="0" w:line="240" w:lineRule="auto"/>
      </w:pPr>
    </w:p>
    <w:p w14:paraId="135EFCA7" w14:textId="77777777" w:rsidR="00F04DC5" w:rsidRDefault="00F04DC5" w:rsidP="00F04DC5">
      <w:pPr>
        <w:spacing w:after="0" w:line="240" w:lineRule="auto"/>
        <w:rPr>
          <w:u w:val="single"/>
        </w:rPr>
      </w:pPr>
      <w:r w:rsidRPr="000D16A8">
        <w:rPr>
          <w:u w:val="single"/>
        </w:rPr>
        <w:t xml:space="preserve">Part 2: </w:t>
      </w:r>
      <w:r>
        <w:rPr>
          <w:u w:val="single"/>
        </w:rPr>
        <w:t>Connecting to theorists</w:t>
      </w:r>
    </w:p>
    <w:p w14:paraId="3E0F5761" w14:textId="77777777" w:rsidR="00F04DC5" w:rsidRDefault="00F04DC5" w:rsidP="00F04DC5">
      <w:pPr>
        <w:spacing w:after="0" w:line="240" w:lineRule="auto"/>
        <w:rPr>
          <w:u w:val="single"/>
        </w:rPr>
      </w:pPr>
    </w:p>
    <w:p w14:paraId="6D97ED5E" w14:textId="77777777" w:rsidR="00F04DC5" w:rsidRDefault="00F04DC5" w:rsidP="00F04DC5">
      <w:pPr>
        <w:spacing w:after="0" w:line="240" w:lineRule="auto"/>
      </w:pPr>
      <w:r>
        <w:t xml:space="preserve">Exploratory talk is a way to develop a </w:t>
      </w:r>
      <w:proofErr w:type="spellStart"/>
      <w:r>
        <w:t>childs</w:t>
      </w:r>
      <w:proofErr w:type="spellEnd"/>
      <w:r>
        <w:t xml:space="preserve"> thinking and knowledge and is supported by Lev Vygotsky’s idea of social constructivism. This theory has generally come to mean that social </w:t>
      </w:r>
    </w:p>
    <w:p w14:paraId="787A13C6" w14:textId="62D9EEE6" w:rsidR="00F04DC5" w:rsidRDefault="00F04DC5" w:rsidP="00F04DC5">
      <w:pPr>
        <w:spacing w:after="0" w:line="240" w:lineRule="auto"/>
      </w:pPr>
      <w:r>
        <w:t xml:space="preserve">interactions are essential for children to develop their cognitive thinking and the way they view the world. In the classroom, social interactions can occur when pupils are arranged into groups. When pupils are in groups, children are able to gain a new insight of a topic as a result of a more skilful </w:t>
      </w:r>
      <w:r>
        <w:lastRenderedPageBreak/>
        <w:t xml:space="preserve">peer sharing their knowledge with the group </w:t>
      </w:r>
      <w:r w:rsidR="00164DC7">
        <w:t xml:space="preserve">(Skinner, </w:t>
      </w:r>
      <w:r w:rsidR="00E5449D">
        <w:t xml:space="preserve">2010; </w:t>
      </w:r>
      <w:r w:rsidR="00042C8D">
        <w:t>Mercer and Litt</w:t>
      </w:r>
      <w:r w:rsidR="00164DC7">
        <w:t xml:space="preserve">leton, 2007; </w:t>
      </w:r>
      <w:r>
        <w:rPr>
          <w:rFonts w:ascii="Arial" w:hAnsi="Arial" w:cs="Arial"/>
          <w:color w:val="000000"/>
          <w:sz w:val="20"/>
          <w:szCs w:val="20"/>
        </w:rPr>
        <w:t xml:space="preserve">Webb and </w:t>
      </w:r>
      <w:proofErr w:type="spellStart"/>
      <w:r>
        <w:rPr>
          <w:rFonts w:ascii="Arial" w:hAnsi="Arial" w:cs="Arial"/>
          <w:color w:val="000000"/>
          <w:sz w:val="20"/>
          <w:szCs w:val="20"/>
        </w:rPr>
        <w:t>Mastergeorge</w:t>
      </w:r>
      <w:proofErr w:type="spellEnd"/>
      <w:r>
        <w:rPr>
          <w:rFonts w:ascii="Arial" w:hAnsi="Arial" w:cs="Arial"/>
          <w:color w:val="000000"/>
          <w:sz w:val="20"/>
          <w:szCs w:val="20"/>
        </w:rPr>
        <w:t>, 2003)</w:t>
      </w:r>
      <w:r>
        <w:t xml:space="preserve">,. </w:t>
      </w:r>
    </w:p>
    <w:p w14:paraId="7E559108" w14:textId="7F79ED7C" w:rsidR="00F04DC5" w:rsidRDefault="00F04DC5" w:rsidP="00F04DC5">
      <w:pPr>
        <w:spacing w:after="0" w:line="240" w:lineRule="auto"/>
      </w:pPr>
      <w:r>
        <w:t xml:space="preserve">Vygotsky believes that ‘language and culture played key roles in human development’ </w:t>
      </w:r>
      <w:r w:rsidR="00703ED7">
        <w:t>(Grigg, 2010)</w:t>
      </w:r>
      <w:r>
        <w:t xml:space="preserve">. He suggests that there is a gap between the knowledge a child has now and the knowledge they want to attain. This gap is known as the Zone of Proximal Development (ZPD) (Figure 2). To bridge this gap, children should work together with more knowledgeable peers or with a teacher. Children are unable to take the next steps in their education unless they have guidance and support from others. (Alexander,2004; </w:t>
      </w:r>
      <w:r w:rsidR="00811985">
        <w:t>Skinner, 2010</w:t>
      </w:r>
      <w:r w:rsidR="00811985">
        <w:t xml:space="preserve">; </w:t>
      </w:r>
      <w:proofErr w:type="spellStart"/>
      <w:r w:rsidR="00811985">
        <w:t>Vygotskii</w:t>
      </w:r>
      <w:proofErr w:type="spellEnd"/>
      <w:r w:rsidR="00811985">
        <w:t xml:space="preserve">, 1965; </w:t>
      </w:r>
      <w:r w:rsidR="00811985">
        <w:t>Vygotsky, 1978</w:t>
      </w:r>
      <w:r w:rsidR="00811985">
        <w:t xml:space="preserve">). </w:t>
      </w:r>
      <w:r>
        <w:t>This means that children who achieved the same outcome, may differ in progression and their ability to problem solve, if they do not receive support from a teacher or more knowledgeable peer. It is important to remember that the ZPD is different for every child and that tasks should  be of a challenging level that requires assistance from another. Once this child has grasped the task, they should be able to complete if efficiently and independently. The skills and knowledge learnt from the knowledgeable peer become internalised in the child and they can draw on this knowledge in the future</w:t>
      </w:r>
      <w:r w:rsidR="00470D36">
        <w:t xml:space="preserve"> (</w:t>
      </w:r>
      <w:r w:rsidR="000C1393">
        <w:t>Christmas, Kudzai and Josiah, 2013).</w:t>
      </w:r>
    </w:p>
    <w:p w14:paraId="33A9D4B8" w14:textId="77777777" w:rsidR="00F04DC5" w:rsidRDefault="00F04DC5" w:rsidP="00F04DC5">
      <w:pPr>
        <w:spacing w:after="0" w:line="240" w:lineRule="auto"/>
      </w:pPr>
    </w:p>
    <w:p w14:paraId="15527794" w14:textId="77777777" w:rsidR="00F04DC5" w:rsidRDefault="00F04DC5" w:rsidP="00F04DC5">
      <w:pPr>
        <w:spacing w:after="0" w:line="240" w:lineRule="auto"/>
      </w:pPr>
    </w:p>
    <w:p w14:paraId="17C22F5A" w14:textId="77777777" w:rsidR="00F04DC5" w:rsidRDefault="00F04DC5" w:rsidP="00F04DC5">
      <w:pPr>
        <w:spacing w:after="0" w:line="240" w:lineRule="auto"/>
        <w:ind w:left="2324"/>
      </w:pPr>
      <w:r>
        <w:rPr>
          <w:noProof/>
        </w:rPr>
        <w:drawing>
          <wp:inline distT="0" distB="0" distL="0" distR="0" wp14:anchorId="070D33F7" wp14:editId="208F445A">
            <wp:extent cx="2583180" cy="255099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1014" t="36256" r="35364" b="44594"/>
                    <a:stretch/>
                  </pic:blipFill>
                  <pic:spPr bwMode="auto">
                    <a:xfrm>
                      <a:off x="0" y="0"/>
                      <a:ext cx="2593898" cy="2561576"/>
                    </a:xfrm>
                    <a:prstGeom prst="rect">
                      <a:avLst/>
                    </a:prstGeom>
                    <a:ln>
                      <a:noFill/>
                    </a:ln>
                    <a:extLst>
                      <a:ext uri="{53640926-AAD7-44D8-BBD7-CCE9431645EC}">
                        <a14:shadowObscured xmlns:a14="http://schemas.microsoft.com/office/drawing/2010/main"/>
                      </a:ext>
                    </a:extLst>
                  </pic:spPr>
                </pic:pic>
              </a:graphicData>
            </a:graphic>
          </wp:inline>
        </w:drawing>
      </w:r>
    </w:p>
    <w:p w14:paraId="0F9F4738" w14:textId="2EC8C820" w:rsidR="00F04DC5" w:rsidRDefault="00F04DC5" w:rsidP="00F04DC5">
      <w:pPr>
        <w:spacing w:after="0" w:line="240" w:lineRule="auto"/>
      </w:pPr>
      <w:r>
        <w:t xml:space="preserve">Figure 2: Vygotsky’s Zone of Proximal Development (ZPD) </w:t>
      </w:r>
      <w:r w:rsidR="00703ED7">
        <w:t>(Grigg, 2010)</w:t>
      </w:r>
    </w:p>
    <w:p w14:paraId="6C7BF9AC" w14:textId="77777777" w:rsidR="00F04DC5" w:rsidRDefault="00F04DC5" w:rsidP="00F04DC5">
      <w:pPr>
        <w:spacing w:after="0" w:line="240" w:lineRule="auto"/>
        <w:rPr>
          <w:color w:val="FF0000"/>
        </w:rPr>
      </w:pPr>
    </w:p>
    <w:p w14:paraId="6B261C84" w14:textId="05D4FD50" w:rsidR="00F04DC5" w:rsidRPr="00C34135" w:rsidRDefault="00F04DC5" w:rsidP="00F04DC5">
      <w:pPr>
        <w:spacing w:after="0" w:line="240" w:lineRule="auto"/>
      </w:pPr>
      <w:r>
        <w:t>One problem with the ZPD, is the assumption that children will be working with more experienced peers or adults. However, this assumption is not always the case as children often grouped at similar educational levels. Marks (2016) states that children who work within the same level as themselves will still gain a higher level of knowledge and will reach the ZPD</w:t>
      </w:r>
      <w:r w:rsidR="007958F8">
        <w:t xml:space="preserve">. </w:t>
      </w:r>
      <w:r>
        <w:rPr>
          <w:rStyle w:val="Hyperlink"/>
          <w:color w:val="auto"/>
          <w:u w:val="none"/>
        </w:rPr>
        <w:t xml:space="preserve">Therefore, children do not always require a more knowledgeable peer or teacher to work with in order to progress. </w:t>
      </w:r>
    </w:p>
    <w:p w14:paraId="3020D67C" w14:textId="77777777" w:rsidR="00F04DC5" w:rsidRPr="00987DFF" w:rsidRDefault="00F04DC5" w:rsidP="00F04DC5">
      <w:pPr>
        <w:spacing w:after="0" w:line="240" w:lineRule="auto"/>
      </w:pPr>
    </w:p>
    <w:p w14:paraId="76D1277D" w14:textId="77777777" w:rsidR="00F04DC5" w:rsidRDefault="00F04DC5" w:rsidP="00F04DC5">
      <w:pPr>
        <w:spacing w:after="0" w:line="240" w:lineRule="auto"/>
        <w:rPr>
          <w:color w:val="FF0000"/>
        </w:rPr>
      </w:pPr>
    </w:p>
    <w:p w14:paraId="50E4DB73" w14:textId="68B80B1F" w:rsidR="00F04DC5" w:rsidRPr="00A4508C" w:rsidRDefault="00F04DC5" w:rsidP="00F04DC5">
      <w:pPr>
        <w:spacing w:after="0" w:line="240" w:lineRule="auto"/>
        <w:rPr>
          <w:rStyle w:val="Hyperlink"/>
          <w:color w:val="auto"/>
          <w:u w:val="none"/>
        </w:rPr>
      </w:pPr>
      <w:r>
        <w:t>When discussing the ZPD, the way teachers or more knowledgeable peers support children is known as ‘scaffolding’. The term scaffolding was first introduced by Jerome Bruner in 1976</w:t>
      </w:r>
      <w:r w:rsidR="001B260C">
        <w:t xml:space="preserve"> </w:t>
      </w:r>
      <w:r w:rsidR="001B260C">
        <w:rPr>
          <w:color w:val="FF0000"/>
        </w:rPr>
        <w:t>(REF????)</w:t>
      </w:r>
      <w:r>
        <w:t>. Scaffolding can take place through the form of ‘</w:t>
      </w:r>
      <w:r w:rsidRPr="005A0D11">
        <w:rPr>
          <w:color w:val="FF0000"/>
        </w:rPr>
        <w:t>modelling ideas, giving hints and asking questions’</w:t>
      </w:r>
      <w:r>
        <w:rPr>
          <w:color w:val="FF0000"/>
        </w:rPr>
        <w:t xml:space="preserve"> </w:t>
      </w:r>
      <w:r w:rsidRPr="0010407C">
        <w:rPr>
          <w:color w:val="FF0000"/>
        </w:rPr>
        <w:t xml:space="preserve">effective teaching book </w:t>
      </w:r>
      <w:proofErr w:type="spellStart"/>
      <w:r w:rsidRPr="0010407C">
        <w:rPr>
          <w:color w:val="FF0000"/>
        </w:rPr>
        <w:t>pg</w:t>
      </w:r>
      <w:proofErr w:type="spellEnd"/>
      <w:r w:rsidRPr="0010407C">
        <w:rPr>
          <w:color w:val="FF0000"/>
        </w:rPr>
        <w:t xml:space="preserve"> 162). </w:t>
      </w:r>
      <w:r>
        <w:t xml:space="preserve">These </w:t>
      </w:r>
      <w:proofErr w:type="spellStart"/>
      <w:r w:rsidRPr="00693B30">
        <w:rPr>
          <w:color w:val="FF0000"/>
        </w:rPr>
        <w:t>techiniques</w:t>
      </w:r>
      <w:proofErr w:type="spellEnd"/>
      <w:r>
        <w:t xml:space="preserve"> expand the knowledge a child has already acquired</w:t>
      </w:r>
      <w:bookmarkStart w:id="2" w:name="_Hlk527053166"/>
      <w:r>
        <w:t xml:space="preserve">. </w:t>
      </w:r>
      <w:bookmarkEnd w:id="2"/>
      <w:r>
        <w:t>As a child gains confidence and independence in their thinking, the amount of scaffolding that takes place decreases. This allows children to turn the new knowledge obtained through scaffolding into knowledge that they can use independently and without aid</w:t>
      </w:r>
      <w:r w:rsidR="00664522">
        <w:t xml:space="preserve"> (</w:t>
      </w:r>
      <w:proofErr w:type="spellStart"/>
      <w:r w:rsidR="00F75879">
        <w:t>Muhonen</w:t>
      </w:r>
      <w:proofErr w:type="spellEnd"/>
      <w:r w:rsidR="00F75879">
        <w:t xml:space="preserve"> </w:t>
      </w:r>
      <w:r w:rsidR="00F75879">
        <w:rPr>
          <w:i/>
        </w:rPr>
        <w:t xml:space="preserve">et </w:t>
      </w:r>
      <w:r w:rsidR="00F75879" w:rsidRPr="00F75879">
        <w:t>al</w:t>
      </w:r>
      <w:r w:rsidR="00F75879">
        <w:t xml:space="preserve">, </w:t>
      </w:r>
      <w:r w:rsidR="00BB1A91">
        <w:t xml:space="preserve">2016). </w:t>
      </w:r>
      <w:r w:rsidRPr="00F75879">
        <w:t>It</w:t>
      </w:r>
      <w:r>
        <w:t xml:space="preserve"> is important to recognise however that the use of scaffolding depends greatly on the task set and it does not work the same for each situation</w:t>
      </w:r>
      <w:r w:rsidR="00323281">
        <w:rPr>
          <w:rStyle w:val="Hyperlink"/>
          <w:color w:val="auto"/>
          <w:u w:val="none"/>
        </w:rPr>
        <w:t>.</w:t>
      </w:r>
    </w:p>
    <w:p w14:paraId="48FCA52D" w14:textId="51E4E9A6" w:rsidR="00F04DC5" w:rsidRPr="001967F6" w:rsidRDefault="00F04DC5" w:rsidP="00F04DC5">
      <w:pPr>
        <w:spacing w:after="0" w:line="240" w:lineRule="auto"/>
        <w:rPr>
          <w:rStyle w:val="Hyperlink"/>
          <w:color w:val="auto"/>
          <w:u w:val="none"/>
        </w:rPr>
      </w:pPr>
      <w:r>
        <w:rPr>
          <w:rStyle w:val="Hyperlink"/>
          <w:color w:val="auto"/>
          <w:u w:val="none"/>
        </w:rPr>
        <w:lastRenderedPageBreak/>
        <w:t>Scaffolding allows teachers or more knowledgeable peers to support others in three different ways. These are ‘contingency, fading and transfer of responsibility’ (</w:t>
      </w:r>
      <w:r w:rsidR="00D471A1">
        <w:rPr>
          <w:rStyle w:val="Hyperlink"/>
          <w:color w:val="auto"/>
          <w:u w:val="none"/>
        </w:rPr>
        <w:t xml:space="preserve">van de Pol, </w:t>
      </w:r>
      <w:proofErr w:type="spellStart"/>
      <w:r w:rsidR="00D471A1">
        <w:rPr>
          <w:rStyle w:val="Hyperlink"/>
          <w:color w:val="auto"/>
          <w:u w:val="none"/>
        </w:rPr>
        <w:t>Volman</w:t>
      </w:r>
      <w:proofErr w:type="spellEnd"/>
      <w:r w:rsidR="00D471A1">
        <w:rPr>
          <w:rStyle w:val="Hyperlink"/>
          <w:color w:val="auto"/>
          <w:u w:val="none"/>
        </w:rPr>
        <w:t xml:space="preserve"> and </w:t>
      </w:r>
      <w:proofErr w:type="spellStart"/>
      <w:r w:rsidR="00D471A1">
        <w:rPr>
          <w:rStyle w:val="Hyperlink"/>
          <w:color w:val="auto"/>
          <w:u w:val="none"/>
        </w:rPr>
        <w:t>Beishuizen</w:t>
      </w:r>
      <w:proofErr w:type="spellEnd"/>
      <w:r w:rsidR="00D471A1">
        <w:rPr>
          <w:rStyle w:val="Hyperlink"/>
          <w:color w:val="auto"/>
          <w:u w:val="none"/>
        </w:rPr>
        <w:t>, 2010</w:t>
      </w:r>
      <w:r>
        <w:rPr>
          <w:rStyle w:val="Hyperlink"/>
          <w:color w:val="auto"/>
          <w:u w:val="none"/>
        </w:rPr>
        <w:t>). Contingency means support that is adapted to the child’s specific needs and understanding. Fading refers to the eventual removal of support given to the child and transfer of responsibility is the idea that the child will take ownership of the task from the teacher (or more knowledgeable peer). These sections of scaffolding identify</w:t>
      </w:r>
      <w:r w:rsidRPr="00282FBA">
        <w:rPr>
          <w:rStyle w:val="Hyperlink"/>
          <w:color w:val="auto"/>
          <w:u w:val="none"/>
        </w:rPr>
        <w:t xml:space="preserve"> </w:t>
      </w:r>
      <w:r>
        <w:rPr>
          <w:rStyle w:val="Hyperlink"/>
          <w:color w:val="auto"/>
          <w:u w:val="none"/>
        </w:rPr>
        <w:t>the need for both the pupil and the more skilful peers to play ‘active’ roles in tasks in order to build deeper understanding and conversation</w:t>
      </w:r>
      <w:r w:rsidR="00CE4DB0">
        <w:rPr>
          <w:rStyle w:val="Hyperlink"/>
          <w:color w:val="auto"/>
          <w:u w:val="none"/>
        </w:rPr>
        <w:t xml:space="preserve"> (</w:t>
      </w:r>
      <w:r w:rsidR="0069586C">
        <w:rPr>
          <w:rStyle w:val="Hyperlink"/>
          <w:color w:val="auto"/>
          <w:u w:val="none"/>
        </w:rPr>
        <w:t xml:space="preserve">van del Pol, </w:t>
      </w:r>
      <w:proofErr w:type="spellStart"/>
      <w:r w:rsidR="0069586C">
        <w:rPr>
          <w:rStyle w:val="Hyperlink"/>
          <w:color w:val="auto"/>
          <w:u w:val="none"/>
        </w:rPr>
        <w:t>Volman</w:t>
      </w:r>
      <w:proofErr w:type="spellEnd"/>
      <w:r w:rsidR="0069586C">
        <w:rPr>
          <w:rStyle w:val="Hyperlink"/>
          <w:color w:val="auto"/>
          <w:u w:val="none"/>
        </w:rPr>
        <w:t xml:space="preserve"> and </w:t>
      </w:r>
      <w:proofErr w:type="spellStart"/>
      <w:r w:rsidR="0069586C">
        <w:rPr>
          <w:rStyle w:val="Hyperlink"/>
          <w:color w:val="auto"/>
          <w:u w:val="none"/>
        </w:rPr>
        <w:t>Beishuizen</w:t>
      </w:r>
      <w:proofErr w:type="spellEnd"/>
      <w:r w:rsidR="0069586C">
        <w:rPr>
          <w:rStyle w:val="Hyperlink"/>
          <w:color w:val="auto"/>
          <w:u w:val="none"/>
        </w:rPr>
        <w:t xml:space="preserve">, 2010; </w:t>
      </w:r>
      <w:r w:rsidR="004527B1">
        <w:rPr>
          <w:rStyle w:val="Hyperlink"/>
          <w:color w:val="auto"/>
          <w:u w:val="none"/>
        </w:rPr>
        <w:t xml:space="preserve">van del Pol </w:t>
      </w:r>
      <w:r w:rsidR="004527B1">
        <w:rPr>
          <w:rStyle w:val="Hyperlink"/>
          <w:i/>
          <w:color w:val="auto"/>
          <w:u w:val="none"/>
        </w:rPr>
        <w:t>et al</w:t>
      </w:r>
      <w:r w:rsidR="004527B1">
        <w:rPr>
          <w:rStyle w:val="Hyperlink"/>
          <w:color w:val="auto"/>
          <w:u w:val="none"/>
        </w:rPr>
        <w:t xml:space="preserve">, </w:t>
      </w:r>
      <w:r w:rsidR="006A5971">
        <w:rPr>
          <w:rStyle w:val="Hyperlink"/>
          <w:color w:val="auto"/>
          <w:u w:val="none"/>
        </w:rPr>
        <w:t>2015</w:t>
      </w:r>
      <w:r w:rsidR="004F1250">
        <w:rPr>
          <w:rStyle w:val="Hyperlink"/>
          <w:color w:val="auto"/>
          <w:u w:val="none"/>
        </w:rPr>
        <w:t xml:space="preserve">; </w:t>
      </w:r>
      <w:proofErr w:type="spellStart"/>
      <w:r w:rsidR="001967F6">
        <w:rPr>
          <w:rStyle w:val="Hyperlink"/>
          <w:color w:val="auto"/>
          <w:u w:val="none"/>
        </w:rPr>
        <w:t>Muhonen</w:t>
      </w:r>
      <w:proofErr w:type="spellEnd"/>
      <w:r w:rsidR="001967F6">
        <w:rPr>
          <w:rStyle w:val="Hyperlink"/>
          <w:color w:val="auto"/>
          <w:u w:val="none"/>
        </w:rPr>
        <w:t xml:space="preserve"> </w:t>
      </w:r>
      <w:r w:rsidR="001967F6">
        <w:rPr>
          <w:rStyle w:val="Hyperlink"/>
          <w:i/>
          <w:color w:val="auto"/>
          <w:u w:val="none"/>
        </w:rPr>
        <w:t>et al</w:t>
      </w:r>
      <w:r w:rsidR="001967F6">
        <w:rPr>
          <w:rStyle w:val="Hyperlink"/>
          <w:color w:val="auto"/>
          <w:u w:val="none"/>
        </w:rPr>
        <w:t xml:space="preserve">, </w:t>
      </w:r>
      <w:r w:rsidR="0026356E">
        <w:rPr>
          <w:rStyle w:val="Hyperlink"/>
          <w:color w:val="auto"/>
          <w:u w:val="none"/>
        </w:rPr>
        <w:t>2016).</w:t>
      </w:r>
    </w:p>
    <w:p w14:paraId="1F598A63" w14:textId="77777777" w:rsidR="00F04DC5" w:rsidRDefault="00F04DC5" w:rsidP="00F04DC5">
      <w:pPr>
        <w:spacing w:after="0" w:line="240" w:lineRule="auto"/>
        <w:rPr>
          <w:rStyle w:val="Hyperlink"/>
          <w:color w:val="auto"/>
          <w:u w:val="none"/>
        </w:rPr>
      </w:pPr>
    </w:p>
    <w:p w14:paraId="491EC60A" w14:textId="77777777" w:rsidR="00F04DC5" w:rsidRDefault="00F04DC5" w:rsidP="00F04DC5">
      <w:pPr>
        <w:spacing w:after="0" w:line="240" w:lineRule="auto"/>
        <w:rPr>
          <w:rStyle w:val="Hyperlink"/>
          <w:color w:val="auto"/>
          <w:u w:val="none"/>
        </w:rPr>
      </w:pPr>
      <w:bookmarkStart w:id="3" w:name="_Hlk527054176"/>
      <w:r>
        <w:rPr>
          <w:rStyle w:val="Hyperlink"/>
          <w:color w:val="auto"/>
          <w:u w:val="none"/>
        </w:rPr>
        <w:t>Vygotsky and Bruner’s theories are present in the learning event I witnessed. During this event, pupil 3 is able to develop their ZPD. Pupil 3 struggles to understand the meaning behind ‘</w:t>
      </w:r>
      <w:proofErr w:type="spellStart"/>
      <w:r>
        <w:rPr>
          <w:rStyle w:val="Hyperlink"/>
          <w:color w:val="auto"/>
          <w:u w:val="none"/>
        </w:rPr>
        <w:t>Dwli</w:t>
      </w:r>
      <w:proofErr w:type="spellEnd"/>
      <w:r>
        <w:rPr>
          <w:rStyle w:val="Hyperlink"/>
          <w:color w:val="auto"/>
          <w:u w:val="none"/>
        </w:rPr>
        <w:t xml:space="preserve"> </w:t>
      </w:r>
      <w:proofErr w:type="spellStart"/>
      <w:r>
        <w:rPr>
          <w:rStyle w:val="Hyperlink"/>
          <w:color w:val="auto"/>
          <w:u w:val="none"/>
        </w:rPr>
        <w:t>Glwt</w:t>
      </w:r>
      <w:proofErr w:type="spellEnd"/>
      <w:r>
        <w:rPr>
          <w:rStyle w:val="Hyperlink"/>
          <w:color w:val="auto"/>
          <w:u w:val="none"/>
        </w:rPr>
        <w:t xml:space="preserve"> not having a </w:t>
      </w:r>
      <w:proofErr w:type="spellStart"/>
      <w:r>
        <w:rPr>
          <w:rStyle w:val="Hyperlink"/>
          <w:color w:val="auto"/>
          <w:u w:val="none"/>
        </w:rPr>
        <w:t>luchbox</w:t>
      </w:r>
      <w:proofErr w:type="spellEnd"/>
      <w:r>
        <w:rPr>
          <w:rStyle w:val="Hyperlink"/>
          <w:color w:val="auto"/>
          <w:u w:val="none"/>
        </w:rPr>
        <w:t xml:space="preserve">’ before Pupil 2 states that </w:t>
      </w:r>
      <w:r>
        <w:t xml:space="preserve">‘She doesn’t have a lunchbox so must be having dinners’. Pupil 3 then uses this information to connect </w:t>
      </w:r>
      <w:proofErr w:type="spellStart"/>
      <w:r>
        <w:t>Tedi</w:t>
      </w:r>
      <w:proofErr w:type="spellEnd"/>
      <w:r>
        <w:t xml:space="preserve"> </w:t>
      </w:r>
      <w:proofErr w:type="spellStart"/>
      <w:r>
        <w:t>Twt</w:t>
      </w:r>
      <w:proofErr w:type="spellEnd"/>
      <w:r>
        <w:t xml:space="preserve"> and </w:t>
      </w:r>
      <w:proofErr w:type="spellStart"/>
      <w:r>
        <w:t>Dwli</w:t>
      </w:r>
      <w:proofErr w:type="spellEnd"/>
      <w:r>
        <w:t xml:space="preserve"> </w:t>
      </w:r>
      <w:proofErr w:type="spellStart"/>
      <w:r>
        <w:t>Glwt</w:t>
      </w:r>
      <w:proofErr w:type="spellEnd"/>
      <w:r>
        <w:t xml:space="preserve"> to going ‘to have their dinner’. Even though, the other pupils critically analyse the response given by pupil 3, this pupil has still gained new knowledge and through scaffolding the pupil has taken responsibility for this knowledge and has used it to explore the story deeper.</w:t>
      </w:r>
    </w:p>
    <w:bookmarkEnd w:id="3"/>
    <w:p w14:paraId="3CA051D0" w14:textId="77777777" w:rsidR="00F04DC5" w:rsidRDefault="00F04DC5" w:rsidP="00F04DC5">
      <w:pPr>
        <w:spacing w:after="0" w:line="240" w:lineRule="auto"/>
        <w:rPr>
          <w:rStyle w:val="Hyperlink"/>
          <w:color w:val="auto"/>
          <w:u w:val="none"/>
        </w:rPr>
      </w:pPr>
    </w:p>
    <w:p w14:paraId="6D6F6CC8" w14:textId="11A72865" w:rsidR="00F04DC5" w:rsidRDefault="00F04DC5" w:rsidP="00F04DC5">
      <w:pPr>
        <w:spacing w:after="0" w:line="240" w:lineRule="auto"/>
        <w:rPr>
          <w:rStyle w:val="Hyperlink"/>
          <w:color w:val="auto"/>
          <w:u w:val="none"/>
        </w:rPr>
      </w:pPr>
      <w:r>
        <w:rPr>
          <w:rStyle w:val="Hyperlink"/>
          <w:color w:val="auto"/>
          <w:u w:val="none"/>
        </w:rPr>
        <w:t xml:space="preserve">Vygotsky’s theory shows the importance of social interactions in child development. He believed that for development to occur, children should first learn socially, using communication and language.  However this view is not held by another constructivist named Jean Piaget. Piaget believes that a child should learn  through their own development before learning through social interactions. He suggests that children begin to grow encounter the world around them </w:t>
      </w:r>
      <w:r w:rsidR="00CF228B">
        <w:rPr>
          <w:rStyle w:val="Hyperlink"/>
          <w:color w:val="auto"/>
          <w:u w:val="none"/>
        </w:rPr>
        <w:t>(</w:t>
      </w:r>
      <w:proofErr w:type="spellStart"/>
      <w:r w:rsidR="00CF228B">
        <w:rPr>
          <w:rStyle w:val="Hyperlink"/>
          <w:color w:val="auto"/>
          <w:u w:val="none"/>
        </w:rPr>
        <w:t>Vanchevsky</w:t>
      </w:r>
      <w:proofErr w:type="spellEnd"/>
      <w:r w:rsidR="00CF228B">
        <w:rPr>
          <w:rStyle w:val="Hyperlink"/>
          <w:color w:val="auto"/>
          <w:u w:val="none"/>
        </w:rPr>
        <w:t>,</w:t>
      </w:r>
      <w:r w:rsidR="004211AB">
        <w:rPr>
          <w:rStyle w:val="Hyperlink"/>
          <w:color w:val="auto"/>
          <w:u w:val="none"/>
        </w:rPr>
        <w:t xml:space="preserve"> 2006</w:t>
      </w:r>
      <w:r>
        <w:rPr>
          <w:rStyle w:val="Hyperlink"/>
          <w:color w:val="auto"/>
          <w:u w:val="none"/>
        </w:rPr>
        <w:t xml:space="preserve">). Piaget suggests that children only require a ‘rich learning environment’ in which to explore and investigate in order to learn </w:t>
      </w:r>
      <w:r w:rsidR="004A1F28">
        <w:rPr>
          <w:rStyle w:val="Hyperlink"/>
          <w:color w:val="auto"/>
          <w:u w:val="none"/>
        </w:rPr>
        <w:t>(</w:t>
      </w:r>
      <w:r w:rsidR="00FE4263">
        <w:rPr>
          <w:rStyle w:val="Hyperlink"/>
          <w:color w:val="auto"/>
          <w:u w:val="none"/>
        </w:rPr>
        <w:t xml:space="preserve">Halfpenny and Pettersen, 2014). </w:t>
      </w:r>
      <w:r>
        <w:rPr>
          <w:rStyle w:val="Hyperlink"/>
          <w:color w:val="auto"/>
          <w:u w:val="none"/>
        </w:rPr>
        <w:t xml:space="preserve"> His theory implies that any interactions children have with more knowledgeable peers or adults are ‘ irrelevant’</w:t>
      </w:r>
      <w:r w:rsidR="0088772F">
        <w:rPr>
          <w:rStyle w:val="Hyperlink"/>
          <w:color w:val="auto"/>
          <w:u w:val="none"/>
        </w:rPr>
        <w:t xml:space="preserve"> (</w:t>
      </w:r>
      <w:r w:rsidR="00FD0619">
        <w:rPr>
          <w:rStyle w:val="Hyperlink"/>
          <w:color w:val="auto"/>
          <w:u w:val="none"/>
        </w:rPr>
        <w:t xml:space="preserve">Mercer and Littleton, </w:t>
      </w:r>
      <w:r w:rsidR="00EA4A40">
        <w:rPr>
          <w:rStyle w:val="Hyperlink"/>
          <w:color w:val="auto"/>
          <w:u w:val="none"/>
        </w:rPr>
        <w:t xml:space="preserve">2007). </w:t>
      </w:r>
      <w:r>
        <w:rPr>
          <w:rStyle w:val="Hyperlink"/>
          <w:color w:val="auto"/>
          <w:u w:val="none"/>
        </w:rPr>
        <w:t xml:space="preserve">According to Piaget, teachers should not express their opinions or ideas to child as children will take on these ideas as their own. This will result in children not forming any independent ideas and their development will be hindered </w:t>
      </w:r>
      <w:r w:rsidR="00D14734">
        <w:rPr>
          <w:rStyle w:val="Hyperlink"/>
          <w:color w:val="auto"/>
          <w:u w:val="none"/>
        </w:rPr>
        <w:t>(Jordan</w:t>
      </w:r>
      <w:r w:rsidR="00E20785">
        <w:rPr>
          <w:rStyle w:val="Hyperlink"/>
          <w:color w:val="auto"/>
          <w:u w:val="none"/>
        </w:rPr>
        <w:t xml:space="preserve">, </w:t>
      </w:r>
      <w:proofErr w:type="spellStart"/>
      <w:r w:rsidR="00E20785">
        <w:rPr>
          <w:rStyle w:val="Hyperlink"/>
          <w:color w:val="auto"/>
          <w:u w:val="none"/>
        </w:rPr>
        <w:t>Carli</w:t>
      </w:r>
      <w:r w:rsidR="00F42CBF">
        <w:rPr>
          <w:rStyle w:val="Hyperlink"/>
          <w:color w:val="auto"/>
          <w:u w:val="none"/>
        </w:rPr>
        <w:t>le</w:t>
      </w:r>
      <w:proofErr w:type="spellEnd"/>
      <w:r w:rsidR="00F42CBF">
        <w:rPr>
          <w:rStyle w:val="Hyperlink"/>
          <w:color w:val="auto"/>
          <w:u w:val="none"/>
        </w:rPr>
        <w:t xml:space="preserve"> and Stack,</w:t>
      </w:r>
      <w:r w:rsidR="00EC39A8">
        <w:rPr>
          <w:rStyle w:val="Hyperlink"/>
          <w:color w:val="auto"/>
          <w:u w:val="none"/>
        </w:rPr>
        <w:t xml:space="preserve"> 2008</w:t>
      </w:r>
      <w:r>
        <w:rPr>
          <w:rStyle w:val="Hyperlink"/>
          <w:color w:val="auto"/>
          <w:u w:val="none"/>
        </w:rPr>
        <w:t xml:space="preserve">). </w:t>
      </w:r>
    </w:p>
    <w:p w14:paraId="66AD14CA" w14:textId="5518A91F" w:rsidR="00F04DC5" w:rsidRDefault="00F04DC5" w:rsidP="00F04DC5">
      <w:pPr>
        <w:spacing w:after="0" w:line="240" w:lineRule="auto"/>
        <w:rPr>
          <w:rStyle w:val="Hyperlink"/>
          <w:color w:val="auto"/>
          <w:u w:val="none"/>
        </w:rPr>
      </w:pPr>
      <w:r>
        <w:rPr>
          <w:rStyle w:val="Hyperlink"/>
          <w:color w:val="auto"/>
          <w:u w:val="none"/>
        </w:rPr>
        <w:t xml:space="preserve">Piaget’s theory on learning played a massive part of education in the UK during the 1960s with a focus on children being able to think themselves </w:t>
      </w:r>
      <w:r w:rsidR="00EA4A40">
        <w:rPr>
          <w:rStyle w:val="Hyperlink"/>
          <w:color w:val="auto"/>
          <w:u w:val="none"/>
        </w:rPr>
        <w:t>(Mercer and Littleton, 2007</w:t>
      </w:r>
      <w:r>
        <w:rPr>
          <w:rStyle w:val="Hyperlink"/>
          <w:color w:val="auto"/>
          <w:u w:val="none"/>
        </w:rPr>
        <w:t>).</w:t>
      </w:r>
    </w:p>
    <w:p w14:paraId="19036506" w14:textId="77777777" w:rsidR="00F04DC5" w:rsidRDefault="00F04DC5" w:rsidP="00F04DC5">
      <w:pPr>
        <w:spacing w:after="0" w:line="240" w:lineRule="auto"/>
        <w:rPr>
          <w:rStyle w:val="Hyperlink"/>
          <w:color w:val="auto"/>
          <w:u w:val="none"/>
        </w:rPr>
      </w:pPr>
    </w:p>
    <w:p w14:paraId="32475047" w14:textId="12BC4B9D" w:rsidR="00F04DC5" w:rsidRPr="00B01CBC" w:rsidRDefault="00F04DC5" w:rsidP="00F04DC5">
      <w:pPr>
        <w:spacing w:before="240" w:after="0" w:line="240" w:lineRule="auto"/>
        <w:rPr>
          <w:rStyle w:val="Hyperlink"/>
          <w:color w:val="auto"/>
        </w:rPr>
      </w:pPr>
      <w:r>
        <w:rPr>
          <w:rStyle w:val="Hyperlink"/>
          <w:color w:val="auto"/>
          <w:u w:val="none"/>
        </w:rPr>
        <w:t>The research I have gathered and the observation I witnessed will be used to shape my future teaching practice. I will use a social constructivism approach to develop learning and understanding amongst my pupils. My future practice will be a social environment where pupils are encouraged to listen and express their ideas to each other in order to create informed opinions. Pupils will be challenged using open ended questions and</w:t>
      </w:r>
      <w:r w:rsidRPr="00883C51">
        <w:rPr>
          <w:rStyle w:val="Hyperlink"/>
          <w:color w:val="FF0000"/>
          <w:u w:val="none"/>
        </w:rPr>
        <w:t xml:space="preserve"> </w:t>
      </w:r>
      <w:r>
        <w:rPr>
          <w:rStyle w:val="Hyperlink"/>
          <w:color w:val="auto"/>
          <w:u w:val="none"/>
        </w:rPr>
        <w:t xml:space="preserve">feedback will be given (from myself and peers) to build confidence and to help the child progress in the classroom </w:t>
      </w:r>
      <w:r w:rsidR="00A360C8">
        <w:rPr>
          <w:rStyle w:val="Hyperlink"/>
          <w:color w:val="auto"/>
          <w:u w:val="none"/>
        </w:rPr>
        <w:t>(Choi, Land and Turgeon, 2005</w:t>
      </w:r>
      <w:r>
        <w:rPr>
          <w:rStyle w:val="Hyperlink"/>
          <w:color w:val="auto"/>
          <w:u w:val="none"/>
        </w:rPr>
        <w:t>). My classroom environment will be arranged to ensure children are able to converse with each other. There will also be areas where children can reflect on their learning in order internalise the new knowledge they obtain</w:t>
      </w:r>
      <w:r w:rsidR="00604AA5">
        <w:rPr>
          <w:rStyle w:val="Hyperlink"/>
          <w:color w:val="auto"/>
          <w:u w:val="none"/>
        </w:rPr>
        <w:t xml:space="preserve"> </w:t>
      </w:r>
      <w:r w:rsidR="00344A9C">
        <w:rPr>
          <w:rStyle w:val="Hyperlink"/>
          <w:color w:val="auto"/>
          <w:u w:val="none"/>
        </w:rPr>
        <w:t>(</w:t>
      </w:r>
      <w:proofErr w:type="spellStart"/>
      <w:r w:rsidR="00344A9C">
        <w:rPr>
          <w:rStyle w:val="Hyperlink"/>
          <w:color w:val="auto"/>
          <w:u w:val="none"/>
        </w:rPr>
        <w:t>Carr</w:t>
      </w:r>
      <w:proofErr w:type="spellEnd"/>
      <w:r w:rsidR="00344A9C">
        <w:rPr>
          <w:rStyle w:val="Hyperlink"/>
          <w:color w:val="auto"/>
          <w:u w:val="none"/>
        </w:rPr>
        <w:t>, 2011)</w:t>
      </w:r>
      <w:r w:rsidR="0087431C">
        <w:rPr>
          <w:rStyle w:val="Hyperlink"/>
          <w:color w:val="auto"/>
          <w:u w:val="none"/>
        </w:rPr>
        <w:t xml:space="preserve">. </w:t>
      </w:r>
      <w:r>
        <w:rPr>
          <w:rStyle w:val="Hyperlink"/>
          <w:color w:val="auto"/>
          <w:u w:val="none"/>
        </w:rPr>
        <w:t xml:space="preserve">My environment will also support Vygotsky’s theory that talk proceeds learning </w:t>
      </w:r>
      <w:r w:rsidR="00653975">
        <w:rPr>
          <w:rStyle w:val="Hyperlink"/>
          <w:color w:val="auto"/>
          <w:u w:val="none"/>
        </w:rPr>
        <w:t xml:space="preserve">(van de Pol, </w:t>
      </w:r>
      <w:proofErr w:type="spellStart"/>
      <w:r w:rsidR="00653975">
        <w:rPr>
          <w:rStyle w:val="Hyperlink"/>
          <w:color w:val="auto"/>
          <w:u w:val="none"/>
        </w:rPr>
        <w:t>Volman</w:t>
      </w:r>
      <w:proofErr w:type="spellEnd"/>
      <w:r w:rsidR="00653975">
        <w:rPr>
          <w:rStyle w:val="Hyperlink"/>
          <w:color w:val="auto"/>
          <w:u w:val="none"/>
        </w:rPr>
        <w:t xml:space="preserve">, </w:t>
      </w:r>
      <w:proofErr w:type="spellStart"/>
      <w:r w:rsidR="00653975">
        <w:rPr>
          <w:rStyle w:val="Hyperlink"/>
          <w:color w:val="auto"/>
          <w:u w:val="none"/>
        </w:rPr>
        <w:t>Beishuizen</w:t>
      </w:r>
      <w:proofErr w:type="spellEnd"/>
      <w:r w:rsidR="00653975">
        <w:rPr>
          <w:rStyle w:val="Hyperlink"/>
          <w:color w:val="auto"/>
          <w:u w:val="none"/>
        </w:rPr>
        <w:t xml:space="preserve">, 2010). </w:t>
      </w:r>
      <w:r>
        <w:rPr>
          <w:rStyle w:val="Hyperlink"/>
          <w:color w:val="auto"/>
          <w:u w:val="none"/>
        </w:rPr>
        <w:t xml:space="preserve">Children will also be taught about </w:t>
      </w:r>
      <w:proofErr w:type="spellStart"/>
      <w:r>
        <w:rPr>
          <w:rStyle w:val="Hyperlink"/>
          <w:color w:val="auto"/>
          <w:u w:val="none"/>
        </w:rPr>
        <w:t>disputational</w:t>
      </w:r>
      <w:proofErr w:type="spellEnd"/>
      <w:r>
        <w:rPr>
          <w:rStyle w:val="Hyperlink"/>
          <w:color w:val="auto"/>
          <w:u w:val="none"/>
        </w:rPr>
        <w:t xml:space="preserve"> talk, cumulative talk and exploratory talk. This will allow them to identify the benefits of exploratory talk and they will be able to recognise when they are using this form of talk with their peers. The use of the social constructivism theory in my future practice will create an environment where children are free to express opinions and analyse others in order to gain a deeper understanding of a range of topics across the curriculum.</w:t>
      </w:r>
    </w:p>
    <w:p w14:paraId="74DF7700" w14:textId="77777777" w:rsidR="00F04DC5" w:rsidRDefault="00F04DC5" w:rsidP="00F04DC5">
      <w:pPr>
        <w:spacing w:after="0" w:line="240" w:lineRule="auto"/>
        <w:rPr>
          <w:rStyle w:val="Hyperlink"/>
          <w:color w:val="auto"/>
          <w:u w:val="none"/>
        </w:rPr>
      </w:pPr>
    </w:p>
    <w:p w14:paraId="3BE53895" w14:textId="77777777" w:rsidR="00F04DC5" w:rsidRPr="001B3D25" w:rsidRDefault="00F04DC5" w:rsidP="00F04DC5">
      <w:pPr>
        <w:spacing w:after="0" w:line="240" w:lineRule="auto"/>
        <w:rPr>
          <w:rStyle w:val="Hyperlink"/>
          <w:color w:val="auto"/>
          <w:u w:val="none"/>
        </w:rPr>
      </w:pPr>
    </w:p>
    <w:p w14:paraId="63B87016" w14:textId="77777777" w:rsidR="00F04DC5" w:rsidRDefault="00F04DC5" w:rsidP="00F04DC5">
      <w:pPr>
        <w:spacing w:after="0" w:line="240" w:lineRule="auto"/>
        <w:rPr>
          <w:rStyle w:val="Hyperlink"/>
          <w:color w:val="auto"/>
          <w:u w:val="none"/>
        </w:rPr>
      </w:pPr>
    </w:p>
    <w:p w14:paraId="35B0F288" w14:textId="77777777" w:rsidR="00F04DC5" w:rsidRDefault="00F04DC5" w:rsidP="00F04DC5">
      <w:pPr>
        <w:spacing w:after="0" w:line="240" w:lineRule="auto"/>
        <w:rPr>
          <w:u w:val="single"/>
        </w:rPr>
      </w:pPr>
      <w:r w:rsidRPr="007A3A9F">
        <w:rPr>
          <w:u w:val="single"/>
        </w:rPr>
        <w:t xml:space="preserve">Part 3: </w:t>
      </w:r>
      <w:r>
        <w:rPr>
          <w:u w:val="single"/>
        </w:rPr>
        <w:t>Learning Environment</w:t>
      </w:r>
    </w:p>
    <w:p w14:paraId="60550C84" w14:textId="77777777" w:rsidR="00F04DC5" w:rsidRDefault="00F04DC5" w:rsidP="00F04DC5">
      <w:pPr>
        <w:spacing w:after="0" w:line="240" w:lineRule="auto"/>
        <w:rPr>
          <w:u w:val="single"/>
        </w:rPr>
      </w:pPr>
    </w:p>
    <w:p w14:paraId="39CE1E3D" w14:textId="77777777" w:rsidR="00F04DC5" w:rsidRDefault="00F04DC5" w:rsidP="00F04DC5">
      <w:pPr>
        <w:spacing w:after="0" w:line="240" w:lineRule="auto"/>
      </w:pPr>
      <w:r w:rsidRPr="008A117C">
        <w:rPr>
          <w:color w:val="FF0000"/>
        </w:rPr>
        <w:t xml:space="preserve">Learning environments are areas </w:t>
      </w:r>
      <w:r>
        <w:rPr>
          <w:color w:val="FF0000"/>
        </w:rPr>
        <w:t xml:space="preserve">in which </w:t>
      </w:r>
      <w:r w:rsidRPr="008A117C">
        <w:rPr>
          <w:color w:val="FF0000"/>
        </w:rPr>
        <w:t>a range of resources</w:t>
      </w:r>
      <w:r>
        <w:rPr>
          <w:color w:val="FF0000"/>
        </w:rPr>
        <w:t xml:space="preserve"> are used to create new educational experiences</w:t>
      </w:r>
      <w:r w:rsidRPr="008A117C">
        <w:rPr>
          <w:color w:val="FF0000"/>
        </w:rPr>
        <w:t xml:space="preserve">. </w:t>
      </w:r>
      <w:r>
        <w:t xml:space="preserve">My ideal learning environment is designed for a reception class. It will be an exciting environment where children play active roles in order for them to progress in their </w:t>
      </w:r>
    </w:p>
    <w:p w14:paraId="336ACE6C" w14:textId="14C21AA6" w:rsidR="00F04DC5" w:rsidRDefault="00F04DC5" w:rsidP="00F04DC5">
      <w:pPr>
        <w:spacing w:after="0" w:line="240" w:lineRule="auto"/>
      </w:pPr>
      <w:r>
        <w:t xml:space="preserve">education </w:t>
      </w:r>
      <w:r w:rsidR="00BE7718">
        <w:t xml:space="preserve">(Wang </w:t>
      </w:r>
      <w:r w:rsidR="00BE7718">
        <w:rPr>
          <w:i/>
        </w:rPr>
        <w:t>et al</w:t>
      </w:r>
      <w:r w:rsidR="00BE7718">
        <w:t>, 2017</w:t>
      </w:r>
      <w:r w:rsidR="006059A9">
        <w:t xml:space="preserve">; </w:t>
      </w:r>
      <w:proofErr w:type="spellStart"/>
      <w:r w:rsidR="00461644">
        <w:t>MacBlain</w:t>
      </w:r>
      <w:proofErr w:type="spellEnd"/>
      <w:r w:rsidR="00461644">
        <w:t>, 2014)</w:t>
      </w:r>
      <w:r w:rsidR="00962F63">
        <w:t>.</w:t>
      </w:r>
      <w:r w:rsidRPr="003A5CB3">
        <w:rPr>
          <w:color w:val="FF0000"/>
        </w:rPr>
        <w:t xml:space="preserve"> </w:t>
      </w:r>
      <w:r>
        <w:t>My learning environment consist of both indoor and outdoor areas that allow children to learn through social experiences.</w:t>
      </w:r>
    </w:p>
    <w:p w14:paraId="237DCAEB" w14:textId="77777777" w:rsidR="00F04DC5" w:rsidRDefault="00F04DC5" w:rsidP="00F04DC5">
      <w:pPr>
        <w:spacing w:after="0" w:line="240" w:lineRule="auto"/>
      </w:pPr>
    </w:p>
    <w:p w14:paraId="2BDE705D" w14:textId="1210FE9B" w:rsidR="00F04DC5" w:rsidRPr="003038B5" w:rsidRDefault="00F04DC5" w:rsidP="00F04DC5">
      <w:pPr>
        <w:spacing w:after="0" w:line="240" w:lineRule="auto"/>
      </w:pPr>
      <w:r>
        <w:t xml:space="preserve">Throughout this section, I will look at the different areas of a classroom that encourage children to learn and develop. One of these areas is outdoor </w:t>
      </w:r>
      <w:r w:rsidRPr="00F707DB">
        <w:t>learning. Harriman (2006) holds the view that nearly all childhood memories about play occur in the outdoor</w:t>
      </w:r>
      <w:r>
        <w:t xml:space="preserve"> environment</w:t>
      </w:r>
      <w:r w:rsidRPr="00F707DB">
        <w:t xml:space="preserve"> (BOOK THE OUTDOOR CLASSROOM, HILARY HARRIMAN, PG 67, CORNER TO LEARN LIMITED, STOKE). </w:t>
      </w:r>
      <w:r>
        <w:t>Play in the outdoor area allows children to participate in real life experiences where they are able to connect what they have learnt to the world around them. T</w:t>
      </w:r>
      <w:r w:rsidRPr="003B4FA5">
        <w:t>herefore</w:t>
      </w:r>
      <w:r>
        <w:t xml:space="preserve"> it is</w:t>
      </w:r>
      <w:r w:rsidRPr="003B4FA5">
        <w:t xml:space="preserve"> essential for outdoor learning (including forest school) to be part of </w:t>
      </w:r>
      <w:proofErr w:type="spellStart"/>
      <w:r>
        <w:t>childrens</w:t>
      </w:r>
      <w:proofErr w:type="spellEnd"/>
      <w:r>
        <w:t xml:space="preserve"> education</w:t>
      </w:r>
      <w:r w:rsidRPr="003B4FA5">
        <w:t>.</w:t>
      </w:r>
      <w:r>
        <w:t xml:space="preserve"> This view is supported In Successful Futures where </w:t>
      </w:r>
      <w:r w:rsidR="00177762">
        <w:t>(</w:t>
      </w:r>
      <w:r w:rsidR="001364C2">
        <w:t xml:space="preserve">Donaldson, </w:t>
      </w:r>
      <w:r w:rsidR="00B33988">
        <w:t>2015</w:t>
      </w:r>
      <w:r>
        <w:t xml:space="preserve">) children recognise the importance of learning beyond the classroom and want fun and practical lessons to engage in. </w:t>
      </w:r>
      <w:r>
        <w:rPr>
          <w:color w:val="FF0000"/>
        </w:rPr>
        <w:t>O</w:t>
      </w:r>
      <w:r>
        <w:t>utdoor learning enables children to begin to take risks, develop team work and it allows them to take control of their own learning. Being outdoors, whether it be on school grounds or on an educational visit ‘promotes self-discovery’ (</w:t>
      </w:r>
      <w:hyperlink r:id="rId8" w:history="1">
        <w:r w:rsidRPr="00143C46">
          <w:rPr>
            <w:rStyle w:val="Hyperlink"/>
          </w:rPr>
          <w:t>https://web-a-ebscohost-com.ezproxy.uwtsd.ac.uk/ehost/pdfviewer/pdfviewer?vid=1&amp;sid=d08c0a0f-f5c9-4031-9605-52bcb7cbc78a%40sdc-v-sessmgr02</w:t>
        </w:r>
      </w:hyperlink>
      <w:r>
        <w:t xml:space="preserve">). Children will begin to question the world around them, develop fundamental skills and access a range of resources. </w:t>
      </w:r>
    </w:p>
    <w:p w14:paraId="0F897535" w14:textId="77777777" w:rsidR="00F04DC5" w:rsidRDefault="00F04DC5" w:rsidP="00F04DC5">
      <w:pPr>
        <w:spacing w:after="0" w:line="240" w:lineRule="auto"/>
      </w:pPr>
    </w:p>
    <w:p w14:paraId="2762286E" w14:textId="111A3C54" w:rsidR="00F04DC5" w:rsidRDefault="00F04DC5" w:rsidP="00F04DC5">
      <w:pPr>
        <w:spacing w:after="0" w:line="240" w:lineRule="auto"/>
      </w:pPr>
      <w:r>
        <w:t>Forest school has a huge impact on a child’s education</w:t>
      </w:r>
      <w:r w:rsidRPr="00F90F3F">
        <w:rPr>
          <w:color w:val="FF0000"/>
        </w:rPr>
        <w:t xml:space="preserve"> so </w:t>
      </w:r>
      <w:r>
        <w:t xml:space="preserve">represents a major part of my outdoor learning area. Forest school provides children with knowledge on how to care for and how to recognise changes in the environment and nature. In forest school, children have the opportunity to search for creatures, make dens and build fire pits. This experience promotes </w:t>
      </w:r>
      <w:proofErr w:type="spellStart"/>
      <w:r>
        <w:t>childrens</w:t>
      </w:r>
      <w:proofErr w:type="spellEnd"/>
      <w:r>
        <w:t xml:space="preserve"> well-being, confidence and their social interactions to grow </w:t>
      </w:r>
      <w:r w:rsidR="00864012">
        <w:t>(Grigg and Lewis,</w:t>
      </w:r>
      <w:r w:rsidR="009E329C">
        <w:t xml:space="preserve"> 2016)</w:t>
      </w:r>
      <w:r>
        <w:t xml:space="preserve">. As children flourish in this environment, the teachers role becomes to assist children as they learn through exploratory talk </w:t>
      </w:r>
      <w:r w:rsidR="009960E1">
        <w:t>(Harris, 2017)</w:t>
      </w:r>
      <w:r>
        <w:t>. In my ideal learning environment, the outdoor area will be arranged into specific sections and activities related to the current topic will be present throughout all these areas. There will be a focus on forest school to learn about the environment, water and sand trays to develop sharing and there will be a garden to plant flowers and learn about life cycles.</w:t>
      </w:r>
    </w:p>
    <w:p w14:paraId="7BB5C3F2" w14:textId="77777777" w:rsidR="00F04DC5" w:rsidRDefault="00F04DC5" w:rsidP="00F04DC5">
      <w:pPr>
        <w:spacing w:after="0" w:line="240" w:lineRule="auto"/>
      </w:pPr>
    </w:p>
    <w:p w14:paraId="072B1FC4" w14:textId="38E58F9E" w:rsidR="00F04DC5" w:rsidRDefault="00F04DC5" w:rsidP="00F04DC5">
      <w:pPr>
        <w:spacing w:after="0" w:line="240" w:lineRule="auto"/>
      </w:pPr>
      <w:r>
        <w:t>In my ideal learning environment, a role play area will assessible to all the pupils and will inspire their imagination and creativity</w:t>
      </w:r>
      <w:r w:rsidR="00864012">
        <w:t xml:space="preserve"> (Grigg and Lewis,</w:t>
      </w:r>
      <w:r w:rsidR="009E329C">
        <w:t>2016)</w:t>
      </w:r>
      <w:r>
        <w:t>. It should also be a fun area in which social interactions are able to grow. The United Nations Convention on the Rights of the Child (</w:t>
      </w:r>
      <w:r w:rsidR="007659BC">
        <w:t>UNCRC, 1992</w:t>
      </w:r>
      <w:r>
        <w:t xml:space="preserve">) state that child have ‘the right to relax and play’. Through play children have the opportunity to choose their own learning and control how the learning takes place </w:t>
      </w:r>
      <w:r w:rsidR="002E4C6C">
        <w:t>(</w:t>
      </w:r>
      <w:r w:rsidR="00C10D74">
        <w:t>Sheridan, Howard and Alderson, 2011</w:t>
      </w:r>
      <w:r>
        <w:t xml:space="preserve">). Play has been an essential part of a </w:t>
      </w:r>
      <w:proofErr w:type="spellStart"/>
      <w:r>
        <w:t>childs</w:t>
      </w:r>
      <w:proofErr w:type="spellEnd"/>
      <w:r>
        <w:t xml:space="preserve"> development for many years. This view is supported by James a Kidd (1974) who states that ‘play is as essential to mortal existence of a young child as is food and shelter’. This suggests that play should be present throughout the school environment and children should have access to play every day. As children play, teachers should be encouraging them to develop a more structured form of play, role pla</w:t>
      </w:r>
      <w:r w:rsidR="00BE1873">
        <w:t>y (Christie, 2006</w:t>
      </w:r>
      <w:r>
        <w:t xml:space="preserve">). Teachers will do this by immersing themselves in the play, learning about their pupils and by questioning pupils about their curriculum knowledge. Role play areas should be planned with the pupils in order to engage their interests. Other activities can be introduced alongside the role play such as letter writing, counting, sorting and designing new items to use in the roleplay (Levine </w:t>
      </w:r>
      <w:r w:rsidRPr="00EF6D88">
        <w:rPr>
          <w:i/>
        </w:rPr>
        <w:t>et al</w:t>
      </w:r>
      <w:r>
        <w:t xml:space="preserve">, 1984). Role play opens up </w:t>
      </w:r>
      <w:proofErr w:type="spellStart"/>
      <w:r>
        <w:t>childrens</w:t>
      </w:r>
      <w:proofErr w:type="spellEnd"/>
      <w:r>
        <w:t xml:space="preserve"> minds and allows them to be someone else for a while. They are able to expand their literacy and numeracy skills while learning to share and develop their self-esteem. </w:t>
      </w:r>
      <w:r w:rsidR="00D0527E">
        <w:t>(S</w:t>
      </w:r>
      <w:r w:rsidR="0004328E">
        <w:t>heridan, Howard, Alderson, 2011F</w:t>
      </w:r>
      <w:r>
        <w:t xml:space="preserve">). In my observation school, role play areas were used to encourage social interactions and to promote the use of wider range of </w:t>
      </w:r>
      <w:r>
        <w:lastRenderedPageBreak/>
        <w:t xml:space="preserve">vocabulary. Following on from this, in my learning environment, I have created a shop role play area. I have chosen this as it is a familiar concept that children will experience regularly in their day to day lives. Shop role play areas enable children to learn together about money exchange, healthy foods (through the use of Welsh and English) and create shopping lists. </w:t>
      </w:r>
    </w:p>
    <w:p w14:paraId="1C6E57A1" w14:textId="77777777" w:rsidR="00F04DC5" w:rsidRDefault="00F04DC5" w:rsidP="00F04DC5">
      <w:pPr>
        <w:spacing w:after="0" w:line="240" w:lineRule="auto"/>
      </w:pPr>
    </w:p>
    <w:p w14:paraId="23B009A6" w14:textId="377CF5BD" w:rsidR="00F04DC5" w:rsidRDefault="00F04DC5" w:rsidP="00F04DC5">
      <w:pPr>
        <w:spacing w:after="0" w:line="240" w:lineRule="auto"/>
      </w:pPr>
      <w:r>
        <w:t xml:space="preserve">Successful futures has recognised that digital competence should be a key part of the future curriculum (Donaldson, 2015). Therefore, it is an essential part  of my learning environment. The digital competence has been created so children can learn to use a range of ‘digital skills’ and then apply these skills </w:t>
      </w:r>
      <w:r w:rsidRPr="003B3FC8">
        <w:rPr>
          <w:color w:val="FF0000"/>
        </w:rPr>
        <w:t xml:space="preserve">through the curriculum and beyond </w:t>
      </w:r>
      <w:r>
        <w:t xml:space="preserve">(Donaldson, 2015). One way children can build on their digital skills is through the use of </w:t>
      </w:r>
      <w:proofErr w:type="spellStart"/>
      <w:r>
        <w:t>ipads</w:t>
      </w:r>
      <w:proofErr w:type="spellEnd"/>
      <w:r>
        <w:t xml:space="preserve">. </w:t>
      </w:r>
      <w:proofErr w:type="spellStart"/>
      <w:r>
        <w:t>Ipads</w:t>
      </w:r>
      <w:proofErr w:type="spellEnd"/>
      <w:r>
        <w:t xml:space="preserve"> enable children to collect information, translate languages and send emails. </w:t>
      </w:r>
      <w:proofErr w:type="spellStart"/>
      <w:r>
        <w:t>Futhermore</w:t>
      </w:r>
      <w:proofErr w:type="spellEnd"/>
      <w:r>
        <w:t>, children find them simple to use and they permit children to work independently in the class</w:t>
      </w:r>
      <w:r w:rsidR="00AF1175">
        <w:t xml:space="preserve"> (Price, </w:t>
      </w:r>
      <w:proofErr w:type="spellStart"/>
      <w:r w:rsidR="00AF1175">
        <w:t>Jewitt</w:t>
      </w:r>
      <w:proofErr w:type="spellEnd"/>
      <w:r w:rsidR="00AF1175">
        <w:t xml:space="preserve"> and Cres</w:t>
      </w:r>
      <w:r w:rsidR="00033B2C">
        <w:t xml:space="preserve">cenzi, 2015). </w:t>
      </w:r>
      <w:r>
        <w:t xml:space="preserve">Through the use of </w:t>
      </w:r>
      <w:proofErr w:type="spellStart"/>
      <w:r>
        <w:t>ipads</w:t>
      </w:r>
      <w:proofErr w:type="spellEnd"/>
      <w:r>
        <w:t xml:space="preserve"> children can discover more about cultures and people in relation to the current topic. </w:t>
      </w:r>
      <w:hyperlink r:id="rId9" w:history="1">
        <w:r w:rsidRPr="00315811">
          <w:rPr>
            <w:rStyle w:val="Hyperlink"/>
          </w:rPr>
          <w:t>https://web-a-ebscohost-com.ezproxy.uwtsd.ac.uk/ehost/pdfviewer/pdfviewer?vid=1&amp;sid=4eb85ef5-3f24-4167-957a-0a4569e1ffc5%40session</w:t>
        </w:r>
        <w:r w:rsidRPr="00315811">
          <w:rPr>
            <w:rStyle w:val="Hyperlink"/>
          </w:rPr>
          <w:t>m</w:t>
        </w:r>
        <w:r w:rsidRPr="00315811">
          <w:rPr>
            <w:rStyle w:val="Hyperlink"/>
          </w:rPr>
          <w:t>gr4010</w:t>
        </w:r>
      </w:hyperlink>
    </w:p>
    <w:p w14:paraId="7B13DAA8" w14:textId="6917F979" w:rsidR="00F04DC5" w:rsidRDefault="00F04DC5" w:rsidP="00F04DC5">
      <w:pPr>
        <w:spacing w:after="0" w:line="240" w:lineRule="auto"/>
      </w:pPr>
      <w:r>
        <w:t xml:space="preserve">The ability to use a range of digital skills also extends to the teacher. Teachers must be able to model these skills in order for children to know how to use digital devices safely </w:t>
      </w:r>
      <w:r w:rsidR="000A21D4">
        <w:t>(DCF,</w:t>
      </w:r>
      <w:r w:rsidR="00966849">
        <w:t xml:space="preserve"> 2018)</w:t>
      </w:r>
      <w:r>
        <w:t xml:space="preserve">. One device teachers are encouraged to use is an interactive whiteboard (IWB). This type of multimedia was found to have a positive impact on </w:t>
      </w:r>
      <w:proofErr w:type="spellStart"/>
      <w:r>
        <w:t>childrens</w:t>
      </w:r>
      <w:proofErr w:type="spellEnd"/>
      <w:r>
        <w:t xml:space="preserve"> engagement, ‘concentration, attention and motivation levels’</w:t>
      </w:r>
      <w:r w:rsidR="000048B2">
        <w:t xml:space="preserve"> (Schmid, 2008). </w:t>
      </w:r>
      <w:r>
        <w:t>The interactive whiteboard is placed at the front of my ideal learning environment. It will be used as a physical aid to learning and children will operate the board to complete tasks. Topics could also be introduced using the IWB and child engagement and motivation will be promoted as children sit facing the board. The IWB permits children to understand the importance of learning digital skills. Children will use these skills throughout their lives in order to learn more about themselves, their rights and when to store and share data with others</w:t>
      </w:r>
      <w:r w:rsidR="00F87EF8">
        <w:t xml:space="preserve"> (DCF, 2018).</w:t>
      </w:r>
    </w:p>
    <w:p w14:paraId="43B84A41" w14:textId="77777777" w:rsidR="00F04DC5" w:rsidRDefault="00F04DC5" w:rsidP="00F04DC5">
      <w:pPr>
        <w:spacing w:after="0" w:line="240" w:lineRule="auto"/>
      </w:pPr>
    </w:p>
    <w:p w14:paraId="100576C2" w14:textId="1EC9A48B" w:rsidR="00F04DC5" w:rsidRDefault="00F04DC5" w:rsidP="00F04DC5">
      <w:pPr>
        <w:spacing w:after="0" w:line="240" w:lineRule="auto"/>
      </w:pPr>
      <w:r>
        <w:t>Mark making encourages children to create pictures and patterns that will promote their ability to write letters and numbers. My ideal learning environment will have mark making activities set up throughout the classroom in addition to a specific mark making area. These activities aid children as they develop and refine their fine motor skills in order to complete daily tasks such as eating and brushing teet</w:t>
      </w:r>
      <w:r w:rsidR="003A1E9A">
        <w:t>h</w:t>
      </w:r>
      <w:r w:rsidR="00381516">
        <w:t xml:space="preserve">. </w:t>
      </w:r>
      <w:r>
        <w:rPr>
          <w:rStyle w:val="Hyperlink"/>
          <w:color w:val="auto"/>
          <w:u w:val="none"/>
        </w:rPr>
        <w:t>In schools, children should have access to a range of resources in order to mark make. These include chalk, pencils, crayons, pens and pain</w:t>
      </w:r>
      <w:r w:rsidR="00AF66B7">
        <w:rPr>
          <w:rStyle w:val="Hyperlink"/>
          <w:color w:val="auto"/>
          <w:u w:val="none"/>
        </w:rPr>
        <w:t xml:space="preserve">t (Price, </w:t>
      </w:r>
      <w:proofErr w:type="spellStart"/>
      <w:r w:rsidR="00AF66B7">
        <w:rPr>
          <w:rStyle w:val="Hyperlink"/>
          <w:color w:val="auto"/>
          <w:u w:val="none"/>
        </w:rPr>
        <w:t>Jewitt</w:t>
      </w:r>
      <w:proofErr w:type="spellEnd"/>
      <w:r w:rsidR="00AF66B7">
        <w:rPr>
          <w:rStyle w:val="Hyperlink"/>
          <w:color w:val="auto"/>
          <w:u w:val="none"/>
        </w:rPr>
        <w:t xml:space="preserve"> and Crescenzi, 2015). </w:t>
      </w:r>
      <w:r>
        <w:rPr>
          <w:rStyle w:val="Hyperlink"/>
          <w:color w:val="auto"/>
          <w:u w:val="none"/>
        </w:rPr>
        <w:t>Through the use of these resources, children begin to understand their grip and become aware of their dominant hand. According to Massey and Goodman (20</w:t>
      </w:r>
      <w:r w:rsidR="0029792A">
        <w:rPr>
          <w:rStyle w:val="Hyperlink"/>
          <w:color w:val="auto"/>
          <w:u w:val="none"/>
        </w:rPr>
        <w:t>07</w:t>
      </w:r>
      <w:r>
        <w:rPr>
          <w:rStyle w:val="Hyperlink"/>
          <w:color w:val="auto"/>
          <w:u w:val="none"/>
        </w:rPr>
        <w:t xml:space="preserve">), teachers must model writing to children and ensure that mark making activities are enjoyable and assessible. Following this, children will be more eager to participate in literacy activities in the future such as story writing, poetry and creating adverts. </w:t>
      </w:r>
      <w:r>
        <w:t>Mark making will have a central role in my learning environment. Chalk will be placed outside for children to follow and  create their own patterns. In addition to this, paint, paint brushes and pencils will be available daily in the mark making area. Pupils will be encouraged to create paintings and drawings about a topic as they, as well as the teacher, watch how their pencil grip develops. Motivating children to make marks throughout the school day will result in a better pencil grip and therefore children will write and draw more accurately</w:t>
      </w:r>
      <w:r w:rsidR="00865C7A">
        <w:t xml:space="preserve"> (</w:t>
      </w:r>
      <w:proofErr w:type="spellStart"/>
      <w:r w:rsidR="00865C7A">
        <w:t>Kalverboer</w:t>
      </w:r>
      <w:proofErr w:type="spellEnd"/>
      <w:r w:rsidR="00865C7A">
        <w:t xml:space="preserve">, Hopkins and </w:t>
      </w:r>
      <w:proofErr w:type="spellStart"/>
      <w:r w:rsidR="00865C7A">
        <w:t>Geuze</w:t>
      </w:r>
      <w:proofErr w:type="spellEnd"/>
      <w:r w:rsidR="00865C7A">
        <w:t xml:space="preserve">, </w:t>
      </w:r>
      <w:r w:rsidR="00990184">
        <w:t>1993</w:t>
      </w:r>
      <w:r>
        <w:t xml:space="preserve">). </w:t>
      </w:r>
    </w:p>
    <w:p w14:paraId="3CA9AD78" w14:textId="77777777" w:rsidR="00F04DC5" w:rsidRDefault="00F04DC5" w:rsidP="00F04DC5">
      <w:pPr>
        <w:spacing w:after="0" w:line="240" w:lineRule="auto"/>
      </w:pPr>
    </w:p>
    <w:p w14:paraId="5470A8E3" w14:textId="61334B71" w:rsidR="00F04DC5" w:rsidRDefault="00F04DC5" w:rsidP="00F04DC5">
      <w:pPr>
        <w:spacing w:after="0" w:line="240" w:lineRule="auto"/>
      </w:pPr>
      <w:r>
        <w:t xml:space="preserve">A growth mindset area will be present in my ideal learning environment as a way to build </w:t>
      </w:r>
      <w:proofErr w:type="spellStart"/>
      <w:r>
        <w:t>childrens</w:t>
      </w:r>
      <w:proofErr w:type="spellEnd"/>
      <w:r>
        <w:t xml:space="preserve"> self-esteem and confidence </w:t>
      </w:r>
      <w:r w:rsidR="002745EB">
        <w:t xml:space="preserve">(Roberts, </w:t>
      </w:r>
      <w:r w:rsidR="00F438A6">
        <w:t>2006)</w:t>
      </w:r>
      <w:r>
        <w:t>. A positive growth mindset in children can achieved through praise for the pupils who have shown perseverance, effort and thought in their work. Praise in this manner, can be shown through the use of stickers or points on a classroom reward board. Children will then recognise that success is the outcome of hard work</w:t>
      </w:r>
      <w:r w:rsidR="00485047">
        <w:t xml:space="preserve"> (Dweck, </w:t>
      </w:r>
      <w:r w:rsidR="005D2854">
        <w:t>2012</w:t>
      </w:r>
      <w:r w:rsidR="008D6FDF">
        <w:t xml:space="preserve"> ; Brock and Hundley, </w:t>
      </w:r>
      <w:r w:rsidR="00B417DF">
        <w:t>2018</w:t>
      </w:r>
      <w:r w:rsidR="00F438A6">
        <w:t>; Roberts, 2006</w:t>
      </w:r>
      <w:r>
        <w:t xml:space="preserve">). However, children must </w:t>
      </w:r>
      <w:r>
        <w:lastRenderedPageBreak/>
        <w:t>also identify that it is okay to make mistakes. Children with positive growth mindsets learn from their mistakes and feel ready to try tasks again. Therefore these children can face new challenges without fear and strive to complete tasks with greater precision</w:t>
      </w:r>
      <w:r w:rsidR="005A4AC5">
        <w:t xml:space="preserve"> (S</w:t>
      </w:r>
      <w:r w:rsidR="00082F78">
        <w:t xml:space="preserve">chroder </w:t>
      </w:r>
      <w:r w:rsidR="00082F78">
        <w:rPr>
          <w:i/>
        </w:rPr>
        <w:t>et al</w:t>
      </w:r>
      <w:r w:rsidR="00082F78">
        <w:t>, 2017</w:t>
      </w:r>
      <w:r>
        <w:t xml:space="preserve">). </w:t>
      </w:r>
    </w:p>
    <w:p w14:paraId="010BF392" w14:textId="77777777" w:rsidR="00F04DC5" w:rsidRDefault="00F04DC5" w:rsidP="00F04DC5">
      <w:pPr>
        <w:spacing w:after="0" w:line="240" w:lineRule="auto"/>
      </w:pPr>
    </w:p>
    <w:p w14:paraId="428BD91E" w14:textId="77777777" w:rsidR="00F04DC5" w:rsidRDefault="00F04DC5" w:rsidP="00F04DC5">
      <w:pPr>
        <w:spacing w:after="0" w:line="240" w:lineRule="auto"/>
      </w:pPr>
    </w:p>
    <w:p w14:paraId="0A152CC5" w14:textId="77777777" w:rsidR="00F04DC5" w:rsidRDefault="00F04DC5" w:rsidP="00F04DC5">
      <w:pPr>
        <w:spacing w:after="0" w:line="240" w:lineRule="auto"/>
      </w:pPr>
    </w:p>
    <w:p w14:paraId="69632A7A" w14:textId="77777777" w:rsidR="00F04DC5" w:rsidRDefault="00F04DC5" w:rsidP="00F04DC5">
      <w:pPr>
        <w:spacing w:after="0" w:line="240" w:lineRule="auto"/>
        <w:rPr>
          <w:b/>
        </w:rPr>
      </w:pPr>
    </w:p>
    <w:p w14:paraId="1C616AE8" w14:textId="77777777" w:rsidR="00F04DC5" w:rsidRDefault="00F04DC5" w:rsidP="00F04DC5">
      <w:pPr>
        <w:spacing w:after="0" w:line="240" w:lineRule="auto"/>
        <w:rPr>
          <w:u w:val="single"/>
        </w:rPr>
      </w:pPr>
      <w:r>
        <w:rPr>
          <w:u w:val="single"/>
        </w:rPr>
        <w:t>Conclusion (250)</w:t>
      </w:r>
    </w:p>
    <w:p w14:paraId="604EFEED" w14:textId="77777777" w:rsidR="00F04DC5" w:rsidRDefault="00F04DC5" w:rsidP="00F04DC5">
      <w:pPr>
        <w:spacing w:after="0" w:line="240" w:lineRule="auto"/>
        <w:rPr>
          <w:u w:val="single"/>
        </w:rPr>
      </w:pPr>
    </w:p>
    <w:p w14:paraId="5196B039" w14:textId="77777777" w:rsidR="00F04DC5" w:rsidRPr="00134117" w:rsidRDefault="00F04DC5" w:rsidP="00F04DC5">
      <w:pPr>
        <w:spacing w:after="0" w:line="240" w:lineRule="auto"/>
      </w:pPr>
      <w:r w:rsidRPr="00134117">
        <w:t xml:space="preserve">Throughout this assignment, the idea of exploratory talk has been evaluated. The observation I carried out recognises that exploratory talk is present in classrooms and needs to be encouraged in order to develop children’s knowledge further. Pupils in my observation were able to use exploratory talk to share ideas and develop a new understanding of the topic that the pupils previously did not know. </w:t>
      </w:r>
    </w:p>
    <w:p w14:paraId="1CF36AA7" w14:textId="77777777" w:rsidR="00F04DC5" w:rsidRPr="00134117" w:rsidRDefault="00F04DC5" w:rsidP="00F04DC5">
      <w:pPr>
        <w:spacing w:after="0" w:line="240" w:lineRule="auto"/>
      </w:pPr>
    </w:p>
    <w:p w14:paraId="414F4A61" w14:textId="4575B931" w:rsidR="00F04DC5" w:rsidRPr="00134117" w:rsidRDefault="00F04DC5" w:rsidP="00F04DC5">
      <w:pPr>
        <w:spacing w:after="0" w:line="240" w:lineRule="auto"/>
      </w:pPr>
      <w:r w:rsidRPr="00134117">
        <w:t>The idea of using exploratory talk in classrooms has been supported by the social constructivism theory. Two social constructivism theorists , Jerome Bruner and Lev Vygotsky believe that learning is achieved when children interact with a more knowledge peer or adult</w:t>
      </w:r>
      <w:r>
        <w:t xml:space="preserve"> </w:t>
      </w:r>
      <w:r>
        <w:rPr>
          <w:color w:val="FF0000"/>
        </w:rPr>
        <w:t>REF</w:t>
      </w:r>
      <w:r w:rsidRPr="00134117">
        <w:t xml:space="preserve">. The way this occurs can vary from questioning to modelling how to solve problems. The observation I witnessed and the ideas shown in these theories will impact on my future as a teacher by ensuring that children are able to listen, discuss and share ideas in a room that encourages children to progress and grow. </w:t>
      </w:r>
    </w:p>
    <w:p w14:paraId="19E5508B" w14:textId="77777777" w:rsidR="00F04DC5" w:rsidRPr="00134117" w:rsidRDefault="00F04DC5" w:rsidP="00F04DC5">
      <w:pPr>
        <w:spacing w:after="0" w:line="240" w:lineRule="auto"/>
      </w:pPr>
    </w:p>
    <w:p w14:paraId="0D4FAE27" w14:textId="77777777" w:rsidR="00F04DC5" w:rsidRPr="00134117" w:rsidRDefault="00F04DC5" w:rsidP="00F04DC5">
      <w:pPr>
        <w:spacing w:after="0" w:line="240" w:lineRule="auto"/>
      </w:pPr>
      <w:r w:rsidRPr="00134117">
        <w:t xml:space="preserve">Engaging and accessible learning environments are effective as they allow children to gain real life experiences through social interactions, being creative and taking risks. Through creation of my ideal learning environment I </w:t>
      </w:r>
      <w:r>
        <w:t xml:space="preserve">have gained an understanding of how a vibrate, active and fun classroom can </w:t>
      </w:r>
      <w:r w:rsidRPr="00134117">
        <w:t xml:space="preserve">impact on </w:t>
      </w:r>
      <w:proofErr w:type="spellStart"/>
      <w:r>
        <w:t>childrens</w:t>
      </w:r>
      <w:proofErr w:type="spellEnd"/>
      <w:r>
        <w:t xml:space="preserve"> development. </w:t>
      </w:r>
      <w:r>
        <w:rPr>
          <w:color w:val="FF0000"/>
        </w:rPr>
        <w:t>EXPLAIN- REF</w:t>
      </w:r>
      <w:r w:rsidRPr="00134117">
        <w:t xml:space="preserve"> </w:t>
      </w:r>
      <w:r>
        <w:t>This assignment has recognised that talk is crucial in classrooms as</w:t>
      </w:r>
      <w:r w:rsidRPr="00134117">
        <w:t xml:space="preserve"> through conversation and use of language, children </w:t>
      </w:r>
      <w:r>
        <w:t>develop self-esteem and confidence while asking questions, sharing ideas and understanding topics.</w:t>
      </w:r>
    </w:p>
    <w:p w14:paraId="44D8D6D9" w14:textId="77777777" w:rsidR="00F04DC5" w:rsidRPr="007A3A9F" w:rsidRDefault="00F04DC5" w:rsidP="00F04DC5">
      <w:pPr>
        <w:spacing w:after="0" w:line="240" w:lineRule="auto"/>
        <w:rPr>
          <w:u w:val="single"/>
        </w:rPr>
      </w:pPr>
    </w:p>
    <w:p w14:paraId="4DB72403" w14:textId="77777777" w:rsidR="00F04DC5" w:rsidRDefault="00F04DC5" w:rsidP="00F04DC5">
      <w:pPr>
        <w:spacing w:after="0" w:line="240" w:lineRule="auto"/>
      </w:pPr>
    </w:p>
    <w:p w14:paraId="05ED777C" w14:textId="77777777" w:rsidR="00F04DC5" w:rsidRDefault="00F04DC5" w:rsidP="00F04DC5">
      <w:pPr>
        <w:spacing w:after="0" w:line="240" w:lineRule="auto"/>
      </w:pPr>
    </w:p>
    <w:p w14:paraId="020D9536" w14:textId="77777777" w:rsidR="00F04DC5" w:rsidRPr="000D16A8" w:rsidRDefault="00F04DC5" w:rsidP="00F04DC5">
      <w:pPr>
        <w:spacing w:after="0" w:line="240" w:lineRule="auto"/>
      </w:pPr>
    </w:p>
    <w:p w14:paraId="5E21DED4" w14:textId="77777777" w:rsidR="00F04DC5" w:rsidRPr="000B7391" w:rsidRDefault="00F04DC5" w:rsidP="00F04DC5">
      <w:pPr>
        <w:spacing w:after="0" w:line="240" w:lineRule="auto"/>
        <w:rPr>
          <w:u w:val="single"/>
        </w:rPr>
      </w:pPr>
    </w:p>
    <w:p w14:paraId="546E5D48" w14:textId="77777777" w:rsidR="00F04DC5" w:rsidRDefault="00F04DC5" w:rsidP="00F04DC5">
      <w:pPr>
        <w:spacing w:after="0" w:line="240" w:lineRule="auto"/>
      </w:pPr>
      <w:r>
        <w:t xml:space="preserve">References </w:t>
      </w:r>
    </w:p>
    <w:p w14:paraId="28FD8413" w14:textId="77777777" w:rsidR="00F04DC5" w:rsidRDefault="00F04DC5" w:rsidP="00F04DC5">
      <w:pPr>
        <w:spacing w:after="0" w:line="240" w:lineRule="auto"/>
      </w:pPr>
    </w:p>
    <w:p w14:paraId="62451308" w14:textId="4C69CA1F" w:rsidR="00F04DC5" w:rsidRPr="009C5046" w:rsidRDefault="00F04DC5" w:rsidP="00F04DC5">
      <w:pPr>
        <w:spacing w:after="0" w:line="240" w:lineRule="auto"/>
        <w:rPr>
          <w:color w:val="FF0000"/>
        </w:rPr>
      </w:pPr>
      <w:r w:rsidRPr="009C5046">
        <w:rPr>
          <w:color w:val="FF0000"/>
        </w:rPr>
        <w:t>REF FIGURE ONE FROM POWERPOINT!!!!</w:t>
      </w:r>
      <w:bookmarkStart w:id="4" w:name="_GoBack"/>
      <w:bookmarkEnd w:id="4"/>
    </w:p>
    <w:p w14:paraId="5B5FA043" w14:textId="77777777" w:rsidR="00F04DC5" w:rsidRPr="009C5046" w:rsidRDefault="00F04DC5" w:rsidP="00F04DC5">
      <w:pPr>
        <w:spacing w:after="0" w:line="240" w:lineRule="auto"/>
        <w:rPr>
          <w:color w:val="FF0000"/>
        </w:rPr>
      </w:pPr>
    </w:p>
    <w:p w14:paraId="7E940CB8" w14:textId="77777777" w:rsidR="00F04DC5" w:rsidRPr="009C5046" w:rsidRDefault="00F04DC5" w:rsidP="00F04DC5">
      <w:pPr>
        <w:spacing w:after="0" w:line="240" w:lineRule="auto"/>
        <w:rPr>
          <w:color w:val="FF0000"/>
        </w:rPr>
      </w:pPr>
      <w:proofErr w:type="spellStart"/>
      <w:r w:rsidRPr="009C5046">
        <w:rPr>
          <w:color w:val="FF0000"/>
        </w:rPr>
        <w:t>Tedi</w:t>
      </w:r>
      <w:proofErr w:type="spellEnd"/>
      <w:r w:rsidRPr="009C5046">
        <w:rPr>
          <w:color w:val="FF0000"/>
        </w:rPr>
        <w:t xml:space="preserve"> </w:t>
      </w:r>
      <w:proofErr w:type="spellStart"/>
      <w:r w:rsidRPr="009C5046">
        <w:rPr>
          <w:color w:val="FF0000"/>
        </w:rPr>
        <w:t>Twt</w:t>
      </w:r>
      <w:proofErr w:type="spellEnd"/>
      <w:r w:rsidRPr="009C5046">
        <w:rPr>
          <w:color w:val="FF0000"/>
        </w:rPr>
        <w:t xml:space="preserve"> – </w:t>
      </w:r>
      <w:proofErr w:type="spellStart"/>
      <w:r w:rsidRPr="009C5046">
        <w:rPr>
          <w:color w:val="FF0000"/>
        </w:rPr>
        <w:t>Tedi</w:t>
      </w:r>
      <w:proofErr w:type="spellEnd"/>
      <w:r w:rsidRPr="009C5046">
        <w:rPr>
          <w:color w:val="FF0000"/>
        </w:rPr>
        <w:t xml:space="preserve"> </w:t>
      </w:r>
      <w:proofErr w:type="spellStart"/>
      <w:r w:rsidRPr="009C5046">
        <w:rPr>
          <w:color w:val="FF0000"/>
        </w:rPr>
        <w:t>Twt</w:t>
      </w:r>
      <w:proofErr w:type="spellEnd"/>
      <w:r w:rsidRPr="009C5046">
        <w:rPr>
          <w:color w:val="FF0000"/>
        </w:rPr>
        <w:t xml:space="preserve"> a </w:t>
      </w:r>
      <w:proofErr w:type="spellStart"/>
      <w:r w:rsidRPr="009C5046">
        <w:rPr>
          <w:color w:val="FF0000"/>
        </w:rPr>
        <w:t>Doli</w:t>
      </w:r>
      <w:proofErr w:type="spellEnd"/>
      <w:r w:rsidRPr="009C5046">
        <w:rPr>
          <w:color w:val="FF0000"/>
        </w:rPr>
        <w:t xml:space="preserve"> </w:t>
      </w:r>
      <w:proofErr w:type="spellStart"/>
      <w:r w:rsidRPr="009C5046">
        <w:rPr>
          <w:color w:val="FF0000"/>
        </w:rPr>
        <w:t>Glwt</w:t>
      </w:r>
      <w:proofErr w:type="spellEnd"/>
      <w:r w:rsidRPr="009C5046">
        <w:rPr>
          <w:color w:val="FF0000"/>
        </w:rPr>
        <w:t xml:space="preserve"> </w:t>
      </w:r>
      <w:proofErr w:type="spellStart"/>
      <w:r w:rsidRPr="009C5046">
        <w:rPr>
          <w:color w:val="FF0000"/>
        </w:rPr>
        <w:t>yn</w:t>
      </w:r>
      <w:proofErr w:type="spellEnd"/>
      <w:r w:rsidRPr="009C5046">
        <w:rPr>
          <w:color w:val="FF0000"/>
        </w:rPr>
        <w:t xml:space="preserve"> </w:t>
      </w:r>
      <w:proofErr w:type="spellStart"/>
      <w:r w:rsidRPr="009C5046">
        <w:rPr>
          <w:color w:val="FF0000"/>
        </w:rPr>
        <w:t>yr</w:t>
      </w:r>
      <w:proofErr w:type="spellEnd"/>
      <w:r w:rsidRPr="009C5046">
        <w:rPr>
          <w:color w:val="FF0000"/>
        </w:rPr>
        <w:t xml:space="preserve"> </w:t>
      </w:r>
      <w:proofErr w:type="spellStart"/>
      <w:r w:rsidRPr="009C5046">
        <w:rPr>
          <w:color w:val="FF0000"/>
        </w:rPr>
        <w:t>ysgol</w:t>
      </w:r>
      <w:proofErr w:type="spellEnd"/>
      <w:r w:rsidRPr="009C5046">
        <w:rPr>
          <w:color w:val="FF0000"/>
        </w:rPr>
        <w:t>, PICTURE ON PHONE</w:t>
      </w:r>
    </w:p>
    <w:p w14:paraId="1ECEF287" w14:textId="4D3D09A6" w:rsidR="00F04DC5" w:rsidRPr="00E811ED" w:rsidRDefault="00F04DC5" w:rsidP="00F04DC5">
      <w:pPr>
        <w:pStyle w:val="NormalWeb"/>
        <w:kinsoku w:val="0"/>
        <w:overflowPunct w:val="0"/>
        <w:spacing w:before="96" w:beforeAutospacing="0" w:after="0" w:afterAutospacing="0"/>
        <w:textAlignment w:val="baseline"/>
      </w:pPr>
    </w:p>
    <w:p w14:paraId="3321FFD0" w14:textId="3A5FA063" w:rsidR="00344A9C" w:rsidRDefault="00344A9C" w:rsidP="00F04DC5">
      <w:pPr>
        <w:spacing w:after="0" w:line="240" w:lineRule="auto"/>
      </w:pPr>
    </w:p>
    <w:p w14:paraId="796E0EA8" w14:textId="09876151" w:rsidR="00CA7028" w:rsidRPr="00CA7BC0" w:rsidRDefault="00CA7028" w:rsidP="00F04DC5">
      <w:pPr>
        <w:spacing w:after="0" w:line="240" w:lineRule="auto"/>
      </w:pPr>
      <w:r>
        <w:t>Hobart, C. and Frankel, J. (</w:t>
      </w:r>
      <w:r w:rsidR="00CA7BC0">
        <w:t xml:space="preserve">2009) </w:t>
      </w:r>
      <w:r w:rsidR="00CA7BC0">
        <w:rPr>
          <w:i/>
        </w:rPr>
        <w:t>Child Observation and Assessment</w:t>
      </w:r>
      <w:r w:rsidR="00CA7BC0">
        <w:t>. 4</w:t>
      </w:r>
      <w:r w:rsidR="00CA7BC0" w:rsidRPr="00CA7BC0">
        <w:rPr>
          <w:vertAlign w:val="superscript"/>
        </w:rPr>
        <w:t>th</w:t>
      </w:r>
      <w:r w:rsidR="00CA7BC0">
        <w:t xml:space="preserve"> ed. Cheltenham: Nelson Thornes Ltd</w:t>
      </w:r>
    </w:p>
    <w:p w14:paraId="29C084CF" w14:textId="77777777" w:rsidR="00CA7028" w:rsidRDefault="00CA7028" w:rsidP="00F04DC5">
      <w:pPr>
        <w:spacing w:after="0" w:line="240" w:lineRule="auto"/>
      </w:pPr>
    </w:p>
    <w:p w14:paraId="05D6E1AF" w14:textId="0E3531B4" w:rsidR="005D2854" w:rsidRDefault="005D2854" w:rsidP="00F04DC5">
      <w:pPr>
        <w:spacing w:after="0" w:line="240" w:lineRule="auto"/>
      </w:pPr>
      <w:r>
        <w:t>Dweck,  C S. (2012)</w:t>
      </w:r>
      <w:r w:rsidR="00A67774">
        <w:t xml:space="preserve"> </w:t>
      </w:r>
      <w:r w:rsidR="00A67774">
        <w:rPr>
          <w:i/>
        </w:rPr>
        <w:t xml:space="preserve">Mindset How You Can Fulfil </w:t>
      </w:r>
      <w:r w:rsidR="00994CDE">
        <w:rPr>
          <w:i/>
        </w:rPr>
        <w:t>Your Potential</w:t>
      </w:r>
      <w:r w:rsidR="00994CDE">
        <w:t xml:space="preserve">. </w:t>
      </w:r>
      <w:r w:rsidR="00587BBE">
        <w:t>London: Robinson</w:t>
      </w:r>
      <w:r w:rsidR="001F01C6">
        <w:t>, pp 177</w:t>
      </w:r>
    </w:p>
    <w:p w14:paraId="2D494960" w14:textId="77777777" w:rsidR="00994CDE" w:rsidRPr="00994CDE" w:rsidRDefault="00994CDE" w:rsidP="00F04DC5">
      <w:pPr>
        <w:spacing w:after="0" w:line="240" w:lineRule="auto"/>
      </w:pPr>
    </w:p>
    <w:p w14:paraId="38A26BCB" w14:textId="123AB89A" w:rsidR="00C10D74" w:rsidRDefault="00C10D74" w:rsidP="00F04DC5">
      <w:pPr>
        <w:spacing w:after="0" w:line="240" w:lineRule="auto"/>
      </w:pPr>
      <w:r>
        <w:t>Sheridan, M., Howard, J. and Alderson</w:t>
      </w:r>
      <w:r w:rsidR="00DE434D">
        <w:t xml:space="preserve">, D. (2011) </w:t>
      </w:r>
      <w:r w:rsidR="00DE434D">
        <w:rPr>
          <w:i/>
        </w:rPr>
        <w:t>Play in Early Childhood: Fr</w:t>
      </w:r>
      <w:r w:rsidR="00525F90">
        <w:rPr>
          <w:i/>
        </w:rPr>
        <w:t>om Birth to Six Years</w:t>
      </w:r>
      <w:r w:rsidR="00994CDE">
        <w:t xml:space="preserve">. </w:t>
      </w:r>
      <w:r w:rsidR="000F0D50">
        <w:t>Oxon: Routledge</w:t>
      </w:r>
    </w:p>
    <w:p w14:paraId="5F0D1ABB" w14:textId="14C759DE" w:rsidR="00BE1873" w:rsidRDefault="00BE1873" w:rsidP="00F04DC5">
      <w:pPr>
        <w:spacing w:after="0" w:line="240" w:lineRule="auto"/>
      </w:pPr>
    </w:p>
    <w:p w14:paraId="772B057E" w14:textId="75DDC8A5" w:rsidR="00084D52" w:rsidRPr="00B93910" w:rsidRDefault="005E4B42" w:rsidP="00F04DC5">
      <w:pPr>
        <w:spacing w:after="0" w:line="240" w:lineRule="auto"/>
      </w:pPr>
      <w:r>
        <w:t xml:space="preserve">Brock, A., Hundley, H. (2018) </w:t>
      </w:r>
      <w:r w:rsidRPr="00D6373C">
        <w:rPr>
          <w:i/>
        </w:rPr>
        <w:t>In</w:t>
      </w:r>
      <w:r w:rsidR="00AB1077" w:rsidRPr="00D6373C">
        <w:rPr>
          <w:i/>
        </w:rPr>
        <w:t xml:space="preserve"> Other Words: Phrases for Growth Mindset: A Teacher’s Guide to Empowering</w:t>
      </w:r>
      <w:r w:rsidR="00D6373C">
        <w:rPr>
          <w:i/>
        </w:rPr>
        <w:t xml:space="preserve"> Students through Effective Praise and </w:t>
      </w:r>
      <w:r w:rsidR="00B93910">
        <w:rPr>
          <w:i/>
        </w:rPr>
        <w:t>Feedback</w:t>
      </w:r>
      <w:r w:rsidR="00B93910">
        <w:t xml:space="preserve">. Berkeley: </w:t>
      </w:r>
      <w:r w:rsidR="00743CE6">
        <w:t xml:space="preserve">Ulysses Press, pp </w:t>
      </w:r>
    </w:p>
    <w:p w14:paraId="3F9C52E1" w14:textId="77777777" w:rsidR="00084D52" w:rsidRDefault="00084D52" w:rsidP="00F04DC5">
      <w:pPr>
        <w:spacing w:after="0" w:line="240" w:lineRule="auto"/>
      </w:pPr>
    </w:p>
    <w:p w14:paraId="3ECF5CA2" w14:textId="1DCB4887" w:rsidR="00BE1873" w:rsidRPr="003339B9" w:rsidRDefault="00703030" w:rsidP="00F04DC5">
      <w:pPr>
        <w:spacing w:after="0" w:line="240" w:lineRule="auto"/>
      </w:pPr>
      <w:r>
        <w:t xml:space="preserve">Christie, J F. (2006) Training of symbolic </w:t>
      </w:r>
      <w:r w:rsidR="00162AF9">
        <w:t>play</w:t>
      </w:r>
      <w:r w:rsidR="00D624DE">
        <w:t xml:space="preserve">. </w:t>
      </w:r>
      <w:r w:rsidR="003339B9">
        <w:rPr>
          <w:i/>
        </w:rPr>
        <w:t>Early Child Development and Care</w:t>
      </w:r>
      <w:r w:rsidR="00D50A97">
        <w:t>, pp 43-52</w:t>
      </w:r>
    </w:p>
    <w:p w14:paraId="1C4AD868" w14:textId="77777777" w:rsidR="00C10D74" w:rsidRDefault="00C10D74" w:rsidP="00F04DC5">
      <w:pPr>
        <w:spacing w:after="0" w:line="240" w:lineRule="auto"/>
      </w:pPr>
    </w:p>
    <w:p w14:paraId="0198B6EF" w14:textId="4A0E2915" w:rsidR="00344A9C" w:rsidRPr="0087431C" w:rsidRDefault="00344A9C" w:rsidP="00F04DC5">
      <w:pPr>
        <w:spacing w:after="0" w:line="240" w:lineRule="auto"/>
      </w:pPr>
      <w:proofErr w:type="spellStart"/>
      <w:r>
        <w:t>Carr</w:t>
      </w:r>
      <w:proofErr w:type="spellEnd"/>
      <w:r>
        <w:t xml:space="preserve">, M. (2011) Young children reflecting on their learning: teachers’ conversation strategies, </w:t>
      </w:r>
      <w:r>
        <w:rPr>
          <w:i/>
        </w:rPr>
        <w:t>Early Years: An Internationa</w:t>
      </w:r>
      <w:r w:rsidR="0087431C">
        <w:rPr>
          <w:i/>
        </w:rPr>
        <w:t>l Research Journal</w:t>
      </w:r>
      <w:r w:rsidR="0087431C">
        <w:t>, 31, pp 257-270</w:t>
      </w:r>
    </w:p>
    <w:p w14:paraId="6ED06258" w14:textId="24E09700" w:rsidR="00F04DC5" w:rsidRDefault="00F04DC5" w:rsidP="00F04DC5">
      <w:pPr>
        <w:spacing w:after="0" w:line="240" w:lineRule="auto"/>
      </w:pPr>
    </w:p>
    <w:p w14:paraId="570DB24A" w14:textId="7585113E" w:rsidR="00033B2C" w:rsidRDefault="00F87EF8" w:rsidP="00F04DC5">
      <w:pPr>
        <w:spacing w:after="0" w:line="240" w:lineRule="auto"/>
      </w:pPr>
      <w:r>
        <w:t>Sc</w:t>
      </w:r>
      <w:r w:rsidR="00356458">
        <w:t xml:space="preserve">hmid, E C. (2008) Potential pedagogical benefits and drawbacks of multimedia use in the English language </w:t>
      </w:r>
      <w:r w:rsidR="00A936BC">
        <w:t>classro</w:t>
      </w:r>
      <w:r w:rsidR="009F4C2F">
        <w:t>om</w:t>
      </w:r>
      <w:r w:rsidR="00A936BC">
        <w:t xml:space="preserve"> equipped with interactive whiteboard technology</w:t>
      </w:r>
      <w:r w:rsidR="0027444D">
        <w:t xml:space="preserve">. </w:t>
      </w:r>
      <w:r w:rsidR="0027444D">
        <w:rPr>
          <w:i/>
        </w:rPr>
        <w:t>Computers &amp; Education</w:t>
      </w:r>
      <w:r w:rsidR="009F4C2F">
        <w:t>, 51(4), pp 1553-1568</w:t>
      </w:r>
    </w:p>
    <w:p w14:paraId="0CF3678B" w14:textId="70D80840" w:rsidR="00962F63" w:rsidRDefault="00962F63" w:rsidP="00F04DC5">
      <w:pPr>
        <w:spacing w:after="0" w:line="240" w:lineRule="auto"/>
      </w:pPr>
    </w:p>
    <w:p w14:paraId="167F36F3" w14:textId="27641A9D" w:rsidR="00E2514C" w:rsidRDefault="00962F63" w:rsidP="00F04DC5">
      <w:pPr>
        <w:spacing w:after="0" w:line="240" w:lineRule="auto"/>
      </w:pPr>
      <w:proofErr w:type="spellStart"/>
      <w:r>
        <w:t>MacBlain</w:t>
      </w:r>
      <w:proofErr w:type="spellEnd"/>
      <w:r>
        <w:t>, S</w:t>
      </w:r>
      <w:r w:rsidR="00E2514C">
        <w:t>.</w:t>
      </w:r>
      <w:r>
        <w:t xml:space="preserve"> </w:t>
      </w:r>
      <w:r w:rsidR="00E2514C">
        <w:t xml:space="preserve">(2014) </w:t>
      </w:r>
      <w:r w:rsidR="00E2514C">
        <w:rPr>
          <w:i/>
        </w:rPr>
        <w:t>How Children Learn</w:t>
      </w:r>
      <w:r w:rsidR="00E2514C">
        <w:t xml:space="preserve">. </w:t>
      </w:r>
      <w:r w:rsidR="00B40A3E">
        <w:t>London: SAGE Publications</w:t>
      </w:r>
    </w:p>
    <w:p w14:paraId="465DC949" w14:textId="16FFBD9A" w:rsidR="00352654" w:rsidRDefault="00352654" w:rsidP="00F04DC5">
      <w:pPr>
        <w:spacing w:after="0" w:line="240" w:lineRule="auto"/>
      </w:pPr>
    </w:p>
    <w:p w14:paraId="6C198CBE" w14:textId="007E4746" w:rsidR="00352654" w:rsidRDefault="00352654" w:rsidP="00F04DC5">
      <w:pPr>
        <w:spacing w:after="0" w:line="240" w:lineRule="auto"/>
      </w:pPr>
      <w:r>
        <w:t xml:space="preserve">Grigg, R. and Lewis, H. (2016) </w:t>
      </w:r>
      <w:r w:rsidR="00963D0E">
        <w:rPr>
          <w:i/>
        </w:rPr>
        <w:t>a to z of learning outside the classroom</w:t>
      </w:r>
      <w:r w:rsidR="008F0F4C">
        <w:t>. London: Bloomsbury</w:t>
      </w:r>
      <w:r w:rsidR="00445395">
        <w:t xml:space="preserve"> Publishing Plc, pp </w:t>
      </w:r>
    </w:p>
    <w:p w14:paraId="0780EA60" w14:textId="77AC2337" w:rsidR="00FE4263" w:rsidRDefault="00FE4263" w:rsidP="00F04DC5">
      <w:pPr>
        <w:spacing w:after="0" w:line="240" w:lineRule="auto"/>
      </w:pPr>
    </w:p>
    <w:p w14:paraId="21CFDF1E" w14:textId="32EA487F" w:rsidR="00FE4263" w:rsidRPr="003266AD" w:rsidRDefault="00FE4263" w:rsidP="00F04DC5">
      <w:pPr>
        <w:spacing w:after="0" w:line="240" w:lineRule="auto"/>
      </w:pPr>
      <w:r>
        <w:t xml:space="preserve">Halfpenny, A M. and Pettersen, J. (2014) </w:t>
      </w:r>
      <w:r>
        <w:rPr>
          <w:i/>
        </w:rPr>
        <w:t>Introducing Piaget: A guide for practitioners and students in early years</w:t>
      </w:r>
      <w:r w:rsidR="003266AD">
        <w:rPr>
          <w:i/>
        </w:rPr>
        <w:t xml:space="preserve"> education</w:t>
      </w:r>
      <w:r w:rsidR="003266AD">
        <w:t xml:space="preserve">. Oxon: </w:t>
      </w:r>
      <w:r w:rsidR="009C581D">
        <w:t>Routledge, pp 9</w:t>
      </w:r>
    </w:p>
    <w:p w14:paraId="27B22E65" w14:textId="77777777" w:rsidR="00E2514C" w:rsidRDefault="00E2514C" w:rsidP="00F04DC5">
      <w:pPr>
        <w:spacing w:after="0" w:line="240" w:lineRule="auto"/>
        <w:rPr>
          <w:rFonts w:ascii="Source Sans Pro" w:hAnsi="Source Sans Pro"/>
          <w:color w:val="3A3A3A"/>
          <w:sz w:val="23"/>
          <w:szCs w:val="23"/>
        </w:rPr>
      </w:pPr>
    </w:p>
    <w:p w14:paraId="0A2DDEC3" w14:textId="296BCD5D" w:rsidR="009960E1" w:rsidRPr="00E2514C" w:rsidRDefault="009960E1" w:rsidP="00F04DC5">
      <w:pPr>
        <w:spacing w:after="0" w:line="240" w:lineRule="auto"/>
      </w:pPr>
      <w:r>
        <w:rPr>
          <w:rFonts w:ascii="Source Sans Pro" w:hAnsi="Source Sans Pro"/>
          <w:color w:val="3A3A3A"/>
          <w:sz w:val="23"/>
          <w:szCs w:val="23"/>
        </w:rPr>
        <w:t>Harris, F. (2017) Th</w:t>
      </w:r>
      <w:r w:rsidR="00D12FA8">
        <w:rPr>
          <w:rFonts w:ascii="Source Sans Pro" w:hAnsi="Source Sans Pro"/>
          <w:color w:val="3A3A3A"/>
          <w:sz w:val="23"/>
          <w:szCs w:val="23"/>
        </w:rPr>
        <w:t xml:space="preserve">e nature of learning at forest school: practitioners’ perspectives. </w:t>
      </w:r>
      <w:r w:rsidR="00D12FA8">
        <w:rPr>
          <w:rFonts w:ascii="Source Sans Pro" w:hAnsi="Source Sans Pro"/>
          <w:i/>
          <w:color w:val="3A3A3A"/>
          <w:sz w:val="23"/>
          <w:szCs w:val="23"/>
        </w:rPr>
        <w:t>Education</w:t>
      </w:r>
      <w:r w:rsidR="00D12FA8">
        <w:rPr>
          <w:rFonts w:ascii="Source Sans Pro" w:hAnsi="Source Sans Pro"/>
          <w:color w:val="3A3A3A"/>
          <w:sz w:val="23"/>
          <w:szCs w:val="23"/>
        </w:rPr>
        <w:t xml:space="preserve">, </w:t>
      </w:r>
      <w:r w:rsidR="008C2040">
        <w:rPr>
          <w:rFonts w:ascii="Source Sans Pro" w:hAnsi="Source Sans Pro"/>
          <w:color w:val="3A3A3A"/>
          <w:sz w:val="23"/>
          <w:szCs w:val="23"/>
        </w:rPr>
        <w:t>3-13, pp 272-291</w:t>
      </w:r>
    </w:p>
    <w:p w14:paraId="3144A814" w14:textId="77777777" w:rsidR="009960E1" w:rsidRDefault="009960E1" w:rsidP="00F04DC5">
      <w:pPr>
        <w:spacing w:after="0" w:line="240" w:lineRule="auto"/>
        <w:rPr>
          <w:rFonts w:ascii="Source Sans Pro" w:hAnsi="Source Sans Pro"/>
          <w:color w:val="3A3A3A"/>
          <w:sz w:val="23"/>
          <w:szCs w:val="23"/>
        </w:rPr>
      </w:pPr>
    </w:p>
    <w:p w14:paraId="4B59B86A" w14:textId="46A80DFB" w:rsidR="00F04DC5" w:rsidRDefault="00F04DC5" w:rsidP="00F04DC5">
      <w:pPr>
        <w:spacing w:after="0" w:line="240" w:lineRule="auto"/>
        <w:rPr>
          <w:rFonts w:ascii="Source Sans Pro" w:hAnsi="Source Sans Pro"/>
          <w:color w:val="3A3A3A"/>
          <w:sz w:val="23"/>
          <w:szCs w:val="23"/>
        </w:rPr>
      </w:pPr>
      <w:r>
        <w:rPr>
          <w:rFonts w:ascii="Source Sans Pro" w:hAnsi="Source Sans Pro"/>
          <w:color w:val="3A3A3A"/>
          <w:sz w:val="23"/>
          <w:szCs w:val="23"/>
        </w:rPr>
        <w:t xml:space="preserve">Jameson, K. &amp; Kidd, Pat, 1974. </w:t>
      </w:r>
      <w:r>
        <w:rPr>
          <w:rFonts w:ascii="Source Sans Pro" w:hAnsi="Source Sans Pro"/>
          <w:i/>
          <w:iCs/>
          <w:color w:val="3A3A3A"/>
          <w:sz w:val="23"/>
          <w:szCs w:val="23"/>
        </w:rPr>
        <w:t>Pre-school play</w:t>
      </w:r>
      <w:r w:rsidR="003B62AB">
        <w:rPr>
          <w:rFonts w:ascii="Source Sans Pro" w:hAnsi="Source Sans Pro"/>
          <w:color w:val="3A3A3A"/>
          <w:sz w:val="23"/>
          <w:szCs w:val="23"/>
        </w:rPr>
        <w:t>.</w:t>
      </w:r>
      <w:r>
        <w:rPr>
          <w:rFonts w:ascii="Source Sans Pro" w:hAnsi="Source Sans Pro"/>
          <w:color w:val="3A3A3A"/>
          <w:sz w:val="23"/>
          <w:szCs w:val="23"/>
        </w:rPr>
        <w:t xml:space="preserve"> London: Studio Vista.</w:t>
      </w:r>
    </w:p>
    <w:p w14:paraId="4C04A162" w14:textId="77777777" w:rsidR="00F04DC5" w:rsidRDefault="00F04DC5" w:rsidP="00F04DC5">
      <w:pPr>
        <w:spacing w:after="0" w:line="240" w:lineRule="auto"/>
        <w:rPr>
          <w:rFonts w:ascii="Source Sans Pro" w:hAnsi="Source Sans Pro"/>
          <w:color w:val="3A3A3A"/>
          <w:sz w:val="23"/>
          <w:szCs w:val="23"/>
        </w:rPr>
      </w:pPr>
    </w:p>
    <w:p w14:paraId="68B01580" w14:textId="77777777" w:rsidR="00F04DC5" w:rsidRDefault="00F04DC5" w:rsidP="00F04DC5">
      <w:pPr>
        <w:spacing w:after="0" w:line="240" w:lineRule="auto"/>
        <w:rPr>
          <w:rFonts w:ascii="Source Sans Pro" w:hAnsi="Source Sans Pro"/>
          <w:color w:val="3A3A3A"/>
          <w:sz w:val="23"/>
          <w:szCs w:val="23"/>
        </w:rPr>
      </w:pPr>
      <w:r>
        <w:rPr>
          <w:rFonts w:ascii="Source Sans Pro" w:hAnsi="Source Sans Pro"/>
          <w:color w:val="3A3A3A"/>
          <w:sz w:val="23"/>
          <w:szCs w:val="23"/>
        </w:rPr>
        <w:t xml:space="preserve">Levine, Edward L., 1984. The Effective Use of Role-Play: A Handbook for Teachers and Trainers. </w:t>
      </w:r>
      <w:r>
        <w:rPr>
          <w:rFonts w:ascii="Source Sans Pro" w:hAnsi="Source Sans Pro"/>
          <w:i/>
          <w:iCs/>
          <w:color w:val="3A3A3A"/>
          <w:sz w:val="23"/>
          <w:szCs w:val="23"/>
        </w:rPr>
        <w:t>Personnel Psychology</w:t>
      </w:r>
      <w:r>
        <w:rPr>
          <w:rFonts w:ascii="Source Sans Pro" w:hAnsi="Source Sans Pro"/>
          <w:color w:val="3A3A3A"/>
          <w:sz w:val="23"/>
          <w:szCs w:val="23"/>
        </w:rPr>
        <w:t>, 37(4), pp.777–780.</w:t>
      </w:r>
    </w:p>
    <w:p w14:paraId="15B2972E" w14:textId="77777777" w:rsidR="00A360C8" w:rsidRDefault="00A360C8" w:rsidP="00F04DC5">
      <w:pPr>
        <w:spacing w:after="0" w:line="240" w:lineRule="auto"/>
        <w:rPr>
          <w:rStyle w:val="Hyperlink"/>
          <w:rFonts w:ascii="Source Sans Pro" w:hAnsi="Source Sans Pro"/>
          <w:sz w:val="23"/>
          <w:szCs w:val="23"/>
        </w:rPr>
      </w:pPr>
    </w:p>
    <w:p w14:paraId="18B39C91" w14:textId="7F5E8DEF" w:rsidR="00F04DC5" w:rsidRDefault="00F04DC5" w:rsidP="00F04DC5">
      <w:pPr>
        <w:spacing w:after="0" w:line="240" w:lineRule="auto"/>
        <w:rPr>
          <w:rStyle w:val="selectable"/>
          <w:rFonts w:ascii="&amp;quot" w:hAnsi="&amp;quot"/>
          <w:color w:val="000000"/>
          <w:sz w:val="20"/>
          <w:szCs w:val="20"/>
        </w:rPr>
      </w:pPr>
      <w:r>
        <w:rPr>
          <w:rStyle w:val="selectable"/>
          <w:rFonts w:ascii="&amp;quot" w:hAnsi="&amp;quot"/>
          <w:color w:val="000000"/>
          <w:sz w:val="20"/>
          <w:szCs w:val="20"/>
        </w:rPr>
        <w:t xml:space="preserve">Webb, N. and </w:t>
      </w:r>
      <w:proofErr w:type="spellStart"/>
      <w:r>
        <w:rPr>
          <w:rStyle w:val="selectable"/>
          <w:rFonts w:ascii="&amp;quot" w:hAnsi="&amp;quot"/>
          <w:color w:val="000000"/>
          <w:sz w:val="20"/>
          <w:szCs w:val="20"/>
        </w:rPr>
        <w:t>Mastergeorge</w:t>
      </w:r>
      <w:proofErr w:type="spellEnd"/>
      <w:r>
        <w:rPr>
          <w:rStyle w:val="selectable"/>
          <w:rFonts w:ascii="&amp;quot" w:hAnsi="&amp;quot"/>
          <w:color w:val="000000"/>
          <w:sz w:val="20"/>
          <w:szCs w:val="20"/>
        </w:rPr>
        <w:t xml:space="preserve">, A. (2003). Promoting effective helping </w:t>
      </w:r>
      <w:proofErr w:type="spellStart"/>
      <w:r>
        <w:rPr>
          <w:rStyle w:val="selectable"/>
          <w:rFonts w:ascii="&amp;quot" w:hAnsi="&amp;quot"/>
          <w:color w:val="000000"/>
          <w:sz w:val="20"/>
          <w:szCs w:val="20"/>
        </w:rPr>
        <w:t>behavior</w:t>
      </w:r>
      <w:proofErr w:type="spellEnd"/>
      <w:r>
        <w:rPr>
          <w:rStyle w:val="selectable"/>
          <w:rFonts w:ascii="&amp;quot" w:hAnsi="&amp;quot"/>
          <w:color w:val="000000"/>
          <w:sz w:val="20"/>
          <w:szCs w:val="20"/>
        </w:rPr>
        <w:t xml:space="preserve"> in peer-directed groups. </w:t>
      </w:r>
      <w:r>
        <w:rPr>
          <w:rStyle w:val="selectable"/>
          <w:rFonts w:ascii="&amp;quot" w:hAnsi="&amp;quot"/>
          <w:i/>
          <w:iCs/>
          <w:color w:val="000000"/>
          <w:sz w:val="20"/>
          <w:szCs w:val="20"/>
        </w:rPr>
        <w:t>International Journal of Educational Research</w:t>
      </w:r>
      <w:r>
        <w:rPr>
          <w:rStyle w:val="selectable"/>
          <w:rFonts w:ascii="&amp;quot" w:hAnsi="&amp;quot"/>
          <w:color w:val="000000"/>
          <w:sz w:val="20"/>
          <w:szCs w:val="20"/>
        </w:rPr>
        <w:t>, 39(1-2), pp.73-97.</w:t>
      </w:r>
    </w:p>
    <w:p w14:paraId="6977FBF0" w14:textId="3B09189B" w:rsidR="00A360C8" w:rsidRDefault="00A360C8" w:rsidP="00F04DC5">
      <w:pPr>
        <w:spacing w:after="0" w:line="240" w:lineRule="auto"/>
        <w:rPr>
          <w:rStyle w:val="selectable"/>
          <w:rFonts w:ascii="&amp;quot" w:hAnsi="&amp;quot"/>
          <w:color w:val="000000"/>
          <w:sz w:val="20"/>
          <w:szCs w:val="20"/>
        </w:rPr>
      </w:pPr>
    </w:p>
    <w:p w14:paraId="6701B3CB" w14:textId="016DFF12" w:rsidR="00A360C8" w:rsidRPr="000931ED" w:rsidRDefault="009A2EB1" w:rsidP="00F04DC5">
      <w:pPr>
        <w:spacing w:after="0" w:line="240" w:lineRule="auto"/>
        <w:rPr>
          <w:rStyle w:val="selectable"/>
          <w:rFonts w:ascii="&amp;quot" w:hAnsi="&amp;quot"/>
          <w:color w:val="000000"/>
          <w:sz w:val="20"/>
          <w:szCs w:val="20"/>
        </w:rPr>
      </w:pPr>
      <w:r>
        <w:rPr>
          <w:rStyle w:val="selectable"/>
          <w:rFonts w:ascii="&amp;quot" w:hAnsi="&amp;quot"/>
          <w:color w:val="000000"/>
          <w:sz w:val="20"/>
          <w:szCs w:val="20"/>
        </w:rPr>
        <w:t xml:space="preserve">Choi, </w:t>
      </w:r>
      <w:proofErr w:type="spellStart"/>
      <w:r>
        <w:rPr>
          <w:rStyle w:val="selectable"/>
          <w:rFonts w:ascii="&amp;quot" w:hAnsi="&amp;quot"/>
          <w:color w:val="000000"/>
          <w:sz w:val="20"/>
          <w:szCs w:val="20"/>
        </w:rPr>
        <w:t>Ikseon</w:t>
      </w:r>
      <w:proofErr w:type="spellEnd"/>
      <w:r>
        <w:rPr>
          <w:rStyle w:val="selectable"/>
          <w:rFonts w:ascii="&amp;quot" w:hAnsi="&amp;quot"/>
          <w:color w:val="000000"/>
          <w:sz w:val="20"/>
          <w:szCs w:val="20"/>
        </w:rPr>
        <w:t>., Land, Susan M. and Turgeon, Alfred J. (2005) Scaffolding Peer-questioning Strategies to Facili</w:t>
      </w:r>
      <w:r w:rsidR="000931ED">
        <w:rPr>
          <w:rStyle w:val="selectable"/>
          <w:rFonts w:ascii="&amp;quot" w:hAnsi="&amp;quot"/>
          <w:color w:val="000000"/>
          <w:sz w:val="20"/>
          <w:szCs w:val="20"/>
        </w:rPr>
        <w:t xml:space="preserve">tate Metacognition During Online Group Discussion. </w:t>
      </w:r>
      <w:r w:rsidR="000931ED">
        <w:rPr>
          <w:rStyle w:val="selectable"/>
          <w:rFonts w:ascii="&amp;quot" w:hAnsi="&amp;quot"/>
          <w:i/>
          <w:color w:val="000000"/>
          <w:sz w:val="20"/>
          <w:szCs w:val="20"/>
        </w:rPr>
        <w:t>Instructional Science</w:t>
      </w:r>
      <w:r w:rsidR="00E65B6A">
        <w:rPr>
          <w:rStyle w:val="selectable"/>
          <w:rFonts w:ascii="&amp;quot" w:hAnsi="&amp;quot"/>
          <w:color w:val="000000"/>
          <w:sz w:val="20"/>
          <w:szCs w:val="20"/>
        </w:rPr>
        <w:t>, 35(5-6), pp 483-511</w:t>
      </w:r>
    </w:p>
    <w:p w14:paraId="3D8A211F" w14:textId="77777777" w:rsidR="00F04DC5" w:rsidRDefault="00F04DC5" w:rsidP="00F04DC5">
      <w:pPr>
        <w:spacing w:after="0" w:line="240" w:lineRule="auto"/>
        <w:rPr>
          <w:rFonts w:ascii="Source Sans Pro" w:hAnsi="Source Sans Pro"/>
          <w:color w:val="3A3A3A"/>
          <w:sz w:val="23"/>
          <w:szCs w:val="23"/>
        </w:rPr>
      </w:pPr>
    </w:p>
    <w:p w14:paraId="77256FCF" w14:textId="77777777" w:rsidR="00F04DC5" w:rsidRDefault="00F04DC5" w:rsidP="00F04DC5">
      <w:pPr>
        <w:spacing w:after="0" w:line="240" w:lineRule="auto"/>
        <w:rPr>
          <w:rStyle w:val="selectable"/>
          <w:rFonts w:ascii="&amp;quot" w:hAnsi="&amp;quot"/>
          <w:color w:val="000000"/>
          <w:sz w:val="20"/>
          <w:szCs w:val="20"/>
        </w:rPr>
      </w:pPr>
      <w:r>
        <w:rPr>
          <w:rStyle w:val="selectable"/>
          <w:rFonts w:ascii="&amp;quot" w:hAnsi="&amp;quot"/>
          <w:color w:val="000000"/>
          <w:sz w:val="20"/>
          <w:szCs w:val="20"/>
        </w:rPr>
        <w:t xml:space="preserve">Alexander, R. (2004). </w:t>
      </w:r>
      <w:r>
        <w:rPr>
          <w:rStyle w:val="selectable"/>
          <w:rFonts w:ascii="&amp;quot" w:hAnsi="&amp;quot"/>
          <w:i/>
          <w:iCs/>
          <w:color w:val="000000"/>
          <w:sz w:val="20"/>
          <w:szCs w:val="20"/>
        </w:rPr>
        <w:t>Towards dialogic teaching</w:t>
      </w:r>
      <w:r>
        <w:rPr>
          <w:rStyle w:val="selectable"/>
          <w:rFonts w:ascii="&amp;quot" w:hAnsi="&amp;quot"/>
          <w:color w:val="000000"/>
          <w:sz w:val="20"/>
          <w:szCs w:val="20"/>
        </w:rPr>
        <w:t xml:space="preserve">. UK: </w:t>
      </w:r>
      <w:proofErr w:type="spellStart"/>
      <w:r>
        <w:rPr>
          <w:rStyle w:val="selectable"/>
          <w:rFonts w:ascii="&amp;quot" w:hAnsi="&amp;quot"/>
          <w:color w:val="000000"/>
          <w:sz w:val="20"/>
          <w:szCs w:val="20"/>
        </w:rPr>
        <w:t>Dialogos</w:t>
      </w:r>
      <w:proofErr w:type="spellEnd"/>
      <w:r>
        <w:rPr>
          <w:rStyle w:val="selectable"/>
          <w:rFonts w:ascii="&amp;quot" w:hAnsi="&amp;quot"/>
          <w:color w:val="000000"/>
          <w:sz w:val="20"/>
          <w:szCs w:val="20"/>
        </w:rPr>
        <w:t xml:space="preserve"> UK Ltd, pp 11, 19</w:t>
      </w:r>
    </w:p>
    <w:p w14:paraId="723F5853" w14:textId="77777777" w:rsidR="00F04DC5" w:rsidRDefault="00F04DC5" w:rsidP="00F04DC5">
      <w:pPr>
        <w:spacing w:after="0" w:line="240" w:lineRule="auto"/>
        <w:rPr>
          <w:rFonts w:ascii="Source Sans Pro" w:hAnsi="Source Sans Pro"/>
          <w:color w:val="3A3A3A"/>
          <w:sz w:val="23"/>
          <w:szCs w:val="23"/>
        </w:rPr>
      </w:pPr>
    </w:p>
    <w:p w14:paraId="032C595F" w14:textId="77777777" w:rsidR="00F04DC5" w:rsidRDefault="00F04DC5" w:rsidP="00F04DC5">
      <w:pPr>
        <w:spacing w:after="0" w:line="240" w:lineRule="auto"/>
        <w:rPr>
          <w:rFonts w:ascii="Arial" w:hAnsi="Arial" w:cs="Arial"/>
          <w:color w:val="000000"/>
          <w:sz w:val="20"/>
          <w:szCs w:val="20"/>
        </w:rPr>
      </w:pPr>
      <w:r>
        <w:rPr>
          <w:rFonts w:ascii="Arial" w:hAnsi="Arial" w:cs="Arial"/>
          <w:color w:val="000000"/>
          <w:sz w:val="20"/>
          <w:szCs w:val="20"/>
        </w:rPr>
        <w:t xml:space="preserve">Hobart, C. and Frankel, J. (2009). </w:t>
      </w:r>
      <w:r>
        <w:rPr>
          <w:rFonts w:ascii="&amp;quot" w:hAnsi="&amp;quot"/>
          <w:i/>
          <w:iCs/>
          <w:color w:val="000000"/>
          <w:sz w:val="20"/>
          <w:szCs w:val="20"/>
        </w:rPr>
        <w:t>A Practical Guide to Child Observation and Assessment</w:t>
      </w:r>
      <w:r>
        <w:rPr>
          <w:rFonts w:ascii="Arial" w:hAnsi="Arial" w:cs="Arial"/>
          <w:color w:val="000000"/>
          <w:sz w:val="20"/>
          <w:szCs w:val="20"/>
        </w:rPr>
        <w:t>. 4th ed. Cheltenham: Nelson Thomas Ltd, pp.31-37.</w:t>
      </w:r>
    </w:p>
    <w:p w14:paraId="576D56AB" w14:textId="77777777" w:rsidR="00F04DC5" w:rsidRDefault="00F04DC5" w:rsidP="00F04DC5">
      <w:pPr>
        <w:spacing w:after="0" w:line="240" w:lineRule="auto"/>
        <w:rPr>
          <w:rFonts w:ascii="Source Sans Pro" w:hAnsi="Source Sans Pro"/>
          <w:color w:val="3A3A3A"/>
          <w:sz w:val="23"/>
          <w:szCs w:val="23"/>
        </w:rPr>
      </w:pPr>
    </w:p>
    <w:p w14:paraId="18A2D111" w14:textId="77777777" w:rsidR="00F04DC5" w:rsidRDefault="00F04DC5" w:rsidP="00F04DC5">
      <w:pPr>
        <w:spacing w:after="0" w:line="240" w:lineRule="auto"/>
        <w:rPr>
          <w:rStyle w:val="selectable"/>
          <w:rFonts w:ascii="&amp;quot" w:hAnsi="&amp;quot"/>
          <w:color w:val="000000"/>
          <w:sz w:val="20"/>
          <w:szCs w:val="20"/>
        </w:rPr>
      </w:pPr>
      <w:r>
        <w:rPr>
          <w:rStyle w:val="selectable"/>
          <w:rFonts w:ascii="&amp;quot" w:hAnsi="&amp;quot"/>
          <w:color w:val="000000"/>
          <w:sz w:val="20"/>
          <w:szCs w:val="20"/>
        </w:rPr>
        <w:t xml:space="preserve">Mercer, N. and Hodgkinson, S. (2008). </w:t>
      </w:r>
      <w:r>
        <w:rPr>
          <w:rStyle w:val="selectable"/>
          <w:rFonts w:ascii="&amp;quot" w:hAnsi="&amp;quot"/>
          <w:i/>
          <w:iCs/>
          <w:color w:val="000000"/>
          <w:sz w:val="20"/>
          <w:szCs w:val="20"/>
        </w:rPr>
        <w:t>Exploring talk in school</w:t>
      </w:r>
      <w:r>
        <w:rPr>
          <w:rStyle w:val="selectable"/>
          <w:rFonts w:ascii="&amp;quot" w:hAnsi="&amp;quot"/>
          <w:color w:val="000000"/>
          <w:sz w:val="20"/>
          <w:szCs w:val="20"/>
        </w:rPr>
        <w:t>. London: SAGE, p.40.</w:t>
      </w:r>
    </w:p>
    <w:p w14:paraId="393B35B8" w14:textId="77777777" w:rsidR="00F04DC5" w:rsidRDefault="00F04DC5" w:rsidP="00F04DC5">
      <w:pPr>
        <w:spacing w:after="0" w:line="240" w:lineRule="auto"/>
        <w:rPr>
          <w:rFonts w:ascii="Source Sans Pro" w:hAnsi="Source Sans Pro"/>
          <w:color w:val="3A3A3A"/>
          <w:sz w:val="23"/>
          <w:szCs w:val="23"/>
        </w:rPr>
      </w:pPr>
    </w:p>
    <w:p w14:paraId="2F88A4B1" w14:textId="77777777" w:rsidR="00F04DC5" w:rsidRDefault="00F04DC5" w:rsidP="00F04DC5">
      <w:pPr>
        <w:spacing w:after="0" w:line="240" w:lineRule="auto"/>
        <w:rPr>
          <w:rFonts w:ascii="Source Sans Pro" w:hAnsi="Source Sans Pro"/>
          <w:color w:val="3A3A3A"/>
          <w:sz w:val="23"/>
          <w:szCs w:val="23"/>
        </w:rPr>
      </w:pPr>
      <w:r>
        <w:rPr>
          <w:rFonts w:ascii="Source Sans Pro" w:hAnsi="Source Sans Pro"/>
          <w:color w:val="3A3A3A"/>
          <w:sz w:val="23"/>
          <w:szCs w:val="23"/>
        </w:rPr>
        <w:t xml:space="preserve">Rojas-Drummond, S. and Mercer, N. (2003) </w:t>
      </w:r>
      <w:r w:rsidRPr="000B5D3D">
        <w:rPr>
          <w:rFonts w:ascii="Source Sans Pro" w:hAnsi="Source Sans Pro"/>
          <w:color w:val="3A3A3A"/>
          <w:sz w:val="23"/>
          <w:szCs w:val="23"/>
        </w:rPr>
        <w:t>Scaffolding the development of effective collaboration and learning</w:t>
      </w:r>
      <w:r>
        <w:rPr>
          <w:rFonts w:ascii="Source Sans Pro" w:hAnsi="Source Sans Pro"/>
          <w:color w:val="3A3A3A"/>
          <w:sz w:val="23"/>
          <w:szCs w:val="23"/>
        </w:rPr>
        <w:t xml:space="preserve">. </w:t>
      </w:r>
      <w:r w:rsidRPr="000B5D3D">
        <w:rPr>
          <w:rFonts w:ascii="Source Sans Pro" w:hAnsi="Source Sans Pro"/>
          <w:i/>
          <w:color w:val="3A3A3A"/>
          <w:sz w:val="23"/>
          <w:szCs w:val="23"/>
        </w:rPr>
        <w:t>International Journal of Educational Research</w:t>
      </w:r>
      <w:r>
        <w:rPr>
          <w:rFonts w:ascii="Source Sans Pro" w:hAnsi="Source Sans Pro"/>
          <w:color w:val="3A3A3A"/>
          <w:sz w:val="23"/>
          <w:szCs w:val="23"/>
        </w:rPr>
        <w:t>, 39(1-2), pp.99-111</w:t>
      </w:r>
    </w:p>
    <w:p w14:paraId="2822F3C4" w14:textId="77777777" w:rsidR="00F04DC5" w:rsidRDefault="00F04DC5" w:rsidP="00F04DC5">
      <w:pPr>
        <w:spacing w:after="0" w:line="240" w:lineRule="auto"/>
        <w:rPr>
          <w:rFonts w:ascii="Source Sans Pro" w:hAnsi="Source Sans Pro"/>
          <w:color w:val="3A3A3A"/>
          <w:sz w:val="23"/>
          <w:szCs w:val="23"/>
        </w:rPr>
      </w:pPr>
    </w:p>
    <w:p w14:paraId="034AD8AF" w14:textId="55BAF8F6" w:rsidR="00033B2C" w:rsidRPr="00977C36" w:rsidRDefault="00F40ACD" w:rsidP="00F04DC5">
      <w:pPr>
        <w:spacing w:after="0" w:line="240" w:lineRule="auto"/>
        <w:rPr>
          <w:rFonts w:ascii="Source Sans Pro" w:hAnsi="Source Sans Pro"/>
          <w:color w:val="3A3A3A"/>
          <w:sz w:val="23"/>
          <w:szCs w:val="23"/>
        </w:rPr>
      </w:pPr>
      <w:r>
        <w:rPr>
          <w:rFonts w:ascii="Source Sans Pro" w:hAnsi="Source Sans Pro"/>
          <w:color w:val="3A3A3A"/>
          <w:sz w:val="23"/>
          <w:szCs w:val="23"/>
        </w:rPr>
        <w:t xml:space="preserve">Price, S., </w:t>
      </w:r>
      <w:proofErr w:type="spellStart"/>
      <w:r>
        <w:rPr>
          <w:rFonts w:ascii="Source Sans Pro" w:hAnsi="Source Sans Pro"/>
          <w:color w:val="3A3A3A"/>
          <w:sz w:val="23"/>
          <w:szCs w:val="23"/>
        </w:rPr>
        <w:t>Jewitt</w:t>
      </w:r>
      <w:proofErr w:type="spellEnd"/>
      <w:r>
        <w:rPr>
          <w:rFonts w:ascii="Source Sans Pro" w:hAnsi="Source Sans Pro"/>
          <w:color w:val="3A3A3A"/>
          <w:sz w:val="23"/>
          <w:szCs w:val="23"/>
        </w:rPr>
        <w:t>, C. and Crescenzi, L. (2015) The role of iPads in pre-school children’s mark making development</w:t>
      </w:r>
      <w:r w:rsidR="00977C36">
        <w:rPr>
          <w:rFonts w:ascii="Source Sans Pro" w:hAnsi="Source Sans Pro"/>
          <w:color w:val="3A3A3A"/>
          <w:sz w:val="23"/>
          <w:szCs w:val="23"/>
        </w:rPr>
        <w:t xml:space="preserve">. </w:t>
      </w:r>
      <w:r w:rsidR="00977C36">
        <w:rPr>
          <w:rFonts w:ascii="Source Sans Pro" w:hAnsi="Source Sans Pro"/>
          <w:i/>
          <w:color w:val="3A3A3A"/>
          <w:sz w:val="23"/>
          <w:szCs w:val="23"/>
        </w:rPr>
        <w:t>Computers &amp; Education</w:t>
      </w:r>
      <w:r w:rsidR="00977C36">
        <w:rPr>
          <w:rFonts w:ascii="Source Sans Pro" w:hAnsi="Source Sans Pro"/>
          <w:color w:val="3A3A3A"/>
          <w:sz w:val="23"/>
          <w:szCs w:val="23"/>
        </w:rPr>
        <w:t>, 87, pp 131-141</w:t>
      </w:r>
    </w:p>
    <w:p w14:paraId="3E0CBBDD" w14:textId="6A9EA95E" w:rsidR="00033B2C" w:rsidRDefault="00033B2C" w:rsidP="00F04DC5">
      <w:pPr>
        <w:spacing w:after="0" w:line="240" w:lineRule="auto"/>
        <w:rPr>
          <w:rFonts w:ascii="Source Sans Pro" w:hAnsi="Source Sans Pro"/>
          <w:color w:val="3A3A3A"/>
          <w:sz w:val="23"/>
          <w:szCs w:val="23"/>
        </w:rPr>
      </w:pPr>
    </w:p>
    <w:p w14:paraId="63D46B64" w14:textId="058A5CB9" w:rsidR="00243C31" w:rsidRPr="00990184" w:rsidRDefault="00243C31" w:rsidP="00F04DC5">
      <w:pPr>
        <w:spacing w:after="0" w:line="240" w:lineRule="auto"/>
        <w:rPr>
          <w:rFonts w:ascii="Source Sans Pro" w:hAnsi="Source Sans Pro"/>
          <w:color w:val="3A3A3A"/>
          <w:sz w:val="23"/>
          <w:szCs w:val="23"/>
        </w:rPr>
      </w:pPr>
      <w:proofErr w:type="spellStart"/>
      <w:r>
        <w:rPr>
          <w:rFonts w:ascii="Source Sans Pro" w:hAnsi="Source Sans Pro"/>
          <w:color w:val="3A3A3A"/>
          <w:sz w:val="23"/>
          <w:szCs w:val="23"/>
        </w:rPr>
        <w:t>Kalverboer</w:t>
      </w:r>
      <w:proofErr w:type="spellEnd"/>
      <w:r>
        <w:rPr>
          <w:rFonts w:ascii="Source Sans Pro" w:hAnsi="Source Sans Pro"/>
          <w:color w:val="3A3A3A"/>
          <w:sz w:val="23"/>
          <w:szCs w:val="23"/>
        </w:rPr>
        <w:t xml:space="preserve">, A F., Hopkins, B. and </w:t>
      </w:r>
      <w:proofErr w:type="spellStart"/>
      <w:r>
        <w:rPr>
          <w:rFonts w:ascii="Source Sans Pro" w:hAnsi="Source Sans Pro"/>
          <w:color w:val="3A3A3A"/>
          <w:sz w:val="23"/>
          <w:szCs w:val="23"/>
        </w:rPr>
        <w:t>Geuze</w:t>
      </w:r>
      <w:proofErr w:type="spellEnd"/>
      <w:r>
        <w:rPr>
          <w:rFonts w:ascii="Source Sans Pro" w:hAnsi="Source Sans Pro"/>
          <w:color w:val="3A3A3A"/>
          <w:sz w:val="23"/>
          <w:szCs w:val="23"/>
        </w:rPr>
        <w:t xml:space="preserve">, </w:t>
      </w:r>
      <w:r w:rsidR="00754FB3">
        <w:rPr>
          <w:rFonts w:ascii="Source Sans Pro" w:hAnsi="Source Sans Pro"/>
          <w:color w:val="3A3A3A"/>
          <w:sz w:val="23"/>
          <w:szCs w:val="23"/>
        </w:rPr>
        <w:t>R. (</w:t>
      </w:r>
      <w:r w:rsidR="00990184">
        <w:rPr>
          <w:rFonts w:ascii="Source Sans Pro" w:hAnsi="Source Sans Pro"/>
          <w:color w:val="3A3A3A"/>
          <w:sz w:val="23"/>
          <w:szCs w:val="23"/>
        </w:rPr>
        <w:t>1993</w:t>
      </w:r>
      <w:r w:rsidR="00754FB3">
        <w:rPr>
          <w:rFonts w:ascii="Source Sans Pro" w:hAnsi="Source Sans Pro"/>
          <w:color w:val="3A3A3A"/>
          <w:sz w:val="23"/>
          <w:szCs w:val="23"/>
        </w:rPr>
        <w:t xml:space="preserve">) </w:t>
      </w:r>
      <w:r w:rsidR="00754FB3">
        <w:rPr>
          <w:rFonts w:ascii="Source Sans Pro" w:hAnsi="Source Sans Pro"/>
          <w:i/>
          <w:color w:val="3A3A3A"/>
          <w:sz w:val="23"/>
          <w:szCs w:val="23"/>
        </w:rPr>
        <w:t>Motor Development in Early and Later Childhood: Longitudinal Approaches</w:t>
      </w:r>
      <w:r w:rsidR="001F01C6">
        <w:rPr>
          <w:rFonts w:ascii="Source Sans Pro" w:hAnsi="Source Sans Pro"/>
          <w:color w:val="3A3A3A"/>
          <w:sz w:val="23"/>
          <w:szCs w:val="23"/>
        </w:rPr>
        <w:t>.</w:t>
      </w:r>
      <w:r w:rsidR="00FF0F06">
        <w:rPr>
          <w:rFonts w:ascii="Source Sans Pro" w:hAnsi="Source Sans Pro"/>
          <w:color w:val="3A3A3A"/>
          <w:sz w:val="23"/>
          <w:szCs w:val="23"/>
        </w:rPr>
        <w:t xml:space="preserve"> Cambridge: Cambridge University Press, pp 238</w:t>
      </w:r>
    </w:p>
    <w:p w14:paraId="70662B03" w14:textId="77777777" w:rsidR="00033B2C" w:rsidRDefault="00033B2C" w:rsidP="00F04DC5">
      <w:pPr>
        <w:spacing w:after="0" w:line="240" w:lineRule="auto"/>
        <w:rPr>
          <w:rFonts w:ascii="Source Sans Pro" w:hAnsi="Source Sans Pro"/>
          <w:color w:val="3A3A3A"/>
          <w:sz w:val="23"/>
          <w:szCs w:val="23"/>
        </w:rPr>
      </w:pPr>
    </w:p>
    <w:p w14:paraId="5FEE7B65" w14:textId="098FE58E" w:rsidR="00F04DC5" w:rsidRDefault="00F04DC5" w:rsidP="00F04DC5">
      <w:pPr>
        <w:spacing w:after="0" w:line="240" w:lineRule="auto"/>
        <w:rPr>
          <w:rFonts w:ascii="Source Sans Pro" w:hAnsi="Source Sans Pro"/>
          <w:color w:val="3A3A3A"/>
          <w:sz w:val="23"/>
          <w:szCs w:val="23"/>
        </w:rPr>
      </w:pPr>
      <w:r>
        <w:rPr>
          <w:rFonts w:ascii="Source Sans Pro" w:hAnsi="Source Sans Pro"/>
          <w:color w:val="3A3A3A"/>
          <w:sz w:val="23"/>
          <w:szCs w:val="23"/>
        </w:rPr>
        <w:lastRenderedPageBreak/>
        <w:t xml:space="preserve">Mercer, N. and Howe, C. (2012) </w:t>
      </w:r>
      <w:r w:rsidRPr="000B5D3D">
        <w:rPr>
          <w:rFonts w:ascii="Source Sans Pro" w:hAnsi="Source Sans Pro"/>
          <w:color w:val="3A3A3A"/>
          <w:sz w:val="23"/>
          <w:szCs w:val="23"/>
        </w:rPr>
        <w:t>Explaining the dialogic processes of teaching and learning: The value and potential of sociocultural</w:t>
      </w:r>
      <w:r>
        <w:rPr>
          <w:rFonts w:ascii="Source Sans Pro" w:hAnsi="Source Sans Pro"/>
          <w:color w:val="3A3A3A"/>
          <w:sz w:val="23"/>
          <w:szCs w:val="23"/>
        </w:rPr>
        <w:t xml:space="preserve"> theory. </w:t>
      </w:r>
      <w:r>
        <w:rPr>
          <w:rFonts w:ascii="Source Sans Pro" w:hAnsi="Source Sans Pro"/>
          <w:i/>
          <w:color w:val="3A3A3A"/>
          <w:sz w:val="23"/>
          <w:szCs w:val="23"/>
        </w:rPr>
        <w:t>Learning, Culture and Social Interactions</w:t>
      </w:r>
      <w:r>
        <w:rPr>
          <w:rFonts w:ascii="Source Sans Pro" w:hAnsi="Source Sans Pro"/>
          <w:color w:val="3A3A3A"/>
          <w:sz w:val="23"/>
          <w:szCs w:val="23"/>
        </w:rPr>
        <w:t>, 1(1), pp.12-21</w:t>
      </w:r>
    </w:p>
    <w:p w14:paraId="5B00BFAF" w14:textId="77777777" w:rsidR="00F04DC5" w:rsidRDefault="00F04DC5" w:rsidP="00F04DC5">
      <w:pPr>
        <w:spacing w:after="0" w:line="240" w:lineRule="auto"/>
        <w:rPr>
          <w:rFonts w:ascii="Source Sans Pro" w:hAnsi="Source Sans Pro"/>
          <w:color w:val="3A3A3A"/>
          <w:sz w:val="23"/>
          <w:szCs w:val="23"/>
        </w:rPr>
      </w:pPr>
    </w:p>
    <w:p w14:paraId="46C68F4A" w14:textId="77777777" w:rsidR="00F04DC5" w:rsidRDefault="00F04DC5" w:rsidP="00F04DC5">
      <w:pPr>
        <w:spacing w:after="0" w:line="240" w:lineRule="auto"/>
        <w:rPr>
          <w:rFonts w:ascii="Source Sans Pro" w:hAnsi="Source Sans Pro"/>
          <w:color w:val="3A3A3A"/>
          <w:sz w:val="23"/>
          <w:szCs w:val="23"/>
        </w:rPr>
      </w:pPr>
      <w:r>
        <w:rPr>
          <w:rFonts w:ascii="Source Sans Pro" w:hAnsi="Source Sans Pro"/>
          <w:color w:val="3A3A3A"/>
          <w:sz w:val="23"/>
          <w:szCs w:val="23"/>
        </w:rPr>
        <w:t xml:space="preserve">Cooper, S. Marie A., 2002. Classroom Choices for Enabling Peer Learning. </w:t>
      </w:r>
      <w:r>
        <w:rPr>
          <w:rFonts w:ascii="Source Sans Pro" w:hAnsi="Source Sans Pro"/>
          <w:i/>
          <w:iCs/>
          <w:color w:val="3A3A3A"/>
          <w:sz w:val="23"/>
          <w:szCs w:val="23"/>
        </w:rPr>
        <w:t>Theory into Practice</w:t>
      </w:r>
      <w:r>
        <w:rPr>
          <w:rFonts w:ascii="Source Sans Pro" w:hAnsi="Source Sans Pro"/>
          <w:color w:val="3A3A3A"/>
          <w:sz w:val="23"/>
          <w:szCs w:val="23"/>
        </w:rPr>
        <w:t>, 41(1), pp.53–57</w:t>
      </w:r>
    </w:p>
    <w:p w14:paraId="4A73E73E" w14:textId="77777777" w:rsidR="00F04DC5" w:rsidRDefault="00F04DC5" w:rsidP="00F04DC5">
      <w:pPr>
        <w:spacing w:after="0" w:line="240" w:lineRule="auto"/>
        <w:rPr>
          <w:rFonts w:ascii="Source Sans Pro" w:hAnsi="Source Sans Pro"/>
          <w:color w:val="3A3A3A"/>
          <w:sz w:val="23"/>
          <w:szCs w:val="23"/>
        </w:rPr>
      </w:pPr>
    </w:p>
    <w:p w14:paraId="5B7B1BCD" w14:textId="77777777" w:rsidR="00F04DC5" w:rsidRDefault="00F04DC5" w:rsidP="00F04DC5">
      <w:pPr>
        <w:spacing w:after="0" w:line="240" w:lineRule="auto"/>
        <w:rPr>
          <w:rFonts w:ascii="Source Sans Pro" w:hAnsi="Source Sans Pro"/>
          <w:color w:val="3A3A3A"/>
          <w:sz w:val="23"/>
          <w:szCs w:val="23"/>
        </w:rPr>
      </w:pPr>
      <w:r>
        <w:rPr>
          <w:rFonts w:ascii="Arial" w:hAnsi="Arial" w:cs="Arial"/>
          <w:color w:val="000000"/>
          <w:sz w:val="20"/>
          <w:szCs w:val="20"/>
        </w:rPr>
        <w:t xml:space="preserve">Mercer, N., </w:t>
      </w:r>
      <w:proofErr w:type="spellStart"/>
      <w:r>
        <w:rPr>
          <w:rFonts w:ascii="Arial" w:hAnsi="Arial" w:cs="Arial"/>
          <w:color w:val="000000"/>
          <w:sz w:val="20"/>
          <w:szCs w:val="20"/>
        </w:rPr>
        <w:t>Wegerif</w:t>
      </w:r>
      <w:proofErr w:type="spellEnd"/>
      <w:r>
        <w:rPr>
          <w:rFonts w:ascii="Arial" w:hAnsi="Arial" w:cs="Arial"/>
          <w:color w:val="000000"/>
          <w:sz w:val="20"/>
          <w:szCs w:val="20"/>
        </w:rPr>
        <w:t xml:space="preserve">, R. and Dawes, L. (1999). Children's Talk and the Development of Reasoning in the Classroom. </w:t>
      </w:r>
      <w:r>
        <w:rPr>
          <w:rFonts w:ascii="&amp;quot" w:hAnsi="&amp;quot"/>
          <w:i/>
          <w:iCs/>
          <w:color w:val="000000"/>
          <w:sz w:val="20"/>
          <w:szCs w:val="20"/>
        </w:rPr>
        <w:t>British Educational Research Journal</w:t>
      </w:r>
      <w:r>
        <w:rPr>
          <w:rFonts w:ascii="Arial" w:hAnsi="Arial" w:cs="Arial"/>
          <w:color w:val="000000"/>
          <w:sz w:val="20"/>
          <w:szCs w:val="20"/>
        </w:rPr>
        <w:t>, 25(1), pp.95-111.</w:t>
      </w:r>
    </w:p>
    <w:p w14:paraId="1CE65EFE" w14:textId="77777777" w:rsidR="00F04DC5" w:rsidRDefault="00F04DC5" w:rsidP="00F04DC5">
      <w:pPr>
        <w:spacing w:after="0" w:line="240" w:lineRule="auto"/>
        <w:rPr>
          <w:rFonts w:ascii="Source Sans Pro" w:hAnsi="Source Sans Pro"/>
          <w:color w:val="3A3A3A"/>
          <w:sz w:val="23"/>
          <w:szCs w:val="23"/>
        </w:rPr>
      </w:pPr>
    </w:p>
    <w:p w14:paraId="4CD6EFBE" w14:textId="77777777" w:rsidR="00F04DC5" w:rsidRDefault="00F04DC5" w:rsidP="00F04DC5">
      <w:pPr>
        <w:spacing w:after="0" w:line="240" w:lineRule="auto"/>
        <w:rPr>
          <w:rFonts w:ascii="Arial" w:hAnsi="Arial" w:cs="Arial"/>
          <w:color w:val="000000"/>
          <w:sz w:val="20"/>
          <w:szCs w:val="20"/>
        </w:rPr>
      </w:pPr>
      <w:r>
        <w:rPr>
          <w:rFonts w:ascii="Arial" w:hAnsi="Arial" w:cs="Arial"/>
          <w:color w:val="000000"/>
          <w:sz w:val="20"/>
          <w:szCs w:val="20"/>
        </w:rPr>
        <w:t xml:space="preserve">Littleton, K. and Light P. (1999). </w:t>
      </w:r>
      <w:r>
        <w:rPr>
          <w:rFonts w:ascii="&amp;quot" w:hAnsi="&amp;quot"/>
          <w:i/>
          <w:iCs/>
          <w:color w:val="000000"/>
          <w:sz w:val="20"/>
          <w:szCs w:val="20"/>
        </w:rPr>
        <w:t>Learning with Computers</w:t>
      </w:r>
      <w:r>
        <w:rPr>
          <w:rFonts w:ascii="Arial" w:hAnsi="Arial" w:cs="Arial"/>
          <w:i/>
          <w:color w:val="000000"/>
          <w:sz w:val="20"/>
          <w:szCs w:val="20"/>
        </w:rPr>
        <w:t>: Analysing Productive Interaction.</w:t>
      </w:r>
      <w:r>
        <w:rPr>
          <w:rFonts w:ascii="Arial" w:hAnsi="Arial" w:cs="Arial"/>
          <w:color w:val="000000"/>
          <w:sz w:val="20"/>
          <w:szCs w:val="20"/>
        </w:rPr>
        <w:t xml:space="preserve"> London: Routledge, pp.79-97</w:t>
      </w:r>
    </w:p>
    <w:p w14:paraId="6CB83213" w14:textId="77777777" w:rsidR="00F04DC5" w:rsidRDefault="00F04DC5" w:rsidP="00F04DC5">
      <w:pPr>
        <w:spacing w:after="0" w:line="240" w:lineRule="auto"/>
        <w:rPr>
          <w:rFonts w:ascii="Source Sans Pro" w:hAnsi="Source Sans Pro"/>
          <w:color w:val="3A3A3A"/>
          <w:sz w:val="23"/>
          <w:szCs w:val="23"/>
        </w:rPr>
      </w:pPr>
    </w:p>
    <w:p w14:paraId="7165EBE0" w14:textId="08B522DE" w:rsidR="00F04DC5" w:rsidRDefault="00F04DC5" w:rsidP="00F04DC5">
      <w:pPr>
        <w:spacing w:after="0" w:line="240" w:lineRule="auto"/>
        <w:rPr>
          <w:rFonts w:ascii="Arial" w:hAnsi="Arial" w:cs="Arial"/>
          <w:color w:val="000000"/>
          <w:sz w:val="20"/>
          <w:szCs w:val="20"/>
        </w:rPr>
      </w:pPr>
      <w:r>
        <w:rPr>
          <w:rFonts w:ascii="Arial" w:hAnsi="Arial" w:cs="Arial"/>
          <w:color w:val="000000"/>
          <w:sz w:val="20"/>
          <w:szCs w:val="20"/>
        </w:rPr>
        <w:t xml:space="preserve">Pollard, A. (2005). </w:t>
      </w:r>
      <w:r>
        <w:rPr>
          <w:rFonts w:ascii="&amp;quot" w:hAnsi="&amp;quot"/>
          <w:i/>
          <w:iCs/>
          <w:color w:val="000000"/>
          <w:sz w:val="20"/>
          <w:szCs w:val="20"/>
        </w:rPr>
        <w:t>Reflective Teaching</w:t>
      </w:r>
      <w:r>
        <w:rPr>
          <w:rFonts w:ascii="Arial" w:hAnsi="Arial" w:cs="Arial"/>
          <w:color w:val="000000"/>
          <w:sz w:val="20"/>
          <w:szCs w:val="20"/>
        </w:rPr>
        <w:t>. 2nd ed. London: Continuum, pp.278-306.</w:t>
      </w:r>
    </w:p>
    <w:p w14:paraId="28076349" w14:textId="3E78A9AE" w:rsidR="004746BD" w:rsidRDefault="004746BD" w:rsidP="00F04DC5">
      <w:pPr>
        <w:spacing w:after="0" w:line="240" w:lineRule="auto"/>
        <w:rPr>
          <w:rFonts w:ascii="Source Sans Pro" w:hAnsi="Source Sans Pro"/>
          <w:color w:val="3A3A3A"/>
          <w:sz w:val="23"/>
          <w:szCs w:val="23"/>
        </w:rPr>
      </w:pPr>
    </w:p>
    <w:p w14:paraId="361260F6" w14:textId="5C3FA787" w:rsidR="004746BD" w:rsidRPr="00A238B7" w:rsidRDefault="004746BD" w:rsidP="00F04DC5">
      <w:pPr>
        <w:spacing w:after="0" w:line="240" w:lineRule="auto"/>
        <w:rPr>
          <w:rFonts w:ascii="Source Sans Pro" w:hAnsi="Source Sans Pro"/>
          <w:color w:val="FF0000"/>
          <w:sz w:val="23"/>
          <w:szCs w:val="23"/>
        </w:rPr>
      </w:pPr>
      <w:r>
        <w:rPr>
          <w:rFonts w:ascii="Source Sans Pro" w:hAnsi="Source Sans Pro"/>
          <w:color w:val="3A3A3A"/>
          <w:sz w:val="23"/>
          <w:szCs w:val="23"/>
        </w:rPr>
        <w:t xml:space="preserve">Grigg, R. </w:t>
      </w:r>
      <w:r w:rsidR="00E74E40">
        <w:rPr>
          <w:rFonts w:ascii="Source Sans Pro" w:hAnsi="Source Sans Pro"/>
          <w:color w:val="3A3A3A"/>
          <w:sz w:val="23"/>
          <w:szCs w:val="23"/>
        </w:rPr>
        <w:t xml:space="preserve">(2010) </w:t>
      </w:r>
      <w:r w:rsidR="00E74E40">
        <w:rPr>
          <w:rFonts w:ascii="Source Sans Pro" w:hAnsi="Source Sans Pro"/>
          <w:i/>
          <w:color w:val="3A3A3A"/>
          <w:sz w:val="23"/>
          <w:szCs w:val="23"/>
        </w:rPr>
        <w:t>Becoming an outstanding primary school teacher</w:t>
      </w:r>
      <w:r w:rsidR="00860E37">
        <w:rPr>
          <w:rFonts w:ascii="Source Sans Pro" w:hAnsi="Source Sans Pro"/>
          <w:color w:val="3A3A3A"/>
          <w:sz w:val="23"/>
          <w:szCs w:val="23"/>
        </w:rPr>
        <w:t>. Essex: Pearson Education Limited</w:t>
      </w:r>
      <w:r w:rsidR="00A238B7">
        <w:rPr>
          <w:rFonts w:ascii="Source Sans Pro" w:hAnsi="Source Sans Pro"/>
          <w:color w:val="3A3A3A"/>
          <w:sz w:val="23"/>
          <w:szCs w:val="23"/>
        </w:rPr>
        <w:t xml:space="preserve"> </w:t>
      </w:r>
      <w:r w:rsidR="00A238B7">
        <w:rPr>
          <w:rFonts w:ascii="Source Sans Pro" w:hAnsi="Source Sans Pro"/>
          <w:color w:val="FF0000"/>
          <w:sz w:val="23"/>
          <w:szCs w:val="23"/>
        </w:rPr>
        <w:t>PAGE!!!!!! LOOK IN GALLERY</w:t>
      </w:r>
    </w:p>
    <w:p w14:paraId="6E16DCA5" w14:textId="77777777" w:rsidR="00F04DC5" w:rsidRDefault="00F04DC5" w:rsidP="00F04DC5">
      <w:pPr>
        <w:spacing w:after="0" w:line="240" w:lineRule="auto"/>
        <w:rPr>
          <w:rFonts w:ascii="Source Sans Pro" w:hAnsi="Source Sans Pro"/>
          <w:color w:val="3A3A3A"/>
          <w:sz w:val="23"/>
          <w:szCs w:val="23"/>
        </w:rPr>
      </w:pPr>
    </w:p>
    <w:p w14:paraId="7E1B91E9" w14:textId="14269D68" w:rsidR="00F04DC5" w:rsidRDefault="00F04DC5" w:rsidP="00F04DC5">
      <w:pPr>
        <w:spacing w:after="0" w:line="240" w:lineRule="auto"/>
        <w:rPr>
          <w:rStyle w:val="selectable"/>
          <w:rFonts w:ascii="&amp;quot" w:hAnsi="&amp;quot"/>
          <w:color w:val="FF0000"/>
          <w:sz w:val="20"/>
          <w:szCs w:val="20"/>
        </w:rPr>
      </w:pPr>
      <w:r>
        <w:rPr>
          <w:rStyle w:val="selectable"/>
          <w:rFonts w:ascii="&amp;quot" w:hAnsi="&amp;quot"/>
          <w:color w:val="000000"/>
          <w:sz w:val="20"/>
          <w:szCs w:val="20"/>
        </w:rPr>
        <w:t xml:space="preserve">Mercer, N. and Littleton, K. (2007). </w:t>
      </w:r>
      <w:r>
        <w:rPr>
          <w:rStyle w:val="selectable"/>
          <w:rFonts w:ascii="&amp;quot" w:hAnsi="&amp;quot"/>
          <w:i/>
          <w:iCs/>
          <w:color w:val="000000"/>
          <w:sz w:val="20"/>
          <w:szCs w:val="20"/>
        </w:rPr>
        <w:t>Dialogue and the Development of Children's Thinking</w:t>
      </w:r>
      <w:r>
        <w:rPr>
          <w:rStyle w:val="selectable"/>
          <w:rFonts w:ascii="&amp;quot" w:hAnsi="&amp;quot"/>
          <w:color w:val="000000"/>
          <w:sz w:val="20"/>
          <w:szCs w:val="20"/>
        </w:rPr>
        <w:t>. Oxon: Routledge</w:t>
      </w:r>
      <w:r w:rsidR="004F699E">
        <w:rPr>
          <w:rStyle w:val="selectable"/>
          <w:rFonts w:ascii="&amp;quot" w:hAnsi="&amp;quot"/>
          <w:color w:val="000000"/>
          <w:sz w:val="20"/>
          <w:szCs w:val="20"/>
        </w:rPr>
        <w:t>, pp 59-61</w:t>
      </w:r>
      <w:r w:rsidR="005615FA">
        <w:rPr>
          <w:rStyle w:val="selectable"/>
          <w:rFonts w:ascii="&amp;quot" w:hAnsi="&amp;quot"/>
          <w:color w:val="000000"/>
          <w:sz w:val="20"/>
          <w:szCs w:val="20"/>
        </w:rPr>
        <w:t>, pp 9-10</w:t>
      </w:r>
    </w:p>
    <w:p w14:paraId="02B98E1C" w14:textId="77777777" w:rsidR="00F04DC5" w:rsidRDefault="00F04DC5" w:rsidP="00F04DC5">
      <w:pPr>
        <w:spacing w:after="0" w:line="240" w:lineRule="auto"/>
        <w:rPr>
          <w:rStyle w:val="selectable"/>
          <w:rFonts w:ascii="&amp;quot" w:hAnsi="&amp;quot"/>
          <w:color w:val="FF0000"/>
          <w:sz w:val="20"/>
          <w:szCs w:val="20"/>
        </w:rPr>
      </w:pPr>
    </w:p>
    <w:p w14:paraId="238D8265" w14:textId="77777777" w:rsidR="00F04DC5" w:rsidRPr="005D3083" w:rsidRDefault="00F04DC5" w:rsidP="00F04DC5">
      <w:pPr>
        <w:spacing w:after="0" w:line="240" w:lineRule="auto"/>
        <w:rPr>
          <w:rStyle w:val="selectable"/>
          <w:rFonts w:ascii="&amp;quot" w:hAnsi="&amp;quot"/>
          <w:sz w:val="20"/>
          <w:szCs w:val="20"/>
        </w:rPr>
      </w:pPr>
      <w:r>
        <w:rPr>
          <w:rStyle w:val="selectable"/>
          <w:rFonts w:ascii="&amp;quot" w:hAnsi="&amp;quot"/>
          <w:sz w:val="20"/>
          <w:szCs w:val="20"/>
        </w:rPr>
        <w:t xml:space="preserve">Alexander, R J. (2001). </w:t>
      </w:r>
      <w:r>
        <w:rPr>
          <w:rStyle w:val="selectable"/>
          <w:rFonts w:ascii="&amp;quot" w:hAnsi="&amp;quot"/>
          <w:i/>
          <w:sz w:val="20"/>
          <w:szCs w:val="20"/>
        </w:rPr>
        <w:t>Culture and Pedagogy</w:t>
      </w:r>
      <w:r>
        <w:rPr>
          <w:rStyle w:val="selectable"/>
          <w:rFonts w:ascii="&amp;quot" w:hAnsi="&amp;quot"/>
          <w:sz w:val="20"/>
          <w:szCs w:val="20"/>
        </w:rPr>
        <w:t>. Maiden, MA: Blackwell Publishers, pp 391-528</w:t>
      </w:r>
    </w:p>
    <w:p w14:paraId="06D01558" w14:textId="77777777" w:rsidR="00F04DC5" w:rsidRDefault="00F04DC5" w:rsidP="00F04DC5">
      <w:pPr>
        <w:spacing w:after="0" w:line="240" w:lineRule="auto"/>
        <w:rPr>
          <w:rStyle w:val="selectable"/>
          <w:rFonts w:ascii="&amp;quot" w:hAnsi="&amp;quot"/>
          <w:color w:val="FF0000"/>
          <w:sz w:val="20"/>
          <w:szCs w:val="20"/>
        </w:rPr>
      </w:pPr>
    </w:p>
    <w:p w14:paraId="77CF815F" w14:textId="77777777" w:rsidR="00F04DC5" w:rsidRDefault="00F04DC5" w:rsidP="00F04DC5">
      <w:pPr>
        <w:spacing w:after="0" w:line="240" w:lineRule="auto"/>
        <w:rPr>
          <w:rFonts w:ascii="Arial" w:hAnsi="Arial" w:cs="Arial"/>
          <w:color w:val="000000"/>
          <w:sz w:val="20"/>
          <w:szCs w:val="20"/>
        </w:rPr>
      </w:pPr>
      <w:r>
        <w:rPr>
          <w:rFonts w:ascii="Arial" w:hAnsi="Arial" w:cs="Arial"/>
          <w:color w:val="000000"/>
          <w:sz w:val="20"/>
          <w:szCs w:val="20"/>
        </w:rPr>
        <w:t xml:space="preserve">Baines, E., Blatchford, P. and Webster, R. (2014). The challenges of implementing group work in primary school classrooms and including pupils with special educational needs. </w:t>
      </w:r>
      <w:r>
        <w:rPr>
          <w:rFonts w:ascii="&amp;quot" w:hAnsi="&amp;quot"/>
          <w:i/>
          <w:iCs/>
          <w:color w:val="000000"/>
          <w:sz w:val="20"/>
          <w:szCs w:val="20"/>
        </w:rPr>
        <w:t>Education 3-13</w:t>
      </w:r>
      <w:r>
        <w:rPr>
          <w:rFonts w:ascii="Arial" w:hAnsi="Arial" w:cs="Arial"/>
          <w:color w:val="000000"/>
          <w:sz w:val="20"/>
          <w:szCs w:val="20"/>
        </w:rPr>
        <w:t>, 43(1), pp.15-29.</w:t>
      </w:r>
    </w:p>
    <w:p w14:paraId="6EA30063" w14:textId="77777777" w:rsidR="00F04DC5" w:rsidRDefault="00F04DC5" w:rsidP="00F04DC5">
      <w:pPr>
        <w:spacing w:after="0" w:line="240" w:lineRule="auto"/>
        <w:rPr>
          <w:rFonts w:ascii="Arial" w:hAnsi="Arial" w:cs="Arial"/>
          <w:color w:val="000000"/>
          <w:sz w:val="20"/>
          <w:szCs w:val="20"/>
        </w:rPr>
      </w:pPr>
    </w:p>
    <w:p w14:paraId="7E52BEF0" w14:textId="77777777" w:rsidR="00F04DC5" w:rsidRDefault="00F04DC5" w:rsidP="00F04DC5">
      <w:pPr>
        <w:spacing w:after="0" w:line="240" w:lineRule="auto"/>
        <w:rPr>
          <w:rFonts w:ascii="Arial" w:hAnsi="Arial" w:cs="Arial"/>
          <w:color w:val="000000"/>
          <w:sz w:val="20"/>
          <w:szCs w:val="20"/>
        </w:rPr>
      </w:pPr>
      <w:r>
        <w:rPr>
          <w:rFonts w:ascii="Arial" w:hAnsi="Arial" w:cs="Arial"/>
          <w:color w:val="000000"/>
          <w:sz w:val="20"/>
          <w:szCs w:val="20"/>
        </w:rPr>
        <w:t xml:space="preserve">Hart, B. and </w:t>
      </w:r>
      <w:proofErr w:type="spellStart"/>
      <w:r>
        <w:rPr>
          <w:rFonts w:ascii="Arial" w:hAnsi="Arial" w:cs="Arial"/>
          <w:color w:val="000000"/>
          <w:sz w:val="20"/>
          <w:szCs w:val="20"/>
        </w:rPr>
        <w:t>Risley</w:t>
      </w:r>
      <w:proofErr w:type="spellEnd"/>
      <w:r>
        <w:rPr>
          <w:rFonts w:ascii="Arial" w:hAnsi="Arial" w:cs="Arial"/>
          <w:color w:val="000000"/>
          <w:sz w:val="20"/>
          <w:szCs w:val="20"/>
        </w:rPr>
        <w:t xml:space="preserve">, T. (1995). </w:t>
      </w:r>
      <w:r>
        <w:rPr>
          <w:rFonts w:ascii="&amp;quot" w:hAnsi="&amp;quot"/>
          <w:i/>
          <w:iCs/>
          <w:color w:val="000000"/>
          <w:sz w:val="20"/>
          <w:szCs w:val="20"/>
        </w:rPr>
        <w:t>Meaningful differences in the everyday experience of young American children.</w:t>
      </w:r>
      <w:r>
        <w:rPr>
          <w:rFonts w:ascii="Arial" w:hAnsi="Arial" w:cs="Arial"/>
          <w:color w:val="000000"/>
          <w:sz w:val="20"/>
          <w:szCs w:val="20"/>
        </w:rPr>
        <w:t xml:space="preserve"> Baltimore: Paul H. Brookes Publishing Co.</w:t>
      </w:r>
    </w:p>
    <w:p w14:paraId="4773E975" w14:textId="77777777" w:rsidR="00F04DC5" w:rsidRDefault="00F04DC5" w:rsidP="00F04DC5">
      <w:pPr>
        <w:spacing w:after="0" w:line="240" w:lineRule="auto"/>
        <w:rPr>
          <w:rStyle w:val="selectable"/>
          <w:rFonts w:ascii="&amp;quot" w:hAnsi="&amp;quot"/>
          <w:sz w:val="20"/>
          <w:szCs w:val="20"/>
        </w:rPr>
      </w:pPr>
    </w:p>
    <w:p w14:paraId="44D0197A" w14:textId="77777777" w:rsidR="00F04DC5" w:rsidRDefault="00F04DC5" w:rsidP="00F04DC5">
      <w:pPr>
        <w:spacing w:after="0" w:line="240" w:lineRule="auto"/>
        <w:rPr>
          <w:rStyle w:val="selectable"/>
          <w:rFonts w:ascii="&amp;quot" w:hAnsi="&amp;quot"/>
          <w:sz w:val="20"/>
          <w:szCs w:val="20"/>
        </w:rPr>
      </w:pPr>
      <w:r>
        <w:rPr>
          <w:rStyle w:val="selectable"/>
          <w:rFonts w:ascii="&amp;quot" w:hAnsi="&amp;quot"/>
          <w:sz w:val="20"/>
          <w:szCs w:val="20"/>
        </w:rPr>
        <w:t xml:space="preserve">Blatchford, P., </w:t>
      </w:r>
      <w:proofErr w:type="spellStart"/>
      <w:r>
        <w:rPr>
          <w:rStyle w:val="selectable"/>
          <w:rFonts w:ascii="&amp;quot" w:hAnsi="&amp;quot"/>
          <w:sz w:val="20"/>
          <w:szCs w:val="20"/>
        </w:rPr>
        <w:t>Kutnick</w:t>
      </w:r>
      <w:proofErr w:type="spellEnd"/>
      <w:r>
        <w:rPr>
          <w:rStyle w:val="selectable"/>
          <w:rFonts w:ascii="&amp;quot" w:hAnsi="&amp;quot"/>
          <w:sz w:val="20"/>
          <w:szCs w:val="20"/>
        </w:rPr>
        <w:t xml:space="preserve">, P. and Baines, E (2007) Pupil grouping for learning in classrooms: Results from the UK </w:t>
      </w:r>
      <w:proofErr w:type="spellStart"/>
      <w:r>
        <w:rPr>
          <w:rStyle w:val="selectable"/>
          <w:rFonts w:ascii="&amp;quot" w:hAnsi="&amp;quot"/>
          <w:sz w:val="20"/>
          <w:szCs w:val="20"/>
        </w:rPr>
        <w:t>SPR</w:t>
      </w:r>
      <w:r>
        <w:rPr>
          <w:rStyle w:val="selectable"/>
          <w:rFonts w:ascii="&amp;quot" w:hAnsi="&amp;quot"/>
          <w:i/>
          <w:sz w:val="20"/>
          <w:szCs w:val="20"/>
        </w:rPr>
        <w:t>in</w:t>
      </w:r>
      <w:r>
        <w:rPr>
          <w:rStyle w:val="selectable"/>
          <w:rFonts w:ascii="&amp;quot" w:hAnsi="&amp;quot"/>
          <w:sz w:val="20"/>
          <w:szCs w:val="20"/>
        </w:rPr>
        <w:t>G</w:t>
      </w:r>
      <w:proofErr w:type="spellEnd"/>
      <w:r>
        <w:rPr>
          <w:rStyle w:val="selectable"/>
          <w:rFonts w:ascii="&amp;quot" w:hAnsi="&amp;quot"/>
          <w:sz w:val="20"/>
          <w:szCs w:val="20"/>
        </w:rPr>
        <w:t xml:space="preserve"> Study. </w:t>
      </w:r>
      <w:r>
        <w:rPr>
          <w:rStyle w:val="selectable"/>
          <w:rFonts w:ascii="&amp;quot" w:hAnsi="&amp;quot"/>
          <w:i/>
          <w:sz w:val="20"/>
          <w:szCs w:val="20"/>
        </w:rPr>
        <w:t>American Educational Research</w:t>
      </w:r>
      <w:r>
        <w:rPr>
          <w:rStyle w:val="selectable"/>
          <w:rFonts w:ascii="&amp;quot" w:hAnsi="&amp;quot"/>
          <w:sz w:val="20"/>
          <w:szCs w:val="20"/>
        </w:rPr>
        <w:t>. London, pp 1-26</w:t>
      </w:r>
    </w:p>
    <w:p w14:paraId="7E6E2D57" w14:textId="77777777" w:rsidR="00F04DC5" w:rsidRDefault="00F04DC5" w:rsidP="00F04DC5">
      <w:pPr>
        <w:spacing w:after="0" w:line="240" w:lineRule="auto"/>
        <w:rPr>
          <w:rStyle w:val="selectable"/>
          <w:rFonts w:ascii="&amp;quot" w:hAnsi="&amp;quot"/>
          <w:sz w:val="20"/>
          <w:szCs w:val="20"/>
        </w:rPr>
      </w:pPr>
    </w:p>
    <w:p w14:paraId="63CE6282" w14:textId="08B4E415" w:rsidR="00F04DC5" w:rsidRDefault="00F04DC5" w:rsidP="00F04DC5">
      <w:pPr>
        <w:spacing w:after="0" w:line="240" w:lineRule="auto"/>
        <w:rPr>
          <w:rStyle w:val="selectable"/>
          <w:rFonts w:ascii="&amp;quot" w:hAnsi="&amp;quot"/>
          <w:sz w:val="20"/>
          <w:szCs w:val="20"/>
        </w:rPr>
      </w:pPr>
      <w:proofErr w:type="spellStart"/>
      <w:r>
        <w:rPr>
          <w:rStyle w:val="selectable"/>
          <w:rFonts w:ascii="&amp;quot" w:hAnsi="&amp;quot"/>
          <w:sz w:val="20"/>
          <w:szCs w:val="20"/>
        </w:rPr>
        <w:t>Wegerif</w:t>
      </w:r>
      <w:proofErr w:type="spellEnd"/>
      <w:r>
        <w:rPr>
          <w:rStyle w:val="selectable"/>
          <w:rFonts w:ascii="&amp;quot" w:hAnsi="&amp;quot"/>
          <w:sz w:val="20"/>
          <w:szCs w:val="20"/>
        </w:rPr>
        <w:t xml:space="preserve">, R. and Mercer, N. (1997) A Dialogical Framework for Investigating Talk. </w:t>
      </w:r>
      <w:r>
        <w:rPr>
          <w:rStyle w:val="selectable"/>
          <w:rFonts w:ascii="&amp;quot" w:hAnsi="&amp;quot"/>
          <w:i/>
          <w:sz w:val="20"/>
          <w:szCs w:val="20"/>
        </w:rPr>
        <w:t>Computers and Talk in the Primary Classroom</w:t>
      </w:r>
      <w:r>
        <w:rPr>
          <w:rStyle w:val="selectable"/>
          <w:rFonts w:ascii="&amp;quot" w:hAnsi="&amp;quot"/>
          <w:sz w:val="20"/>
          <w:szCs w:val="20"/>
        </w:rPr>
        <w:t>. Clevedon, pp 49-65</w:t>
      </w:r>
    </w:p>
    <w:p w14:paraId="1E9EB93F" w14:textId="2B0D5A90" w:rsidR="00F438A6" w:rsidRDefault="00F438A6" w:rsidP="00F04DC5">
      <w:pPr>
        <w:spacing w:after="0" w:line="240" w:lineRule="auto"/>
        <w:rPr>
          <w:rStyle w:val="selectable"/>
          <w:rFonts w:ascii="&amp;quot" w:hAnsi="&amp;quot"/>
          <w:sz w:val="20"/>
          <w:szCs w:val="20"/>
        </w:rPr>
      </w:pPr>
    </w:p>
    <w:p w14:paraId="3A581703" w14:textId="54242681" w:rsidR="00F438A6" w:rsidRPr="00385CCD" w:rsidRDefault="00F438A6" w:rsidP="00F04DC5">
      <w:pPr>
        <w:spacing w:after="0" w:line="240" w:lineRule="auto"/>
        <w:rPr>
          <w:rStyle w:val="selectable"/>
          <w:rFonts w:ascii="&amp;quot" w:hAnsi="&amp;quot"/>
          <w:sz w:val="20"/>
          <w:szCs w:val="20"/>
        </w:rPr>
      </w:pPr>
      <w:r>
        <w:rPr>
          <w:rStyle w:val="selectable"/>
          <w:rFonts w:ascii="&amp;quot" w:hAnsi="&amp;quot"/>
          <w:sz w:val="20"/>
          <w:szCs w:val="20"/>
        </w:rPr>
        <w:t xml:space="preserve">Roberts, </w:t>
      </w:r>
      <w:r w:rsidR="006710FC">
        <w:rPr>
          <w:rStyle w:val="selectable"/>
          <w:rFonts w:ascii="&amp;quot" w:hAnsi="&amp;quot"/>
          <w:sz w:val="20"/>
          <w:szCs w:val="20"/>
        </w:rPr>
        <w:t xml:space="preserve">R. (2006) </w:t>
      </w:r>
      <w:r w:rsidR="006710FC">
        <w:rPr>
          <w:rStyle w:val="selectable"/>
          <w:rFonts w:ascii="&amp;quot" w:hAnsi="&amp;quot"/>
          <w:i/>
          <w:sz w:val="20"/>
          <w:szCs w:val="20"/>
        </w:rPr>
        <w:t>Self-esteem and Early Learning</w:t>
      </w:r>
      <w:r w:rsidR="00385CCD">
        <w:rPr>
          <w:rStyle w:val="selectable"/>
          <w:rFonts w:ascii="&amp;quot" w:hAnsi="&amp;quot"/>
          <w:sz w:val="20"/>
          <w:szCs w:val="20"/>
        </w:rPr>
        <w:t xml:space="preserve">. </w:t>
      </w:r>
      <w:r w:rsidR="005104A9">
        <w:rPr>
          <w:rStyle w:val="selectable"/>
          <w:rFonts w:ascii="&amp;quot" w:hAnsi="&amp;quot"/>
          <w:sz w:val="20"/>
          <w:szCs w:val="20"/>
        </w:rPr>
        <w:t>3</w:t>
      </w:r>
      <w:r w:rsidR="00B34686">
        <w:rPr>
          <w:rStyle w:val="selectable"/>
          <w:rFonts w:ascii="&amp;quot" w:hAnsi="&amp;quot"/>
          <w:sz w:val="20"/>
          <w:szCs w:val="20"/>
          <w:vertAlign w:val="superscript"/>
        </w:rPr>
        <w:t xml:space="preserve">rd </w:t>
      </w:r>
      <w:r w:rsidR="00B34686">
        <w:rPr>
          <w:rStyle w:val="selectable"/>
          <w:rFonts w:ascii="&amp;quot" w:hAnsi="&amp;quot"/>
          <w:sz w:val="20"/>
          <w:szCs w:val="20"/>
        </w:rPr>
        <w:t>ed</w:t>
      </w:r>
      <w:r w:rsidR="005104A9">
        <w:rPr>
          <w:rStyle w:val="selectable"/>
          <w:rFonts w:ascii="&amp;quot" w:hAnsi="&amp;quot"/>
          <w:sz w:val="20"/>
          <w:szCs w:val="20"/>
        </w:rPr>
        <w:t xml:space="preserve">. </w:t>
      </w:r>
      <w:r w:rsidR="007D2DA3">
        <w:rPr>
          <w:rStyle w:val="selectable"/>
          <w:rFonts w:ascii="&amp;quot" w:hAnsi="&amp;quot"/>
          <w:sz w:val="20"/>
          <w:szCs w:val="20"/>
        </w:rPr>
        <w:t xml:space="preserve">London: Paul Chapman Publishing, A SAGE </w:t>
      </w:r>
      <w:r w:rsidR="00DF73F6">
        <w:rPr>
          <w:rStyle w:val="selectable"/>
          <w:rFonts w:ascii="&amp;quot" w:hAnsi="&amp;quot"/>
          <w:sz w:val="20"/>
          <w:szCs w:val="20"/>
        </w:rPr>
        <w:t>Publications Company</w:t>
      </w:r>
      <w:r w:rsidR="00443666">
        <w:rPr>
          <w:rStyle w:val="selectable"/>
          <w:rFonts w:ascii="&amp;quot" w:hAnsi="&amp;quot"/>
          <w:sz w:val="20"/>
          <w:szCs w:val="20"/>
        </w:rPr>
        <w:t xml:space="preserve">, </w:t>
      </w:r>
      <w:r w:rsidR="003E691E">
        <w:rPr>
          <w:rStyle w:val="selectable"/>
          <w:rFonts w:ascii="&amp;quot" w:hAnsi="&amp;quot"/>
          <w:sz w:val="20"/>
          <w:szCs w:val="20"/>
        </w:rPr>
        <w:t xml:space="preserve"> pp 59</w:t>
      </w:r>
    </w:p>
    <w:p w14:paraId="7FA5F176" w14:textId="77777777" w:rsidR="00F04DC5" w:rsidRDefault="00F04DC5" w:rsidP="00F04DC5">
      <w:pPr>
        <w:spacing w:after="0" w:line="240" w:lineRule="auto"/>
        <w:rPr>
          <w:rStyle w:val="selectable"/>
          <w:rFonts w:ascii="&amp;quot" w:hAnsi="&amp;quot"/>
          <w:sz w:val="20"/>
          <w:szCs w:val="20"/>
        </w:rPr>
      </w:pPr>
    </w:p>
    <w:p w14:paraId="1C2D2CB6" w14:textId="2C42DC6E" w:rsidR="00F04DC5" w:rsidRDefault="00F04DC5" w:rsidP="00F04DC5">
      <w:pPr>
        <w:spacing w:after="0" w:line="240" w:lineRule="auto"/>
        <w:rPr>
          <w:rFonts w:ascii="Arial" w:hAnsi="Arial" w:cs="Arial"/>
          <w:color w:val="000000"/>
          <w:sz w:val="20"/>
          <w:szCs w:val="20"/>
        </w:rPr>
      </w:pPr>
      <w:r>
        <w:rPr>
          <w:rFonts w:ascii="Arial" w:hAnsi="Arial" w:cs="Arial"/>
          <w:color w:val="000000"/>
          <w:sz w:val="20"/>
          <w:szCs w:val="20"/>
        </w:rPr>
        <w:t xml:space="preserve">Rajala, A., </w:t>
      </w:r>
      <w:proofErr w:type="spellStart"/>
      <w:r>
        <w:rPr>
          <w:rFonts w:ascii="Arial" w:hAnsi="Arial" w:cs="Arial"/>
          <w:color w:val="000000"/>
          <w:sz w:val="20"/>
          <w:szCs w:val="20"/>
        </w:rPr>
        <w:t>Hilppö</w:t>
      </w:r>
      <w:proofErr w:type="spellEnd"/>
      <w:r>
        <w:rPr>
          <w:rFonts w:ascii="Arial" w:hAnsi="Arial" w:cs="Arial"/>
          <w:color w:val="000000"/>
          <w:sz w:val="20"/>
          <w:szCs w:val="20"/>
        </w:rPr>
        <w:t xml:space="preserve">, J. and </w:t>
      </w:r>
      <w:proofErr w:type="spellStart"/>
      <w:r>
        <w:rPr>
          <w:rFonts w:ascii="Arial" w:hAnsi="Arial" w:cs="Arial"/>
          <w:color w:val="000000"/>
          <w:sz w:val="20"/>
          <w:szCs w:val="20"/>
        </w:rPr>
        <w:t>Lipponen</w:t>
      </w:r>
      <w:proofErr w:type="spellEnd"/>
      <w:r>
        <w:rPr>
          <w:rFonts w:ascii="Arial" w:hAnsi="Arial" w:cs="Arial"/>
          <w:color w:val="000000"/>
          <w:sz w:val="20"/>
          <w:szCs w:val="20"/>
        </w:rPr>
        <w:t xml:space="preserve">, L. (2012). The emergence of inclusive exploratory talk in primary students’ peer interaction. </w:t>
      </w:r>
      <w:r>
        <w:rPr>
          <w:rFonts w:ascii="&amp;quot" w:hAnsi="&amp;quot"/>
          <w:i/>
          <w:iCs/>
          <w:color w:val="000000"/>
          <w:sz w:val="20"/>
          <w:szCs w:val="20"/>
        </w:rPr>
        <w:t>International Journal of Educational Research</w:t>
      </w:r>
      <w:r>
        <w:rPr>
          <w:rFonts w:ascii="Arial" w:hAnsi="Arial" w:cs="Arial"/>
          <w:color w:val="000000"/>
          <w:sz w:val="20"/>
          <w:szCs w:val="20"/>
        </w:rPr>
        <w:t>, 53, pp.55-67.</w:t>
      </w:r>
    </w:p>
    <w:p w14:paraId="1C0F44CD" w14:textId="10CF21FA" w:rsidR="00BB4C0C" w:rsidRDefault="00BB4C0C" w:rsidP="00F04DC5">
      <w:pPr>
        <w:spacing w:after="0" w:line="240" w:lineRule="auto"/>
        <w:rPr>
          <w:rFonts w:ascii="Arial" w:hAnsi="Arial" w:cs="Arial"/>
          <w:color w:val="000000"/>
          <w:sz w:val="20"/>
          <w:szCs w:val="20"/>
        </w:rPr>
      </w:pPr>
    </w:p>
    <w:p w14:paraId="700F6AF0" w14:textId="30F7E83C" w:rsidR="00082F78" w:rsidRPr="00D74B06" w:rsidRDefault="00082F78" w:rsidP="00F04DC5">
      <w:pPr>
        <w:spacing w:after="0" w:line="240" w:lineRule="auto"/>
        <w:rPr>
          <w:rFonts w:ascii="Arial" w:hAnsi="Arial" w:cs="Arial"/>
          <w:color w:val="000000"/>
          <w:sz w:val="20"/>
          <w:szCs w:val="20"/>
        </w:rPr>
      </w:pPr>
      <w:r>
        <w:rPr>
          <w:rFonts w:ascii="Arial" w:hAnsi="Arial" w:cs="Arial"/>
          <w:color w:val="000000"/>
          <w:sz w:val="20"/>
          <w:szCs w:val="20"/>
        </w:rPr>
        <w:t xml:space="preserve">Schroder, H S., </w:t>
      </w:r>
      <w:r w:rsidR="00045EF3">
        <w:rPr>
          <w:rFonts w:ascii="Arial" w:hAnsi="Arial" w:cs="Arial"/>
          <w:color w:val="000000"/>
          <w:sz w:val="20"/>
          <w:szCs w:val="20"/>
        </w:rPr>
        <w:t>Fisher, M E., Lin, Y., Lo, S L</w:t>
      </w:r>
      <w:r w:rsidR="007229E0">
        <w:rPr>
          <w:rFonts w:ascii="Arial" w:hAnsi="Arial" w:cs="Arial"/>
          <w:color w:val="000000"/>
          <w:sz w:val="20"/>
          <w:szCs w:val="20"/>
        </w:rPr>
        <w:t xml:space="preserve">., </w:t>
      </w:r>
      <w:proofErr w:type="spellStart"/>
      <w:r w:rsidR="007229E0">
        <w:rPr>
          <w:rFonts w:ascii="Arial" w:hAnsi="Arial" w:cs="Arial"/>
          <w:color w:val="000000"/>
          <w:sz w:val="20"/>
          <w:szCs w:val="20"/>
        </w:rPr>
        <w:t>Danovitch</w:t>
      </w:r>
      <w:proofErr w:type="spellEnd"/>
      <w:r w:rsidR="007229E0">
        <w:rPr>
          <w:rFonts w:ascii="Arial" w:hAnsi="Arial" w:cs="Arial"/>
          <w:color w:val="000000"/>
          <w:sz w:val="20"/>
          <w:szCs w:val="20"/>
        </w:rPr>
        <w:t xml:space="preserve">, J H. and Moser, J S. (2017) Neural evidence for enhanced attention to mistakes </w:t>
      </w:r>
      <w:r w:rsidR="00E80AF5">
        <w:rPr>
          <w:rFonts w:ascii="Arial" w:hAnsi="Arial" w:cs="Arial"/>
          <w:color w:val="000000"/>
          <w:sz w:val="20"/>
          <w:szCs w:val="20"/>
        </w:rPr>
        <w:t xml:space="preserve">among school-aged children with a growth mindset. </w:t>
      </w:r>
      <w:r w:rsidR="00E80AF5">
        <w:rPr>
          <w:rFonts w:ascii="Arial" w:hAnsi="Arial" w:cs="Arial"/>
          <w:i/>
          <w:color w:val="000000"/>
          <w:sz w:val="20"/>
          <w:szCs w:val="20"/>
        </w:rPr>
        <w:t>Developmenta</w:t>
      </w:r>
      <w:r w:rsidR="00D74B06">
        <w:rPr>
          <w:rFonts w:ascii="Arial" w:hAnsi="Arial" w:cs="Arial"/>
          <w:i/>
          <w:color w:val="000000"/>
          <w:sz w:val="20"/>
          <w:szCs w:val="20"/>
        </w:rPr>
        <w:t>l Cognitive Neuroscience</w:t>
      </w:r>
      <w:r w:rsidR="00D74B06">
        <w:rPr>
          <w:rFonts w:ascii="Arial" w:hAnsi="Arial" w:cs="Arial"/>
          <w:color w:val="000000"/>
          <w:sz w:val="20"/>
          <w:szCs w:val="20"/>
        </w:rPr>
        <w:t>, 24, pp 42-50</w:t>
      </w:r>
    </w:p>
    <w:p w14:paraId="3302EDA0" w14:textId="77EC3402" w:rsidR="00082F78" w:rsidRDefault="00082F78" w:rsidP="00F04DC5">
      <w:pPr>
        <w:spacing w:after="0" w:line="240" w:lineRule="auto"/>
        <w:rPr>
          <w:rFonts w:ascii="Arial" w:hAnsi="Arial" w:cs="Arial"/>
          <w:color w:val="000000"/>
          <w:sz w:val="20"/>
          <w:szCs w:val="20"/>
        </w:rPr>
      </w:pPr>
    </w:p>
    <w:p w14:paraId="3B9430EE" w14:textId="3ED2E237" w:rsidR="00163020" w:rsidRPr="002F4AAC" w:rsidRDefault="00163020" w:rsidP="00F04DC5">
      <w:pPr>
        <w:spacing w:after="0" w:line="240" w:lineRule="auto"/>
        <w:rPr>
          <w:rFonts w:ascii="Arial" w:hAnsi="Arial" w:cs="Arial"/>
          <w:color w:val="000000"/>
          <w:sz w:val="20"/>
          <w:szCs w:val="20"/>
        </w:rPr>
      </w:pPr>
      <w:r>
        <w:rPr>
          <w:rFonts w:ascii="Arial" w:hAnsi="Arial" w:cs="Arial"/>
          <w:color w:val="000000"/>
          <w:sz w:val="20"/>
          <w:szCs w:val="20"/>
        </w:rPr>
        <w:t xml:space="preserve">Sinclair, </w:t>
      </w:r>
      <w:r w:rsidR="00F465E5">
        <w:rPr>
          <w:rFonts w:ascii="Arial" w:hAnsi="Arial" w:cs="Arial"/>
          <w:color w:val="000000"/>
          <w:sz w:val="20"/>
          <w:szCs w:val="20"/>
        </w:rPr>
        <w:t xml:space="preserve">J </w:t>
      </w:r>
      <w:proofErr w:type="spellStart"/>
      <w:r w:rsidR="00F465E5">
        <w:rPr>
          <w:rFonts w:ascii="Arial" w:hAnsi="Arial" w:cs="Arial"/>
          <w:color w:val="000000"/>
          <w:sz w:val="20"/>
          <w:szCs w:val="20"/>
        </w:rPr>
        <w:t>McH</w:t>
      </w:r>
      <w:proofErr w:type="spellEnd"/>
      <w:r w:rsidR="00F465E5">
        <w:rPr>
          <w:rFonts w:ascii="Arial" w:hAnsi="Arial" w:cs="Arial"/>
          <w:color w:val="000000"/>
          <w:sz w:val="20"/>
          <w:szCs w:val="20"/>
        </w:rPr>
        <w:t xml:space="preserve">. and </w:t>
      </w:r>
      <w:proofErr w:type="spellStart"/>
      <w:r w:rsidR="00F465E5">
        <w:rPr>
          <w:rFonts w:ascii="Arial" w:hAnsi="Arial" w:cs="Arial"/>
          <w:color w:val="000000"/>
          <w:sz w:val="20"/>
          <w:szCs w:val="20"/>
        </w:rPr>
        <w:t>Coulthard</w:t>
      </w:r>
      <w:proofErr w:type="spellEnd"/>
      <w:r w:rsidR="00F465E5">
        <w:rPr>
          <w:rFonts w:ascii="Arial" w:hAnsi="Arial" w:cs="Arial"/>
          <w:color w:val="000000"/>
          <w:sz w:val="20"/>
          <w:szCs w:val="20"/>
        </w:rPr>
        <w:t xml:space="preserve"> R M. (1975) </w:t>
      </w:r>
      <w:r w:rsidR="00F465E5">
        <w:rPr>
          <w:rFonts w:ascii="Arial" w:hAnsi="Arial" w:cs="Arial"/>
          <w:i/>
          <w:color w:val="000000"/>
          <w:sz w:val="20"/>
          <w:szCs w:val="20"/>
        </w:rPr>
        <w:t>Towards an Analysis</w:t>
      </w:r>
      <w:r w:rsidR="002F4AAC">
        <w:rPr>
          <w:rFonts w:ascii="Arial" w:hAnsi="Arial" w:cs="Arial"/>
          <w:i/>
          <w:color w:val="000000"/>
          <w:sz w:val="20"/>
          <w:szCs w:val="20"/>
        </w:rPr>
        <w:t xml:space="preserve"> of Discourse. The English used by teachers and pupils</w:t>
      </w:r>
      <w:r w:rsidR="008355BD">
        <w:rPr>
          <w:rFonts w:ascii="Arial" w:hAnsi="Arial" w:cs="Arial"/>
          <w:color w:val="000000"/>
          <w:sz w:val="20"/>
          <w:szCs w:val="20"/>
        </w:rPr>
        <w:t>. London: Oxford University Press, pp</w:t>
      </w:r>
      <w:r w:rsidR="00E26859">
        <w:rPr>
          <w:rFonts w:ascii="Arial" w:hAnsi="Arial" w:cs="Arial"/>
          <w:color w:val="000000"/>
          <w:sz w:val="20"/>
          <w:szCs w:val="20"/>
        </w:rPr>
        <w:t xml:space="preserve"> 15-18</w:t>
      </w:r>
    </w:p>
    <w:p w14:paraId="2CE38D9D" w14:textId="77777777" w:rsidR="00163020" w:rsidRDefault="00163020" w:rsidP="00F04DC5">
      <w:pPr>
        <w:spacing w:after="0" w:line="240" w:lineRule="auto"/>
        <w:rPr>
          <w:rFonts w:ascii="Arial" w:hAnsi="Arial" w:cs="Arial"/>
          <w:color w:val="000000"/>
          <w:sz w:val="20"/>
          <w:szCs w:val="20"/>
        </w:rPr>
      </w:pPr>
    </w:p>
    <w:p w14:paraId="7CA4CAC2" w14:textId="07C5CA92" w:rsidR="00AE36F8" w:rsidRPr="00972F4A" w:rsidRDefault="005B6790" w:rsidP="00F04DC5">
      <w:pPr>
        <w:spacing w:after="0" w:line="240" w:lineRule="auto"/>
        <w:rPr>
          <w:rFonts w:ascii="Arial" w:hAnsi="Arial" w:cs="Arial"/>
          <w:color w:val="000000"/>
          <w:sz w:val="20"/>
          <w:szCs w:val="20"/>
        </w:rPr>
      </w:pPr>
      <w:r>
        <w:rPr>
          <w:rFonts w:ascii="Arial" w:hAnsi="Arial" w:cs="Arial"/>
          <w:color w:val="000000"/>
          <w:sz w:val="20"/>
          <w:szCs w:val="20"/>
        </w:rPr>
        <w:t xml:space="preserve">Skinner, </w:t>
      </w:r>
      <w:r w:rsidR="00AE36F8">
        <w:rPr>
          <w:rFonts w:ascii="Arial" w:hAnsi="Arial" w:cs="Arial"/>
          <w:color w:val="000000"/>
          <w:sz w:val="20"/>
          <w:szCs w:val="20"/>
        </w:rPr>
        <w:t xml:space="preserve">D. (2010) </w:t>
      </w:r>
      <w:r w:rsidR="00AE36F8">
        <w:rPr>
          <w:rFonts w:ascii="Arial" w:hAnsi="Arial" w:cs="Arial"/>
          <w:i/>
          <w:color w:val="000000"/>
          <w:sz w:val="20"/>
          <w:szCs w:val="20"/>
        </w:rPr>
        <w:t>Effective Teaching and Learning in Practice</w:t>
      </w:r>
      <w:r w:rsidR="004B11A3">
        <w:rPr>
          <w:rFonts w:ascii="Arial" w:hAnsi="Arial" w:cs="Arial"/>
          <w:color w:val="000000"/>
          <w:sz w:val="20"/>
          <w:szCs w:val="20"/>
        </w:rPr>
        <w:t>. London: Continuum International Publis</w:t>
      </w:r>
      <w:r w:rsidR="00A16056">
        <w:rPr>
          <w:rFonts w:ascii="Arial" w:hAnsi="Arial" w:cs="Arial"/>
          <w:color w:val="000000"/>
          <w:sz w:val="20"/>
          <w:szCs w:val="20"/>
        </w:rPr>
        <w:t>hing Group</w:t>
      </w:r>
      <w:r w:rsidR="00164DC7">
        <w:rPr>
          <w:rFonts w:ascii="Arial" w:hAnsi="Arial" w:cs="Arial"/>
          <w:color w:val="000000"/>
          <w:sz w:val="20"/>
          <w:szCs w:val="20"/>
        </w:rPr>
        <w:t>, pp 71</w:t>
      </w:r>
    </w:p>
    <w:p w14:paraId="759FDD5F" w14:textId="77777777" w:rsidR="00AE36F8" w:rsidRPr="00AE36F8" w:rsidRDefault="00AE36F8" w:rsidP="00F04DC5">
      <w:pPr>
        <w:spacing w:after="0" w:line="240" w:lineRule="auto"/>
        <w:rPr>
          <w:rFonts w:ascii="Arial" w:hAnsi="Arial" w:cs="Arial"/>
          <w:i/>
          <w:color w:val="000000"/>
          <w:sz w:val="20"/>
          <w:szCs w:val="20"/>
        </w:rPr>
      </w:pPr>
    </w:p>
    <w:p w14:paraId="75571B74" w14:textId="64D3D2F9" w:rsidR="00BB4C0C" w:rsidRDefault="00BB4C0C" w:rsidP="00F04DC5">
      <w:pPr>
        <w:spacing w:after="0" w:line="240" w:lineRule="auto"/>
        <w:rPr>
          <w:rFonts w:ascii="Arial" w:hAnsi="Arial" w:cs="Arial"/>
          <w:color w:val="000000"/>
          <w:sz w:val="20"/>
          <w:szCs w:val="20"/>
        </w:rPr>
      </w:pPr>
      <w:r>
        <w:rPr>
          <w:rFonts w:ascii="Arial" w:hAnsi="Arial" w:cs="Arial"/>
          <w:color w:val="000000"/>
          <w:sz w:val="20"/>
          <w:szCs w:val="20"/>
        </w:rPr>
        <w:t>Massey, E. and Goodman, S. (</w:t>
      </w:r>
      <w:r w:rsidR="00FC5053">
        <w:rPr>
          <w:rFonts w:ascii="Arial" w:hAnsi="Arial" w:cs="Arial"/>
          <w:color w:val="000000"/>
          <w:sz w:val="20"/>
          <w:szCs w:val="20"/>
        </w:rPr>
        <w:t>20</w:t>
      </w:r>
      <w:r w:rsidR="00666B20">
        <w:rPr>
          <w:rFonts w:ascii="Arial" w:hAnsi="Arial" w:cs="Arial"/>
          <w:color w:val="000000"/>
          <w:sz w:val="20"/>
          <w:szCs w:val="20"/>
        </w:rPr>
        <w:t>07</w:t>
      </w:r>
      <w:r w:rsidR="00FC5053">
        <w:rPr>
          <w:rFonts w:ascii="Arial" w:hAnsi="Arial" w:cs="Arial"/>
          <w:color w:val="000000"/>
          <w:sz w:val="20"/>
          <w:szCs w:val="20"/>
        </w:rPr>
        <w:t xml:space="preserve">) </w:t>
      </w:r>
      <w:r w:rsidR="00903927">
        <w:rPr>
          <w:rFonts w:ascii="Arial" w:hAnsi="Arial" w:cs="Arial"/>
          <w:i/>
          <w:color w:val="000000"/>
          <w:sz w:val="20"/>
          <w:szCs w:val="20"/>
        </w:rPr>
        <w:t xml:space="preserve">The Little Book of Mark Making: Little Books </w:t>
      </w:r>
      <w:r w:rsidR="00FF5BDC">
        <w:rPr>
          <w:rFonts w:ascii="Arial" w:hAnsi="Arial" w:cs="Arial"/>
          <w:i/>
          <w:color w:val="000000"/>
          <w:sz w:val="20"/>
          <w:szCs w:val="20"/>
        </w:rPr>
        <w:t>With Big Ideas</w:t>
      </w:r>
      <w:r w:rsidR="00666B20">
        <w:rPr>
          <w:rFonts w:ascii="Arial" w:hAnsi="Arial" w:cs="Arial"/>
          <w:color w:val="000000"/>
          <w:sz w:val="20"/>
          <w:szCs w:val="20"/>
        </w:rPr>
        <w:t xml:space="preserve">. London: </w:t>
      </w:r>
      <w:r w:rsidR="0029792A">
        <w:rPr>
          <w:rFonts w:ascii="Arial" w:hAnsi="Arial" w:cs="Arial"/>
          <w:color w:val="000000"/>
          <w:sz w:val="20"/>
          <w:szCs w:val="20"/>
        </w:rPr>
        <w:t>Featherstone Education</w:t>
      </w:r>
      <w:r w:rsidR="00C74852">
        <w:rPr>
          <w:rFonts w:ascii="Arial" w:hAnsi="Arial" w:cs="Arial"/>
          <w:color w:val="000000"/>
          <w:sz w:val="20"/>
          <w:szCs w:val="20"/>
        </w:rPr>
        <w:t>, pp 6</w:t>
      </w:r>
    </w:p>
    <w:p w14:paraId="2D51818F" w14:textId="2AE42264" w:rsidR="00811985" w:rsidRDefault="00811985" w:rsidP="00F04DC5">
      <w:pPr>
        <w:spacing w:after="0" w:line="240" w:lineRule="auto"/>
        <w:rPr>
          <w:rFonts w:ascii="Arial" w:hAnsi="Arial" w:cs="Arial"/>
          <w:color w:val="000000"/>
          <w:sz w:val="20"/>
          <w:szCs w:val="20"/>
        </w:rPr>
      </w:pPr>
    </w:p>
    <w:p w14:paraId="0D082F32" w14:textId="32B65F60" w:rsidR="00811985" w:rsidRPr="007E6526" w:rsidRDefault="00811985" w:rsidP="00F04DC5">
      <w:pPr>
        <w:spacing w:after="0" w:line="240" w:lineRule="auto"/>
        <w:rPr>
          <w:rFonts w:ascii="Arial" w:hAnsi="Arial" w:cs="Arial"/>
          <w:color w:val="000000"/>
          <w:sz w:val="20"/>
          <w:szCs w:val="20"/>
        </w:rPr>
      </w:pPr>
      <w:proofErr w:type="spellStart"/>
      <w:r>
        <w:rPr>
          <w:rFonts w:ascii="Arial" w:hAnsi="Arial" w:cs="Arial"/>
          <w:color w:val="000000"/>
          <w:sz w:val="20"/>
          <w:szCs w:val="20"/>
        </w:rPr>
        <w:t>Vygotsk</w:t>
      </w:r>
      <w:r w:rsidR="007E6526">
        <w:rPr>
          <w:rFonts w:ascii="Arial" w:hAnsi="Arial" w:cs="Arial"/>
          <w:color w:val="000000"/>
          <w:sz w:val="20"/>
          <w:szCs w:val="20"/>
        </w:rPr>
        <w:t>ii</w:t>
      </w:r>
      <w:proofErr w:type="spellEnd"/>
      <w:r w:rsidR="007E6526">
        <w:rPr>
          <w:rFonts w:ascii="Arial" w:hAnsi="Arial" w:cs="Arial"/>
          <w:color w:val="000000"/>
          <w:sz w:val="20"/>
          <w:szCs w:val="20"/>
        </w:rPr>
        <w:t xml:space="preserve">, LV (1965) </w:t>
      </w:r>
      <w:r w:rsidR="007E6526">
        <w:rPr>
          <w:rFonts w:ascii="Arial" w:hAnsi="Arial" w:cs="Arial"/>
          <w:i/>
          <w:color w:val="000000"/>
          <w:sz w:val="20"/>
          <w:szCs w:val="20"/>
        </w:rPr>
        <w:t>Thought and Language</w:t>
      </w:r>
      <w:r w:rsidR="00B34686">
        <w:rPr>
          <w:rFonts w:ascii="Arial" w:hAnsi="Arial" w:cs="Arial"/>
          <w:color w:val="000000"/>
          <w:sz w:val="20"/>
          <w:szCs w:val="20"/>
        </w:rPr>
        <w:t xml:space="preserve">. </w:t>
      </w:r>
      <w:r w:rsidR="00513484">
        <w:rPr>
          <w:rFonts w:ascii="Arial" w:hAnsi="Arial" w:cs="Arial"/>
          <w:color w:val="000000"/>
          <w:sz w:val="20"/>
          <w:szCs w:val="20"/>
        </w:rPr>
        <w:t>Cambridge: M.I.T, pp xi</w:t>
      </w:r>
    </w:p>
    <w:p w14:paraId="0C190AE0" w14:textId="77777777" w:rsidR="00F04DC5" w:rsidRDefault="00F04DC5" w:rsidP="00F04DC5">
      <w:pPr>
        <w:spacing w:after="0" w:line="240" w:lineRule="auto"/>
        <w:rPr>
          <w:rFonts w:ascii="Arial" w:hAnsi="Arial" w:cs="Arial"/>
          <w:color w:val="000000"/>
          <w:sz w:val="20"/>
          <w:szCs w:val="20"/>
        </w:rPr>
      </w:pPr>
    </w:p>
    <w:p w14:paraId="37C2F52A" w14:textId="77777777" w:rsidR="00F04DC5" w:rsidRDefault="00F04DC5" w:rsidP="00F04DC5">
      <w:pPr>
        <w:spacing w:after="0" w:line="240" w:lineRule="auto"/>
        <w:rPr>
          <w:rFonts w:ascii="Arial" w:hAnsi="Arial" w:cs="Arial"/>
          <w:color w:val="000000"/>
          <w:sz w:val="20"/>
          <w:szCs w:val="20"/>
        </w:rPr>
      </w:pPr>
      <w:r>
        <w:rPr>
          <w:rFonts w:ascii="Arial" w:hAnsi="Arial" w:cs="Arial"/>
          <w:color w:val="000000"/>
          <w:sz w:val="20"/>
          <w:szCs w:val="20"/>
        </w:rPr>
        <w:t xml:space="preserve">Vygotsky, L. (1978). </w:t>
      </w:r>
      <w:r>
        <w:rPr>
          <w:rFonts w:ascii="&amp;quot" w:hAnsi="&amp;quot"/>
          <w:i/>
          <w:iCs/>
          <w:color w:val="000000"/>
          <w:sz w:val="20"/>
          <w:szCs w:val="20"/>
        </w:rPr>
        <w:t>Mind in Society: The Development of Higher Psychological Processes</w:t>
      </w:r>
      <w:r>
        <w:rPr>
          <w:rFonts w:ascii="Arial" w:hAnsi="Arial" w:cs="Arial"/>
          <w:color w:val="000000"/>
          <w:sz w:val="20"/>
          <w:szCs w:val="20"/>
        </w:rPr>
        <w:t>. United States of America, p.86.</w:t>
      </w:r>
    </w:p>
    <w:p w14:paraId="4D44122A" w14:textId="32231A5D" w:rsidR="00F04DC5" w:rsidRDefault="00F04DC5" w:rsidP="00F04DC5">
      <w:pPr>
        <w:spacing w:after="0" w:line="240" w:lineRule="auto"/>
        <w:rPr>
          <w:rFonts w:ascii="Arial" w:hAnsi="Arial" w:cs="Arial"/>
          <w:color w:val="000000"/>
          <w:sz w:val="20"/>
          <w:szCs w:val="20"/>
        </w:rPr>
      </w:pPr>
    </w:p>
    <w:p w14:paraId="07B73350" w14:textId="75EC1445" w:rsidR="00EC39A8" w:rsidRPr="00D350F7" w:rsidRDefault="00EC39A8" w:rsidP="00F04DC5">
      <w:pPr>
        <w:spacing w:after="0" w:line="240" w:lineRule="auto"/>
        <w:rPr>
          <w:rFonts w:ascii="Arial" w:hAnsi="Arial" w:cs="Arial"/>
          <w:color w:val="000000"/>
          <w:sz w:val="20"/>
          <w:szCs w:val="20"/>
        </w:rPr>
      </w:pPr>
      <w:r>
        <w:rPr>
          <w:rFonts w:ascii="Arial" w:hAnsi="Arial" w:cs="Arial"/>
          <w:color w:val="000000"/>
          <w:sz w:val="20"/>
          <w:szCs w:val="20"/>
        </w:rPr>
        <w:t xml:space="preserve">Jordan, A., </w:t>
      </w:r>
      <w:proofErr w:type="spellStart"/>
      <w:r w:rsidR="00571586">
        <w:rPr>
          <w:rFonts w:ascii="Arial" w:hAnsi="Arial" w:cs="Arial"/>
          <w:color w:val="000000"/>
          <w:sz w:val="20"/>
          <w:szCs w:val="20"/>
        </w:rPr>
        <w:t>Calile</w:t>
      </w:r>
      <w:proofErr w:type="spellEnd"/>
      <w:r w:rsidR="00571586">
        <w:rPr>
          <w:rFonts w:ascii="Arial" w:hAnsi="Arial" w:cs="Arial"/>
          <w:color w:val="000000"/>
          <w:sz w:val="20"/>
          <w:szCs w:val="20"/>
        </w:rPr>
        <w:t xml:space="preserve"> O. and Stack, A. (2008)</w:t>
      </w:r>
      <w:r w:rsidR="00E944CF">
        <w:rPr>
          <w:rFonts w:ascii="Arial" w:hAnsi="Arial" w:cs="Arial"/>
          <w:color w:val="000000"/>
          <w:sz w:val="20"/>
          <w:szCs w:val="20"/>
        </w:rPr>
        <w:t xml:space="preserve"> </w:t>
      </w:r>
      <w:r w:rsidR="00E944CF">
        <w:rPr>
          <w:rFonts w:ascii="Arial" w:hAnsi="Arial" w:cs="Arial"/>
          <w:i/>
          <w:color w:val="000000"/>
          <w:sz w:val="20"/>
          <w:szCs w:val="20"/>
        </w:rPr>
        <w:t>Approaches To Learning: A Guide For Teachers:</w:t>
      </w:r>
      <w:r w:rsidR="00D350F7">
        <w:rPr>
          <w:rFonts w:ascii="Arial" w:hAnsi="Arial" w:cs="Arial"/>
          <w:i/>
          <w:color w:val="000000"/>
          <w:sz w:val="20"/>
          <w:szCs w:val="20"/>
        </w:rPr>
        <w:t xml:space="preserve"> A Guide for Educators</w:t>
      </w:r>
      <w:r w:rsidR="00D350F7">
        <w:rPr>
          <w:rFonts w:ascii="Arial" w:hAnsi="Arial" w:cs="Arial"/>
          <w:color w:val="000000"/>
          <w:sz w:val="20"/>
          <w:szCs w:val="20"/>
        </w:rPr>
        <w:t>. Berkshire</w:t>
      </w:r>
      <w:r w:rsidR="0088284C">
        <w:rPr>
          <w:rFonts w:ascii="Arial" w:hAnsi="Arial" w:cs="Arial"/>
          <w:color w:val="000000"/>
          <w:sz w:val="20"/>
          <w:szCs w:val="20"/>
        </w:rPr>
        <w:t>: Open University Press</w:t>
      </w:r>
      <w:r w:rsidR="005D60D4">
        <w:rPr>
          <w:rFonts w:ascii="Arial" w:hAnsi="Arial" w:cs="Arial"/>
          <w:color w:val="000000"/>
          <w:sz w:val="20"/>
          <w:szCs w:val="20"/>
        </w:rPr>
        <w:t>, pp 57, 119-120</w:t>
      </w:r>
    </w:p>
    <w:p w14:paraId="24F3E497" w14:textId="77777777" w:rsidR="00F04DC5" w:rsidRDefault="00F04DC5" w:rsidP="00F04DC5">
      <w:pPr>
        <w:spacing w:after="0" w:line="240" w:lineRule="auto"/>
        <w:rPr>
          <w:rStyle w:val="selectable"/>
          <w:rFonts w:ascii="&amp;quot" w:hAnsi="&amp;quot"/>
          <w:sz w:val="20"/>
          <w:szCs w:val="20"/>
        </w:rPr>
      </w:pPr>
    </w:p>
    <w:p w14:paraId="3B952C27" w14:textId="77777777" w:rsidR="00F04DC5" w:rsidRDefault="00F04DC5" w:rsidP="00F04DC5">
      <w:pPr>
        <w:spacing w:after="0" w:line="240" w:lineRule="auto"/>
        <w:rPr>
          <w:rFonts w:ascii="Arial" w:hAnsi="Arial" w:cs="Arial"/>
          <w:color w:val="000000"/>
          <w:sz w:val="20"/>
          <w:szCs w:val="20"/>
        </w:rPr>
      </w:pPr>
      <w:r>
        <w:rPr>
          <w:rFonts w:ascii="Arial" w:hAnsi="Arial" w:cs="Arial"/>
          <w:color w:val="000000"/>
          <w:sz w:val="20"/>
          <w:szCs w:val="20"/>
        </w:rPr>
        <w:lastRenderedPageBreak/>
        <w:t xml:space="preserve">Webb, N. and </w:t>
      </w:r>
      <w:proofErr w:type="spellStart"/>
      <w:r>
        <w:rPr>
          <w:rFonts w:ascii="Arial" w:hAnsi="Arial" w:cs="Arial"/>
          <w:color w:val="000000"/>
          <w:sz w:val="20"/>
          <w:szCs w:val="20"/>
        </w:rPr>
        <w:t>Mastergeorge</w:t>
      </w:r>
      <w:proofErr w:type="spellEnd"/>
      <w:r>
        <w:rPr>
          <w:rFonts w:ascii="Arial" w:hAnsi="Arial" w:cs="Arial"/>
          <w:color w:val="000000"/>
          <w:sz w:val="20"/>
          <w:szCs w:val="20"/>
        </w:rPr>
        <w:t xml:space="preserve">, A. (2003). Promoting effective helping </w:t>
      </w:r>
      <w:proofErr w:type="spellStart"/>
      <w:r>
        <w:rPr>
          <w:rFonts w:ascii="Arial" w:hAnsi="Arial" w:cs="Arial"/>
          <w:color w:val="000000"/>
          <w:sz w:val="20"/>
          <w:szCs w:val="20"/>
        </w:rPr>
        <w:t>behavior</w:t>
      </w:r>
      <w:proofErr w:type="spellEnd"/>
      <w:r>
        <w:rPr>
          <w:rFonts w:ascii="Arial" w:hAnsi="Arial" w:cs="Arial"/>
          <w:color w:val="000000"/>
          <w:sz w:val="20"/>
          <w:szCs w:val="20"/>
        </w:rPr>
        <w:t xml:space="preserve"> in peer-directed groups. </w:t>
      </w:r>
      <w:r>
        <w:rPr>
          <w:rFonts w:ascii="&amp;quot" w:hAnsi="&amp;quot"/>
          <w:i/>
          <w:iCs/>
          <w:color w:val="000000"/>
          <w:sz w:val="20"/>
          <w:szCs w:val="20"/>
        </w:rPr>
        <w:t>International Journal of Educational Research</w:t>
      </w:r>
      <w:r>
        <w:rPr>
          <w:rFonts w:ascii="Arial" w:hAnsi="Arial" w:cs="Arial"/>
          <w:color w:val="000000"/>
          <w:sz w:val="20"/>
          <w:szCs w:val="20"/>
        </w:rPr>
        <w:t>, 39(1-2), pp.73-97.</w:t>
      </w:r>
    </w:p>
    <w:p w14:paraId="64CBAFF4" w14:textId="5F48C98E" w:rsidR="005C61D2" w:rsidRDefault="005C61D2"/>
    <w:p w14:paraId="06692AC7" w14:textId="7E1A0DA5" w:rsidR="000C1393" w:rsidRDefault="009963E1">
      <w:r>
        <w:t>Christmas, D., Kudzai, C. and Josiah, M. (2013) Vygots</w:t>
      </w:r>
      <w:r w:rsidR="008240DB">
        <w:t xml:space="preserve">ky’s Zone of Proximal Development Theory: What are its Implications </w:t>
      </w:r>
      <w:r w:rsidR="0022568B">
        <w:t>for Mathematical Teaching?</w:t>
      </w:r>
      <w:r w:rsidR="00871D95">
        <w:rPr>
          <w:i/>
        </w:rPr>
        <w:t xml:space="preserve"> Greener Journal of Social Sciences</w:t>
      </w:r>
      <w:r w:rsidR="00871D95">
        <w:t xml:space="preserve">, </w:t>
      </w:r>
      <w:r w:rsidR="00622953">
        <w:t>3(7), pp 371-377</w:t>
      </w:r>
    </w:p>
    <w:p w14:paraId="488A6761" w14:textId="1B98A3E3" w:rsidR="00E43F6D" w:rsidRDefault="00E43F6D">
      <w:proofErr w:type="spellStart"/>
      <w:r>
        <w:t>Vanchevsky</w:t>
      </w:r>
      <w:proofErr w:type="spellEnd"/>
      <w:r w:rsidR="00A8440F">
        <w:t xml:space="preserve">, M A. (2006) </w:t>
      </w:r>
      <w:r w:rsidR="00A8440F">
        <w:rPr>
          <w:i/>
        </w:rPr>
        <w:t>Frontiers in Cognitive Psychology</w:t>
      </w:r>
      <w:r w:rsidR="00A926D6">
        <w:t>. New York</w:t>
      </w:r>
      <w:r w:rsidR="000C2394">
        <w:t>: Nova Science Publishers</w:t>
      </w:r>
      <w:r w:rsidR="00BD177C">
        <w:t>, pp 31</w:t>
      </w:r>
    </w:p>
    <w:p w14:paraId="49D3F216" w14:textId="54BE15D0" w:rsidR="00507271" w:rsidRPr="00CA2226" w:rsidRDefault="00507271">
      <w:r>
        <w:t>Wang, D., Jiang, J., Liu, Y., Xu, Y.</w:t>
      </w:r>
      <w:r w:rsidR="00CA2226">
        <w:t xml:space="preserve"> and Liu, J. (2017) Student responses to classroom thermal environments in rural primary and secondary schools in winter. </w:t>
      </w:r>
      <w:r w:rsidR="00CA2226">
        <w:rPr>
          <w:i/>
        </w:rPr>
        <w:t>Building and Environment</w:t>
      </w:r>
      <w:r w:rsidR="00CA2226">
        <w:t xml:space="preserve">, </w:t>
      </w:r>
      <w:r w:rsidR="00792525">
        <w:t>115, pp 104-117</w:t>
      </w:r>
    </w:p>
    <w:p w14:paraId="19648026" w14:textId="479983EE" w:rsidR="0077652C" w:rsidRDefault="0077652C">
      <w:r>
        <w:t xml:space="preserve">Marks, R. </w:t>
      </w:r>
      <w:r w:rsidR="00253EDB">
        <w:t xml:space="preserve">(2016) </w:t>
      </w:r>
      <w:r w:rsidR="00253EDB">
        <w:rPr>
          <w:i/>
        </w:rPr>
        <w:t>Ability-grouping in Primary Schools: Case Studies and Critical Debates</w:t>
      </w:r>
      <w:r w:rsidR="00DE7B61">
        <w:t xml:space="preserve">. </w:t>
      </w:r>
      <w:r w:rsidR="00A8482A">
        <w:t xml:space="preserve">Northwich: Critical </w:t>
      </w:r>
      <w:r w:rsidR="00853E3D">
        <w:t>Publishing Ltd</w:t>
      </w:r>
    </w:p>
    <w:p w14:paraId="3D90942E" w14:textId="52F04C3F" w:rsidR="008E5C3D" w:rsidRDefault="00BB1A91">
      <w:proofErr w:type="spellStart"/>
      <w:r>
        <w:t>Muhonen</w:t>
      </w:r>
      <w:proofErr w:type="spellEnd"/>
      <w:r>
        <w:t xml:space="preserve">, H., </w:t>
      </w:r>
      <w:proofErr w:type="spellStart"/>
      <w:r w:rsidR="00234CFA">
        <w:t>Rasku-Puttonen</w:t>
      </w:r>
      <w:proofErr w:type="spellEnd"/>
      <w:r w:rsidR="00234CFA">
        <w:t xml:space="preserve">, H., </w:t>
      </w:r>
      <w:proofErr w:type="spellStart"/>
      <w:r w:rsidR="00234CFA">
        <w:t>Pakarinen</w:t>
      </w:r>
      <w:proofErr w:type="spellEnd"/>
      <w:r w:rsidR="00234CFA">
        <w:t xml:space="preserve">, E., </w:t>
      </w:r>
      <w:proofErr w:type="spellStart"/>
      <w:r w:rsidR="00234CFA">
        <w:t>Poi</w:t>
      </w:r>
      <w:r w:rsidR="00C94EF3">
        <w:t>kkeus</w:t>
      </w:r>
      <w:proofErr w:type="spellEnd"/>
      <w:r w:rsidR="00C94EF3">
        <w:t xml:space="preserve"> AM. and </w:t>
      </w:r>
      <w:proofErr w:type="spellStart"/>
      <w:r w:rsidR="00C94EF3">
        <w:t>Le</w:t>
      </w:r>
      <w:r w:rsidR="00C16A01">
        <w:t>rkkanen</w:t>
      </w:r>
      <w:proofErr w:type="spellEnd"/>
      <w:r w:rsidR="00C16A01">
        <w:t>, K. (2016) Scaffolding through dialogic teaching in early school classrooms</w:t>
      </w:r>
      <w:r w:rsidR="008E5C3D">
        <w:t xml:space="preserve">. </w:t>
      </w:r>
      <w:r w:rsidR="008E5C3D">
        <w:rPr>
          <w:i/>
        </w:rPr>
        <w:t>Teaching and Teacher Education</w:t>
      </w:r>
      <w:r w:rsidR="008E5C3D">
        <w:t>, 55, pp 143-154</w:t>
      </w:r>
    </w:p>
    <w:p w14:paraId="35769865" w14:textId="7DC52F37" w:rsidR="00323281" w:rsidRDefault="00FA78BF">
      <w:r>
        <w:t xml:space="preserve">Van de Pol, J., </w:t>
      </w:r>
      <w:proofErr w:type="spellStart"/>
      <w:r w:rsidR="00E26A8D">
        <w:t>Volman</w:t>
      </w:r>
      <w:proofErr w:type="spellEnd"/>
      <w:r w:rsidR="00E26A8D">
        <w:t xml:space="preserve">, </w:t>
      </w:r>
      <w:r w:rsidR="00485A36">
        <w:t xml:space="preserve">M. and </w:t>
      </w:r>
      <w:proofErr w:type="spellStart"/>
      <w:r w:rsidR="00485A36">
        <w:t>Beishuizen</w:t>
      </w:r>
      <w:proofErr w:type="spellEnd"/>
      <w:r w:rsidR="00485A36">
        <w:t>, J (</w:t>
      </w:r>
      <w:r w:rsidR="002D13EC">
        <w:t xml:space="preserve">2010) Scaffolding in Teacher-Student Interaction: A </w:t>
      </w:r>
      <w:r w:rsidR="006162B4">
        <w:t xml:space="preserve">Decade of Research. </w:t>
      </w:r>
      <w:r w:rsidR="006162B4">
        <w:rPr>
          <w:i/>
        </w:rPr>
        <w:t>Educational Psychology Review</w:t>
      </w:r>
      <w:r w:rsidR="00F363E6">
        <w:t>, 22(3), pp 271-296</w:t>
      </w:r>
    </w:p>
    <w:p w14:paraId="6ACD0773" w14:textId="6148E59E" w:rsidR="0026356E" w:rsidRDefault="00296D86">
      <w:r>
        <w:t xml:space="preserve">Van de Pol, J., </w:t>
      </w:r>
      <w:proofErr w:type="spellStart"/>
      <w:r>
        <w:t>Volman</w:t>
      </w:r>
      <w:proofErr w:type="spellEnd"/>
      <w:r>
        <w:t xml:space="preserve">, M., Oort, F. and </w:t>
      </w:r>
      <w:proofErr w:type="spellStart"/>
      <w:r>
        <w:t>Beishuizen</w:t>
      </w:r>
      <w:proofErr w:type="spellEnd"/>
      <w:r>
        <w:t>, J (2015) The effects of scaffolding in the classroom: support contingency and student independent working time in relation to student achievement, task effort and appreciation of support</w:t>
      </w:r>
      <w:r w:rsidR="0061252D">
        <w:t xml:space="preserve">. </w:t>
      </w:r>
      <w:r w:rsidR="005173A6">
        <w:rPr>
          <w:i/>
        </w:rPr>
        <w:t>Instructional Science</w:t>
      </w:r>
      <w:r w:rsidR="005173A6">
        <w:t>, 43(5), pp 615-641</w:t>
      </w:r>
    </w:p>
    <w:p w14:paraId="449DD815" w14:textId="767776DE" w:rsidR="007A4605" w:rsidRDefault="007A4605"/>
    <w:p w14:paraId="6018094C" w14:textId="6AB907E2" w:rsidR="007A4605" w:rsidRDefault="007A4605">
      <w:r>
        <w:t>Website</w:t>
      </w:r>
    </w:p>
    <w:p w14:paraId="57705107" w14:textId="4AA656E4" w:rsidR="007A4605" w:rsidRPr="007A4605" w:rsidRDefault="007A4605">
      <w:r>
        <w:t xml:space="preserve">Donaldson G. (2015) </w:t>
      </w:r>
      <w:r w:rsidRPr="007A4605">
        <w:rPr>
          <w:i/>
        </w:rPr>
        <w:t>Successful Futures</w:t>
      </w:r>
      <w:r>
        <w:t xml:space="preserve">. Available at </w:t>
      </w:r>
      <w:hyperlink r:id="rId10" w:history="1">
        <w:r w:rsidR="006C1DC1" w:rsidRPr="00DA3323">
          <w:rPr>
            <w:rStyle w:val="Hyperlink"/>
          </w:rPr>
          <w:t>https://gov.wales/docs/dcells/publications/150225-successful-futures-en.pdf</w:t>
        </w:r>
      </w:hyperlink>
      <w:r w:rsidR="006C1DC1">
        <w:t>. Accessed on 14/10/2018</w:t>
      </w:r>
    </w:p>
    <w:p w14:paraId="1E29FAB4" w14:textId="3396242D" w:rsidR="005173A6" w:rsidRPr="005173A6" w:rsidRDefault="007659BC">
      <w:r>
        <w:t xml:space="preserve">United Nations Convention on the Rights of the Child </w:t>
      </w:r>
      <w:r w:rsidR="00BF28FF">
        <w:t xml:space="preserve">(1992). Available at </w:t>
      </w:r>
      <w:hyperlink r:id="rId11" w:history="1">
        <w:r w:rsidR="00BF28FF" w:rsidRPr="00DA3323">
          <w:rPr>
            <w:rStyle w:val="Hyperlink"/>
          </w:rPr>
          <w:t>https://www.unicef.org.uk/what-we-do/un-convention-child-rights/</w:t>
        </w:r>
      </w:hyperlink>
      <w:r w:rsidR="00BF28FF">
        <w:t>. Accessed on 10/10/2018</w:t>
      </w:r>
    </w:p>
    <w:p w14:paraId="213DA8A7" w14:textId="6255B885" w:rsidR="00F363E6" w:rsidRPr="006162B4" w:rsidRDefault="00966849">
      <w:r>
        <w:t>Digital Competence Framework</w:t>
      </w:r>
      <w:r w:rsidR="00AC31F0">
        <w:t xml:space="preserve"> (DCF)</w:t>
      </w:r>
      <w:r>
        <w:t xml:space="preserve"> (last updated 2018)</w:t>
      </w:r>
      <w:r w:rsidR="00AC31F0">
        <w:t xml:space="preserve">. Available at </w:t>
      </w:r>
      <w:hyperlink r:id="rId12" w:history="1">
        <w:r w:rsidR="00AC31F0" w:rsidRPr="00DA3323">
          <w:rPr>
            <w:rStyle w:val="Hyperlink"/>
          </w:rPr>
          <w:t>http://learning.gov.wales/resources/browse-all/digital-competence-framework/?lang=en</w:t>
        </w:r>
      </w:hyperlink>
      <w:r w:rsidR="00AC31F0">
        <w:t xml:space="preserve">. Accessed on </w:t>
      </w:r>
      <w:r w:rsidR="00807C86">
        <w:t>10/10/2018</w:t>
      </w:r>
    </w:p>
    <w:p w14:paraId="3BA3078C" w14:textId="4A8F7E5A" w:rsidR="001E2B12" w:rsidRDefault="001E2B12" w:rsidP="001E2B12">
      <w:pPr>
        <w:spacing w:after="0" w:line="240" w:lineRule="auto"/>
      </w:pPr>
      <w:r>
        <w:t>BERA (2018)</w:t>
      </w:r>
      <w:r>
        <w:t xml:space="preserve">. Available </w:t>
      </w:r>
      <w:r w:rsidR="006E0F2C">
        <w:t>at</w:t>
      </w:r>
      <w:r>
        <w:t xml:space="preserve"> </w:t>
      </w:r>
      <w:hyperlink r:id="rId13" w:history="1">
        <w:r w:rsidR="006E0F2C" w:rsidRPr="00625A83">
          <w:rPr>
            <w:rStyle w:val="Hyperlink"/>
          </w:rPr>
          <w:t>https://www.bera.ac.uk/wp-content/uploads/2018/06/BERA-Ethical-Guidelines-for-Educational-Research_4thE</w:t>
        </w:r>
        <w:r w:rsidR="006E0F2C" w:rsidRPr="00625A83">
          <w:rPr>
            <w:rStyle w:val="Hyperlink"/>
          </w:rPr>
          <w:t>d</w:t>
        </w:r>
        <w:r w:rsidR="006E0F2C" w:rsidRPr="00625A83">
          <w:rPr>
            <w:rStyle w:val="Hyperlink"/>
          </w:rPr>
          <w:t>n_2018.pdf?noredirect=1</w:t>
        </w:r>
      </w:hyperlink>
      <w:r w:rsidR="006E0F2C">
        <w:t xml:space="preserve">. Accessed on </w:t>
      </w:r>
      <w:r w:rsidR="002935DB">
        <w:t>08/10/18</w:t>
      </w:r>
    </w:p>
    <w:p w14:paraId="47730E7E" w14:textId="48A6C58C" w:rsidR="006E0F2C" w:rsidRDefault="006E0F2C" w:rsidP="001E2B12">
      <w:pPr>
        <w:spacing w:after="0" w:line="240" w:lineRule="auto"/>
      </w:pPr>
    </w:p>
    <w:p w14:paraId="665E5859" w14:textId="2B4B8D3E" w:rsidR="005E0BE7" w:rsidRDefault="00295875" w:rsidP="005E0BE7">
      <w:pPr>
        <w:spacing w:after="0" w:line="240" w:lineRule="auto"/>
        <w:rPr>
          <w:rStyle w:val="Hyperlink"/>
          <w:color w:val="auto"/>
        </w:rPr>
      </w:pPr>
      <w:r w:rsidRPr="005E0BE7">
        <w:t>Estyn Report (20</w:t>
      </w:r>
      <w:r w:rsidRPr="005E0BE7">
        <w:rPr>
          <w:highlight w:val="black"/>
        </w:rPr>
        <w:t>11</w:t>
      </w:r>
      <w:r w:rsidRPr="005E0BE7">
        <w:t>)</w:t>
      </w:r>
      <w:r w:rsidR="005E0BE7" w:rsidRPr="005E0BE7">
        <w:t xml:space="preserve">. Available at </w:t>
      </w:r>
      <w:hyperlink r:id="rId14" w:history="1">
        <w:r w:rsidR="005E0BE7" w:rsidRPr="00625A83">
          <w:rPr>
            <w:rStyle w:val="Hyperlink"/>
          </w:rPr>
          <w:t>https://primarysite-prod-sorted.s3.amazonaws.com/</w:t>
        </w:r>
        <w:r w:rsidR="005E0BE7" w:rsidRPr="005E0BE7">
          <w:rPr>
            <w:rStyle w:val="Hyperlink"/>
            <w:color w:val="auto"/>
            <w:highlight w:val="black"/>
          </w:rPr>
          <w:t>pontarddulais-primary</w:t>
        </w:r>
        <w:r w:rsidR="005E0BE7" w:rsidRPr="00625A83">
          <w:rPr>
            <w:rStyle w:val="Hyperlink"/>
          </w:rPr>
          <w:t>/UploadedDocument/8d038e308f374591a8f7a74b0edb39dd/estyn-inspection-report-</w:t>
        </w:r>
        <w:r w:rsidR="005E0BE7" w:rsidRPr="005E0BE7">
          <w:rPr>
            <w:rStyle w:val="Hyperlink"/>
            <w:color w:val="auto"/>
            <w:highlight w:val="black"/>
          </w:rPr>
          <w:t>2011</w:t>
        </w:r>
        <w:r w:rsidR="005E0BE7" w:rsidRPr="00625A83">
          <w:rPr>
            <w:rStyle w:val="Hyperlink"/>
          </w:rPr>
          <w:t>.pd</w:t>
        </w:r>
        <w:r w:rsidR="005E0BE7" w:rsidRPr="00625A83">
          <w:rPr>
            <w:rStyle w:val="Hyperlink"/>
          </w:rPr>
          <w:t>f</w:t>
        </w:r>
      </w:hyperlink>
    </w:p>
    <w:p w14:paraId="167C57E3" w14:textId="77777777" w:rsidR="005E0BE7" w:rsidRPr="005E0BE7" w:rsidRDefault="005E0BE7" w:rsidP="005E0BE7">
      <w:pPr>
        <w:spacing w:after="0" w:line="240" w:lineRule="auto"/>
        <w:rPr>
          <w:u w:val="single"/>
        </w:rPr>
      </w:pPr>
    </w:p>
    <w:p w14:paraId="40F56E64" w14:textId="6EFA4B2C" w:rsidR="00295875" w:rsidRDefault="00295875" w:rsidP="001E2B12">
      <w:pPr>
        <w:spacing w:after="0" w:line="240" w:lineRule="auto"/>
      </w:pPr>
    </w:p>
    <w:p w14:paraId="5DB4DF21" w14:textId="77777777" w:rsidR="008E5C3D" w:rsidRDefault="008E5C3D"/>
    <w:p w14:paraId="676709FD" w14:textId="6E9177FC" w:rsidR="00BB1A91" w:rsidRPr="00DE7B61" w:rsidRDefault="00C94EF3">
      <w:r>
        <w:t xml:space="preserve"> </w:t>
      </w:r>
    </w:p>
    <w:sectPr w:rsidR="00BB1A91" w:rsidRPr="00DE7B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FCB55" w14:textId="77777777" w:rsidR="00200D0F" w:rsidRDefault="00200D0F" w:rsidP="00470D36">
      <w:pPr>
        <w:spacing w:after="0" w:line="240" w:lineRule="auto"/>
      </w:pPr>
      <w:r>
        <w:separator/>
      </w:r>
    </w:p>
  </w:endnote>
  <w:endnote w:type="continuationSeparator" w:id="0">
    <w:p w14:paraId="6F488AD5" w14:textId="77777777" w:rsidR="00200D0F" w:rsidRDefault="00200D0F" w:rsidP="00470D36">
      <w:pPr>
        <w:spacing w:after="0" w:line="240" w:lineRule="auto"/>
      </w:pPr>
      <w:r>
        <w:continuationSeparator/>
      </w:r>
    </w:p>
  </w:endnote>
  <w:endnote w:type="continuationNotice" w:id="1">
    <w:p w14:paraId="0E028E81" w14:textId="77777777" w:rsidR="00E0273A" w:rsidRDefault="00E027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656DA" w14:textId="77777777" w:rsidR="00200D0F" w:rsidRDefault="00200D0F" w:rsidP="00470D36">
      <w:pPr>
        <w:spacing w:after="0" w:line="240" w:lineRule="auto"/>
      </w:pPr>
      <w:r>
        <w:separator/>
      </w:r>
    </w:p>
  </w:footnote>
  <w:footnote w:type="continuationSeparator" w:id="0">
    <w:p w14:paraId="0C9CD856" w14:textId="77777777" w:rsidR="00200D0F" w:rsidRDefault="00200D0F" w:rsidP="00470D36">
      <w:pPr>
        <w:spacing w:after="0" w:line="240" w:lineRule="auto"/>
      </w:pPr>
      <w:r>
        <w:continuationSeparator/>
      </w:r>
    </w:p>
  </w:footnote>
  <w:footnote w:type="continuationNotice" w:id="1">
    <w:p w14:paraId="2DE12DD9" w14:textId="77777777" w:rsidR="00E0273A" w:rsidRDefault="00E0273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C14B27"/>
    <w:multiLevelType w:val="hybridMultilevel"/>
    <w:tmpl w:val="E5D0E2F6"/>
    <w:lvl w:ilvl="0" w:tplc="B6489364">
      <w:numFmt w:val="bullet"/>
      <w:lvlText w:val="-"/>
      <w:lvlJc w:val="left"/>
      <w:pPr>
        <w:ind w:left="465" w:hanging="360"/>
      </w:pPr>
      <w:rPr>
        <w:rFonts w:ascii="Calibri" w:eastAsiaTheme="minorHAnsi" w:hAnsi="Calibri" w:cs="Calibri"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1" w15:restartNumberingAfterBreak="0">
    <w:nsid w:val="3C6F393B"/>
    <w:multiLevelType w:val="hybridMultilevel"/>
    <w:tmpl w:val="A40C0A58"/>
    <w:lvl w:ilvl="0" w:tplc="E3745D8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DC5"/>
    <w:rsid w:val="000048B2"/>
    <w:rsid w:val="00033B2C"/>
    <w:rsid w:val="00042C8D"/>
    <w:rsid w:val="0004328E"/>
    <w:rsid w:val="00045EF3"/>
    <w:rsid w:val="00082F78"/>
    <w:rsid w:val="00084D52"/>
    <w:rsid w:val="000931ED"/>
    <w:rsid w:val="000A21D4"/>
    <w:rsid w:val="000C1393"/>
    <w:rsid w:val="000C2394"/>
    <w:rsid w:val="000D299F"/>
    <w:rsid w:val="000F0D50"/>
    <w:rsid w:val="0010407C"/>
    <w:rsid w:val="00136056"/>
    <w:rsid w:val="001364C2"/>
    <w:rsid w:val="00160C1B"/>
    <w:rsid w:val="00162AF9"/>
    <w:rsid w:val="00163020"/>
    <w:rsid w:val="00164DC7"/>
    <w:rsid w:val="00171B1D"/>
    <w:rsid w:val="00177762"/>
    <w:rsid w:val="001967F6"/>
    <w:rsid w:val="001B260C"/>
    <w:rsid w:val="001E2B12"/>
    <w:rsid w:val="001F01C6"/>
    <w:rsid w:val="00200D0F"/>
    <w:rsid w:val="0022568B"/>
    <w:rsid w:val="00234CFA"/>
    <w:rsid w:val="00243C31"/>
    <w:rsid w:val="002468F5"/>
    <w:rsid w:val="0025377C"/>
    <w:rsid w:val="00253EDB"/>
    <w:rsid w:val="0026356E"/>
    <w:rsid w:val="002701DD"/>
    <w:rsid w:val="0027444D"/>
    <w:rsid w:val="002745EB"/>
    <w:rsid w:val="00286299"/>
    <w:rsid w:val="002935DB"/>
    <w:rsid w:val="00295875"/>
    <w:rsid w:val="00296D86"/>
    <w:rsid w:val="0029792A"/>
    <w:rsid w:val="002B26D9"/>
    <w:rsid w:val="002C0D79"/>
    <w:rsid w:val="002D13EC"/>
    <w:rsid w:val="002D7EC2"/>
    <w:rsid w:val="002E4C6C"/>
    <w:rsid w:val="002F4AAC"/>
    <w:rsid w:val="00323281"/>
    <w:rsid w:val="003266AD"/>
    <w:rsid w:val="003339B9"/>
    <w:rsid w:val="00344A9C"/>
    <w:rsid w:val="00352654"/>
    <w:rsid w:val="00356458"/>
    <w:rsid w:val="00381516"/>
    <w:rsid w:val="00385CCD"/>
    <w:rsid w:val="003A1E9A"/>
    <w:rsid w:val="003A5CB3"/>
    <w:rsid w:val="003B62AB"/>
    <w:rsid w:val="003C0E14"/>
    <w:rsid w:val="003C2250"/>
    <w:rsid w:val="003E691E"/>
    <w:rsid w:val="004211AB"/>
    <w:rsid w:val="00443666"/>
    <w:rsid w:val="00445395"/>
    <w:rsid w:val="004527B1"/>
    <w:rsid w:val="00461644"/>
    <w:rsid w:val="00470D36"/>
    <w:rsid w:val="004746BD"/>
    <w:rsid w:val="00485047"/>
    <w:rsid w:val="00485A36"/>
    <w:rsid w:val="004A1F28"/>
    <w:rsid w:val="004B11A3"/>
    <w:rsid w:val="004B5B84"/>
    <w:rsid w:val="004F1250"/>
    <w:rsid w:val="004F699E"/>
    <w:rsid w:val="00507271"/>
    <w:rsid w:val="005104A9"/>
    <w:rsid w:val="00513484"/>
    <w:rsid w:val="005173A6"/>
    <w:rsid w:val="00525F90"/>
    <w:rsid w:val="00540EAD"/>
    <w:rsid w:val="005615FA"/>
    <w:rsid w:val="00566AFA"/>
    <w:rsid w:val="00571586"/>
    <w:rsid w:val="00575732"/>
    <w:rsid w:val="00587BBE"/>
    <w:rsid w:val="005A4AC5"/>
    <w:rsid w:val="005B6790"/>
    <w:rsid w:val="005C61D2"/>
    <w:rsid w:val="005D2854"/>
    <w:rsid w:val="005D60D4"/>
    <w:rsid w:val="005E0BE7"/>
    <w:rsid w:val="005E4B42"/>
    <w:rsid w:val="00604AA5"/>
    <w:rsid w:val="006059A9"/>
    <w:rsid w:val="0061252D"/>
    <w:rsid w:val="006162B4"/>
    <w:rsid w:val="00617402"/>
    <w:rsid w:val="00622953"/>
    <w:rsid w:val="00653975"/>
    <w:rsid w:val="00664522"/>
    <w:rsid w:val="00666806"/>
    <w:rsid w:val="00666B20"/>
    <w:rsid w:val="006710FC"/>
    <w:rsid w:val="006816BC"/>
    <w:rsid w:val="0069586C"/>
    <w:rsid w:val="006A5971"/>
    <w:rsid w:val="006C1DC1"/>
    <w:rsid w:val="006E0F2C"/>
    <w:rsid w:val="00701A20"/>
    <w:rsid w:val="00703030"/>
    <w:rsid w:val="00703ED7"/>
    <w:rsid w:val="007229E0"/>
    <w:rsid w:val="00743CE6"/>
    <w:rsid w:val="00754FB3"/>
    <w:rsid w:val="007659BC"/>
    <w:rsid w:val="0077652C"/>
    <w:rsid w:val="00792525"/>
    <w:rsid w:val="007958F8"/>
    <w:rsid w:val="007A4605"/>
    <w:rsid w:val="007B38C5"/>
    <w:rsid w:val="007D2DA3"/>
    <w:rsid w:val="007E6526"/>
    <w:rsid w:val="00807C86"/>
    <w:rsid w:val="00811985"/>
    <w:rsid w:val="008240DB"/>
    <w:rsid w:val="008355BD"/>
    <w:rsid w:val="00853E3D"/>
    <w:rsid w:val="00860E37"/>
    <w:rsid w:val="00864012"/>
    <w:rsid w:val="00865C7A"/>
    <w:rsid w:val="00871D95"/>
    <w:rsid w:val="0087431C"/>
    <w:rsid w:val="0088284C"/>
    <w:rsid w:val="0088772F"/>
    <w:rsid w:val="008C2040"/>
    <w:rsid w:val="008C392E"/>
    <w:rsid w:val="008C3991"/>
    <w:rsid w:val="008D6FDF"/>
    <w:rsid w:val="008E5C3D"/>
    <w:rsid w:val="008F0F4C"/>
    <w:rsid w:val="008F55E4"/>
    <w:rsid w:val="00903927"/>
    <w:rsid w:val="00931FFF"/>
    <w:rsid w:val="00962F63"/>
    <w:rsid w:val="00963D0E"/>
    <w:rsid w:val="00966849"/>
    <w:rsid w:val="00972F4A"/>
    <w:rsid w:val="00977C36"/>
    <w:rsid w:val="00990184"/>
    <w:rsid w:val="00994CDE"/>
    <w:rsid w:val="00995149"/>
    <w:rsid w:val="009960E1"/>
    <w:rsid w:val="009963E1"/>
    <w:rsid w:val="009A2EB1"/>
    <w:rsid w:val="009C5046"/>
    <w:rsid w:val="009C581D"/>
    <w:rsid w:val="009E329C"/>
    <w:rsid w:val="009F4C2F"/>
    <w:rsid w:val="00A062BC"/>
    <w:rsid w:val="00A16056"/>
    <w:rsid w:val="00A238B7"/>
    <w:rsid w:val="00A360C8"/>
    <w:rsid w:val="00A4508C"/>
    <w:rsid w:val="00A67774"/>
    <w:rsid w:val="00A8440F"/>
    <w:rsid w:val="00A8482A"/>
    <w:rsid w:val="00A926D6"/>
    <w:rsid w:val="00A936BC"/>
    <w:rsid w:val="00A9711F"/>
    <w:rsid w:val="00AB1077"/>
    <w:rsid w:val="00AC31F0"/>
    <w:rsid w:val="00AE36F8"/>
    <w:rsid w:val="00AF1175"/>
    <w:rsid w:val="00AF66B7"/>
    <w:rsid w:val="00B06420"/>
    <w:rsid w:val="00B33988"/>
    <w:rsid w:val="00B34686"/>
    <w:rsid w:val="00B40A3E"/>
    <w:rsid w:val="00B417DF"/>
    <w:rsid w:val="00B419E1"/>
    <w:rsid w:val="00B47F57"/>
    <w:rsid w:val="00B75F9A"/>
    <w:rsid w:val="00B831EC"/>
    <w:rsid w:val="00B93910"/>
    <w:rsid w:val="00BB1A91"/>
    <w:rsid w:val="00BB4C0C"/>
    <w:rsid w:val="00BC2919"/>
    <w:rsid w:val="00BD177C"/>
    <w:rsid w:val="00BD5C36"/>
    <w:rsid w:val="00BE1873"/>
    <w:rsid w:val="00BE7718"/>
    <w:rsid w:val="00BF21E1"/>
    <w:rsid w:val="00BF28FF"/>
    <w:rsid w:val="00BF3824"/>
    <w:rsid w:val="00C10D74"/>
    <w:rsid w:val="00C16A01"/>
    <w:rsid w:val="00C74852"/>
    <w:rsid w:val="00C94EF3"/>
    <w:rsid w:val="00CA2226"/>
    <w:rsid w:val="00CA7028"/>
    <w:rsid w:val="00CA7BC0"/>
    <w:rsid w:val="00CE4DB0"/>
    <w:rsid w:val="00CF228B"/>
    <w:rsid w:val="00D0527E"/>
    <w:rsid w:val="00D12FA8"/>
    <w:rsid w:val="00D14734"/>
    <w:rsid w:val="00D350F7"/>
    <w:rsid w:val="00D471A1"/>
    <w:rsid w:val="00D50A97"/>
    <w:rsid w:val="00D624DE"/>
    <w:rsid w:val="00D6373C"/>
    <w:rsid w:val="00D74B06"/>
    <w:rsid w:val="00D763DE"/>
    <w:rsid w:val="00DA5198"/>
    <w:rsid w:val="00DD73CA"/>
    <w:rsid w:val="00DE434D"/>
    <w:rsid w:val="00DE7B61"/>
    <w:rsid w:val="00DF73F6"/>
    <w:rsid w:val="00E0273A"/>
    <w:rsid w:val="00E20785"/>
    <w:rsid w:val="00E2514C"/>
    <w:rsid w:val="00E261C4"/>
    <w:rsid w:val="00E26859"/>
    <w:rsid w:val="00E26A8D"/>
    <w:rsid w:val="00E43F6D"/>
    <w:rsid w:val="00E5449D"/>
    <w:rsid w:val="00E65B6A"/>
    <w:rsid w:val="00E74E40"/>
    <w:rsid w:val="00E80AF5"/>
    <w:rsid w:val="00E858F1"/>
    <w:rsid w:val="00E944CF"/>
    <w:rsid w:val="00EA4A40"/>
    <w:rsid w:val="00EC39A8"/>
    <w:rsid w:val="00ED72B6"/>
    <w:rsid w:val="00EE7F4B"/>
    <w:rsid w:val="00EF12CD"/>
    <w:rsid w:val="00F042CA"/>
    <w:rsid w:val="00F04DC5"/>
    <w:rsid w:val="00F3020D"/>
    <w:rsid w:val="00F329A3"/>
    <w:rsid w:val="00F363E6"/>
    <w:rsid w:val="00F37AD2"/>
    <w:rsid w:val="00F40ACD"/>
    <w:rsid w:val="00F42CBF"/>
    <w:rsid w:val="00F438A6"/>
    <w:rsid w:val="00F465E5"/>
    <w:rsid w:val="00F75879"/>
    <w:rsid w:val="00F87EF8"/>
    <w:rsid w:val="00FA78BF"/>
    <w:rsid w:val="00FC5053"/>
    <w:rsid w:val="00FD0619"/>
    <w:rsid w:val="00FD6666"/>
    <w:rsid w:val="00FE4263"/>
    <w:rsid w:val="00FF0F06"/>
    <w:rsid w:val="00FF5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527085"/>
  <w15:chartTrackingRefBased/>
  <w15:docId w15:val="{B76C5840-9848-41BB-877C-DB25648E3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4D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4D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04DC5"/>
    <w:rPr>
      <w:color w:val="0563C1" w:themeColor="hyperlink"/>
      <w:u w:val="single"/>
    </w:rPr>
  </w:style>
  <w:style w:type="character" w:styleId="UnresolvedMention">
    <w:name w:val="Unresolved Mention"/>
    <w:basedOn w:val="DefaultParagraphFont"/>
    <w:uiPriority w:val="99"/>
    <w:semiHidden/>
    <w:unhideWhenUsed/>
    <w:rsid w:val="00F04DC5"/>
    <w:rPr>
      <w:color w:val="605E5C"/>
      <w:shd w:val="clear" w:color="auto" w:fill="E1DFDD"/>
    </w:rPr>
  </w:style>
  <w:style w:type="paragraph" w:styleId="Header">
    <w:name w:val="header"/>
    <w:basedOn w:val="Normal"/>
    <w:link w:val="HeaderChar"/>
    <w:uiPriority w:val="99"/>
    <w:unhideWhenUsed/>
    <w:rsid w:val="00F04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DC5"/>
  </w:style>
  <w:style w:type="paragraph" w:styleId="Footer">
    <w:name w:val="footer"/>
    <w:basedOn w:val="Normal"/>
    <w:link w:val="FooterChar"/>
    <w:uiPriority w:val="99"/>
    <w:unhideWhenUsed/>
    <w:rsid w:val="00F04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DC5"/>
  </w:style>
  <w:style w:type="paragraph" w:styleId="ListParagraph">
    <w:name w:val="List Paragraph"/>
    <w:basedOn w:val="Normal"/>
    <w:uiPriority w:val="34"/>
    <w:qFormat/>
    <w:rsid w:val="00F04DC5"/>
    <w:pPr>
      <w:ind w:left="720"/>
      <w:contextualSpacing/>
    </w:pPr>
  </w:style>
  <w:style w:type="paragraph" w:styleId="Revision">
    <w:name w:val="Revision"/>
    <w:hidden/>
    <w:uiPriority w:val="99"/>
    <w:semiHidden/>
    <w:rsid w:val="00F04DC5"/>
    <w:pPr>
      <w:spacing w:after="0" w:line="240" w:lineRule="auto"/>
    </w:pPr>
  </w:style>
  <w:style w:type="paragraph" w:styleId="BalloonText">
    <w:name w:val="Balloon Text"/>
    <w:basedOn w:val="Normal"/>
    <w:link w:val="BalloonTextChar"/>
    <w:uiPriority w:val="99"/>
    <w:semiHidden/>
    <w:unhideWhenUsed/>
    <w:rsid w:val="00F04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DC5"/>
    <w:rPr>
      <w:rFonts w:ascii="Segoe UI" w:hAnsi="Segoe UI" w:cs="Segoe UI"/>
      <w:sz w:val="18"/>
      <w:szCs w:val="18"/>
    </w:rPr>
  </w:style>
  <w:style w:type="character" w:styleId="FollowedHyperlink">
    <w:name w:val="FollowedHyperlink"/>
    <w:basedOn w:val="DefaultParagraphFont"/>
    <w:uiPriority w:val="99"/>
    <w:semiHidden/>
    <w:unhideWhenUsed/>
    <w:rsid w:val="00F04DC5"/>
    <w:rPr>
      <w:color w:val="954F72" w:themeColor="followedHyperlink"/>
      <w:u w:val="single"/>
    </w:rPr>
  </w:style>
  <w:style w:type="character" w:customStyle="1" w:styleId="selectable">
    <w:name w:val="selectable"/>
    <w:basedOn w:val="DefaultParagraphFont"/>
    <w:rsid w:val="00F04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zproxy.uwtsd.ac.uk/ehost/pdfviewer/pdfviewer?vid=1&amp;sid=d08c0a0f-f5c9-4031-9605-52bcb7cbc78a%40sdc-v-sessmgr02" TargetMode="External"/><Relationship Id="rId13" Type="http://schemas.openxmlformats.org/officeDocument/2006/relationships/hyperlink" Target="https://www.bera.ac.uk/wp-content/uploads/2018/06/BERA-Ethical-Guidelines-for-Educational-Research_4thEdn_2018.pdf?noredirect=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learning.gov.wales/resources/browse-all/digital-competence-framework/?lang=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org.uk/what-we-do/un-convention-child-right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gov.wales/docs/dcells/publications/150225-successful-futures-en.pdf" TargetMode="External"/><Relationship Id="rId4" Type="http://schemas.openxmlformats.org/officeDocument/2006/relationships/webSettings" Target="webSettings.xml"/><Relationship Id="rId9" Type="http://schemas.openxmlformats.org/officeDocument/2006/relationships/hyperlink" Target="https://web-a-ebscohost-com.ezproxy.uwtsd.ac.uk/ehost/pdfviewer/pdfviewer?vid=1&amp;sid=4eb85ef5-3f24-4167-957a-0a4569e1ffc5%40sessionmgr4010" TargetMode="External"/><Relationship Id="rId14" Type="http://schemas.openxmlformats.org/officeDocument/2006/relationships/hyperlink" Target="https://primarysite-prod-sorted.s3.amazonaws.com/pontarddulais-primary/UploadedDocument/8d038e308f374591a8f7a74b0edb39dd/estyn-inspection-report-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5900</Words>
  <Characters>33636</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Williams</dc:creator>
  <cp:keywords/>
  <dc:description/>
  <cp:lastModifiedBy>Stacey Williams</cp:lastModifiedBy>
  <cp:revision>3</cp:revision>
  <dcterms:created xsi:type="dcterms:W3CDTF">2018-10-14T23:01:00Z</dcterms:created>
  <dcterms:modified xsi:type="dcterms:W3CDTF">2018-10-14T23:01:00Z</dcterms:modified>
</cp:coreProperties>
</file>