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AC3A2A" w14:textId="5891CB72" w:rsidR="00CD0235" w:rsidRDefault="00D82E79" w:rsidP="00D82E79">
      <w:pPr>
        <w:jc w:val="center"/>
      </w:pPr>
      <w:r>
        <w:rPr>
          <w:noProof/>
        </w:rPr>
        <w:drawing>
          <wp:inline distT="0" distB="0" distL="0" distR="0" wp14:anchorId="35402869" wp14:editId="795B2519">
            <wp:extent cx="3817620" cy="1287509"/>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58165" cy="1301183"/>
                    </a:xfrm>
                    <a:prstGeom prst="rect">
                      <a:avLst/>
                    </a:prstGeom>
                    <a:noFill/>
                  </pic:spPr>
                </pic:pic>
              </a:graphicData>
            </a:graphic>
          </wp:inline>
        </w:drawing>
      </w:r>
    </w:p>
    <w:p w14:paraId="6C36C75A" w14:textId="0C8AB9F7" w:rsidR="00D82E79" w:rsidRDefault="00D82E79" w:rsidP="00D82E79">
      <w:pPr>
        <w:jc w:val="center"/>
      </w:pPr>
    </w:p>
    <w:p w14:paraId="410CEC5B" w14:textId="789ED580" w:rsidR="00D82E79" w:rsidRDefault="00D82E79" w:rsidP="00D82E79">
      <w:pPr>
        <w:jc w:val="center"/>
      </w:pPr>
    </w:p>
    <w:p w14:paraId="00717B40" w14:textId="1C920185" w:rsidR="00D82E79" w:rsidRPr="00D82E79" w:rsidRDefault="00D82E79" w:rsidP="00D82E79">
      <w:pPr>
        <w:jc w:val="center"/>
        <w:rPr>
          <w:rFonts w:ascii="Arial" w:hAnsi="Arial" w:cs="Arial"/>
          <w:sz w:val="44"/>
          <w:szCs w:val="44"/>
        </w:rPr>
      </w:pPr>
    </w:p>
    <w:p w14:paraId="64C1C2F4" w14:textId="77777777" w:rsidR="00D82E79" w:rsidRPr="00D82E79" w:rsidRDefault="00D82E79" w:rsidP="00D82E79">
      <w:pPr>
        <w:jc w:val="center"/>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82E79">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Organisation’s quality systems and customer relationship management during COVID-19 </w:t>
      </w:r>
    </w:p>
    <w:p w14:paraId="285118CC" w14:textId="3E4C8302" w:rsidR="00D82E79" w:rsidRPr="00D82E79" w:rsidRDefault="00D82E79" w:rsidP="00D82E79">
      <w:pPr>
        <w:jc w:val="center"/>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based in</w:t>
      </w:r>
      <w:r w:rsidRPr="00D82E79">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MITIE Security</w:t>
      </w:r>
    </w:p>
    <w:p w14:paraId="55283D78" w14:textId="03CB021C" w:rsidR="00D82E79" w:rsidRDefault="00D82E79" w:rsidP="00D82E79">
      <w:pPr>
        <w:jc w:val="center"/>
      </w:pPr>
    </w:p>
    <w:p w14:paraId="1E1C93A9" w14:textId="495989AB" w:rsidR="00D82E79" w:rsidRDefault="00D82E79" w:rsidP="00D82E79">
      <w:pPr>
        <w:jc w:val="center"/>
      </w:pPr>
    </w:p>
    <w:p w14:paraId="0B0345B5" w14:textId="1795E967" w:rsidR="00D82E79" w:rsidRDefault="00D82E79" w:rsidP="00D82E79">
      <w:pPr>
        <w:jc w:val="center"/>
      </w:pPr>
    </w:p>
    <w:p w14:paraId="6D27D42E" w14:textId="2C03D8A8" w:rsidR="00D82E79" w:rsidRDefault="00D82E79" w:rsidP="00D82E79">
      <w:pPr>
        <w:jc w:val="center"/>
      </w:pPr>
    </w:p>
    <w:p w14:paraId="2A9B66E5" w14:textId="26C72C12" w:rsidR="00D82E79" w:rsidRDefault="00D82E79" w:rsidP="00D82E79">
      <w:pPr>
        <w:jc w:val="center"/>
      </w:pPr>
    </w:p>
    <w:p w14:paraId="41F26FF4" w14:textId="0CBDAD13" w:rsidR="00D82E79" w:rsidRDefault="00D82E79" w:rsidP="00D82E79">
      <w:pPr>
        <w:jc w:val="center"/>
      </w:pPr>
    </w:p>
    <w:p w14:paraId="63A565AD" w14:textId="5B3A8B64" w:rsidR="00D82E79" w:rsidRDefault="00D82E79" w:rsidP="00D82E79">
      <w:pPr>
        <w:jc w:val="center"/>
      </w:pPr>
    </w:p>
    <w:p w14:paraId="70026A98" w14:textId="27C03F4F" w:rsidR="00D82E79" w:rsidRDefault="00D82E79" w:rsidP="00D82E79">
      <w:pPr>
        <w:jc w:val="center"/>
      </w:pPr>
    </w:p>
    <w:p w14:paraId="1549775E" w14:textId="3E75176E" w:rsidR="00D82E79" w:rsidRDefault="00D82E79" w:rsidP="00D82E79">
      <w:pPr>
        <w:jc w:val="center"/>
      </w:pPr>
    </w:p>
    <w:p w14:paraId="2D10BF56" w14:textId="7689210D" w:rsidR="00D82E79" w:rsidRDefault="00D82E79" w:rsidP="00D82E79">
      <w:pPr>
        <w:jc w:val="center"/>
      </w:pPr>
    </w:p>
    <w:p w14:paraId="05C5F5A0" w14:textId="166C9F05" w:rsidR="00D82E79" w:rsidRDefault="00D82E79" w:rsidP="00D82E79">
      <w:pPr>
        <w:jc w:val="center"/>
      </w:pPr>
    </w:p>
    <w:p w14:paraId="34FF8609" w14:textId="31FAD288" w:rsidR="00D82E79" w:rsidRPr="00D82E79" w:rsidRDefault="00D82E79" w:rsidP="00D82E79">
      <w:pPr>
        <w:spacing w:after="165" w:line="360" w:lineRule="auto"/>
        <w:jc w:val="center"/>
        <w:rPr>
          <w:rFonts w:ascii="Arial" w:eastAsia="Calibri" w:hAnsi="Arial" w:cs="Arial"/>
          <w:color w:val="000000"/>
        </w:rPr>
      </w:pPr>
      <w:r w:rsidRPr="00D82E79">
        <w:rPr>
          <w:rFonts w:ascii="Arial" w:eastAsia="Calibri" w:hAnsi="Arial" w:cs="Arial"/>
          <w:b/>
          <w:color w:val="000000"/>
        </w:rPr>
        <w:t>Student Name:</w:t>
      </w:r>
      <w:r w:rsidRPr="00D82E79">
        <w:rPr>
          <w:rFonts w:ascii="Arial" w:eastAsia="Calibri" w:hAnsi="Arial" w:cs="Arial"/>
          <w:color w:val="000000"/>
        </w:rPr>
        <w:t xml:space="preserve"> Antonio Brian Fernandez Ramos</w:t>
      </w:r>
    </w:p>
    <w:p w14:paraId="49C5CD54" w14:textId="77777777" w:rsidR="00D82E79" w:rsidRPr="00D82E79" w:rsidRDefault="00D82E79" w:rsidP="00D82E79">
      <w:pPr>
        <w:spacing w:after="165" w:line="360" w:lineRule="auto"/>
        <w:jc w:val="center"/>
        <w:rPr>
          <w:rFonts w:ascii="Arial" w:eastAsia="Calibri" w:hAnsi="Arial" w:cs="Arial"/>
          <w:color w:val="000000"/>
        </w:rPr>
      </w:pPr>
      <w:r w:rsidRPr="00D82E79">
        <w:rPr>
          <w:rFonts w:ascii="Arial" w:eastAsia="Calibri" w:hAnsi="Arial" w:cs="Arial"/>
          <w:b/>
          <w:color w:val="000000"/>
        </w:rPr>
        <w:t>Student Number:</w:t>
      </w:r>
      <w:r w:rsidRPr="00D82E79">
        <w:rPr>
          <w:rFonts w:ascii="Arial" w:eastAsia="Calibri" w:hAnsi="Arial" w:cs="Arial"/>
          <w:color w:val="000000"/>
        </w:rPr>
        <w:t xml:space="preserve"> 1818212</w:t>
      </w:r>
    </w:p>
    <w:p w14:paraId="4462E2FC" w14:textId="271E9C50" w:rsidR="00D82E79" w:rsidRPr="00D82E79" w:rsidRDefault="00D82E79" w:rsidP="00D82E79">
      <w:pPr>
        <w:spacing w:after="165" w:line="360" w:lineRule="auto"/>
        <w:jc w:val="center"/>
        <w:rPr>
          <w:rFonts w:ascii="Arial" w:eastAsia="Calibri" w:hAnsi="Arial" w:cs="Arial"/>
          <w:color w:val="000000"/>
        </w:rPr>
      </w:pPr>
      <w:r w:rsidRPr="00D82E79">
        <w:rPr>
          <w:rFonts w:ascii="Arial" w:eastAsia="Calibri" w:hAnsi="Arial" w:cs="Arial"/>
          <w:b/>
          <w:color w:val="000000"/>
        </w:rPr>
        <w:t>Module Number:</w:t>
      </w:r>
      <w:r w:rsidRPr="00D82E79">
        <w:rPr>
          <w:rFonts w:ascii="Arial" w:eastAsia="Calibri" w:hAnsi="Arial" w:cs="Arial"/>
          <w:color w:val="000000"/>
        </w:rPr>
        <w:t xml:space="preserve"> BMSW5103</w:t>
      </w:r>
    </w:p>
    <w:p w14:paraId="20AAC4BA" w14:textId="22803B9E" w:rsidR="00D82E79" w:rsidRPr="00D82E79" w:rsidRDefault="00D82E79" w:rsidP="00D82E79">
      <w:pPr>
        <w:spacing w:after="165" w:line="360" w:lineRule="auto"/>
        <w:jc w:val="center"/>
        <w:rPr>
          <w:rFonts w:ascii="Arial" w:eastAsia="Calibri" w:hAnsi="Arial" w:cs="Arial"/>
          <w:color w:val="000000"/>
        </w:rPr>
      </w:pPr>
      <w:r w:rsidRPr="00D82E79">
        <w:rPr>
          <w:rFonts w:ascii="Arial" w:eastAsia="Calibri" w:hAnsi="Arial" w:cs="Arial"/>
          <w:b/>
          <w:color w:val="000000"/>
        </w:rPr>
        <w:t>Module Title:</w:t>
      </w:r>
      <w:r w:rsidRPr="00D82E79">
        <w:rPr>
          <w:rFonts w:ascii="Arial" w:eastAsia="Calibri" w:hAnsi="Arial" w:cs="Arial"/>
          <w:color w:val="000000"/>
        </w:rPr>
        <w:t xml:space="preserve"> </w:t>
      </w:r>
      <w:r w:rsidRPr="00D82E79">
        <w:rPr>
          <w:rFonts w:ascii="Arial" w:eastAsia="Calibri" w:hAnsi="Arial" w:cs="Arial"/>
          <w:bCs/>
          <w:color w:val="000000"/>
        </w:rPr>
        <w:t>Understanding and Engaging in the Customer Experience</w:t>
      </w:r>
    </w:p>
    <w:p w14:paraId="5249CB9E" w14:textId="1651E09A" w:rsidR="00D82E79" w:rsidRPr="00D82E79" w:rsidRDefault="00D82E79" w:rsidP="00D82E79">
      <w:pPr>
        <w:spacing w:after="165" w:line="360" w:lineRule="auto"/>
        <w:jc w:val="center"/>
        <w:rPr>
          <w:rFonts w:ascii="Arial" w:eastAsia="Calibri" w:hAnsi="Arial" w:cs="Arial"/>
          <w:color w:val="000000"/>
        </w:rPr>
      </w:pPr>
      <w:r w:rsidRPr="00D82E79">
        <w:rPr>
          <w:rFonts w:ascii="Arial" w:eastAsia="Calibri" w:hAnsi="Arial" w:cs="Arial"/>
          <w:b/>
          <w:color w:val="000000"/>
        </w:rPr>
        <w:t>Lecturer Name:</w:t>
      </w:r>
      <w:r w:rsidRPr="00D82E79">
        <w:rPr>
          <w:rFonts w:ascii="Arial" w:eastAsia="Calibri" w:hAnsi="Arial" w:cs="Arial"/>
          <w:color w:val="000000"/>
        </w:rPr>
        <w:t xml:space="preserve"> </w:t>
      </w:r>
      <w:proofErr w:type="spellStart"/>
      <w:r w:rsidRPr="00D82E79">
        <w:rPr>
          <w:rFonts w:ascii="Arial" w:eastAsia="Calibri" w:hAnsi="Arial" w:cs="Arial"/>
          <w:color w:val="000000"/>
        </w:rPr>
        <w:t>Dr.</w:t>
      </w:r>
      <w:proofErr w:type="spellEnd"/>
      <w:r w:rsidRPr="00D82E79">
        <w:rPr>
          <w:rFonts w:ascii="Arial" w:eastAsia="Calibri" w:hAnsi="Arial" w:cs="Arial"/>
          <w:color w:val="000000"/>
        </w:rPr>
        <w:t xml:space="preserve"> Ze Zook</w:t>
      </w:r>
    </w:p>
    <w:p w14:paraId="4DCEAD12" w14:textId="77777777" w:rsidR="00D82E79" w:rsidRPr="00D82E79" w:rsidRDefault="00D82E79" w:rsidP="00D82E79">
      <w:pPr>
        <w:spacing w:after="200" w:line="360" w:lineRule="auto"/>
        <w:jc w:val="center"/>
        <w:rPr>
          <w:rFonts w:ascii="Arial" w:eastAsia="Times New Roman" w:hAnsi="Arial" w:cs="Arial"/>
          <w:b/>
          <w:bCs/>
          <w:i/>
        </w:rPr>
      </w:pPr>
      <w:r w:rsidRPr="00D82E79">
        <w:rPr>
          <w:rFonts w:ascii="Arial" w:eastAsia="Times New Roman" w:hAnsi="Arial" w:cs="Arial"/>
          <w:b/>
          <w:bCs/>
          <w:i/>
        </w:rPr>
        <w:lastRenderedPageBreak/>
        <w:t>Executive Summary</w:t>
      </w:r>
    </w:p>
    <w:p w14:paraId="0CD26681" w14:textId="58C4198C" w:rsidR="00D82E79" w:rsidRDefault="00D82E79" w:rsidP="00D82E79">
      <w:pPr>
        <w:spacing w:after="200" w:line="360" w:lineRule="auto"/>
        <w:jc w:val="both"/>
        <w:rPr>
          <w:rFonts w:ascii="Arial" w:eastAsia="Times New Roman" w:hAnsi="Arial" w:cs="Arial"/>
        </w:rPr>
      </w:pPr>
      <w:r w:rsidRPr="00D82E79">
        <w:rPr>
          <w:rFonts w:ascii="Arial" w:eastAsia="Times New Roman" w:hAnsi="Arial" w:cs="Arial"/>
        </w:rPr>
        <w:t xml:space="preserve">The project report can be summarised as the source of knowledge based on the channelising of internal and external factors including COVID-19 to maintain the customer relationship. Mitie Security has been taken as an example to highlight the procedure. In case of analysing the effect, several marketing theories have been used to visualise the concept. Several literary sources have been collected to complete the research work, and they have been cited in order. Marketing theories including PESTLE, Stakeholder Matrix, and Balanced scorecard have been used to analyse the limitations along with the benefits. The elaboration and analysis </w:t>
      </w:r>
      <w:proofErr w:type="gramStart"/>
      <w:r w:rsidRPr="00D82E79">
        <w:rPr>
          <w:rFonts w:ascii="Arial" w:eastAsia="Times New Roman" w:hAnsi="Arial" w:cs="Arial"/>
        </w:rPr>
        <w:t>is</w:t>
      </w:r>
      <w:proofErr w:type="gramEnd"/>
      <w:r w:rsidRPr="00D82E79">
        <w:rPr>
          <w:rFonts w:ascii="Arial" w:eastAsia="Times New Roman" w:hAnsi="Arial" w:cs="Arial"/>
        </w:rPr>
        <w:t xml:space="preserve"> based on the secondary data analysis. In the end, the research is concluded with a note of justification on customer and organisational relationship. </w:t>
      </w:r>
    </w:p>
    <w:p w14:paraId="76150711" w14:textId="1FBD1701" w:rsidR="004F7A33" w:rsidRDefault="004F7A33" w:rsidP="00D82E79">
      <w:pPr>
        <w:spacing w:after="200" w:line="360" w:lineRule="auto"/>
        <w:jc w:val="both"/>
        <w:rPr>
          <w:rFonts w:ascii="Arial" w:eastAsia="Times New Roman" w:hAnsi="Arial" w:cs="Arial"/>
        </w:rPr>
      </w:pPr>
    </w:p>
    <w:p w14:paraId="342856B5" w14:textId="0A933353" w:rsidR="004F7A33" w:rsidRDefault="004F7A33" w:rsidP="00D82E79">
      <w:pPr>
        <w:spacing w:after="200" w:line="360" w:lineRule="auto"/>
        <w:jc w:val="both"/>
        <w:rPr>
          <w:rFonts w:ascii="Arial" w:eastAsia="Times New Roman" w:hAnsi="Arial" w:cs="Arial"/>
        </w:rPr>
      </w:pPr>
    </w:p>
    <w:p w14:paraId="4C24BB43" w14:textId="3830D773" w:rsidR="004F7A33" w:rsidRDefault="004F7A33" w:rsidP="00D82E79">
      <w:pPr>
        <w:spacing w:after="200" w:line="360" w:lineRule="auto"/>
        <w:jc w:val="both"/>
        <w:rPr>
          <w:rFonts w:ascii="Arial" w:eastAsia="Times New Roman" w:hAnsi="Arial" w:cs="Arial"/>
        </w:rPr>
      </w:pPr>
    </w:p>
    <w:p w14:paraId="44C63603" w14:textId="0312E5C3" w:rsidR="004F7A33" w:rsidRDefault="004F7A33" w:rsidP="00D82E79">
      <w:pPr>
        <w:spacing w:after="200" w:line="360" w:lineRule="auto"/>
        <w:jc w:val="both"/>
        <w:rPr>
          <w:rFonts w:ascii="Arial" w:eastAsia="Times New Roman" w:hAnsi="Arial" w:cs="Arial"/>
        </w:rPr>
      </w:pPr>
    </w:p>
    <w:p w14:paraId="0705270F" w14:textId="6BB82D49" w:rsidR="004F7A33" w:rsidRDefault="004F7A33" w:rsidP="00D82E79">
      <w:pPr>
        <w:spacing w:after="200" w:line="360" w:lineRule="auto"/>
        <w:jc w:val="both"/>
        <w:rPr>
          <w:rFonts w:ascii="Arial" w:eastAsia="Times New Roman" w:hAnsi="Arial" w:cs="Arial"/>
        </w:rPr>
      </w:pPr>
    </w:p>
    <w:p w14:paraId="13AE3B41" w14:textId="1E23ECFB" w:rsidR="004F7A33" w:rsidRDefault="004F7A33" w:rsidP="00D82E79">
      <w:pPr>
        <w:spacing w:after="200" w:line="360" w:lineRule="auto"/>
        <w:jc w:val="both"/>
        <w:rPr>
          <w:rFonts w:ascii="Arial" w:eastAsia="Times New Roman" w:hAnsi="Arial" w:cs="Arial"/>
        </w:rPr>
      </w:pPr>
    </w:p>
    <w:p w14:paraId="63470DC8" w14:textId="37E89F21" w:rsidR="004F7A33" w:rsidRDefault="004F7A33" w:rsidP="00D82E79">
      <w:pPr>
        <w:spacing w:after="200" w:line="360" w:lineRule="auto"/>
        <w:jc w:val="both"/>
        <w:rPr>
          <w:rFonts w:ascii="Arial" w:eastAsia="Times New Roman" w:hAnsi="Arial" w:cs="Arial"/>
        </w:rPr>
      </w:pPr>
    </w:p>
    <w:p w14:paraId="722D76EC" w14:textId="553835F1" w:rsidR="004F7A33" w:rsidRDefault="004F7A33" w:rsidP="00D82E79">
      <w:pPr>
        <w:spacing w:after="200" w:line="360" w:lineRule="auto"/>
        <w:jc w:val="both"/>
        <w:rPr>
          <w:rFonts w:ascii="Arial" w:eastAsia="Times New Roman" w:hAnsi="Arial" w:cs="Arial"/>
        </w:rPr>
      </w:pPr>
    </w:p>
    <w:p w14:paraId="687A4247" w14:textId="354D94EE" w:rsidR="004F7A33" w:rsidRDefault="004F7A33" w:rsidP="00D82E79">
      <w:pPr>
        <w:spacing w:after="200" w:line="360" w:lineRule="auto"/>
        <w:jc w:val="both"/>
        <w:rPr>
          <w:rFonts w:ascii="Arial" w:eastAsia="Times New Roman" w:hAnsi="Arial" w:cs="Arial"/>
        </w:rPr>
      </w:pPr>
    </w:p>
    <w:p w14:paraId="7C5740F4" w14:textId="3A63D052" w:rsidR="004F7A33" w:rsidRDefault="004F7A33" w:rsidP="00D82E79">
      <w:pPr>
        <w:spacing w:after="200" w:line="360" w:lineRule="auto"/>
        <w:jc w:val="both"/>
        <w:rPr>
          <w:rFonts w:ascii="Arial" w:eastAsia="Times New Roman" w:hAnsi="Arial" w:cs="Arial"/>
        </w:rPr>
      </w:pPr>
    </w:p>
    <w:p w14:paraId="223BA10C" w14:textId="649E193B" w:rsidR="004F7A33" w:rsidRDefault="004F7A33" w:rsidP="00D82E79">
      <w:pPr>
        <w:spacing w:after="200" w:line="360" w:lineRule="auto"/>
        <w:jc w:val="both"/>
        <w:rPr>
          <w:rFonts w:ascii="Arial" w:eastAsia="Times New Roman" w:hAnsi="Arial" w:cs="Arial"/>
        </w:rPr>
      </w:pPr>
    </w:p>
    <w:p w14:paraId="203ADE67" w14:textId="0D72D376" w:rsidR="004F7A33" w:rsidRDefault="004F7A33" w:rsidP="00D82E79">
      <w:pPr>
        <w:spacing w:after="200" w:line="360" w:lineRule="auto"/>
        <w:jc w:val="both"/>
        <w:rPr>
          <w:rFonts w:ascii="Arial" w:eastAsia="Times New Roman" w:hAnsi="Arial" w:cs="Arial"/>
        </w:rPr>
      </w:pPr>
    </w:p>
    <w:p w14:paraId="092718A2" w14:textId="3BE8AC42" w:rsidR="004F7A33" w:rsidRDefault="004F7A33" w:rsidP="00D82E79">
      <w:pPr>
        <w:spacing w:after="200" w:line="360" w:lineRule="auto"/>
        <w:jc w:val="both"/>
        <w:rPr>
          <w:rFonts w:ascii="Arial" w:eastAsia="Times New Roman" w:hAnsi="Arial" w:cs="Arial"/>
        </w:rPr>
      </w:pPr>
    </w:p>
    <w:p w14:paraId="68253CA9" w14:textId="779513AE" w:rsidR="004F7A33" w:rsidRDefault="004F7A33" w:rsidP="00D82E79">
      <w:pPr>
        <w:spacing w:after="200" w:line="360" w:lineRule="auto"/>
        <w:jc w:val="both"/>
        <w:rPr>
          <w:rFonts w:ascii="Arial" w:eastAsia="Times New Roman" w:hAnsi="Arial" w:cs="Arial"/>
        </w:rPr>
      </w:pPr>
    </w:p>
    <w:p w14:paraId="2D20F6D1" w14:textId="64A98C76" w:rsidR="004F7A33" w:rsidRDefault="004F7A33" w:rsidP="00D82E79">
      <w:pPr>
        <w:spacing w:after="200" w:line="360" w:lineRule="auto"/>
        <w:jc w:val="both"/>
        <w:rPr>
          <w:rFonts w:ascii="Arial" w:eastAsia="Times New Roman" w:hAnsi="Arial" w:cs="Arial"/>
        </w:rPr>
      </w:pPr>
    </w:p>
    <w:p w14:paraId="577E7138" w14:textId="28CA4FD4" w:rsidR="004F7A33" w:rsidRDefault="004F7A33" w:rsidP="00D82E79">
      <w:pPr>
        <w:spacing w:after="200" w:line="360" w:lineRule="auto"/>
        <w:jc w:val="both"/>
        <w:rPr>
          <w:rFonts w:ascii="Arial" w:eastAsia="Times New Roman" w:hAnsi="Arial" w:cs="Arial"/>
        </w:rPr>
      </w:pPr>
    </w:p>
    <w:p w14:paraId="746553BA" w14:textId="6E49ECFF" w:rsidR="004F7A33" w:rsidRDefault="004F7A33" w:rsidP="00D82E79">
      <w:pPr>
        <w:spacing w:after="200" w:line="360" w:lineRule="auto"/>
        <w:jc w:val="both"/>
        <w:rPr>
          <w:rFonts w:ascii="Arial" w:eastAsia="Times New Roman" w:hAnsi="Arial" w:cs="Arial"/>
        </w:rPr>
      </w:pPr>
    </w:p>
    <w:sdt>
      <w:sdtPr>
        <w:rPr>
          <w:rFonts w:asciiTheme="minorHAnsi" w:eastAsiaTheme="minorHAnsi" w:hAnsiTheme="minorHAnsi" w:cstheme="minorBidi"/>
          <w:sz w:val="24"/>
          <w:szCs w:val="22"/>
          <w:lang w:val="en-GB"/>
        </w:rPr>
        <w:id w:val="-2006124604"/>
        <w:docPartObj>
          <w:docPartGallery w:val="Table of Contents"/>
          <w:docPartUnique/>
        </w:docPartObj>
      </w:sdtPr>
      <w:sdtEndPr>
        <w:rPr>
          <w:b/>
          <w:bCs/>
          <w:noProof/>
          <w:sz w:val="22"/>
        </w:rPr>
      </w:sdtEndPr>
      <w:sdtContent>
        <w:p w14:paraId="6BCFD4C7" w14:textId="77777777" w:rsidR="004F7A33" w:rsidRPr="00C753CA" w:rsidRDefault="004F7A33" w:rsidP="004F7A33">
          <w:pPr>
            <w:pStyle w:val="TOCHeading"/>
            <w:jc w:val="center"/>
            <w:rPr>
              <w:rFonts w:ascii="Arial" w:hAnsi="Arial" w:cs="Arial"/>
              <w:b/>
              <w:bCs/>
              <w:sz w:val="22"/>
              <w:szCs w:val="22"/>
            </w:rPr>
          </w:pPr>
          <w:r w:rsidRPr="00C753CA">
            <w:rPr>
              <w:rFonts w:ascii="Arial" w:hAnsi="Arial" w:cs="Arial"/>
              <w:b/>
              <w:bCs/>
              <w:sz w:val="22"/>
              <w:szCs w:val="22"/>
            </w:rPr>
            <w:t>Table of Contents</w:t>
          </w:r>
        </w:p>
        <w:p w14:paraId="1F22BA06" w14:textId="77777777" w:rsidR="004F7A33" w:rsidRPr="00C753CA" w:rsidRDefault="004F7A33" w:rsidP="004F7A33">
          <w:pPr>
            <w:pStyle w:val="TOC1"/>
            <w:tabs>
              <w:tab w:val="right" w:leader="dot" w:pos="9350"/>
            </w:tabs>
            <w:rPr>
              <w:rFonts w:ascii="Arial" w:hAnsi="Arial" w:cs="Arial"/>
              <w:noProof/>
              <w:sz w:val="22"/>
            </w:rPr>
          </w:pPr>
          <w:r w:rsidRPr="00C753CA">
            <w:rPr>
              <w:rFonts w:ascii="Arial" w:hAnsi="Arial" w:cs="Arial"/>
              <w:sz w:val="22"/>
            </w:rPr>
            <w:fldChar w:fldCharType="begin"/>
          </w:r>
          <w:r w:rsidRPr="00C753CA">
            <w:rPr>
              <w:rFonts w:ascii="Arial" w:hAnsi="Arial" w:cs="Arial"/>
              <w:sz w:val="22"/>
            </w:rPr>
            <w:instrText xml:space="preserve"> TOC \o "1-3" \h \z \u </w:instrText>
          </w:r>
          <w:r w:rsidRPr="00C753CA">
            <w:rPr>
              <w:rFonts w:ascii="Arial" w:hAnsi="Arial" w:cs="Arial"/>
              <w:sz w:val="22"/>
            </w:rPr>
            <w:fldChar w:fldCharType="separate"/>
          </w:r>
          <w:hyperlink w:anchor="_Toc57366829" w:history="1">
            <w:r w:rsidRPr="00C753CA">
              <w:rPr>
                <w:rStyle w:val="Hyperlink"/>
                <w:rFonts w:ascii="Arial" w:hAnsi="Arial" w:cs="Arial"/>
                <w:noProof/>
                <w:sz w:val="22"/>
              </w:rPr>
              <w:t>1.  Introduction</w:t>
            </w:r>
            <w:r w:rsidRPr="00C753CA">
              <w:rPr>
                <w:rFonts w:ascii="Arial" w:hAnsi="Arial" w:cs="Arial"/>
                <w:noProof/>
                <w:webHidden/>
                <w:sz w:val="22"/>
              </w:rPr>
              <w:tab/>
            </w:r>
            <w:r w:rsidRPr="00C753CA">
              <w:rPr>
                <w:rFonts w:ascii="Arial" w:hAnsi="Arial" w:cs="Arial"/>
                <w:noProof/>
                <w:webHidden/>
                <w:sz w:val="22"/>
              </w:rPr>
              <w:fldChar w:fldCharType="begin"/>
            </w:r>
            <w:r w:rsidRPr="00C753CA">
              <w:rPr>
                <w:rFonts w:ascii="Arial" w:hAnsi="Arial" w:cs="Arial"/>
                <w:noProof/>
                <w:webHidden/>
                <w:sz w:val="22"/>
              </w:rPr>
              <w:instrText xml:space="preserve"> PAGEREF _Toc57366829 \h </w:instrText>
            </w:r>
            <w:r w:rsidRPr="00C753CA">
              <w:rPr>
                <w:rFonts w:ascii="Arial" w:hAnsi="Arial" w:cs="Arial"/>
                <w:noProof/>
                <w:webHidden/>
                <w:sz w:val="22"/>
              </w:rPr>
            </w:r>
            <w:r w:rsidRPr="00C753CA">
              <w:rPr>
                <w:rFonts w:ascii="Arial" w:hAnsi="Arial" w:cs="Arial"/>
                <w:noProof/>
                <w:webHidden/>
                <w:sz w:val="22"/>
              </w:rPr>
              <w:fldChar w:fldCharType="separate"/>
            </w:r>
            <w:r w:rsidRPr="00C753CA">
              <w:rPr>
                <w:rFonts w:ascii="Arial" w:hAnsi="Arial" w:cs="Arial"/>
                <w:noProof/>
                <w:webHidden/>
                <w:sz w:val="22"/>
              </w:rPr>
              <w:t>4</w:t>
            </w:r>
            <w:r w:rsidRPr="00C753CA">
              <w:rPr>
                <w:rFonts w:ascii="Arial" w:hAnsi="Arial" w:cs="Arial"/>
                <w:noProof/>
                <w:webHidden/>
                <w:sz w:val="22"/>
              </w:rPr>
              <w:fldChar w:fldCharType="end"/>
            </w:r>
          </w:hyperlink>
        </w:p>
        <w:p w14:paraId="12474908" w14:textId="77777777" w:rsidR="004F7A33" w:rsidRPr="00C753CA" w:rsidRDefault="00A4390F" w:rsidP="004F7A33">
          <w:pPr>
            <w:pStyle w:val="TOC1"/>
            <w:tabs>
              <w:tab w:val="right" w:leader="dot" w:pos="9350"/>
            </w:tabs>
            <w:rPr>
              <w:rFonts w:ascii="Arial" w:hAnsi="Arial" w:cs="Arial"/>
              <w:noProof/>
              <w:sz w:val="22"/>
            </w:rPr>
          </w:pPr>
          <w:hyperlink w:anchor="_Toc57366830" w:history="1">
            <w:r w:rsidR="004F7A33" w:rsidRPr="00C753CA">
              <w:rPr>
                <w:rStyle w:val="Hyperlink"/>
                <w:rFonts w:ascii="Arial" w:hAnsi="Arial" w:cs="Arial"/>
                <w:noProof/>
                <w:sz w:val="22"/>
              </w:rPr>
              <w:t>2. Marketing Theories related to the report</w:t>
            </w:r>
            <w:r w:rsidR="004F7A33" w:rsidRPr="00C753CA">
              <w:rPr>
                <w:rFonts w:ascii="Arial" w:hAnsi="Arial" w:cs="Arial"/>
                <w:noProof/>
                <w:webHidden/>
                <w:sz w:val="22"/>
              </w:rPr>
              <w:tab/>
            </w:r>
            <w:r w:rsidR="004F7A33" w:rsidRPr="00C753CA">
              <w:rPr>
                <w:rFonts w:ascii="Arial" w:hAnsi="Arial" w:cs="Arial"/>
                <w:noProof/>
                <w:webHidden/>
                <w:sz w:val="22"/>
              </w:rPr>
              <w:fldChar w:fldCharType="begin"/>
            </w:r>
            <w:r w:rsidR="004F7A33" w:rsidRPr="00C753CA">
              <w:rPr>
                <w:rFonts w:ascii="Arial" w:hAnsi="Arial" w:cs="Arial"/>
                <w:noProof/>
                <w:webHidden/>
                <w:sz w:val="22"/>
              </w:rPr>
              <w:instrText xml:space="preserve"> PAGEREF _Toc57366830 \h </w:instrText>
            </w:r>
            <w:r w:rsidR="004F7A33" w:rsidRPr="00C753CA">
              <w:rPr>
                <w:rFonts w:ascii="Arial" w:hAnsi="Arial" w:cs="Arial"/>
                <w:noProof/>
                <w:webHidden/>
                <w:sz w:val="22"/>
              </w:rPr>
            </w:r>
            <w:r w:rsidR="004F7A33" w:rsidRPr="00C753CA">
              <w:rPr>
                <w:rFonts w:ascii="Arial" w:hAnsi="Arial" w:cs="Arial"/>
                <w:noProof/>
                <w:webHidden/>
                <w:sz w:val="22"/>
              </w:rPr>
              <w:fldChar w:fldCharType="separate"/>
            </w:r>
            <w:r w:rsidR="004F7A33" w:rsidRPr="00C753CA">
              <w:rPr>
                <w:rFonts w:ascii="Arial" w:hAnsi="Arial" w:cs="Arial"/>
                <w:noProof/>
                <w:webHidden/>
                <w:sz w:val="22"/>
              </w:rPr>
              <w:t>4</w:t>
            </w:r>
            <w:r w:rsidR="004F7A33" w:rsidRPr="00C753CA">
              <w:rPr>
                <w:rFonts w:ascii="Arial" w:hAnsi="Arial" w:cs="Arial"/>
                <w:noProof/>
                <w:webHidden/>
                <w:sz w:val="22"/>
              </w:rPr>
              <w:fldChar w:fldCharType="end"/>
            </w:r>
          </w:hyperlink>
        </w:p>
        <w:p w14:paraId="53C96B02" w14:textId="77777777" w:rsidR="004F7A33" w:rsidRPr="00C753CA" w:rsidRDefault="00A4390F" w:rsidP="004F7A33">
          <w:pPr>
            <w:pStyle w:val="TOC2"/>
            <w:tabs>
              <w:tab w:val="right" w:leader="dot" w:pos="9350"/>
            </w:tabs>
            <w:rPr>
              <w:rFonts w:ascii="Arial" w:hAnsi="Arial" w:cs="Arial"/>
              <w:noProof/>
              <w:sz w:val="22"/>
            </w:rPr>
          </w:pPr>
          <w:hyperlink w:anchor="_Toc57366831" w:history="1">
            <w:r w:rsidR="004F7A33" w:rsidRPr="00C753CA">
              <w:rPr>
                <w:rStyle w:val="Hyperlink"/>
                <w:rFonts w:ascii="Arial" w:hAnsi="Arial" w:cs="Arial"/>
                <w:noProof/>
                <w:sz w:val="22"/>
              </w:rPr>
              <w:t>5 Ps of Marketing Mix:</w:t>
            </w:r>
            <w:r w:rsidR="004F7A33" w:rsidRPr="00C753CA">
              <w:rPr>
                <w:rFonts w:ascii="Arial" w:hAnsi="Arial" w:cs="Arial"/>
                <w:noProof/>
                <w:webHidden/>
                <w:sz w:val="22"/>
              </w:rPr>
              <w:tab/>
            </w:r>
            <w:r w:rsidR="004F7A33" w:rsidRPr="00C753CA">
              <w:rPr>
                <w:rFonts w:ascii="Arial" w:hAnsi="Arial" w:cs="Arial"/>
                <w:noProof/>
                <w:webHidden/>
                <w:sz w:val="22"/>
              </w:rPr>
              <w:fldChar w:fldCharType="begin"/>
            </w:r>
            <w:r w:rsidR="004F7A33" w:rsidRPr="00C753CA">
              <w:rPr>
                <w:rFonts w:ascii="Arial" w:hAnsi="Arial" w:cs="Arial"/>
                <w:noProof/>
                <w:webHidden/>
                <w:sz w:val="22"/>
              </w:rPr>
              <w:instrText xml:space="preserve"> PAGEREF _Toc57366831 \h </w:instrText>
            </w:r>
            <w:r w:rsidR="004F7A33" w:rsidRPr="00C753CA">
              <w:rPr>
                <w:rFonts w:ascii="Arial" w:hAnsi="Arial" w:cs="Arial"/>
                <w:noProof/>
                <w:webHidden/>
                <w:sz w:val="22"/>
              </w:rPr>
            </w:r>
            <w:r w:rsidR="004F7A33" w:rsidRPr="00C753CA">
              <w:rPr>
                <w:rFonts w:ascii="Arial" w:hAnsi="Arial" w:cs="Arial"/>
                <w:noProof/>
                <w:webHidden/>
                <w:sz w:val="22"/>
              </w:rPr>
              <w:fldChar w:fldCharType="separate"/>
            </w:r>
            <w:r w:rsidR="004F7A33" w:rsidRPr="00C753CA">
              <w:rPr>
                <w:rFonts w:ascii="Arial" w:hAnsi="Arial" w:cs="Arial"/>
                <w:noProof/>
                <w:webHidden/>
                <w:sz w:val="22"/>
              </w:rPr>
              <w:t>4</w:t>
            </w:r>
            <w:r w:rsidR="004F7A33" w:rsidRPr="00C753CA">
              <w:rPr>
                <w:rFonts w:ascii="Arial" w:hAnsi="Arial" w:cs="Arial"/>
                <w:noProof/>
                <w:webHidden/>
                <w:sz w:val="22"/>
              </w:rPr>
              <w:fldChar w:fldCharType="end"/>
            </w:r>
          </w:hyperlink>
        </w:p>
        <w:p w14:paraId="711B00EB" w14:textId="77777777" w:rsidR="004F7A33" w:rsidRPr="00C753CA" w:rsidRDefault="00A4390F" w:rsidP="004F7A33">
          <w:pPr>
            <w:pStyle w:val="TOC2"/>
            <w:tabs>
              <w:tab w:val="right" w:leader="dot" w:pos="9350"/>
            </w:tabs>
            <w:rPr>
              <w:rFonts w:ascii="Arial" w:hAnsi="Arial" w:cs="Arial"/>
              <w:noProof/>
              <w:sz w:val="22"/>
            </w:rPr>
          </w:pPr>
          <w:hyperlink w:anchor="_Toc57366832" w:history="1">
            <w:r w:rsidR="004F7A33" w:rsidRPr="00C753CA">
              <w:rPr>
                <w:rStyle w:val="Hyperlink"/>
                <w:rFonts w:ascii="Arial" w:hAnsi="Arial" w:cs="Arial"/>
                <w:noProof/>
                <w:sz w:val="22"/>
              </w:rPr>
              <w:t>PESTLE Analysis for External Environment:</w:t>
            </w:r>
            <w:r w:rsidR="004F7A33" w:rsidRPr="00C753CA">
              <w:rPr>
                <w:rFonts w:ascii="Arial" w:hAnsi="Arial" w:cs="Arial"/>
                <w:noProof/>
                <w:webHidden/>
                <w:sz w:val="22"/>
              </w:rPr>
              <w:tab/>
            </w:r>
            <w:r w:rsidR="004F7A33" w:rsidRPr="00C753CA">
              <w:rPr>
                <w:rFonts w:ascii="Arial" w:hAnsi="Arial" w:cs="Arial"/>
                <w:noProof/>
                <w:webHidden/>
                <w:sz w:val="22"/>
              </w:rPr>
              <w:fldChar w:fldCharType="begin"/>
            </w:r>
            <w:r w:rsidR="004F7A33" w:rsidRPr="00C753CA">
              <w:rPr>
                <w:rFonts w:ascii="Arial" w:hAnsi="Arial" w:cs="Arial"/>
                <w:noProof/>
                <w:webHidden/>
                <w:sz w:val="22"/>
              </w:rPr>
              <w:instrText xml:space="preserve"> PAGEREF _Toc57366832 \h </w:instrText>
            </w:r>
            <w:r w:rsidR="004F7A33" w:rsidRPr="00C753CA">
              <w:rPr>
                <w:rFonts w:ascii="Arial" w:hAnsi="Arial" w:cs="Arial"/>
                <w:noProof/>
                <w:webHidden/>
                <w:sz w:val="22"/>
              </w:rPr>
            </w:r>
            <w:r w:rsidR="004F7A33" w:rsidRPr="00C753CA">
              <w:rPr>
                <w:rFonts w:ascii="Arial" w:hAnsi="Arial" w:cs="Arial"/>
                <w:noProof/>
                <w:webHidden/>
                <w:sz w:val="22"/>
              </w:rPr>
              <w:fldChar w:fldCharType="separate"/>
            </w:r>
            <w:r w:rsidR="004F7A33" w:rsidRPr="00C753CA">
              <w:rPr>
                <w:rFonts w:ascii="Arial" w:hAnsi="Arial" w:cs="Arial"/>
                <w:noProof/>
                <w:webHidden/>
                <w:sz w:val="22"/>
              </w:rPr>
              <w:t>5</w:t>
            </w:r>
            <w:r w:rsidR="004F7A33" w:rsidRPr="00C753CA">
              <w:rPr>
                <w:rFonts w:ascii="Arial" w:hAnsi="Arial" w:cs="Arial"/>
                <w:noProof/>
                <w:webHidden/>
                <w:sz w:val="22"/>
              </w:rPr>
              <w:fldChar w:fldCharType="end"/>
            </w:r>
          </w:hyperlink>
        </w:p>
        <w:p w14:paraId="33FF255E" w14:textId="77777777" w:rsidR="004F7A33" w:rsidRPr="00C753CA" w:rsidRDefault="00A4390F" w:rsidP="004F7A33">
          <w:pPr>
            <w:pStyle w:val="TOC2"/>
            <w:tabs>
              <w:tab w:val="right" w:leader="dot" w:pos="9350"/>
            </w:tabs>
            <w:rPr>
              <w:rFonts w:ascii="Arial" w:hAnsi="Arial" w:cs="Arial"/>
              <w:noProof/>
              <w:sz w:val="22"/>
            </w:rPr>
          </w:pPr>
          <w:hyperlink w:anchor="_Toc57366833" w:history="1">
            <w:r w:rsidR="004F7A33" w:rsidRPr="00C753CA">
              <w:rPr>
                <w:rStyle w:val="Hyperlink"/>
                <w:rFonts w:ascii="Arial" w:hAnsi="Arial" w:cs="Arial"/>
                <w:noProof/>
                <w:sz w:val="22"/>
              </w:rPr>
              <w:t>Stakeholder Matrix for Internal Environment</w:t>
            </w:r>
            <w:r w:rsidR="004F7A33" w:rsidRPr="00C753CA">
              <w:rPr>
                <w:rFonts w:ascii="Arial" w:hAnsi="Arial" w:cs="Arial"/>
                <w:noProof/>
                <w:webHidden/>
                <w:sz w:val="22"/>
              </w:rPr>
              <w:tab/>
            </w:r>
            <w:r w:rsidR="004F7A33" w:rsidRPr="00C753CA">
              <w:rPr>
                <w:rFonts w:ascii="Arial" w:hAnsi="Arial" w:cs="Arial"/>
                <w:noProof/>
                <w:webHidden/>
                <w:sz w:val="22"/>
              </w:rPr>
              <w:fldChar w:fldCharType="begin"/>
            </w:r>
            <w:r w:rsidR="004F7A33" w:rsidRPr="00C753CA">
              <w:rPr>
                <w:rFonts w:ascii="Arial" w:hAnsi="Arial" w:cs="Arial"/>
                <w:noProof/>
                <w:webHidden/>
                <w:sz w:val="22"/>
              </w:rPr>
              <w:instrText xml:space="preserve"> PAGEREF _Toc57366833 \h </w:instrText>
            </w:r>
            <w:r w:rsidR="004F7A33" w:rsidRPr="00C753CA">
              <w:rPr>
                <w:rFonts w:ascii="Arial" w:hAnsi="Arial" w:cs="Arial"/>
                <w:noProof/>
                <w:webHidden/>
                <w:sz w:val="22"/>
              </w:rPr>
            </w:r>
            <w:r w:rsidR="004F7A33" w:rsidRPr="00C753CA">
              <w:rPr>
                <w:rFonts w:ascii="Arial" w:hAnsi="Arial" w:cs="Arial"/>
                <w:noProof/>
                <w:webHidden/>
                <w:sz w:val="22"/>
              </w:rPr>
              <w:fldChar w:fldCharType="separate"/>
            </w:r>
            <w:r w:rsidR="004F7A33" w:rsidRPr="00C753CA">
              <w:rPr>
                <w:rFonts w:ascii="Arial" w:hAnsi="Arial" w:cs="Arial"/>
                <w:noProof/>
                <w:webHidden/>
                <w:sz w:val="22"/>
              </w:rPr>
              <w:t>6</w:t>
            </w:r>
            <w:r w:rsidR="004F7A33" w:rsidRPr="00C753CA">
              <w:rPr>
                <w:rFonts w:ascii="Arial" w:hAnsi="Arial" w:cs="Arial"/>
                <w:noProof/>
                <w:webHidden/>
                <w:sz w:val="22"/>
              </w:rPr>
              <w:fldChar w:fldCharType="end"/>
            </w:r>
          </w:hyperlink>
        </w:p>
        <w:p w14:paraId="5E495380" w14:textId="600ED915" w:rsidR="004F7A33" w:rsidRPr="00C753CA" w:rsidRDefault="00A4390F" w:rsidP="004F7A33">
          <w:pPr>
            <w:pStyle w:val="TOC2"/>
            <w:tabs>
              <w:tab w:val="right" w:leader="dot" w:pos="9350"/>
            </w:tabs>
            <w:rPr>
              <w:rFonts w:ascii="Arial" w:hAnsi="Arial" w:cs="Arial"/>
              <w:noProof/>
              <w:sz w:val="22"/>
            </w:rPr>
          </w:pPr>
          <w:hyperlink w:anchor="_Toc57366834" w:history="1">
            <w:r w:rsidR="004F7A33" w:rsidRPr="00C753CA">
              <w:rPr>
                <w:rStyle w:val="Hyperlink"/>
                <w:rFonts w:ascii="Arial" w:hAnsi="Arial" w:cs="Arial"/>
                <w:noProof/>
                <w:sz w:val="22"/>
              </w:rPr>
              <w:t>Balanced Scorecard</w:t>
            </w:r>
            <w:r w:rsidR="004F7A33" w:rsidRPr="00C753CA">
              <w:rPr>
                <w:rFonts w:ascii="Arial" w:hAnsi="Arial" w:cs="Arial"/>
                <w:noProof/>
                <w:webHidden/>
                <w:sz w:val="22"/>
              </w:rPr>
              <w:tab/>
            </w:r>
            <w:r w:rsidR="001766BD">
              <w:rPr>
                <w:rFonts w:ascii="Arial" w:hAnsi="Arial" w:cs="Arial"/>
                <w:noProof/>
                <w:webHidden/>
                <w:sz w:val="22"/>
              </w:rPr>
              <w:t>7</w:t>
            </w:r>
          </w:hyperlink>
        </w:p>
        <w:p w14:paraId="3E1532DC" w14:textId="185DF480" w:rsidR="004F7A33" w:rsidRPr="00C753CA" w:rsidRDefault="00A4390F" w:rsidP="004F7A33">
          <w:pPr>
            <w:pStyle w:val="TOC1"/>
            <w:tabs>
              <w:tab w:val="right" w:leader="dot" w:pos="9350"/>
            </w:tabs>
            <w:rPr>
              <w:rFonts w:ascii="Arial" w:hAnsi="Arial" w:cs="Arial"/>
              <w:noProof/>
              <w:sz w:val="22"/>
            </w:rPr>
          </w:pPr>
          <w:hyperlink w:anchor="_Toc57366835" w:history="1">
            <w:r w:rsidR="004F7A33" w:rsidRPr="00C753CA">
              <w:rPr>
                <w:rStyle w:val="Hyperlink"/>
                <w:rFonts w:ascii="Arial" w:hAnsi="Arial" w:cs="Arial"/>
                <w:noProof/>
                <w:sz w:val="22"/>
              </w:rPr>
              <w:t>3. Application of the theories:</w:t>
            </w:r>
            <w:r w:rsidR="004F7A33" w:rsidRPr="00C753CA">
              <w:rPr>
                <w:rFonts w:ascii="Arial" w:hAnsi="Arial" w:cs="Arial"/>
                <w:noProof/>
                <w:webHidden/>
                <w:sz w:val="22"/>
              </w:rPr>
              <w:tab/>
            </w:r>
            <w:r w:rsidR="001766BD">
              <w:rPr>
                <w:rFonts w:ascii="Arial" w:hAnsi="Arial" w:cs="Arial"/>
                <w:noProof/>
                <w:webHidden/>
                <w:sz w:val="22"/>
              </w:rPr>
              <w:t>8</w:t>
            </w:r>
          </w:hyperlink>
        </w:p>
        <w:p w14:paraId="7C40640A" w14:textId="4AE8DE73" w:rsidR="004F7A33" w:rsidRPr="00C753CA" w:rsidRDefault="00A4390F" w:rsidP="004F7A33">
          <w:pPr>
            <w:pStyle w:val="TOC1"/>
            <w:tabs>
              <w:tab w:val="right" w:leader="dot" w:pos="9350"/>
            </w:tabs>
            <w:rPr>
              <w:rFonts w:ascii="Arial" w:hAnsi="Arial" w:cs="Arial"/>
              <w:noProof/>
              <w:sz w:val="22"/>
            </w:rPr>
          </w:pPr>
          <w:hyperlink w:anchor="_Toc57366837" w:history="1">
            <w:r w:rsidR="004F7A33" w:rsidRPr="00C753CA">
              <w:rPr>
                <w:rStyle w:val="Hyperlink"/>
                <w:rFonts w:ascii="Arial" w:hAnsi="Arial" w:cs="Arial"/>
                <w:noProof/>
                <w:sz w:val="22"/>
              </w:rPr>
              <w:t>4.</w:t>
            </w:r>
            <w:r w:rsidR="005A0D3B" w:rsidRPr="00C753CA">
              <w:rPr>
                <w:rStyle w:val="Hyperlink"/>
                <w:rFonts w:ascii="Arial" w:hAnsi="Arial" w:cs="Arial"/>
                <w:noProof/>
                <w:sz w:val="22"/>
              </w:rPr>
              <w:t xml:space="preserve"> Critical evaluation of systems used by MITIE Security</w:t>
            </w:r>
            <w:r w:rsidR="004F7A33" w:rsidRPr="00C753CA">
              <w:rPr>
                <w:rFonts w:ascii="Arial" w:hAnsi="Arial" w:cs="Arial"/>
                <w:noProof/>
                <w:webHidden/>
                <w:sz w:val="22"/>
              </w:rPr>
              <w:tab/>
            </w:r>
            <w:r w:rsidR="009E19E8">
              <w:rPr>
                <w:rFonts w:ascii="Arial" w:hAnsi="Arial" w:cs="Arial"/>
                <w:noProof/>
                <w:webHidden/>
                <w:sz w:val="22"/>
              </w:rPr>
              <w:t>14</w:t>
            </w:r>
          </w:hyperlink>
        </w:p>
        <w:p w14:paraId="4D4AD9D4" w14:textId="711B4B39" w:rsidR="004F7A33" w:rsidRPr="00C753CA" w:rsidRDefault="00A4390F" w:rsidP="004F7A33">
          <w:pPr>
            <w:pStyle w:val="TOC2"/>
            <w:tabs>
              <w:tab w:val="right" w:leader="dot" w:pos="9350"/>
            </w:tabs>
            <w:rPr>
              <w:rFonts w:ascii="Arial" w:hAnsi="Arial" w:cs="Arial"/>
              <w:noProof/>
              <w:sz w:val="22"/>
            </w:rPr>
          </w:pPr>
          <w:hyperlink w:anchor="_Toc57366838" w:history="1">
            <w:r w:rsidR="004F7A33" w:rsidRPr="00C753CA">
              <w:rPr>
                <w:rStyle w:val="Hyperlink"/>
                <w:rFonts w:ascii="Arial" w:hAnsi="Arial" w:cs="Arial"/>
                <w:noProof/>
                <w:sz w:val="22"/>
                <w:lang w:val="en-GB"/>
              </w:rPr>
              <w:t>a. Systems that support MITIE’s quality processes</w:t>
            </w:r>
            <w:r w:rsidR="004F7A33" w:rsidRPr="00C753CA">
              <w:rPr>
                <w:rFonts w:ascii="Arial" w:hAnsi="Arial" w:cs="Arial"/>
                <w:noProof/>
                <w:webHidden/>
                <w:sz w:val="22"/>
              </w:rPr>
              <w:tab/>
            </w:r>
            <w:r w:rsidR="009E19E8">
              <w:rPr>
                <w:rFonts w:ascii="Arial" w:hAnsi="Arial" w:cs="Arial"/>
                <w:noProof/>
                <w:webHidden/>
                <w:sz w:val="22"/>
              </w:rPr>
              <w:t>14</w:t>
            </w:r>
          </w:hyperlink>
        </w:p>
        <w:p w14:paraId="4B938024" w14:textId="7D7D732C" w:rsidR="004F7A33" w:rsidRPr="00C753CA" w:rsidRDefault="00A4390F" w:rsidP="004F7A33">
          <w:pPr>
            <w:pStyle w:val="TOC2"/>
            <w:tabs>
              <w:tab w:val="right" w:leader="dot" w:pos="9350"/>
            </w:tabs>
            <w:rPr>
              <w:rFonts w:ascii="Arial" w:hAnsi="Arial" w:cs="Arial"/>
              <w:noProof/>
              <w:sz w:val="22"/>
            </w:rPr>
          </w:pPr>
          <w:hyperlink w:anchor="_Toc57366839" w:history="1">
            <w:r w:rsidR="004F7A33" w:rsidRPr="00C753CA">
              <w:rPr>
                <w:rStyle w:val="Hyperlink"/>
                <w:rFonts w:ascii="Arial" w:hAnsi="Arial" w:cs="Arial"/>
                <w:noProof/>
                <w:sz w:val="22"/>
              </w:rPr>
              <w:t>b. Maximum effectiveness of the systems used in meeting customer requirements</w:t>
            </w:r>
            <w:r w:rsidR="004F7A33" w:rsidRPr="00C753CA">
              <w:rPr>
                <w:rFonts w:ascii="Arial" w:hAnsi="Arial" w:cs="Arial"/>
                <w:noProof/>
                <w:webHidden/>
                <w:sz w:val="22"/>
              </w:rPr>
              <w:tab/>
            </w:r>
            <w:r w:rsidR="009E19E8">
              <w:rPr>
                <w:rFonts w:ascii="Arial" w:hAnsi="Arial" w:cs="Arial"/>
                <w:noProof/>
                <w:webHidden/>
                <w:sz w:val="22"/>
              </w:rPr>
              <w:t>15</w:t>
            </w:r>
          </w:hyperlink>
        </w:p>
        <w:p w14:paraId="74A7D505" w14:textId="02A84405" w:rsidR="004F7A33" w:rsidRPr="00C753CA" w:rsidRDefault="00A4390F" w:rsidP="004F7A33">
          <w:pPr>
            <w:pStyle w:val="TOC2"/>
            <w:tabs>
              <w:tab w:val="right" w:leader="dot" w:pos="9350"/>
            </w:tabs>
            <w:rPr>
              <w:rFonts w:ascii="Arial" w:hAnsi="Arial" w:cs="Arial"/>
              <w:noProof/>
              <w:sz w:val="22"/>
            </w:rPr>
          </w:pPr>
          <w:hyperlink w:anchor="_Toc57366840" w:history="1">
            <w:r w:rsidR="004F7A33" w:rsidRPr="00C753CA">
              <w:rPr>
                <w:rStyle w:val="Hyperlink"/>
                <w:rFonts w:ascii="Arial" w:hAnsi="Arial" w:cs="Arial"/>
                <w:noProof/>
                <w:sz w:val="22"/>
              </w:rPr>
              <w:t>c. Maintaining a good customer relationship during COVID-19</w:t>
            </w:r>
            <w:r w:rsidR="004F7A33" w:rsidRPr="00C753CA">
              <w:rPr>
                <w:rFonts w:ascii="Arial" w:hAnsi="Arial" w:cs="Arial"/>
                <w:noProof/>
                <w:webHidden/>
                <w:sz w:val="22"/>
              </w:rPr>
              <w:tab/>
            </w:r>
            <w:r w:rsidR="009E19E8">
              <w:rPr>
                <w:rFonts w:ascii="Arial" w:hAnsi="Arial" w:cs="Arial"/>
                <w:noProof/>
                <w:webHidden/>
                <w:sz w:val="22"/>
              </w:rPr>
              <w:t>16</w:t>
            </w:r>
          </w:hyperlink>
        </w:p>
        <w:p w14:paraId="65A408E4" w14:textId="642373FA" w:rsidR="004F7A33" w:rsidRPr="00C753CA" w:rsidRDefault="00A4390F" w:rsidP="005A0D3B">
          <w:pPr>
            <w:pStyle w:val="TOC2"/>
            <w:tabs>
              <w:tab w:val="right" w:leader="dot" w:pos="9350"/>
            </w:tabs>
            <w:ind w:left="0"/>
            <w:rPr>
              <w:rFonts w:ascii="Arial" w:hAnsi="Arial" w:cs="Arial"/>
              <w:noProof/>
              <w:sz w:val="22"/>
            </w:rPr>
          </w:pPr>
          <w:hyperlink w:anchor="_Toc57366841" w:history="1">
            <w:r w:rsidR="004F7A33" w:rsidRPr="00C753CA">
              <w:rPr>
                <w:rStyle w:val="Hyperlink"/>
                <w:rFonts w:ascii="Arial" w:hAnsi="Arial" w:cs="Arial"/>
                <w:noProof/>
                <w:sz w:val="22"/>
              </w:rPr>
              <w:t>5. Conclusion</w:t>
            </w:r>
            <w:r w:rsidR="004F7A33" w:rsidRPr="00C753CA">
              <w:rPr>
                <w:rFonts w:ascii="Arial" w:hAnsi="Arial" w:cs="Arial"/>
                <w:noProof/>
                <w:webHidden/>
                <w:sz w:val="22"/>
              </w:rPr>
              <w:tab/>
            </w:r>
            <w:r w:rsidR="009E19E8">
              <w:rPr>
                <w:rFonts w:ascii="Arial" w:hAnsi="Arial" w:cs="Arial"/>
                <w:noProof/>
                <w:webHidden/>
                <w:sz w:val="22"/>
              </w:rPr>
              <w:t>17</w:t>
            </w:r>
          </w:hyperlink>
        </w:p>
        <w:p w14:paraId="60F5F834" w14:textId="125621F6" w:rsidR="004F7A33" w:rsidRPr="00C753CA" w:rsidRDefault="00A4390F" w:rsidP="004F7A33">
          <w:pPr>
            <w:pStyle w:val="TOC1"/>
            <w:tabs>
              <w:tab w:val="right" w:leader="dot" w:pos="9350"/>
            </w:tabs>
            <w:rPr>
              <w:rFonts w:ascii="Arial" w:hAnsi="Arial" w:cs="Arial"/>
              <w:noProof/>
              <w:sz w:val="22"/>
            </w:rPr>
          </w:pPr>
          <w:hyperlink w:anchor="_Toc57366842" w:history="1">
            <w:r w:rsidR="004F7A33" w:rsidRPr="00C753CA">
              <w:rPr>
                <w:rStyle w:val="Hyperlink"/>
                <w:rFonts w:ascii="Arial" w:hAnsi="Arial" w:cs="Arial"/>
                <w:noProof/>
                <w:sz w:val="22"/>
                <w:lang w:bidi="hi-IN"/>
              </w:rPr>
              <w:t>References</w:t>
            </w:r>
            <w:r w:rsidR="004F7A33" w:rsidRPr="00C753CA">
              <w:rPr>
                <w:rFonts w:ascii="Arial" w:hAnsi="Arial" w:cs="Arial"/>
                <w:noProof/>
                <w:webHidden/>
                <w:sz w:val="22"/>
              </w:rPr>
              <w:tab/>
            </w:r>
            <w:r w:rsidR="009E19E8">
              <w:rPr>
                <w:rFonts w:ascii="Arial" w:hAnsi="Arial" w:cs="Arial"/>
                <w:noProof/>
                <w:webHidden/>
                <w:sz w:val="22"/>
              </w:rPr>
              <w:t>18</w:t>
            </w:r>
          </w:hyperlink>
        </w:p>
        <w:p w14:paraId="573FD9E0" w14:textId="77777777" w:rsidR="004F7A33" w:rsidRDefault="004F7A33" w:rsidP="004F7A33">
          <w:pPr>
            <w:rPr>
              <w:b/>
              <w:bCs/>
              <w:noProof/>
            </w:rPr>
          </w:pPr>
          <w:r w:rsidRPr="00C753CA">
            <w:rPr>
              <w:rFonts w:ascii="Arial" w:hAnsi="Arial" w:cs="Arial"/>
              <w:b/>
              <w:bCs/>
              <w:noProof/>
            </w:rPr>
            <w:fldChar w:fldCharType="end"/>
          </w:r>
        </w:p>
      </w:sdtContent>
    </w:sdt>
    <w:p w14:paraId="2FD9917A" w14:textId="77777777" w:rsidR="004F7A33" w:rsidRPr="00D82E79" w:rsidRDefault="004F7A33" w:rsidP="00D82E79">
      <w:pPr>
        <w:spacing w:after="200" w:line="360" w:lineRule="auto"/>
        <w:jc w:val="both"/>
        <w:rPr>
          <w:rFonts w:ascii="Arial" w:eastAsia="Times New Roman" w:hAnsi="Arial" w:cs="Arial"/>
        </w:rPr>
      </w:pPr>
    </w:p>
    <w:p w14:paraId="21A1CA6F" w14:textId="3D8030EA" w:rsidR="00D82E79" w:rsidRDefault="00D82E79" w:rsidP="00D82E79"/>
    <w:p w14:paraId="79E1530D" w14:textId="543C15F4" w:rsidR="004F7A33" w:rsidRDefault="004F7A33" w:rsidP="00D82E79"/>
    <w:p w14:paraId="202311C7" w14:textId="7C6DB47D" w:rsidR="004F7A33" w:rsidRDefault="004F7A33" w:rsidP="00D82E79"/>
    <w:p w14:paraId="17B21E44" w14:textId="273FDE1D" w:rsidR="004F7A33" w:rsidRDefault="004F7A33" w:rsidP="00D82E79"/>
    <w:p w14:paraId="5838B5FB" w14:textId="12AA47E9" w:rsidR="004F7A33" w:rsidRDefault="004F7A33" w:rsidP="00D82E79"/>
    <w:p w14:paraId="29957470" w14:textId="65A0A867" w:rsidR="004F7A33" w:rsidRDefault="004F7A33" w:rsidP="00D82E79"/>
    <w:p w14:paraId="5F696EB4" w14:textId="6AC8CFD2" w:rsidR="004F7A33" w:rsidRDefault="004F7A33" w:rsidP="00D82E79"/>
    <w:p w14:paraId="34D9A2BA" w14:textId="1C4481BB" w:rsidR="004F7A33" w:rsidRDefault="004F7A33" w:rsidP="00D82E79"/>
    <w:p w14:paraId="0B319357" w14:textId="07EE311F" w:rsidR="004F7A33" w:rsidRDefault="004F7A33" w:rsidP="00D82E79"/>
    <w:p w14:paraId="57DF34CC" w14:textId="28F95B57" w:rsidR="004F7A33" w:rsidRDefault="004F7A33" w:rsidP="00D82E79"/>
    <w:p w14:paraId="6B7DD2D4" w14:textId="550E119D" w:rsidR="004F7A33" w:rsidRDefault="004F7A33" w:rsidP="00D82E79"/>
    <w:p w14:paraId="40FC9D0A" w14:textId="77777777" w:rsidR="00070353" w:rsidRDefault="00070353" w:rsidP="007B1EE6">
      <w:pPr>
        <w:spacing w:after="200" w:line="360" w:lineRule="auto"/>
        <w:outlineLvl w:val="0"/>
        <w:rPr>
          <w:rFonts w:ascii="Arial" w:eastAsia="Times New Roman" w:hAnsi="Arial" w:cs="Arial"/>
          <w:b/>
        </w:rPr>
      </w:pPr>
      <w:bookmarkStart w:id="0" w:name="_Toc57366829"/>
    </w:p>
    <w:p w14:paraId="39ABEF0D" w14:textId="77777777" w:rsidR="00070353" w:rsidRDefault="00070353" w:rsidP="007B1EE6">
      <w:pPr>
        <w:spacing w:after="200" w:line="360" w:lineRule="auto"/>
        <w:outlineLvl w:val="0"/>
        <w:rPr>
          <w:rFonts w:ascii="Arial" w:eastAsia="Times New Roman" w:hAnsi="Arial" w:cs="Arial"/>
          <w:b/>
        </w:rPr>
      </w:pPr>
    </w:p>
    <w:p w14:paraId="31DDFD19" w14:textId="362161A6" w:rsidR="004F7A33" w:rsidRPr="004F7A33" w:rsidRDefault="004F7A33" w:rsidP="00A4390F">
      <w:pPr>
        <w:spacing w:after="200" w:line="360" w:lineRule="auto"/>
        <w:jc w:val="both"/>
        <w:outlineLvl w:val="0"/>
        <w:rPr>
          <w:rFonts w:ascii="Arial" w:eastAsia="Times New Roman" w:hAnsi="Arial" w:cs="Arial"/>
          <w:b/>
        </w:rPr>
      </w:pPr>
      <w:r w:rsidRPr="004F7A33">
        <w:rPr>
          <w:rFonts w:ascii="Arial" w:eastAsia="Times New Roman" w:hAnsi="Arial" w:cs="Arial"/>
          <w:b/>
        </w:rPr>
        <w:lastRenderedPageBreak/>
        <w:t>1.  Introduction</w:t>
      </w:r>
      <w:bookmarkEnd w:id="0"/>
    </w:p>
    <w:p w14:paraId="2C437808"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The post-</w:t>
      </w:r>
      <w:proofErr w:type="spellStart"/>
      <w:r w:rsidRPr="004F7A33">
        <w:rPr>
          <w:rFonts w:ascii="Arial" w:eastAsia="Times New Roman" w:hAnsi="Arial" w:cs="Arial"/>
        </w:rPr>
        <w:t>Covid</w:t>
      </w:r>
      <w:proofErr w:type="spellEnd"/>
      <w:r w:rsidRPr="004F7A33">
        <w:rPr>
          <w:rFonts w:ascii="Arial" w:eastAsia="Times New Roman" w:hAnsi="Arial" w:cs="Arial"/>
        </w:rPr>
        <w:t xml:space="preserve"> crisis has made the evolution of customer service change its course, which prioritises the customer experience according to the ‘</w:t>
      </w:r>
      <w:r w:rsidRPr="004F7A33">
        <w:rPr>
          <w:rFonts w:ascii="Arial" w:eastAsia="Times New Roman" w:hAnsi="Arial" w:cs="Arial"/>
          <w:i/>
        </w:rPr>
        <w:t>new normal’</w:t>
      </w:r>
      <w:r w:rsidRPr="004F7A33">
        <w:rPr>
          <w:rFonts w:ascii="Arial" w:eastAsia="Times New Roman" w:hAnsi="Arial" w:cs="Arial"/>
        </w:rPr>
        <w:t>. MITIE is an UK based public limited company whose branches dig deeper into consultancy services, management, and healthcare have been focusing on customer experience. It is founded in 1987 by Phil Bentley and Derek Mapp. MITIE PLC has headquarters situated in London (</w:t>
      </w:r>
      <w:proofErr w:type="spellStart"/>
      <w:r w:rsidRPr="004F7A33">
        <w:rPr>
          <w:rFonts w:ascii="Arial" w:eastAsia="Times New Roman" w:hAnsi="Arial" w:cs="Arial"/>
        </w:rPr>
        <w:t>Hirschler</w:t>
      </w:r>
      <w:proofErr w:type="spellEnd"/>
      <w:r w:rsidRPr="004F7A33">
        <w:rPr>
          <w:rFonts w:ascii="Arial" w:eastAsia="Times New Roman" w:hAnsi="Arial" w:cs="Arial"/>
        </w:rPr>
        <w:t>, 2017). Due to the crisis, customer experience has become a key factor for sales as the online trends are changing rapidly. The current revenue of MITIE Security is £2.3 million with an employee count of 48,900 in 2020 (Mitie, 2020).</w:t>
      </w:r>
    </w:p>
    <w:p w14:paraId="33609D7A"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In the report, the experience has been affected due to the crisis of COVID-19, which has become influential for external and internal factors of the organisation (</w:t>
      </w:r>
      <w:proofErr w:type="spellStart"/>
      <w:r w:rsidRPr="004F7A33">
        <w:rPr>
          <w:rFonts w:ascii="Arial" w:eastAsia="Times New Roman" w:hAnsi="Arial" w:cs="Arial"/>
        </w:rPr>
        <w:t>Diebner</w:t>
      </w:r>
      <w:proofErr w:type="spellEnd"/>
      <w:r w:rsidRPr="004F7A33">
        <w:rPr>
          <w:rFonts w:ascii="Arial" w:eastAsia="Times New Roman" w:hAnsi="Arial" w:cs="Arial"/>
        </w:rPr>
        <w:t xml:space="preserve"> </w:t>
      </w:r>
      <w:r w:rsidRPr="004F7A33">
        <w:rPr>
          <w:rFonts w:ascii="Arial" w:eastAsia="Times New Roman" w:hAnsi="Arial" w:cs="Arial"/>
          <w:i/>
          <w:iCs/>
        </w:rPr>
        <w:t xml:space="preserve">et al., </w:t>
      </w:r>
      <w:r w:rsidRPr="004F7A33">
        <w:rPr>
          <w:rFonts w:ascii="Arial" w:eastAsia="Times New Roman" w:hAnsi="Arial" w:cs="Arial"/>
        </w:rPr>
        <w:t xml:space="preserve">2020). The report elaborates on the topic of how to handle the situation while maintaining a healthy relationship with the customers of the organisation. Due to the online dependency, digitisation is affecting the market where companies are targeting new set of customers, and the interrupt caused by the pandemic has been taking a toll on everyone’s mental health, which is becoming a factor for the business. </w:t>
      </w:r>
    </w:p>
    <w:p w14:paraId="1C86319B" w14:textId="77777777" w:rsidR="004F7A33" w:rsidRPr="004F7A33" w:rsidRDefault="004F7A33" w:rsidP="00A4390F">
      <w:pPr>
        <w:spacing w:after="200" w:line="360" w:lineRule="auto"/>
        <w:jc w:val="both"/>
        <w:outlineLvl w:val="0"/>
        <w:rPr>
          <w:rFonts w:ascii="Arial" w:eastAsia="Times New Roman" w:hAnsi="Arial" w:cs="Arial"/>
          <w:b/>
        </w:rPr>
      </w:pPr>
      <w:bookmarkStart w:id="1" w:name="_Toc57366830"/>
      <w:r w:rsidRPr="004F7A33">
        <w:rPr>
          <w:rFonts w:ascii="Arial" w:eastAsia="Times New Roman" w:hAnsi="Arial" w:cs="Arial"/>
          <w:b/>
        </w:rPr>
        <w:t>2. Marketing Theories related to the report</w:t>
      </w:r>
      <w:bookmarkEnd w:id="1"/>
    </w:p>
    <w:p w14:paraId="6329CA71" w14:textId="04268C26" w:rsidR="004F7A33" w:rsidRPr="004F7A33" w:rsidRDefault="004F7A33" w:rsidP="00A4390F">
      <w:pPr>
        <w:spacing w:before="100" w:beforeAutospacing="1" w:after="100" w:afterAutospacing="1" w:line="360" w:lineRule="auto"/>
        <w:jc w:val="both"/>
        <w:outlineLvl w:val="1"/>
        <w:rPr>
          <w:rFonts w:ascii="Arial" w:eastAsia="Times New Roman" w:hAnsi="Arial" w:cs="Arial"/>
          <w:b/>
          <w:bCs/>
          <w:lang w:val="en-US"/>
        </w:rPr>
      </w:pPr>
      <w:bookmarkStart w:id="2" w:name="_Toc57366831"/>
      <w:r w:rsidRPr="004F7A33">
        <w:rPr>
          <w:rFonts w:ascii="Arial" w:eastAsia="Times New Roman" w:hAnsi="Arial" w:cs="Arial"/>
          <w:b/>
          <w:bCs/>
          <w:lang w:val="en-US"/>
        </w:rPr>
        <w:t>5 Ps of Marketing Mix</w:t>
      </w:r>
      <w:bookmarkEnd w:id="2"/>
    </w:p>
    <w:p w14:paraId="554847A9"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According to Ahuja and Loura (2018), the 5 P’s of Marketing Mix is a significant tool to base strategies on, as it gives the room for improvement on the areas that need focus. Every organisation is dependent on its target market for promotion due to the customer engagement. The 5 areas that the theory focuses on to make decisions include </w:t>
      </w:r>
      <w:r w:rsidRPr="004F7A33">
        <w:rPr>
          <w:rFonts w:ascii="Arial" w:eastAsia="Times New Roman" w:hAnsi="Arial" w:cs="Arial"/>
          <w:i/>
          <w:iCs/>
        </w:rPr>
        <w:t xml:space="preserve">Product, Price, Promotion, Place, and People </w:t>
      </w:r>
      <w:r w:rsidRPr="004F7A33">
        <w:rPr>
          <w:rFonts w:ascii="Arial" w:eastAsia="Times New Roman" w:hAnsi="Arial" w:cs="Arial"/>
        </w:rPr>
        <w:t>(</w:t>
      </w:r>
      <w:proofErr w:type="spellStart"/>
      <w:r w:rsidRPr="004F7A33">
        <w:rPr>
          <w:rFonts w:ascii="Arial" w:eastAsia="Times New Roman" w:hAnsi="Arial" w:cs="Arial"/>
        </w:rPr>
        <w:t>Išoraitė</w:t>
      </w:r>
      <w:proofErr w:type="spellEnd"/>
      <w:r w:rsidRPr="004F7A33">
        <w:rPr>
          <w:rFonts w:ascii="Arial" w:eastAsia="Times New Roman" w:hAnsi="Arial" w:cs="Arial"/>
        </w:rPr>
        <w:t>, 2016)</w:t>
      </w:r>
      <w:r w:rsidRPr="004F7A33">
        <w:rPr>
          <w:rFonts w:ascii="Arial" w:eastAsia="Times New Roman" w:hAnsi="Arial" w:cs="Arial"/>
          <w:i/>
          <w:iCs/>
        </w:rPr>
        <w:t>.</w:t>
      </w:r>
      <w:r w:rsidRPr="004F7A33">
        <w:rPr>
          <w:rFonts w:ascii="Arial" w:eastAsia="Times New Roman" w:hAnsi="Arial" w:cs="Arial"/>
        </w:rPr>
        <w:t xml:space="preserve"> The marketing theory is customisable and controllable by the organisation, and it has potential to target both internal and external scenario of an organisation. </w:t>
      </w:r>
    </w:p>
    <w:p w14:paraId="34D2F2E5" w14:textId="77777777" w:rsidR="005A0D3B" w:rsidRDefault="004F7A33" w:rsidP="00A4390F">
      <w:pPr>
        <w:spacing w:after="200" w:line="360" w:lineRule="auto"/>
        <w:jc w:val="both"/>
        <w:rPr>
          <w:rFonts w:ascii="Arial" w:eastAsia="Times New Roman" w:hAnsi="Arial" w:cs="Arial"/>
          <w:b/>
          <w:bCs/>
        </w:rPr>
      </w:pPr>
      <w:r w:rsidRPr="004F7A33">
        <w:rPr>
          <w:rFonts w:ascii="Arial" w:eastAsia="Times New Roman" w:hAnsi="Arial" w:cs="Arial"/>
          <w:b/>
          <w:bCs/>
        </w:rPr>
        <w:t>Product</w:t>
      </w:r>
    </w:p>
    <w:p w14:paraId="50F20CD7" w14:textId="585E4D93"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b/>
          <w:bCs/>
        </w:rPr>
        <w:t xml:space="preserve"> </w:t>
      </w:r>
      <w:r w:rsidRPr="004F7A33">
        <w:rPr>
          <w:rFonts w:ascii="Arial" w:eastAsia="Times New Roman" w:hAnsi="Arial" w:cs="Arial"/>
        </w:rPr>
        <w:t xml:space="preserve">From the perspective of an organisation, the product refers to the service offered to the customers for mutual benefits, which includes several features, branding, service, packaging, appearance, quality of product, and warranty. As opined by </w:t>
      </w:r>
      <w:proofErr w:type="spellStart"/>
      <w:r w:rsidRPr="004F7A33">
        <w:rPr>
          <w:rFonts w:ascii="Arial" w:eastAsia="Times New Roman" w:hAnsi="Arial" w:cs="Arial"/>
        </w:rPr>
        <w:t>Išoraitė</w:t>
      </w:r>
      <w:proofErr w:type="spellEnd"/>
      <w:r w:rsidRPr="004F7A33">
        <w:rPr>
          <w:rFonts w:ascii="Arial" w:eastAsia="Times New Roman" w:hAnsi="Arial" w:cs="Arial"/>
        </w:rPr>
        <w:t xml:space="preserve"> (2016), from a customer’s perspective, a product is based on its key functionalities, wants, and needs. As an example, a mobile manufacturing company decides to modify their existent features on an old model, which can be launched as the updated version of the existent one.</w:t>
      </w:r>
    </w:p>
    <w:p w14:paraId="1EF90186" w14:textId="77777777" w:rsidR="005A0D3B" w:rsidRDefault="004F7A33" w:rsidP="00A4390F">
      <w:pPr>
        <w:spacing w:after="200" w:line="360" w:lineRule="auto"/>
        <w:jc w:val="both"/>
        <w:rPr>
          <w:rFonts w:ascii="Arial" w:eastAsia="Times New Roman" w:hAnsi="Arial" w:cs="Arial"/>
          <w:b/>
          <w:bCs/>
        </w:rPr>
      </w:pPr>
      <w:r w:rsidRPr="004F7A33">
        <w:rPr>
          <w:rFonts w:ascii="Arial" w:eastAsia="Times New Roman" w:hAnsi="Arial" w:cs="Arial"/>
          <w:b/>
          <w:bCs/>
        </w:rPr>
        <w:lastRenderedPageBreak/>
        <w:t>Price</w:t>
      </w:r>
    </w:p>
    <w:p w14:paraId="70E363E7" w14:textId="3D41C395"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b/>
          <w:bCs/>
        </w:rPr>
        <w:t xml:space="preserve"> </w:t>
      </w:r>
      <w:r w:rsidRPr="004F7A33">
        <w:rPr>
          <w:rFonts w:ascii="Arial" w:eastAsia="Times New Roman" w:hAnsi="Arial" w:cs="Arial"/>
        </w:rPr>
        <w:t>The price of an element depends on the business position, along with the economic value of that area. In the opinion of Abril and Rodrigues-Canovas (2016), it includes the marketed price, discounts and sales, and credits. As an example, the price of a flat in London would be expensive than the one in Sussex.</w:t>
      </w:r>
    </w:p>
    <w:p w14:paraId="1D4B7D5D" w14:textId="77777777" w:rsidR="005A0D3B" w:rsidRDefault="004F7A33" w:rsidP="00A4390F">
      <w:pPr>
        <w:spacing w:after="200" w:line="360" w:lineRule="auto"/>
        <w:jc w:val="both"/>
        <w:rPr>
          <w:rFonts w:ascii="Arial" w:eastAsia="Times New Roman" w:hAnsi="Arial" w:cs="Arial"/>
          <w:b/>
          <w:bCs/>
        </w:rPr>
      </w:pPr>
      <w:r w:rsidRPr="004F7A33">
        <w:rPr>
          <w:rFonts w:ascii="Arial" w:eastAsia="Times New Roman" w:hAnsi="Arial" w:cs="Arial"/>
          <w:b/>
          <w:bCs/>
        </w:rPr>
        <w:t>Promotion</w:t>
      </w:r>
    </w:p>
    <w:p w14:paraId="5E7C7FEA" w14:textId="74150B49" w:rsidR="004F7A33" w:rsidRPr="004F7A33" w:rsidRDefault="004F7A33" w:rsidP="00A4390F">
      <w:pPr>
        <w:spacing w:after="200" w:line="360" w:lineRule="auto"/>
        <w:jc w:val="both"/>
        <w:rPr>
          <w:rFonts w:ascii="Arial" w:eastAsia="Times New Roman" w:hAnsi="Arial" w:cs="Arial"/>
          <w:b/>
          <w:bCs/>
        </w:rPr>
      </w:pPr>
      <w:r w:rsidRPr="004F7A33">
        <w:rPr>
          <w:rFonts w:ascii="Arial" w:eastAsia="Times New Roman" w:hAnsi="Arial" w:cs="Arial"/>
        </w:rPr>
        <w:t>Method of public marketing including relations, advertisements, sponsorships, and social and digital media marketing are the means for promoting a service. The main stakeholders for promotion are the investors in the organisation (</w:t>
      </w:r>
      <w:proofErr w:type="spellStart"/>
      <w:r w:rsidRPr="004F7A33">
        <w:rPr>
          <w:rFonts w:ascii="Arial" w:eastAsia="Times New Roman" w:hAnsi="Arial" w:cs="Arial"/>
        </w:rPr>
        <w:t>Išoraitė</w:t>
      </w:r>
      <w:proofErr w:type="spellEnd"/>
      <w:r w:rsidRPr="004F7A33">
        <w:rPr>
          <w:rFonts w:ascii="Arial" w:eastAsia="Times New Roman" w:hAnsi="Arial" w:cs="Arial"/>
        </w:rPr>
        <w:t>, 2016). The main principle for promotion is its purposive policy where the investment is made based on the return expected.</w:t>
      </w:r>
    </w:p>
    <w:p w14:paraId="20869E25" w14:textId="77777777" w:rsidR="005A0D3B" w:rsidRDefault="004F7A33" w:rsidP="00A4390F">
      <w:pPr>
        <w:spacing w:after="200" w:line="360" w:lineRule="auto"/>
        <w:jc w:val="both"/>
        <w:rPr>
          <w:rFonts w:ascii="Arial" w:eastAsia="Times New Roman" w:hAnsi="Arial" w:cs="Arial"/>
          <w:b/>
          <w:bCs/>
        </w:rPr>
      </w:pPr>
      <w:r w:rsidRPr="004F7A33">
        <w:rPr>
          <w:rFonts w:ascii="Arial" w:eastAsia="Times New Roman" w:hAnsi="Arial" w:cs="Arial"/>
          <w:b/>
          <w:bCs/>
        </w:rPr>
        <w:t>Place</w:t>
      </w:r>
    </w:p>
    <w:p w14:paraId="69441C88" w14:textId="676DC07D"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The area where the service is launched through several distribution channels is known as the place of business, and due to Covid-19 outbreak, most of the traditional areas are switching to online areas (</w:t>
      </w:r>
      <w:proofErr w:type="spellStart"/>
      <w:r w:rsidRPr="004F7A33">
        <w:rPr>
          <w:rFonts w:ascii="Arial" w:eastAsia="Times New Roman" w:hAnsi="Arial" w:cs="Arial"/>
        </w:rPr>
        <w:t>Boisen</w:t>
      </w:r>
      <w:proofErr w:type="spellEnd"/>
      <w:r w:rsidRPr="004F7A33">
        <w:rPr>
          <w:rFonts w:ascii="Arial" w:eastAsia="Times New Roman" w:hAnsi="Arial" w:cs="Arial"/>
        </w:rPr>
        <w:t xml:space="preserve"> </w:t>
      </w:r>
      <w:r w:rsidRPr="004F7A33">
        <w:rPr>
          <w:rFonts w:ascii="Arial" w:eastAsia="Times New Roman" w:hAnsi="Arial" w:cs="Arial"/>
          <w:i/>
          <w:iCs/>
        </w:rPr>
        <w:t>et al.</w:t>
      </w:r>
      <w:r w:rsidRPr="004F7A33">
        <w:rPr>
          <w:rFonts w:ascii="Arial" w:eastAsia="Times New Roman" w:hAnsi="Arial" w:cs="Arial"/>
        </w:rPr>
        <w:t>, 2018). Thus, places nowadays depend more on the customer demographics, logistics, and market coverage, which makes customer experiences as one of the important factors.</w:t>
      </w:r>
    </w:p>
    <w:p w14:paraId="66FACE06" w14:textId="77777777" w:rsidR="005A0D3B" w:rsidRDefault="004F7A33" w:rsidP="00A4390F">
      <w:pPr>
        <w:spacing w:after="200" w:line="360" w:lineRule="auto"/>
        <w:jc w:val="both"/>
        <w:rPr>
          <w:rFonts w:ascii="Arial" w:eastAsia="Times New Roman" w:hAnsi="Arial" w:cs="Arial"/>
          <w:b/>
          <w:bCs/>
        </w:rPr>
      </w:pPr>
      <w:r w:rsidRPr="004F7A33">
        <w:rPr>
          <w:rFonts w:ascii="Arial" w:eastAsia="Times New Roman" w:hAnsi="Arial" w:cs="Arial"/>
          <w:b/>
          <w:bCs/>
        </w:rPr>
        <w:t>People</w:t>
      </w:r>
      <w:r w:rsidR="005A0D3B">
        <w:rPr>
          <w:rFonts w:ascii="Arial" w:eastAsia="Times New Roman" w:hAnsi="Arial" w:cs="Arial"/>
          <w:b/>
          <w:bCs/>
        </w:rPr>
        <w:t xml:space="preserve"> </w:t>
      </w:r>
    </w:p>
    <w:p w14:paraId="75077627" w14:textId="504AF73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In the context of marketing, people refer to the stakeholders. According to Thabit and </w:t>
      </w:r>
      <w:proofErr w:type="spellStart"/>
      <w:r w:rsidRPr="004F7A33">
        <w:rPr>
          <w:rFonts w:ascii="Arial" w:eastAsia="Times New Roman" w:hAnsi="Arial" w:cs="Arial"/>
        </w:rPr>
        <w:t>Raewf</w:t>
      </w:r>
      <w:proofErr w:type="spellEnd"/>
      <w:r w:rsidRPr="004F7A33">
        <w:rPr>
          <w:rFonts w:ascii="Arial" w:eastAsia="Times New Roman" w:hAnsi="Arial" w:cs="Arial"/>
        </w:rPr>
        <w:t xml:space="preserve"> (2018), the stakeholders are any person who is associated with the business. As an example, employees, customers, investors, government, and suppliers are primary stakeholders of an organisation. </w:t>
      </w:r>
    </w:p>
    <w:p w14:paraId="3A4CB3D3" w14:textId="312F719E" w:rsidR="004F7A33" w:rsidRPr="004F7A33" w:rsidRDefault="004F7A33" w:rsidP="00A4390F">
      <w:pPr>
        <w:spacing w:before="100" w:beforeAutospacing="1" w:after="100" w:afterAutospacing="1" w:line="360" w:lineRule="auto"/>
        <w:jc w:val="both"/>
        <w:outlineLvl w:val="1"/>
        <w:rPr>
          <w:rFonts w:ascii="Arial" w:eastAsia="Times New Roman" w:hAnsi="Arial" w:cs="Arial"/>
          <w:b/>
          <w:bCs/>
          <w:lang w:val="en-US"/>
        </w:rPr>
      </w:pPr>
      <w:bookmarkStart w:id="3" w:name="_Toc57366832"/>
      <w:r w:rsidRPr="004F7A33">
        <w:rPr>
          <w:rFonts w:ascii="Arial" w:eastAsia="Times New Roman" w:hAnsi="Arial" w:cs="Arial"/>
          <w:b/>
          <w:bCs/>
          <w:lang w:val="en-US"/>
        </w:rPr>
        <w:t>PESTLE Analysis for External Environment</w:t>
      </w:r>
      <w:bookmarkEnd w:id="3"/>
    </w:p>
    <w:p w14:paraId="2B9B70A8"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As opined by </w:t>
      </w:r>
      <w:proofErr w:type="spellStart"/>
      <w:r w:rsidRPr="004F7A33">
        <w:rPr>
          <w:rFonts w:ascii="Arial" w:eastAsia="Times New Roman" w:hAnsi="Arial" w:cs="Arial"/>
        </w:rPr>
        <w:t>Vallati</w:t>
      </w:r>
      <w:proofErr w:type="spellEnd"/>
      <w:r w:rsidRPr="004F7A33">
        <w:rPr>
          <w:rFonts w:ascii="Arial" w:eastAsia="Times New Roman" w:hAnsi="Arial" w:cs="Arial"/>
        </w:rPr>
        <w:t xml:space="preserve"> and Grassi (2019), every organisation has a vision that helps in reaching the epitaph of success, and the company strategies signify the details of the vision. Organisations tend to analyse the environment and assess the competencies and limitations. The method of PESTLE signifies the external factors necessary to analyse the growth and limitation, both. </w:t>
      </w:r>
    </w:p>
    <w:p w14:paraId="053DB00E"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In case of </w:t>
      </w:r>
      <w:r w:rsidRPr="004F7A33">
        <w:rPr>
          <w:rFonts w:ascii="Arial" w:eastAsia="Times New Roman" w:hAnsi="Arial" w:cs="Arial"/>
          <w:b/>
          <w:bCs/>
          <w:i/>
          <w:iCs/>
        </w:rPr>
        <w:t xml:space="preserve">Political </w:t>
      </w:r>
      <w:r w:rsidRPr="004F7A33">
        <w:rPr>
          <w:rFonts w:ascii="Arial" w:eastAsia="Times New Roman" w:hAnsi="Arial" w:cs="Arial"/>
        </w:rPr>
        <w:t>scenario, the government including the tax policies, trade, and elections influences the factors, which in turn obstructs the revenue generation (</w:t>
      </w:r>
      <w:proofErr w:type="spellStart"/>
      <w:r w:rsidRPr="004F7A33">
        <w:rPr>
          <w:rFonts w:ascii="Arial" w:eastAsia="Times New Roman" w:hAnsi="Arial" w:cs="Arial"/>
        </w:rPr>
        <w:t>Skurpel</w:t>
      </w:r>
      <w:proofErr w:type="spellEnd"/>
      <w:r w:rsidRPr="004F7A33">
        <w:rPr>
          <w:rFonts w:ascii="Arial" w:eastAsia="Times New Roman" w:hAnsi="Arial" w:cs="Arial"/>
        </w:rPr>
        <w:t xml:space="preserve">, 2016). According to the </w:t>
      </w:r>
      <w:r w:rsidRPr="004F7A33">
        <w:rPr>
          <w:rFonts w:ascii="Arial" w:eastAsia="Times New Roman" w:hAnsi="Arial" w:cs="Arial"/>
          <w:b/>
          <w:bCs/>
          <w:i/>
          <w:iCs/>
        </w:rPr>
        <w:t xml:space="preserve">Economical </w:t>
      </w:r>
      <w:r w:rsidRPr="004F7A33">
        <w:rPr>
          <w:rFonts w:ascii="Arial" w:eastAsia="Times New Roman" w:hAnsi="Arial" w:cs="Arial"/>
        </w:rPr>
        <w:t xml:space="preserve">influences, the most important factor that affects the business development is the economic growth pattern and fluctuation of the interest rate. The </w:t>
      </w:r>
      <w:r w:rsidRPr="004F7A33">
        <w:rPr>
          <w:rFonts w:ascii="Arial" w:eastAsia="Times New Roman" w:hAnsi="Arial" w:cs="Arial"/>
        </w:rPr>
        <w:lastRenderedPageBreak/>
        <w:t xml:space="preserve">purchasing capacity of a consumer is dependent on how much the person can invest or earn. All the factors altogether guide the economy of a certain region (Jain, 2019). In case of </w:t>
      </w:r>
      <w:r w:rsidRPr="004F7A33">
        <w:rPr>
          <w:rFonts w:ascii="Arial" w:eastAsia="Times New Roman" w:hAnsi="Arial" w:cs="Arial"/>
          <w:b/>
          <w:bCs/>
          <w:i/>
          <w:iCs/>
        </w:rPr>
        <w:t xml:space="preserve">Social </w:t>
      </w:r>
      <w:r w:rsidRPr="004F7A33">
        <w:rPr>
          <w:rFonts w:ascii="Arial" w:eastAsia="Times New Roman" w:hAnsi="Arial" w:cs="Arial"/>
        </w:rPr>
        <w:t xml:space="preserve">factors, every social culture is different, and that difference influences the products and services. As an example, social lifestyle and domestic structures of different cultures influence the consumers and market. According to </w:t>
      </w:r>
      <w:r w:rsidRPr="004F7A33">
        <w:rPr>
          <w:rFonts w:ascii="Arial" w:eastAsia="Times New Roman" w:hAnsi="Arial" w:cs="Arial"/>
          <w:b/>
          <w:bCs/>
          <w:i/>
          <w:iCs/>
        </w:rPr>
        <w:t xml:space="preserve">Technological </w:t>
      </w:r>
      <w:r w:rsidRPr="004F7A33">
        <w:rPr>
          <w:rFonts w:ascii="Arial" w:eastAsia="Times New Roman" w:hAnsi="Arial" w:cs="Arial"/>
        </w:rPr>
        <w:t xml:space="preserve">factors, the business </w:t>
      </w:r>
      <w:proofErr w:type="gramStart"/>
      <w:r w:rsidRPr="004F7A33">
        <w:rPr>
          <w:rFonts w:ascii="Arial" w:eastAsia="Times New Roman" w:hAnsi="Arial" w:cs="Arial"/>
        </w:rPr>
        <w:t>are</w:t>
      </w:r>
      <w:proofErr w:type="gramEnd"/>
      <w:r w:rsidRPr="004F7A33">
        <w:rPr>
          <w:rFonts w:ascii="Arial" w:eastAsia="Times New Roman" w:hAnsi="Arial" w:cs="Arial"/>
        </w:rPr>
        <w:t xml:space="preserve"> adopting according to the technological upgradation. As opined by Rastogi and Trivedi (2016), digitalisation opened many windows for small-scaled businesses to reach out to public beyond their physical reach. </w:t>
      </w:r>
    </w:p>
    <w:p w14:paraId="2A97C674"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In case of </w:t>
      </w:r>
      <w:r w:rsidRPr="004F7A33">
        <w:rPr>
          <w:rFonts w:ascii="Arial" w:eastAsia="Times New Roman" w:hAnsi="Arial" w:cs="Arial"/>
          <w:b/>
          <w:bCs/>
          <w:i/>
          <w:iCs/>
        </w:rPr>
        <w:t xml:space="preserve">Legal </w:t>
      </w:r>
      <w:r w:rsidRPr="004F7A33">
        <w:rPr>
          <w:rFonts w:ascii="Arial" w:eastAsia="Times New Roman" w:hAnsi="Arial" w:cs="Arial"/>
        </w:rPr>
        <w:t xml:space="preserve">issues, the upgradation of legislative laws with time can affect the business accordingly. Thus, an organisation must make sure to keep the legal issues resolved in the first place. According to the </w:t>
      </w:r>
      <w:r w:rsidRPr="004F7A33">
        <w:rPr>
          <w:rFonts w:ascii="Arial" w:eastAsia="Times New Roman" w:hAnsi="Arial" w:cs="Arial"/>
          <w:b/>
          <w:bCs/>
          <w:i/>
          <w:iCs/>
        </w:rPr>
        <w:t xml:space="preserve">Environmental </w:t>
      </w:r>
      <w:r w:rsidRPr="004F7A33">
        <w:rPr>
          <w:rFonts w:ascii="Arial" w:eastAsia="Times New Roman" w:hAnsi="Arial" w:cs="Arial"/>
        </w:rPr>
        <w:t>issues, the factors are derived from natural causes, and they affect the business of agriculture and vegetation (</w:t>
      </w:r>
      <w:proofErr w:type="spellStart"/>
      <w:r w:rsidRPr="004F7A33">
        <w:rPr>
          <w:rFonts w:ascii="Arial" w:eastAsia="Times New Roman" w:hAnsi="Arial" w:cs="Arial"/>
        </w:rPr>
        <w:t>Vallati</w:t>
      </w:r>
      <w:proofErr w:type="spellEnd"/>
      <w:r w:rsidRPr="004F7A33">
        <w:rPr>
          <w:rFonts w:ascii="Arial" w:eastAsia="Times New Roman" w:hAnsi="Arial" w:cs="Arial"/>
        </w:rPr>
        <w:t xml:space="preserve"> and Grassi, 2019). As an example, a natural calamity like cyclone can affect the organisations based on the development. </w:t>
      </w:r>
    </w:p>
    <w:p w14:paraId="1BA520EA" w14:textId="77777777" w:rsidR="004F7A33" w:rsidRPr="004F7A33" w:rsidRDefault="004F7A33" w:rsidP="00A4390F">
      <w:pPr>
        <w:spacing w:before="100" w:beforeAutospacing="1" w:after="100" w:afterAutospacing="1" w:line="360" w:lineRule="auto"/>
        <w:jc w:val="both"/>
        <w:outlineLvl w:val="1"/>
        <w:rPr>
          <w:rFonts w:ascii="Arial" w:eastAsia="Times New Roman" w:hAnsi="Arial" w:cs="Arial"/>
          <w:b/>
          <w:bCs/>
          <w:lang w:val="en-US"/>
        </w:rPr>
      </w:pPr>
      <w:bookmarkStart w:id="4" w:name="_Toc57366833"/>
      <w:r w:rsidRPr="004F7A33">
        <w:rPr>
          <w:rFonts w:ascii="Arial" w:eastAsia="Times New Roman" w:hAnsi="Arial" w:cs="Arial"/>
          <w:b/>
          <w:bCs/>
          <w:lang w:val="en-US"/>
        </w:rPr>
        <w:t>Stakeholder Matrix for Internal Environment</w:t>
      </w:r>
      <w:bookmarkEnd w:id="4"/>
    </w:p>
    <w:p w14:paraId="28EC8381"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As per the business regulations, a stakeholder has something to benefit or lose out of the business the person is involved with, and the engagement or the relationship of the stakeholders with the organisation is signified through the analysis on how much effective the relationship is, or how much it benefits the organisation. In most cases, the internal stakeholders affect the internal environment, as they participate in the co-ordination, funding, and the planning of the strategy (Freeman and </w:t>
      </w:r>
      <w:proofErr w:type="spellStart"/>
      <w:r w:rsidRPr="004F7A33">
        <w:rPr>
          <w:rFonts w:ascii="Arial" w:eastAsia="Times New Roman" w:hAnsi="Arial" w:cs="Arial"/>
        </w:rPr>
        <w:t>Dmytriyev</w:t>
      </w:r>
      <w:proofErr w:type="spellEnd"/>
      <w:r w:rsidRPr="004F7A33">
        <w:rPr>
          <w:rFonts w:ascii="Arial" w:eastAsia="Times New Roman" w:hAnsi="Arial" w:cs="Arial"/>
        </w:rPr>
        <w:t>, 2017). As an example, directors inside an organisation, along with the employees and trustees signify the volume of internal stakeholders of an organisation. They are the direct influences of a company, since they are responsible for the rule of hierarchy and leadership, along with the strategical influence (</w:t>
      </w:r>
      <w:proofErr w:type="spellStart"/>
      <w:r w:rsidRPr="004F7A33">
        <w:rPr>
          <w:rFonts w:ascii="Arial" w:eastAsia="Times New Roman" w:hAnsi="Arial" w:cs="Arial"/>
        </w:rPr>
        <w:t>Schaltegger</w:t>
      </w:r>
      <w:proofErr w:type="spellEnd"/>
      <w:r w:rsidRPr="004F7A33">
        <w:rPr>
          <w:rFonts w:ascii="Arial" w:eastAsia="Times New Roman" w:hAnsi="Arial" w:cs="Arial"/>
        </w:rPr>
        <w:t xml:space="preserve">, </w:t>
      </w:r>
      <w:proofErr w:type="spellStart"/>
      <w:r w:rsidRPr="004F7A33">
        <w:rPr>
          <w:rFonts w:ascii="Arial" w:eastAsia="Times New Roman" w:hAnsi="Arial" w:cs="Arial"/>
        </w:rPr>
        <w:t>Hörisch</w:t>
      </w:r>
      <w:proofErr w:type="spellEnd"/>
      <w:r w:rsidRPr="004F7A33">
        <w:rPr>
          <w:rFonts w:ascii="Arial" w:eastAsia="Times New Roman" w:hAnsi="Arial" w:cs="Arial"/>
        </w:rPr>
        <w:t xml:space="preserve"> and Freeman, 2019). As opined by Nguyen and Mohamed (2018), the stakeholder matrix is used </w:t>
      </w:r>
      <w:proofErr w:type="gramStart"/>
      <w:r w:rsidRPr="004F7A33">
        <w:rPr>
          <w:rFonts w:ascii="Arial" w:eastAsia="Times New Roman" w:hAnsi="Arial" w:cs="Arial"/>
        </w:rPr>
        <w:t>in order to</w:t>
      </w:r>
      <w:proofErr w:type="gramEnd"/>
      <w:r w:rsidRPr="004F7A33">
        <w:rPr>
          <w:rFonts w:ascii="Arial" w:eastAsia="Times New Roman" w:hAnsi="Arial" w:cs="Arial"/>
        </w:rPr>
        <w:t xml:space="preserve"> analyse and determine possible achievements, and there are three types of matrix including Power-Interest Matrix, Stakeholder Analysis Matrix, and Stakeholder Engagement Assessment Matrix. </w:t>
      </w:r>
    </w:p>
    <w:p w14:paraId="147DC52E" w14:textId="77777777" w:rsidR="004F7A33" w:rsidRPr="004F7A33" w:rsidRDefault="004F7A33" w:rsidP="00A4390F">
      <w:pPr>
        <w:spacing w:after="200" w:line="360" w:lineRule="auto"/>
        <w:jc w:val="center"/>
        <w:rPr>
          <w:rFonts w:ascii="Arial" w:eastAsia="Times New Roman" w:hAnsi="Arial" w:cs="Arial"/>
        </w:rPr>
      </w:pPr>
      <w:r w:rsidRPr="004F7A33">
        <w:rPr>
          <w:rFonts w:ascii="Arial" w:eastAsia="Times New Roman" w:hAnsi="Arial" w:cs="Arial"/>
          <w:noProof/>
          <w:lang w:val="en-US"/>
        </w:rPr>
        <w:lastRenderedPageBreak/>
        <w:drawing>
          <wp:inline distT="0" distB="0" distL="0" distR="0" wp14:anchorId="69DC953F" wp14:editId="4E5693BD">
            <wp:extent cx="4486275" cy="3476625"/>
            <wp:effectExtent l="0" t="0" r="9525" b="9525"/>
            <wp:docPr id="2" name="Picture 2" descr="C:\Users\user\Desktop\Content Writing\Photos\completed-stakeholder-analys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Content Writing\Photos\completed-stakeholder-analysis.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86275" cy="3476625"/>
                    </a:xfrm>
                    <a:prstGeom prst="rect">
                      <a:avLst/>
                    </a:prstGeom>
                    <a:noFill/>
                    <a:ln>
                      <a:noFill/>
                    </a:ln>
                  </pic:spPr>
                </pic:pic>
              </a:graphicData>
            </a:graphic>
          </wp:inline>
        </w:drawing>
      </w:r>
    </w:p>
    <w:p w14:paraId="38023CF8" w14:textId="0A98537B" w:rsidR="004F7A33" w:rsidRPr="004F7A33" w:rsidRDefault="004F7A33" w:rsidP="00A4390F">
      <w:pPr>
        <w:spacing w:after="200" w:line="360" w:lineRule="auto"/>
        <w:jc w:val="center"/>
        <w:rPr>
          <w:rFonts w:ascii="Arial" w:eastAsia="Times New Roman" w:hAnsi="Arial" w:cs="Arial"/>
          <w:b/>
          <w:bCs/>
        </w:rPr>
      </w:pPr>
      <w:r w:rsidRPr="004F7A33">
        <w:rPr>
          <w:rFonts w:ascii="Arial" w:eastAsia="Times New Roman" w:hAnsi="Arial" w:cs="Arial"/>
          <w:b/>
          <w:bCs/>
        </w:rPr>
        <w:t>Figure 1: Stakeholder Matrix</w:t>
      </w:r>
    </w:p>
    <w:p w14:paraId="48E9C5F8" w14:textId="77777777" w:rsidR="004F7A33" w:rsidRPr="004F7A33" w:rsidRDefault="004F7A33" w:rsidP="00A4390F">
      <w:pPr>
        <w:spacing w:after="200" w:line="360" w:lineRule="auto"/>
        <w:jc w:val="center"/>
        <w:rPr>
          <w:rFonts w:ascii="Arial" w:eastAsia="Times New Roman" w:hAnsi="Arial" w:cs="Arial"/>
        </w:rPr>
      </w:pPr>
      <w:r w:rsidRPr="004F7A33">
        <w:rPr>
          <w:rFonts w:ascii="Arial" w:eastAsia="Times New Roman" w:hAnsi="Arial" w:cs="Arial"/>
        </w:rPr>
        <w:t xml:space="preserve">(Source: </w:t>
      </w:r>
      <w:proofErr w:type="spellStart"/>
      <w:r w:rsidRPr="004F7A33">
        <w:rPr>
          <w:rFonts w:ascii="Arial" w:eastAsia="Times New Roman" w:hAnsi="Arial" w:cs="Arial"/>
          <w:i/>
          <w:iCs/>
        </w:rPr>
        <w:t>Schaltegger</w:t>
      </w:r>
      <w:proofErr w:type="spellEnd"/>
      <w:r w:rsidRPr="004F7A33">
        <w:rPr>
          <w:rFonts w:ascii="Arial" w:eastAsia="Times New Roman" w:hAnsi="Arial" w:cs="Arial"/>
          <w:i/>
          <w:iCs/>
        </w:rPr>
        <w:t xml:space="preserve">, </w:t>
      </w:r>
      <w:proofErr w:type="spellStart"/>
      <w:r w:rsidRPr="004F7A33">
        <w:rPr>
          <w:rFonts w:ascii="Arial" w:eastAsia="Times New Roman" w:hAnsi="Arial" w:cs="Arial"/>
          <w:i/>
          <w:iCs/>
        </w:rPr>
        <w:t>Hörisch</w:t>
      </w:r>
      <w:proofErr w:type="spellEnd"/>
      <w:r w:rsidRPr="004F7A33">
        <w:rPr>
          <w:rFonts w:ascii="Arial" w:eastAsia="Times New Roman" w:hAnsi="Arial" w:cs="Arial"/>
          <w:i/>
          <w:iCs/>
        </w:rPr>
        <w:t>, and Freeman, 2019</w:t>
      </w:r>
      <w:r w:rsidRPr="004F7A33">
        <w:rPr>
          <w:rFonts w:ascii="Arial" w:eastAsia="Times New Roman" w:hAnsi="Arial" w:cs="Arial"/>
        </w:rPr>
        <w:t>)</w:t>
      </w:r>
    </w:p>
    <w:p w14:paraId="4B5C86B2"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As per the Power-Interest matrix, power is the potency to pause or alternate the route of the possible achievements of the organisation, whereas, interest links between the personal goals of the stakeholder and organisational goals (</w:t>
      </w:r>
      <w:proofErr w:type="spellStart"/>
      <w:r w:rsidRPr="004F7A33">
        <w:rPr>
          <w:rFonts w:ascii="Arial" w:eastAsia="Times New Roman" w:hAnsi="Arial" w:cs="Arial"/>
        </w:rPr>
        <w:t>Freudenreich</w:t>
      </w:r>
      <w:proofErr w:type="spellEnd"/>
      <w:r w:rsidRPr="004F7A33">
        <w:rPr>
          <w:rFonts w:ascii="Arial" w:eastAsia="Times New Roman" w:hAnsi="Arial" w:cs="Arial"/>
        </w:rPr>
        <w:t xml:space="preserve">, </w:t>
      </w:r>
      <w:proofErr w:type="spellStart"/>
      <w:r w:rsidRPr="004F7A33">
        <w:rPr>
          <w:rFonts w:ascii="Arial" w:eastAsia="Times New Roman" w:hAnsi="Arial" w:cs="Arial"/>
        </w:rPr>
        <w:t>Lüdeke</w:t>
      </w:r>
      <w:proofErr w:type="spellEnd"/>
      <w:r w:rsidRPr="004F7A33">
        <w:rPr>
          <w:rFonts w:ascii="Arial" w:eastAsia="Times New Roman" w:hAnsi="Arial" w:cs="Arial"/>
        </w:rPr>
        <w:t xml:space="preserve">-Freund and </w:t>
      </w:r>
      <w:proofErr w:type="spellStart"/>
      <w:r w:rsidRPr="004F7A33">
        <w:rPr>
          <w:rFonts w:ascii="Arial" w:eastAsia="Times New Roman" w:hAnsi="Arial" w:cs="Arial"/>
        </w:rPr>
        <w:t>Schaltegger</w:t>
      </w:r>
      <w:proofErr w:type="spellEnd"/>
      <w:r w:rsidRPr="004F7A33">
        <w:rPr>
          <w:rFonts w:ascii="Arial" w:eastAsia="Times New Roman" w:hAnsi="Arial" w:cs="Arial"/>
        </w:rPr>
        <w:t xml:space="preserve">, 2020). As an example, the above square is divided into four individual quadrants. The ones with </w:t>
      </w:r>
      <w:r w:rsidRPr="004F7A33">
        <w:rPr>
          <w:rFonts w:ascii="Arial" w:eastAsia="Times New Roman" w:hAnsi="Arial" w:cs="Arial"/>
          <w:b/>
          <w:bCs/>
          <w:i/>
          <w:iCs/>
        </w:rPr>
        <w:t>high power</w:t>
      </w:r>
      <w:r w:rsidRPr="004F7A33">
        <w:rPr>
          <w:rFonts w:ascii="Arial" w:eastAsia="Times New Roman" w:hAnsi="Arial" w:cs="Arial"/>
        </w:rPr>
        <w:t xml:space="preserve"> and </w:t>
      </w:r>
      <w:r w:rsidRPr="004F7A33">
        <w:rPr>
          <w:rFonts w:ascii="Arial" w:eastAsia="Times New Roman" w:hAnsi="Arial" w:cs="Arial"/>
          <w:b/>
          <w:bCs/>
          <w:i/>
          <w:iCs/>
        </w:rPr>
        <w:t>high interest</w:t>
      </w:r>
      <w:r w:rsidRPr="004F7A33">
        <w:rPr>
          <w:rFonts w:ascii="Arial" w:eastAsia="Times New Roman" w:hAnsi="Arial" w:cs="Arial"/>
        </w:rPr>
        <w:t xml:space="preserve"> are the major ones who have invested on a large scale. The ones with </w:t>
      </w:r>
      <w:r w:rsidRPr="004F7A33">
        <w:rPr>
          <w:rFonts w:ascii="Arial" w:eastAsia="Times New Roman" w:hAnsi="Arial" w:cs="Arial"/>
          <w:b/>
          <w:bCs/>
          <w:i/>
          <w:iCs/>
        </w:rPr>
        <w:t>high power</w:t>
      </w:r>
      <w:r w:rsidRPr="004F7A33">
        <w:rPr>
          <w:rFonts w:ascii="Arial" w:eastAsia="Times New Roman" w:hAnsi="Arial" w:cs="Arial"/>
        </w:rPr>
        <w:t xml:space="preserve"> and </w:t>
      </w:r>
      <w:r w:rsidRPr="004F7A33">
        <w:rPr>
          <w:rFonts w:ascii="Arial" w:eastAsia="Times New Roman" w:hAnsi="Arial" w:cs="Arial"/>
          <w:b/>
          <w:bCs/>
          <w:i/>
          <w:iCs/>
        </w:rPr>
        <w:t>low interest</w:t>
      </w:r>
      <w:r w:rsidRPr="004F7A33">
        <w:rPr>
          <w:rFonts w:ascii="Arial" w:eastAsia="Times New Roman" w:hAnsi="Arial" w:cs="Arial"/>
        </w:rPr>
        <w:t xml:space="preserve"> should be kept satisfied, as they have the authority to detail (Freeman and </w:t>
      </w:r>
      <w:proofErr w:type="spellStart"/>
      <w:r w:rsidRPr="004F7A33">
        <w:rPr>
          <w:rFonts w:ascii="Arial" w:eastAsia="Times New Roman" w:hAnsi="Arial" w:cs="Arial"/>
        </w:rPr>
        <w:t>Dmytriyev</w:t>
      </w:r>
      <w:proofErr w:type="spellEnd"/>
      <w:r w:rsidRPr="004F7A33">
        <w:rPr>
          <w:rFonts w:ascii="Arial" w:eastAsia="Times New Roman" w:hAnsi="Arial" w:cs="Arial"/>
        </w:rPr>
        <w:t xml:space="preserve">, 2017). The ones with </w:t>
      </w:r>
      <w:r w:rsidRPr="004F7A33">
        <w:rPr>
          <w:rFonts w:ascii="Arial" w:eastAsia="Times New Roman" w:hAnsi="Arial" w:cs="Arial"/>
          <w:b/>
          <w:bCs/>
          <w:i/>
          <w:iCs/>
        </w:rPr>
        <w:t>low power</w:t>
      </w:r>
      <w:r w:rsidRPr="004F7A33">
        <w:rPr>
          <w:rFonts w:ascii="Arial" w:eastAsia="Times New Roman" w:hAnsi="Arial" w:cs="Arial"/>
        </w:rPr>
        <w:t xml:space="preserve"> and </w:t>
      </w:r>
      <w:r w:rsidRPr="004F7A33">
        <w:rPr>
          <w:rFonts w:ascii="Arial" w:eastAsia="Times New Roman" w:hAnsi="Arial" w:cs="Arial"/>
          <w:b/>
          <w:bCs/>
          <w:i/>
          <w:iCs/>
        </w:rPr>
        <w:t>high interest</w:t>
      </w:r>
      <w:r w:rsidRPr="004F7A33">
        <w:rPr>
          <w:rFonts w:ascii="Arial" w:eastAsia="Times New Roman" w:hAnsi="Arial" w:cs="Arial"/>
        </w:rPr>
        <w:t xml:space="preserve"> create uprising, which is good for business. The ones with </w:t>
      </w:r>
      <w:r w:rsidRPr="004F7A33">
        <w:rPr>
          <w:rFonts w:ascii="Arial" w:eastAsia="Times New Roman" w:hAnsi="Arial" w:cs="Arial"/>
          <w:b/>
          <w:bCs/>
          <w:i/>
          <w:iCs/>
        </w:rPr>
        <w:t>low power</w:t>
      </w:r>
      <w:r w:rsidRPr="004F7A33">
        <w:rPr>
          <w:rFonts w:ascii="Arial" w:eastAsia="Times New Roman" w:hAnsi="Arial" w:cs="Arial"/>
        </w:rPr>
        <w:t xml:space="preserve"> and </w:t>
      </w:r>
      <w:r w:rsidRPr="004F7A33">
        <w:rPr>
          <w:rFonts w:ascii="Arial" w:eastAsia="Times New Roman" w:hAnsi="Arial" w:cs="Arial"/>
          <w:b/>
          <w:bCs/>
          <w:i/>
          <w:iCs/>
        </w:rPr>
        <w:t>low interest</w:t>
      </w:r>
      <w:r w:rsidRPr="004F7A33">
        <w:rPr>
          <w:rFonts w:ascii="Arial" w:eastAsia="Times New Roman" w:hAnsi="Arial" w:cs="Arial"/>
        </w:rPr>
        <w:t xml:space="preserve"> must be observed, as they can grow powerful and affect the organisation. </w:t>
      </w:r>
    </w:p>
    <w:p w14:paraId="37A83F12" w14:textId="77777777" w:rsidR="004F7A33" w:rsidRPr="004F7A33" w:rsidRDefault="004F7A33" w:rsidP="00A4390F">
      <w:pPr>
        <w:spacing w:before="100" w:beforeAutospacing="1" w:after="100" w:afterAutospacing="1" w:line="360" w:lineRule="auto"/>
        <w:jc w:val="both"/>
        <w:outlineLvl w:val="1"/>
        <w:rPr>
          <w:rFonts w:ascii="Arial" w:eastAsia="Times New Roman" w:hAnsi="Arial" w:cs="Arial"/>
          <w:b/>
          <w:bCs/>
          <w:lang w:val="en-US"/>
        </w:rPr>
      </w:pPr>
      <w:bookmarkStart w:id="5" w:name="_Toc57366834"/>
      <w:r w:rsidRPr="004F7A33">
        <w:rPr>
          <w:rFonts w:ascii="Arial" w:eastAsia="Times New Roman" w:hAnsi="Arial" w:cs="Arial"/>
          <w:b/>
          <w:bCs/>
          <w:lang w:val="en-US"/>
        </w:rPr>
        <w:t>Balanced Scorecard</w:t>
      </w:r>
      <w:bookmarkEnd w:id="5"/>
      <w:r w:rsidRPr="004F7A33">
        <w:rPr>
          <w:rFonts w:ascii="Arial" w:eastAsia="Times New Roman" w:hAnsi="Arial" w:cs="Arial"/>
          <w:b/>
          <w:bCs/>
          <w:lang w:val="en-US"/>
        </w:rPr>
        <w:t xml:space="preserve"> </w:t>
      </w:r>
    </w:p>
    <w:p w14:paraId="4C88584D"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The technique is used to analyse the business strategies and their resulted outcomes to provide feedbacks to the organisations. Collection of data is one of the most important aspects of organisations, as it helps the organisations to understand customer preferences (</w:t>
      </w:r>
      <w:proofErr w:type="spellStart"/>
      <w:r w:rsidRPr="004F7A33">
        <w:rPr>
          <w:rFonts w:ascii="Arial" w:eastAsia="Times New Roman" w:hAnsi="Arial" w:cs="Arial"/>
        </w:rPr>
        <w:t>Quesado</w:t>
      </w:r>
      <w:proofErr w:type="spellEnd"/>
      <w:r w:rsidRPr="004F7A33">
        <w:rPr>
          <w:rFonts w:ascii="Arial" w:eastAsia="Times New Roman" w:hAnsi="Arial" w:cs="Arial"/>
        </w:rPr>
        <w:t xml:space="preserve">, </w:t>
      </w:r>
      <w:proofErr w:type="spellStart"/>
      <w:r w:rsidRPr="004F7A33">
        <w:rPr>
          <w:rFonts w:ascii="Arial" w:eastAsia="Times New Roman" w:hAnsi="Arial" w:cs="Arial"/>
        </w:rPr>
        <w:t>Aibar</w:t>
      </w:r>
      <w:proofErr w:type="spellEnd"/>
      <w:r w:rsidRPr="004F7A33">
        <w:rPr>
          <w:rFonts w:ascii="Arial" w:eastAsia="Times New Roman" w:hAnsi="Arial" w:cs="Arial"/>
        </w:rPr>
        <w:t xml:space="preserve">-Guzman and Lima Rodrigues, 2018). The quantitative data analysis is a flexible way of data collection, as it helps the organisations to come up with better aspects of business to maintain or to improvise the quality of the organisation. As opined by </w:t>
      </w:r>
      <w:proofErr w:type="spellStart"/>
      <w:r w:rsidRPr="004F7A33">
        <w:rPr>
          <w:rFonts w:ascii="Arial" w:eastAsia="Times New Roman" w:hAnsi="Arial" w:cs="Arial"/>
        </w:rPr>
        <w:t>Mehralian</w:t>
      </w:r>
      <w:proofErr w:type="spellEnd"/>
      <w:r w:rsidRPr="004F7A33">
        <w:rPr>
          <w:rFonts w:ascii="Arial" w:eastAsia="Times New Roman" w:hAnsi="Arial" w:cs="Arial"/>
        </w:rPr>
        <w:t xml:space="preserve"> </w:t>
      </w:r>
      <w:r w:rsidRPr="004F7A33">
        <w:rPr>
          <w:rFonts w:ascii="Arial" w:eastAsia="Times New Roman" w:hAnsi="Arial" w:cs="Arial"/>
          <w:i/>
          <w:iCs/>
        </w:rPr>
        <w:t xml:space="preserve">et al. </w:t>
      </w:r>
      <w:r w:rsidRPr="004F7A33">
        <w:rPr>
          <w:rFonts w:ascii="Arial" w:eastAsia="Times New Roman" w:hAnsi="Arial" w:cs="Arial"/>
        </w:rPr>
        <w:t xml:space="preserve">(2017), the balanced scorecard involves in measuring company metrics on the main four sectors of </w:t>
      </w:r>
      <w:r w:rsidRPr="004F7A33">
        <w:rPr>
          <w:rFonts w:ascii="Arial" w:eastAsia="Times New Roman" w:hAnsi="Arial" w:cs="Arial"/>
        </w:rPr>
        <w:lastRenderedPageBreak/>
        <w:t>the business including learning and growth, process of the business, consumers, and finance. By segmenting, the areas into four aspects of business, balanced scorecards can measure the individual areas equally, which results in identifying limitations in a proper and quicker way (</w:t>
      </w:r>
      <w:proofErr w:type="spellStart"/>
      <w:r w:rsidRPr="004F7A33">
        <w:rPr>
          <w:rFonts w:ascii="Arial" w:eastAsia="Times New Roman" w:hAnsi="Arial" w:cs="Arial"/>
        </w:rPr>
        <w:t>Jaseem</w:t>
      </w:r>
      <w:proofErr w:type="spellEnd"/>
      <w:r w:rsidRPr="004F7A33">
        <w:rPr>
          <w:rFonts w:ascii="Arial" w:eastAsia="Times New Roman" w:hAnsi="Arial" w:cs="Arial"/>
        </w:rPr>
        <w:t>, Azmi and Zakaria, 2018). The balanced scorecard can help in gaining knowledge about the organisation, which helps in plotting the business strategies first-hand.</w:t>
      </w:r>
    </w:p>
    <w:p w14:paraId="25B055BF"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noProof/>
          <w:lang w:val="en-US"/>
        </w:rPr>
        <w:drawing>
          <wp:inline distT="0" distB="0" distL="0" distR="0" wp14:anchorId="6A6EA22F" wp14:editId="3150CDD3">
            <wp:extent cx="6172835" cy="3511789"/>
            <wp:effectExtent l="0" t="0" r="0" b="0"/>
            <wp:docPr id="3" name="Picture 3" descr="C:\Users\user\Desktop\Content Writing\Photos\Examples-of-Performance-Measures-Used-in-Balanced-Scorecard-Perspectiv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Content Writing\Photos\Examples-of-Performance-Measures-Used-in-Balanced-Scorecard-Perspectives.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91468" cy="3522390"/>
                    </a:xfrm>
                    <a:prstGeom prst="rect">
                      <a:avLst/>
                    </a:prstGeom>
                    <a:noFill/>
                    <a:ln>
                      <a:noFill/>
                    </a:ln>
                  </pic:spPr>
                </pic:pic>
              </a:graphicData>
            </a:graphic>
          </wp:inline>
        </w:drawing>
      </w:r>
    </w:p>
    <w:p w14:paraId="78D636B5" w14:textId="77777777" w:rsidR="004F7A33" w:rsidRPr="004F7A33" w:rsidRDefault="004F7A33" w:rsidP="00A4390F">
      <w:pPr>
        <w:spacing w:after="200" w:line="360" w:lineRule="auto"/>
        <w:jc w:val="center"/>
        <w:rPr>
          <w:rFonts w:ascii="Arial" w:eastAsia="Times New Roman" w:hAnsi="Arial" w:cs="Arial"/>
          <w:b/>
          <w:bCs/>
        </w:rPr>
      </w:pPr>
      <w:r w:rsidRPr="004F7A33">
        <w:rPr>
          <w:rFonts w:ascii="Arial" w:eastAsia="Times New Roman" w:hAnsi="Arial" w:cs="Arial"/>
          <w:b/>
          <w:bCs/>
        </w:rPr>
        <w:t>Figure 2: Balanced Scorecard</w:t>
      </w:r>
    </w:p>
    <w:p w14:paraId="4CFDB20B" w14:textId="77777777" w:rsidR="004F7A33" w:rsidRPr="004F7A33" w:rsidRDefault="004F7A33" w:rsidP="00A4390F">
      <w:pPr>
        <w:spacing w:after="200" w:line="360" w:lineRule="auto"/>
        <w:jc w:val="center"/>
        <w:rPr>
          <w:rFonts w:ascii="Arial" w:eastAsia="Times New Roman" w:hAnsi="Arial" w:cs="Arial"/>
        </w:rPr>
      </w:pPr>
      <w:r w:rsidRPr="004F7A33">
        <w:rPr>
          <w:rFonts w:ascii="Arial" w:eastAsia="Times New Roman" w:hAnsi="Arial" w:cs="Arial"/>
        </w:rPr>
        <w:t xml:space="preserve">(Source: </w:t>
      </w:r>
      <w:proofErr w:type="spellStart"/>
      <w:r w:rsidRPr="004F7A33">
        <w:rPr>
          <w:rFonts w:ascii="Arial" w:eastAsia="Times New Roman" w:hAnsi="Arial" w:cs="Arial"/>
          <w:i/>
          <w:iCs/>
        </w:rPr>
        <w:t>Mehralian</w:t>
      </w:r>
      <w:proofErr w:type="spellEnd"/>
      <w:r w:rsidRPr="004F7A33">
        <w:rPr>
          <w:rFonts w:ascii="Arial" w:eastAsia="Times New Roman" w:hAnsi="Arial" w:cs="Arial"/>
          <w:i/>
          <w:iCs/>
        </w:rPr>
        <w:t xml:space="preserve"> et al., 2017</w:t>
      </w:r>
      <w:r w:rsidRPr="004F7A33">
        <w:rPr>
          <w:rFonts w:ascii="Arial" w:eastAsia="Times New Roman" w:hAnsi="Arial" w:cs="Arial"/>
        </w:rPr>
        <w:t>)</w:t>
      </w:r>
    </w:p>
    <w:p w14:paraId="3BA4263D"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From the above figure, there is an opportunity to gather knowledge about the structure and the business strategies of the organisation, which might help the consumer to understand the motive of the organisation. </w:t>
      </w:r>
    </w:p>
    <w:p w14:paraId="235BCEA0" w14:textId="3EBE9C3D" w:rsidR="004F7A33" w:rsidRPr="004F7A33" w:rsidRDefault="004F7A33" w:rsidP="00A4390F">
      <w:pPr>
        <w:spacing w:after="200" w:line="360" w:lineRule="auto"/>
        <w:jc w:val="both"/>
        <w:outlineLvl w:val="0"/>
        <w:rPr>
          <w:rFonts w:ascii="Arial" w:eastAsia="Times New Roman" w:hAnsi="Arial" w:cs="Arial"/>
          <w:b/>
        </w:rPr>
      </w:pPr>
      <w:bookmarkStart w:id="6" w:name="_Toc57366835"/>
      <w:r w:rsidRPr="004F7A33">
        <w:rPr>
          <w:rFonts w:ascii="Arial" w:eastAsia="Times New Roman" w:hAnsi="Arial" w:cs="Arial"/>
          <w:b/>
        </w:rPr>
        <w:t>3. Application of the theories</w:t>
      </w:r>
      <w:bookmarkEnd w:id="6"/>
    </w:p>
    <w:p w14:paraId="14128926" w14:textId="02FCC02D" w:rsidR="004F7A33" w:rsidRPr="004F7A33" w:rsidRDefault="004F7A33" w:rsidP="00A4390F">
      <w:pPr>
        <w:spacing w:before="100" w:beforeAutospacing="1" w:after="100" w:afterAutospacing="1" w:line="360" w:lineRule="auto"/>
        <w:jc w:val="both"/>
        <w:outlineLvl w:val="1"/>
        <w:rPr>
          <w:rFonts w:ascii="Arial" w:eastAsia="Times New Roman" w:hAnsi="Arial" w:cs="Arial"/>
          <w:b/>
          <w:bCs/>
        </w:rPr>
      </w:pPr>
      <w:bookmarkStart w:id="7" w:name="_Toc57366836"/>
      <w:r w:rsidRPr="004F7A33">
        <w:rPr>
          <w:rFonts w:ascii="Arial" w:eastAsia="Times New Roman" w:hAnsi="Arial" w:cs="Arial"/>
          <w:b/>
          <w:bCs/>
        </w:rPr>
        <w:t>Factors that influence MITIE’s quality systems and controls for customers during COVID-19</w:t>
      </w:r>
      <w:bookmarkEnd w:id="7"/>
    </w:p>
    <w:p w14:paraId="2624330D"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MITIE being one of the most renowned PLCs from England specialises on security services along with consultancy and management. As opined by Pierce </w:t>
      </w:r>
      <w:r w:rsidRPr="004F7A33">
        <w:rPr>
          <w:rFonts w:ascii="Arial" w:eastAsia="Times New Roman" w:hAnsi="Arial" w:cs="Arial"/>
          <w:i/>
          <w:iCs/>
        </w:rPr>
        <w:t xml:space="preserve">et al. </w:t>
      </w:r>
      <w:r w:rsidRPr="004F7A33">
        <w:rPr>
          <w:rFonts w:ascii="Arial" w:eastAsia="Times New Roman" w:hAnsi="Arial" w:cs="Arial"/>
        </w:rPr>
        <w:t xml:space="preserve">(2020), since the outbreak of COVID-19, the PLCs all over the UK are going online to maintain the laws set by World Health Organisation (WHO), and maintain social distancing is the most primary one. In the opinion of </w:t>
      </w:r>
      <w:proofErr w:type="spellStart"/>
      <w:r w:rsidRPr="004F7A33">
        <w:rPr>
          <w:rFonts w:ascii="Arial" w:eastAsia="Times New Roman" w:hAnsi="Arial" w:cs="Arial"/>
        </w:rPr>
        <w:t>Seman</w:t>
      </w:r>
      <w:proofErr w:type="spellEnd"/>
      <w:r w:rsidRPr="004F7A33">
        <w:rPr>
          <w:rFonts w:ascii="Arial" w:eastAsia="Times New Roman" w:hAnsi="Arial" w:cs="Arial"/>
        </w:rPr>
        <w:t xml:space="preserve">, Ahmad and </w:t>
      </w:r>
      <w:proofErr w:type="spellStart"/>
      <w:r w:rsidRPr="004F7A33">
        <w:rPr>
          <w:rFonts w:ascii="Arial" w:eastAsia="Times New Roman" w:hAnsi="Arial" w:cs="Arial"/>
        </w:rPr>
        <w:t>Alhussian</w:t>
      </w:r>
      <w:proofErr w:type="spellEnd"/>
      <w:r w:rsidRPr="004F7A33">
        <w:rPr>
          <w:rFonts w:ascii="Arial" w:eastAsia="Times New Roman" w:hAnsi="Arial" w:cs="Arial"/>
        </w:rPr>
        <w:t xml:space="preserve"> (2020), due to the digitalisation of the companies, </w:t>
      </w:r>
      <w:r w:rsidRPr="004F7A33">
        <w:rPr>
          <w:rFonts w:ascii="Arial" w:eastAsia="Times New Roman" w:hAnsi="Arial" w:cs="Arial"/>
        </w:rPr>
        <w:lastRenderedPageBreak/>
        <w:t>the customer base has been evolving for several companies, as the limitation to use internet increments among senior citizens. By taking help of Customer Relationship Management (CRM) and Corporate Social Responsibility (CSR), the organisations could be boosting their e-commerce channels (</w:t>
      </w:r>
      <w:proofErr w:type="spellStart"/>
      <w:r w:rsidRPr="004F7A33">
        <w:rPr>
          <w:rFonts w:ascii="Arial" w:eastAsia="Times New Roman" w:hAnsi="Arial" w:cs="Arial"/>
        </w:rPr>
        <w:t>Makinde</w:t>
      </w:r>
      <w:proofErr w:type="spellEnd"/>
      <w:r w:rsidRPr="004F7A33">
        <w:rPr>
          <w:rFonts w:ascii="Arial" w:eastAsia="Times New Roman" w:hAnsi="Arial" w:cs="Arial"/>
        </w:rPr>
        <w:t xml:space="preserve"> </w:t>
      </w:r>
      <w:r w:rsidRPr="004F7A33">
        <w:rPr>
          <w:rFonts w:ascii="Arial" w:eastAsia="Times New Roman" w:hAnsi="Arial" w:cs="Arial"/>
          <w:i/>
          <w:iCs/>
        </w:rPr>
        <w:t xml:space="preserve">et al., </w:t>
      </w:r>
      <w:r w:rsidRPr="004F7A33">
        <w:rPr>
          <w:rFonts w:ascii="Arial" w:eastAsia="Times New Roman" w:hAnsi="Arial" w:cs="Arial"/>
        </w:rPr>
        <w:t xml:space="preserve">2020). MITIE Security is boosting their online channels of transactions, with offers that can be redeemed online. It is essential for organisations to maintain the integrity of security personnel online, as it is a factor directly proportional to the customer engagement and customer experience (Khanna, 2018). To maintain a healthy consumer-organisation relationship, the security behaviour of the organisation regulates the consumer behaviour from an online aspect. </w:t>
      </w:r>
    </w:p>
    <w:p w14:paraId="55C72EB2"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The integrity of MITIE Security is phenomenal and well known in UK, as it holds the stature of being the largest intelligence-led security business. For maintaining the quality, it provides to its existent customers, and to build an online customer base among the pandemic, MITIE Security launched the Global Security Operations service, which was led by intelligence, and technologically advanced protocols. 20,000 security officers led by top specialists of UK to ensure the safety of MITIE’s customers followed the operation, where the customers would be receiving advanced security for online threats in a B2B communication (Mitie, 2020). </w:t>
      </w:r>
    </w:p>
    <w:p w14:paraId="55574C9D"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One of the </w:t>
      </w:r>
      <w:proofErr w:type="gramStart"/>
      <w:r w:rsidRPr="004F7A33">
        <w:rPr>
          <w:rFonts w:ascii="Arial" w:eastAsia="Times New Roman" w:hAnsi="Arial" w:cs="Arial"/>
        </w:rPr>
        <w:t>primary</w:t>
      </w:r>
      <w:proofErr w:type="gramEnd"/>
      <w:r w:rsidRPr="004F7A33">
        <w:rPr>
          <w:rFonts w:ascii="Arial" w:eastAsia="Times New Roman" w:hAnsi="Arial" w:cs="Arial"/>
        </w:rPr>
        <w:t xml:space="preserve"> aims of MITIE was to reach out to its customers with an advanced public security program, which would support businesses in working efficiently without any external factor to think about. As MITIE collaborated with the Police forces and the data analytics tools to enhance the security personnel, it is aiming to create a threat-free atmosphere for its customers. Since the outbreak of COVID-19, the virus has affected the organisation along with some internal and external influences. As opined by </w:t>
      </w:r>
      <w:proofErr w:type="spellStart"/>
      <w:r w:rsidRPr="004F7A33">
        <w:rPr>
          <w:rFonts w:ascii="Arial" w:eastAsia="Times New Roman" w:hAnsi="Arial" w:cs="Arial"/>
        </w:rPr>
        <w:t>Išoraitė</w:t>
      </w:r>
      <w:proofErr w:type="spellEnd"/>
      <w:r w:rsidRPr="004F7A33">
        <w:rPr>
          <w:rFonts w:ascii="Arial" w:eastAsia="Times New Roman" w:hAnsi="Arial" w:cs="Arial"/>
        </w:rPr>
        <w:t xml:space="preserve"> (2016), the influences would be analysed using the 5Ps of Marketing, PESTLE, stakeholder matrix, and balanced scorecard.  </w:t>
      </w:r>
    </w:p>
    <w:p w14:paraId="1122F6BC" w14:textId="317CA4C1" w:rsidR="004F7A33" w:rsidRPr="004F7A33" w:rsidRDefault="004F7A33" w:rsidP="00A4390F">
      <w:pPr>
        <w:spacing w:after="200" w:line="360" w:lineRule="auto"/>
        <w:jc w:val="both"/>
        <w:rPr>
          <w:rFonts w:ascii="Arial" w:eastAsia="Times New Roman" w:hAnsi="Arial" w:cs="Arial"/>
          <w:b/>
          <w:bCs/>
          <w:i/>
          <w:iCs/>
        </w:rPr>
      </w:pPr>
      <w:r w:rsidRPr="004F7A33">
        <w:rPr>
          <w:rFonts w:ascii="Arial" w:eastAsia="Times New Roman" w:hAnsi="Arial" w:cs="Arial"/>
          <w:b/>
          <w:bCs/>
          <w:i/>
          <w:iCs/>
        </w:rPr>
        <w:t>Implementation of 5Ps of Marketing</w:t>
      </w:r>
    </w:p>
    <w:p w14:paraId="056039A8"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In the opinion of Ahuja and Loura (2018), as per the 5Ps of marketing discusses, every organisation needs a strategic blueprint to move forward with the planning, or else it can turn disastrous in the very much beginning. MITIE Security has been helping their customers online since the outbreak of Corona virus. The amount of promotion done based on the product marketing of the recently launched products of the MITIE’s have been ensuring public safety on a larger and more secure scale. </w:t>
      </w:r>
      <w:proofErr w:type="gramStart"/>
      <w:r w:rsidRPr="004F7A33">
        <w:rPr>
          <w:rFonts w:ascii="Arial" w:eastAsia="Times New Roman" w:hAnsi="Arial" w:cs="Arial"/>
        </w:rPr>
        <w:t>In order to</w:t>
      </w:r>
      <w:proofErr w:type="gramEnd"/>
      <w:r w:rsidRPr="004F7A33">
        <w:rPr>
          <w:rFonts w:ascii="Arial" w:eastAsia="Times New Roman" w:hAnsi="Arial" w:cs="Arial"/>
        </w:rPr>
        <w:t xml:space="preserve"> discuss that, the 5Ps need to be discussed thoroughly including </w:t>
      </w:r>
      <w:r w:rsidRPr="004F7A33">
        <w:rPr>
          <w:rFonts w:ascii="Arial" w:eastAsia="Times New Roman" w:hAnsi="Arial" w:cs="Arial"/>
          <w:i/>
        </w:rPr>
        <w:t>Product, Price, Promotion, People, and Place</w:t>
      </w:r>
      <w:r w:rsidRPr="004F7A33">
        <w:rPr>
          <w:rFonts w:ascii="Arial" w:eastAsia="Times New Roman" w:hAnsi="Arial" w:cs="Arial"/>
        </w:rPr>
        <w:t xml:space="preserve"> (</w:t>
      </w:r>
      <w:proofErr w:type="spellStart"/>
      <w:r w:rsidRPr="004F7A33">
        <w:rPr>
          <w:rFonts w:ascii="Arial" w:eastAsia="Times New Roman" w:hAnsi="Arial" w:cs="Arial"/>
        </w:rPr>
        <w:t>Išoraitė</w:t>
      </w:r>
      <w:proofErr w:type="spellEnd"/>
      <w:r w:rsidRPr="004F7A33">
        <w:rPr>
          <w:rFonts w:ascii="Arial" w:eastAsia="Times New Roman" w:hAnsi="Arial" w:cs="Arial"/>
        </w:rPr>
        <w:t xml:space="preserve">, 2016). </w:t>
      </w:r>
    </w:p>
    <w:p w14:paraId="57908DB7"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From the perspective of </w:t>
      </w:r>
      <w:r w:rsidRPr="004F7A33">
        <w:rPr>
          <w:rFonts w:ascii="Arial" w:eastAsia="Times New Roman" w:hAnsi="Arial" w:cs="Arial"/>
          <w:b/>
          <w:bCs/>
          <w:i/>
          <w:iCs/>
        </w:rPr>
        <w:t>Product</w:t>
      </w:r>
      <w:r w:rsidRPr="004F7A33">
        <w:rPr>
          <w:rFonts w:ascii="Arial" w:eastAsia="Times New Roman" w:hAnsi="Arial" w:cs="Arial"/>
        </w:rPr>
        <w:t>, MITIE Security has been launching products for public safety, and from an organisational perspective, product is something that is related to the customers for beneficial purposes. However, the collaborative launch of ‘</w:t>
      </w:r>
      <w:r w:rsidRPr="004F7A33">
        <w:rPr>
          <w:rFonts w:ascii="Arial" w:eastAsia="Times New Roman" w:hAnsi="Arial" w:cs="Arial"/>
          <w:i/>
        </w:rPr>
        <w:t xml:space="preserve">Global Security </w:t>
      </w:r>
      <w:r w:rsidRPr="004F7A33">
        <w:rPr>
          <w:rFonts w:ascii="Arial" w:eastAsia="Times New Roman" w:hAnsi="Arial" w:cs="Arial"/>
          <w:i/>
        </w:rPr>
        <w:lastRenderedPageBreak/>
        <w:t>Operations Service’</w:t>
      </w:r>
      <w:r w:rsidRPr="004F7A33">
        <w:rPr>
          <w:rFonts w:ascii="Arial" w:eastAsia="Times New Roman" w:hAnsi="Arial" w:cs="Arial"/>
        </w:rPr>
        <w:t xml:space="preserve"> was more of a quick decision based on the gravity of the situation to keep the customers engaged and experienced in order to create an online base (Abril and Rodrigues-Canovas, 2016). </w:t>
      </w:r>
    </w:p>
    <w:p w14:paraId="5F997B59"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As per the </w:t>
      </w:r>
      <w:r w:rsidRPr="004F7A33">
        <w:rPr>
          <w:rFonts w:ascii="Arial" w:eastAsia="Times New Roman" w:hAnsi="Arial" w:cs="Arial"/>
          <w:b/>
          <w:bCs/>
          <w:i/>
          <w:iCs/>
        </w:rPr>
        <w:t xml:space="preserve">Price, </w:t>
      </w:r>
      <w:r w:rsidRPr="004F7A33">
        <w:rPr>
          <w:rFonts w:ascii="Arial" w:eastAsia="Times New Roman" w:hAnsi="Arial" w:cs="Arial"/>
        </w:rPr>
        <w:t xml:space="preserve">MITIE Security is conducting a B2B communication, and according to the amount of security offered, the range of security varies with the price. In the opinion of Li and Lee (2017), the price of a product is dependent on the socio-economic culture, along with the psychological wants and needs of the customer. In this case, customer satisfaction is based on the amount of security offered in a rough time like this, and the offers provided in such a short span have put the customer integrity first. Thus, it shows how much respect and prioritisation MITIE have been showing to their customers. In case of </w:t>
      </w:r>
      <w:r w:rsidRPr="004F7A33">
        <w:rPr>
          <w:rFonts w:ascii="Arial" w:eastAsia="Times New Roman" w:hAnsi="Arial" w:cs="Arial"/>
          <w:b/>
          <w:bCs/>
          <w:i/>
          <w:iCs/>
        </w:rPr>
        <w:t>Promotion</w:t>
      </w:r>
      <w:r w:rsidRPr="004F7A33">
        <w:rPr>
          <w:rFonts w:ascii="Arial" w:eastAsia="Times New Roman" w:hAnsi="Arial" w:cs="Arial"/>
        </w:rPr>
        <w:t xml:space="preserve">, the opportunity MITIE has received is golden, as digitalisation acts like a blessing when the initial target is online market. According to Thabit and </w:t>
      </w:r>
      <w:proofErr w:type="spellStart"/>
      <w:r w:rsidRPr="004F7A33">
        <w:rPr>
          <w:rFonts w:ascii="Arial" w:eastAsia="Times New Roman" w:hAnsi="Arial" w:cs="Arial"/>
        </w:rPr>
        <w:t>Raewf</w:t>
      </w:r>
      <w:proofErr w:type="spellEnd"/>
      <w:r w:rsidRPr="004F7A33">
        <w:rPr>
          <w:rFonts w:ascii="Arial" w:eastAsia="Times New Roman" w:hAnsi="Arial" w:cs="Arial"/>
        </w:rPr>
        <w:t xml:space="preserve"> (2018), social media marketing and digital marketing led by the group of technologically advanced employees have been helping the organisation to promote its product on a larger scale. </w:t>
      </w:r>
    </w:p>
    <w:p w14:paraId="1E1DE551"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According to the </w:t>
      </w:r>
      <w:r w:rsidRPr="004F7A33">
        <w:rPr>
          <w:rFonts w:ascii="Arial" w:eastAsia="Times New Roman" w:hAnsi="Arial" w:cs="Arial"/>
          <w:b/>
          <w:bCs/>
          <w:i/>
          <w:iCs/>
        </w:rPr>
        <w:t>Place</w:t>
      </w:r>
      <w:r w:rsidRPr="004F7A33">
        <w:rPr>
          <w:rFonts w:ascii="Arial" w:eastAsia="Times New Roman" w:hAnsi="Arial" w:cs="Arial"/>
        </w:rPr>
        <w:t xml:space="preserve">, as the product is targeting to serve the online market, the place must be digital. With the help of online market, MITIE can reach out to potential leads based on the launch of this product by prioritising their customers standing on the ground of digital marketing (Ahuja and Loura, 2018). As per the </w:t>
      </w:r>
      <w:r w:rsidRPr="004F7A33">
        <w:rPr>
          <w:rFonts w:ascii="Arial" w:eastAsia="Times New Roman" w:hAnsi="Arial" w:cs="Arial"/>
          <w:b/>
          <w:bCs/>
          <w:i/>
          <w:iCs/>
        </w:rPr>
        <w:t xml:space="preserve">People, </w:t>
      </w:r>
      <w:r w:rsidRPr="004F7A33">
        <w:rPr>
          <w:rFonts w:ascii="Arial" w:eastAsia="Times New Roman" w:hAnsi="Arial" w:cs="Arial"/>
        </w:rPr>
        <w:t xml:space="preserve">MITIE Security has been an emblem of trust and integrity during dark times like this, which will justify the bond between the organisation and the customer (Thabit and </w:t>
      </w:r>
      <w:proofErr w:type="spellStart"/>
      <w:r w:rsidRPr="004F7A33">
        <w:rPr>
          <w:rFonts w:ascii="Arial" w:eastAsia="Times New Roman" w:hAnsi="Arial" w:cs="Arial"/>
        </w:rPr>
        <w:t>Raewf</w:t>
      </w:r>
      <w:proofErr w:type="spellEnd"/>
      <w:r w:rsidRPr="004F7A33">
        <w:rPr>
          <w:rFonts w:ascii="Arial" w:eastAsia="Times New Roman" w:hAnsi="Arial" w:cs="Arial"/>
        </w:rPr>
        <w:t xml:space="preserve">, 2018). For maintaining a healthy relationship, MITIE has been performing at their best, and justifying the fact repeatedly on why </w:t>
      </w:r>
      <w:proofErr w:type="gramStart"/>
      <w:r w:rsidRPr="004F7A33">
        <w:rPr>
          <w:rFonts w:ascii="Arial" w:eastAsia="Times New Roman" w:hAnsi="Arial" w:cs="Arial"/>
        </w:rPr>
        <w:t>are they</w:t>
      </w:r>
      <w:proofErr w:type="gramEnd"/>
      <w:r w:rsidRPr="004F7A33">
        <w:rPr>
          <w:rFonts w:ascii="Arial" w:eastAsia="Times New Roman" w:hAnsi="Arial" w:cs="Arial"/>
        </w:rPr>
        <w:t xml:space="preserve"> called as the UK’s leading intelligence-based security organisation. </w:t>
      </w:r>
    </w:p>
    <w:p w14:paraId="7BF3220C" w14:textId="15C95CBA" w:rsidR="004F7A33" w:rsidRPr="004F7A33" w:rsidRDefault="004F7A33" w:rsidP="00A4390F">
      <w:pPr>
        <w:spacing w:after="200" w:line="360" w:lineRule="auto"/>
        <w:jc w:val="both"/>
        <w:rPr>
          <w:rFonts w:ascii="Arial" w:eastAsia="Times New Roman" w:hAnsi="Arial" w:cs="Arial"/>
          <w:b/>
          <w:bCs/>
          <w:i/>
          <w:iCs/>
        </w:rPr>
      </w:pPr>
      <w:r w:rsidRPr="004F7A33">
        <w:rPr>
          <w:rFonts w:ascii="Arial" w:eastAsia="Times New Roman" w:hAnsi="Arial" w:cs="Arial"/>
          <w:b/>
          <w:bCs/>
          <w:i/>
          <w:iCs/>
        </w:rPr>
        <w:t>Implementation of PESTLE Analysis</w:t>
      </w:r>
    </w:p>
    <w:p w14:paraId="396E2D75"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The </w:t>
      </w:r>
      <w:r w:rsidRPr="004F7A33">
        <w:rPr>
          <w:rFonts w:ascii="Arial" w:eastAsia="Times New Roman" w:hAnsi="Arial" w:cs="Arial"/>
          <w:b/>
          <w:bCs/>
          <w:i/>
          <w:iCs/>
        </w:rPr>
        <w:t xml:space="preserve">Political </w:t>
      </w:r>
      <w:r w:rsidRPr="004F7A33">
        <w:rPr>
          <w:rFonts w:ascii="Arial" w:eastAsia="Times New Roman" w:hAnsi="Arial" w:cs="Arial"/>
        </w:rPr>
        <w:t xml:space="preserve">scenario emphasises on the fact that influences the strategies of MITIE amidst the pandemic. Due to the government-based decisions, a certain amount of taxes has been imposed on several transactions to save the GDP growth of the country during a rough time. The news of Boris Johnson, Prime Minister of the UK getting affected by the COVID-19 after following several precautions had given rise to the controversy of public safety (Peng </w:t>
      </w:r>
      <w:r w:rsidRPr="004F7A33">
        <w:rPr>
          <w:rFonts w:ascii="Arial" w:eastAsia="Times New Roman" w:hAnsi="Arial" w:cs="Arial"/>
          <w:i/>
          <w:iCs/>
        </w:rPr>
        <w:t xml:space="preserve">et al., </w:t>
      </w:r>
      <w:r w:rsidRPr="004F7A33">
        <w:rPr>
          <w:rFonts w:ascii="Arial" w:eastAsia="Times New Roman" w:hAnsi="Arial" w:cs="Arial"/>
        </w:rPr>
        <w:t xml:space="preserve">2020). As per the </w:t>
      </w:r>
      <w:r w:rsidRPr="004F7A33">
        <w:rPr>
          <w:rFonts w:ascii="Arial" w:eastAsia="Times New Roman" w:hAnsi="Arial" w:cs="Arial"/>
          <w:b/>
          <w:bCs/>
          <w:i/>
          <w:iCs/>
        </w:rPr>
        <w:t xml:space="preserve">Economic </w:t>
      </w:r>
      <w:r w:rsidRPr="004F7A33">
        <w:rPr>
          <w:rFonts w:ascii="Arial" w:eastAsia="Times New Roman" w:hAnsi="Arial" w:cs="Arial"/>
        </w:rPr>
        <w:t xml:space="preserve">scenario, the following rate of inflation has been affecting the business activities. However, the release of the several services including the Global Security Operations Centre (GSOC) has given opportunity to the organisation for boosting the economy based on the promotional activities (Rastogi and Trivedi, 2016). MITIE can overcome the economic crisis during the period of fallen GDP by targeting organisations globally, which might lead to rise of their economy. According to Keogh-Brown </w:t>
      </w:r>
      <w:r w:rsidRPr="004F7A33">
        <w:rPr>
          <w:rFonts w:ascii="Arial" w:eastAsia="Times New Roman" w:hAnsi="Arial" w:cs="Arial"/>
          <w:i/>
          <w:iCs/>
        </w:rPr>
        <w:t xml:space="preserve">et al. </w:t>
      </w:r>
      <w:r w:rsidRPr="004F7A33">
        <w:rPr>
          <w:rFonts w:ascii="Arial" w:eastAsia="Times New Roman" w:hAnsi="Arial" w:cs="Arial"/>
        </w:rPr>
        <w:t xml:space="preserve">(2020), in case the </w:t>
      </w:r>
      <w:r w:rsidRPr="004F7A33">
        <w:rPr>
          <w:rFonts w:ascii="Arial" w:eastAsia="Times New Roman" w:hAnsi="Arial" w:cs="Arial"/>
        </w:rPr>
        <w:lastRenderedPageBreak/>
        <w:t xml:space="preserve">economic development blooms in the organisation, it will indirectly help the national GDP to grow. </w:t>
      </w:r>
    </w:p>
    <w:p w14:paraId="52D2A829"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In case of the </w:t>
      </w:r>
      <w:r w:rsidRPr="004F7A33">
        <w:rPr>
          <w:rFonts w:ascii="Arial" w:eastAsia="Times New Roman" w:hAnsi="Arial" w:cs="Arial"/>
          <w:b/>
          <w:bCs/>
          <w:i/>
          <w:iCs/>
        </w:rPr>
        <w:t xml:space="preserve">Social </w:t>
      </w:r>
      <w:r w:rsidRPr="004F7A33">
        <w:rPr>
          <w:rFonts w:ascii="Arial" w:eastAsia="Times New Roman" w:hAnsi="Arial" w:cs="Arial"/>
        </w:rPr>
        <w:t>scenario, the world has seen a rapid outspread of the Covid-19 through community transmission in the UK, which resulted in a straight lockdown for six months (</w:t>
      </w:r>
      <w:proofErr w:type="spellStart"/>
      <w:r w:rsidRPr="004F7A33">
        <w:rPr>
          <w:rFonts w:ascii="Arial" w:eastAsia="Times New Roman" w:hAnsi="Arial" w:cs="Arial"/>
        </w:rPr>
        <w:t>Peto</w:t>
      </w:r>
      <w:proofErr w:type="spellEnd"/>
      <w:r w:rsidRPr="004F7A33">
        <w:rPr>
          <w:rFonts w:ascii="Arial" w:eastAsia="Times New Roman" w:hAnsi="Arial" w:cs="Arial"/>
        </w:rPr>
        <w:t xml:space="preserve"> </w:t>
      </w:r>
      <w:r w:rsidRPr="004F7A33">
        <w:rPr>
          <w:rFonts w:ascii="Arial" w:eastAsia="Times New Roman" w:hAnsi="Arial" w:cs="Arial"/>
          <w:i/>
          <w:iCs/>
        </w:rPr>
        <w:t xml:space="preserve">et al., </w:t>
      </w:r>
      <w:r w:rsidRPr="004F7A33">
        <w:rPr>
          <w:rFonts w:ascii="Arial" w:eastAsia="Times New Roman" w:hAnsi="Arial" w:cs="Arial"/>
        </w:rPr>
        <w:t xml:space="preserve">2020). Eventually, it created a social stigma, which was resolved based on the kick-start of the digitalisation all around the globe. MITIE took advantage of the </w:t>
      </w:r>
      <w:proofErr w:type="gramStart"/>
      <w:r w:rsidRPr="004F7A33">
        <w:rPr>
          <w:rFonts w:ascii="Arial" w:eastAsia="Times New Roman" w:hAnsi="Arial" w:cs="Arial"/>
        </w:rPr>
        <w:t>scenario, and</w:t>
      </w:r>
      <w:proofErr w:type="gramEnd"/>
      <w:r w:rsidRPr="004F7A33">
        <w:rPr>
          <w:rFonts w:ascii="Arial" w:eastAsia="Times New Roman" w:hAnsi="Arial" w:cs="Arial"/>
        </w:rPr>
        <w:t xml:space="preserve"> launched a program that could be helpful to its customer base. This was a well-planned </w:t>
      </w:r>
      <w:proofErr w:type="gramStart"/>
      <w:r w:rsidRPr="004F7A33">
        <w:rPr>
          <w:rFonts w:ascii="Arial" w:eastAsia="Times New Roman" w:hAnsi="Arial" w:cs="Arial"/>
        </w:rPr>
        <w:t>move, since</w:t>
      </w:r>
      <w:proofErr w:type="gramEnd"/>
      <w:r w:rsidRPr="004F7A33">
        <w:rPr>
          <w:rFonts w:ascii="Arial" w:eastAsia="Times New Roman" w:hAnsi="Arial" w:cs="Arial"/>
        </w:rPr>
        <w:t xml:space="preserve"> it created an image of trust and reliability during vulnerable times. The most efficient yet adaptive </w:t>
      </w:r>
      <w:r w:rsidRPr="004F7A33">
        <w:rPr>
          <w:rFonts w:ascii="Arial" w:eastAsia="Times New Roman" w:hAnsi="Arial" w:cs="Arial"/>
          <w:b/>
          <w:bCs/>
          <w:i/>
          <w:iCs/>
        </w:rPr>
        <w:t xml:space="preserve">Technological </w:t>
      </w:r>
      <w:r w:rsidRPr="004F7A33">
        <w:rPr>
          <w:rFonts w:ascii="Arial" w:eastAsia="Times New Roman" w:hAnsi="Arial" w:cs="Arial"/>
        </w:rPr>
        <w:t xml:space="preserve">scenario that could change the future of customer satisfaction using the internet happened right after Covid-19 outbreak. According to Tanner and Richter (2018), digitalisation changed aspect of consumer-organisation relationship, and MITIE chalked out the vulnerabilities of the aspect through PESTLE analysis and customer feedbacks. The process helped the organisation analyse the situation, which made them launch a security program that hits the </w:t>
      </w:r>
      <w:r w:rsidRPr="004F7A33">
        <w:rPr>
          <w:rFonts w:ascii="Arial" w:eastAsia="Times New Roman" w:hAnsi="Arial" w:cs="Arial"/>
          <w:i/>
        </w:rPr>
        <w:t>‘sweet spot’</w:t>
      </w:r>
      <w:r w:rsidRPr="004F7A33">
        <w:rPr>
          <w:rFonts w:ascii="Arial" w:eastAsia="Times New Roman" w:hAnsi="Arial" w:cs="Arial"/>
        </w:rPr>
        <w:t xml:space="preserve"> of the technological drawback (Jain, 2019). MITIE itself is the leading security business organisation in the UK, thus it is expected that the organisation is ethically or </w:t>
      </w:r>
      <w:r w:rsidRPr="004F7A33">
        <w:rPr>
          <w:rFonts w:ascii="Arial" w:eastAsia="Times New Roman" w:hAnsi="Arial" w:cs="Arial"/>
          <w:b/>
          <w:bCs/>
          <w:i/>
          <w:iCs/>
        </w:rPr>
        <w:t>legally</w:t>
      </w:r>
      <w:r w:rsidRPr="004F7A33">
        <w:rPr>
          <w:rFonts w:ascii="Arial" w:eastAsia="Times New Roman" w:hAnsi="Arial" w:cs="Arial"/>
        </w:rPr>
        <w:t xml:space="preserve"> free from any compliance. Lastly, the rate of </w:t>
      </w:r>
      <w:r w:rsidRPr="004F7A33">
        <w:rPr>
          <w:rFonts w:ascii="Arial" w:eastAsia="Times New Roman" w:hAnsi="Arial" w:cs="Arial"/>
          <w:b/>
          <w:bCs/>
          <w:i/>
          <w:iCs/>
        </w:rPr>
        <w:t xml:space="preserve">Environmental </w:t>
      </w:r>
      <w:r w:rsidRPr="004F7A33">
        <w:rPr>
          <w:rFonts w:ascii="Arial" w:eastAsia="Times New Roman" w:hAnsi="Arial" w:cs="Arial"/>
        </w:rPr>
        <w:t xml:space="preserve">factors affecting the business have lowered down eventually, and due to the national lockdown happening it has put a halt on air pollution, thus the climate change (Sarwar </w:t>
      </w:r>
      <w:r w:rsidRPr="004F7A33">
        <w:rPr>
          <w:rFonts w:ascii="Arial" w:eastAsia="Times New Roman" w:hAnsi="Arial" w:cs="Arial"/>
          <w:i/>
          <w:iCs/>
        </w:rPr>
        <w:t xml:space="preserve">et al., </w:t>
      </w:r>
      <w:r w:rsidRPr="004F7A33">
        <w:rPr>
          <w:rFonts w:ascii="Arial" w:eastAsia="Times New Roman" w:hAnsi="Arial" w:cs="Arial"/>
        </w:rPr>
        <w:t xml:space="preserve">2017). </w:t>
      </w:r>
    </w:p>
    <w:p w14:paraId="768A11BF" w14:textId="77777777" w:rsidR="004F7A33" w:rsidRPr="004F7A33" w:rsidRDefault="004F7A33" w:rsidP="00A4390F">
      <w:pPr>
        <w:spacing w:after="200" w:line="360" w:lineRule="auto"/>
        <w:jc w:val="both"/>
        <w:rPr>
          <w:rFonts w:ascii="Arial" w:eastAsia="Times New Roman" w:hAnsi="Arial" w:cs="Arial"/>
          <w:b/>
          <w:bCs/>
          <w:i/>
          <w:iCs/>
        </w:rPr>
      </w:pPr>
      <w:r w:rsidRPr="004F7A33">
        <w:rPr>
          <w:rFonts w:ascii="Arial" w:eastAsia="Times New Roman" w:hAnsi="Arial" w:cs="Arial"/>
          <w:b/>
          <w:bCs/>
          <w:i/>
          <w:iCs/>
        </w:rPr>
        <w:t>Implementation of Stakeholder Matrix for internal environment</w:t>
      </w:r>
    </w:p>
    <w:p w14:paraId="29D7B8F6"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Business organisations and stakeholders are mutually dependent on each other, and unlike every other organisation, the internal cooperation depends on its stakeholders. As opined by </w:t>
      </w:r>
      <w:proofErr w:type="spellStart"/>
      <w:r w:rsidRPr="004F7A33">
        <w:rPr>
          <w:rFonts w:ascii="Arial" w:eastAsia="Times New Roman" w:hAnsi="Arial" w:cs="Arial"/>
        </w:rPr>
        <w:t>Freudenreich</w:t>
      </w:r>
      <w:proofErr w:type="spellEnd"/>
      <w:r w:rsidRPr="004F7A33">
        <w:rPr>
          <w:rFonts w:ascii="Arial" w:eastAsia="Times New Roman" w:hAnsi="Arial" w:cs="Arial"/>
        </w:rPr>
        <w:t xml:space="preserve">, </w:t>
      </w:r>
      <w:proofErr w:type="spellStart"/>
      <w:r w:rsidRPr="004F7A33">
        <w:rPr>
          <w:rFonts w:ascii="Arial" w:eastAsia="Times New Roman" w:hAnsi="Arial" w:cs="Arial"/>
        </w:rPr>
        <w:t>Lüdeke</w:t>
      </w:r>
      <w:proofErr w:type="spellEnd"/>
      <w:r w:rsidRPr="004F7A33">
        <w:rPr>
          <w:rFonts w:ascii="Arial" w:eastAsia="Times New Roman" w:hAnsi="Arial" w:cs="Arial"/>
        </w:rPr>
        <w:t xml:space="preserve">-Freund and </w:t>
      </w:r>
      <w:proofErr w:type="spellStart"/>
      <w:r w:rsidRPr="004F7A33">
        <w:rPr>
          <w:rFonts w:ascii="Arial" w:eastAsia="Times New Roman" w:hAnsi="Arial" w:cs="Arial"/>
        </w:rPr>
        <w:t>Schaltegger</w:t>
      </w:r>
      <w:proofErr w:type="spellEnd"/>
      <w:r w:rsidRPr="004F7A33">
        <w:rPr>
          <w:rFonts w:ascii="Arial" w:eastAsia="Times New Roman" w:hAnsi="Arial" w:cs="Arial"/>
        </w:rPr>
        <w:t xml:space="preserve"> (2020), the internal stakeholders consists of organisational leaders, along with the employees and trustees, since the internal equilibrium maintains on the shoulders of the employees and the directors, and on the note of how well both the parties can synchronise (Freeman and </w:t>
      </w:r>
      <w:proofErr w:type="spellStart"/>
      <w:r w:rsidRPr="004F7A33">
        <w:rPr>
          <w:rFonts w:ascii="Arial" w:eastAsia="Times New Roman" w:hAnsi="Arial" w:cs="Arial"/>
        </w:rPr>
        <w:t>Dmytriyev</w:t>
      </w:r>
      <w:proofErr w:type="spellEnd"/>
      <w:r w:rsidRPr="004F7A33">
        <w:rPr>
          <w:rFonts w:ascii="Arial" w:eastAsia="Times New Roman" w:hAnsi="Arial" w:cs="Arial"/>
        </w:rPr>
        <w:t xml:space="preserve">, 2017). Due to the internal environment of MITIE, and how the Covid-19 has affected the fact that the organisation </w:t>
      </w:r>
      <w:proofErr w:type="gramStart"/>
      <w:r w:rsidRPr="004F7A33">
        <w:rPr>
          <w:rFonts w:ascii="Arial" w:eastAsia="Times New Roman" w:hAnsi="Arial" w:cs="Arial"/>
        </w:rPr>
        <w:t>has to</w:t>
      </w:r>
      <w:proofErr w:type="gramEnd"/>
      <w:r w:rsidRPr="004F7A33">
        <w:rPr>
          <w:rFonts w:ascii="Arial" w:eastAsia="Times New Roman" w:hAnsi="Arial" w:cs="Arial"/>
        </w:rPr>
        <w:t xml:space="preserve"> switch digital altogether has made the stakeholders realise the worth of online marketing, and customer satisfaction. With the outbreak of Covid-19, it has been acting like a blessing to the online corporations, as it has given the consumers enough time to evaluate the mind-set towards digital transactions of products and services. </w:t>
      </w:r>
    </w:p>
    <w:p w14:paraId="53DF707C" w14:textId="77777777" w:rsidR="004F7A33" w:rsidRPr="004F7A33" w:rsidRDefault="004F7A33" w:rsidP="00A4390F">
      <w:pPr>
        <w:spacing w:after="200" w:line="360" w:lineRule="auto"/>
        <w:jc w:val="center"/>
        <w:rPr>
          <w:rFonts w:ascii="Arial" w:eastAsia="Times New Roman" w:hAnsi="Arial" w:cs="Arial"/>
        </w:rPr>
      </w:pPr>
      <w:r w:rsidRPr="004F7A33">
        <w:rPr>
          <w:rFonts w:ascii="Arial" w:eastAsia="Times New Roman" w:hAnsi="Arial" w:cs="Arial"/>
          <w:noProof/>
          <w:lang w:val="en-US"/>
        </w:rPr>
        <w:lastRenderedPageBreak/>
        <w:drawing>
          <wp:inline distT="0" distB="0" distL="0" distR="0" wp14:anchorId="03F4EEF3" wp14:editId="667F84D7">
            <wp:extent cx="3707460" cy="3400425"/>
            <wp:effectExtent l="0" t="0" r="7620" b="0"/>
            <wp:docPr id="4" name="Picture 4" descr="C:\Users\user\Desktop\Content Writing\Photos\stakeholder-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Content Writing\Photos\stakeholder-matrix.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28494" cy="3419717"/>
                    </a:xfrm>
                    <a:prstGeom prst="rect">
                      <a:avLst/>
                    </a:prstGeom>
                    <a:noFill/>
                    <a:ln>
                      <a:noFill/>
                    </a:ln>
                  </pic:spPr>
                </pic:pic>
              </a:graphicData>
            </a:graphic>
          </wp:inline>
        </w:drawing>
      </w:r>
    </w:p>
    <w:p w14:paraId="3DEB2AF3" w14:textId="77777777" w:rsidR="004F7A33" w:rsidRPr="004F7A33" w:rsidRDefault="004F7A33" w:rsidP="00A4390F">
      <w:pPr>
        <w:spacing w:after="200" w:line="360" w:lineRule="auto"/>
        <w:jc w:val="center"/>
        <w:rPr>
          <w:rFonts w:ascii="Arial" w:eastAsia="Times New Roman" w:hAnsi="Arial" w:cs="Arial"/>
          <w:b/>
          <w:bCs/>
        </w:rPr>
      </w:pPr>
      <w:r w:rsidRPr="004F7A33">
        <w:rPr>
          <w:rFonts w:ascii="Arial" w:eastAsia="Times New Roman" w:hAnsi="Arial" w:cs="Arial"/>
          <w:b/>
          <w:bCs/>
        </w:rPr>
        <w:t>Figure 3: Stakeholder Matrix of MITIE</w:t>
      </w:r>
    </w:p>
    <w:p w14:paraId="01DB8752" w14:textId="77777777" w:rsidR="004F7A33" w:rsidRPr="004F7A33" w:rsidRDefault="004F7A33" w:rsidP="00A4390F">
      <w:pPr>
        <w:spacing w:after="200" w:line="360" w:lineRule="auto"/>
        <w:jc w:val="center"/>
        <w:rPr>
          <w:rFonts w:ascii="Arial" w:eastAsia="Times New Roman" w:hAnsi="Arial" w:cs="Arial"/>
        </w:rPr>
      </w:pPr>
      <w:r w:rsidRPr="004F7A33">
        <w:rPr>
          <w:rFonts w:ascii="Arial" w:eastAsia="Times New Roman" w:hAnsi="Arial" w:cs="Arial"/>
        </w:rPr>
        <w:t xml:space="preserve">(Source: </w:t>
      </w:r>
      <w:r w:rsidRPr="004F7A33">
        <w:rPr>
          <w:rFonts w:ascii="Arial" w:eastAsia="Times New Roman" w:hAnsi="Arial" w:cs="Arial"/>
          <w:i/>
          <w:iCs/>
        </w:rPr>
        <w:t>Nguyen and Mohamed, 2018</w:t>
      </w:r>
      <w:r w:rsidRPr="004F7A33">
        <w:rPr>
          <w:rFonts w:ascii="Arial" w:eastAsia="Times New Roman" w:hAnsi="Arial" w:cs="Arial"/>
        </w:rPr>
        <w:t>)</w:t>
      </w:r>
    </w:p>
    <w:p w14:paraId="5DE2FC80"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As per the regulation goes, stakeholder matrix can be divided based on four quadrants, with two axis signifying power and interest in vertical and horizontal directions, respectively. As opined by </w:t>
      </w:r>
      <w:proofErr w:type="spellStart"/>
      <w:r w:rsidRPr="004F7A33">
        <w:rPr>
          <w:rFonts w:ascii="Arial" w:eastAsia="Times New Roman" w:hAnsi="Arial" w:cs="Arial"/>
        </w:rPr>
        <w:t>Schaltegger</w:t>
      </w:r>
      <w:proofErr w:type="spellEnd"/>
      <w:r w:rsidRPr="004F7A33">
        <w:rPr>
          <w:rFonts w:ascii="Arial" w:eastAsia="Times New Roman" w:hAnsi="Arial" w:cs="Arial"/>
        </w:rPr>
        <w:t xml:space="preserve">, </w:t>
      </w:r>
      <w:proofErr w:type="spellStart"/>
      <w:r w:rsidRPr="004F7A33">
        <w:rPr>
          <w:rFonts w:ascii="Arial" w:eastAsia="Times New Roman" w:hAnsi="Arial" w:cs="Arial"/>
        </w:rPr>
        <w:t>Hörisch</w:t>
      </w:r>
      <w:proofErr w:type="spellEnd"/>
      <w:r w:rsidRPr="004F7A33">
        <w:rPr>
          <w:rFonts w:ascii="Arial" w:eastAsia="Times New Roman" w:hAnsi="Arial" w:cs="Arial"/>
        </w:rPr>
        <w:t xml:space="preserve">, and Freeman (2019), the region with </w:t>
      </w:r>
      <w:r w:rsidRPr="004F7A33">
        <w:rPr>
          <w:rFonts w:ascii="Arial" w:eastAsia="Times New Roman" w:hAnsi="Arial" w:cs="Arial"/>
          <w:b/>
          <w:bCs/>
          <w:i/>
          <w:iCs/>
        </w:rPr>
        <w:t>highest power</w:t>
      </w:r>
      <w:r w:rsidRPr="004F7A33">
        <w:rPr>
          <w:rFonts w:ascii="Arial" w:eastAsia="Times New Roman" w:hAnsi="Arial" w:cs="Arial"/>
        </w:rPr>
        <w:t xml:space="preserve"> and </w:t>
      </w:r>
      <w:r w:rsidRPr="004F7A33">
        <w:rPr>
          <w:rFonts w:ascii="Arial" w:eastAsia="Times New Roman" w:hAnsi="Arial" w:cs="Arial"/>
          <w:b/>
          <w:bCs/>
          <w:i/>
          <w:iCs/>
        </w:rPr>
        <w:t>highest interest</w:t>
      </w:r>
      <w:r w:rsidRPr="004F7A33">
        <w:rPr>
          <w:rFonts w:ascii="Arial" w:eastAsia="Times New Roman" w:hAnsi="Arial" w:cs="Arial"/>
        </w:rPr>
        <w:t xml:space="preserve"> consists of internal stakeholders including </w:t>
      </w:r>
      <w:r w:rsidRPr="004F7A33">
        <w:rPr>
          <w:rFonts w:ascii="Arial" w:eastAsia="Times New Roman" w:hAnsi="Arial" w:cs="Arial"/>
          <w:b/>
          <w:bCs/>
          <w:i/>
          <w:iCs/>
        </w:rPr>
        <w:t>organisational directors</w:t>
      </w:r>
      <w:r w:rsidRPr="004F7A33">
        <w:rPr>
          <w:rFonts w:ascii="Arial" w:eastAsia="Times New Roman" w:hAnsi="Arial" w:cs="Arial"/>
        </w:rPr>
        <w:t xml:space="preserve"> of MITIE who have the authority to put hold on the organisational outcomes at any point. The region with </w:t>
      </w:r>
      <w:r w:rsidRPr="004F7A33">
        <w:rPr>
          <w:rFonts w:ascii="Arial" w:eastAsia="Times New Roman" w:hAnsi="Arial" w:cs="Arial"/>
          <w:b/>
          <w:bCs/>
          <w:i/>
          <w:iCs/>
        </w:rPr>
        <w:t>highest power</w:t>
      </w:r>
      <w:r w:rsidRPr="004F7A33">
        <w:rPr>
          <w:rFonts w:ascii="Arial" w:eastAsia="Times New Roman" w:hAnsi="Arial" w:cs="Arial"/>
        </w:rPr>
        <w:t xml:space="preserve"> but </w:t>
      </w:r>
      <w:r w:rsidRPr="004F7A33">
        <w:rPr>
          <w:rFonts w:ascii="Arial" w:eastAsia="Times New Roman" w:hAnsi="Arial" w:cs="Arial"/>
          <w:b/>
          <w:bCs/>
          <w:i/>
          <w:iCs/>
        </w:rPr>
        <w:t>lowest interest</w:t>
      </w:r>
      <w:r w:rsidRPr="004F7A33">
        <w:rPr>
          <w:rFonts w:ascii="Arial" w:eastAsia="Times New Roman" w:hAnsi="Arial" w:cs="Arial"/>
        </w:rPr>
        <w:t xml:space="preserve"> signifies </w:t>
      </w:r>
      <w:r w:rsidRPr="004F7A33">
        <w:rPr>
          <w:rFonts w:ascii="Arial" w:eastAsia="Times New Roman" w:hAnsi="Arial" w:cs="Arial"/>
          <w:b/>
          <w:bCs/>
          <w:i/>
          <w:iCs/>
        </w:rPr>
        <w:t>financial directors</w:t>
      </w:r>
      <w:r w:rsidRPr="004F7A33">
        <w:rPr>
          <w:rFonts w:ascii="Arial" w:eastAsia="Times New Roman" w:hAnsi="Arial" w:cs="Arial"/>
        </w:rPr>
        <w:t xml:space="preserve">, and they have the authority to derail the main objective at any point. Thus, every organisational plan of MITIE is dependent on them as they provide the backbone of a project to execute. As opined by Nguyen and Mohamed (2018), the area with </w:t>
      </w:r>
      <w:r w:rsidRPr="004F7A33">
        <w:rPr>
          <w:rFonts w:ascii="Arial" w:eastAsia="Times New Roman" w:hAnsi="Arial" w:cs="Arial"/>
          <w:b/>
          <w:bCs/>
          <w:i/>
          <w:iCs/>
        </w:rPr>
        <w:t>lowest interest</w:t>
      </w:r>
      <w:r w:rsidRPr="004F7A33">
        <w:rPr>
          <w:rFonts w:ascii="Arial" w:eastAsia="Times New Roman" w:hAnsi="Arial" w:cs="Arial"/>
        </w:rPr>
        <w:t xml:space="preserve"> and </w:t>
      </w:r>
      <w:r w:rsidRPr="004F7A33">
        <w:rPr>
          <w:rFonts w:ascii="Arial" w:eastAsia="Times New Roman" w:hAnsi="Arial" w:cs="Arial"/>
          <w:b/>
          <w:bCs/>
          <w:i/>
          <w:iCs/>
        </w:rPr>
        <w:t>highest power</w:t>
      </w:r>
      <w:r w:rsidRPr="004F7A33">
        <w:rPr>
          <w:rFonts w:ascii="Arial" w:eastAsia="Times New Roman" w:hAnsi="Arial" w:cs="Arial"/>
        </w:rPr>
        <w:t xml:space="preserve"> consists of </w:t>
      </w:r>
      <w:r w:rsidRPr="004F7A33">
        <w:rPr>
          <w:rFonts w:ascii="Arial" w:eastAsia="Times New Roman" w:hAnsi="Arial" w:cs="Arial"/>
          <w:b/>
          <w:bCs/>
          <w:i/>
          <w:iCs/>
        </w:rPr>
        <w:t>internal sales department</w:t>
      </w:r>
      <w:r w:rsidRPr="004F7A33">
        <w:rPr>
          <w:rFonts w:ascii="Arial" w:eastAsia="Times New Roman" w:hAnsi="Arial" w:cs="Arial"/>
        </w:rPr>
        <w:t xml:space="preserve">, and they have the potency to rise to the top at any point. Thus, MITIE is dependent on them during usual occasions. Lastly, the region with </w:t>
      </w:r>
      <w:r w:rsidRPr="004F7A33">
        <w:rPr>
          <w:rFonts w:ascii="Arial" w:eastAsia="Times New Roman" w:hAnsi="Arial" w:cs="Arial"/>
          <w:b/>
          <w:bCs/>
          <w:i/>
          <w:iCs/>
        </w:rPr>
        <w:t>lowest interest</w:t>
      </w:r>
      <w:r w:rsidRPr="004F7A33">
        <w:rPr>
          <w:rFonts w:ascii="Arial" w:eastAsia="Times New Roman" w:hAnsi="Arial" w:cs="Arial"/>
        </w:rPr>
        <w:t xml:space="preserve"> and </w:t>
      </w:r>
      <w:r w:rsidRPr="004F7A33">
        <w:rPr>
          <w:rFonts w:ascii="Arial" w:eastAsia="Times New Roman" w:hAnsi="Arial" w:cs="Arial"/>
          <w:b/>
          <w:bCs/>
          <w:i/>
          <w:iCs/>
        </w:rPr>
        <w:t>lowest power</w:t>
      </w:r>
      <w:r w:rsidRPr="004F7A33">
        <w:rPr>
          <w:rFonts w:ascii="Arial" w:eastAsia="Times New Roman" w:hAnsi="Arial" w:cs="Arial"/>
        </w:rPr>
        <w:t xml:space="preserve"> consists of </w:t>
      </w:r>
      <w:r w:rsidRPr="004F7A33">
        <w:rPr>
          <w:rFonts w:ascii="Arial" w:eastAsia="Times New Roman" w:hAnsi="Arial" w:cs="Arial"/>
          <w:b/>
          <w:bCs/>
          <w:i/>
          <w:iCs/>
        </w:rPr>
        <w:t>IT dependency</w:t>
      </w:r>
      <w:r w:rsidRPr="004F7A33">
        <w:rPr>
          <w:rFonts w:ascii="Arial" w:eastAsia="Times New Roman" w:hAnsi="Arial" w:cs="Arial"/>
        </w:rPr>
        <w:t xml:space="preserve">, and MITIE acknowledges their presence keeping in the potential in their minds. Eventually, stakeholders are the ones responsible for MITIE’s financial and social improvement in the times of crisis, along with the improvisation of products and services. </w:t>
      </w:r>
    </w:p>
    <w:p w14:paraId="698E9F67" w14:textId="77777777" w:rsidR="005A0D3B" w:rsidRDefault="005A0D3B" w:rsidP="00A4390F">
      <w:pPr>
        <w:spacing w:after="200" w:line="360" w:lineRule="auto"/>
        <w:jc w:val="both"/>
        <w:rPr>
          <w:rFonts w:ascii="Arial" w:eastAsia="Times New Roman" w:hAnsi="Arial" w:cs="Arial"/>
          <w:b/>
          <w:bCs/>
          <w:i/>
          <w:iCs/>
        </w:rPr>
      </w:pPr>
    </w:p>
    <w:p w14:paraId="7AA70B8D" w14:textId="77777777" w:rsidR="005A0D3B" w:rsidRDefault="005A0D3B" w:rsidP="00A4390F">
      <w:pPr>
        <w:spacing w:after="200" w:line="360" w:lineRule="auto"/>
        <w:jc w:val="both"/>
        <w:rPr>
          <w:rFonts w:ascii="Arial" w:eastAsia="Times New Roman" w:hAnsi="Arial" w:cs="Arial"/>
          <w:b/>
          <w:bCs/>
          <w:i/>
          <w:iCs/>
        </w:rPr>
      </w:pPr>
    </w:p>
    <w:p w14:paraId="67FD9EAE" w14:textId="1F8634DF" w:rsidR="004F7A33" w:rsidRPr="004F7A33" w:rsidRDefault="004F7A33" w:rsidP="00A4390F">
      <w:pPr>
        <w:spacing w:after="200" w:line="360" w:lineRule="auto"/>
        <w:jc w:val="both"/>
        <w:rPr>
          <w:rFonts w:ascii="Arial" w:eastAsia="Times New Roman" w:hAnsi="Arial" w:cs="Arial"/>
          <w:b/>
          <w:bCs/>
          <w:i/>
          <w:iCs/>
        </w:rPr>
      </w:pPr>
      <w:r w:rsidRPr="004F7A33">
        <w:rPr>
          <w:rFonts w:ascii="Arial" w:eastAsia="Times New Roman" w:hAnsi="Arial" w:cs="Arial"/>
          <w:b/>
          <w:bCs/>
          <w:i/>
          <w:iCs/>
        </w:rPr>
        <w:lastRenderedPageBreak/>
        <w:t>Implementation of Balanced Scorecard to measure company metrics</w:t>
      </w:r>
    </w:p>
    <w:p w14:paraId="07BD6470"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As opined by </w:t>
      </w:r>
      <w:proofErr w:type="spellStart"/>
      <w:r w:rsidRPr="004F7A33">
        <w:rPr>
          <w:rFonts w:ascii="Arial" w:eastAsia="Times New Roman" w:hAnsi="Arial" w:cs="Arial"/>
        </w:rPr>
        <w:t>Jaseem</w:t>
      </w:r>
      <w:proofErr w:type="spellEnd"/>
      <w:r w:rsidRPr="004F7A33">
        <w:rPr>
          <w:rFonts w:ascii="Arial" w:eastAsia="Times New Roman" w:hAnsi="Arial" w:cs="Arial"/>
        </w:rPr>
        <w:t xml:space="preserve">, Azmi and Zakaria (2018), the proper balance between the aspects of business strategies is needed to develop a balanced scorecard, which will help MITIE to summarise the main points and come up with conclusion to find the room for improvement. </w:t>
      </w:r>
    </w:p>
    <w:tbl>
      <w:tblPr>
        <w:tblStyle w:val="TableGrid"/>
        <w:tblW w:w="9759" w:type="dxa"/>
        <w:tblLook w:val="04A0" w:firstRow="1" w:lastRow="0" w:firstColumn="1" w:lastColumn="0" w:noHBand="0" w:noVBand="1"/>
      </w:tblPr>
      <w:tblGrid>
        <w:gridCol w:w="2176"/>
        <w:gridCol w:w="1879"/>
        <w:gridCol w:w="1776"/>
        <w:gridCol w:w="1723"/>
        <w:gridCol w:w="2205"/>
      </w:tblGrid>
      <w:tr w:rsidR="004F7A33" w:rsidRPr="004F7A33" w14:paraId="574E51B7" w14:textId="77777777" w:rsidTr="007D4B1C">
        <w:trPr>
          <w:trHeight w:val="339"/>
        </w:trPr>
        <w:tc>
          <w:tcPr>
            <w:tcW w:w="9759" w:type="dxa"/>
            <w:gridSpan w:val="5"/>
          </w:tcPr>
          <w:p w14:paraId="07C2CD65" w14:textId="77777777" w:rsidR="004F7A33" w:rsidRPr="004F7A33" w:rsidRDefault="004F7A33" w:rsidP="00A4390F">
            <w:pPr>
              <w:spacing w:line="360" w:lineRule="auto"/>
              <w:jc w:val="both"/>
              <w:rPr>
                <w:rFonts w:ascii="Arial" w:eastAsia="Times New Roman" w:hAnsi="Arial" w:cs="Arial"/>
                <w:b/>
                <w:bCs/>
              </w:rPr>
            </w:pPr>
            <w:r w:rsidRPr="004F7A33">
              <w:rPr>
                <w:rFonts w:ascii="Arial" w:eastAsia="Times New Roman" w:hAnsi="Arial" w:cs="Arial"/>
                <w:b/>
                <w:bCs/>
              </w:rPr>
              <w:t>Strategy</w:t>
            </w:r>
          </w:p>
        </w:tc>
      </w:tr>
      <w:tr w:rsidR="004F7A33" w:rsidRPr="004F7A33" w14:paraId="143648A5" w14:textId="77777777" w:rsidTr="007D4B1C">
        <w:trPr>
          <w:trHeight w:val="428"/>
        </w:trPr>
        <w:tc>
          <w:tcPr>
            <w:tcW w:w="2176" w:type="dxa"/>
          </w:tcPr>
          <w:p w14:paraId="72A1B1E5" w14:textId="77777777" w:rsidR="004F7A33" w:rsidRPr="004F7A33" w:rsidRDefault="004F7A33" w:rsidP="00A4390F">
            <w:pPr>
              <w:spacing w:line="360" w:lineRule="auto"/>
              <w:jc w:val="both"/>
              <w:rPr>
                <w:rFonts w:ascii="Arial" w:eastAsia="Times New Roman" w:hAnsi="Arial" w:cs="Arial"/>
              </w:rPr>
            </w:pPr>
          </w:p>
        </w:tc>
        <w:tc>
          <w:tcPr>
            <w:tcW w:w="1879" w:type="dxa"/>
          </w:tcPr>
          <w:p w14:paraId="403284EB" w14:textId="77777777" w:rsidR="004F7A33" w:rsidRPr="004F7A33" w:rsidRDefault="004F7A33" w:rsidP="00A4390F">
            <w:pPr>
              <w:spacing w:line="360" w:lineRule="auto"/>
              <w:jc w:val="both"/>
              <w:rPr>
                <w:rFonts w:ascii="Arial" w:eastAsia="Times New Roman" w:hAnsi="Arial" w:cs="Arial"/>
                <w:b/>
                <w:bCs/>
              </w:rPr>
            </w:pPr>
            <w:r w:rsidRPr="004F7A33">
              <w:rPr>
                <w:rFonts w:ascii="Arial" w:eastAsia="Times New Roman" w:hAnsi="Arial" w:cs="Arial"/>
                <w:b/>
                <w:bCs/>
              </w:rPr>
              <w:t>Objectives</w:t>
            </w:r>
          </w:p>
        </w:tc>
        <w:tc>
          <w:tcPr>
            <w:tcW w:w="1776" w:type="dxa"/>
          </w:tcPr>
          <w:p w14:paraId="6D220668" w14:textId="77777777" w:rsidR="004F7A33" w:rsidRPr="004F7A33" w:rsidRDefault="004F7A33" w:rsidP="00A4390F">
            <w:pPr>
              <w:spacing w:line="360" w:lineRule="auto"/>
              <w:jc w:val="both"/>
              <w:rPr>
                <w:rFonts w:ascii="Arial" w:eastAsia="Times New Roman" w:hAnsi="Arial" w:cs="Arial"/>
                <w:b/>
                <w:bCs/>
              </w:rPr>
            </w:pPr>
            <w:r w:rsidRPr="004F7A33">
              <w:rPr>
                <w:rFonts w:ascii="Arial" w:eastAsia="Times New Roman" w:hAnsi="Arial" w:cs="Arial"/>
                <w:b/>
                <w:bCs/>
              </w:rPr>
              <w:t>Measures</w:t>
            </w:r>
          </w:p>
        </w:tc>
        <w:tc>
          <w:tcPr>
            <w:tcW w:w="1723" w:type="dxa"/>
          </w:tcPr>
          <w:p w14:paraId="4D5CB838" w14:textId="77777777" w:rsidR="004F7A33" w:rsidRPr="004F7A33" w:rsidRDefault="004F7A33" w:rsidP="00A4390F">
            <w:pPr>
              <w:spacing w:line="360" w:lineRule="auto"/>
              <w:jc w:val="both"/>
              <w:rPr>
                <w:rFonts w:ascii="Arial" w:eastAsia="Times New Roman" w:hAnsi="Arial" w:cs="Arial"/>
                <w:b/>
                <w:bCs/>
              </w:rPr>
            </w:pPr>
            <w:r w:rsidRPr="004F7A33">
              <w:rPr>
                <w:rFonts w:ascii="Arial" w:eastAsia="Times New Roman" w:hAnsi="Arial" w:cs="Arial"/>
                <w:b/>
                <w:bCs/>
              </w:rPr>
              <w:t>Targets</w:t>
            </w:r>
          </w:p>
        </w:tc>
        <w:tc>
          <w:tcPr>
            <w:tcW w:w="2203" w:type="dxa"/>
          </w:tcPr>
          <w:p w14:paraId="791420AB" w14:textId="77777777" w:rsidR="004F7A33" w:rsidRPr="004F7A33" w:rsidRDefault="004F7A33" w:rsidP="00A4390F">
            <w:pPr>
              <w:spacing w:line="360" w:lineRule="auto"/>
              <w:jc w:val="both"/>
              <w:rPr>
                <w:rFonts w:ascii="Arial" w:eastAsia="Times New Roman" w:hAnsi="Arial" w:cs="Arial"/>
                <w:b/>
                <w:bCs/>
              </w:rPr>
            </w:pPr>
            <w:r w:rsidRPr="004F7A33">
              <w:rPr>
                <w:rFonts w:ascii="Arial" w:eastAsia="Times New Roman" w:hAnsi="Arial" w:cs="Arial"/>
                <w:b/>
                <w:bCs/>
              </w:rPr>
              <w:t>Initiatives</w:t>
            </w:r>
          </w:p>
        </w:tc>
      </w:tr>
      <w:tr w:rsidR="004F7A33" w:rsidRPr="004F7A33" w14:paraId="39D16E2B" w14:textId="77777777" w:rsidTr="007D4B1C">
        <w:trPr>
          <w:trHeight w:val="2834"/>
        </w:trPr>
        <w:tc>
          <w:tcPr>
            <w:tcW w:w="2176" w:type="dxa"/>
          </w:tcPr>
          <w:p w14:paraId="018D939F" w14:textId="77777777" w:rsidR="004F7A33" w:rsidRPr="004F7A33" w:rsidRDefault="004F7A33" w:rsidP="00A4390F">
            <w:pPr>
              <w:spacing w:line="360" w:lineRule="auto"/>
              <w:jc w:val="both"/>
              <w:rPr>
                <w:rFonts w:ascii="Arial" w:eastAsia="Times New Roman" w:hAnsi="Arial" w:cs="Arial"/>
                <w:b/>
                <w:bCs/>
              </w:rPr>
            </w:pPr>
            <w:r w:rsidRPr="004F7A33">
              <w:rPr>
                <w:rFonts w:ascii="Arial" w:eastAsia="Times New Roman" w:hAnsi="Arial" w:cs="Arial"/>
                <w:b/>
                <w:bCs/>
              </w:rPr>
              <w:t>Economical</w:t>
            </w:r>
          </w:p>
          <w:p w14:paraId="2F64FEA6" w14:textId="77777777" w:rsidR="004F7A33" w:rsidRPr="004F7A33" w:rsidRDefault="004F7A33" w:rsidP="00A4390F">
            <w:pPr>
              <w:spacing w:line="360" w:lineRule="auto"/>
              <w:jc w:val="both"/>
              <w:rPr>
                <w:rFonts w:ascii="Arial" w:eastAsia="Times New Roman" w:hAnsi="Arial" w:cs="Arial"/>
                <w:b/>
                <w:bCs/>
              </w:rPr>
            </w:pPr>
          </w:p>
        </w:tc>
        <w:tc>
          <w:tcPr>
            <w:tcW w:w="1879" w:type="dxa"/>
          </w:tcPr>
          <w:p w14:paraId="5089EF83"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Revenue generation using through securing sales and services</w:t>
            </w:r>
          </w:p>
        </w:tc>
        <w:tc>
          <w:tcPr>
            <w:tcW w:w="1776" w:type="dxa"/>
          </w:tcPr>
          <w:p w14:paraId="56B64553"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Adding value to the market through profit that helps in profit and GDP growth</w:t>
            </w:r>
          </w:p>
        </w:tc>
        <w:tc>
          <w:tcPr>
            <w:tcW w:w="1723" w:type="dxa"/>
          </w:tcPr>
          <w:p w14:paraId="298E634F"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3% increment after the corona virus breakout</w:t>
            </w:r>
          </w:p>
        </w:tc>
        <w:tc>
          <w:tcPr>
            <w:tcW w:w="2203" w:type="dxa"/>
          </w:tcPr>
          <w:p w14:paraId="5684A597"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 xml:space="preserve">Launching more products, especially collaborative projects with several governmental security forces </w:t>
            </w:r>
          </w:p>
        </w:tc>
      </w:tr>
      <w:tr w:rsidR="004F7A33" w:rsidRPr="004F7A33" w14:paraId="21EDF1CD" w14:textId="77777777" w:rsidTr="007D4B1C">
        <w:trPr>
          <w:trHeight w:val="2519"/>
        </w:trPr>
        <w:tc>
          <w:tcPr>
            <w:tcW w:w="2176" w:type="dxa"/>
          </w:tcPr>
          <w:p w14:paraId="327C3912" w14:textId="77777777" w:rsidR="004F7A33" w:rsidRPr="004F7A33" w:rsidRDefault="004F7A33" w:rsidP="00A4390F">
            <w:pPr>
              <w:spacing w:line="360" w:lineRule="auto"/>
              <w:jc w:val="both"/>
              <w:rPr>
                <w:rFonts w:ascii="Arial" w:eastAsia="Times New Roman" w:hAnsi="Arial" w:cs="Arial"/>
                <w:b/>
                <w:bCs/>
              </w:rPr>
            </w:pPr>
            <w:r w:rsidRPr="004F7A33">
              <w:rPr>
                <w:rFonts w:ascii="Arial" w:eastAsia="Times New Roman" w:hAnsi="Arial" w:cs="Arial"/>
                <w:b/>
                <w:bCs/>
              </w:rPr>
              <w:t>Consumer</w:t>
            </w:r>
          </w:p>
        </w:tc>
        <w:tc>
          <w:tcPr>
            <w:tcW w:w="1879" w:type="dxa"/>
          </w:tcPr>
          <w:p w14:paraId="62A62C06"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 xml:space="preserve">Customer satisfaction through engagement and experiences </w:t>
            </w:r>
          </w:p>
        </w:tc>
        <w:tc>
          <w:tcPr>
            <w:tcW w:w="1776" w:type="dxa"/>
          </w:tcPr>
          <w:p w14:paraId="1BF3BCC5"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Securing the online presence of clients</w:t>
            </w:r>
          </w:p>
        </w:tc>
        <w:tc>
          <w:tcPr>
            <w:tcW w:w="1723" w:type="dxa"/>
          </w:tcPr>
          <w:p w14:paraId="709D9C31"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13 % of the global customers</w:t>
            </w:r>
          </w:p>
        </w:tc>
        <w:tc>
          <w:tcPr>
            <w:tcW w:w="2203" w:type="dxa"/>
          </w:tcPr>
          <w:p w14:paraId="697E00B4"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 xml:space="preserve">Ensuring customer safety through several upgraded online security programs. </w:t>
            </w:r>
          </w:p>
        </w:tc>
      </w:tr>
      <w:tr w:rsidR="004F7A33" w:rsidRPr="004F7A33" w14:paraId="2268B7E6" w14:textId="77777777" w:rsidTr="007D4B1C">
        <w:trPr>
          <w:trHeight w:val="2519"/>
        </w:trPr>
        <w:tc>
          <w:tcPr>
            <w:tcW w:w="2176" w:type="dxa"/>
          </w:tcPr>
          <w:p w14:paraId="40621B57" w14:textId="77777777" w:rsidR="004F7A33" w:rsidRPr="004F7A33" w:rsidRDefault="004F7A33" w:rsidP="00A4390F">
            <w:pPr>
              <w:spacing w:line="360" w:lineRule="auto"/>
              <w:jc w:val="both"/>
              <w:rPr>
                <w:rFonts w:ascii="Arial" w:eastAsia="Times New Roman" w:hAnsi="Arial" w:cs="Arial"/>
                <w:b/>
                <w:bCs/>
              </w:rPr>
            </w:pPr>
            <w:r w:rsidRPr="004F7A33">
              <w:rPr>
                <w:rFonts w:ascii="Arial" w:eastAsia="Times New Roman" w:hAnsi="Arial" w:cs="Arial"/>
                <w:b/>
                <w:bCs/>
              </w:rPr>
              <w:t>Procedure of Internal Business</w:t>
            </w:r>
          </w:p>
        </w:tc>
        <w:tc>
          <w:tcPr>
            <w:tcW w:w="1879" w:type="dxa"/>
          </w:tcPr>
          <w:p w14:paraId="0EBFB898"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 xml:space="preserve">Interaction between internal stakeholders that help in upgrading the in-company environment  </w:t>
            </w:r>
          </w:p>
        </w:tc>
        <w:tc>
          <w:tcPr>
            <w:tcW w:w="1776" w:type="dxa"/>
          </w:tcPr>
          <w:p w14:paraId="6C19467B"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Interactive sessions among stakeholders</w:t>
            </w:r>
          </w:p>
        </w:tc>
        <w:tc>
          <w:tcPr>
            <w:tcW w:w="1723" w:type="dxa"/>
          </w:tcPr>
          <w:p w14:paraId="20B1BD6B"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8% of increase in efficiency</w:t>
            </w:r>
          </w:p>
        </w:tc>
        <w:tc>
          <w:tcPr>
            <w:tcW w:w="2203" w:type="dxa"/>
          </w:tcPr>
          <w:p w14:paraId="5DBC7887"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Maintaining a healthy environment inside the company</w:t>
            </w:r>
          </w:p>
        </w:tc>
      </w:tr>
      <w:tr w:rsidR="004F7A33" w:rsidRPr="004F7A33" w14:paraId="2AD7E106" w14:textId="77777777" w:rsidTr="007D4B1C">
        <w:trPr>
          <w:trHeight w:val="1715"/>
        </w:trPr>
        <w:tc>
          <w:tcPr>
            <w:tcW w:w="2176" w:type="dxa"/>
            <w:tcBorders>
              <w:bottom w:val="single" w:sz="4" w:space="0" w:color="auto"/>
            </w:tcBorders>
          </w:tcPr>
          <w:p w14:paraId="2663B8C4" w14:textId="77777777" w:rsidR="004F7A33" w:rsidRPr="004F7A33" w:rsidRDefault="004F7A33" w:rsidP="00A4390F">
            <w:pPr>
              <w:spacing w:line="360" w:lineRule="auto"/>
              <w:jc w:val="both"/>
              <w:rPr>
                <w:rFonts w:ascii="Arial" w:eastAsia="Times New Roman" w:hAnsi="Arial" w:cs="Arial"/>
                <w:b/>
                <w:bCs/>
              </w:rPr>
            </w:pPr>
            <w:r w:rsidRPr="004F7A33">
              <w:rPr>
                <w:rFonts w:ascii="Arial" w:eastAsia="Times New Roman" w:hAnsi="Arial" w:cs="Arial"/>
                <w:b/>
                <w:bCs/>
              </w:rPr>
              <w:t>Organisational Growth</w:t>
            </w:r>
          </w:p>
        </w:tc>
        <w:tc>
          <w:tcPr>
            <w:tcW w:w="1879" w:type="dxa"/>
            <w:tcBorders>
              <w:bottom w:val="single" w:sz="4" w:space="0" w:color="auto"/>
            </w:tcBorders>
          </w:tcPr>
          <w:p w14:paraId="5AB3F23F" w14:textId="09460F4C"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By prospering the methods</w:t>
            </w:r>
            <w:r w:rsidR="007D4B1C">
              <w:rPr>
                <w:rFonts w:ascii="Arial" w:eastAsia="Times New Roman" w:hAnsi="Arial" w:cs="Arial"/>
              </w:rPr>
              <w:t xml:space="preserve"> and reputation</w:t>
            </w:r>
            <w:r w:rsidRPr="004F7A33">
              <w:rPr>
                <w:rFonts w:ascii="Arial" w:eastAsia="Times New Roman" w:hAnsi="Arial" w:cs="Arial"/>
              </w:rPr>
              <w:t xml:space="preserve"> </w:t>
            </w:r>
          </w:p>
        </w:tc>
        <w:tc>
          <w:tcPr>
            <w:tcW w:w="1776" w:type="dxa"/>
            <w:tcBorders>
              <w:bottom w:val="single" w:sz="4" w:space="0" w:color="auto"/>
            </w:tcBorders>
          </w:tcPr>
          <w:p w14:paraId="446139D2"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Maintaining organisational integrity and loyalty</w:t>
            </w:r>
          </w:p>
        </w:tc>
        <w:tc>
          <w:tcPr>
            <w:tcW w:w="1723" w:type="dxa"/>
            <w:tcBorders>
              <w:bottom w:val="single" w:sz="4" w:space="0" w:color="auto"/>
            </w:tcBorders>
          </w:tcPr>
          <w:p w14:paraId="60F40C72"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 xml:space="preserve">6% increase in sales </w:t>
            </w:r>
          </w:p>
        </w:tc>
        <w:tc>
          <w:tcPr>
            <w:tcW w:w="2203" w:type="dxa"/>
            <w:tcBorders>
              <w:bottom w:val="single" w:sz="4" w:space="0" w:color="auto"/>
            </w:tcBorders>
          </w:tcPr>
          <w:p w14:paraId="0D8E657B" w14:textId="77777777" w:rsidR="004F7A33" w:rsidRPr="004F7A33" w:rsidRDefault="004F7A33" w:rsidP="00A4390F">
            <w:pPr>
              <w:spacing w:line="360" w:lineRule="auto"/>
              <w:jc w:val="both"/>
              <w:rPr>
                <w:rFonts w:ascii="Arial" w:eastAsia="Times New Roman" w:hAnsi="Arial" w:cs="Arial"/>
              </w:rPr>
            </w:pPr>
            <w:r w:rsidRPr="004F7A33">
              <w:rPr>
                <w:rFonts w:ascii="Arial" w:eastAsia="Times New Roman" w:hAnsi="Arial" w:cs="Arial"/>
              </w:rPr>
              <w:t xml:space="preserve">Creating a global image based on customer satisfaction. </w:t>
            </w:r>
          </w:p>
        </w:tc>
      </w:tr>
    </w:tbl>
    <w:p w14:paraId="36E065A4" w14:textId="77777777" w:rsidR="004F7A33" w:rsidRPr="004F7A33" w:rsidRDefault="004F7A33" w:rsidP="00A4390F">
      <w:pPr>
        <w:spacing w:after="200" w:line="360" w:lineRule="auto"/>
        <w:jc w:val="center"/>
        <w:rPr>
          <w:rFonts w:ascii="Arial" w:eastAsia="Times New Roman" w:hAnsi="Arial" w:cs="Arial"/>
          <w:b/>
          <w:bCs/>
        </w:rPr>
      </w:pPr>
    </w:p>
    <w:p w14:paraId="59A822D6" w14:textId="77777777" w:rsidR="004F7A33" w:rsidRPr="004F7A33" w:rsidRDefault="004F7A33" w:rsidP="00A4390F">
      <w:pPr>
        <w:spacing w:after="200" w:line="360" w:lineRule="auto"/>
        <w:jc w:val="center"/>
        <w:rPr>
          <w:rFonts w:ascii="Arial" w:eastAsia="Times New Roman" w:hAnsi="Arial" w:cs="Arial"/>
          <w:b/>
          <w:bCs/>
        </w:rPr>
      </w:pPr>
      <w:r w:rsidRPr="004F7A33">
        <w:rPr>
          <w:rFonts w:ascii="Arial" w:eastAsia="Times New Roman" w:hAnsi="Arial" w:cs="Arial"/>
          <w:b/>
          <w:bCs/>
        </w:rPr>
        <w:t>Table: Balanced Scorecard of MITIE</w:t>
      </w:r>
    </w:p>
    <w:p w14:paraId="224D58EA" w14:textId="17B26D65" w:rsidR="004F7A33" w:rsidRPr="004F7A33" w:rsidRDefault="004F7A33" w:rsidP="00A4390F">
      <w:pPr>
        <w:spacing w:after="200" w:line="360" w:lineRule="auto"/>
        <w:jc w:val="center"/>
        <w:rPr>
          <w:rFonts w:ascii="Arial" w:eastAsia="Times New Roman" w:hAnsi="Arial" w:cs="Arial"/>
        </w:rPr>
      </w:pPr>
      <w:r w:rsidRPr="004F7A33">
        <w:rPr>
          <w:rFonts w:ascii="Arial" w:eastAsia="Times New Roman" w:hAnsi="Arial" w:cs="Arial"/>
        </w:rPr>
        <w:t xml:space="preserve">(Source: </w:t>
      </w:r>
      <w:r w:rsidR="007D4B1C" w:rsidRPr="007D4B1C">
        <w:rPr>
          <w:rFonts w:ascii="Arial" w:eastAsia="Times New Roman" w:hAnsi="Arial" w:cs="Arial"/>
          <w:i/>
          <w:iCs/>
        </w:rPr>
        <w:t>Antonio Fernandez</w:t>
      </w:r>
      <w:r w:rsidRPr="004F7A33">
        <w:rPr>
          <w:rFonts w:ascii="Arial" w:eastAsia="Times New Roman" w:hAnsi="Arial" w:cs="Arial"/>
        </w:rPr>
        <w:t>)</w:t>
      </w:r>
    </w:p>
    <w:p w14:paraId="0C58D570"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lastRenderedPageBreak/>
        <w:t xml:space="preserve">According to the planned chart above, MITIE has been targeting to hit statistics after the recent breakout in business due to the kick-start in business based on digitalisation. The outbreak of Covid-19 almost put a rough edge on the consumers of MITIE. However, with practice and proper planning of business strategies the organisation has avoided the disaster. In the opinion of Olson and Wu (2020), the main significance of business scorecards is that it lets the organisation focus on individual limitations. Thus, it helps with the overall room for improvement with detailing in individual segments. </w:t>
      </w:r>
    </w:p>
    <w:p w14:paraId="4700E7A7" w14:textId="0CEFF5B6" w:rsidR="004F7A33" w:rsidRPr="004F7A33" w:rsidRDefault="004F7A33" w:rsidP="00A4390F">
      <w:pPr>
        <w:spacing w:after="200" w:line="360" w:lineRule="auto"/>
        <w:jc w:val="both"/>
        <w:outlineLvl w:val="0"/>
        <w:rPr>
          <w:rFonts w:ascii="Arial" w:eastAsia="Times New Roman" w:hAnsi="Arial" w:cs="Arial"/>
          <w:b/>
        </w:rPr>
      </w:pPr>
      <w:bookmarkStart w:id="8" w:name="_Toc57366837"/>
      <w:r w:rsidRPr="004F7A33">
        <w:rPr>
          <w:rFonts w:ascii="Arial" w:eastAsia="Times New Roman" w:hAnsi="Arial" w:cs="Arial"/>
          <w:b/>
        </w:rPr>
        <w:t>4.</w:t>
      </w:r>
      <w:bookmarkEnd w:id="8"/>
      <w:r w:rsidR="005A0D3B">
        <w:rPr>
          <w:rFonts w:ascii="Arial" w:eastAsia="Times New Roman" w:hAnsi="Arial" w:cs="Arial"/>
          <w:b/>
        </w:rPr>
        <w:t xml:space="preserve"> Critical evaluation of systems used by MITIE Security</w:t>
      </w:r>
    </w:p>
    <w:p w14:paraId="08C3D3D4" w14:textId="77777777" w:rsidR="004F7A33" w:rsidRPr="004F7A33" w:rsidRDefault="004F7A33" w:rsidP="00A4390F">
      <w:pPr>
        <w:spacing w:before="100" w:beforeAutospacing="1" w:after="100" w:afterAutospacing="1" w:line="360" w:lineRule="auto"/>
        <w:jc w:val="both"/>
        <w:outlineLvl w:val="1"/>
        <w:rPr>
          <w:rFonts w:ascii="Arial" w:eastAsia="Times New Roman" w:hAnsi="Arial" w:cs="Arial"/>
          <w:b/>
          <w:bCs/>
        </w:rPr>
      </w:pPr>
      <w:bookmarkStart w:id="9" w:name="_Toc57366838"/>
      <w:r w:rsidRPr="004F7A33">
        <w:rPr>
          <w:rFonts w:ascii="Arial" w:eastAsia="Times New Roman" w:hAnsi="Arial" w:cs="Arial"/>
          <w:b/>
          <w:bCs/>
        </w:rPr>
        <w:t>a. Systems that support MITIE’s quality processes</w:t>
      </w:r>
      <w:bookmarkEnd w:id="9"/>
    </w:p>
    <w:p w14:paraId="5BA21D8B"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The UK-based leading intelligence-led security business has overcome factor for any obstruction in between the organisation and its consumers, which helped their Global Security Operation prosper with effort and time. As per the </w:t>
      </w:r>
      <w:r w:rsidRPr="004F7A33">
        <w:rPr>
          <w:rFonts w:ascii="Arial" w:eastAsia="Times New Roman" w:hAnsi="Arial" w:cs="Arial"/>
          <w:i/>
        </w:rPr>
        <w:t>B2B communication</w:t>
      </w:r>
      <w:r w:rsidRPr="004F7A33">
        <w:rPr>
          <w:rFonts w:ascii="Arial" w:eastAsia="Times New Roman" w:hAnsi="Arial" w:cs="Arial"/>
        </w:rPr>
        <w:t>, MITIE Security has lived up to their name. Since it is an organisation driven by 47,500 employees including 20,000 security workers, and almost 600 apprentices, MITIE has over 40,000 lone worker and 10,000 CCTV connections monitoring with 35,000 systems all around the UK, and probably Europe (Mitie, 2020).</w:t>
      </w:r>
    </w:p>
    <w:p w14:paraId="755439CE"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The organisation is an AI-lead, which uses the help of software development </w:t>
      </w:r>
      <w:proofErr w:type="gramStart"/>
      <w:r w:rsidRPr="004F7A33">
        <w:rPr>
          <w:rFonts w:ascii="Arial" w:eastAsia="Times New Roman" w:hAnsi="Arial" w:cs="Arial"/>
        </w:rPr>
        <w:t>industry, since</w:t>
      </w:r>
      <w:proofErr w:type="gramEnd"/>
      <w:r w:rsidRPr="004F7A33">
        <w:rPr>
          <w:rFonts w:ascii="Arial" w:eastAsia="Times New Roman" w:hAnsi="Arial" w:cs="Arial"/>
        </w:rPr>
        <w:t xml:space="preserve"> Artificial Intelligence is paired with IoT and Cloud Computing to avail the most upgraded form of security. MITIE uses data analytics while collaborating with the UK police forces to locate the threats geographically, and the usage of data analytics depend on machine learning, which works based on the data accumulated from the internet or cloud. MITIE’s Global Security Operations Centre (GSOC) is being controlled through an app, which signifies the usage of modern technology (Bello, </w:t>
      </w:r>
      <w:proofErr w:type="spellStart"/>
      <w:r w:rsidRPr="004F7A33">
        <w:rPr>
          <w:rFonts w:ascii="Arial" w:eastAsia="Times New Roman" w:hAnsi="Arial" w:cs="Arial"/>
        </w:rPr>
        <w:t>Jusoh</w:t>
      </w:r>
      <w:proofErr w:type="spellEnd"/>
      <w:r w:rsidRPr="004F7A33">
        <w:rPr>
          <w:rFonts w:ascii="Arial" w:eastAsia="Times New Roman" w:hAnsi="Arial" w:cs="Arial"/>
        </w:rPr>
        <w:t xml:space="preserve"> and Nor, 2020). Merlin Protect 24/7 powers the app that is software made by the MITIE Security group and the app has the feature to analyse consumer risks often based on the real-time trend analysis. </w:t>
      </w:r>
    </w:p>
    <w:p w14:paraId="3B3A8BA6"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To analyse the real time </w:t>
      </w:r>
      <w:proofErr w:type="gramStart"/>
      <w:r w:rsidRPr="004F7A33">
        <w:rPr>
          <w:rFonts w:ascii="Arial" w:eastAsia="Times New Roman" w:hAnsi="Arial" w:cs="Arial"/>
        </w:rPr>
        <w:t>trend</w:t>
      </w:r>
      <w:proofErr w:type="gramEnd"/>
      <w:r w:rsidRPr="004F7A33">
        <w:rPr>
          <w:rFonts w:ascii="Arial" w:eastAsia="Times New Roman" w:hAnsi="Arial" w:cs="Arial"/>
        </w:rPr>
        <w:t xml:space="preserve"> one needs get access to the cloud, and once the access is permitted, it needs machine learning to analyse the data. MITIE’s approach to build a security service based on the fusion of modified technology along with the consumer security is a masterpiece based on the limber approach to security. According to Mackie (2019), in case of customer guidance, the decision makers will have the access to advanced intelligence helping them to adapt easily by focusing on the security matters based on the premeditated issues.</w:t>
      </w:r>
    </w:p>
    <w:p w14:paraId="500C23DD"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As promised by the organisation, MITIE’s collaborative approach with the security forces based on the artificial intelligence and data analytics will help identifying the security threats </w:t>
      </w:r>
      <w:r w:rsidRPr="004F7A33">
        <w:rPr>
          <w:rFonts w:ascii="Arial" w:eastAsia="Times New Roman" w:hAnsi="Arial" w:cs="Arial"/>
        </w:rPr>
        <w:lastRenderedPageBreak/>
        <w:t xml:space="preserve">and combat issues, be it regional or national. As said earlier, by the help of the data analytics tool, the organisation intends to create a visual depiction that signifies the criminal activities happening in any geographical location. As this data analysis will help in analysing the crime rate based on </w:t>
      </w:r>
      <w:proofErr w:type="gramStart"/>
      <w:r w:rsidRPr="004F7A33">
        <w:rPr>
          <w:rFonts w:ascii="Arial" w:eastAsia="Times New Roman" w:hAnsi="Arial" w:cs="Arial"/>
        </w:rPr>
        <w:t>statistics, and</w:t>
      </w:r>
      <w:proofErr w:type="gramEnd"/>
      <w:r w:rsidRPr="004F7A33">
        <w:rPr>
          <w:rFonts w:ascii="Arial" w:eastAsia="Times New Roman" w:hAnsi="Arial" w:cs="Arial"/>
        </w:rPr>
        <w:t xml:space="preserve"> based on that action can be taken (Mackie, 2019). The innovative approach of MITIE that builds foundation for its security services have a broader and better understanding during the time of crisis. </w:t>
      </w:r>
    </w:p>
    <w:p w14:paraId="7CC8B6D7" w14:textId="77777777" w:rsidR="004F7A33" w:rsidRPr="004F7A33" w:rsidRDefault="004F7A33" w:rsidP="00A4390F">
      <w:pPr>
        <w:spacing w:before="100" w:beforeAutospacing="1" w:after="100" w:afterAutospacing="1" w:line="360" w:lineRule="auto"/>
        <w:jc w:val="both"/>
        <w:outlineLvl w:val="1"/>
        <w:rPr>
          <w:rFonts w:ascii="Arial" w:eastAsia="Times New Roman" w:hAnsi="Arial" w:cs="Arial"/>
          <w:b/>
          <w:bCs/>
          <w:lang w:val="en-US"/>
        </w:rPr>
      </w:pPr>
      <w:bookmarkStart w:id="10" w:name="_Toc57366839"/>
      <w:r w:rsidRPr="004F7A33">
        <w:rPr>
          <w:rFonts w:ascii="Arial" w:eastAsia="Times New Roman" w:hAnsi="Arial" w:cs="Arial"/>
          <w:b/>
          <w:bCs/>
          <w:lang w:val="en-US"/>
        </w:rPr>
        <w:t>b. Maximum effectiveness of the systems used in meeting customer requirements</w:t>
      </w:r>
      <w:bookmarkEnd w:id="10"/>
    </w:p>
    <w:p w14:paraId="3B1B42FA"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MITIE Security has fused the utility of AI, Machine Learning, Internet of Things, and Cloud Computing to provide the best security program to its consumers, which is a concrete point that justifies its leadership in the field of security in UK based on the efficiency and innovative approach. However, the addition of all the key elements has made the altogether approach make look like an agile form of security, but the effectiveness of each element </w:t>
      </w:r>
      <w:proofErr w:type="gramStart"/>
      <w:r w:rsidRPr="004F7A33">
        <w:rPr>
          <w:rFonts w:ascii="Arial" w:eastAsia="Times New Roman" w:hAnsi="Arial" w:cs="Arial"/>
        </w:rPr>
        <w:t>have</w:t>
      </w:r>
      <w:proofErr w:type="gramEnd"/>
      <w:r w:rsidRPr="004F7A33">
        <w:rPr>
          <w:rFonts w:ascii="Arial" w:eastAsia="Times New Roman" w:hAnsi="Arial" w:cs="Arial"/>
        </w:rPr>
        <w:t xml:space="preserve"> the room to be discussed individually. According to Woodward (2019), MITIE security is one of the modified sectors of security and maintenance, and it has maintained a thorough form of healthy customer and organisational relationship, which is one of the main reasons for its economic development. </w:t>
      </w:r>
    </w:p>
    <w:p w14:paraId="1FE547D0"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In case of </w:t>
      </w:r>
      <w:r w:rsidRPr="004F7A33">
        <w:rPr>
          <w:rFonts w:ascii="Arial" w:eastAsia="Times New Roman" w:hAnsi="Arial" w:cs="Arial"/>
          <w:b/>
          <w:bCs/>
          <w:i/>
          <w:iCs/>
        </w:rPr>
        <w:t xml:space="preserve">Artificial Intelligence, </w:t>
      </w:r>
      <w:r w:rsidRPr="004F7A33">
        <w:rPr>
          <w:rFonts w:ascii="Arial" w:eastAsia="Times New Roman" w:hAnsi="Arial" w:cs="Arial"/>
        </w:rPr>
        <w:t xml:space="preserve">the method can be fused with machine learning alone, which gives rise to hundreds of mathematical models necessary to analyse data and statistics. AI can be used based on the algorithm for software maintenance, though big data is needed to fuse with it. They can reduce the annual maintenance cost by 10% with 30% reduction in inspection costs. As opined by </w:t>
      </w:r>
      <w:proofErr w:type="spellStart"/>
      <w:r w:rsidRPr="004F7A33">
        <w:rPr>
          <w:rFonts w:ascii="Arial" w:eastAsia="Times New Roman" w:hAnsi="Arial" w:cs="Arial"/>
        </w:rPr>
        <w:t>Makarius</w:t>
      </w:r>
      <w:proofErr w:type="spellEnd"/>
      <w:r w:rsidRPr="004F7A33">
        <w:rPr>
          <w:rFonts w:ascii="Arial" w:eastAsia="Times New Roman" w:hAnsi="Arial" w:cs="Arial"/>
        </w:rPr>
        <w:t xml:space="preserve"> </w:t>
      </w:r>
      <w:r w:rsidRPr="004F7A33">
        <w:rPr>
          <w:rFonts w:ascii="Arial" w:eastAsia="Times New Roman" w:hAnsi="Arial" w:cs="Arial"/>
          <w:i/>
          <w:iCs/>
        </w:rPr>
        <w:t xml:space="preserve">et al. </w:t>
      </w:r>
      <w:r w:rsidRPr="004F7A33">
        <w:rPr>
          <w:rFonts w:ascii="Arial" w:eastAsia="Times New Roman" w:hAnsi="Arial" w:cs="Arial"/>
        </w:rPr>
        <w:t xml:space="preserve">(2020), advancement in AI and software development has made companies like MITIE to take personalised product to the next level, and 83% of the consumers in UK claim to buy premium products made by the organisations alone. Machine learning if fused with AI will reduce the errors by 50% in the next few years. </w:t>
      </w:r>
    </w:p>
    <w:p w14:paraId="3A00CBFB"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According to </w:t>
      </w:r>
      <w:r w:rsidRPr="004F7A33">
        <w:rPr>
          <w:rFonts w:ascii="Arial" w:eastAsia="Times New Roman" w:hAnsi="Arial" w:cs="Arial"/>
          <w:b/>
          <w:bCs/>
          <w:i/>
          <w:iCs/>
        </w:rPr>
        <w:t xml:space="preserve">Internet of Things, </w:t>
      </w:r>
      <w:r w:rsidRPr="004F7A33">
        <w:rPr>
          <w:rFonts w:ascii="Arial" w:eastAsia="Times New Roman" w:hAnsi="Arial" w:cs="Arial"/>
        </w:rPr>
        <w:t xml:space="preserve">the number of businesses has increased up to 13% in 2014, and the projected rate of the usage of IoT will be increased up to 43 billion by 2023. In the opinion of </w:t>
      </w:r>
      <w:proofErr w:type="spellStart"/>
      <w:r w:rsidRPr="004F7A33">
        <w:rPr>
          <w:rFonts w:ascii="Arial" w:eastAsia="Times New Roman" w:hAnsi="Arial" w:cs="Arial"/>
        </w:rPr>
        <w:t>Saifuzzaman</w:t>
      </w:r>
      <w:proofErr w:type="spellEnd"/>
      <w:r w:rsidRPr="004F7A33">
        <w:rPr>
          <w:rFonts w:ascii="Arial" w:eastAsia="Times New Roman" w:hAnsi="Arial" w:cs="Arial"/>
        </w:rPr>
        <w:t xml:space="preserve"> </w:t>
      </w:r>
      <w:r w:rsidRPr="004F7A33">
        <w:rPr>
          <w:rFonts w:ascii="Arial" w:eastAsia="Times New Roman" w:hAnsi="Arial" w:cs="Arial"/>
          <w:i/>
          <w:iCs/>
        </w:rPr>
        <w:t xml:space="preserve">et al. </w:t>
      </w:r>
      <w:r w:rsidRPr="004F7A33">
        <w:rPr>
          <w:rFonts w:ascii="Arial" w:eastAsia="Times New Roman" w:hAnsi="Arial" w:cs="Arial"/>
        </w:rPr>
        <w:t>(2017), as per the projected rate, the businesses are bound to grow by 14% every year from 2022. In the meantime, the power of computing has increased about 100 times from the past 15 years, and 5G is the new addition in 2020 to experience Virtual reality (</w:t>
      </w:r>
      <w:proofErr w:type="spellStart"/>
      <w:r w:rsidRPr="004F7A33">
        <w:rPr>
          <w:rFonts w:ascii="Arial" w:eastAsia="Times New Roman" w:hAnsi="Arial" w:cs="Arial"/>
        </w:rPr>
        <w:t>Gronau</w:t>
      </w:r>
      <w:proofErr w:type="spellEnd"/>
      <w:r w:rsidRPr="004F7A33">
        <w:rPr>
          <w:rFonts w:ascii="Arial" w:eastAsia="Times New Roman" w:hAnsi="Arial" w:cs="Arial"/>
        </w:rPr>
        <w:t xml:space="preserve">, Ullrich and </w:t>
      </w:r>
      <w:proofErr w:type="spellStart"/>
      <w:r w:rsidRPr="004F7A33">
        <w:rPr>
          <w:rFonts w:ascii="Arial" w:eastAsia="Times New Roman" w:hAnsi="Arial" w:cs="Arial"/>
        </w:rPr>
        <w:t>Teichmann</w:t>
      </w:r>
      <w:proofErr w:type="spellEnd"/>
      <w:r w:rsidRPr="004F7A33">
        <w:rPr>
          <w:rFonts w:ascii="Arial" w:eastAsia="Times New Roman" w:hAnsi="Arial" w:cs="Arial"/>
        </w:rPr>
        <w:t xml:space="preserve">, 2017). In case of B2B engagements, the companies have already started to use 4.0 technologies, which are driven by the growth of digitalisation. </w:t>
      </w:r>
    </w:p>
    <w:p w14:paraId="4B9E38B8"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As per </w:t>
      </w:r>
      <w:r w:rsidRPr="004F7A33">
        <w:rPr>
          <w:rFonts w:ascii="Arial" w:eastAsia="Times New Roman" w:hAnsi="Arial" w:cs="Arial"/>
          <w:b/>
          <w:bCs/>
          <w:i/>
          <w:iCs/>
        </w:rPr>
        <w:t xml:space="preserve">Cloud Computing, </w:t>
      </w:r>
      <w:r w:rsidRPr="004F7A33">
        <w:rPr>
          <w:rFonts w:ascii="Arial" w:eastAsia="Times New Roman" w:hAnsi="Arial" w:cs="Arial"/>
        </w:rPr>
        <w:t xml:space="preserve">in the year 2020 80% of the technical-based companies have shifted to the means of cloud computing, that gives them clarity among the services, and helps </w:t>
      </w:r>
      <w:r w:rsidRPr="004F7A33">
        <w:rPr>
          <w:rFonts w:ascii="Arial" w:eastAsia="Times New Roman" w:hAnsi="Arial" w:cs="Arial"/>
        </w:rPr>
        <w:lastRenderedPageBreak/>
        <w:t xml:space="preserve">in securing and maintaining the data in cloud server. As opined by Stergiou </w:t>
      </w:r>
      <w:r w:rsidRPr="004F7A33">
        <w:rPr>
          <w:rFonts w:ascii="Arial" w:eastAsia="Times New Roman" w:hAnsi="Arial" w:cs="Arial"/>
          <w:i/>
        </w:rPr>
        <w:t>et al.</w:t>
      </w:r>
      <w:r w:rsidRPr="004F7A33">
        <w:rPr>
          <w:rFonts w:ascii="Arial" w:eastAsia="Times New Roman" w:hAnsi="Arial" w:cs="Arial"/>
        </w:rPr>
        <w:t xml:space="preserve"> (2018), due to the cost-efficiency among the Technology-based industries, entrepreneurs are using cloud computing to focus on main strengths. It makes it easier to operate and maintain operations based on cloud. The estimated rate of businesses that use cloud computing is 93% and the usage of cloud is widespread, thus, it maintains the versatility. </w:t>
      </w:r>
    </w:p>
    <w:p w14:paraId="0FF2D133" w14:textId="77777777" w:rsidR="004F7A33" w:rsidRPr="004F7A33" w:rsidRDefault="004F7A33" w:rsidP="00A4390F">
      <w:pPr>
        <w:spacing w:before="100" w:beforeAutospacing="1" w:after="100" w:afterAutospacing="1" w:line="360" w:lineRule="auto"/>
        <w:jc w:val="both"/>
        <w:outlineLvl w:val="1"/>
        <w:rPr>
          <w:rFonts w:ascii="Arial" w:eastAsia="Times New Roman" w:hAnsi="Arial" w:cs="Arial"/>
          <w:b/>
          <w:bCs/>
          <w:lang w:val="en-US"/>
        </w:rPr>
      </w:pPr>
      <w:bookmarkStart w:id="11" w:name="_Toc57366840"/>
      <w:r w:rsidRPr="004F7A33">
        <w:rPr>
          <w:rFonts w:ascii="Arial" w:eastAsia="Times New Roman" w:hAnsi="Arial" w:cs="Arial"/>
          <w:b/>
          <w:bCs/>
          <w:lang w:val="en-US"/>
        </w:rPr>
        <w:t>c. Maintaining a good customer relationship during COVID-19</w:t>
      </w:r>
      <w:bookmarkEnd w:id="11"/>
    </w:p>
    <w:p w14:paraId="715049A5"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rPr>
        <w:t xml:space="preserve">MITIE Security is one of the most respectful, reliable, and prosperous security services in the UK. Due to the effective and efficient rate of security service during a crucial time like this, it has created a ray of light in the heart of its consumers by ensuring their safety and services. As opined by Dwivedi </w:t>
      </w:r>
      <w:r w:rsidRPr="004F7A33">
        <w:rPr>
          <w:rFonts w:ascii="Arial" w:eastAsia="Times New Roman" w:hAnsi="Arial" w:cs="Arial"/>
          <w:i/>
          <w:iCs/>
        </w:rPr>
        <w:t xml:space="preserve">et al. </w:t>
      </w:r>
      <w:r w:rsidRPr="004F7A33">
        <w:rPr>
          <w:rFonts w:ascii="Arial" w:eastAsia="Times New Roman" w:hAnsi="Arial" w:cs="Arial"/>
        </w:rPr>
        <w:t xml:space="preserve">(2020), to maintain a proper customer relationship during COVID-19, MITIE has been following the </w:t>
      </w:r>
      <w:r w:rsidRPr="004F7A33">
        <w:rPr>
          <w:rFonts w:ascii="Arial" w:eastAsia="Times New Roman" w:hAnsi="Arial" w:cs="Arial"/>
          <w:b/>
          <w:bCs/>
        </w:rPr>
        <w:t xml:space="preserve">HEART </w:t>
      </w:r>
      <w:r w:rsidRPr="004F7A33">
        <w:rPr>
          <w:rFonts w:ascii="Arial" w:eastAsia="Times New Roman" w:hAnsi="Arial" w:cs="Arial"/>
        </w:rPr>
        <w:t xml:space="preserve">strategy. The maintenance of HEART strategy lies in humanising the organisation, educating about evolution, assuring firmness, revolutionising contribution, and tackling the upcoming. </w:t>
      </w:r>
    </w:p>
    <w:p w14:paraId="30264105"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b/>
          <w:bCs/>
        </w:rPr>
        <w:t>H</w:t>
      </w:r>
      <w:r w:rsidRPr="004F7A33">
        <w:rPr>
          <w:rFonts w:ascii="Arial" w:eastAsia="Times New Roman" w:hAnsi="Arial" w:cs="Arial"/>
        </w:rPr>
        <w:t xml:space="preserve">umanising the organisation is followed by understanding, and being empathetic to the social change, rather than caring about the organisational profit. Once the organisation empathises with the ones affected by the COVID-19, and offers help to their customers, employees, or other stakeholders, the company connects with the affected emotionally. While communicating with the stakeholders, the approach must be humane and not mechanical (Butt, </w:t>
      </w:r>
      <w:proofErr w:type="spellStart"/>
      <w:r w:rsidRPr="004F7A33">
        <w:rPr>
          <w:rFonts w:ascii="Arial" w:eastAsia="Times New Roman" w:hAnsi="Arial" w:cs="Arial"/>
        </w:rPr>
        <w:t>Naaranoja</w:t>
      </w:r>
      <w:proofErr w:type="spellEnd"/>
      <w:r w:rsidRPr="004F7A33">
        <w:rPr>
          <w:rFonts w:ascii="Arial" w:eastAsia="Times New Roman" w:hAnsi="Arial" w:cs="Arial"/>
        </w:rPr>
        <w:t xml:space="preserve"> and Savolainen, 2016).</w:t>
      </w:r>
    </w:p>
    <w:p w14:paraId="46991CE1"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b/>
          <w:bCs/>
        </w:rPr>
        <w:t>E</w:t>
      </w:r>
      <w:r w:rsidRPr="004F7A33">
        <w:rPr>
          <w:rFonts w:ascii="Arial" w:eastAsia="Times New Roman" w:hAnsi="Arial" w:cs="Arial"/>
        </w:rPr>
        <w:t xml:space="preserve">ducating about evolution is followed by upgrading the system based on several important factors like staff unavailability and facility closures during the pandemic (Dwivedi </w:t>
      </w:r>
      <w:r w:rsidRPr="004F7A33">
        <w:rPr>
          <w:rFonts w:ascii="Arial" w:eastAsia="Times New Roman" w:hAnsi="Arial" w:cs="Arial"/>
          <w:i/>
          <w:iCs/>
        </w:rPr>
        <w:t xml:space="preserve">et al. </w:t>
      </w:r>
      <w:r w:rsidRPr="004F7A33">
        <w:rPr>
          <w:rFonts w:ascii="Arial" w:eastAsia="Times New Roman" w:hAnsi="Arial" w:cs="Arial"/>
        </w:rPr>
        <w:t xml:space="preserve">2020). This will make the customers believe in organisation more than before, because educating customers with the sudden changes create an impact of trust and loyalty. </w:t>
      </w:r>
    </w:p>
    <w:p w14:paraId="7AF5C930"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b/>
          <w:bCs/>
        </w:rPr>
        <w:t>A</w:t>
      </w:r>
      <w:r w:rsidRPr="004F7A33">
        <w:rPr>
          <w:rFonts w:ascii="Arial" w:eastAsia="Times New Roman" w:hAnsi="Arial" w:cs="Arial"/>
        </w:rPr>
        <w:t>ssuring firmness signifies providing services in the times of crisis based on customer satisfaction, and by the means of this, the company is showing respect towards its customer base. As opined by Camilleri (2018), majority of the customers value the organisations that are thoughtful towards their needs and wants.</w:t>
      </w:r>
    </w:p>
    <w:p w14:paraId="42343464"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b/>
          <w:bCs/>
        </w:rPr>
        <w:t>R</w:t>
      </w:r>
      <w:r w:rsidRPr="004F7A33">
        <w:rPr>
          <w:rFonts w:ascii="Arial" w:eastAsia="Times New Roman" w:hAnsi="Arial" w:cs="Arial"/>
        </w:rPr>
        <w:t xml:space="preserve">evolutionising contribution discusses about letting the customer know on how the organisation is going to serve them amidst the </w:t>
      </w:r>
      <w:proofErr w:type="gramStart"/>
      <w:r w:rsidRPr="004F7A33">
        <w:rPr>
          <w:rFonts w:ascii="Arial" w:eastAsia="Times New Roman" w:hAnsi="Arial" w:cs="Arial"/>
        </w:rPr>
        <w:t>crisis, and</w:t>
      </w:r>
      <w:proofErr w:type="gramEnd"/>
      <w:r w:rsidRPr="004F7A33">
        <w:rPr>
          <w:rFonts w:ascii="Arial" w:eastAsia="Times New Roman" w:hAnsi="Arial" w:cs="Arial"/>
        </w:rPr>
        <w:t xml:space="preserve"> reaching out to potential leads offering new products would help in economic growth. Eventually, organisations </w:t>
      </w:r>
      <w:proofErr w:type="gramStart"/>
      <w:r w:rsidRPr="004F7A33">
        <w:rPr>
          <w:rFonts w:ascii="Arial" w:eastAsia="Times New Roman" w:hAnsi="Arial" w:cs="Arial"/>
        </w:rPr>
        <w:t>have to</w:t>
      </w:r>
      <w:proofErr w:type="gramEnd"/>
      <w:r w:rsidRPr="004F7A33">
        <w:rPr>
          <w:rFonts w:ascii="Arial" w:eastAsia="Times New Roman" w:hAnsi="Arial" w:cs="Arial"/>
        </w:rPr>
        <w:t xml:space="preserve"> utilise the chaos and channelise it into growth (El-</w:t>
      </w:r>
      <w:proofErr w:type="spellStart"/>
      <w:r w:rsidRPr="004F7A33">
        <w:rPr>
          <w:rFonts w:ascii="Arial" w:eastAsia="Times New Roman" w:hAnsi="Arial" w:cs="Arial"/>
        </w:rPr>
        <w:t>Adly</w:t>
      </w:r>
      <w:proofErr w:type="spellEnd"/>
      <w:r w:rsidRPr="004F7A33">
        <w:rPr>
          <w:rFonts w:ascii="Arial" w:eastAsia="Times New Roman" w:hAnsi="Arial" w:cs="Arial"/>
        </w:rPr>
        <w:t xml:space="preserve">, 2019). Valuing customers based on the existent products along with the new ones would help in building and broadening in customer growth.  </w:t>
      </w:r>
    </w:p>
    <w:p w14:paraId="67CAC734" w14:textId="77777777" w:rsidR="004F7A33" w:rsidRPr="004F7A33" w:rsidRDefault="004F7A33" w:rsidP="00A4390F">
      <w:pPr>
        <w:spacing w:after="200" w:line="360" w:lineRule="auto"/>
        <w:jc w:val="both"/>
        <w:rPr>
          <w:rFonts w:ascii="Arial" w:eastAsia="Times New Roman" w:hAnsi="Arial" w:cs="Arial"/>
        </w:rPr>
      </w:pPr>
      <w:r w:rsidRPr="004F7A33">
        <w:rPr>
          <w:rFonts w:ascii="Arial" w:eastAsia="Times New Roman" w:hAnsi="Arial" w:cs="Arial"/>
          <w:b/>
          <w:bCs/>
        </w:rPr>
        <w:lastRenderedPageBreak/>
        <w:t>T</w:t>
      </w:r>
      <w:r w:rsidRPr="004F7A33">
        <w:rPr>
          <w:rFonts w:ascii="Arial" w:eastAsia="Times New Roman" w:hAnsi="Arial" w:cs="Arial"/>
        </w:rPr>
        <w:t xml:space="preserve">ackling the upcoming is based on several factors that help in the growth of customer engagement through loyalty and reliability. As opined by </w:t>
      </w:r>
      <w:proofErr w:type="spellStart"/>
      <w:r w:rsidRPr="004F7A33">
        <w:rPr>
          <w:rFonts w:ascii="Arial" w:eastAsia="Times New Roman" w:hAnsi="Arial" w:cs="Arial"/>
        </w:rPr>
        <w:t>Soliha</w:t>
      </w:r>
      <w:proofErr w:type="spellEnd"/>
      <w:r w:rsidRPr="004F7A33">
        <w:rPr>
          <w:rFonts w:ascii="Arial" w:eastAsia="Times New Roman" w:hAnsi="Arial" w:cs="Arial"/>
        </w:rPr>
        <w:t xml:space="preserve"> </w:t>
      </w:r>
      <w:r w:rsidRPr="004F7A33">
        <w:rPr>
          <w:rFonts w:ascii="Arial" w:eastAsia="Times New Roman" w:hAnsi="Arial" w:cs="Arial"/>
          <w:i/>
          <w:iCs/>
        </w:rPr>
        <w:t xml:space="preserve">et al. </w:t>
      </w:r>
      <w:r w:rsidRPr="004F7A33">
        <w:rPr>
          <w:rFonts w:ascii="Arial" w:eastAsia="Times New Roman" w:hAnsi="Arial" w:cs="Arial"/>
        </w:rPr>
        <w:t xml:space="preserve">(2019), making the customers feel at ease would help in evaluation of the new methods and processes undertaken. </w:t>
      </w:r>
    </w:p>
    <w:p w14:paraId="6948FECA" w14:textId="77777777" w:rsidR="004F7A33" w:rsidRPr="004F7A33" w:rsidRDefault="004F7A33" w:rsidP="00A4390F">
      <w:pPr>
        <w:spacing w:before="100" w:beforeAutospacing="1" w:after="100" w:afterAutospacing="1" w:line="360" w:lineRule="auto"/>
        <w:jc w:val="both"/>
        <w:outlineLvl w:val="1"/>
        <w:rPr>
          <w:rFonts w:ascii="Arial" w:eastAsia="Times New Roman" w:hAnsi="Arial" w:cs="Arial"/>
          <w:b/>
          <w:bCs/>
          <w:lang w:val="en-US"/>
        </w:rPr>
      </w:pPr>
      <w:bookmarkStart w:id="12" w:name="_Toc57366841"/>
      <w:r w:rsidRPr="004F7A33">
        <w:rPr>
          <w:rFonts w:ascii="Arial" w:eastAsia="Times New Roman" w:hAnsi="Arial" w:cs="Arial"/>
          <w:b/>
          <w:bCs/>
          <w:lang w:val="en-US"/>
        </w:rPr>
        <w:t>5. Conclusion</w:t>
      </w:r>
      <w:bookmarkEnd w:id="12"/>
    </w:p>
    <w:p w14:paraId="3063709D" w14:textId="77777777" w:rsidR="004F7A33" w:rsidRPr="004F7A33" w:rsidRDefault="004F7A33" w:rsidP="00A4390F">
      <w:pPr>
        <w:spacing w:after="200" w:line="360" w:lineRule="auto"/>
        <w:jc w:val="both"/>
        <w:rPr>
          <w:rFonts w:ascii="Arial" w:eastAsia="Times New Roman" w:hAnsi="Arial" w:cs="Arial"/>
          <w:b/>
          <w:lang w:bidi="hi-IN"/>
        </w:rPr>
      </w:pPr>
      <w:r w:rsidRPr="004F7A33">
        <w:rPr>
          <w:rFonts w:ascii="Arial" w:eastAsia="Times New Roman" w:hAnsi="Arial" w:cs="Arial"/>
        </w:rPr>
        <w:t xml:space="preserve">From the given report, it has been concluded that internal and external factors influence the growth of organisation, which in turn helps the organisation to think out of the box. Eventually, providing a sudden and needed solution during the period of crisis helps in maintaining a healthy customer and organisation relationship. The organisation can achieve its objectives based on the eventual growth of its products and services. Afore mentioned organisation, MITIE Security is the leading intelligence-led security services in the UK, and they certainly live up to their name. The launch of Global Security Operations Service has made their stance concrete during the times of Covid-19, which </w:t>
      </w:r>
      <w:proofErr w:type="gramStart"/>
      <w:r w:rsidRPr="004F7A33">
        <w:rPr>
          <w:rFonts w:ascii="Arial" w:eastAsia="Times New Roman" w:hAnsi="Arial" w:cs="Arial"/>
        </w:rPr>
        <w:t>definitely boosted</w:t>
      </w:r>
      <w:proofErr w:type="gramEnd"/>
      <w:r w:rsidRPr="004F7A33">
        <w:rPr>
          <w:rFonts w:ascii="Arial" w:eastAsia="Times New Roman" w:hAnsi="Arial" w:cs="Arial"/>
        </w:rPr>
        <w:t xml:space="preserve"> their confidence. </w:t>
      </w:r>
      <w:r w:rsidRPr="004F7A33">
        <w:rPr>
          <w:rFonts w:ascii="Arial" w:eastAsia="Times New Roman" w:hAnsi="Arial" w:cs="Arial"/>
          <w:lang w:bidi="hi-IN"/>
        </w:rPr>
        <w:br w:type="page"/>
      </w:r>
    </w:p>
    <w:p w14:paraId="71E3F9B8" w14:textId="77777777" w:rsidR="004F7A33" w:rsidRPr="004F7A33" w:rsidRDefault="004F7A33" w:rsidP="004F7A33">
      <w:pPr>
        <w:spacing w:after="200" w:line="360" w:lineRule="auto"/>
        <w:jc w:val="both"/>
        <w:outlineLvl w:val="0"/>
        <w:rPr>
          <w:rFonts w:ascii="Arial" w:eastAsia="Times New Roman" w:hAnsi="Arial" w:cs="Arial"/>
          <w:b/>
          <w:lang w:bidi="hi-IN"/>
        </w:rPr>
      </w:pPr>
      <w:bookmarkStart w:id="13" w:name="_Toc57366842"/>
      <w:r w:rsidRPr="004F7A33">
        <w:rPr>
          <w:rFonts w:ascii="Arial" w:eastAsia="Times New Roman" w:hAnsi="Arial" w:cs="Arial"/>
          <w:b/>
          <w:lang w:bidi="hi-IN"/>
        </w:rPr>
        <w:lastRenderedPageBreak/>
        <w:t>References</w:t>
      </w:r>
      <w:bookmarkEnd w:id="13"/>
    </w:p>
    <w:p w14:paraId="51EFFB02" w14:textId="7A3C92C5"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Abril, C. and Rodriguez-</w:t>
      </w:r>
      <w:proofErr w:type="spellStart"/>
      <w:r w:rsidRPr="004F7A33">
        <w:rPr>
          <w:rFonts w:ascii="Arial" w:eastAsia="Times New Roman" w:hAnsi="Arial" w:cs="Arial"/>
          <w:shd w:val="clear" w:color="auto" w:fill="FFFFFF"/>
        </w:rPr>
        <w:t>Cánovas</w:t>
      </w:r>
      <w:proofErr w:type="spellEnd"/>
      <w:r w:rsidRPr="004F7A33">
        <w:rPr>
          <w:rFonts w:ascii="Arial" w:eastAsia="Times New Roman" w:hAnsi="Arial" w:cs="Arial"/>
          <w:shd w:val="clear" w:color="auto" w:fill="FFFFFF"/>
        </w:rPr>
        <w:t>, B.</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2016</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Marketing mix effects on private labels brand equity. </w:t>
      </w:r>
      <w:r w:rsidRPr="004F7A33">
        <w:rPr>
          <w:rFonts w:ascii="Arial" w:eastAsia="Times New Roman" w:hAnsi="Arial" w:cs="Arial"/>
          <w:i/>
          <w:iCs/>
          <w:shd w:val="clear" w:color="auto" w:fill="FFFFFF"/>
        </w:rPr>
        <w:t>European Journal of Management and Business Economics</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25</w:t>
      </w:r>
      <w:r w:rsidRPr="004F7A33">
        <w:rPr>
          <w:rFonts w:ascii="Arial" w:eastAsia="Times New Roman" w:hAnsi="Arial" w:cs="Arial"/>
          <w:shd w:val="clear" w:color="auto" w:fill="FFFFFF"/>
        </w:rPr>
        <w:t>(3), pp.168-175.</w:t>
      </w:r>
    </w:p>
    <w:p w14:paraId="7E7D5C9B" w14:textId="271C2706"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Ahuja, Y. and Loura, I.</w:t>
      </w:r>
      <w:r>
        <w:rPr>
          <w:rFonts w:ascii="Arial" w:eastAsia="Times New Roman" w:hAnsi="Arial" w:cs="Arial"/>
          <w:shd w:val="clear" w:color="auto" w:fill="FFFFFF"/>
        </w:rPr>
        <w:t xml:space="preserve"> (20</w:t>
      </w:r>
      <w:r w:rsidRPr="004F7A33">
        <w:rPr>
          <w:rFonts w:ascii="Arial" w:eastAsia="Times New Roman" w:hAnsi="Arial" w:cs="Arial"/>
          <w:shd w:val="clear" w:color="auto" w:fill="FFFFFF"/>
        </w:rPr>
        <w:t>18</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5Ps: A Conceptual Framework for Digital Marketing Campaign. </w:t>
      </w:r>
      <w:r w:rsidRPr="004F7A33">
        <w:rPr>
          <w:rFonts w:ascii="Arial" w:eastAsia="Times New Roman" w:hAnsi="Arial" w:cs="Arial"/>
          <w:i/>
          <w:iCs/>
          <w:shd w:val="clear" w:color="auto" w:fill="FFFFFF"/>
        </w:rPr>
        <w:t>ASBM Journal of Management</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11</w:t>
      </w:r>
      <w:r w:rsidRPr="004F7A33">
        <w:rPr>
          <w:rFonts w:ascii="Arial" w:eastAsia="Times New Roman" w:hAnsi="Arial" w:cs="Arial"/>
          <w:shd w:val="clear" w:color="auto" w:fill="FFFFFF"/>
        </w:rPr>
        <w:t>(2).</w:t>
      </w:r>
    </w:p>
    <w:p w14:paraId="2A56A131" w14:textId="16AF422A"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 xml:space="preserve">Bello, K.B., </w:t>
      </w:r>
      <w:proofErr w:type="spellStart"/>
      <w:r w:rsidRPr="004F7A33">
        <w:rPr>
          <w:rFonts w:ascii="Arial" w:eastAsia="Times New Roman" w:hAnsi="Arial" w:cs="Arial"/>
          <w:shd w:val="clear" w:color="auto" w:fill="FFFFFF"/>
        </w:rPr>
        <w:t>Jusoh</w:t>
      </w:r>
      <w:proofErr w:type="spellEnd"/>
      <w:r w:rsidRPr="004F7A33">
        <w:rPr>
          <w:rFonts w:ascii="Arial" w:eastAsia="Times New Roman" w:hAnsi="Arial" w:cs="Arial"/>
          <w:shd w:val="clear" w:color="auto" w:fill="FFFFFF"/>
        </w:rPr>
        <w:t>, A. and Nor, K.M.</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Relationships and impacts of perceived CSR, service quality, customer satisfaction and consumer rights awareness. </w:t>
      </w:r>
      <w:r w:rsidRPr="004F7A33">
        <w:rPr>
          <w:rFonts w:ascii="Arial" w:eastAsia="Times New Roman" w:hAnsi="Arial" w:cs="Arial"/>
          <w:i/>
          <w:iCs/>
          <w:shd w:val="clear" w:color="auto" w:fill="FFFFFF"/>
        </w:rPr>
        <w:t>Social Responsibility Journal</w:t>
      </w:r>
      <w:r w:rsidRPr="004F7A33">
        <w:rPr>
          <w:rFonts w:ascii="Arial" w:eastAsia="Times New Roman" w:hAnsi="Arial" w:cs="Arial"/>
          <w:shd w:val="clear" w:color="auto" w:fill="FFFFFF"/>
        </w:rPr>
        <w:t>.</w:t>
      </w:r>
    </w:p>
    <w:p w14:paraId="5872AA71" w14:textId="30212150"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Boisen</w:t>
      </w:r>
      <w:proofErr w:type="spellEnd"/>
      <w:r w:rsidRPr="004F7A33">
        <w:rPr>
          <w:rFonts w:ascii="Arial" w:eastAsia="Times New Roman" w:hAnsi="Arial" w:cs="Arial"/>
          <w:shd w:val="clear" w:color="auto" w:fill="FFFFFF"/>
        </w:rPr>
        <w:t xml:space="preserve">, M., </w:t>
      </w:r>
      <w:proofErr w:type="spellStart"/>
      <w:r w:rsidRPr="004F7A33">
        <w:rPr>
          <w:rFonts w:ascii="Arial" w:eastAsia="Times New Roman" w:hAnsi="Arial" w:cs="Arial"/>
          <w:shd w:val="clear" w:color="auto" w:fill="FFFFFF"/>
        </w:rPr>
        <w:t>Terlouw</w:t>
      </w:r>
      <w:proofErr w:type="spellEnd"/>
      <w:r w:rsidRPr="004F7A33">
        <w:rPr>
          <w:rFonts w:ascii="Arial" w:eastAsia="Times New Roman" w:hAnsi="Arial" w:cs="Arial"/>
          <w:shd w:val="clear" w:color="auto" w:fill="FFFFFF"/>
        </w:rPr>
        <w:t xml:space="preserve">, K., Groote, P. and </w:t>
      </w:r>
      <w:proofErr w:type="spellStart"/>
      <w:r w:rsidRPr="004F7A33">
        <w:rPr>
          <w:rFonts w:ascii="Arial" w:eastAsia="Times New Roman" w:hAnsi="Arial" w:cs="Arial"/>
          <w:shd w:val="clear" w:color="auto" w:fill="FFFFFF"/>
        </w:rPr>
        <w:t>Couwenberg</w:t>
      </w:r>
      <w:proofErr w:type="spellEnd"/>
      <w:r w:rsidRPr="004F7A33">
        <w:rPr>
          <w:rFonts w:ascii="Arial" w:eastAsia="Times New Roman" w:hAnsi="Arial" w:cs="Arial"/>
          <w:shd w:val="clear" w:color="auto" w:fill="FFFFFF"/>
        </w:rPr>
        <w:t>, O.</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2018</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Reframing place promotion, place marketing, and place branding-moving beyond conceptual confusion. </w:t>
      </w:r>
      <w:r w:rsidRPr="004F7A33">
        <w:rPr>
          <w:rFonts w:ascii="Arial" w:eastAsia="Times New Roman" w:hAnsi="Arial" w:cs="Arial"/>
          <w:i/>
          <w:iCs/>
          <w:shd w:val="clear" w:color="auto" w:fill="FFFFFF"/>
        </w:rPr>
        <w:t>Cities</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80</w:t>
      </w:r>
      <w:r w:rsidRPr="004F7A33">
        <w:rPr>
          <w:rFonts w:ascii="Arial" w:eastAsia="Times New Roman" w:hAnsi="Arial" w:cs="Arial"/>
          <w:shd w:val="clear" w:color="auto" w:fill="FFFFFF"/>
        </w:rPr>
        <w:t>, pp.4-11.</w:t>
      </w:r>
    </w:p>
    <w:p w14:paraId="4201A27E" w14:textId="20EE4C6F"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 xml:space="preserve">Butt, A., </w:t>
      </w:r>
      <w:proofErr w:type="spellStart"/>
      <w:r w:rsidRPr="004F7A33">
        <w:rPr>
          <w:rFonts w:ascii="Arial" w:eastAsia="Times New Roman" w:hAnsi="Arial" w:cs="Arial"/>
          <w:shd w:val="clear" w:color="auto" w:fill="FFFFFF"/>
        </w:rPr>
        <w:t>Naaranoja</w:t>
      </w:r>
      <w:proofErr w:type="spellEnd"/>
      <w:r w:rsidRPr="004F7A33">
        <w:rPr>
          <w:rFonts w:ascii="Arial" w:eastAsia="Times New Roman" w:hAnsi="Arial" w:cs="Arial"/>
          <w:shd w:val="clear" w:color="auto" w:fill="FFFFFF"/>
        </w:rPr>
        <w:t>, M. and Savolainen, J.</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2016</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Project change stakeholder communication. </w:t>
      </w:r>
      <w:r w:rsidRPr="004F7A33">
        <w:rPr>
          <w:rFonts w:ascii="Arial" w:eastAsia="Times New Roman" w:hAnsi="Arial" w:cs="Arial"/>
          <w:i/>
          <w:iCs/>
          <w:shd w:val="clear" w:color="auto" w:fill="FFFFFF"/>
        </w:rPr>
        <w:t>International Journal of Project Management</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34</w:t>
      </w:r>
      <w:r w:rsidRPr="004F7A33">
        <w:rPr>
          <w:rFonts w:ascii="Arial" w:eastAsia="Times New Roman" w:hAnsi="Arial" w:cs="Arial"/>
          <w:shd w:val="clear" w:color="auto" w:fill="FFFFFF"/>
        </w:rPr>
        <w:t>(8), pp.1579-1595.</w:t>
      </w:r>
    </w:p>
    <w:p w14:paraId="53C395C3" w14:textId="485F418F"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Camilleri, M.A.</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2018</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Understanding customer needs and wants. In </w:t>
      </w:r>
      <w:r w:rsidRPr="004F7A33">
        <w:rPr>
          <w:rFonts w:ascii="Arial" w:eastAsia="Times New Roman" w:hAnsi="Arial" w:cs="Arial"/>
          <w:i/>
          <w:iCs/>
          <w:shd w:val="clear" w:color="auto" w:fill="FFFFFF"/>
        </w:rPr>
        <w:t>Travel marketing, tourism economics and the airline product</w:t>
      </w:r>
      <w:r w:rsidRPr="004F7A33">
        <w:rPr>
          <w:rFonts w:ascii="Arial" w:eastAsia="Times New Roman" w:hAnsi="Arial" w:cs="Arial"/>
          <w:shd w:val="clear" w:color="auto" w:fill="FFFFFF"/>
        </w:rPr>
        <w:t> (pp. 29-50). Springer, Cham.</w:t>
      </w:r>
    </w:p>
    <w:p w14:paraId="11553974" w14:textId="56710D8A"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Diebner</w:t>
      </w:r>
      <w:proofErr w:type="spellEnd"/>
      <w:r w:rsidRPr="004F7A33">
        <w:rPr>
          <w:rFonts w:ascii="Arial" w:eastAsia="Times New Roman" w:hAnsi="Arial" w:cs="Arial"/>
          <w:shd w:val="clear" w:color="auto" w:fill="FFFFFF"/>
        </w:rPr>
        <w:t xml:space="preserve">, R., Silliman, E., </w:t>
      </w:r>
      <w:proofErr w:type="spellStart"/>
      <w:r w:rsidRPr="004F7A33">
        <w:rPr>
          <w:rFonts w:ascii="Arial" w:eastAsia="Times New Roman" w:hAnsi="Arial" w:cs="Arial"/>
          <w:shd w:val="clear" w:color="auto" w:fill="FFFFFF"/>
        </w:rPr>
        <w:t>Ungerman</w:t>
      </w:r>
      <w:proofErr w:type="spellEnd"/>
      <w:r w:rsidRPr="004F7A33">
        <w:rPr>
          <w:rFonts w:ascii="Arial" w:eastAsia="Times New Roman" w:hAnsi="Arial" w:cs="Arial"/>
          <w:shd w:val="clear" w:color="auto" w:fill="FFFFFF"/>
        </w:rPr>
        <w:t xml:space="preserve">, K. and </w:t>
      </w:r>
      <w:proofErr w:type="spellStart"/>
      <w:r w:rsidRPr="004F7A33">
        <w:rPr>
          <w:rFonts w:ascii="Arial" w:eastAsia="Times New Roman" w:hAnsi="Arial" w:cs="Arial"/>
          <w:shd w:val="clear" w:color="auto" w:fill="FFFFFF"/>
        </w:rPr>
        <w:t>Vancauwenberghe</w:t>
      </w:r>
      <w:proofErr w:type="spellEnd"/>
      <w:r w:rsidRPr="004F7A33">
        <w:rPr>
          <w:rFonts w:ascii="Arial" w:eastAsia="Times New Roman" w:hAnsi="Arial" w:cs="Arial"/>
          <w:shd w:val="clear" w:color="auto" w:fill="FFFFFF"/>
        </w:rPr>
        <w:t>, M.</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Adapting customer experience in the time of coronavirus. </w:t>
      </w:r>
      <w:r w:rsidRPr="004F7A33">
        <w:rPr>
          <w:rFonts w:ascii="Arial" w:eastAsia="Times New Roman" w:hAnsi="Arial" w:cs="Arial"/>
          <w:i/>
          <w:iCs/>
          <w:shd w:val="clear" w:color="auto" w:fill="FFFFFF"/>
        </w:rPr>
        <w:t>McKinsey &amp; Company</w:t>
      </w:r>
      <w:r w:rsidRPr="004F7A33">
        <w:rPr>
          <w:rFonts w:ascii="Arial" w:eastAsia="Times New Roman" w:hAnsi="Arial" w:cs="Arial"/>
          <w:shd w:val="clear" w:color="auto" w:fill="FFFFFF"/>
        </w:rPr>
        <w:t>, pp.1-7.</w:t>
      </w:r>
    </w:p>
    <w:p w14:paraId="0D89C1EE" w14:textId="6B26A953"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 xml:space="preserve">Dwivedi, Y.K., Hughes, D.L., Coombs, C., </w:t>
      </w:r>
      <w:proofErr w:type="spellStart"/>
      <w:r w:rsidRPr="004F7A33">
        <w:rPr>
          <w:rFonts w:ascii="Arial" w:eastAsia="Times New Roman" w:hAnsi="Arial" w:cs="Arial"/>
          <w:shd w:val="clear" w:color="auto" w:fill="FFFFFF"/>
        </w:rPr>
        <w:t>Constantiou</w:t>
      </w:r>
      <w:proofErr w:type="spellEnd"/>
      <w:r w:rsidRPr="004F7A33">
        <w:rPr>
          <w:rFonts w:ascii="Arial" w:eastAsia="Times New Roman" w:hAnsi="Arial" w:cs="Arial"/>
          <w:shd w:val="clear" w:color="auto" w:fill="FFFFFF"/>
        </w:rPr>
        <w:t xml:space="preserve">, I., Duan, Y., Edwards, J.S., Gupta, B., Lal, B., </w:t>
      </w:r>
      <w:proofErr w:type="spellStart"/>
      <w:r w:rsidRPr="004F7A33">
        <w:rPr>
          <w:rFonts w:ascii="Arial" w:eastAsia="Times New Roman" w:hAnsi="Arial" w:cs="Arial"/>
          <w:shd w:val="clear" w:color="auto" w:fill="FFFFFF"/>
        </w:rPr>
        <w:t>Misra</w:t>
      </w:r>
      <w:proofErr w:type="spellEnd"/>
      <w:r w:rsidRPr="004F7A33">
        <w:rPr>
          <w:rFonts w:ascii="Arial" w:eastAsia="Times New Roman" w:hAnsi="Arial" w:cs="Arial"/>
          <w:shd w:val="clear" w:color="auto" w:fill="FFFFFF"/>
        </w:rPr>
        <w:t>, S., Prashant, P. and Raman, R.</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w:t>
      </w:r>
      <w:r>
        <w:rPr>
          <w:rFonts w:ascii="Arial" w:eastAsia="Times New Roman" w:hAnsi="Arial" w:cs="Arial"/>
          <w:shd w:val="clear" w:color="auto" w:fill="FFFFFF"/>
        </w:rPr>
        <w:t>02</w:t>
      </w:r>
      <w:r w:rsidRPr="004F7A33">
        <w:rPr>
          <w:rFonts w:ascii="Arial" w:eastAsia="Times New Roman" w:hAnsi="Arial" w:cs="Arial"/>
          <w:shd w:val="clear" w:color="auto" w:fill="FFFFFF"/>
        </w:rPr>
        <w:t>0</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Impact of COVID-19 pandemic on information management research and practice: Transforming education, work and life. </w:t>
      </w:r>
      <w:r w:rsidRPr="004F7A33">
        <w:rPr>
          <w:rFonts w:ascii="Arial" w:eastAsia="Times New Roman" w:hAnsi="Arial" w:cs="Arial"/>
          <w:i/>
          <w:iCs/>
          <w:shd w:val="clear" w:color="auto" w:fill="FFFFFF"/>
        </w:rPr>
        <w:t>International Journal of Information Management</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55</w:t>
      </w:r>
      <w:r w:rsidRPr="004F7A33">
        <w:rPr>
          <w:rFonts w:ascii="Arial" w:eastAsia="Times New Roman" w:hAnsi="Arial" w:cs="Arial"/>
          <w:shd w:val="clear" w:color="auto" w:fill="FFFFFF"/>
        </w:rPr>
        <w:t>, p.102211.</w:t>
      </w:r>
    </w:p>
    <w:p w14:paraId="78E17012" w14:textId="24CC43BC"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El-</w:t>
      </w:r>
      <w:proofErr w:type="spellStart"/>
      <w:r w:rsidRPr="004F7A33">
        <w:rPr>
          <w:rFonts w:ascii="Arial" w:eastAsia="Times New Roman" w:hAnsi="Arial" w:cs="Arial"/>
          <w:shd w:val="clear" w:color="auto" w:fill="FFFFFF"/>
        </w:rPr>
        <w:t>Adly</w:t>
      </w:r>
      <w:proofErr w:type="spellEnd"/>
      <w:r w:rsidRPr="004F7A33">
        <w:rPr>
          <w:rFonts w:ascii="Arial" w:eastAsia="Times New Roman" w:hAnsi="Arial" w:cs="Arial"/>
          <w:shd w:val="clear" w:color="auto" w:fill="FFFFFF"/>
        </w:rPr>
        <w:t>, M.I.</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2019</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Modelling the relationship between hotel perceived value, customer satisfaction, and customer loyalty. </w:t>
      </w:r>
      <w:r w:rsidRPr="004F7A33">
        <w:rPr>
          <w:rFonts w:ascii="Arial" w:eastAsia="Times New Roman" w:hAnsi="Arial" w:cs="Arial"/>
          <w:i/>
          <w:iCs/>
          <w:shd w:val="clear" w:color="auto" w:fill="FFFFFF"/>
        </w:rPr>
        <w:t>Journal of Retailing and Consumer Services</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50</w:t>
      </w:r>
      <w:r w:rsidRPr="004F7A33">
        <w:rPr>
          <w:rFonts w:ascii="Arial" w:eastAsia="Times New Roman" w:hAnsi="Arial" w:cs="Arial"/>
          <w:shd w:val="clear" w:color="auto" w:fill="FFFFFF"/>
        </w:rPr>
        <w:t>, pp.322-332.</w:t>
      </w:r>
    </w:p>
    <w:p w14:paraId="7B954D9C" w14:textId="280A25BB"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 xml:space="preserve">Freeman, R.E. and </w:t>
      </w:r>
      <w:proofErr w:type="spellStart"/>
      <w:r w:rsidRPr="004F7A33">
        <w:rPr>
          <w:rFonts w:ascii="Arial" w:eastAsia="Times New Roman" w:hAnsi="Arial" w:cs="Arial"/>
          <w:shd w:val="clear" w:color="auto" w:fill="FFFFFF"/>
        </w:rPr>
        <w:t>Dmytriyev</w:t>
      </w:r>
      <w:proofErr w:type="spellEnd"/>
      <w:r w:rsidRPr="004F7A33">
        <w:rPr>
          <w:rFonts w:ascii="Arial" w:eastAsia="Times New Roman" w:hAnsi="Arial" w:cs="Arial"/>
          <w:shd w:val="clear" w:color="auto" w:fill="FFFFFF"/>
        </w:rPr>
        <w:t>, S.</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2017</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Corporate social responsibility and stakeholder theory: Learning from each other. </w:t>
      </w:r>
      <w:proofErr w:type="spellStart"/>
      <w:r w:rsidRPr="004F7A33">
        <w:rPr>
          <w:rFonts w:ascii="Arial" w:eastAsia="Times New Roman" w:hAnsi="Arial" w:cs="Arial"/>
          <w:i/>
          <w:iCs/>
          <w:shd w:val="clear" w:color="auto" w:fill="FFFFFF"/>
        </w:rPr>
        <w:t>Symphonya</w:t>
      </w:r>
      <w:proofErr w:type="spellEnd"/>
      <w:r w:rsidRPr="004F7A33">
        <w:rPr>
          <w:rFonts w:ascii="Arial" w:eastAsia="Times New Roman" w:hAnsi="Arial" w:cs="Arial"/>
          <w:i/>
          <w:iCs/>
          <w:shd w:val="clear" w:color="auto" w:fill="FFFFFF"/>
        </w:rPr>
        <w:t>. Emerging Issues in Management</w:t>
      </w:r>
      <w:r w:rsidRPr="004F7A33">
        <w:rPr>
          <w:rFonts w:ascii="Arial" w:eastAsia="Times New Roman" w:hAnsi="Arial" w:cs="Arial"/>
          <w:shd w:val="clear" w:color="auto" w:fill="FFFFFF"/>
        </w:rPr>
        <w:t>, (1), pp.7-15.</w:t>
      </w:r>
    </w:p>
    <w:p w14:paraId="29CF493E" w14:textId="0CD484A2"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Freudenreich</w:t>
      </w:r>
      <w:proofErr w:type="spellEnd"/>
      <w:r w:rsidRPr="004F7A33">
        <w:rPr>
          <w:rFonts w:ascii="Arial" w:eastAsia="Times New Roman" w:hAnsi="Arial" w:cs="Arial"/>
          <w:shd w:val="clear" w:color="auto" w:fill="FFFFFF"/>
        </w:rPr>
        <w:t xml:space="preserve">, B., </w:t>
      </w:r>
      <w:proofErr w:type="spellStart"/>
      <w:r w:rsidRPr="004F7A33">
        <w:rPr>
          <w:rFonts w:ascii="Arial" w:eastAsia="Times New Roman" w:hAnsi="Arial" w:cs="Arial"/>
          <w:shd w:val="clear" w:color="auto" w:fill="FFFFFF"/>
        </w:rPr>
        <w:t>Lüdeke</w:t>
      </w:r>
      <w:proofErr w:type="spellEnd"/>
      <w:r w:rsidRPr="004F7A33">
        <w:rPr>
          <w:rFonts w:ascii="Arial" w:eastAsia="Times New Roman" w:hAnsi="Arial" w:cs="Arial"/>
          <w:shd w:val="clear" w:color="auto" w:fill="FFFFFF"/>
        </w:rPr>
        <w:t xml:space="preserve">-Freund, F. and </w:t>
      </w:r>
      <w:proofErr w:type="spellStart"/>
      <w:r w:rsidRPr="004F7A33">
        <w:rPr>
          <w:rFonts w:ascii="Arial" w:eastAsia="Times New Roman" w:hAnsi="Arial" w:cs="Arial"/>
          <w:shd w:val="clear" w:color="auto" w:fill="FFFFFF"/>
        </w:rPr>
        <w:t>Schaltegger</w:t>
      </w:r>
      <w:proofErr w:type="spellEnd"/>
      <w:r w:rsidRPr="004F7A33">
        <w:rPr>
          <w:rFonts w:ascii="Arial" w:eastAsia="Times New Roman" w:hAnsi="Arial" w:cs="Arial"/>
          <w:shd w:val="clear" w:color="auto" w:fill="FFFFFF"/>
        </w:rPr>
        <w:t>, S.</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A stakeholder theory perspective on business models: Value creation for sustainability. </w:t>
      </w:r>
      <w:r w:rsidRPr="004F7A33">
        <w:rPr>
          <w:rFonts w:ascii="Arial" w:eastAsia="Times New Roman" w:hAnsi="Arial" w:cs="Arial"/>
          <w:i/>
          <w:iCs/>
          <w:shd w:val="clear" w:color="auto" w:fill="FFFFFF"/>
        </w:rPr>
        <w:t>Journal of Business Ethics</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166</w:t>
      </w:r>
      <w:r w:rsidRPr="004F7A33">
        <w:rPr>
          <w:rFonts w:ascii="Arial" w:eastAsia="Times New Roman" w:hAnsi="Arial" w:cs="Arial"/>
          <w:shd w:val="clear" w:color="auto" w:fill="FFFFFF"/>
        </w:rPr>
        <w:t>(1), pp.3-18.</w:t>
      </w:r>
    </w:p>
    <w:p w14:paraId="103994D6" w14:textId="7FD92293"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lastRenderedPageBreak/>
        <w:t>Gronau</w:t>
      </w:r>
      <w:proofErr w:type="spellEnd"/>
      <w:r w:rsidRPr="004F7A33">
        <w:rPr>
          <w:rFonts w:ascii="Arial" w:eastAsia="Times New Roman" w:hAnsi="Arial" w:cs="Arial"/>
          <w:shd w:val="clear" w:color="auto" w:fill="FFFFFF"/>
        </w:rPr>
        <w:t xml:space="preserve">, N., Ullrich, A. and </w:t>
      </w:r>
      <w:proofErr w:type="spellStart"/>
      <w:r w:rsidRPr="004F7A33">
        <w:rPr>
          <w:rFonts w:ascii="Arial" w:eastAsia="Times New Roman" w:hAnsi="Arial" w:cs="Arial"/>
          <w:shd w:val="clear" w:color="auto" w:fill="FFFFFF"/>
        </w:rPr>
        <w:t>Teichmann</w:t>
      </w:r>
      <w:proofErr w:type="spellEnd"/>
      <w:r w:rsidRPr="004F7A33">
        <w:rPr>
          <w:rFonts w:ascii="Arial" w:eastAsia="Times New Roman" w:hAnsi="Arial" w:cs="Arial"/>
          <w:shd w:val="clear" w:color="auto" w:fill="FFFFFF"/>
        </w:rPr>
        <w:t>, M.</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2017</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Development of the industrial IoT competences in the areas of organization, process, and interaction based on the learning factory concept. </w:t>
      </w:r>
      <w:r w:rsidRPr="004F7A33">
        <w:rPr>
          <w:rFonts w:ascii="Arial" w:eastAsia="Times New Roman" w:hAnsi="Arial" w:cs="Arial"/>
          <w:i/>
          <w:iCs/>
          <w:shd w:val="clear" w:color="auto" w:fill="FFFFFF"/>
        </w:rPr>
        <w:t>Procedia Manufacturing</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9</w:t>
      </w:r>
      <w:r w:rsidRPr="004F7A33">
        <w:rPr>
          <w:rFonts w:ascii="Arial" w:eastAsia="Times New Roman" w:hAnsi="Arial" w:cs="Arial"/>
          <w:shd w:val="clear" w:color="auto" w:fill="FFFFFF"/>
        </w:rPr>
        <w:t>, pp.254-261.</w:t>
      </w:r>
    </w:p>
    <w:p w14:paraId="0C0F89E5" w14:textId="41CDD9D6"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Hirschler</w:t>
      </w:r>
      <w:proofErr w:type="spellEnd"/>
      <w:r w:rsidRPr="004F7A33">
        <w:rPr>
          <w:rFonts w:ascii="Arial" w:eastAsia="Times New Roman" w:hAnsi="Arial" w:cs="Arial"/>
          <w:shd w:val="clear" w:color="auto" w:fill="FFFFFF"/>
        </w:rPr>
        <w:t>, S.</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2017</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Brexit, </w:t>
      </w:r>
      <w:proofErr w:type="gramStart"/>
      <w:r w:rsidRPr="004F7A33">
        <w:rPr>
          <w:rFonts w:ascii="Arial" w:eastAsia="Times New Roman" w:hAnsi="Arial" w:cs="Arial"/>
          <w:shd w:val="clear" w:color="auto" w:fill="FFFFFF"/>
        </w:rPr>
        <w:t>immigration</w:t>
      </w:r>
      <w:proofErr w:type="gramEnd"/>
      <w:r w:rsidRPr="004F7A33">
        <w:rPr>
          <w:rFonts w:ascii="Arial" w:eastAsia="Times New Roman" w:hAnsi="Arial" w:cs="Arial"/>
          <w:shd w:val="clear" w:color="auto" w:fill="FFFFFF"/>
        </w:rPr>
        <w:t xml:space="preserve"> and expanded markets of social control. </w:t>
      </w:r>
      <w:r w:rsidRPr="004F7A33">
        <w:rPr>
          <w:rFonts w:ascii="Arial" w:eastAsia="Times New Roman" w:hAnsi="Arial" w:cs="Arial"/>
          <w:i/>
          <w:iCs/>
          <w:shd w:val="clear" w:color="auto" w:fill="FFFFFF"/>
        </w:rPr>
        <w:t>Safer Communities</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16</w:t>
      </w:r>
      <w:r w:rsidRPr="004F7A33">
        <w:rPr>
          <w:rFonts w:ascii="Arial" w:eastAsia="Times New Roman" w:hAnsi="Arial" w:cs="Arial"/>
          <w:shd w:val="clear" w:color="auto" w:fill="FFFFFF"/>
        </w:rPr>
        <w:t>(4), pp.176-185.</w:t>
      </w:r>
    </w:p>
    <w:p w14:paraId="4B29D9DA" w14:textId="0684FCCC"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Išoraitė</w:t>
      </w:r>
      <w:proofErr w:type="spellEnd"/>
      <w:r w:rsidRPr="004F7A33">
        <w:rPr>
          <w:rFonts w:ascii="Arial" w:eastAsia="Times New Roman" w:hAnsi="Arial" w:cs="Arial"/>
          <w:shd w:val="clear" w:color="auto" w:fill="FFFFFF"/>
        </w:rPr>
        <w:t>, M.</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2016</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Marketing mix theoretical aspects. </w:t>
      </w:r>
      <w:r w:rsidRPr="004F7A33">
        <w:rPr>
          <w:rFonts w:ascii="Arial" w:eastAsia="Times New Roman" w:hAnsi="Arial" w:cs="Arial"/>
          <w:i/>
          <w:iCs/>
          <w:shd w:val="clear" w:color="auto" w:fill="FFFFFF"/>
        </w:rPr>
        <w:t xml:space="preserve">International journal of research </w:t>
      </w:r>
      <w:proofErr w:type="spellStart"/>
      <w:r w:rsidRPr="004F7A33">
        <w:rPr>
          <w:rFonts w:ascii="Arial" w:eastAsia="Times New Roman" w:hAnsi="Arial" w:cs="Arial"/>
          <w:i/>
          <w:iCs/>
          <w:shd w:val="clear" w:color="auto" w:fill="FFFFFF"/>
        </w:rPr>
        <w:t>granthaalayah</w:t>
      </w:r>
      <w:proofErr w:type="spellEnd"/>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4</w:t>
      </w:r>
      <w:r w:rsidRPr="004F7A33">
        <w:rPr>
          <w:rFonts w:ascii="Arial" w:eastAsia="Times New Roman" w:hAnsi="Arial" w:cs="Arial"/>
          <w:shd w:val="clear" w:color="auto" w:fill="FFFFFF"/>
        </w:rPr>
        <w:t>(6), pp.25-37.</w:t>
      </w:r>
    </w:p>
    <w:p w14:paraId="1F975ADC" w14:textId="106C64EF"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Jain, K.</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2019</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Marketing Customer engagement &amp; Social media Advertisement. </w:t>
      </w:r>
      <w:r w:rsidRPr="004F7A33">
        <w:rPr>
          <w:rFonts w:ascii="Arial" w:eastAsia="Times New Roman" w:hAnsi="Arial" w:cs="Arial"/>
          <w:i/>
          <w:iCs/>
          <w:shd w:val="clear" w:color="auto" w:fill="FFFFFF"/>
        </w:rPr>
        <w:t>NOLEGEIN-Journal of Advertising and Brand Management</w:t>
      </w:r>
      <w:r w:rsidRPr="004F7A33">
        <w:rPr>
          <w:rFonts w:ascii="Arial" w:eastAsia="Times New Roman" w:hAnsi="Arial" w:cs="Arial"/>
          <w:shd w:val="clear" w:color="auto" w:fill="FFFFFF"/>
        </w:rPr>
        <w:t>, pp.1-18.</w:t>
      </w:r>
    </w:p>
    <w:p w14:paraId="0C857B86" w14:textId="19F9630E"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Jassem, S., Azmi, A. and Zakaria, Z.</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2018</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Impact of Sustainability Balanced Scorecard Types on Environmental Investment Decision-Making. </w:t>
      </w:r>
      <w:r w:rsidRPr="004F7A33">
        <w:rPr>
          <w:rFonts w:ascii="Arial" w:eastAsia="Times New Roman" w:hAnsi="Arial" w:cs="Arial"/>
          <w:i/>
          <w:iCs/>
          <w:shd w:val="clear" w:color="auto" w:fill="FFFFFF"/>
        </w:rPr>
        <w:t>Sustainability</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10</w:t>
      </w:r>
      <w:r w:rsidRPr="004F7A33">
        <w:rPr>
          <w:rFonts w:ascii="Arial" w:eastAsia="Times New Roman" w:hAnsi="Arial" w:cs="Arial"/>
          <w:shd w:val="clear" w:color="auto" w:fill="FFFFFF"/>
        </w:rPr>
        <w:t>(2), p.541.</w:t>
      </w:r>
    </w:p>
    <w:p w14:paraId="77E06FBC" w14:textId="2CB28936"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Keogh-Brown, M.R., Jensen, H.T., Edmunds, W.J. and Smith, R.D.</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The impact of Covid-19, associated </w:t>
      </w:r>
      <w:proofErr w:type="gramStart"/>
      <w:r w:rsidRPr="004F7A33">
        <w:rPr>
          <w:rFonts w:ascii="Arial" w:eastAsia="Times New Roman" w:hAnsi="Arial" w:cs="Arial"/>
          <w:shd w:val="clear" w:color="auto" w:fill="FFFFFF"/>
        </w:rPr>
        <w:t>behaviours</w:t>
      </w:r>
      <w:proofErr w:type="gramEnd"/>
      <w:r w:rsidRPr="004F7A33">
        <w:rPr>
          <w:rFonts w:ascii="Arial" w:eastAsia="Times New Roman" w:hAnsi="Arial" w:cs="Arial"/>
          <w:shd w:val="clear" w:color="auto" w:fill="FFFFFF"/>
        </w:rPr>
        <w:t xml:space="preserve"> and policies on the UK economy: A computable general equilibrium model. </w:t>
      </w:r>
      <w:r w:rsidRPr="004F7A33">
        <w:rPr>
          <w:rFonts w:ascii="Arial" w:eastAsia="Times New Roman" w:hAnsi="Arial" w:cs="Arial"/>
          <w:i/>
          <w:iCs/>
          <w:shd w:val="clear" w:color="auto" w:fill="FFFFFF"/>
        </w:rPr>
        <w:t>SSM-population health</w:t>
      </w:r>
      <w:r w:rsidRPr="004F7A33">
        <w:rPr>
          <w:rFonts w:ascii="Arial" w:eastAsia="Times New Roman" w:hAnsi="Arial" w:cs="Arial"/>
          <w:shd w:val="clear" w:color="auto" w:fill="FFFFFF"/>
        </w:rPr>
        <w:t>, p.100651.</w:t>
      </w:r>
    </w:p>
    <w:p w14:paraId="782B7801" w14:textId="025963A0"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Khanna, V.</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2018</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A study to measure the organisational integrity across different sectors. </w:t>
      </w:r>
      <w:r w:rsidRPr="004F7A33">
        <w:rPr>
          <w:rFonts w:ascii="Arial" w:eastAsia="Times New Roman" w:hAnsi="Arial" w:cs="Arial"/>
          <w:i/>
          <w:iCs/>
          <w:shd w:val="clear" w:color="auto" w:fill="FFFFFF"/>
        </w:rPr>
        <w:t>World Review of Entrepreneurship, Management and Sustainable Development</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14</w:t>
      </w:r>
      <w:r w:rsidRPr="004F7A33">
        <w:rPr>
          <w:rFonts w:ascii="Arial" w:eastAsia="Times New Roman" w:hAnsi="Arial" w:cs="Arial"/>
          <w:shd w:val="clear" w:color="auto" w:fill="FFFFFF"/>
        </w:rPr>
        <w:t>(6), pp.669-682.</w:t>
      </w:r>
    </w:p>
    <w:p w14:paraId="36A7B02E" w14:textId="45E48069"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LI, Q.Z. and Lee, J.H.</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2017</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The influential relations on sharing economy and consumer traits. </w:t>
      </w:r>
      <w:r w:rsidRPr="004F7A33">
        <w:rPr>
          <w:rFonts w:ascii="Arial" w:eastAsia="Times New Roman" w:hAnsi="Arial" w:cs="Arial"/>
          <w:i/>
          <w:iCs/>
          <w:shd w:val="clear" w:color="auto" w:fill="FFFFFF"/>
        </w:rPr>
        <w:t>The Journal of Industrial Distribution &amp; Business</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8</w:t>
      </w:r>
      <w:r w:rsidRPr="004F7A33">
        <w:rPr>
          <w:rFonts w:ascii="Arial" w:eastAsia="Times New Roman" w:hAnsi="Arial" w:cs="Arial"/>
          <w:shd w:val="clear" w:color="auto" w:fill="FFFFFF"/>
        </w:rPr>
        <w:t>(6), pp.75-86.</w:t>
      </w:r>
    </w:p>
    <w:p w14:paraId="5A1EAB40" w14:textId="6905EAC3"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Mackie, S., Verint Americas Inc</w:t>
      </w:r>
      <w:r>
        <w:rPr>
          <w:rFonts w:ascii="Arial" w:eastAsia="Times New Roman" w:hAnsi="Arial" w:cs="Arial"/>
          <w:shd w:val="clear" w:color="auto" w:fill="FFFFFF"/>
        </w:rPr>
        <w:t>. (</w:t>
      </w:r>
      <w:r w:rsidRPr="004F7A33">
        <w:rPr>
          <w:rFonts w:ascii="Arial" w:eastAsia="Times New Roman" w:hAnsi="Arial" w:cs="Arial"/>
          <w:shd w:val="clear" w:color="auto" w:fill="FFFFFF"/>
        </w:rPr>
        <w:t>2019</w:t>
      </w:r>
      <w:r>
        <w:rPr>
          <w:rFonts w:ascii="Arial" w:eastAsia="Times New Roman" w:hAnsi="Arial" w:cs="Arial"/>
          <w:shd w:val="clear" w:color="auto" w:fill="FFFFFF"/>
        </w:rPr>
        <w:t>)</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System and method of automated routing and guidance based on continuous customer and customer service representative feedback</w:t>
      </w:r>
      <w:r w:rsidRPr="004F7A33">
        <w:rPr>
          <w:rFonts w:ascii="Arial" w:eastAsia="Times New Roman" w:hAnsi="Arial" w:cs="Arial"/>
          <w:shd w:val="clear" w:color="auto" w:fill="FFFFFF"/>
        </w:rPr>
        <w:t>. U.S. Patent 10,440,184.</w:t>
      </w:r>
    </w:p>
    <w:p w14:paraId="659CAE95" w14:textId="27E82F3A"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Makarius</w:t>
      </w:r>
      <w:proofErr w:type="spellEnd"/>
      <w:r w:rsidRPr="004F7A33">
        <w:rPr>
          <w:rFonts w:ascii="Arial" w:eastAsia="Times New Roman" w:hAnsi="Arial" w:cs="Arial"/>
          <w:shd w:val="clear" w:color="auto" w:fill="FFFFFF"/>
        </w:rPr>
        <w:t xml:space="preserve">, E.E., Mukherjee, D., Fox, </w:t>
      </w:r>
      <w:proofErr w:type="gramStart"/>
      <w:r w:rsidRPr="004F7A33">
        <w:rPr>
          <w:rFonts w:ascii="Arial" w:eastAsia="Times New Roman" w:hAnsi="Arial" w:cs="Arial"/>
          <w:shd w:val="clear" w:color="auto" w:fill="FFFFFF"/>
        </w:rPr>
        <w:t>J.D.</w:t>
      </w:r>
      <w:proofErr w:type="gramEnd"/>
      <w:r w:rsidRPr="004F7A33">
        <w:rPr>
          <w:rFonts w:ascii="Arial" w:eastAsia="Times New Roman" w:hAnsi="Arial" w:cs="Arial"/>
          <w:shd w:val="clear" w:color="auto" w:fill="FFFFFF"/>
        </w:rPr>
        <w:t xml:space="preserve"> and Fox, A.K.</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Rising with the machines: A sociotechnical framework for bringing artificial intelligence into the organization. </w:t>
      </w:r>
      <w:r w:rsidRPr="004F7A33">
        <w:rPr>
          <w:rFonts w:ascii="Arial" w:eastAsia="Times New Roman" w:hAnsi="Arial" w:cs="Arial"/>
          <w:i/>
          <w:iCs/>
          <w:shd w:val="clear" w:color="auto" w:fill="FFFFFF"/>
        </w:rPr>
        <w:t>Journal of Business Research</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120</w:t>
      </w:r>
      <w:r w:rsidRPr="004F7A33">
        <w:rPr>
          <w:rFonts w:ascii="Arial" w:eastAsia="Times New Roman" w:hAnsi="Arial" w:cs="Arial"/>
          <w:shd w:val="clear" w:color="auto" w:fill="FFFFFF"/>
        </w:rPr>
        <w:t>, pp.262-273.</w:t>
      </w:r>
    </w:p>
    <w:p w14:paraId="46E27F64" w14:textId="15F65689"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Makinde</w:t>
      </w:r>
      <w:proofErr w:type="spellEnd"/>
      <w:r w:rsidRPr="004F7A33">
        <w:rPr>
          <w:rFonts w:ascii="Arial" w:eastAsia="Times New Roman" w:hAnsi="Arial" w:cs="Arial"/>
          <w:shd w:val="clear" w:color="auto" w:fill="FFFFFF"/>
        </w:rPr>
        <w:t xml:space="preserve">, A.S., Vincent, O.R., </w:t>
      </w:r>
      <w:proofErr w:type="spellStart"/>
      <w:r w:rsidRPr="004F7A33">
        <w:rPr>
          <w:rFonts w:ascii="Arial" w:eastAsia="Times New Roman" w:hAnsi="Arial" w:cs="Arial"/>
          <w:shd w:val="clear" w:color="auto" w:fill="FFFFFF"/>
        </w:rPr>
        <w:t>Acheme</w:t>
      </w:r>
      <w:proofErr w:type="spellEnd"/>
      <w:r w:rsidRPr="004F7A33">
        <w:rPr>
          <w:rFonts w:ascii="Arial" w:eastAsia="Times New Roman" w:hAnsi="Arial" w:cs="Arial"/>
          <w:shd w:val="clear" w:color="auto" w:fill="FFFFFF"/>
        </w:rPr>
        <w:t xml:space="preserve">, I.D. and </w:t>
      </w:r>
      <w:proofErr w:type="spellStart"/>
      <w:r w:rsidRPr="004F7A33">
        <w:rPr>
          <w:rFonts w:ascii="Arial" w:eastAsia="Times New Roman" w:hAnsi="Arial" w:cs="Arial"/>
          <w:shd w:val="clear" w:color="auto" w:fill="FFFFFF"/>
        </w:rPr>
        <w:t>Akinwale</w:t>
      </w:r>
      <w:proofErr w:type="spellEnd"/>
      <w:r w:rsidRPr="004F7A33">
        <w:rPr>
          <w:rFonts w:ascii="Arial" w:eastAsia="Times New Roman" w:hAnsi="Arial" w:cs="Arial"/>
          <w:shd w:val="clear" w:color="auto" w:fill="FFFFFF"/>
        </w:rPr>
        <w:t>, A.T.</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A genetic-based data mining model for customer relationship management in B2B ecommerce. </w:t>
      </w:r>
      <w:r w:rsidRPr="004F7A33">
        <w:rPr>
          <w:rFonts w:ascii="Arial" w:eastAsia="Times New Roman" w:hAnsi="Arial" w:cs="Arial"/>
          <w:i/>
          <w:iCs/>
          <w:shd w:val="clear" w:color="auto" w:fill="FFFFFF"/>
        </w:rPr>
        <w:t>Journal of Computer Science and Its Application</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27</w:t>
      </w:r>
      <w:r w:rsidRPr="004F7A33">
        <w:rPr>
          <w:rFonts w:ascii="Arial" w:eastAsia="Times New Roman" w:hAnsi="Arial" w:cs="Arial"/>
          <w:shd w:val="clear" w:color="auto" w:fill="FFFFFF"/>
        </w:rPr>
        <w:t>(1).</w:t>
      </w:r>
    </w:p>
    <w:p w14:paraId="7A3E036E" w14:textId="5743F7BF"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Mehralian</w:t>
      </w:r>
      <w:proofErr w:type="spellEnd"/>
      <w:r w:rsidRPr="004F7A33">
        <w:rPr>
          <w:rFonts w:ascii="Arial" w:eastAsia="Times New Roman" w:hAnsi="Arial" w:cs="Arial"/>
          <w:shd w:val="clear" w:color="auto" w:fill="FFFFFF"/>
        </w:rPr>
        <w:t xml:space="preserve">, G., Nazari, J.A., </w:t>
      </w:r>
      <w:proofErr w:type="spellStart"/>
      <w:r w:rsidRPr="004F7A33">
        <w:rPr>
          <w:rFonts w:ascii="Arial" w:eastAsia="Times New Roman" w:hAnsi="Arial" w:cs="Arial"/>
          <w:shd w:val="clear" w:color="auto" w:fill="FFFFFF"/>
        </w:rPr>
        <w:t>Nooriparto</w:t>
      </w:r>
      <w:proofErr w:type="spellEnd"/>
      <w:r w:rsidRPr="004F7A33">
        <w:rPr>
          <w:rFonts w:ascii="Arial" w:eastAsia="Times New Roman" w:hAnsi="Arial" w:cs="Arial"/>
          <w:shd w:val="clear" w:color="auto" w:fill="FFFFFF"/>
        </w:rPr>
        <w:t xml:space="preserve">, G. and </w:t>
      </w:r>
      <w:proofErr w:type="spellStart"/>
      <w:r w:rsidRPr="004F7A33">
        <w:rPr>
          <w:rFonts w:ascii="Arial" w:eastAsia="Times New Roman" w:hAnsi="Arial" w:cs="Arial"/>
          <w:shd w:val="clear" w:color="auto" w:fill="FFFFFF"/>
        </w:rPr>
        <w:t>Rasekh</w:t>
      </w:r>
      <w:proofErr w:type="spellEnd"/>
      <w:r w:rsidRPr="004F7A33">
        <w:rPr>
          <w:rFonts w:ascii="Arial" w:eastAsia="Times New Roman" w:hAnsi="Arial" w:cs="Arial"/>
          <w:shd w:val="clear" w:color="auto" w:fill="FFFFFF"/>
        </w:rPr>
        <w:t>, H.R.</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2017</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TQM and organizational performance using the balanced scorecard approach. </w:t>
      </w:r>
      <w:r w:rsidRPr="004F7A33">
        <w:rPr>
          <w:rFonts w:ascii="Arial" w:eastAsia="Times New Roman" w:hAnsi="Arial" w:cs="Arial"/>
          <w:i/>
          <w:iCs/>
          <w:shd w:val="clear" w:color="auto" w:fill="FFFFFF"/>
        </w:rPr>
        <w:t>International Journal of Productivity and Performance Management</w:t>
      </w:r>
      <w:r w:rsidRPr="004F7A33">
        <w:rPr>
          <w:rFonts w:ascii="Arial" w:eastAsia="Times New Roman" w:hAnsi="Arial" w:cs="Arial"/>
          <w:shd w:val="clear" w:color="auto" w:fill="FFFFFF"/>
        </w:rPr>
        <w:t>.</w:t>
      </w:r>
    </w:p>
    <w:p w14:paraId="38168693" w14:textId="75F3909B"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lastRenderedPageBreak/>
        <w:t>Mitie</w:t>
      </w:r>
      <w:r>
        <w:rPr>
          <w:rFonts w:ascii="Arial" w:eastAsia="Times New Roman" w:hAnsi="Arial" w:cs="Arial"/>
          <w:shd w:val="clear" w:color="auto" w:fill="FFFFFF"/>
        </w:rPr>
        <w:t>. (</w:t>
      </w:r>
      <w:r w:rsidRPr="004F7A33">
        <w:rPr>
          <w:rFonts w:ascii="Arial" w:eastAsia="Times New Roman" w:hAnsi="Arial" w:cs="Arial"/>
          <w:shd w:val="clear" w:color="auto" w:fill="FFFFFF"/>
        </w:rPr>
        <w:t>2020</w:t>
      </w:r>
      <w:r>
        <w:rPr>
          <w:rFonts w:ascii="Arial" w:eastAsia="Times New Roman" w:hAnsi="Arial" w:cs="Arial"/>
          <w:shd w:val="clear" w:color="auto" w:fill="FFFFFF"/>
        </w:rPr>
        <w:t>)</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 xml:space="preserve">Mitie Security Launches Global Security Operations Service Accelerating Intelligence </w:t>
      </w:r>
      <w:proofErr w:type="gramStart"/>
      <w:r w:rsidRPr="004F7A33">
        <w:rPr>
          <w:rFonts w:ascii="Arial" w:eastAsia="Times New Roman" w:hAnsi="Arial" w:cs="Arial"/>
          <w:i/>
          <w:iCs/>
          <w:shd w:val="clear" w:color="auto" w:fill="FFFFFF"/>
        </w:rPr>
        <w:t>And</w:t>
      </w:r>
      <w:proofErr w:type="gramEnd"/>
      <w:r w:rsidRPr="004F7A33">
        <w:rPr>
          <w:rFonts w:ascii="Arial" w:eastAsia="Times New Roman" w:hAnsi="Arial" w:cs="Arial"/>
          <w:i/>
          <w:iCs/>
          <w:shd w:val="clear" w:color="auto" w:fill="FFFFFF"/>
        </w:rPr>
        <w:t xml:space="preserve"> Tech-Led Security | Mitie</w:t>
      </w:r>
      <w:r w:rsidRPr="004F7A33">
        <w:rPr>
          <w:rFonts w:ascii="Arial" w:eastAsia="Times New Roman" w:hAnsi="Arial" w:cs="Arial"/>
          <w:shd w:val="clear" w:color="auto" w:fill="FFFFFF"/>
        </w:rPr>
        <w:t>. [online] Mitie. Available at: &lt;https://www.mitie.com/mitie-security-launches-global-security-operations-service-accelerating-intelligence-and-tech-led-security/&gt; [Accessed 26 November 2020].</w:t>
      </w:r>
    </w:p>
    <w:p w14:paraId="533599BB" w14:textId="5314F958"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Nguyen, T.S. and Mohamed, S.</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2018</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Stakeholder management in complex projects. In </w:t>
      </w:r>
      <w:r w:rsidRPr="004F7A33">
        <w:rPr>
          <w:rFonts w:ascii="Arial" w:eastAsia="Times New Roman" w:hAnsi="Arial" w:cs="Arial"/>
          <w:i/>
          <w:iCs/>
          <w:shd w:val="clear" w:color="auto" w:fill="FFFFFF"/>
        </w:rPr>
        <w:t>The 7th World Construction Symposium 2018: Built Asset Sustainability: Rethinking Design, Construction and Operations</w:t>
      </w:r>
      <w:r w:rsidRPr="004F7A33">
        <w:rPr>
          <w:rFonts w:ascii="Arial" w:eastAsia="Times New Roman" w:hAnsi="Arial" w:cs="Arial"/>
          <w:shd w:val="clear" w:color="auto" w:fill="FFFFFF"/>
        </w:rPr>
        <w:t> (pp. 497-506).</w:t>
      </w:r>
    </w:p>
    <w:p w14:paraId="4A577D17" w14:textId="5E81BBA5"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Olson, D.L. and Wu, D.</w:t>
      </w:r>
      <w:r>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Pr>
          <w:rFonts w:ascii="Arial" w:eastAsia="Times New Roman" w:hAnsi="Arial" w:cs="Arial"/>
          <w:shd w:val="clear" w:color="auto" w:fill="FFFFFF"/>
        </w:rPr>
        <w:t>)</w:t>
      </w:r>
      <w:r w:rsidRPr="004F7A33">
        <w:rPr>
          <w:rFonts w:ascii="Arial" w:eastAsia="Times New Roman" w:hAnsi="Arial" w:cs="Arial"/>
          <w:shd w:val="clear" w:color="auto" w:fill="FFFFFF"/>
        </w:rPr>
        <w:t xml:space="preserve"> Balanced Scorecards to Measure Enterprise Risk Performance. In </w:t>
      </w:r>
      <w:r w:rsidRPr="004F7A33">
        <w:rPr>
          <w:rFonts w:ascii="Arial" w:eastAsia="Times New Roman" w:hAnsi="Arial" w:cs="Arial"/>
          <w:i/>
          <w:iCs/>
          <w:shd w:val="clear" w:color="auto" w:fill="FFFFFF"/>
        </w:rPr>
        <w:t>Enterprise Risk Management Models</w:t>
      </w:r>
      <w:r w:rsidRPr="004F7A33">
        <w:rPr>
          <w:rFonts w:ascii="Arial" w:eastAsia="Times New Roman" w:hAnsi="Arial" w:cs="Arial"/>
          <w:shd w:val="clear" w:color="auto" w:fill="FFFFFF"/>
        </w:rPr>
        <w:t> (pp. 137-148). Springer, Berlin, Heidelberg.</w:t>
      </w:r>
    </w:p>
    <w:p w14:paraId="1966B340" w14:textId="09CD1787"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Peng, A.Y., Zhang, I.S., Cummings, J. and Zhang, X.</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Boris Johnson in hospital: a Chinese gaze at Western democracies in the COVID-19 pandemic. </w:t>
      </w:r>
      <w:r w:rsidRPr="004F7A33">
        <w:rPr>
          <w:rFonts w:ascii="Arial" w:eastAsia="Times New Roman" w:hAnsi="Arial" w:cs="Arial"/>
          <w:i/>
          <w:iCs/>
          <w:shd w:val="clear" w:color="auto" w:fill="FFFFFF"/>
        </w:rPr>
        <w:t>Media International Australia</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177</w:t>
      </w:r>
      <w:r w:rsidRPr="004F7A33">
        <w:rPr>
          <w:rFonts w:ascii="Arial" w:eastAsia="Times New Roman" w:hAnsi="Arial" w:cs="Arial"/>
          <w:shd w:val="clear" w:color="auto" w:fill="FFFFFF"/>
        </w:rPr>
        <w:t>(1), pp.76-91.</w:t>
      </w:r>
    </w:p>
    <w:p w14:paraId="13F75434" w14:textId="675E42CE"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Peto</w:t>
      </w:r>
      <w:proofErr w:type="spellEnd"/>
      <w:r w:rsidRPr="004F7A33">
        <w:rPr>
          <w:rFonts w:ascii="Arial" w:eastAsia="Times New Roman" w:hAnsi="Arial" w:cs="Arial"/>
          <w:shd w:val="clear" w:color="auto" w:fill="FFFFFF"/>
        </w:rPr>
        <w:t xml:space="preserve">, J., </w:t>
      </w:r>
      <w:proofErr w:type="spellStart"/>
      <w:r w:rsidRPr="004F7A33">
        <w:rPr>
          <w:rFonts w:ascii="Arial" w:eastAsia="Times New Roman" w:hAnsi="Arial" w:cs="Arial"/>
          <w:shd w:val="clear" w:color="auto" w:fill="FFFFFF"/>
        </w:rPr>
        <w:t>Alwan</w:t>
      </w:r>
      <w:proofErr w:type="spellEnd"/>
      <w:r w:rsidRPr="004F7A33">
        <w:rPr>
          <w:rFonts w:ascii="Arial" w:eastAsia="Times New Roman" w:hAnsi="Arial" w:cs="Arial"/>
          <w:shd w:val="clear" w:color="auto" w:fill="FFFFFF"/>
        </w:rPr>
        <w:t xml:space="preserve">, N.A., Godfrey, K.M., Burgess, R.A., Hunter, D.J., </w:t>
      </w:r>
      <w:proofErr w:type="spellStart"/>
      <w:r w:rsidRPr="004F7A33">
        <w:rPr>
          <w:rFonts w:ascii="Arial" w:eastAsia="Times New Roman" w:hAnsi="Arial" w:cs="Arial"/>
          <w:shd w:val="clear" w:color="auto" w:fill="FFFFFF"/>
        </w:rPr>
        <w:t>Riboli</w:t>
      </w:r>
      <w:proofErr w:type="spellEnd"/>
      <w:r w:rsidRPr="004F7A33">
        <w:rPr>
          <w:rFonts w:ascii="Arial" w:eastAsia="Times New Roman" w:hAnsi="Arial" w:cs="Arial"/>
          <w:shd w:val="clear" w:color="auto" w:fill="FFFFFF"/>
        </w:rPr>
        <w:t xml:space="preserve">, E., Romer, P., Buchan, I., Colbourn, T., </w:t>
      </w:r>
      <w:proofErr w:type="spellStart"/>
      <w:r w:rsidRPr="004F7A33">
        <w:rPr>
          <w:rFonts w:ascii="Arial" w:eastAsia="Times New Roman" w:hAnsi="Arial" w:cs="Arial"/>
          <w:shd w:val="clear" w:color="auto" w:fill="FFFFFF"/>
        </w:rPr>
        <w:t>Costelloe</w:t>
      </w:r>
      <w:proofErr w:type="spellEnd"/>
      <w:r w:rsidRPr="004F7A33">
        <w:rPr>
          <w:rFonts w:ascii="Arial" w:eastAsia="Times New Roman" w:hAnsi="Arial" w:cs="Arial"/>
          <w:shd w:val="clear" w:color="auto" w:fill="FFFFFF"/>
        </w:rPr>
        <w:t>, C. and Smith, G.D.</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Universal weekly testing as the UK COVID-19 lockdown exit strategy. </w:t>
      </w:r>
      <w:r w:rsidRPr="004F7A33">
        <w:rPr>
          <w:rFonts w:ascii="Arial" w:eastAsia="Times New Roman" w:hAnsi="Arial" w:cs="Arial"/>
          <w:i/>
          <w:iCs/>
          <w:shd w:val="clear" w:color="auto" w:fill="FFFFFF"/>
        </w:rPr>
        <w:t>The Lancet</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395</w:t>
      </w:r>
      <w:r w:rsidRPr="004F7A33">
        <w:rPr>
          <w:rFonts w:ascii="Arial" w:eastAsia="Times New Roman" w:hAnsi="Arial" w:cs="Arial"/>
          <w:shd w:val="clear" w:color="auto" w:fill="FFFFFF"/>
        </w:rPr>
        <w:t>(10234), pp.1420-1421.</w:t>
      </w:r>
    </w:p>
    <w:p w14:paraId="1265F9FA" w14:textId="1A3E350B"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 xml:space="preserve">Pierce, M., Hope, H., Ford, T., Hatch, S., </w:t>
      </w:r>
      <w:proofErr w:type="spellStart"/>
      <w:r w:rsidRPr="004F7A33">
        <w:rPr>
          <w:rFonts w:ascii="Arial" w:eastAsia="Times New Roman" w:hAnsi="Arial" w:cs="Arial"/>
          <w:shd w:val="clear" w:color="auto" w:fill="FFFFFF"/>
        </w:rPr>
        <w:t>Hotopf</w:t>
      </w:r>
      <w:proofErr w:type="spellEnd"/>
      <w:r w:rsidRPr="004F7A33">
        <w:rPr>
          <w:rFonts w:ascii="Arial" w:eastAsia="Times New Roman" w:hAnsi="Arial" w:cs="Arial"/>
          <w:shd w:val="clear" w:color="auto" w:fill="FFFFFF"/>
        </w:rPr>
        <w:t xml:space="preserve">, M., John, A., </w:t>
      </w:r>
      <w:proofErr w:type="spellStart"/>
      <w:r w:rsidRPr="004F7A33">
        <w:rPr>
          <w:rFonts w:ascii="Arial" w:eastAsia="Times New Roman" w:hAnsi="Arial" w:cs="Arial"/>
          <w:shd w:val="clear" w:color="auto" w:fill="FFFFFF"/>
        </w:rPr>
        <w:t>Kontopantelis</w:t>
      </w:r>
      <w:proofErr w:type="spellEnd"/>
      <w:r w:rsidRPr="004F7A33">
        <w:rPr>
          <w:rFonts w:ascii="Arial" w:eastAsia="Times New Roman" w:hAnsi="Arial" w:cs="Arial"/>
          <w:shd w:val="clear" w:color="auto" w:fill="FFFFFF"/>
        </w:rPr>
        <w:t xml:space="preserve">, E., Webb, R., </w:t>
      </w:r>
      <w:proofErr w:type="spellStart"/>
      <w:r w:rsidRPr="004F7A33">
        <w:rPr>
          <w:rFonts w:ascii="Arial" w:eastAsia="Times New Roman" w:hAnsi="Arial" w:cs="Arial"/>
          <w:shd w:val="clear" w:color="auto" w:fill="FFFFFF"/>
        </w:rPr>
        <w:t>Wessely</w:t>
      </w:r>
      <w:proofErr w:type="spellEnd"/>
      <w:r w:rsidRPr="004F7A33">
        <w:rPr>
          <w:rFonts w:ascii="Arial" w:eastAsia="Times New Roman" w:hAnsi="Arial" w:cs="Arial"/>
          <w:shd w:val="clear" w:color="auto" w:fill="FFFFFF"/>
        </w:rPr>
        <w:t>, S., McManus, S. and Abel, K.M.</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Mental health before and during the COVID-19 pandemic: a longitudinal probability sample survey of the UK population. </w:t>
      </w:r>
      <w:r w:rsidRPr="004F7A33">
        <w:rPr>
          <w:rFonts w:ascii="Arial" w:eastAsia="Times New Roman" w:hAnsi="Arial" w:cs="Arial"/>
          <w:i/>
          <w:iCs/>
          <w:shd w:val="clear" w:color="auto" w:fill="FFFFFF"/>
        </w:rPr>
        <w:t>The Lancet Psychiatry</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7</w:t>
      </w:r>
      <w:r w:rsidRPr="004F7A33">
        <w:rPr>
          <w:rFonts w:ascii="Arial" w:eastAsia="Times New Roman" w:hAnsi="Arial" w:cs="Arial"/>
          <w:shd w:val="clear" w:color="auto" w:fill="FFFFFF"/>
        </w:rPr>
        <w:t>(10), pp.883-892.</w:t>
      </w:r>
    </w:p>
    <w:p w14:paraId="6D33B04D" w14:textId="055997F7"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Quesado</w:t>
      </w:r>
      <w:proofErr w:type="spellEnd"/>
      <w:r w:rsidRPr="004F7A33">
        <w:rPr>
          <w:rFonts w:ascii="Arial" w:eastAsia="Times New Roman" w:hAnsi="Arial" w:cs="Arial"/>
          <w:shd w:val="clear" w:color="auto" w:fill="FFFFFF"/>
        </w:rPr>
        <w:t xml:space="preserve">, P.R., </w:t>
      </w:r>
      <w:proofErr w:type="spellStart"/>
      <w:r w:rsidRPr="004F7A33">
        <w:rPr>
          <w:rFonts w:ascii="Arial" w:eastAsia="Times New Roman" w:hAnsi="Arial" w:cs="Arial"/>
          <w:shd w:val="clear" w:color="auto" w:fill="FFFFFF"/>
        </w:rPr>
        <w:t>Aibar</w:t>
      </w:r>
      <w:proofErr w:type="spellEnd"/>
      <w:r w:rsidRPr="004F7A33">
        <w:rPr>
          <w:rFonts w:ascii="Arial" w:eastAsia="Times New Roman" w:hAnsi="Arial" w:cs="Arial"/>
          <w:shd w:val="clear" w:color="auto" w:fill="FFFFFF"/>
        </w:rPr>
        <w:t xml:space="preserve"> Guzmán, B. and Lima Rodrigues, L.</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2018</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Advantages and contributions in the balanced scorecard implementation. </w:t>
      </w:r>
      <w:r w:rsidRPr="004F7A33">
        <w:rPr>
          <w:rFonts w:ascii="Arial" w:eastAsia="Times New Roman" w:hAnsi="Arial" w:cs="Arial"/>
          <w:i/>
          <w:iCs/>
          <w:shd w:val="clear" w:color="auto" w:fill="FFFFFF"/>
        </w:rPr>
        <w:t>Intangible capital</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14</w:t>
      </w:r>
      <w:r w:rsidRPr="004F7A33">
        <w:rPr>
          <w:rFonts w:ascii="Arial" w:eastAsia="Times New Roman" w:hAnsi="Arial" w:cs="Arial"/>
          <w:shd w:val="clear" w:color="auto" w:fill="FFFFFF"/>
        </w:rPr>
        <w:t>(1), pp.186-201.</w:t>
      </w:r>
    </w:p>
    <w:p w14:paraId="72FF7AEC" w14:textId="6C14072B"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Rastogi, N.I.T.A.N.K. and Trivedi, M.K.</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2016</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PESTLE technique–a tool to identify external risks in construction projects. </w:t>
      </w:r>
      <w:r w:rsidRPr="004F7A33">
        <w:rPr>
          <w:rFonts w:ascii="Arial" w:eastAsia="Times New Roman" w:hAnsi="Arial" w:cs="Arial"/>
          <w:i/>
          <w:iCs/>
          <w:shd w:val="clear" w:color="auto" w:fill="FFFFFF"/>
        </w:rPr>
        <w:t>International Research Journal of Engineering and Technology (IRJET)</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3</w:t>
      </w:r>
      <w:r w:rsidRPr="004F7A33">
        <w:rPr>
          <w:rFonts w:ascii="Arial" w:eastAsia="Times New Roman" w:hAnsi="Arial" w:cs="Arial"/>
          <w:shd w:val="clear" w:color="auto" w:fill="FFFFFF"/>
        </w:rPr>
        <w:t>(1), pp.384-388.</w:t>
      </w:r>
    </w:p>
    <w:p w14:paraId="4E1BA0CD" w14:textId="6D391577"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Sarwar, D., Ramachandran, M. and Hosseinian-Far, A.</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2017</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January. Disaster management system as an element of risk management for natural disaster systems using the PESTLE framework. In </w:t>
      </w:r>
      <w:r w:rsidRPr="004F7A33">
        <w:rPr>
          <w:rFonts w:ascii="Arial" w:eastAsia="Times New Roman" w:hAnsi="Arial" w:cs="Arial"/>
          <w:i/>
          <w:iCs/>
          <w:shd w:val="clear" w:color="auto" w:fill="FFFFFF"/>
        </w:rPr>
        <w:t>International Conference on Global Security, Safety, and Sustainability</w:t>
      </w:r>
      <w:r w:rsidRPr="004F7A33">
        <w:rPr>
          <w:rFonts w:ascii="Arial" w:eastAsia="Times New Roman" w:hAnsi="Arial" w:cs="Arial"/>
          <w:shd w:val="clear" w:color="auto" w:fill="FFFFFF"/>
        </w:rPr>
        <w:t> (pp. 191-204). Springer, Cham.</w:t>
      </w:r>
    </w:p>
    <w:p w14:paraId="14F4B610" w14:textId="12D57E35"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Schaltegger</w:t>
      </w:r>
      <w:proofErr w:type="spellEnd"/>
      <w:r w:rsidRPr="004F7A33">
        <w:rPr>
          <w:rFonts w:ascii="Arial" w:eastAsia="Times New Roman" w:hAnsi="Arial" w:cs="Arial"/>
          <w:shd w:val="clear" w:color="auto" w:fill="FFFFFF"/>
        </w:rPr>
        <w:t xml:space="preserve">, S., </w:t>
      </w:r>
      <w:proofErr w:type="spellStart"/>
      <w:r w:rsidRPr="004F7A33">
        <w:rPr>
          <w:rFonts w:ascii="Arial" w:eastAsia="Times New Roman" w:hAnsi="Arial" w:cs="Arial"/>
          <w:shd w:val="clear" w:color="auto" w:fill="FFFFFF"/>
        </w:rPr>
        <w:t>Hörisch</w:t>
      </w:r>
      <w:proofErr w:type="spellEnd"/>
      <w:r w:rsidRPr="004F7A33">
        <w:rPr>
          <w:rFonts w:ascii="Arial" w:eastAsia="Times New Roman" w:hAnsi="Arial" w:cs="Arial"/>
          <w:shd w:val="clear" w:color="auto" w:fill="FFFFFF"/>
        </w:rPr>
        <w:t>, J. and Freeman, R.E.</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2019</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Business cases for sustainability: A stakeholder theory perspective. </w:t>
      </w:r>
      <w:r w:rsidRPr="004F7A33">
        <w:rPr>
          <w:rFonts w:ascii="Arial" w:eastAsia="Times New Roman" w:hAnsi="Arial" w:cs="Arial"/>
          <w:i/>
          <w:iCs/>
          <w:shd w:val="clear" w:color="auto" w:fill="FFFFFF"/>
        </w:rPr>
        <w:t>Organization &amp; Environment</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32</w:t>
      </w:r>
      <w:r w:rsidRPr="004F7A33">
        <w:rPr>
          <w:rFonts w:ascii="Arial" w:eastAsia="Times New Roman" w:hAnsi="Arial" w:cs="Arial"/>
          <w:shd w:val="clear" w:color="auto" w:fill="FFFFFF"/>
        </w:rPr>
        <w:t>(3), pp.191-212.</w:t>
      </w:r>
    </w:p>
    <w:p w14:paraId="0AF93246" w14:textId="1A0325E7"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lastRenderedPageBreak/>
        <w:t>Seman</w:t>
      </w:r>
      <w:proofErr w:type="spellEnd"/>
      <w:r w:rsidRPr="004F7A33">
        <w:rPr>
          <w:rFonts w:ascii="Arial" w:eastAsia="Times New Roman" w:hAnsi="Arial" w:cs="Arial"/>
          <w:shd w:val="clear" w:color="auto" w:fill="FFFFFF"/>
        </w:rPr>
        <w:t xml:space="preserve">, A.H.A., Ahmad, R. and </w:t>
      </w:r>
      <w:proofErr w:type="spellStart"/>
      <w:r w:rsidRPr="004F7A33">
        <w:rPr>
          <w:rFonts w:ascii="Arial" w:eastAsia="Times New Roman" w:hAnsi="Arial" w:cs="Arial"/>
          <w:shd w:val="clear" w:color="auto" w:fill="FFFFFF"/>
        </w:rPr>
        <w:t>Alhussian</w:t>
      </w:r>
      <w:proofErr w:type="spellEnd"/>
      <w:r w:rsidRPr="004F7A33">
        <w:rPr>
          <w:rFonts w:ascii="Arial" w:eastAsia="Times New Roman" w:hAnsi="Arial" w:cs="Arial"/>
          <w:shd w:val="clear" w:color="auto" w:fill="FFFFFF"/>
        </w:rPr>
        <w:t>, H.S.A.</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2020</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July. Factors Influencing Acceptance of Technology by Senior Citizens: A Systematic Review. In </w:t>
      </w:r>
      <w:r w:rsidRPr="004F7A33">
        <w:rPr>
          <w:rFonts w:ascii="Arial" w:eastAsia="Times New Roman" w:hAnsi="Arial" w:cs="Arial"/>
          <w:i/>
          <w:iCs/>
          <w:shd w:val="clear" w:color="auto" w:fill="FFFFFF"/>
        </w:rPr>
        <w:t>Computer Science On-line Conference</w:t>
      </w:r>
      <w:r w:rsidRPr="004F7A33">
        <w:rPr>
          <w:rFonts w:ascii="Arial" w:eastAsia="Times New Roman" w:hAnsi="Arial" w:cs="Arial"/>
          <w:shd w:val="clear" w:color="auto" w:fill="FFFFFF"/>
        </w:rPr>
        <w:t> (pp. 352-365). Springer, Cham.</w:t>
      </w:r>
    </w:p>
    <w:p w14:paraId="150A4C39" w14:textId="31A5E39C"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Skurpel</w:t>
      </w:r>
      <w:proofErr w:type="spellEnd"/>
      <w:r w:rsidRPr="004F7A33">
        <w:rPr>
          <w:rFonts w:ascii="Arial" w:eastAsia="Times New Roman" w:hAnsi="Arial" w:cs="Arial"/>
          <w:shd w:val="clear" w:color="auto" w:fill="FFFFFF"/>
        </w:rPr>
        <w:t>, D.</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2016</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Advantages and disadvantages of internet marketing research. </w:t>
      </w:r>
      <w:r w:rsidRPr="004F7A33">
        <w:rPr>
          <w:rFonts w:ascii="Arial" w:eastAsia="Times New Roman" w:hAnsi="Arial" w:cs="Arial"/>
          <w:i/>
          <w:iCs/>
          <w:shd w:val="clear" w:color="auto" w:fill="FFFFFF"/>
        </w:rPr>
        <w:t>World Scientific News</w:t>
      </w:r>
      <w:r w:rsidRPr="004F7A33">
        <w:rPr>
          <w:rFonts w:ascii="Arial" w:eastAsia="Times New Roman" w:hAnsi="Arial" w:cs="Arial"/>
          <w:shd w:val="clear" w:color="auto" w:fill="FFFFFF"/>
        </w:rPr>
        <w:t>, (57), pp.712-721.</w:t>
      </w:r>
    </w:p>
    <w:p w14:paraId="471AE14D" w14:textId="7B21C51C" w:rsidR="004F7A33" w:rsidRPr="004F7A33" w:rsidRDefault="004F7A33" w:rsidP="004F7A33">
      <w:pPr>
        <w:spacing w:after="200" w:line="360" w:lineRule="auto"/>
        <w:jc w:val="both"/>
        <w:rPr>
          <w:rFonts w:ascii="Arial" w:eastAsia="Times New Roman" w:hAnsi="Arial" w:cs="Arial"/>
          <w:b/>
          <w:bCs/>
          <w:lang w:bidi="hi-IN"/>
        </w:rPr>
      </w:pPr>
      <w:proofErr w:type="spellStart"/>
      <w:r w:rsidRPr="004F7A33">
        <w:rPr>
          <w:rFonts w:ascii="Arial" w:eastAsia="Times New Roman" w:hAnsi="Arial" w:cs="Arial"/>
          <w:shd w:val="clear" w:color="auto" w:fill="FFFFFF"/>
        </w:rPr>
        <w:t>Soliha</w:t>
      </w:r>
      <w:proofErr w:type="spellEnd"/>
      <w:r w:rsidRPr="004F7A33">
        <w:rPr>
          <w:rFonts w:ascii="Arial" w:eastAsia="Times New Roman" w:hAnsi="Arial" w:cs="Arial"/>
          <w:shd w:val="clear" w:color="auto" w:fill="FFFFFF"/>
        </w:rPr>
        <w:t xml:space="preserve">, E., </w:t>
      </w:r>
      <w:proofErr w:type="spellStart"/>
      <w:r w:rsidRPr="004F7A33">
        <w:rPr>
          <w:rFonts w:ascii="Arial" w:eastAsia="Times New Roman" w:hAnsi="Arial" w:cs="Arial"/>
          <w:shd w:val="clear" w:color="auto" w:fill="FFFFFF"/>
        </w:rPr>
        <w:t>Basiya</w:t>
      </w:r>
      <w:proofErr w:type="spellEnd"/>
      <w:r w:rsidRPr="004F7A33">
        <w:rPr>
          <w:rFonts w:ascii="Arial" w:eastAsia="Times New Roman" w:hAnsi="Arial" w:cs="Arial"/>
          <w:shd w:val="clear" w:color="auto" w:fill="FFFFFF"/>
        </w:rPr>
        <w:t xml:space="preserve">, R., </w:t>
      </w:r>
      <w:proofErr w:type="spellStart"/>
      <w:r w:rsidRPr="004F7A33">
        <w:rPr>
          <w:rFonts w:ascii="Arial" w:eastAsia="Times New Roman" w:hAnsi="Arial" w:cs="Arial"/>
          <w:shd w:val="clear" w:color="auto" w:fill="FFFFFF"/>
        </w:rPr>
        <w:t>Rochmani</w:t>
      </w:r>
      <w:proofErr w:type="spellEnd"/>
      <w:r w:rsidRPr="004F7A33">
        <w:rPr>
          <w:rFonts w:ascii="Arial" w:eastAsia="Times New Roman" w:hAnsi="Arial" w:cs="Arial"/>
          <w:shd w:val="clear" w:color="auto" w:fill="FFFFFF"/>
        </w:rPr>
        <w:t xml:space="preserve">, R., </w:t>
      </w:r>
      <w:proofErr w:type="spellStart"/>
      <w:r w:rsidRPr="004F7A33">
        <w:rPr>
          <w:rFonts w:ascii="Arial" w:eastAsia="Times New Roman" w:hAnsi="Arial" w:cs="Arial"/>
          <w:shd w:val="clear" w:color="auto" w:fill="FFFFFF"/>
        </w:rPr>
        <w:t>Darmawan</w:t>
      </w:r>
      <w:proofErr w:type="spellEnd"/>
      <w:r w:rsidRPr="004F7A33">
        <w:rPr>
          <w:rFonts w:ascii="Arial" w:eastAsia="Times New Roman" w:hAnsi="Arial" w:cs="Arial"/>
          <w:shd w:val="clear" w:color="auto" w:fill="FFFFFF"/>
        </w:rPr>
        <w:t xml:space="preserve">, A.D. and </w:t>
      </w:r>
      <w:proofErr w:type="spellStart"/>
      <w:r w:rsidRPr="004F7A33">
        <w:rPr>
          <w:rFonts w:ascii="Arial" w:eastAsia="Times New Roman" w:hAnsi="Arial" w:cs="Arial"/>
          <w:shd w:val="clear" w:color="auto" w:fill="FFFFFF"/>
        </w:rPr>
        <w:t>Udin</w:t>
      </w:r>
      <w:proofErr w:type="spellEnd"/>
      <w:r w:rsidRPr="004F7A33">
        <w:rPr>
          <w:rFonts w:ascii="Arial" w:eastAsia="Times New Roman" w:hAnsi="Arial" w:cs="Arial"/>
          <w:shd w:val="clear" w:color="auto" w:fill="FFFFFF"/>
        </w:rPr>
        <w:t>, U.</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2019</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The effect of product quality and customer value on satisfaction and loyalty. </w:t>
      </w:r>
      <w:r w:rsidRPr="004F7A33">
        <w:rPr>
          <w:rFonts w:ascii="Arial" w:eastAsia="Times New Roman" w:hAnsi="Arial" w:cs="Arial"/>
          <w:i/>
          <w:iCs/>
          <w:shd w:val="clear" w:color="auto" w:fill="FFFFFF"/>
        </w:rPr>
        <w:t>Transylvanian Review</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1</w:t>
      </w:r>
      <w:r w:rsidRPr="004F7A33">
        <w:rPr>
          <w:rFonts w:ascii="Arial" w:eastAsia="Times New Roman" w:hAnsi="Arial" w:cs="Arial"/>
          <w:shd w:val="clear" w:color="auto" w:fill="FFFFFF"/>
        </w:rPr>
        <w:t>(10).</w:t>
      </w:r>
    </w:p>
    <w:p w14:paraId="6D422275" w14:textId="007812CC" w:rsidR="004F7A33" w:rsidRPr="004F7A33" w:rsidRDefault="004F7A33" w:rsidP="004F7A33">
      <w:pPr>
        <w:spacing w:after="200" w:line="360" w:lineRule="auto"/>
        <w:jc w:val="both"/>
        <w:rPr>
          <w:rFonts w:ascii="Arial" w:eastAsia="Times New Roman" w:hAnsi="Arial" w:cs="Arial"/>
          <w:b/>
          <w:bCs/>
          <w:lang w:bidi="hi-IN"/>
        </w:rPr>
      </w:pPr>
      <w:r w:rsidRPr="004F7A33">
        <w:rPr>
          <w:rFonts w:ascii="Arial" w:eastAsia="Times New Roman" w:hAnsi="Arial" w:cs="Arial"/>
          <w:shd w:val="clear" w:color="auto" w:fill="FFFFFF"/>
        </w:rPr>
        <w:t xml:space="preserve">Stergiou, C., </w:t>
      </w:r>
      <w:proofErr w:type="spellStart"/>
      <w:r w:rsidRPr="004F7A33">
        <w:rPr>
          <w:rFonts w:ascii="Arial" w:eastAsia="Times New Roman" w:hAnsi="Arial" w:cs="Arial"/>
          <w:shd w:val="clear" w:color="auto" w:fill="FFFFFF"/>
        </w:rPr>
        <w:t>Psannis</w:t>
      </w:r>
      <w:proofErr w:type="spellEnd"/>
      <w:r w:rsidRPr="004F7A33">
        <w:rPr>
          <w:rFonts w:ascii="Arial" w:eastAsia="Times New Roman" w:hAnsi="Arial" w:cs="Arial"/>
          <w:shd w:val="clear" w:color="auto" w:fill="FFFFFF"/>
        </w:rPr>
        <w:t>, K.E., Kim, B.G. and Gupta, B.</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2018</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Secure integration of IoT and cloud computing. </w:t>
      </w:r>
      <w:r w:rsidRPr="004F7A33">
        <w:rPr>
          <w:rFonts w:ascii="Arial" w:eastAsia="Times New Roman" w:hAnsi="Arial" w:cs="Arial"/>
          <w:i/>
          <w:iCs/>
          <w:shd w:val="clear" w:color="auto" w:fill="FFFFFF"/>
        </w:rPr>
        <w:t>Future Generation Computer Systems</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78</w:t>
      </w:r>
      <w:r w:rsidRPr="004F7A33">
        <w:rPr>
          <w:rFonts w:ascii="Arial" w:eastAsia="Times New Roman" w:hAnsi="Arial" w:cs="Arial"/>
          <w:shd w:val="clear" w:color="auto" w:fill="FFFFFF"/>
        </w:rPr>
        <w:t>, pp.964-975.</w:t>
      </w:r>
    </w:p>
    <w:p w14:paraId="1D30DA64" w14:textId="6A581B62"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Tanner, C. and Richter, S.L.</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2018</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Digitalizing B2B Business Processes—The Learnings from E-Invoicing. In </w:t>
      </w:r>
      <w:r w:rsidRPr="004F7A33">
        <w:rPr>
          <w:rFonts w:ascii="Arial" w:eastAsia="Times New Roman" w:hAnsi="Arial" w:cs="Arial"/>
          <w:i/>
          <w:iCs/>
          <w:shd w:val="clear" w:color="auto" w:fill="FFFFFF"/>
        </w:rPr>
        <w:t>Business Information Systems and Technology 4.0</w:t>
      </w:r>
      <w:r w:rsidRPr="004F7A33">
        <w:rPr>
          <w:rFonts w:ascii="Arial" w:eastAsia="Times New Roman" w:hAnsi="Arial" w:cs="Arial"/>
          <w:shd w:val="clear" w:color="auto" w:fill="FFFFFF"/>
        </w:rPr>
        <w:t> (pp. 103-116). Springer, Cham.</w:t>
      </w:r>
    </w:p>
    <w:p w14:paraId="7636F9C7" w14:textId="3757FBD5"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 xml:space="preserve">Thabit, T. and </w:t>
      </w:r>
      <w:proofErr w:type="spellStart"/>
      <w:r w:rsidRPr="004F7A33">
        <w:rPr>
          <w:rFonts w:ascii="Arial" w:eastAsia="Times New Roman" w:hAnsi="Arial" w:cs="Arial"/>
          <w:shd w:val="clear" w:color="auto" w:fill="FFFFFF"/>
        </w:rPr>
        <w:t>Raewf</w:t>
      </w:r>
      <w:proofErr w:type="spellEnd"/>
      <w:r w:rsidRPr="004F7A33">
        <w:rPr>
          <w:rFonts w:ascii="Arial" w:eastAsia="Times New Roman" w:hAnsi="Arial" w:cs="Arial"/>
          <w:shd w:val="clear" w:color="auto" w:fill="FFFFFF"/>
        </w:rPr>
        <w:t>, M.</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2018</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The evaluation of marketing mix elements: A case study. </w:t>
      </w:r>
      <w:r w:rsidRPr="004F7A33">
        <w:rPr>
          <w:rFonts w:ascii="Arial" w:eastAsia="Times New Roman" w:hAnsi="Arial" w:cs="Arial"/>
          <w:i/>
          <w:iCs/>
          <w:shd w:val="clear" w:color="auto" w:fill="FFFFFF"/>
        </w:rPr>
        <w:t>International Journal of Social Sciences &amp; Educational Studies</w:t>
      </w:r>
      <w:r w:rsidRPr="004F7A33">
        <w:rPr>
          <w:rFonts w:ascii="Arial" w:eastAsia="Times New Roman" w:hAnsi="Arial" w:cs="Arial"/>
          <w:shd w:val="clear" w:color="auto" w:fill="FFFFFF"/>
        </w:rPr>
        <w:t>, </w:t>
      </w:r>
      <w:r w:rsidRPr="004F7A33">
        <w:rPr>
          <w:rFonts w:ascii="Arial" w:eastAsia="Times New Roman" w:hAnsi="Arial" w:cs="Arial"/>
          <w:i/>
          <w:iCs/>
          <w:shd w:val="clear" w:color="auto" w:fill="FFFFFF"/>
        </w:rPr>
        <w:t>4</w:t>
      </w:r>
      <w:r w:rsidRPr="004F7A33">
        <w:rPr>
          <w:rFonts w:ascii="Arial" w:eastAsia="Times New Roman" w:hAnsi="Arial" w:cs="Arial"/>
          <w:shd w:val="clear" w:color="auto" w:fill="FFFFFF"/>
        </w:rPr>
        <w:t>(4).</w:t>
      </w:r>
    </w:p>
    <w:p w14:paraId="36194420" w14:textId="18043B53" w:rsidR="004F7A33" w:rsidRPr="004F7A33" w:rsidRDefault="004F7A33" w:rsidP="004F7A33">
      <w:pPr>
        <w:spacing w:after="200" w:line="360" w:lineRule="auto"/>
        <w:jc w:val="both"/>
        <w:rPr>
          <w:rFonts w:ascii="Arial" w:eastAsia="Times New Roman" w:hAnsi="Arial" w:cs="Arial"/>
          <w:shd w:val="clear" w:color="auto" w:fill="FFFFFF"/>
        </w:rPr>
      </w:pPr>
      <w:proofErr w:type="spellStart"/>
      <w:r w:rsidRPr="004F7A33">
        <w:rPr>
          <w:rFonts w:ascii="Arial" w:eastAsia="Times New Roman" w:hAnsi="Arial" w:cs="Arial"/>
          <w:shd w:val="clear" w:color="auto" w:fill="FFFFFF"/>
        </w:rPr>
        <w:t>Vallati</w:t>
      </w:r>
      <w:proofErr w:type="spellEnd"/>
      <w:r w:rsidRPr="004F7A33">
        <w:rPr>
          <w:rFonts w:ascii="Arial" w:eastAsia="Times New Roman" w:hAnsi="Arial" w:cs="Arial"/>
          <w:shd w:val="clear" w:color="auto" w:fill="FFFFFF"/>
        </w:rPr>
        <w:t>, M. and Grassi, A.</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2019</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July. AI to Facilitate Legal Analysis in the PESTLE Context. In </w:t>
      </w:r>
      <w:proofErr w:type="gramStart"/>
      <w:r w:rsidRPr="004F7A33">
        <w:rPr>
          <w:rFonts w:ascii="Arial" w:eastAsia="Times New Roman" w:hAnsi="Arial" w:cs="Arial"/>
          <w:i/>
          <w:iCs/>
          <w:shd w:val="clear" w:color="auto" w:fill="FFFFFF"/>
        </w:rPr>
        <w:t>The</w:t>
      </w:r>
      <w:proofErr w:type="gramEnd"/>
      <w:r w:rsidRPr="004F7A33">
        <w:rPr>
          <w:rFonts w:ascii="Arial" w:eastAsia="Times New Roman" w:hAnsi="Arial" w:cs="Arial"/>
          <w:i/>
          <w:iCs/>
          <w:shd w:val="clear" w:color="auto" w:fill="FFFFFF"/>
        </w:rPr>
        <w:t xml:space="preserve"> </w:t>
      </w:r>
      <w:proofErr w:type="spellStart"/>
      <w:r w:rsidRPr="004F7A33">
        <w:rPr>
          <w:rFonts w:ascii="Arial" w:eastAsia="Times New Roman" w:hAnsi="Arial" w:cs="Arial"/>
          <w:i/>
          <w:iCs/>
          <w:shd w:val="clear" w:color="auto" w:fill="FFFFFF"/>
        </w:rPr>
        <w:t>EMerging</w:t>
      </w:r>
      <w:proofErr w:type="spellEnd"/>
      <w:r w:rsidRPr="004F7A33">
        <w:rPr>
          <w:rFonts w:ascii="Arial" w:eastAsia="Times New Roman" w:hAnsi="Arial" w:cs="Arial"/>
          <w:i/>
          <w:iCs/>
          <w:shd w:val="clear" w:color="auto" w:fill="FFFFFF"/>
        </w:rPr>
        <w:t xml:space="preserve"> Technology conference (</w:t>
      </w:r>
      <w:proofErr w:type="spellStart"/>
      <w:r w:rsidRPr="004F7A33">
        <w:rPr>
          <w:rFonts w:ascii="Arial" w:eastAsia="Times New Roman" w:hAnsi="Arial" w:cs="Arial"/>
          <w:i/>
          <w:iCs/>
          <w:shd w:val="clear" w:color="auto" w:fill="FFFFFF"/>
        </w:rPr>
        <w:t>EMiT</w:t>
      </w:r>
      <w:proofErr w:type="spellEnd"/>
      <w:r w:rsidRPr="004F7A33">
        <w:rPr>
          <w:rFonts w:ascii="Arial" w:eastAsia="Times New Roman" w:hAnsi="Arial" w:cs="Arial"/>
          <w:i/>
          <w:iCs/>
          <w:shd w:val="clear" w:color="auto" w:fill="FFFFFF"/>
        </w:rPr>
        <w:t>) 2019</w:t>
      </w:r>
      <w:r w:rsidRPr="004F7A33">
        <w:rPr>
          <w:rFonts w:ascii="Arial" w:eastAsia="Times New Roman" w:hAnsi="Arial" w:cs="Arial"/>
          <w:shd w:val="clear" w:color="auto" w:fill="FFFFFF"/>
        </w:rPr>
        <w:t> (pp. 66-68). IET.</w:t>
      </w:r>
    </w:p>
    <w:p w14:paraId="02574AC8" w14:textId="68A91DBB" w:rsidR="004F7A33" w:rsidRPr="004F7A33" w:rsidRDefault="004F7A33" w:rsidP="004F7A33">
      <w:pPr>
        <w:spacing w:after="200" w:line="360" w:lineRule="auto"/>
        <w:jc w:val="both"/>
        <w:rPr>
          <w:rFonts w:ascii="Arial" w:eastAsia="Times New Roman" w:hAnsi="Arial" w:cs="Arial"/>
          <w:shd w:val="clear" w:color="auto" w:fill="FFFFFF"/>
        </w:rPr>
      </w:pPr>
      <w:r w:rsidRPr="004F7A33">
        <w:rPr>
          <w:rFonts w:ascii="Arial" w:eastAsia="Times New Roman" w:hAnsi="Arial" w:cs="Arial"/>
          <w:shd w:val="clear" w:color="auto" w:fill="FFFFFF"/>
        </w:rPr>
        <w:t>Woodward, N.</w:t>
      </w:r>
      <w:r w:rsidR="005A0D3B">
        <w:rPr>
          <w:rFonts w:ascii="Arial" w:eastAsia="Times New Roman" w:hAnsi="Arial" w:cs="Arial"/>
          <w:shd w:val="clear" w:color="auto" w:fill="FFFFFF"/>
        </w:rPr>
        <w:t xml:space="preserve"> (</w:t>
      </w:r>
      <w:r w:rsidRPr="004F7A33">
        <w:rPr>
          <w:rFonts w:ascii="Arial" w:eastAsia="Times New Roman" w:hAnsi="Arial" w:cs="Arial"/>
          <w:shd w:val="clear" w:color="auto" w:fill="FFFFFF"/>
        </w:rPr>
        <w:t>2019</w:t>
      </w:r>
      <w:r w:rsidR="005A0D3B">
        <w:rPr>
          <w:rFonts w:ascii="Arial" w:eastAsia="Times New Roman" w:hAnsi="Arial" w:cs="Arial"/>
          <w:shd w:val="clear" w:color="auto" w:fill="FFFFFF"/>
        </w:rPr>
        <w:t>)</w:t>
      </w:r>
      <w:r w:rsidRPr="004F7A33">
        <w:rPr>
          <w:rFonts w:ascii="Arial" w:eastAsia="Times New Roman" w:hAnsi="Arial" w:cs="Arial"/>
          <w:shd w:val="clear" w:color="auto" w:fill="FFFFFF"/>
        </w:rPr>
        <w:t xml:space="preserve"> Some Organisational Implications of Privatisation. </w:t>
      </w:r>
      <w:r w:rsidRPr="004F7A33">
        <w:rPr>
          <w:rFonts w:ascii="Arial" w:eastAsia="Times New Roman" w:hAnsi="Arial" w:cs="Arial"/>
          <w:i/>
          <w:iCs/>
          <w:shd w:val="clear" w:color="auto" w:fill="FFFFFF"/>
        </w:rPr>
        <w:t>Privatisation in Developing Countries</w:t>
      </w:r>
      <w:r w:rsidRPr="004F7A33">
        <w:rPr>
          <w:rFonts w:ascii="Arial" w:eastAsia="Times New Roman" w:hAnsi="Arial" w:cs="Arial"/>
          <w:shd w:val="clear" w:color="auto" w:fill="FFFFFF"/>
        </w:rPr>
        <w:t>, pp.133-142.</w:t>
      </w:r>
    </w:p>
    <w:p w14:paraId="17C6A4F4" w14:textId="77777777" w:rsidR="004F7A33" w:rsidRPr="004F7A33" w:rsidRDefault="004F7A33" w:rsidP="00D82E79">
      <w:pPr>
        <w:rPr>
          <w:rFonts w:ascii="Arial" w:hAnsi="Arial" w:cs="Arial"/>
        </w:rPr>
      </w:pPr>
    </w:p>
    <w:sectPr w:rsidR="004F7A33" w:rsidRPr="004F7A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E79"/>
    <w:rsid w:val="00070353"/>
    <w:rsid w:val="001766BD"/>
    <w:rsid w:val="004F7A33"/>
    <w:rsid w:val="005A0D3B"/>
    <w:rsid w:val="006F09F4"/>
    <w:rsid w:val="007B1EE6"/>
    <w:rsid w:val="007D4B1C"/>
    <w:rsid w:val="009E19E8"/>
    <w:rsid w:val="00A4390F"/>
    <w:rsid w:val="00C753CA"/>
    <w:rsid w:val="00CD0235"/>
    <w:rsid w:val="00D82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A54A8"/>
  <w15:chartTrackingRefBased/>
  <w15:docId w15:val="{F8CAD92D-C196-4B44-8EBD-D159A4518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7A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7A33"/>
    <w:rPr>
      <w:color w:val="0563C1" w:themeColor="hyperlink"/>
      <w:u w:val="single"/>
    </w:rPr>
  </w:style>
  <w:style w:type="paragraph" w:styleId="TOC1">
    <w:name w:val="toc 1"/>
    <w:basedOn w:val="Normal"/>
    <w:next w:val="Normal"/>
    <w:autoRedefine/>
    <w:uiPriority w:val="39"/>
    <w:unhideWhenUsed/>
    <w:rsid w:val="004F7A33"/>
    <w:pPr>
      <w:spacing w:after="100" w:line="360" w:lineRule="auto"/>
      <w:jc w:val="both"/>
    </w:pPr>
    <w:rPr>
      <w:rFonts w:ascii="Times New Roman" w:eastAsiaTheme="minorEastAsia" w:hAnsi="Times New Roman"/>
      <w:sz w:val="24"/>
      <w:lang w:val="en-US"/>
    </w:rPr>
  </w:style>
  <w:style w:type="paragraph" w:styleId="TOC2">
    <w:name w:val="toc 2"/>
    <w:basedOn w:val="Normal"/>
    <w:next w:val="Normal"/>
    <w:autoRedefine/>
    <w:uiPriority w:val="39"/>
    <w:unhideWhenUsed/>
    <w:rsid w:val="004F7A33"/>
    <w:pPr>
      <w:spacing w:after="100" w:line="360" w:lineRule="auto"/>
      <w:ind w:left="240"/>
      <w:jc w:val="both"/>
    </w:pPr>
    <w:rPr>
      <w:rFonts w:ascii="Times New Roman" w:eastAsiaTheme="minorEastAsia" w:hAnsi="Times New Roman"/>
      <w:sz w:val="24"/>
      <w:lang w:val="en-US"/>
    </w:rPr>
  </w:style>
  <w:style w:type="character" w:customStyle="1" w:styleId="Heading1Char">
    <w:name w:val="Heading 1 Char"/>
    <w:basedOn w:val="DefaultParagraphFont"/>
    <w:link w:val="Heading1"/>
    <w:uiPriority w:val="9"/>
    <w:rsid w:val="004F7A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7A33"/>
    <w:pPr>
      <w:keepNext w:val="0"/>
      <w:keepLines w:val="0"/>
      <w:spacing w:after="200"/>
      <w:outlineLvl w:val="9"/>
    </w:pPr>
    <w:rPr>
      <w:rFonts w:ascii="Times New Roman" w:eastAsiaTheme="minorEastAsia" w:hAnsi="Times New Roman" w:cs="Times New Roman"/>
      <w:color w:val="auto"/>
      <w:lang w:val="en-US"/>
    </w:rPr>
  </w:style>
  <w:style w:type="table" w:styleId="TableGrid">
    <w:name w:val="Table Grid"/>
    <w:basedOn w:val="TableNormal"/>
    <w:uiPriority w:val="59"/>
    <w:rsid w:val="004F7A33"/>
    <w:pPr>
      <w:spacing w:after="0" w:line="240" w:lineRule="auto"/>
    </w:pPr>
    <w:rPr>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gi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21</Pages>
  <Words>6064</Words>
  <Characters>34571</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fernandez ramos</dc:creator>
  <cp:keywords/>
  <dc:description/>
  <cp:lastModifiedBy>antonio fernandez ramos</cp:lastModifiedBy>
  <cp:revision>7</cp:revision>
  <dcterms:created xsi:type="dcterms:W3CDTF">2020-12-11T11:50:00Z</dcterms:created>
  <dcterms:modified xsi:type="dcterms:W3CDTF">2020-12-18T14:38:00Z</dcterms:modified>
</cp:coreProperties>
</file>