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D01E70" w14:textId="77777777" w:rsidR="003D2527" w:rsidRDefault="003D2527">
      <w:pPr>
        <w:pStyle w:val="Heading1"/>
        <w:rPr>
          <w:rFonts w:ascii="Arial" w:eastAsia="Arial" w:hAnsi="Arial" w:cs="Arial"/>
          <w:sz w:val="22"/>
          <w:szCs w:val="22"/>
        </w:rPr>
      </w:pPr>
    </w:p>
    <w:p w14:paraId="122C9558" w14:textId="77777777" w:rsidR="003D2527" w:rsidRDefault="003D2527">
      <w:pPr>
        <w:pStyle w:val="Heading1"/>
        <w:rPr>
          <w:rFonts w:ascii="Arial" w:eastAsia="Arial" w:hAnsi="Arial" w:cs="Arial"/>
          <w:sz w:val="22"/>
          <w:szCs w:val="22"/>
        </w:rPr>
      </w:pPr>
    </w:p>
    <w:p w14:paraId="5369FEC0" w14:textId="77777777" w:rsidR="003D2527" w:rsidRDefault="002B1B7E">
      <w:pPr>
        <w:pStyle w:val="Heading1"/>
        <w:rPr>
          <w:rFonts w:ascii="Arial" w:eastAsia="Arial" w:hAnsi="Arial" w:cs="Arial"/>
          <w:sz w:val="22"/>
          <w:szCs w:val="22"/>
        </w:rPr>
      </w:pPr>
      <w:r>
        <w:rPr>
          <w:noProof/>
        </w:rPr>
        <w:drawing>
          <wp:anchor distT="0" distB="0" distL="114300" distR="114300" simplePos="0" relativeHeight="251659264" behindDoc="0" locked="0" layoutInCell="1" allowOverlap="1" wp14:anchorId="1A472E7C" wp14:editId="37CF1BAC">
            <wp:simplePos x="0" y="0"/>
            <wp:positionH relativeFrom="column">
              <wp:posOffset>114300</wp:posOffset>
            </wp:positionH>
            <wp:positionV relativeFrom="paragraph">
              <wp:posOffset>-633730</wp:posOffset>
            </wp:positionV>
            <wp:extent cx="2114550" cy="885825"/>
            <wp:effectExtent l="0" t="0" r="6350" b="0"/>
            <wp:wrapSquare wrapText="bothSides"/>
            <wp:docPr id="6" name="image3.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6" name="image3.png" descr="Discover University of Wales Trinity Saint David"/>
                    <pic:cNvPicPr preferRelativeResize="0"/>
                  </pic:nvPicPr>
                  <pic:blipFill>
                    <a:blip r:embed="rId8"/>
                    <a:srcRect/>
                    <a:stretch>
                      <a:fillRect/>
                    </a:stretch>
                  </pic:blipFill>
                  <pic:spPr>
                    <a:xfrm>
                      <a:off x="0" y="0"/>
                      <a:ext cx="2114550" cy="885825"/>
                    </a:xfrm>
                    <a:prstGeom prst="rect">
                      <a:avLst/>
                    </a:prstGeom>
                  </pic:spPr>
                </pic:pic>
              </a:graphicData>
            </a:graphic>
          </wp:anchor>
        </w:drawing>
      </w:r>
    </w:p>
    <w:p w14:paraId="245EE4EB" w14:textId="77777777" w:rsidR="003D2527" w:rsidRDefault="003D2527">
      <w:pPr>
        <w:pStyle w:val="Heading1"/>
        <w:rPr>
          <w:rFonts w:ascii="Arial" w:eastAsia="Arial" w:hAnsi="Arial" w:cs="Arial"/>
          <w:sz w:val="22"/>
          <w:szCs w:val="22"/>
        </w:rPr>
      </w:pPr>
    </w:p>
    <w:p w14:paraId="6780C4B0" w14:textId="77777777" w:rsidR="003D2527" w:rsidRDefault="003D2527">
      <w:pPr>
        <w:pStyle w:val="Heading1"/>
        <w:rPr>
          <w:rFonts w:ascii="Arial" w:eastAsia="Arial" w:hAnsi="Arial" w:cs="Arial"/>
          <w:sz w:val="22"/>
          <w:szCs w:val="22"/>
        </w:rPr>
      </w:pPr>
    </w:p>
    <w:p w14:paraId="5206926A" w14:textId="77777777" w:rsidR="003D2527" w:rsidRDefault="002B1B7E">
      <w:pPr>
        <w:spacing w:line="360" w:lineRule="auto"/>
        <w:jc w:val="center"/>
        <w:rPr>
          <w:b/>
          <w:color w:val="000000"/>
        </w:rPr>
      </w:pPr>
      <w:r>
        <w:rPr>
          <w:b/>
          <w:color w:val="000000"/>
        </w:rPr>
        <w:t xml:space="preserve">Title: Understanding the importance of Stakeholder Engagement in the successful commencement and completion of the project of </w:t>
      </w:r>
      <w:proofErr w:type="spellStart"/>
      <w:r>
        <w:rPr>
          <w:b/>
        </w:rPr>
        <w:t>TestCard</w:t>
      </w:r>
      <w:proofErr w:type="spellEnd"/>
      <w:r>
        <w:rPr>
          <w:b/>
        </w:rPr>
        <w:t xml:space="preserve"> </w:t>
      </w:r>
      <w:r>
        <w:rPr>
          <w:b/>
          <w:color w:val="000000"/>
        </w:rPr>
        <w:t>UK</w:t>
      </w:r>
    </w:p>
    <w:p w14:paraId="612BDDB9" w14:textId="77777777" w:rsidR="003D2527" w:rsidRDefault="002B1B7E">
      <w:pPr>
        <w:spacing w:line="360" w:lineRule="auto"/>
        <w:jc w:val="center"/>
        <w:rPr>
          <w:b/>
          <w:color w:val="000000"/>
        </w:rPr>
      </w:pPr>
      <w:r>
        <w:rPr>
          <w:b/>
          <w:color w:val="000000"/>
        </w:rPr>
        <w:t xml:space="preserve">Student </w:t>
      </w:r>
      <w:proofErr w:type="gramStart"/>
      <w:r>
        <w:rPr>
          <w:b/>
          <w:color w:val="000000"/>
        </w:rPr>
        <w:t>name :</w:t>
      </w:r>
      <w:proofErr w:type="gramEnd"/>
      <w:r>
        <w:rPr>
          <w:b/>
          <w:color w:val="000000"/>
        </w:rPr>
        <w:t xml:space="preserve"> Ana Capatina</w:t>
      </w:r>
      <w:r>
        <w:rPr>
          <w:b/>
          <w:color w:val="000000"/>
        </w:rPr>
        <w:br/>
        <w:t xml:space="preserve">Student </w:t>
      </w:r>
      <w:proofErr w:type="gramStart"/>
      <w:r>
        <w:rPr>
          <w:b/>
          <w:color w:val="000000"/>
        </w:rPr>
        <w:t>ID :</w:t>
      </w:r>
      <w:proofErr w:type="gramEnd"/>
      <w:r>
        <w:rPr>
          <w:b/>
          <w:color w:val="000000"/>
        </w:rPr>
        <w:t xml:space="preserve"> 2408124</w:t>
      </w:r>
    </w:p>
    <w:p w14:paraId="6AE5EDA7" w14:textId="77777777" w:rsidR="003D2527" w:rsidRDefault="002B1B7E">
      <w:pPr>
        <w:spacing w:line="360" w:lineRule="auto"/>
        <w:jc w:val="center"/>
        <w:rPr>
          <w:b/>
        </w:rPr>
      </w:pPr>
      <w:r>
        <w:rPr>
          <w:b/>
        </w:rPr>
        <w:t>Programme: BA (Hons) Leadership and Management Skills for the Workplace</w:t>
      </w:r>
    </w:p>
    <w:p w14:paraId="11DB0BA5" w14:textId="77777777" w:rsidR="003D2527" w:rsidRDefault="002B1B7E">
      <w:pPr>
        <w:spacing w:line="360" w:lineRule="auto"/>
        <w:jc w:val="center"/>
        <w:rPr>
          <w:b/>
          <w:color w:val="000000"/>
        </w:rPr>
      </w:pPr>
      <w:r>
        <w:rPr>
          <w:b/>
          <w:color w:val="000000"/>
        </w:rPr>
        <w:t>Module: Understanding and Engaging Stakeholders</w:t>
      </w:r>
    </w:p>
    <w:p w14:paraId="1B5A62AE" w14:textId="77777777" w:rsidR="003D2527" w:rsidRDefault="002B1B7E">
      <w:pPr>
        <w:spacing w:line="360" w:lineRule="auto"/>
        <w:jc w:val="center"/>
        <w:rPr>
          <w:b/>
          <w:color w:val="000000"/>
        </w:rPr>
      </w:pPr>
      <w:r>
        <w:rPr>
          <w:b/>
          <w:color w:val="000000"/>
        </w:rPr>
        <w:t>Module code: LCLM5001</w:t>
      </w:r>
    </w:p>
    <w:p w14:paraId="7588675A" w14:textId="77777777" w:rsidR="003D2527" w:rsidRDefault="002B1B7E">
      <w:pPr>
        <w:spacing w:line="360" w:lineRule="auto"/>
        <w:jc w:val="center"/>
        <w:rPr>
          <w:b/>
        </w:rPr>
      </w:pPr>
      <w:r>
        <w:rPr>
          <w:b/>
        </w:rPr>
        <w:t>Module Leaders: Alastair Moyes, Nishi Ramsurrun</w:t>
      </w:r>
    </w:p>
    <w:p w14:paraId="0CF1E61A" w14:textId="77777777" w:rsidR="003D2527" w:rsidRDefault="002B1B7E">
      <w:pPr>
        <w:spacing w:line="360" w:lineRule="auto"/>
        <w:jc w:val="center"/>
        <w:rPr>
          <w:b/>
        </w:rPr>
      </w:pPr>
      <w:r>
        <w:rPr>
          <w:b/>
        </w:rPr>
        <w:t>Internal Verifier: Md Kalam, Samuel Ofori</w:t>
      </w:r>
    </w:p>
    <w:p w14:paraId="37153768" w14:textId="77777777" w:rsidR="003D2527" w:rsidRDefault="002B1B7E">
      <w:pPr>
        <w:spacing w:line="360" w:lineRule="auto"/>
        <w:jc w:val="center"/>
        <w:rPr>
          <w:b/>
          <w:color w:val="000000"/>
        </w:rPr>
      </w:pPr>
      <w:r>
        <w:rPr>
          <w:b/>
          <w:color w:val="000000"/>
        </w:rPr>
        <w:t>University name: University of Wales</w:t>
      </w:r>
    </w:p>
    <w:p w14:paraId="43FB60F4" w14:textId="77777777" w:rsidR="003D2527" w:rsidRDefault="002B1B7E">
      <w:pPr>
        <w:spacing w:line="360" w:lineRule="auto"/>
        <w:jc w:val="center"/>
        <w:rPr>
          <w:b/>
          <w:color w:val="000000"/>
        </w:rPr>
      </w:pPr>
      <w:bookmarkStart w:id="0" w:name="_heading=h.f1eg4jcmi3fp" w:colFirst="0" w:colLast="0"/>
      <w:bookmarkEnd w:id="0"/>
      <w:r>
        <w:rPr>
          <w:b/>
          <w:color w:val="000000"/>
        </w:rPr>
        <w:t>Word Count: 4056</w:t>
      </w:r>
    </w:p>
    <w:p w14:paraId="1DC3581E" w14:textId="77777777" w:rsidR="003D2527" w:rsidRDefault="002B1B7E">
      <w:pPr>
        <w:spacing w:line="360" w:lineRule="auto"/>
      </w:pPr>
      <w:r>
        <w:br w:type="page"/>
      </w:r>
    </w:p>
    <w:p w14:paraId="6A184AD1" w14:textId="77777777" w:rsidR="003D2527" w:rsidRDefault="002B1B7E">
      <w:pPr>
        <w:spacing w:line="360" w:lineRule="auto"/>
        <w:jc w:val="center"/>
        <w:rPr>
          <w:b/>
          <w:color w:val="000000"/>
        </w:rPr>
      </w:pPr>
      <w:r>
        <w:rPr>
          <w:b/>
          <w:color w:val="000000"/>
        </w:rPr>
        <w:t>Executive Summary</w:t>
      </w:r>
    </w:p>
    <w:p w14:paraId="40FB1E8D" w14:textId="04A95468" w:rsidR="003D2527" w:rsidRDefault="002B1B7E">
      <w:pPr>
        <w:spacing w:line="360" w:lineRule="auto"/>
        <w:jc w:val="both"/>
        <w:rPr>
          <w:color w:val="000000"/>
        </w:rPr>
      </w:pPr>
      <w:bookmarkStart w:id="1" w:name="_heading=h.8arnbn0uqln" w:colFirst="0" w:colLast="0"/>
      <w:bookmarkEnd w:id="1"/>
      <w:r>
        <w:rPr>
          <w:color w:val="000000"/>
        </w:rPr>
        <w:t xml:space="preserve">A </w:t>
      </w:r>
      <w:r w:rsidR="000B52E3">
        <w:rPr>
          <w:color w:val="000000"/>
        </w:rPr>
        <w:t>smartwatch</w:t>
      </w:r>
      <w:r>
        <w:rPr>
          <w:color w:val="000000"/>
        </w:rPr>
        <w:t xml:space="preserve"> health device is highly popularised at present to meet the health consciousness trends. The report has explored the initiative of </w:t>
      </w:r>
      <w:proofErr w:type="spellStart"/>
      <w:r>
        <w:t>TestCard</w:t>
      </w:r>
      <w:proofErr w:type="spellEnd"/>
      <w:r>
        <w:rPr>
          <w:color w:val="000000"/>
        </w:rPr>
        <w:t xml:space="preserve"> </w:t>
      </w:r>
      <w:r>
        <w:t>UK</w:t>
      </w:r>
      <w:r>
        <w:rPr>
          <w:color w:val="000000"/>
        </w:rPr>
        <w:t xml:space="preserve"> to launch a new wearable health device reflecting its commitment to digital healthcare innovation. The purpose of the report is to explore the current business position of </w:t>
      </w:r>
      <w:proofErr w:type="spellStart"/>
      <w:r>
        <w:t>TestCard</w:t>
      </w:r>
      <w:proofErr w:type="spellEnd"/>
      <w:r>
        <w:rPr>
          <w:color w:val="000000"/>
        </w:rPr>
        <w:t xml:space="preserve">, review the readiness of the organisation and its ability to manage stakeholder engagement. Using models like SWOT, PESTLE, RACI, 4C and others, the analysis highlights strengths in brand reputation, weaknesses in high implementation costs, and regulatory compliance. The report significantly emphasises the respective importance of continuous stakeholder engagement in the wearable health device project of </w:t>
      </w:r>
      <w:proofErr w:type="spellStart"/>
      <w:r>
        <w:t>TestCard</w:t>
      </w:r>
      <w:proofErr w:type="spellEnd"/>
      <w:r>
        <w:rPr>
          <w:color w:val="000000"/>
        </w:rPr>
        <w:t xml:space="preserve">. The recommendations that are initiated involve the implementation of the structured feedback loops to focus on capturing the insights of the post-launch. It also highlighted the maintenance of regular updates with the influential stakeholders and further investing in stakeholder relationship management. Involvement of cross-functional training will help in enhancing collaboration </w:t>
      </w:r>
      <w:proofErr w:type="gramStart"/>
      <w:r>
        <w:rPr>
          <w:color w:val="000000"/>
        </w:rPr>
        <w:t>and also</w:t>
      </w:r>
      <w:proofErr w:type="gramEnd"/>
      <w:r>
        <w:rPr>
          <w:color w:val="000000"/>
        </w:rPr>
        <w:t xml:space="preserve"> a significant engagement with the sustainability practices that will strengthen the overall brand reputation. Continuous stakeholder interaction is beneficial for the launch, which is essential for sustaining the overall performance of the product. </w:t>
      </w:r>
    </w:p>
    <w:p w14:paraId="7CCFCCE7" w14:textId="77777777" w:rsidR="003D2527" w:rsidRDefault="002B1B7E">
      <w:pPr>
        <w:spacing w:line="360" w:lineRule="auto"/>
        <w:jc w:val="both"/>
        <w:rPr>
          <w:b/>
          <w:color w:val="000000"/>
        </w:rPr>
      </w:pPr>
      <w:r>
        <w:rPr>
          <w:color w:val="000000"/>
        </w:rPr>
        <w:t xml:space="preserve">  </w:t>
      </w:r>
    </w:p>
    <w:p w14:paraId="4AF4B746" w14:textId="77777777" w:rsidR="003D2527" w:rsidRDefault="002B1B7E">
      <w:pPr>
        <w:spacing w:line="360" w:lineRule="auto"/>
      </w:pPr>
      <w:r>
        <w:br w:type="page"/>
      </w:r>
    </w:p>
    <w:p w14:paraId="2927CDED" w14:textId="77777777" w:rsidR="003D2527" w:rsidRDefault="002B1B7E">
      <w:pPr>
        <w:keepNext/>
        <w:keepLines/>
        <w:spacing w:before="480" w:line="360" w:lineRule="auto"/>
        <w:jc w:val="center"/>
        <w:rPr>
          <w:b/>
          <w:color w:val="000000"/>
        </w:rPr>
      </w:pPr>
      <w:r>
        <w:rPr>
          <w:b/>
          <w:color w:val="000000"/>
        </w:rPr>
        <w:t>Table of Contents</w:t>
      </w:r>
    </w:p>
    <w:sdt>
      <w:sdtPr>
        <w:id w:val="-1534247023"/>
        <w:docPartObj>
          <w:docPartGallery w:val="Table of Contents"/>
          <w:docPartUnique/>
        </w:docPartObj>
      </w:sdtPr>
      <w:sdtEndPr/>
      <w:sdtContent>
        <w:p w14:paraId="7713BA3C" w14:textId="77777777" w:rsidR="003D2527" w:rsidRDefault="002B1B7E">
          <w:pPr>
            <w:tabs>
              <w:tab w:val="right" w:pos="9016"/>
            </w:tabs>
            <w:spacing w:after="100" w:line="360" w:lineRule="auto"/>
            <w:rPr>
              <w:color w:val="000000"/>
            </w:rPr>
          </w:pPr>
          <w:r>
            <w:fldChar w:fldCharType="begin"/>
          </w:r>
          <w:r>
            <w:instrText xml:space="preserve"> TOC \h \u \z \t "Heading 1,1,Heading 2,2,Heading 3,3,"</w:instrText>
          </w:r>
          <w:r>
            <w:fldChar w:fldCharType="separate"/>
          </w:r>
          <w:hyperlink w:anchor="_heading=h.4zvr72n5o325">
            <w:r w:rsidR="003D2527">
              <w:rPr>
                <w:color w:val="000000"/>
              </w:rPr>
              <w:t>1. Introduction</w:t>
            </w:r>
            <w:r w:rsidR="003D2527">
              <w:rPr>
                <w:color w:val="000000"/>
              </w:rPr>
              <w:tab/>
              <w:t>3</w:t>
            </w:r>
          </w:hyperlink>
        </w:p>
        <w:p w14:paraId="4ADC9864" w14:textId="77777777" w:rsidR="003D2527" w:rsidRDefault="003D2527">
          <w:pPr>
            <w:tabs>
              <w:tab w:val="right" w:pos="9016"/>
            </w:tabs>
            <w:spacing w:after="100" w:line="360" w:lineRule="auto"/>
            <w:rPr>
              <w:color w:val="000000"/>
            </w:rPr>
          </w:pPr>
          <w:hyperlink w:anchor="_heading=h.6ilcs29nbskz">
            <w:r>
              <w:rPr>
                <w:color w:val="000000"/>
              </w:rPr>
              <w:t>2. An appraisal of the company</w:t>
            </w:r>
            <w:r>
              <w:rPr>
                <w:color w:val="000000"/>
              </w:rPr>
              <w:tab/>
              <w:t>4</w:t>
            </w:r>
          </w:hyperlink>
        </w:p>
        <w:p w14:paraId="0BCF1344" w14:textId="77777777" w:rsidR="003D2527" w:rsidRDefault="003D2527">
          <w:pPr>
            <w:tabs>
              <w:tab w:val="right" w:pos="9016"/>
            </w:tabs>
            <w:spacing w:after="100" w:line="360" w:lineRule="auto"/>
            <w:ind w:left="220"/>
            <w:rPr>
              <w:color w:val="000000"/>
            </w:rPr>
          </w:pPr>
          <w:hyperlink w:anchor="_heading=h.icaklrfg0rxn">
            <w:r>
              <w:rPr>
                <w:color w:val="000000"/>
              </w:rPr>
              <w:t>2.1 SWOT analysis</w:t>
            </w:r>
            <w:r>
              <w:rPr>
                <w:color w:val="000000"/>
              </w:rPr>
              <w:tab/>
              <w:t>4</w:t>
            </w:r>
          </w:hyperlink>
        </w:p>
        <w:p w14:paraId="2222D080" w14:textId="77777777" w:rsidR="003D2527" w:rsidRDefault="003D2527">
          <w:pPr>
            <w:tabs>
              <w:tab w:val="right" w:pos="9016"/>
            </w:tabs>
            <w:spacing w:after="100" w:line="360" w:lineRule="auto"/>
            <w:ind w:left="220"/>
            <w:rPr>
              <w:color w:val="000000"/>
            </w:rPr>
          </w:pPr>
          <w:hyperlink w:anchor="_heading=h.7fbolim79q0x">
            <w:r>
              <w:rPr>
                <w:color w:val="000000"/>
              </w:rPr>
              <w:t>2.1 PESTLE Analysis</w:t>
            </w:r>
            <w:r>
              <w:rPr>
                <w:color w:val="000000"/>
              </w:rPr>
              <w:tab/>
              <w:t>5</w:t>
            </w:r>
          </w:hyperlink>
        </w:p>
        <w:p w14:paraId="2CA58C34" w14:textId="77777777" w:rsidR="003D2527" w:rsidRDefault="003D2527">
          <w:pPr>
            <w:tabs>
              <w:tab w:val="right" w:pos="9016"/>
            </w:tabs>
            <w:spacing w:after="100" w:line="360" w:lineRule="auto"/>
            <w:ind w:left="220"/>
            <w:rPr>
              <w:color w:val="000000"/>
            </w:rPr>
          </w:pPr>
          <w:hyperlink w:anchor="_heading=h.ob5e5wolj8c3">
            <w:r>
              <w:rPr>
                <w:color w:val="000000"/>
              </w:rPr>
              <w:t>2.3 SMART objective</w:t>
            </w:r>
            <w:r>
              <w:rPr>
                <w:color w:val="000000"/>
              </w:rPr>
              <w:tab/>
              <w:t>6</w:t>
            </w:r>
          </w:hyperlink>
        </w:p>
        <w:p w14:paraId="6600683A" w14:textId="77777777" w:rsidR="003D2527" w:rsidRDefault="003D2527">
          <w:pPr>
            <w:tabs>
              <w:tab w:val="right" w:pos="9016"/>
            </w:tabs>
            <w:spacing w:after="100" w:line="360" w:lineRule="auto"/>
            <w:rPr>
              <w:color w:val="000000"/>
            </w:rPr>
          </w:pPr>
          <w:hyperlink w:anchor="_heading=h.hvzfeehzjhcl">
            <w:r>
              <w:rPr>
                <w:color w:val="000000"/>
              </w:rPr>
              <w:t>3. Key internal and external stakeholders</w:t>
            </w:r>
            <w:r>
              <w:rPr>
                <w:color w:val="000000"/>
              </w:rPr>
              <w:tab/>
              <w:t>7</w:t>
            </w:r>
          </w:hyperlink>
        </w:p>
        <w:p w14:paraId="38AB61E5" w14:textId="77777777" w:rsidR="003D2527" w:rsidRDefault="003D2527">
          <w:pPr>
            <w:tabs>
              <w:tab w:val="right" w:pos="9016"/>
            </w:tabs>
            <w:spacing w:after="100" w:line="360" w:lineRule="auto"/>
            <w:ind w:left="220"/>
            <w:rPr>
              <w:color w:val="000000"/>
            </w:rPr>
          </w:pPr>
          <w:hyperlink w:anchor="_heading=h.sdk2lyypdfx2">
            <w:r>
              <w:rPr>
                <w:color w:val="000000"/>
              </w:rPr>
              <w:t>3.1 RACI matrix</w:t>
            </w:r>
            <w:r>
              <w:rPr>
                <w:color w:val="000000"/>
              </w:rPr>
              <w:tab/>
              <w:t>7</w:t>
            </w:r>
          </w:hyperlink>
        </w:p>
        <w:p w14:paraId="21D76C74" w14:textId="77777777" w:rsidR="003D2527" w:rsidRDefault="003D2527">
          <w:pPr>
            <w:tabs>
              <w:tab w:val="right" w:pos="9016"/>
            </w:tabs>
            <w:spacing w:after="100" w:line="360" w:lineRule="auto"/>
            <w:ind w:left="220"/>
            <w:rPr>
              <w:color w:val="000000"/>
            </w:rPr>
          </w:pPr>
          <w:hyperlink w:anchor="_heading=h.r46rwrakas9j">
            <w:r>
              <w:rPr>
                <w:color w:val="000000"/>
              </w:rPr>
              <w:t>3.2 Internal Stakeholders</w:t>
            </w:r>
            <w:r>
              <w:rPr>
                <w:color w:val="000000"/>
              </w:rPr>
              <w:tab/>
              <w:t>8</w:t>
            </w:r>
          </w:hyperlink>
        </w:p>
        <w:p w14:paraId="606864F2" w14:textId="77777777" w:rsidR="003D2527" w:rsidRDefault="003D2527">
          <w:pPr>
            <w:tabs>
              <w:tab w:val="right" w:pos="9016"/>
            </w:tabs>
            <w:spacing w:after="100" w:line="360" w:lineRule="auto"/>
            <w:ind w:left="220"/>
            <w:rPr>
              <w:color w:val="000000"/>
            </w:rPr>
          </w:pPr>
          <w:hyperlink w:anchor="_heading=h.v7xejnoh7oh6">
            <w:r>
              <w:rPr>
                <w:color w:val="000000"/>
              </w:rPr>
              <w:t>3.3 External Stakeholders</w:t>
            </w:r>
            <w:r>
              <w:rPr>
                <w:color w:val="000000"/>
              </w:rPr>
              <w:tab/>
              <w:t>8</w:t>
            </w:r>
          </w:hyperlink>
        </w:p>
        <w:p w14:paraId="1FF58AB5" w14:textId="77777777" w:rsidR="003D2527" w:rsidRDefault="003D2527">
          <w:pPr>
            <w:tabs>
              <w:tab w:val="right" w:pos="9016"/>
            </w:tabs>
            <w:spacing w:after="100" w:line="360" w:lineRule="auto"/>
            <w:ind w:left="220"/>
            <w:rPr>
              <w:color w:val="000000"/>
            </w:rPr>
          </w:pPr>
          <w:hyperlink w:anchor="_heading=h.8vr51inr59ie">
            <w:r>
              <w:rPr>
                <w:color w:val="000000"/>
              </w:rPr>
              <w:t>3.4. Stakeholder map</w:t>
            </w:r>
            <w:r>
              <w:rPr>
                <w:color w:val="000000"/>
              </w:rPr>
              <w:tab/>
              <w:t>9</w:t>
            </w:r>
          </w:hyperlink>
        </w:p>
        <w:p w14:paraId="29D6FFB9" w14:textId="77777777" w:rsidR="003D2527" w:rsidRDefault="003D2527">
          <w:pPr>
            <w:tabs>
              <w:tab w:val="right" w:pos="9016"/>
            </w:tabs>
            <w:spacing w:after="100" w:line="360" w:lineRule="auto"/>
            <w:ind w:left="220"/>
            <w:rPr>
              <w:color w:val="000000"/>
            </w:rPr>
          </w:pPr>
          <w:hyperlink w:anchor="_heading=h.3j510vkirfo">
            <w:r>
              <w:rPr>
                <w:color w:val="000000"/>
              </w:rPr>
              <w:t>3.5 Stakeholders matrix</w:t>
            </w:r>
            <w:r>
              <w:rPr>
                <w:color w:val="000000"/>
              </w:rPr>
              <w:tab/>
              <w:t>9</w:t>
            </w:r>
          </w:hyperlink>
        </w:p>
        <w:p w14:paraId="381D1800" w14:textId="77777777" w:rsidR="003D2527" w:rsidRDefault="003D2527">
          <w:pPr>
            <w:tabs>
              <w:tab w:val="right" w:pos="9016"/>
            </w:tabs>
            <w:spacing w:after="100" w:line="360" w:lineRule="auto"/>
            <w:ind w:left="220"/>
            <w:rPr>
              <w:color w:val="000000"/>
            </w:rPr>
          </w:pPr>
          <w:hyperlink w:anchor="_heading=h.2ootnhug0q09">
            <w:r>
              <w:rPr>
                <w:color w:val="000000"/>
              </w:rPr>
              <w:t>3.6. Engagement plan</w:t>
            </w:r>
            <w:r>
              <w:rPr>
                <w:color w:val="000000"/>
              </w:rPr>
              <w:tab/>
              <w:t>10</w:t>
            </w:r>
          </w:hyperlink>
        </w:p>
        <w:p w14:paraId="4F2E8FE4" w14:textId="77777777" w:rsidR="003D2527" w:rsidRDefault="003D2527">
          <w:pPr>
            <w:tabs>
              <w:tab w:val="right" w:pos="9016"/>
            </w:tabs>
            <w:spacing w:after="100" w:line="360" w:lineRule="auto"/>
            <w:ind w:left="220"/>
            <w:rPr>
              <w:color w:val="000000"/>
            </w:rPr>
          </w:pPr>
          <w:hyperlink w:anchor="_heading=h.dg9cpfc2sfw7">
            <w:r>
              <w:rPr>
                <w:color w:val="000000"/>
              </w:rPr>
              <w:t>3.7 Communication plan</w:t>
            </w:r>
            <w:r>
              <w:rPr>
                <w:color w:val="000000"/>
              </w:rPr>
              <w:tab/>
              <w:t>10</w:t>
            </w:r>
          </w:hyperlink>
        </w:p>
        <w:p w14:paraId="4852FA24" w14:textId="77777777" w:rsidR="003D2527" w:rsidRDefault="003D2527">
          <w:pPr>
            <w:tabs>
              <w:tab w:val="right" w:pos="9016"/>
            </w:tabs>
            <w:spacing w:after="100" w:line="360" w:lineRule="auto"/>
            <w:rPr>
              <w:color w:val="000000"/>
            </w:rPr>
          </w:pPr>
          <w:hyperlink w:anchor="_heading=h.mgb438amyc69">
            <w:r>
              <w:rPr>
                <w:color w:val="000000"/>
              </w:rPr>
              <w:t>4. Explanation of the roles and responsibilities of the key stakeholders</w:t>
            </w:r>
            <w:r>
              <w:rPr>
                <w:color w:val="000000"/>
              </w:rPr>
              <w:tab/>
              <w:t>11</w:t>
            </w:r>
          </w:hyperlink>
        </w:p>
        <w:p w14:paraId="32530887" w14:textId="77777777" w:rsidR="003D2527" w:rsidRDefault="003D2527">
          <w:pPr>
            <w:tabs>
              <w:tab w:val="right" w:pos="9016"/>
            </w:tabs>
            <w:spacing w:after="100" w:line="360" w:lineRule="auto"/>
            <w:ind w:left="220"/>
            <w:rPr>
              <w:color w:val="000000"/>
            </w:rPr>
          </w:pPr>
          <w:hyperlink w:anchor="_heading=h.qovsjc6g4ylz">
            <w:r>
              <w:rPr>
                <w:color w:val="000000"/>
              </w:rPr>
              <w:t>4.1 Application of 4C model</w:t>
            </w:r>
            <w:r>
              <w:rPr>
                <w:color w:val="000000"/>
              </w:rPr>
              <w:tab/>
              <w:t>11</w:t>
            </w:r>
          </w:hyperlink>
        </w:p>
        <w:p w14:paraId="367AE787" w14:textId="77777777" w:rsidR="003D2527" w:rsidRDefault="003D2527">
          <w:pPr>
            <w:tabs>
              <w:tab w:val="right" w:pos="9016"/>
            </w:tabs>
            <w:spacing w:after="100" w:line="360" w:lineRule="auto"/>
            <w:ind w:left="220"/>
            <w:rPr>
              <w:color w:val="000000"/>
            </w:rPr>
          </w:pPr>
          <w:hyperlink w:anchor="_heading=h.crbak1kjp9d">
            <w:r>
              <w:rPr>
                <w:color w:val="000000"/>
              </w:rPr>
              <w:t>4.2 Roles and responsibilities of internal stakeholders</w:t>
            </w:r>
            <w:r>
              <w:rPr>
                <w:color w:val="000000"/>
              </w:rPr>
              <w:tab/>
              <w:t>13</w:t>
            </w:r>
          </w:hyperlink>
        </w:p>
        <w:p w14:paraId="241100A2" w14:textId="77777777" w:rsidR="003D2527" w:rsidRDefault="003D2527">
          <w:pPr>
            <w:tabs>
              <w:tab w:val="right" w:pos="9016"/>
            </w:tabs>
            <w:spacing w:after="100" w:line="360" w:lineRule="auto"/>
            <w:ind w:left="220"/>
            <w:rPr>
              <w:color w:val="000000"/>
            </w:rPr>
          </w:pPr>
          <w:hyperlink w:anchor="_heading=h.fihaljnchjx">
            <w:r>
              <w:rPr>
                <w:color w:val="000000"/>
              </w:rPr>
              <w:t>4.3 Roles and responsibilities of External stakeholders</w:t>
            </w:r>
            <w:r>
              <w:rPr>
                <w:color w:val="000000"/>
              </w:rPr>
              <w:tab/>
              <w:t>14</w:t>
            </w:r>
          </w:hyperlink>
        </w:p>
        <w:p w14:paraId="3B52117B" w14:textId="77777777" w:rsidR="003D2527" w:rsidRDefault="003D2527">
          <w:pPr>
            <w:tabs>
              <w:tab w:val="right" w:pos="9016"/>
            </w:tabs>
            <w:spacing w:after="100" w:line="360" w:lineRule="auto"/>
            <w:rPr>
              <w:color w:val="000000"/>
            </w:rPr>
          </w:pPr>
          <w:hyperlink w:anchor="_heading=h.qtsz2gv63s2h">
            <w:r>
              <w:rPr>
                <w:color w:val="000000"/>
              </w:rPr>
              <w:t>5. Impact of stakeholders' engagement and recommendations for future</w:t>
            </w:r>
            <w:r>
              <w:rPr>
                <w:color w:val="000000"/>
              </w:rPr>
              <w:tab/>
              <w:t>15</w:t>
            </w:r>
          </w:hyperlink>
        </w:p>
        <w:p w14:paraId="5675723A" w14:textId="77777777" w:rsidR="003D2527" w:rsidRDefault="003D2527">
          <w:pPr>
            <w:tabs>
              <w:tab w:val="right" w:pos="9016"/>
            </w:tabs>
            <w:spacing w:after="100" w:line="360" w:lineRule="auto"/>
            <w:ind w:left="220"/>
            <w:rPr>
              <w:color w:val="000000"/>
            </w:rPr>
          </w:pPr>
          <w:hyperlink w:anchor="_heading=h.4tp1ji3b0x68">
            <w:r>
              <w:rPr>
                <w:color w:val="000000"/>
              </w:rPr>
              <w:t>5.1 Impact of stakeholder engagement on business performance</w:t>
            </w:r>
            <w:r>
              <w:rPr>
                <w:color w:val="000000"/>
              </w:rPr>
              <w:tab/>
              <w:t>15</w:t>
            </w:r>
          </w:hyperlink>
        </w:p>
        <w:p w14:paraId="72ABED0A" w14:textId="77777777" w:rsidR="003D2527" w:rsidRDefault="003D2527">
          <w:pPr>
            <w:tabs>
              <w:tab w:val="right" w:pos="9016"/>
            </w:tabs>
            <w:spacing w:after="100" w:line="360" w:lineRule="auto"/>
            <w:ind w:left="220"/>
            <w:rPr>
              <w:color w:val="000000"/>
            </w:rPr>
          </w:pPr>
          <w:hyperlink w:anchor="_heading=h.rutx0yzh9bq">
            <w:r>
              <w:rPr>
                <w:color w:val="000000"/>
              </w:rPr>
              <w:t>5.2 Theory and model</w:t>
            </w:r>
            <w:r>
              <w:rPr>
                <w:color w:val="000000"/>
              </w:rPr>
              <w:tab/>
              <w:t>16</w:t>
            </w:r>
          </w:hyperlink>
        </w:p>
        <w:p w14:paraId="48B18DE5" w14:textId="77777777" w:rsidR="003D2527" w:rsidRDefault="003D2527">
          <w:pPr>
            <w:tabs>
              <w:tab w:val="right" w:pos="9016"/>
            </w:tabs>
            <w:spacing w:after="100" w:line="360" w:lineRule="auto"/>
            <w:ind w:left="220"/>
            <w:rPr>
              <w:color w:val="000000"/>
            </w:rPr>
          </w:pPr>
          <w:hyperlink w:anchor="_heading=h.jy8wb5ihe6vo">
            <w:r>
              <w:rPr>
                <w:color w:val="000000"/>
              </w:rPr>
              <w:t>5.3 Recommendations</w:t>
            </w:r>
            <w:r>
              <w:rPr>
                <w:color w:val="000000"/>
              </w:rPr>
              <w:tab/>
              <w:t>17</w:t>
            </w:r>
          </w:hyperlink>
        </w:p>
        <w:p w14:paraId="5E9D6E5E" w14:textId="77777777" w:rsidR="003D2527" w:rsidRDefault="003D2527">
          <w:pPr>
            <w:tabs>
              <w:tab w:val="right" w:pos="9016"/>
            </w:tabs>
            <w:spacing w:after="100" w:line="360" w:lineRule="auto"/>
            <w:rPr>
              <w:color w:val="000000"/>
            </w:rPr>
          </w:pPr>
          <w:hyperlink w:anchor="_heading=h.l999rujrhkz1">
            <w:r>
              <w:rPr>
                <w:color w:val="000000"/>
              </w:rPr>
              <w:t>6. Conclusion</w:t>
            </w:r>
            <w:r>
              <w:rPr>
                <w:color w:val="000000"/>
              </w:rPr>
              <w:tab/>
              <w:t>18</w:t>
            </w:r>
          </w:hyperlink>
        </w:p>
        <w:p w14:paraId="58A006BB" w14:textId="77777777" w:rsidR="003D2527" w:rsidRDefault="003D2527">
          <w:pPr>
            <w:tabs>
              <w:tab w:val="right" w:pos="9016"/>
            </w:tabs>
            <w:spacing w:after="100" w:line="360" w:lineRule="auto"/>
            <w:rPr>
              <w:color w:val="000000"/>
            </w:rPr>
          </w:pPr>
          <w:hyperlink w:anchor="_heading=h.tb1hfq33dwbf">
            <w:r>
              <w:rPr>
                <w:color w:val="000000"/>
              </w:rPr>
              <w:t>References</w:t>
            </w:r>
            <w:r>
              <w:rPr>
                <w:color w:val="000000"/>
              </w:rPr>
              <w:tab/>
              <w:t>20</w:t>
            </w:r>
          </w:hyperlink>
        </w:p>
        <w:p w14:paraId="0E2F1412" w14:textId="77777777" w:rsidR="003D2527" w:rsidRDefault="003D2527">
          <w:pPr>
            <w:tabs>
              <w:tab w:val="right" w:pos="9016"/>
            </w:tabs>
            <w:spacing w:after="100" w:line="360" w:lineRule="auto"/>
            <w:rPr>
              <w:color w:val="000000"/>
            </w:rPr>
          </w:pPr>
          <w:hyperlink w:anchor="_heading=h.srmatmp1o84t">
            <w:r>
              <w:rPr>
                <w:color w:val="000000"/>
              </w:rPr>
              <w:t>AI Declaration</w:t>
            </w:r>
            <w:r>
              <w:rPr>
                <w:color w:val="000000"/>
              </w:rPr>
              <w:tab/>
              <w:t>24</w:t>
            </w:r>
          </w:hyperlink>
        </w:p>
        <w:p w14:paraId="3F21ABBD" w14:textId="77777777" w:rsidR="003D2527" w:rsidRDefault="002B1B7E">
          <w:pPr>
            <w:spacing w:line="360" w:lineRule="auto"/>
            <w:jc w:val="both"/>
          </w:pPr>
          <w:r>
            <w:fldChar w:fldCharType="end"/>
          </w:r>
        </w:p>
      </w:sdtContent>
    </w:sdt>
    <w:p w14:paraId="09C64A27" w14:textId="77777777" w:rsidR="003D2527" w:rsidRDefault="002B1B7E">
      <w:pPr>
        <w:rPr>
          <w:b/>
          <w:color w:val="000000"/>
        </w:rPr>
      </w:pPr>
      <w:bookmarkStart w:id="2" w:name="_heading=h.4zvr72n5o325" w:colFirst="0" w:colLast="0"/>
      <w:bookmarkEnd w:id="2"/>
      <w:r>
        <w:br w:type="page"/>
      </w:r>
    </w:p>
    <w:p w14:paraId="17178181" w14:textId="77777777" w:rsidR="003D2527" w:rsidRDefault="002B1B7E">
      <w:pPr>
        <w:pStyle w:val="Heading1"/>
        <w:rPr>
          <w:rFonts w:ascii="Arial" w:eastAsia="Arial" w:hAnsi="Arial" w:cs="Arial"/>
          <w:sz w:val="22"/>
          <w:szCs w:val="22"/>
        </w:rPr>
      </w:pPr>
      <w:bookmarkStart w:id="3" w:name="_heading=h.4blmcy89705g" w:colFirst="0" w:colLast="0"/>
      <w:bookmarkEnd w:id="3"/>
      <w:r>
        <w:rPr>
          <w:rFonts w:ascii="Arial" w:eastAsia="Arial" w:hAnsi="Arial" w:cs="Arial"/>
          <w:sz w:val="22"/>
          <w:szCs w:val="22"/>
        </w:rPr>
        <w:t>1. Introduction</w:t>
      </w:r>
    </w:p>
    <w:p w14:paraId="7BCFE257" w14:textId="77777777" w:rsidR="003D2527" w:rsidRDefault="002B1B7E">
      <w:pPr>
        <w:spacing w:line="360" w:lineRule="auto"/>
        <w:jc w:val="both"/>
        <w:rPr>
          <w:color w:val="000000" w:themeColor="text1"/>
        </w:rPr>
      </w:pPr>
      <w:proofErr w:type="spellStart"/>
      <w:r>
        <w:rPr>
          <w:color w:val="000000" w:themeColor="text1"/>
        </w:rPr>
        <w:t>TestCard</w:t>
      </w:r>
      <w:proofErr w:type="spellEnd"/>
      <w:r>
        <w:rPr>
          <w:color w:val="000000" w:themeColor="text1"/>
        </w:rPr>
        <w:t xml:space="preserve"> Ltd is a digital health technology company based in the United Kingdom, headquartered in York, the United Kingdom and founded in 2017. The firm focuses on at-home diagnostic testing kits with the aid of a smartphone application, which lets users take fast and precise diagnostic tests on their urinary tract infections, glucose and pregnancy. </w:t>
      </w:r>
      <w:proofErr w:type="spellStart"/>
      <w:r>
        <w:rPr>
          <w:color w:val="000000" w:themeColor="text1"/>
        </w:rPr>
        <w:t>TestCard</w:t>
      </w:r>
      <w:proofErr w:type="spellEnd"/>
      <w:r>
        <w:rPr>
          <w:color w:val="000000" w:themeColor="text1"/>
        </w:rPr>
        <w:t xml:space="preserve"> embraces preventive healthcare, affordable healthcare, and medical-grade medication tests to provide feedback through digital innovation. Being acknowledged long enough in the global community in terms of its user-focused design and data precision, </w:t>
      </w:r>
      <w:proofErr w:type="spellStart"/>
      <w:r>
        <w:rPr>
          <w:color w:val="000000" w:themeColor="text1"/>
        </w:rPr>
        <w:t>TestCard</w:t>
      </w:r>
      <w:proofErr w:type="spellEnd"/>
      <w:r>
        <w:rPr>
          <w:color w:val="000000" w:themeColor="text1"/>
        </w:rPr>
        <w:t xml:space="preserve"> is a newly emerged leader in the UK healthcare technological industry, which is facilitating the advancement of digital diagnostics all over the world (Testcard, 2025). The organisation focuses on the activities related to preventive healthcare, significant clinical excellence </w:t>
      </w:r>
      <w:proofErr w:type="gramStart"/>
      <w:r>
        <w:rPr>
          <w:color w:val="000000" w:themeColor="text1"/>
        </w:rPr>
        <w:t>and also</w:t>
      </w:r>
      <w:proofErr w:type="gramEnd"/>
      <w:r>
        <w:rPr>
          <w:color w:val="000000" w:themeColor="text1"/>
        </w:rPr>
        <w:t xml:space="preserve"> the digital health innovation. </w:t>
      </w:r>
      <w:proofErr w:type="spellStart"/>
      <w:r>
        <w:rPr>
          <w:color w:val="000000" w:themeColor="text1"/>
        </w:rPr>
        <w:t>TestCard</w:t>
      </w:r>
      <w:proofErr w:type="spellEnd"/>
      <w:r>
        <w:rPr>
          <w:color w:val="000000" w:themeColor="text1"/>
        </w:rPr>
        <w:t xml:space="preserve"> mainly focuses on integrating technology in the healthcare services, which are considered digital tools to monitor health, enhancing patient engagement </w:t>
      </w:r>
      <w:proofErr w:type="gramStart"/>
      <w:r>
        <w:rPr>
          <w:color w:val="000000" w:themeColor="text1"/>
        </w:rPr>
        <w:t>and also</w:t>
      </w:r>
      <w:proofErr w:type="gramEnd"/>
      <w:r>
        <w:rPr>
          <w:color w:val="000000" w:themeColor="text1"/>
        </w:rPr>
        <w:t xml:space="preserve"> improving the service efficiency. It mainly considered aligning with the increasing demand for different personalised healthcare solutions, specifically for the wearable health technologies that mainly empower individuals to track their virtual health metrics. The current project mainly includes launching a new wearable health device that </w:t>
      </w:r>
      <w:proofErr w:type="gramStart"/>
      <w:r>
        <w:rPr>
          <w:color w:val="000000" w:themeColor="text1"/>
        </w:rPr>
        <w:t>is capable of monitoring</w:t>
      </w:r>
      <w:proofErr w:type="gramEnd"/>
      <w:r>
        <w:rPr>
          <w:color w:val="000000" w:themeColor="text1"/>
        </w:rPr>
        <w:t xml:space="preserve"> the heart rate, oxygen saturation </w:t>
      </w:r>
      <w:proofErr w:type="gramStart"/>
      <w:r>
        <w:rPr>
          <w:color w:val="000000" w:themeColor="text1"/>
        </w:rPr>
        <w:t>and also</w:t>
      </w:r>
      <w:proofErr w:type="gramEnd"/>
      <w:r>
        <w:rPr>
          <w:color w:val="000000" w:themeColor="text1"/>
        </w:rPr>
        <w:t xml:space="preserve"> the sleep pattern. </w:t>
      </w:r>
    </w:p>
    <w:p w14:paraId="712B1173" w14:textId="77777777" w:rsidR="003D2527" w:rsidRDefault="002B1B7E">
      <w:pPr>
        <w:pStyle w:val="Heading1"/>
        <w:rPr>
          <w:rFonts w:ascii="Arial" w:eastAsia="Arial" w:hAnsi="Arial" w:cs="Arial"/>
          <w:color w:val="000000" w:themeColor="text1"/>
          <w:sz w:val="22"/>
          <w:szCs w:val="22"/>
        </w:rPr>
      </w:pPr>
      <w:bookmarkStart w:id="4" w:name="_heading=h.6ilcs29nbskz" w:colFirst="0" w:colLast="0"/>
      <w:bookmarkEnd w:id="4"/>
      <w:r>
        <w:rPr>
          <w:rFonts w:ascii="Arial" w:eastAsia="Arial" w:hAnsi="Arial" w:cs="Arial"/>
          <w:color w:val="000000" w:themeColor="text1"/>
          <w:sz w:val="22"/>
          <w:szCs w:val="22"/>
        </w:rPr>
        <w:t>2. An appraisal of the company</w:t>
      </w:r>
    </w:p>
    <w:p w14:paraId="1C494DB5" w14:textId="77777777" w:rsidR="003D2527" w:rsidRDefault="002B1B7E">
      <w:pPr>
        <w:pStyle w:val="Heading2"/>
        <w:spacing w:line="360" w:lineRule="auto"/>
        <w:rPr>
          <w:rFonts w:ascii="Arial" w:eastAsia="Arial" w:hAnsi="Arial" w:cs="Arial"/>
          <w:color w:val="000000" w:themeColor="text1"/>
          <w:sz w:val="22"/>
          <w:szCs w:val="22"/>
        </w:rPr>
      </w:pPr>
      <w:bookmarkStart w:id="5" w:name="_heading=h.icaklrfg0rxn" w:colFirst="0" w:colLast="0"/>
      <w:bookmarkEnd w:id="5"/>
      <w:r>
        <w:rPr>
          <w:rFonts w:ascii="Arial" w:eastAsia="Arial" w:hAnsi="Arial" w:cs="Arial"/>
          <w:color w:val="000000" w:themeColor="text1"/>
          <w:sz w:val="22"/>
          <w:szCs w:val="22"/>
        </w:rPr>
        <w:t xml:space="preserve">2.1 SWOT analysis </w:t>
      </w:r>
    </w:p>
    <w:p w14:paraId="4336E601" w14:textId="77777777" w:rsidR="003D2527" w:rsidRDefault="002B1B7E">
      <w:pPr>
        <w:spacing w:line="360" w:lineRule="auto"/>
        <w:jc w:val="both"/>
        <w:rPr>
          <w:color w:val="000000" w:themeColor="text1"/>
        </w:rPr>
      </w:pPr>
      <w:r>
        <w:rPr>
          <w:b/>
          <w:i/>
          <w:color w:val="000000" w:themeColor="text1"/>
        </w:rPr>
        <w:t xml:space="preserve">Strengths: </w:t>
      </w:r>
      <w:r>
        <w:rPr>
          <w:color w:val="000000" w:themeColor="text1"/>
        </w:rPr>
        <w:t xml:space="preserve">It is identified that </w:t>
      </w:r>
      <w:proofErr w:type="spellStart"/>
      <w:r>
        <w:rPr>
          <w:color w:val="000000" w:themeColor="text1"/>
        </w:rPr>
        <w:t>TestCard</w:t>
      </w:r>
      <w:proofErr w:type="spellEnd"/>
      <w:r>
        <w:rPr>
          <w:color w:val="000000" w:themeColor="text1"/>
        </w:rPr>
        <w:t xml:space="preserve"> has a strong brand reputation not only in the UK but also internationally (Testcard, 2025). The high reputation of </w:t>
      </w:r>
      <w:proofErr w:type="spellStart"/>
      <w:r>
        <w:rPr>
          <w:color w:val="000000" w:themeColor="text1"/>
        </w:rPr>
        <w:t>TestCard</w:t>
      </w:r>
      <w:proofErr w:type="spellEnd"/>
      <w:r>
        <w:rPr>
          <w:color w:val="000000" w:themeColor="text1"/>
        </w:rPr>
        <w:t xml:space="preserve"> ensures credibility and customer trust in its product launches. The organisation has a strong customer base, including customers from care providers, health insurance and others. This is the strength of </w:t>
      </w:r>
      <w:proofErr w:type="spellStart"/>
      <w:r>
        <w:rPr>
          <w:color w:val="000000" w:themeColor="text1"/>
        </w:rPr>
        <w:t>TestCard</w:t>
      </w:r>
      <w:proofErr w:type="spellEnd"/>
      <w:r>
        <w:rPr>
          <w:color w:val="000000" w:themeColor="text1"/>
        </w:rPr>
        <w:t>.</w:t>
      </w:r>
    </w:p>
    <w:p w14:paraId="2C22989E" w14:textId="77777777" w:rsidR="003D2527" w:rsidRDefault="002B1B7E">
      <w:pPr>
        <w:spacing w:line="360" w:lineRule="auto"/>
        <w:jc w:val="both"/>
        <w:rPr>
          <w:color w:val="000000" w:themeColor="text1"/>
        </w:rPr>
      </w:pPr>
      <w:r>
        <w:rPr>
          <w:b/>
          <w:i/>
          <w:color w:val="000000" w:themeColor="text1"/>
        </w:rPr>
        <w:t>Weaknesses:</w:t>
      </w:r>
      <w:r>
        <w:rPr>
          <w:color w:val="000000" w:themeColor="text1"/>
        </w:rPr>
        <w:t xml:space="preserve"> Limited wearable tech experience is identified as one of the weaknesses for </w:t>
      </w:r>
      <w:proofErr w:type="spellStart"/>
      <w:r>
        <w:rPr>
          <w:color w:val="000000" w:themeColor="text1"/>
        </w:rPr>
        <w:t>TestCard</w:t>
      </w:r>
      <w:proofErr w:type="spellEnd"/>
      <w:r>
        <w:rPr>
          <w:color w:val="000000" w:themeColor="text1"/>
        </w:rPr>
        <w:t xml:space="preserve">. Developing an effective wearable health device is associated with high costs in its R&amp;D initiatives. This is another weakness that reflects on </w:t>
      </w:r>
      <w:proofErr w:type="spellStart"/>
      <w:r>
        <w:rPr>
          <w:color w:val="000000" w:themeColor="text1"/>
        </w:rPr>
        <w:t>TestCard</w:t>
      </w:r>
      <w:proofErr w:type="spellEnd"/>
      <w:r>
        <w:rPr>
          <w:color w:val="000000" w:themeColor="text1"/>
        </w:rPr>
        <w:t xml:space="preserve">. </w:t>
      </w:r>
    </w:p>
    <w:p w14:paraId="4645C096" w14:textId="77777777" w:rsidR="003D2527" w:rsidRDefault="002B1B7E">
      <w:pPr>
        <w:spacing w:line="360" w:lineRule="auto"/>
        <w:jc w:val="both"/>
        <w:rPr>
          <w:color w:val="000000" w:themeColor="text1"/>
        </w:rPr>
      </w:pPr>
      <w:r>
        <w:rPr>
          <w:b/>
          <w:i/>
          <w:color w:val="000000" w:themeColor="text1"/>
        </w:rPr>
        <w:t>Opportunities:</w:t>
      </w:r>
      <w:r>
        <w:rPr>
          <w:color w:val="000000" w:themeColor="text1"/>
        </w:rPr>
        <w:t xml:space="preserve"> The global wearable market was more than 534 million units in 2024 (IDC, 2025). This creates a high opportunity for </w:t>
      </w:r>
      <w:proofErr w:type="spellStart"/>
      <w:r>
        <w:rPr>
          <w:color w:val="000000" w:themeColor="text1"/>
        </w:rPr>
        <w:t>TestCard</w:t>
      </w:r>
      <w:proofErr w:type="spellEnd"/>
      <w:r>
        <w:rPr>
          <w:color w:val="000000" w:themeColor="text1"/>
        </w:rPr>
        <w:t xml:space="preserve"> to meet market trends and strengthen its business.</w:t>
      </w:r>
    </w:p>
    <w:p w14:paraId="7CFA1680" w14:textId="77777777" w:rsidR="003D2527" w:rsidRDefault="002B1B7E">
      <w:pPr>
        <w:spacing w:line="360" w:lineRule="auto"/>
        <w:jc w:val="center"/>
        <w:rPr>
          <w:color w:val="000000" w:themeColor="text1"/>
        </w:rPr>
      </w:pPr>
      <w:r>
        <w:rPr>
          <w:noProof/>
          <w:color w:val="000000" w:themeColor="text1"/>
        </w:rPr>
        <w:drawing>
          <wp:inline distT="114300" distB="114300" distL="114300" distR="114300" wp14:anchorId="1F655A0C" wp14:editId="0E3C398E">
            <wp:extent cx="5943600" cy="3289300"/>
            <wp:effectExtent l="0" t="0" r="0" b="0"/>
            <wp:docPr id="21" name="image4.png"/>
            <wp:cNvGraphicFramePr/>
            <a:graphic xmlns:a="http://schemas.openxmlformats.org/drawingml/2006/main">
              <a:graphicData uri="http://schemas.openxmlformats.org/drawingml/2006/picture">
                <pic:pic xmlns:pic="http://schemas.openxmlformats.org/drawingml/2006/picture">
                  <pic:nvPicPr>
                    <pic:cNvPr id="21" name="image4.png"/>
                    <pic:cNvPicPr preferRelativeResize="0"/>
                  </pic:nvPicPr>
                  <pic:blipFill>
                    <a:blip r:embed="rId9"/>
                    <a:srcRect/>
                    <a:stretch>
                      <a:fillRect/>
                    </a:stretch>
                  </pic:blipFill>
                  <pic:spPr>
                    <a:xfrm>
                      <a:off x="0" y="0"/>
                      <a:ext cx="5943600" cy="3289300"/>
                    </a:xfrm>
                    <a:prstGeom prst="rect">
                      <a:avLst/>
                    </a:prstGeom>
                  </pic:spPr>
                </pic:pic>
              </a:graphicData>
            </a:graphic>
          </wp:inline>
        </w:drawing>
      </w:r>
    </w:p>
    <w:p w14:paraId="213E2ECD" w14:textId="77777777" w:rsidR="003D2527" w:rsidRDefault="002B1B7E">
      <w:pPr>
        <w:spacing w:line="360" w:lineRule="auto"/>
        <w:jc w:val="center"/>
        <w:rPr>
          <w:b/>
          <w:color w:val="000000" w:themeColor="text1"/>
        </w:rPr>
      </w:pPr>
      <w:r>
        <w:rPr>
          <w:b/>
          <w:color w:val="000000" w:themeColor="text1"/>
        </w:rPr>
        <w:t>Figure 1: Worldwide wearables demand</w:t>
      </w:r>
    </w:p>
    <w:p w14:paraId="69964384" w14:textId="77777777" w:rsidR="003D2527" w:rsidRDefault="002B1B7E">
      <w:pPr>
        <w:spacing w:line="360" w:lineRule="auto"/>
        <w:jc w:val="center"/>
        <w:rPr>
          <w:color w:val="000000" w:themeColor="text1"/>
        </w:rPr>
      </w:pPr>
      <w:r>
        <w:rPr>
          <w:color w:val="000000" w:themeColor="text1"/>
        </w:rPr>
        <w:t xml:space="preserve">(Source: IDC, 2025) </w:t>
      </w:r>
    </w:p>
    <w:p w14:paraId="44A8FF03" w14:textId="77777777" w:rsidR="003D2527" w:rsidRDefault="002B1B7E">
      <w:pPr>
        <w:spacing w:line="360" w:lineRule="auto"/>
        <w:jc w:val="both"/>
        <w:rPr>
          <w:color w:val="000000" w:themeColor="text1"/>
        </w:rPr>
      </w:pPr>
      <w:r>
        <w:rPr>
          <w:b/>
          <w:i/>
          <w:color w:val="000000" w:themeColor="text1"/>
        </w:rPr>
        <w:t xml:space="preserve">Threats: </w:t>
      </w:r>
      <w:r>
        <w:rPr>
          <w:color w:val="000000" w:themeColor="text1"/>
        </w:rPr>
        <w:t xml:space="preserve">The strict data privacy regulations in the UK create threats for </w:t>
      </w:r>
      <w:proofErr w:type="spellStart"/>
      <w:r>
        <w:rPr>
          <w:color w:val="000000" w:themeColor="text1"/>
        </w:rPr>
        <w:t>TestCard</w:t>
      </w:r>
      <w:proofErr w:type="spellEnd"/>
      <w:r>
        <w:rPr>
          <w:color w:val="000000" w:themeColor="text1"/>
        </w:rPr>
        <w:t>. For example, a lack of compliance with the GDPR regulations will cause high penalties (</w:t>
      </w:r>
      <w:r>
        <w:rPr>
          <w:color w:val="000000" w:themeColor="text1"/>
          <w:highlight w:val="white"/>
        </w:rPr>
        <w:t xml:space="preserve">Cohen </w:t>
      </w:r>
      <w:r>
        <w:rPr>
          <w:i/>
          <w:color w:val="000000" w:themeColor="text1"/>
          <w:highlight w:val="white"/>
        </w:rPr>
        <w:t>et al.,</w:t>
      </w:r>
      <w:r>
        <w:rPr>
          <w:color w:val="000000" w:themeColor="text1"/>
          <w:highlight w:val="white"/>
        </w:rPr>
        <w:t xml:space="preserve"> 2020</w:t>
      </w:r>
      <w:r>
        <w:rPr>
          <w:color w:val="000000" w:themeColor="text1"/>
        </w:rPr>
        <w:t xml:space="preserve">, p.1267). The high competition in the worldwide wearable market has also created a threat for </w:t>
      </w:r>
      <w:proofErr w:type="spellStart"/>
      <w:r>
        <w:rPr>
          <w:color w:val="000000" w:themeColor="text1"/>
        </w:rPr>
        <w:t>TestCard</w:t>
      </w:r>
      <w:proofErr w:type="spellEnd"/>
      <w:r>
        <w:rPr>
          <w:color w:val="000000" w:themeColor="text1"/>
        </w:rPr>
        <w:t xml:space="preserve">. </w:t>
      </w:r>
    </w:p>
    <w:p w14:paraId="224BEAB0" w14:textId="77777777" w:rsidR="003D2527" w:rsidRDefault="002B1B7E">
      <w:pPr>
        <w:pStyle w:val="Heading2"/>
        <w:spacing w:line="360" w:lineRule="auto"/>
        <w:rPr>
          <w:rFonts w:ascii="Arial" w:eastAsia="Arial" w:hAnsi="Arial" w:cs="Arial"/>
          <w:color w:val="000000" w:themeColor="text1"/>
          <w:sz w:val="22"/>
          <w:szCs w:val="22"/>
        </w:rPr>
      </w:pPr>
      <w:bookmarkStart w:id="6" w:name="_heading=h.7fbolim79q0x" w:colFirst="0" w:colLast="0"/>
      <w:bookmarkEnd w:id="6"/>
      <w:r>
        <w:rPr>
          <w:rFonts w:ascii="Arial" w:eastAsia="Arial" w:hAnsi="Arial" w:cs="Arial"/>
          <w:color w:val="000000" w:themeColor="text1"/>
          <w:sz w:val="22"/>
          <w:szCs w:val="22"/>
        </w:rPr>
        <w:t>2.1 PESTLE Analysis</w:t>
      </w:r>
    </w:p>
    <w:p w14:paraId="5577182F" w14:textId="77777777" w:rsidR="003D2527" w:rsidRDefault="002B1B7E">
      <w:pPr>
        <w:spacing w:line="360" w:lineRule="auto"/>
        <w:jc w:val="both"/>
        <w:rPr>
          <w:color w:val="000000" w:themeColor="text1"/>
        </w:rPr>
      </w:pPr>
      <w:r>
        <w:rPr>
          <w:b/>
          <w:i/>
          <w:color w:val="000000" w:themeColor="text1"/>
        </w:rPr>
        <w:t>Political:</w:t>
      </w:r>
      <w:r>
        <w:rPr>
          <w:color w:val="000000" w:themeColor="text1"/>
        </w:rPr>
        <w:t xml:space="preserve"> The Medicines and Healthcare Regulatory Agency enforces medical device regulation in the UK. These are the political factors that ensure healthcare organisations must comply with this regulation. </w:t>
      </w:r>
    </w:p>
    <w:p w14:paraId="54E7B065" w14:textId="77777777" w:rsidR="003D2527" w:rsidRDefault="002B1B7E">
      <w:pPr>
        <w:spacing w:line="360" w:lineRule="auto"/>
        <w:jc w:val="both"/>
        <w:rPr>
          <w:color w:val="000000" w:themeColor="text1"/>
        </w:rPr>
      </w:pPr>
      <w:r>
        <w:rPr>
          <w:b/>
          <w:i/>
          <w:color w:val="000000" w:themeColor="text1"/>
        </w:rPr>
        <w:t xml:space="preserve">Economical: </w:t>
      </w:r>
      <w:r>
        <w:rPr>
          <w:color w:val="000000" w:themeColor="text1"/>
        </w:rPr>
        <w:t>At present, there is an increasing consumer spending on health and wellness technologies (</w:t>
      </w:r>
      <w:r>
        <w:rPr>
          <w:color w:val="000000" w:themeColor="text1"/>
          <w:highlight w:val="white"/>
        </w:rPr>
        <w:t xml:space="preserve">Callaghan </w:t>
      </w:r>
      <w:r>
        <w:rPr>
          <w:i/>
          <w:color w:val="000000" w:themeColor="text1"/>
          <w:highlight w:val="white"/>
        </w:rPr>
        <w:t>et al.,</w:t>
      </w:r>
      <w:r>
        <w:rPr>
          <w:color w:val="000000" w:themeColor="text1"/>
          <w:highlight w:val="white"/>
        </w:rPr>
        <w:t xml:space="preserve"> 2021</w:t>
      </w:r>
      <w:r>
        <w:rPr>
          <w:color w:val="000000" w:themeColor="text1"/>
        </w:rPr>
        <w:t xml:space="preserve">). This creates a favourable environment for the wearable devices of </w:t>
      </w:r>
      <w:proofErr w:type="spellStart"/>
      <w:r>
        <w:rPr>
          <w:color w:val="000000" w:themeColor="text1"/>
        </w:rPr>
        <w:t>TestCard</w:t>
      </w:r>
      <w:proofErr w:type="spellEnd"/>
      <w:r>
        <w:rPr>
          <w:color w:val="000000" w:themeColor="text1"/>
        </w:rPr>
        <w:t>. The rising affordability of digital health products also enhances the market potential.</w:t>
      </w:r>
    </w:p>
    <w:p w14:paraId="5766ED0E" w14:textId="77777777" w:rsidR="003D2527" w:rsidRDefault="002B1B7E">
      <w:pPr>
        <w:spacing w:line="360" w:lineRule="auto"/>
        <w:jc w:val="both"/>
        <w:rPr>
          <w:color w:val="000000" w:themeColor="text1"/>
        </w:rPr>
      </w:pPr>
      <w:r>
        <w:rPr>
          <w:b/>
          <w:i/>
          <w:color w:val="000000" w:themeColor="text1"/>
        </w:rPr>
        <w:t xml:space="preserve">Social: </w:t>
      </w:r>
      <w:r>
        <w:rPr>
          <w:color w:val="000000" w:themeColor="text1"/>
        </w:rPr>
        <w:t>That is a growing health-conscious population in the UK. It is identified that 86% of the population in the UK recognised the net importance of fitness (</w:t>
      </w:r>
      <w:r>
        <w:rPr>
          <w:color w:val="000000" w:themeColor="text1"/>
          <w:highlight w:val="white"/>
        </w:rPr>
        <w:t>Adamson, 2025</w:t>
      </w:r>
      <w:r>
        <w:rPr>
          <w:color w:val="000000" w:themeColor="text1"/>
        </w:rPr>
        <w:t xml:space="preserve">). This creates a favourable environment for </w:t>
      </w:r>
      <w:proofErr w:type="spellStart"/>
      <w:r>
        <w:rPr>
          <w:color w:val="000000" w:themeColor="text1"/>
        </w:rPr>
        <w:t>TestCard</w:t>
      </w:r>
      <w:proofErr w:type="spellEnd"/>
      <w:r>
        <w:rPr>
          <w:color w:val="000000" w:themeColor="text1"/>
        </w:rPr>
        <w:t xml:space="preserve"> to launch wearable health devices. </w:t>
      </w:r>
    </w:p>
    <w:p w14:paraId="22A10E2D" w14:textId="77777777" w:rsidR="003D2527" w:rsidRDefault="002B1B7E">
      <w:pPr>
        <w:spacing w:line="360" w:lineRule="auto"/>
        <w:jc w:val="center"/>
        <w:rPr>
          <w:color w:val="000000" w:themeColor="text1"/>
        </w:rPr>
      </w:pPr>
      <w:r>
        <w:rPr>
          <w:noProof/>
          <w:color w:val="000000" w:themeColor="text1"/>
        </w:rPr>
        <w:drawing>
          <wp:inline distT="114300" distB="114300" distL="114300" distR="114300" wp14:anchorId="3778C318" wp14:editId="2EE146A3">
            <wp:extent cx="5943600" cy="3149600"/>
            <wp:effectExtent l="0" t="0" r="0" b="0"/>
            <wp:docPr id="23" name="image1.png"/>
            <wp:cNvGraphicFramePr/>
            <a:graphic xmlns:a="http://schemas.openxmlformats.org/drawingml/2006/main">
              <a:graphicData uri="http://schemas.openxmlformats.org/drawingml/2006/picture">
                <pic:pic xmlns:pic="http://schemas.openxmlformats.org/drawingml/2006/picture">
                  <pic:nvPicPr>
                    <pic:cNvPr id="23" name="image1.png"/>
                    <pic:cNvPicPr preferRelativeResize="0"/>
                  </pic:nvPicPr>
                  <pic:blipFill>
                    <a:blip r:embed="rId10"/>
                    <a:srcRect/>
                    <a:stretch>
                      <a:fillRect/>
                    </a:stretch>
                  </pic:blipFill>
                  <pic:spPr>
                    <a:xfrm>
                      <a:off x="0" y="0"/>
                      <a:ext cx="5943600" cy="3149600"/>
                    </a:xfrm>
                    <a:prstGeom prst="rect">
                      <a:avLst/>
                    </a:prstGeom>
                  </pic:spPr>
                </pic:pic>
              </a:graphicData>
            </a:graphic>
          </wp:inline>
        </w:drawing>
      </w:r>
    </w:p>
    <w:p w14:paraId="17A990E4" w14:textId="77777777" w:rsidR="003D2527" w:rsidRDefault="002B1B7E">
      <w:pPr>
        <w:spacing w:line="360" w:lineRule="auto"/>
        <w:jc w:val="center"/>
        <w:rPr>
          <w:b/>
          <w:color w:val="000000" w:themeColor="text1"/>
        </w:rPr>
      </w:pPr>
      <w:r>
        <w:rPr>
          <w:b/>
          <w:color w:val="000000" w:themeColor="text1"/>
        </w:rPr>
        <w:t>Figure 2: Health-consciousness among UK People</w:t>
      </w:r>
    </w:p>
    <w:p w14:paraId="5F284BAD" w14:textId="77777777" w:rsidR="003D2527" w:rsidRDefault="002B1B7E">
      <w:pPr>
        <w:spacing w:line="360" w:lineRule="auto"/>
        <w:jc w:val="center"/>
        <w:rPr>
          <w:color w:val="000000" w:themeColor="text1"/>
        </w:rPr>
      </w:pPr>
      <w:r>
        <w:rPr>
          <w:color w:val="000000" w:themeColor="text1"/>
        </w:rPr>
        <w:t xml:space="preserve">(Source: </w:t>
      </w:r>
      <w:r>
        <w:rPr>
          <w:color w:val="000000" w:themeColor="text1"/>
          <w:highlight w:val="white"/>
        </w:rPr>
        <w:t>Adamson, 2025</w:t>
      </w:r>
      <w:r>
        <w:rPr>
          <w:color w:val="000000" w:themeColor="text1"/>
        </w:rPr>
        <w:t xml:space="preserve">) </w:t>
      </w:r>
    </w:p>
    <w:p w14:paraId="27EC0550" w14:textId="77777777" w:rsidR="003D2527" w:rsidRDefault="002B1B7E">
      <w:pPr>
        <w:spacing w:line="360" w:lineRule="auto"/>
        <w:jc w:val="both"/>
        <w:rPr>
          <w:color w:val="000000" w:themeColor="text1"/>
        </w:rPr>
      </w:pPr>
      <w:r>
        <w:rPr>
          <w:b/>
          <w:i/>
          <w:color w:val="000000" w:themeColor="text1"/>
        </w:rPr>
        <w:t xml:space="preserve">Technological:  </w:t>
      </w:r>
      <w:r>
        <w:rPr>
          <w:color w:val="000000" w:themeColor="text1"/>
        </w:rPr>
        <w:t xml:space="preserve">Technological advancements improve the efficiency of the tech products. </w:t>
      </w:r>
      <w:proofErr w:type="spellStart"/>
      <w:r>
        <w:rPr>
          <w:color w:val="000000" w:themeColor="text1"/>
        </w:rPr>
        <w:t>TestCard</w:t>
      </w:r>
      <w:proofErr w:type="spellEnd"/>
      <w:r>
        <w:rPr>
          <w:color w:val="000000" w:themeColor="text1"/>
        </w:rPr>
        <w:t xml:space="preserve"> needs to use updated AI, sensors, IoT and others in their wearable device.  </w:t>
      </w:r>
    </w:p>
    <w:p w14:paraId="2494A342" w14:textId="77777777" w:rsidR="003D2527" w:rsidRDefault="002B1B7E">
      <w:pPr>
        <w:spacing w:line="360" w:lineRule="auto"/>
        <w:jc w:val="both"/>
        <w:rPr>
          <w:b/>
          <w:i/>
          <w:color w:val="000000" w:themeColor="text1"/>
        </w:rPr>
      </w:pPr>
      <w:r>
        <w:rPr>
          <w:b/>
          <w:i/>
          <w:color w:val="000000" w:themeColor="text1"/>
        </w:rPr>
        <w:t xml:space="preserve">Legal: </w:t>
      </w:r>
      <w:r>
        <w:rPr>
          <w:color w:val="000000" w:themeColor="text1"/>
        </w:rPr>
        <w:t>Strict compliance with GDPR and other data protection regulations is highly required to ensure user privacy and build trust (</w:t>
      </w:r>
      <w:r>
        <w:rPr>
          <w:color w:val="000000" w:themeColor="text1"/>
          <w:highlight w:val="white"/>
        </w:rPr>
        <w:t xml:space="preserve">Cohen </w:t>
      </w:r>
      <w:r>
        <w:rPr>
          <w:i/>
          <w:color w:val="000000" w:themeColor="text1"/>
          <w:highlight w:val="white"/>
        </w:rPr>
        <w:t xml:space="preserve">et al., </w:t>
      </w:r>
      <w:r>
        <w:rPr>
          <w:color w:val="000000" w:themeColor="text1"/>
          <w:highlight w:val="white"/>
        </w:rPr>
        <w:t>2020</w:t>
      </w:r>
      <w:r>
        <w:rPr>
          <w:color w:val="000000" w:themeColor="text1"/>
        </w:rPr>
        <w:t xml:space="preserve">). Operating businesses in the UK, </w:t>
      </w:r>
      <w:proofErr w:type="spellStart"/>
      <w:r>
        <w:rPr>
          <w:color w:val="000000" w:themeColor="text1"/>
        </w:rPr>
        <w:t>TestCard</w:t>
      </w:r>
      <w:proofErr w:type="spellEnd"/>
      <w:r>
        <w:rPr>
          <w:color w:val="000000" w:themeColor="text1"/>
        </w:rPr>
        <w:t xml:space="preserve"> needs to comply with data protection regulations to protect customer-related personal information and build trust. </w:t>
      </w:r>
    </w:p>
    <w:p w14:paraId="7547E29B" w14:textId="77777777" w:rsidR="003D2527" w:rsidRDefault="002B1B7E">
      <w:pPr>
        <w:spacing w:line="360" w:lineRule="auto"/>
        <w:jc w:val="both"/>
        <w:rPr>
          <w:b/>
          <w:i/>
          <w:color w:val="000000" w:themeColor="text1"/>
        </w:rPr>
      </w:pPr>
      <w:r>
        <w:rPr>
          <w:b/>
          <w:i/>
          <w:color w:val="000000" w:themeColor="text1"/>
        </w:rPr>
        <w:t xml:space="preserve">Environmental: </w:t>
      </w:r>
      <w:r>
        <w:rPr>
          <w:color w:val="000000" w:themeColor="text1"/>
        </w:rPr>
        <w:t xml:space="preserve">Using eco-friendly and sustainable materials in production helps meet corporate social responsibility commitments. </w:t>
      </w:r>
      <w:proofErr w:type="spellStart"/>
      <w:r>
        <w:rPr>
          <w:color w:val="000000" w:themeColor="text1"/>
        </w:rPr>
        <w:t>TestCard</w:t>
      </w:r>
      <w:proofErr w:type="spellEnd"/>
      <w:r>
        <w:rPr>
          <w:color w:val="000000" w:themeColor="text1"/>
        </w:rPr>
        <w:t xml:space="preserve"> is also committed to sustainability, and for that, this environmental consideration is needed within the business.</w:t>
      </w:r>
    </w:p>
    <w:p w14:paraId="61CD4706" w14:textId="77777777" w:rsidR="003D2527" w:rsidRDefault="002B1B7E">
      <w:pPr>
        <w:pStyle w:val="Heading2"/>
        <w:spacing w:line="360" w:lineRule="auto"/>
        <w:rPr>
          <w:rFonts w:ascii="Arial" w:eastAsia="Arial" w:hAnsi="Arial" w:cs="Arial"/>
          <w:color w:val="000000" w:themeColor="text1"/>
          <w:sz w:val="22"/>
          <w:szCs w:val="22"/>
        </w:rPr>
      </w:pPr>
      <w:bookmarkStart w:id="7" w:name="_heading=h.ob5e5wolj8c3" w:colFirst="0" w:colLast="0"/>
      <w:bookmarkEnd w:id="7"/>
      <w:r>
        <w:rPr>
          <w:rFonts w:ascii="Arial" w:eastAsia="Arial" w:hAnsi="Arial" w:cs="Arial"/>
          <w:color w:val="000000" w:themeColor="text1"/>
          <w:sz w:val="22"/>
          <w:szCs w:val="22"/>
        </w:rPr>
        <w:t>2.3 SMART objective</w:t>
      </w:r>
    </w:p>
    <w:tbl>
      <w:tblPr>
        <w:tblStyle w:val="Style54"/>
        <w:tblW w:w="9390" w:type="dxa"/>
        <w:tblInd w:w="-100" w:type="dxa"/>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Look w:val="04A0" w:firstRow="1" w:lastRow="0" w:firstColumn="1" w:lastColumn="0" w:noHBand="0" w:noVBand="1"/>
      </w:tblPr>
      <w:tblGrid>
        <w:gridCol w:w="1748"/>
        <w:gridCol w:w="7642"/>
      </w:tblGrid>
      <w:tr w:rsidR="003D2527" w14:paraId="11CD3F8E" w14:textId="77777777">
        <w:trPr>
          <w:trHeight w:val="601"/>
        </w:trPr>
        <w:tc>
          <w:tcPr>
            <w:tcW w:w="1748"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1B2A8E9E" w14:textId="77777777" w:rsidR="003D2527" w:rsidRDefault="002B1B7E">
            <w:pPr>
              <w:spacing w:line="360" w:lineRule="auto"/>
              <w:jc w:val="center"/>
              <w:rPr>
                <w:b/>
                <w:color w:val="000000" w:themeColor="text1"/>
              </w:rPr>
            </w:pPr>
            <w:r>
              <w:rPr>
                <w:b/>
                <w:color w:val="000000" w:themeColor="text1"/>
              </w:rPr>
              <w:t>SMART Criteria</w:t>
            </w:r>
          </w:p>
        </w:tc>
        <w:tc>
          <w:tcPr>
            <w:tcW w:w="7642"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4AAE0A48" w14:textId="77777777" w:rsidR="003D2527" w:rsidRDefault="002B1B7E">
            <w:pPr>
              <w:spacing w:line="360" w:lineRule="auto"/>
              <w:jc w:val="center"/>
              <w:rPr>
                <w:b/>
                <w:color w:val="000000" w:themeColor="text1"/>
              </w:rPr>
            </w:pPr>
            <w:r>
              <w:rPr>
                <w:b/>
                <w:color w:val="000000" w:themeColor="text1"/>
              </w:rPr>
              <w:t>Objective</w:t>
            </w:r>
          </w:p>
        </w:tc>
      </w:tr>
      <w:tr w:rsidR="003D2527" w14:paraId="1768E025" w14:textId="77777777">
        <w:trPr>
          <w:trHeight w:val="894"/>
        </w:trPr>
        <w:tc>
          <w:tcPr>
            <w:tcW w:w="1748"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0A0BE46F" w14:textId="77777777" w:rsidR="003D2527" w:rsidRDefault="002B1B7E">
            <w:pPr>
              <w:spacing w:line="360" w:lineRule="auto"/>
              <w:rPr>
                <w:b/>
                <w:color w:val="000000" w:themeColor="text1"/>
              </w:rPr>
            </w:pPr>
            <w:r>
              <w:rPr>
                <w:b/>
                <w:color w:val="000000" w:themeColor="text1"/>
              </w:rPr>
              <w:t>Specific</w:t>
            </w:r>
          </w:p>
        </w:tc>
        <w:tc>
          <w:tcPr>
            <w:tcW w:w="7642" w:type="dxa"/>
            <w:tcBorders>
              <w:top w:val="nil"/>
              <w:left w:val="nil"/>
              <w:bottom w:val="single" w:sz="6" w:space="0" w:color="000000"/>
              <w:right w:val="single" w:sz="6" w:space="0" w:color="000000"/>
            </w:tcBorders>
            <w:tcMar>
              <w:top w:w="0" w:type="dxa"/>
              <w:left w:w="100" w:type="dxa"/>
              <w:bottom w:w="0" w:type="dxa"/>
              <w:right w:w="100" w:type="dxa"/>
            </w:tcMar>
          </w:tcPr>
          <w:p w14:paraId="0547327F" w14:textId="77777777" w:rsidR="003D2527" w:rsidRDefault="002B1B7E">
            <w:pPr>
              <w:spacing w:line="360" w:lineRule="auto"/>
              <w:jc w:val="both"/>
              <w:rPr>
                <w:color w:val="000000" w:themeColor="text1"/>
              </w:rPr>
            </w:pPr>
            <w:r>
              <w:rPr>
                <w:color w:val="000000" w:themeColor="text1"/>
              </w:rPr>
              <w:t>Launch a wearable health device that accurately monitors heart rate, oxygen levels, and sleep patterns to provide real-time health insights for consumers.</w:t>
            </w:r>
          </w:p>
        </w:tc>
      </w:tr>
      <w:tr w:rsidR="003D2527" w14:paraId="6A4080DD" w14:textId="77777777">
        <w:trPr>
          <w:trHeight w:val="894"/>
        </w:trPr>
        <w:tc>
          <w:tcPr>
            <w:tcW w:w="1748"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2D6BB326" w14:textId="77777777" w:rsidR="003D2527" w:rsidRDefault="002B1B7E">
            <w:pPr>
              <w:spacing w:line="360" w:lineRule="auto"/>
              <w:rPr>
                <w:b/>
                <w:color w:val="000000" w:themeColor="text1"/>
              </w:rPr>
            </w:pPr>
            <w:r>
              <w:rPr>
                <w:b/>
                <w:color w:val="000000" w:themeColor="text1"/>
              </w:rPr>
              <w:t>Measurable</w:t>
            </w:r>
          </w:p>
        </w:tc>
        <w:tc>
          <w:tcPr>
            <w:tcW w:w="7642" w:type="dxa"/>
            <w:tcBorders>
              <w:top w:val="nil"/>
              <w:left w:val="nil"/>
              <w:bottom w:val="single" w:sz="6" w:space="0" w:color="000000"/>
              <w:right w:val="single" w:sz="6" w:space="0" w:color="000000"/>
            </w:tcBorders>
            <w:tcMar>
              <w:top w:w="0" w:type="dxa"/>
              <w:left w:w="100" w:type="dxa"/>
              <w:bottom w:w="0" w:type="dxa"/>
              <w:right w:w="100" w:type="dxa"/>
            </w:tcMar>
          </w:tcPr>
          <w:p w14:paraId="17C48C21" w14:textId="77777777" w:rsidR="003D2527" w:rsidRDefault="002B1B7E">
            <w:pPr>
              <w:spacing w:line="360" w:lineRule="auto"/>
              <w:jc w:val="both"/>
              <w:rPr>
                <w:color w:val="000000" w:themeColor="text1"/>
              </w:rPr>
            </w:pPr>
            <w:r>
              <w:rPr>
                <w:color w:val="000000" w:themeColor="text1"/>
              </w:rPr>
              <w:t>Achieve at least 100,000 device sales within the first year of launch, tracking adoption rates and customer feedback for performance evaluation.</w:t>
            </w:r>
          </w:p>
        </w:tc>
      </w:tr>
      <w:tr w:rsidR="003D2527" w14:paraId="7D47394C" w14:textId="77777777">
        <w:trPr>
          <w:trHeight w:val="894"/>
        </w:trPr>
        <w:tc>
          <w:tcPr>
            <w:tcW w:w="1748"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479C84F0" w14:textId="77777777" w:rsidR="003D2527" w:rsidRDefault="002B1B7E">
            <w:pPr>
              <w:spacing w:line="360" w:lineRule="auto"/>
              <w:rPr>
                <w:b/>
                <w:color w:val="000000" w:themeColor="text1"/>
              </w:rPr>
            </w:pPr>
            <w:r>
              <w:rPr>
                <w:b/>
                <w:color w:val="000000" w:themeColor="text1"/>
              </w:rPr>
              <w:t>Achievable</w:t>
            </w:r>
          </w:p>
        </w:tc>
        <w:tc>
          <w:tcPr>
            <w:tcW w:w="7642" w:type="dxa"/>
            <w:tcBorders>
              <w:top w:val="nil"/>
              <w:left w:val="nil"/>
              <w:bottom w:val="single" w:sz="6" w:space="0" w:color="000000"/>
              <w:right w:val="single" w:sz="6" w:space="0" w:color="000000"/>
            </w:tcBorders>
            <w:tcMar>
              <w:top w:w="0" w:type="dxa"/>
              <w:left w:w="100" w:type="dxa"/>
              <w:bottom w:w="0" w:type="dxa"/>
              <w:right w:w="100" w:type="dxa"/>
            </w:tcMar>
          </w:tcPr>
          <w:p w14:paraId="5AA4BF2E" w14:textId="77777777" w:rsidR="003D2527" w:rsidRDefault="002B1B7E">
            <w:pPr>
              <w:spacing w:line="360" w:lineRule="auto"/>
              <w:jc w:val="both"/>
              <w:rPr>
                <w:color w:val="000000" w:themeColor="text1"/>
              </w:rPr>
            </w:pPr>
            <w:r>
              <w:rPr>
                <w:color w:val="000000" w:themeColor="text1"/>
              </w:rPr>
              <w:t xml:space="preserve">Leverage established </w:t>
            </w:r>
            <w:proofErr w:type="spellStart"/>
            <w:r>
              <w:rPr>
                <w:color w:val="000000" w:themeColor="text1"/>
              </w:rPr>
              <w:t>TestCard</w:t>
            </w:r>
            <w:proofErr w:type="spellEnd"/>
            <w:r>
              <w:rPr>
                <w:color w:val="000000" w:themeColor="text1"/>
              </w:rPr>
              <w:t xml:space="preserve"> healthcare network, marketing expertise, and strategic technology partnerships to ensure product development and market readiness.</w:t>
            </w:r>
          </w:p>
        </w:tc>
      </w:tr>
      <w:tr w:rsidR="003D2527" w14:paraId="33803B81" w14:textId="77777777">
        <w:trPr>
          <w:trHeight w:val="601"/>
        </w:trPr>
        <w:tc>
          <w:tcPr>
            <w:tcW w:w="1748"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306E26E6" w14:textId="77777777" w:rsidR="003D2527" w:rsidRDefault="002B1B7E">
            <w:pPr>
              <w:spacing w:line="360" w:lineRule="auto"/>
              <w:rPr>
                <w:b/>
                <w:color w:val="000000" w:themeColor="text1"/>
              </w:rPr>
            </w:pPr>
            <w:r>
              <w:rPr>
                <w:b/>
                <w:color w:val="000000" w:themeColor="text1"/>
              </w:rPr>
              <w:t>Relevant</w:t>
            </w:r>
          </w:p>
        </w:tc>
        <w:tc>
          <w:tcPr>
            <w:tcW w:w="7642" w:type="dxa"/>
            <w:tcBorders>
              <w:top w:val="nil"/>
              <w:left w:val="nil"/>
              <w:bottom w:val="single" w:sz="6" w:space="0" w:color="000000"/>
              <w:right w:val="single" w:sz="6" w:space="0" w:color="000000"/>
            </w:tcBorders>
            <w:tcMar>
              <w:top w:w="0" w:type="dxa"/>
              <w:left w:w="100" w:type="dxa"/>
              <w:bottom w:w="0" w:type="dxa"/>
              <w:right w:w="100" w:type="dxa"/>
            </w:tcMar>
          </w:tcPr>
          <w:p w14:paraId="0CD71D00" w14:textId="77777777" w:rsidR="003D2527" w:rsidRDefault="002B1B7E">
            <w:pPr>
              <w:spacing w:line="360" w:lineRule="auto"/>
              <w:jc w:val="both"/>
              <w:rPr>
                <w:color w:val="000000" w:themeColor="text1"/>
              </w:rPr>
            </w:pPr>
            <w:r>
              <w:rPr>
                <w:color w:val="000000" w:themeColor="text1"/>
              </w:rPr>
              <w:t xml:space="preserve">Aligns with the mission of </w:t>
            </w:r>
            <w:proofErr w:type="spellStart"/>
            <w:r>
              <w:rPr>
                <w:color w:val="000000" w:themeColor="text1"/>
              </w:rPr>
              <w:t>TestCard</w:t>
            </w:r>
            <w:proofErr w:type="spellEnd"/>
            <w:r>
              <w:rPr>
                <w:color w:val="000000" w:themeColor="text1"/>
              </w:rPr>
              <w:t xml:space="preserve"> to enhance personal health management through innovative and accessible digital health solutions.</w:t>
            </w:r>
          </w:p>
        </w:tc>
      </w:tr>
      <w:tr w:rsidR="003D2527" w14:paraId="6C9BA758" w14:textId="77777777">
        <w:trPr>
          <w:trHeight w:val="601"/>
        </w:trPr>
        <w:tc>
          <w:tcPr>
            <w:tcW w:w="1748"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597787AC" w14:textId="77777777" w:rsidR="003D2527" w:rsidRDefault="002B1B7E">
            <w:pPr>
              <w:spacing w:line="360" w:lineRule="auto"/>
              <w:rPr>
                <w:b/>
                <w:color w:val="000000" w:themeColor="text1"/>
              </w:rPr>
            </w:pPr>
            <w:r>
              <w:rPr>
                <w:b/>
                <w:color w:val="000000" w:themeColor="text1"/>
              </w:rPr>
              <w:t>Time-bound</w:t>
            </w:r>
          </w:p>
        </w:tc>
        <w:tc>
          <w:tcPr>
            <w:tcW w:w="7642" w:type="dxa"/>
            <w:tcBorders>
              <w:top w:val="nil"/>
              <w:left w:val="nil"/>
              <w:bottom w:val="single" w:sz="6" w:space="0" w:color="000000"/>
              <w:right w:val="single" w:sz="6" w:space="0" w:color="000000"/>
            </w:tcBorders>
            <w:tcMar>
              <w:top w:w="0" w:type="dxa"/>
              <w:left w:w="100" w:type="dxa"/>
              <w:bottom w:w="0" w:type="dxa"/>
              <w:right w:w="100" w:type="dxa"/>
            </w:tcMar>
          </w:tcPr>
          <w:p w14:paraId="599CBA15" w14:textId="77777777" w:rsidR="003D2527" w:rsidRDefault="002B1B7E">
            <w:pPr>
              <w:spacing w:line="360" w:lineRule="auto"/>
              <w:jc w:val="both"/>
              <w:rPr>
                <w:color w:val="000000" w:themeColor="text1"/>
              </w:rPr>
            </w:pPr>
            <w:r>
              <w:rPr>
                <w:color w:val="000000" w:themeColor="text1"/>
              </w:rPr>
              <w:t>Within six months for a timely market launch.</w:t>
            </w:r>
          </w:p>
        </w:tc>
      </w:tr>
    </w:tbl>
    <w:p w14:paraId="2A6FD481" w14:textId="77777777" w:rsidR="003D2527" w:rsidRDefault="002B1B7E">
      <w:pPr>
        <w:spacing w:line="360" w:lineRule="auto"/>
        <w:jc w:val="center"/>
        <w:rPr>
          <w:b/>
          <w:color w:val="000000" w:themeColor="text1"/>
        </w:rPr>
      </w:pPr>
      <w:r>
        <w:rPr>
          <w:b/>
          <w:color w:val="000000" w:themeColor="text1"/>
        </w:rPr>
        <w:t>Table 1: SMART Objectives</w:t>
      </w:r>
    </w:p>
    <w:p w14:paraId="1F382452" w14:textId="77777777" w:rsidR="003D2527" w:rsidRDefault="002B1B7E">
      <w:pPr>
        <w:spacing w:line="360" w:lineRule="auto"/>
        <w:jc w:val="center"/>
        <w:rPr>
          <w:color w:val="000000" w:themeColor="text1"/>
        </w:rPr>
      </w:pPr>
      <w:r>
        <w:rPr>
          <w:color w:val="000000" w:themeColor="text1"/>
        </w:rPr>
        <w:t>(Source: Self-created)</w:t>
      </w:r>
    </w:p>
    <w:p w14:paraId="47D60DE5" w14:textId="77777777" w:rsidR="003D2527" w:rsidRDefault="002B1B7E">
      <w:pPr>
        <w:pStyle w:val="Heading1"/>
        <w:rPr>
          <w:rFonts w:ascii="Arial" w:eastAsia="Arial" w:hAnsi="Arial" w:cs="Arial"/>
          <w:color w:val="000000" w:themeColor="text1"/>
          <w:sz w:val="22"/>
          <w:szCs w:val="22"/>
        </w:rPr>
      </w:pPr>
      <w:bookmarkStart w:id="8" w:name="_heading=h.hvzfeehzjhcl" w:colFirst="0" w:colLast="0"/>
      <w:bookmarkEnd w:id="8"/>
      <w:r>
        <w:rPr>
          <w:rFonts w:ascii="Arial" w:eastAsia="Arial" w:hAnsi="Arial" w:cs="Arial"/>
          <w:color w:val="000000" w:themeColor="text1"/>
          <w:sz w:val="22"/>
          <w:szCs w:val="22"/>
        </w:rPr>
        <w:t xml:space="preserve">3. Key internal and external stakeholders </w:t>
      </w:r>
    </w:p>
    <w:p w14:paraId="79DFD531" w14:textId="77777777" w:rsidR="003D2527" w:rsidRDefault="002B1B7E">
      <w:pPr>
        <w:spacing w:line="360" w:lineRule="auto"/>
        <w:jc w:val="both"/>
        <w:rPr>
          <w:color w:val="000000" w:themeColor="text1"/>
        </w:rPr>
      </w:pPr>
      <w:r>
        <w:rPr>
          <w:color w:val="000000" w:themeColor="text1"/>
        </w:rPr>
        <w:t>Stakeholder theory highlights the importance of stakeholder engagement for businesses as well as projects. The theory defines that stakeholders are the individuals or groups who can influence or are influenced by the project outcomes (</w:t>
      </w:r>
      <w:r>
        <w:rPr>
          <w:color w:val="000000" w:themeColor="text1"/>
          <w:highlight w:val="white"/>
        </w:rPr>
        <w:t xml:space="preserve">Marcon Nora </w:t>
      </w:r>
      <w:r>
        <w:rPr>
          <w:i/>
          <w:color w:val="000000" w:themeColor="text1"/>
          <w:highlight w:val="white"/>
        </w:rPr>
        <w:t>et al.,</w:t>
      </w:r>
      <w:r>
        <w:rPr>
          <w:color w:val="000000" w:themeColor="text1"/>
          <w:highlight w:val="white"/>
        </w:rPr>
        <w:t xml:space="preserve"> 2023)</w:t>
      </w:r>
      <w:r>
        <w:rPr>
          <w:color w:val="000000" w:themeColor="text1"/>
        </w:rPr>
        <w:t xml:space="preserve">. For the successful delivery of the selected project for </w:t>
      </w:r>
      <w:proofErr w:type="spellStart"/>
      <w:r>
        <w:rPr>
          <w:color w:val="000000" w:themeColor="text1"/>
        </w:rPr>
        <w:t>TestCard</w:t>
      </w:r>
      <w:proofErr w:type="spellEnd"/>
      <w:r>
        <w:rPr>
          <w:color w:val="000000" w:themeColor="text1"/>
        </w:rPr>
        <w:t xml:space="preserve"> UK, it is highly important to identify and engage the right stakeholders. In the context of the project, the stakeholders can be categorised as internal and external stakeholders. </w:t>
      </w:r>
    </w:p>
    <w:p w14:paraId="1B02B230" w14:textId="77777777" w:rsidR="003D2527" w:rsidRDefault="002B1B7E">
      <w:pPr>
        <w:pStyle w:val="Heading2"/>
        <w:spacing w:line="360" w:lineRule="auto"/>
        <w:rPr>
          <w:rFonts w:ascii="Arial" w:eastAsia="Arial" w:hAnsi="Arial" w:cs="Arial"/>
          <w:color w:val="000000" w:themeColor="text1"/>
          <w:sz w:val="22"/>
          <w:szCs w:val="22"/>
        </w:rPr>
      </w:pPr>
      <w:bookmarkStart w:id="9" w:name="_heading=h.sdk2lyypdfx2" w:colFirst="0" w:colLast="0"/>
      <w:bookmarkEnd w:id="9"/>
      <w:r>
        <w:rPr>
          <w:rFonts w:ascii="Arial" w:eastAsia="Arial" w:hAnsi="Arial" w:cs="Arial"/>
          <w:color w:val="000000" w:themeColor="text1"/>
          <w:sz w:val="22"/>
          <w:szCs w:val="22"/>
        </w:rPr>
        <w:t xml:space="preserve">3.1 RACI matrix </w:t>
      </w:r>
    </w:p>
    <w:tbl>
      <w:tblPr>
        <w:tblStyle w:val="Style55"/>
        <w:tblW w:w="9360" w:type="dxa"/>
        <w:jc w:val="center"/>
        <w:tblInd w:w="0" w:type="dxa"/>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Look w:val="04A0" w:firstRow="1" w:lastRow="0" w:firstColumn="1" w:lastColumn="0" w:noHBand="0" w:noVBand="1"/>
      </w:tblPr>
      <w:tblGrid>
        <w:gridCol w:w="1194"/>
        <w:gridCol w:w="820"/>
        <w:gridCol w:w="609"/>
        <w:gridCol w:w="1029"/>
        <w:gridCol w:w="924"/>
        <w:gridCol w:w="971"/>
        <w:gridCol w:w="936"/>
        <w:gridCol w:w="1076"/>
        <w:gridCol w:w="924"/>
        <w:gridCol w:w="877"/>
      </w:tblGrid>
      <w:tr w:rsidR="003D2527" w14:paraId="74FCCB7E" w14:textId="77777777">
        <w:trPr>
          <w:trHeight w:val="585"/>
          <w:jc w:val="center"/>
        </w:trPr>
        <w:tc>
          <w:tcPr>
            <w:tcW w:w="1194"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517A98CE" w14:textId="77777777" w:rsidR="003D2527" w:rsidRDefault="002B1B7E">
            <w:pPr>
              <w:spacing w:line="360" w:lineRule="auto"/>
              <w:jc w:val="center"/>
              <w:rPr>
                <w:b/>
                <w:color w:val="000000" w:themeColor="text1"/>
              </w:rPr>
            </w:pPr>
            <w:r>
              <w:rPr>
                <w:b/>
                <w:color w:val="000000" w:themeColor="text1"/>
              </w:rPr>
              <w:t>Task / Activity</w:t>
            </w:r>
          </w:p>
        </w:tc>
        <w:tc>
          <w:tcPr>
            <w:tcW w:w="820"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6744E79B" w14:textId="77777777" w:rsidR="003D2527" w:rsidRDefault="002B1B7E">
            <w:pPr>
              <w:spacing w:line="360" w:lineRule="auto"/>
              <w:jc w:val="center"/>
              <w:rPr>
                <w:b/>
                <w:color w:val="000000" w:themeColor="text1"/>
              </w:rPr>
            </w:pPr>
            <w:r>
              <w:rPr>
                <w:b/>
                <w:color w:val="000000" w:themeColor="text1"/>
              </w:rPr>
              <w:t>Product Dev</w:t>
            </w:r>
          </w:p>
        </w:tc>
        <w:tc>
          <w:tcPr>
            <w:tcW w:w="609"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59761E2B" w14:textId="77777777" w:rsidR="003D2527" w:rsidRDefault="002B1B7E">
            <w:pPr>
              <w:spacing w:line="360" w:lineRule="auto"/>
              <w:jc w:val="center"/>
              <w:rPr>
                <w:b/>
                <w:color w:val="000000" w:themeColor="text1"/>
              </w:rPr>
            </w:pPr>
            <w:r>
              <w:rPr>
                <w:b/>
                <w:color w:val="000000" w:themeColor="text1"/>
              </w:rPr>
              <w:t>R&amp;D</w:t>
            </w:r>
          </w:p>
        </w:tc>
        <w:tc>
          <w:tcPr>
            <w:tcW w:w="1029"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237030F0" w14:textId="77777777" w:rsidR="003D2527" w:rsidRDefault="002B1B7E">
            <w:pPr>
              <w:spacing w:line="360" w:lineRule="auto"/>
              <w:jc w:val="center"/>
              <w:rPr>
                <w:b/>
                <w:color w:val="000000" w:themeColor="text1"/>
              </w:rPr>
            </w:pPr>
            <w:r>
              <w:rPr>
                <w:b/>
                <w:color w:val="000000" w:themeColor="text1"/>
              </w:rPr>
              <w:t>Marketing &amp; Sales</w:t>
            </w:r>
          </w:p>
        </w:tc>
        <w:tc>
          <w:tcPr>
            <w:tcW w:w="924"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22122E72" w14:textId="77777777" w:rsidR="003D2527" w:rsidRDefault="002B1B7E">
            <w:pPr>
              <w:spacing w:line="360" w:lineRule="auto"/>
              <w:jc w:val="center"/>
              <w:rPr>
                <w:b/>
                <w:color w:val="000000" w:themeColor="text1"/>
              </w:rPr>
            </w:pPr>
            <w:r>
              <w:rPr>
                <w:b/>
                <w:color w:val="000000" w:themeColor="text1"/>
              </w:rPr>
              <w:t>IT &amp; Analytics</w:t>
            </w:r>
          </w:p>
        </w:tc>
        <w:tc>
          <w:tcPr>
            <w:tcW w:w="971"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2E8C9B4A" w14:textId="77777777" w:rsidR="003D2527" w:rsidRDefault="002B1B7E">
            <w:pPr>
              <w:spacing w:line="360" w:lineRule="auto"/>
              <w:jc w:val="center"/>
              <w:rPr>
                <w:b/>
                <w:color w:val="000000" w:themeColor="text1"/>
              </w:rPr>
            </w:pPr>
            <w:r>
              <w:rPr>
                <w:b/>
                <w:color w:val="000000" w:themeColor="text1"/>
              </w:rPr>
              <w:t>Customer Service</w:t>
            </w:r>
          </w:p>
        </w:tc>
        <w:tc>
          <w:tcPr>
            <w:tcW w:w="936"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632E317C" w14:textId="77777777" w:rsidR="003D2527" w:rsidRDefault="002B1B7E">
            <w:pPr>
              <w:spacing w:line="360" w:lineRule="auto"/>
              <w:jc w:val="center"/>
              <w:rPr>
                <w:b/>
                <w:color w:val="000000" w:themeColor="text1"/>
              </w:rPr>
            </w:pPr>
            <w:r>
              <w:rPr>
                <w:b/>
                <w:color w:val="000000" w:themeColor="text1"/>
              </w:rPr>
              <w:t>Suppliers</w:t>
            </w:r>
          </w:p>
        </w:tc>
        <w:tc>
          <w:tcPr>
            <w:tcW w:w="1076"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7E2D4673" w14:textId="77777777" w:rsidR="003D2527" w:rsidRDefault="002B1B7E">
            <w:pPr>
              <w:spacing w:line="360" w:lineRule="auto"/>
              <w:jc w:val="center"/>
              <w:rPr>
                <w:b/>
                <w:color w:val="000000" w:themeColor="text1"/>
              </w:rPr>
            </w:pPr>
            <w:r>
              <w:rPr>
                <w:b/>
                <w:color w:val="000000" w:themeColor="text1"/>
              </w:rPr>
              <w:t>Regulatory Bodies</w:t>
            </w:r>
          </w:p>
        </w:tc>
        <w:tc>
          <w:tcPr>
            <w:tcW w:w="924"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29F492E7" w14:textId="77777777" w:rsidR="003D2527" w:rsidRDefault="002B1B7E">
            <w:pPr>
              <w:spacing w:line="360" w:lineRule="auto"/>
              <w:jc w:val="center"/>
              <w:rPr>
                <w:b/>
                <w:color w:val="000000" w:themeColor="text1"/>
              </w:rPr>
            </w:pPr>
            <w:r>
              <w:rPr>
                <w:b/>
                <w:color w:val="000000" w:themeColor="text1"/>
              </w:rPr>
              <w:t>Investors</w:t>
            </w:r>
          </w:p>
        </w:tc>
        <w:tc>
          <w:tcPr>
            <w:tcW w:w="877"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26B47BC4" w14:textId="77777777" w:rsidR="003D2527" w:rsidRDefault="002B1B7E">
            <w:pPr>
              <w:spacing w:line="360" w:lineRule="auto"/>
              <w:jc w:val="center"/>
              <w:rPr>
                <w:b/>
                <w:color w:val="000000" w:themeColor="text1"/>
              </w:rPr>
            </w:pPr>
            <w:r>
              <w:rPr>
                <w:b/>
                <w:color w:val="000000" w:themeColor="text1"/>
              </w:rPr>
              <w:t>Tech Partners</w:t>
            </w:r>
          </w:p>
        </w:tc>
      </w:tr>
      <w:tr w:rsidR="003D2527" w14:paraId="0681048A" w14:textId="77777777">
        <w:trPr>
          <w:trHeight w:val="585"/>
          <w:jc w:val="center"/>
        </w:trPr>
        <w:tc>
          <w:tcPr>
            <w:tcW w:w="1194"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211790F1" w14:textId="77777777" w:rsidR="003D2527" w:rsidRDefault="002B1B7E">
            <w:pPr>
              <w:spacing w:line="360" w:lineRule="auto"/>
              <w:rPr>
                <w:b/>
                <w:color w:val="000000" w:themeColor="text1"/>
              </w:rPr>
            </w:pPr>
            <w:r>
              <w:rPr>
                <w:b/>
                <w:color w:val="000000" w:themeColor="text1"/>
              </w:rPr>
              <w:t>Design &amp; Development</w:t>
            </w:r>
          </w:p>
        </w:tc>
        <w:tc>
          <w:tcPr>
            <w:tcW w:w="820" w:type="dxa"/>
            <w:tcBorders>
              <w:top w:val="nil"/>
              <w:left w:val="nil"/>
              <w:bottom w:val="single" w:sz="6" w:space="0" w:color="000000"/>
              <w:right w:val="single" w:sz="6" w:space="0" w:color="000000"/>
            </w:tcBorders>
            <w:tcMar>
              <w:top w:w="0" w:type="dxa"/>
              <w:left w:w="100" w:type="dxa"/>
              <w:bottom w:w="0" w:type="dxa"/>
              <w:right w:w="100" w:type="dxa"/>
            </w:tcMar>
          </w:tcPr>
          <w:p w14:paraId="2020443F" w14:textId="77777777" w:rsidR="003D2527" w:rsidRDefault="002B1B7E">
            <w:pPr>
              <w:spacing w:line="360" w:lineRule="auto"/>
              <w:rPr>
                <w:color w:val="000000" w:themeColor="text1"/>
              </w:rPr>
            </w:pPr>
            <w:r>
              <w:rPr>
                <w:color w:val="000000" w:themeColor="text1"/>
              </w:rPr>
              <w:t>R</w:t>
            </w:r>
          </w:p>
        </w:tc>
        <w:tc>
          <w:tcPr>
            <w:tcW w:w="609" w:type="dxa"/>
            <w:tcBorders>
              <w:top w:val="nil"/>
              <w:left w:val="nil"/>
              <w:bottom w:val="single" w:sz="6" w:space="0" w:color="000000"/>
              <w:right w:val="single" w:sz="6" w:space="0" w:color="000000"/>
            </w:tcBorders>
            <w:tcMar>
              <w:top w:w="0" w:type="dxa"/>
              <w:left w:w="100" w:type="dxa"/>
              <w:bottom w:w="0" w:type="dxa"/>
              <w:right w:w="100" w:type="dxa"/>
            </w:tcMar>
          </w:tcPr>
          <w:p w14:paraId="10E6DE6F" w14:textId="77777777" w:rsidR="003D2527" w:rsidRDefault="002B1B7E">
            <w:pPr>
              <w:spacing w:line="360" w:lineRule="auto"/>
              <w:rPr>
                <w:color w:val="000000" w:themeColor="text1"/>
              </w:rPr>
            </w:pPr>
            <w:r>
              <w:rPr>
                <w:color w:val="000000" w:themeColor="text1"/>
              </w:rPr>
              <w:t>A</w:t>
            </w:r>
          </w:p>
        </w:tc>
        <w:tc>
          <w:tcPr>
            <w:tcW w:w="1029" w:type="dxa"/>
            <w:tcBorders>
              <w:top w:val="nil"/>
              <w:left w:val="nil"/>
              <w:bottom w:val="single" w:sz="6" w:space="0" w:color="000000"/>
              <w:right w:val="single" w:sz="6" w:space="0" w:color="000000"/>
            </w:tcBorders>
            <w:tcMar>
              <w:top w:w="0" w:type="dxa"/>
              <w:left w:w="100" w:type="dxa"/>
              <w:bottom w:w="0" w:type="dxa"/>
              <w:right w:w="100" w:type="dxa"/>
            </w:tcMar>
          </w:tcPr>
          <w:p w14:paraId="03F00EFC" w14:textId="77777777" w:rsidR="003D2527" w:rsidRDefault="002B1B7E">
            <w:pPr>
              <w:spacing w:line="360" w:lineRule="auto"/>
              <w:rPr>
                <w:color w:val="000000" w:themeColor="text1"/>
              </w:rPr>
            </w:pPr>
            <w:r>
              <w:rPr>
                <w:color w:val="000000" w:themeColor="text1"/>
              </w:rPr>
              <w:t>C</w:t>
            </w:r>
          </w:p>
        </w:tc>
        <w:tc>
          <w:tcPr>
            <w:tcW w:w="924" w:type="dxa"/>
            <w:tcBorders>
              <w:top w:val="nil"/>
              <w:left w:val="nil"/>
              <w:bottom w:val="single" w:sz="6" w:space="0" w:color="000000"/>
              <w:right w:val="single" w:sz="6" w:space="0" w:color="000000"/>
            </w:tcBorders>
            <w:tcMar>
              <w:top w:w="0" w:type="dxa"/>
              <w:left w:w="100" w:type="dxa"/>
              <w:bottom w:w="0" w:type="dxa"/>
              <w:right w:w="100" w:type="dxa"/>
            </w:tcMar>
          </w:tcPr>
          <w:p w14:paraId="2B7B980A" w14:textId="77777777" w:rsidR="003D2527" w:rsidRDefault="002B1B7E">
            <w:pPr>
              <w:spacing w:line="360" w:lineRule="auto"/>
              <w:rPr>
                <w:color w:val="000000" w:themeColor="text1"/>
              </w:rPr>
            </w:pPr>
            <w:r>
              <w:rPr>
                <w:color w:val="000000" w:themeColor="text1"/>
              </w:rPr>
              <w:t>C</w:t>
            </w:r>
          </w:p>
        </w:tc>
        <w:tc>
          <w:tcPr>
            <w:tcW w:w="971" w:type="dxa"/>
            <w:tcBorders>
              <w:top w:val="nil"/>
              <w:left w:val="nil"/>
              <w:bottom w:val="single" w:sz="6" w:space="0" w:color="000000"/>
              <w:right w:val="single" w:sz="6" w:space="0" w:color="000000"/>
            </w:tcBorders>
            <w:tcMar>
              <w:top w:w="0" w:type="dxa"/>
              <w:left w:w="100" w:type="dxa"/>
              <w:bottom w:w="0" w:type="dxa"/>
              <w:right w:w="100" w:type="dxa"/>
            </w:tcMar>
          </w:tcPr>
          <w:p w14:paraId="3F847DD7" w14:textId="77777777" w:rsidR="003D2527" w:rsidRDefault="002B1B7E">
            <w:pPr>
              <w:spacing w:line="360" w:lineRule="auto"/>
              <w:rPr>
                <w:color w:val="000000" w:themeColor="text1"/>
              </w:rPr>
            </w:pPr>
            <w:r>
              <w:rPr>
                <w:color w:val="000000" w:themeColor="text1"/>
              </w:rPr>
              <w:t>I</w:t>
            </w:r>
          </w:p>
        </w:tc>
        <w:tc>
          <w:tcPr>
            <w:tcW w:w="936" w:type="dxa"/>
            <w:tcBorders>
              <w:top w:val="nil"/>
              <w:left w:val="nil"/>
              <w:bottom w:val="single" w:sz="6" w:space="0" w:color="000000"/>
              <w:right w:val="single" w:sz="6" w:space="0" w:color="000000"/>
            </w:tcBorders>
            <w:tcMar>
              <w:top w:w="0" w:type="dxa"/>
              <w:left w:w="100" w:type="dxa"/>
              <w:bottom w:w="0" w:type="dxa"/>
              <w:right w:w="100" w:type="dxa"/>
            </w:tcMar>
          </w:tcPr>
          <w:p w14:paraId="58DC8283" w14:textId="77777777" w:rsidR="003D2527" w:rsidRDefault="002B1B7E">
            <w:pPr>
              <w:spacing w:line="360" w:lineRule="auto"/>
              <w:rPr>
                <w:color w:val="000000" w:themeColor="text1"/>
              </w:rPr>
            </w:pPr>
            <w:r>
              <w:rPr>
                <w:color w:val="000000" w:themeColor="text1"/>
              </w:rPr>
              <w:t>C</w:t>
            </w:r>
          </w:p>
        </w:tc>
        <w:tc>
          <w:tcPr>
            <w:tcW w:w="1076" w:type="dxa"/>
            <w:tcBorders>
              <w:top w:val="nil"/>
              <w:left w:val="nil"/>
              <w:bottom w:val="single" w:sz="6" w:space="0" w:color="000000"/>
              <w:right w:val="single" w:sz="6" w:space="0" w:color="000000"/>
            </w:tcBorders>
            <w:tcMar>
              <w:top w:w="0" w:type="dxa"/>
              <w:left w:w="100" w:type="dxa"/>
              <w:bottom w:w="0" w:type="dxa"/>
              <w:right w:w="100" w:type="dxa"/>
            </w:tcMar>
          </w:tcPr>
          <w:p w14:paraId="1E87BA87" w14:textId="77777777" w:rsidR="003D2527" w:rsidRDefault="002B1B7E">
            <w:pPr>
              <w:spacing w:line="360" w:lineRule="auto"/>
              <w:rPr>
                <w:color w:val="000000" w:themeColor="text1"/>
              </w:rPr>
            </w:pPr>
            <w:r>
              <w:rPr>
                <w:color w:val="000000" w:themeColor="text1"/>
              </w:rPr>
              <w:t>I</w:t>
            </w:r>
          </w:p>
        </w:tc>
        <w:tc>
          <w:tcPr>
            <w:tcW w:w="924" w:type="dxa"/>
            <w:tcBorders>
              <w:top w:val="nil"/>
              <w:left w:val="nil"/>
              <w:bottom w:val="single" w:sz="6" w:space="0" w:color="000000"/>
              <w:right w:val="single" w:sz="6" w:space="0" w:color="000000"/>
            </w:tcBorders>
            <w:tcMar>
              <w:top w:w="0" w:type="dxa"/>
              <w:left w:w="100" w:type="dxa"/>
              <w:bottom w:w="0" w:type="dxa"/>
              <w:right w:w="100" w:type="dxa"/>
            </w:tcMar>
          </w:tcPr>
          <w:p w14:paraId="580B85D6" w14:textId="77777777" w:rsidR="003D2527" w:rsidRDefault="002B1B7E">
            <w:pPr>
              <w:spacing w:line="360" w:lineRule="auto"/>
              <w:rPr>
                <w:color w:val="000000" w:themeColor="text1"/>
              </w:rPr>
            </w:pPr>
            <w:r>
              <w:rPr>
                <w:color w:val="000000" w:themeColor="text1"/>
              </w:rPr>
              <w:t>I</w:t>
            </w:r>
          </w:p>
        </w:tc>
        <w:tc>
          <w:tcPr>
            <w:tcW w:w="877" w:type="dxa"/>
            <w:tcBorders>
              <w:top w:val="nil"/>
              <w:left w:val="nil"/>
              <w:bottom w:val="single" w:sz="6" w:space="0" w:color="000000"/>
              <w:right w:val="single" w:sz="6" w:space="0" w:color="000000"/>
            </w:tcBorders>
            <w:tcMar>
              <w:top w:w="0" w:type="dxa"/>
              <w:left w:w="100" w:type="dxa"/>
              <w:bottom w:w="0" w:type="dxa"/>
              <w:right w:w="100" w:type="dxa"/>
            </w:tcMar>
          </w:tcPr>
          <w:p w14:paraId="4D1A56CE" w14:textId="77777777" w:rsidR="003D2527" w:rsidRDefault="002B1B7E">
            <w:pPr>
              <w:spacing w:line="360" w:lineRule="auto"/>
              <w:rPr>
                <w:color w:val="000000" w:themeColor="text1"/>
              </w:rPr>
            </w:pPr>
            <w:r>
              <w:rPr>
                <w:color w:val="000000" w:themeColor="text1"/>
              </w:rPr>
              <w:t>C</w:t>
            </w:r>
          </w:p>
        </w:tc>
      </w:tr>
      <w:tr w:rsidR="003D2527" w14:paraId="3397F3A4" w14:textId="77777777">
        <w:trPr>
          <w:trHeight w:val="585"/>
          <w:jc w:val="center"/>
        </w:trPr>
        <w:tc>
          <w:tcPr>
            <w:tcW w:w="1194"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1E97E499" w14:textId="77777777" w:rsidR="003D2527" w:rsidRDefault="002B1B7E">
            <w:pPr>
              <w:spacing w:line="360" w:lineRule="auto"/>
              <w:rPr>
                <w:b/>
                <w:color w:val="000000" w:themeColor="text1"/>
              </w:rPr>
            </w:pPr>
            <w:r>
              <w:rPr>
                <w:b/>
                <w:color w:val="000000" w:themeColor="text1"/>
              </w:rPr>
              <w:t>Feasibility &amp; Testing</w:t>
            </w:r>
          </w:p>
        </w:tc>
        <w:tc>
          <w:tcPr>
            <w:tcW w:w="820" w:type="dxa"/>
            <w:tcBorders>
              <w:top w:val="nil"/>
              <w:left w:val="nil"/>
              <w:bottom w:val="single" w:sz="6" w:space="0" w:color="000000"/>
              <w:right w:val="single" w:sz="6" w:space="0" w:color="000000"/>
            </w:tcBorders>
            <w:tcMar>
              <w:top w:w="0" w:type="dxa"/>
              <w:left w:w="100" w:type="dxa"/>
              <w:bottom w:w="0" w:type="dxa"/>
              <w:right w:w="100" w:type="dxa"/>
            </w:tcMar>
          </w:tcPr>
          <w:p w14:paraId="4429797B" w14:textId="77777777" w:rsidR="003D2527" w:rsidRDefault="002B1B7E">
            <w:pPr>
              <w:spacing w:line="360" w:lineRule="auto"/>
              <w:rPr>
                <w:color w:val="000000" w:themeColor="text1"/>
              </w:rPr>
            </w:pPr>
            <w:r>
              <w:rPr>
                <w:color w:val="000000" w:themeColor="text1"/>
              </w:rPr>
              <w:t>C</w:t>
            </w:r>
          </w:p>
        </w:tc>
        <w:tc>
          <w:tcPr>
            <w:tcW w:w="609" w:type="dxa"/>
            <w:tcBorders>
              <w:top w:val="nil"/>
              <w:left w:val="nil"/>
              <w:bottom w:val="single" w:sz="6" w:space="0" w:color="000000"/>
              <w:right w:val="single" w:sz="6" w:space="0" w:color="000000"/>
            </w:tcBorders>
            <w:tcMar>
              <w:top w:w="0" w:type="dxa"/>
              <w:left w:w="100" w:type="dxa"/>
              <w:bottom w:w="0" w:type="dxa"/>
              <w:right w:w="100" w:type="dxa"/>
            </w:tcMar>
          </w:tcPr>
          <w:p w14:paraId="06262A7F" w14:textId="77777777" w:rsidR="003D2527" w:rsidRDefault="002B1B7E">
            <w:pPr>
              <w:spacing w:line="360" w:lineRule="auto"/>
              <w:rPr>
                <w:color w:val="000000" w:themeColor="text1"/>
              </w:rPr>
            </w:pPr>
            <w:r>
              <w:rPr>
                <w:color w:val="000000" w:themeColor="text1"/>
              </w:rPr>
              <w:t>R/A</w:t>
            </w:r>
          </w:p>
        </w:tc>
        <w:tc>
          <w:tcPr>
            <w:tcW w:w="1029" w:type="dxa"/>
            <w:tcBorders>
              <w:top w:val="nil"/>
              <w:left w:val="nil"/>
              <w:bottom w:val="single" w:sz="6" w:space="0" w:color="000000"/>
              <w:right w:val="single" w:sz="6" w:space="0" w:color="000000"/>
            </w:tcBorders>
            <w:tcMar>
              <w:top w:w="0" w:type="dxa"/>
              <w:left w:w="100" w:type="dxa"/>
              <w:bottom w:w="0" w:type="dxa"/>
              <w:right w:w="100" w:type="dxa"/>
            </w:tcMar>
          </w:tcPr>
          <w:p w14:paraId="0138F034" w14:textId="77777777" w:rsidR="003D2527" w:rsidRDefault="002B1B7E">
            <w:pPr>
              <w:spacing w:line="360" w:lineRule="auto"/>
              <w:rPr>
                <w:color w:val="000000" w:themeColor="text1"/>
              </w:rPr>
            </w:pPr>
            <w:r>
              <w:rPr>
                <w:color w:val="000000" w:themeColor="text1"/>
              </w:rPr>
              <w:t>I</w:t>
            </w:r>
          </w:p>
        </w:tc>
        <w:tc>
          <w:tcPr>
            <w:tcW w:w="924" w:type="dxa"/>
            <w:tcBorders>
              <w:top w:val="nil"/>
              <w:left w:val="nil"/>
              <w:bottom w:val="single" w:sz="6" w:space="0" w:color="000000"/>
              <w:right w:val="single" w:sz="6" w:space="0" w:color="000000"/>
            </w:tcBorders>
            <w:tcMar>
              <w:top w:w="0" w:type="dxa"/>
              <w:left w:w="100" w:type="dxa"/>
              <w:bottom w:w="0" w:type="dxa"/>
              <w:right w:w="100" w:type="dxa"/>
            </w:tcMar>
          </w:tcPr>
          <w:p w14:paraId="0063B8DC" w14:textId="77777777" w:rsidR="003D2527" w:rsidRDefault="002B1B7E">
            <w:pPr>
              <w:spacing w:line="360" w:lineRule="auto"/>
              <w:rPr>
                <w:color w:val="000000" w:themeColor="text1"/>
              </w:rPr>
            </w:pPr>
            <w:r>
              <w:rPr>
                <w:color w:val="000000" w:themeColor="text1"/>
              </w:rPr>
              <w:t>C</w:t>
            </w:r>
          </w:p>
        </w:tc>
        <w:tc>
          <w:tcPr>
            <w:tcW w:w="971" w:type="dxa"/>
            <w:tcBorders>
              <w:top w:val="nil"/>
              <w:left w:val="nil"/>
              <w:bottom w:val="single" w:sz="6" w:space="0" w:color="000000"/>
              <w:right w:val="single" w:sz="6" w:space="0" w:color="000000"/>
            </w:tcBorders>
            <w:tcMar>
              <w:top w:w="0" w:type="dxa"/>
              <w:left w:w="100" w:type="dxa"/>
              <w:bottom w:w="0" w:type="dxa"/>
              <w:right w:w="100" w:type="dxa"/>
            </w:tcMar>
          </w:tcPr>
          <w:p w14:paraId="0CB78BB8" w14:textId="77777777" w:rsidR="003D2527" w:rsidRDefault="002B1B7E">
            <w:pPr>
              <w:spacing w:line="360" w:lineRule="auto"/>
              <w:rPr>
                <w:color w:val="000000" w:themeColor="text1"/>
              </w:rPr>
            </w:pPr>
            <w:r>
              <w:rPr>
                <w:color w:val="000000" w:themeColor="text1"/>
              </w:rPr>
              <w:t>I</w:t>
            </w:r>
          </w:p>
        </w:tc>
        <w:tc>
          <w:tcPr>
            <w:tcW w:w="936" w:type="dxa"/>
            <w:tcBorders>
              <w:top w:val="nil"/>
              <w:left w:val="nil"/>
              <w:bottom w:val="single" w:sz="6" w:space="0" w:color="000000"/>
              <w:right w:val="single" w:sz="6" w:space="0" w:color="000000"/>
            </w:tcBorders>
            <w:tcMar>
              <w:top w:w="0" w:type="dxa"/>
              <w:left w:w="100" w:type="dxa"/>
              <w:bottom w:w="0" w:type="dxa"/>
              <w:right w:w="100" w:type="dxa"/>
            </w:tcMar>
          </w:tcPr>
          <w:p w14:paraId="7877CEDE" w14:textId="77777777" w:rsidR="003D2527" w:rsidRDefault="002B1B7E">
            <w:pPr>
              <w:spacing w:line="360" w:lineRule="auto"/>
              <w:rPr>
                <w:color w:val="000000" w:themeColor="text1"/>
              </w:rPr>
            </w:pPr>
            <w:r>
              <w:rPr>
                <w:color w:val="000000" w:themeColor="text1"/>
              </w:rPr>
              <w:t>I</w:t>
            </w:r>
          </w:p>
        </w:tc>
        <w:tc>
          <w:tcPr>
            <w:tcW w:w="1076" w:type="dxa"/>
            <w:tcBorders>
              <w:top w:val="nil"/>
              <w:left w:val="nil"/>
              <w:bottom w:val="single" w:sz="6" w:space="0" w:color="000000"/>
              <w:right w:val="single" w:sz="6" w:space="0" w:color="000000"/>
            </w:tcBorders>
            <w:tcMar>
              <w:top w:w="0" w:type="dxa"/>
              <w:left w:w="100" w:type="dxa"/>
              <w:bottom w:w="0" w:type="dxa"/>
              <w:right w:w="100" w:type="dxa"/>
            </w:tcMar>
          </w:tcPr>
          <w:p w14:paraId="274817DB" w14:textId="77777777" w:rsidR="003D2527" w:rsidRDefault="002B1B7E">
            <w:pPr>
              <w:spacing w:line="360" w:lineRule="auto"/>
              <w:rPr>
                <w:color w:val="000000" w:themeColor="text1"/>
              </w:rPr>
            </w:pPr>
            <w:r>
              <w:rPr>
                <w:color w:val="000000" w:themeColor="text1"/>
              </w:rPr>
              <w:t>C</w:t>
            </w:r>
          </w:p>
        </w:tc>
        <w:tc>
          <w:tcPr>
            <w:tcW w:w="924" w:type="dxa"/>
            <w:tcBorders>
              <w:top w:val="nil"/>
              <w:left w:val="nil"/>
              <w:bottom w:val="single" w:sz="6" w:space="0" w:color="000000"/>
              <w:right w:val="single" w:sz="6" w:space="0" w:color="000000"/>
            </w:tcBorders>
            <w:tcMar>
              <w:top w:w="0" w:type="dxa"/>
              <w:left w:w="100" w:type="dxa"/>
              <w:bottom w:w="0" w:type="dxa"/>
              <w:right w:w="100" w:type="dxa"/>
            </w:tcMar>
          </w:tcPr>
          <w:p w14:paraId="13C7F41E" w14:textId="77777777" w:rsidR="003D2527" w:rsidRDefault="002B1B7E">
            <w:pPr>
              <w:spacing w:line="360" w:lineRule="auto"/>
              <w:rPr>
                <w:color w:val="000000" w:themeColor="text1"/>
              </w:rPr>
            </w:pPr>
            <w:r>
              <w:rPr>
                <w:color w:val="000000" w:themeColor="text1"/>
              </w:rPr>
              <w:t>I</w:t>
            </w:r>
          </w:p>
        </w:tc>
        <w:tc>
          <w:tcPr>
            <w:tcW w:w="877" w:type="dxa"/>
            <w:tcBorders>
              <w:top w:val="nil"/>
              <w:left w:val="nil"/>
              <w:bottom w:val="single" w:sz="6" w:space="0" w:color="000000"/>
              <w:right w:val="single" w:sz="6" w:space="0" w:color="000000"/>
            </w:tcBorders>
            <w:tcMar>
              <w:top w:w="0" w:type="dxa"/>
              <w:left w:w="100" w:type="dxa"/>
              <w:bottom w:w="0" w:type="dxa"/>
              <w:right w:w="100" w:type="dxa"/>
            </w:tcMar>
          </w:tcPr>
          <w:p w14:paraId="78ECE847" w14:textId="77777777" w:rsidR="003D2527" w:rsidRDefault="002B1B7E">
            <w:pPr>
              <w:spacing w:line="360" w:lineRule="auto"/>
              <w:rPr>
                <w:color w:val="000000" w:themeColor="text1"/>
              </w:rPr>
            </w:pPr>
            <w:r>
              <w:rPr>
                <w:color w:val="000000" w:themeColor="text1"/>
              </w:rPr>
              <w:t>C</w:t>
            </w:r>
          </w:p>
        </w:tc>
      </w:tr>
      <w:tr w:rsidR="003D2527" w14:paraId="70D95E4F" w14:textId="77777777">
        <w:trPr>
          <w:trHeight w:val="585"/>
          <w:jc w:val="center"/>
        </w:trPr>
        <w:tc>
          <w:tcPr>
            <w:tcW w:w="1194"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676A9A31" w14:textId="77777777" w:rsidR="003D2527" w:rsidRDefault="002B1B7E">
            <w:pPr>
              <w:spacing w:line="360" w:lineRule="auto"/>
              <w:rPr>
                <w:b/>
                <w:color w:val="000000" w:themeColor="text1"/>
              </w:rPr>
            </w:pPr>
            <w:r>
              <w:rPr>
                <w:b/>
                <w:color w:val="000000" w:themeColor="text1"/>
              </w:rPr>
              <w:t>Marketing &amp; Launch</w:t>
            </w:r>
          </w:p>
        </w:tc>
        <w:tc>
          <w:tcPr>
            <w:tcW w:w="820" w:type="dxa"/>
            <w:tcBorders>
              <w:top w:val="nil"/>
              <w:left w:val="nil"/>
              <w:bottom w:val="single" w:sz="6" w:space="0" w:color="000000"/>
              <w:right w:val="single" w:sz="6" w:space="0" w:color="000000"/>
            </w:tcBorders>
            <w:tcMar>
              <w:top w:w="0" w:type="dxa"/>
              <w:left w:w="100" w:type="dxa"/>
              <w:bottom w:w="0" w:type="dxa"/>
              <w:right w:w="100" w:type="dxa"/>
            </w:tcMar>
          </w:tcPr>
          <w:p w14:paraId="7FAA2BCE" w14:textId="77777777" w:rsidR="003D2527" w:rsidRDefault="002B1B7E">
            <w:pPr>
              <w:spacing w:line="360" w:lineRule="auto"/>
              <w:rPr>
                <w:color w:val="000000" w:themeColor="text1"/>
              </w:rPr>
            </w:pPr>
            <w:r>
              <w:rPr>
                <w:color w:val="000000" w:themeColor="text1"/>
              </w:rPr>
              <w:t>I</w:t>
            </w:r>
          </w:p>
        </w:tc>
        <w:tc>
          <w:tcPr>
            <w:tcW w:w="609" w:type="dxa"/>
            <w:tcBorders>
              <w:top w:val="nil"/>
              <w:left w:val="nil"/>
              <w:bottom w:val="single" w:sz="6" w:space="0" w:color="000000"/>
              <w:right w:val="single" w:sz="6" w:space="0" w:color="000000"/>
            </w:tcBorders>
            <w:tcMar>
              <w:top w:w="0" w:type="dxa"/>
              <w:left w:w="100" w:type="dxa"/>
              <w:bottom w:w="0" w:type="dxa"/>
              <w:right w:w="100" w:type="dxa"/>
            </w:tcMar>
          </w:tcPr>
          <w:p w14:paraId="3E5F6E27" w14:textId="77777777" w:rsidR="003D2527" w:rsidRDefault="002B1B7E">
            <w:pPr>
              <w:spacing w:line="360" w:lineRule="auto"/>
              <w:rPr>
                <w:color w:val="000000" w:themeColor="text1"/>
              </w:rPr>
            </w:pPr>
            <w:r>
              <w:rPr>
                <w:color w:val="000000" w:themeColor="text1"/>
              </w:rPr>
              <w:t>I</w:t>
            </w:r>
          </w:p>
        </w:tc>
        <w:tc>
          <w:tcPr>
            <w:tcW w:w="1029" w:type="dxa"/>
            <w:tcBorders>
              <w:top w:val="nil"/>
              <w:left w:val="nil"/>
              <w:bottom w:val="single" w:sz="6" w:space="0" w:color="000000"/>
              <w:right w:val="single" w:sz="6" w:space="0" w:color="000000"/>
            </w:tcBorders>
            <w:tcMar>
              <w:top w:w="0" w:type="dxa"/>
              <w:left w:w="100" w:type="dxa"/>
              <w:bottom w:w="0" w:type="dxa"/>
              <w:right w:w="100" w:type="dxa"/>
            </w:tcMar>
          </w:tcPr>
          <w:p w14:paraId="6E11B2CB" w14:textId="77777777" w:rsidR="003D2527" w:rsidRDefault="002B1B7E">
            <w:pPr>
              <w:spacing w:line="360" w:lineRule="auto"/>
              <w:rPr>
                <w:color w:val="000000" w:themeColor="text1"/>
              </w:rPr>
            </w:pPr>
            <w:r>
              <w:rPr>
                <w:color w:val="000000" w:themeColor="text1"/>
              </w:rPr>
              <w:t>R/A</w:t>
            </w:r>
          </w:p>
        </w:tc>
        <w:tc>
          <w:tcPr>
            <w:tcW w:w="924" w:type="dxa"/>
            <w:tcBorders>
              <w:top w:val="nil"/>
              <w:left w:val="nil"/>
              <w:bottom w:val="single" w:sz="6" w:space="0" w:color="000000"/>
              <w:right w:val="single" w:sz="6" w:space="0" w:color="000000"/>
            </w:tcBorders>
            <w:tcMar>
              <w:top w:w="0" w:type="dxa"/>
              <w:left w:w="100" w:type="dxa"/>
              <w:bottom w:w="0" w:type="dxa"/>
              <w:right w:w="100" w:type="dxa"/>
            </w:tcMar>
          </w:tcPr>
          <w:p w14:paraId="380513C7" w14:textId="77777777" w:rsidR="003D2527" w:rsidRDefault="002B1B7E">
            <w:pPr>
              <w:spacing w:line="360" w:lineRule="auto"/>
              <w:rPr>
                <w:color w:val="000000" w:themeColor="text1"/>
              </w:rPr>
            </w:pPr>
            <w:r>
              <w:rPr>
                <w:color w:val="000000" w:themeColor="text1"/>
              </w:rPr>
              <w:t>C</w:t>
            </w:r>
          </w:p>
        </w:tc>
        <w:tc>
          <w:tcPr>
            <w:tcW w:w="971" w:type="dxa"/>
            <w:tcBorders>
              <w:top w:val="nil"/>
              <w:left w:val="nil"/>
              <w:bottom w:val="single" w:sz="6" w:space="0" w:color="000000"/>
              <w:right w:val="single" w:sz="6" w:space="0" w:color="000000"/>
            </w:tcBorders>
            <w:tcMar>
              <w:top w:w="0" w:type="dxa"/>
              <w:left w:w="100" w:type="dxa"/>
              <w:bottom w:w="0" w:type="dxa"/>
              <w:right w:w="100" w:type="dxa"/>
            </w:tcMar>
          </w:tcPr>
          <w:p w14:paraId="35D480DA" w14:textId="77777777" w:rsidR="003D2527" w:rsidRDefault="002B1B7E">
            <w:pPr>
              <w:spacing w:line="360" w:lineRule="auto"/>
              <w:rPr>
                <w:color w:val="000000" w:themeColor="text1"/>
              </w:rPr>
            </w:pPr>
            <w:r>
              <w:rPr>
                <w:color w:val="000000" w:themeColor="text1"/>
              </w:rPr>
              <w:t>I</w:t>
            </w:r>
          </w:p>
        </w:tc>
        <w:tc>
          <w:tcPr>
            <w:tcW w:w="936" w:type="dxa"/>
            <w:tcBorders>
              <w:top w:val="nil"/>
              <w:left w:val="nil"/>
              <w:bottom w:val="single" w:sz="6" w:space="0" w:color="000000"/>
              <w:right w:val="single" w:sz="6" w:space="0" w:color="000000"/>
            </w:tcBorders>
            <w:tcMar>
              <w:top w:w="0" w:type="dxa"/>
              <w:left w:w="100" w:type="dxa"/>
              <w:bottom w:w="0" w:type="dxa"/>
              <w:right w:w="100" w:type="dxa"/>
            </w:tcMar>
          </w:tcPr>
          <w:p w14:paraId="345FF094" w14:textId="77777777" w:rsidR="003D2527" w:rsidRDefault="002B1B7E">
            <w:pPr>
              <w:spacing w:line="360" w:lineRule="auto"/>
              <w:rPr>
                <w:color w:val="000000" w:themeColor="text1"/>
              </w:rPr>
            </w:pPr>
            <w:r>
              <w:rPr>
                <w:color w:val="000000" w:themeColor="text1"/>
              </w:rPr>
              <w:t>I</w:t>
            </w:r>
          </w:p>
        </w:tc>
        <w:tc>
          <w:tcPr>
            <w:tcW w:w="1076" w:type="dxa"/>
            <w:tcBorders>
              <w:top w:val="nil"/>
              <w:left w:val="nil"/>
              <w:bottom w:val="single" w:sz="6" w:space="0" w:color="000000"/>
              <w:right w:val="single" w:sz="6" w:space="0" w:color="000000"/>
            </w:tcBorders>
            <w:tcMar>
              <w:top w:w="0" w:type="dxa"/>
              <w:left w:w="100" w:type="dxa"/>
              <w:bottom w:w="0" w:type="dxa"/>
              <w:right w:w="100" w:type="dxa"/>
            </w:tcMar>
          </w:tcPr>
          <w:p w14:paraId="5F9D3F3F" w14:textId="77777777" w:rsidR="003D2527" w:rsidRDefault="002B1B7E">
            <w:pPr>
              <w:spacing w:line="360" w:lineRule="auto"/>
              <w:rPr>
                <w:color w:val="000000" w:themeColor="text1"/>
              </w:rPr>
            </w:pPr>
            <w:r>
              <w:rPr>
                <w:color w:val="000000" w:themeColor="text1"/>
              </w:rPr>
              <w:t>I</w:t>
            </w:r>
          </w:p>
        </w:tc>
        <w:tc>
          <w:tcPr>
            <w:tcW w:w="924" w:type="dxa"/>
            <w:tcBorders>
              <w:top w:val="nil"/>
              <w:left w:val="nil"/>
              <w:bottom w:val="single" w:sz="6" w:space="0" w:color="000000"/>
              <w:right w:val="single" w:sz="6" w:space="0" w:color="000000"/>
            </w:tcBorders>
            <w:tcMar>
              <w:top w:w="0" w:type="dxa"/>
              <w:left w:w="100" w:type="dxa"/>
              <w:bottom w:w="0" w:type="dxa"/>
              <w:right w:w="100" w:type="dxa"/>
            </w:tcMar>
          </w:tcPr>
          <w:p w14:paraId="2E9039CA" w14:textId="77777777" w:rsidR="003D2527" w:rsidRDefault="002B1B7E">
            <w:pPr>
              <w:spacing w:line="360" w:lineRule="auto"/>
              <w:rPr>
                <w:color w:val="000000" w:themeColor="text1"/>
              </w:rPr>
            </w:pPr>
            <w:r>
              <w:rPr>
                <w:color w:val="000000" w:themeColor="text1"/>
              </w:rPr>
              <w:t>C</w:t>
            </w:r>
          </w:p>
        </w:tc>
        <w:tc>
          <w:tcPr>
            <w:tcW w:w="877" w:type="dxa"/>
            <w:tcBorders>
              <w:top w:val="nil"/>
              <w:left w:val="nil"/>
              <w:bottom w:val="single" w:sz="6" w:space="0" w:color="000000"/>
              <w:right w:val="single" w:sz="6" w:space="0" w:color="000000"/>
            </w:tcBorders>
            <w:tcMar>
              <w:top w:w="0" w:type="dxa"/>
              <w:left w:w="100" w:type="dxa"/>
              <w:bottom w:w="0" w:type="dxa"/>
              <w:right w:w="100" w:type="dxa"/>
            </w:tcMar>
          </w:tcPr>
          <w:p w14:paraId="6E05D56B" w14:textId="77777777" w:rsidR="003D2527" w:rsidRDefault="002B1B7E">
            <w:pPr>
              <w:spacing w:line="360" w:lineRule="auto"/>
              <w:rPr>
                <w:color w:val="000000" w:themeColor="text1"/>
              </w:rPr>
            </w:pPr>
            <w:r>
              <w:rPr>
                <w:color w:val="000000" w:themeColor="text1"/>
              </w:rPr>
              <w:t>C</w:t>
            </w:r>
          </w:p>
        </w:tc>
      </w:tr>
      <w:tr w:rsidR="003D2527" w14:paraId="1B022AAB" w14:textId="77777777">
        <w:trPr>
          <w:trHeight w:val="585"/>
          <w:jc w:val="center"/>
        </w:trPr>
        <w:tc>
          <w:tcPr>
            <w:tcW w:w="1194"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5E03E107" w14:textId="77777777" w:rsidR="003D2527" w:rsidRDefault="002B1B7E">
            <w:pPr>
              <w:spacing w:line="360" w:lineRule="auto"/>
              <w:rPr>
                <w:b/>
                <w:color w:val="000000" w:themeColor="text1"/>
              </w:rPr>
            </w:pPr>
            <w:r>
              <w:rPr>
                <w:b/>
                <w:color w:val="000000" w:themeColor="text1"/>
              </w:rPr>
              <w:t>Data Management</w:t>
            </w:r>
          </w:p>
        </w:tc>
        <w:tc>
          <w:tcPr>
            <w:tcW w:w="820" w:type="dxa"/>
            <w:tcBorders>
              <w:top w:val="nil"/>
              <w:left w:val="nil"/>
              <w:bottom w:val="single" w:sz="6" w:space="0" w:color="000000"/>
              <w:right w:val="single" w:sz="6" w:space="0" w:color="000000"/>
            </w:tcBorders>
            <w:tcMar>
              <w:top w:w="0" w:type="dxa"/>
              <w:left w:w="100" w:type="dxa"/>
              <w:bottom w:w="0" w:type="dxa"/>
              <w:right w:w="100" w:type="dxa"/>
            </w:tcMar>
          </w:tcPr>
          <w:p w14:paraId="55DCABC6" w14:textId="77777777" w:rsidR="003D2527" w:rsidRDefault="002B1B7E">
            <w:pPr>
              <w:spacing w:line="360" w:lineRule="auto"/>
              <w:rPr>
                <w:color w:val="000000" w:themeColor="text1"/>
              </w:rPr>
            </w:pPr>
            <w:r>
              <w:rPr>
                <w:color w:val="000000" w:themeColor="text1"/>
              </w:rPr>
              <w:t>I</w:t>
            </w:r>
          </w:p>
        </w:tc>
        <w:tc>
          <w:tcPr>
            <w:tcW w:w="609" w:type="dxa"/>
            <w:tcBorders>
              <w:top w:val="nil"/>
              <w:left w:val="nil"/>
              <w:bottom w:val="single" w:sz="6" w:space="0" w:color="000000"/>
              <w:right w:val="single" w:sz="6" w:space="0" w:color="000000"/>
            </w:tcBorders>
            <w:tcMar>
              <w:top w:w="0" w:type="dxa"/>
              <w:left w:w="100" w:type="dxa"/>
              <w:bottom w:w="0" w:type="dxa"/>
              <w:right w:w="100" w:type="dxa"/>
            </w:tcMar>
          </w:tcPr>
          <w:p w14:paraId="0DB6A9CB" w14:textId="77777777" w:rsidR="003D2527" w:rsidRDefault="002B1B7E">
            <w:pPr>
              <w:spacing w:line="360" w:lineRule="auto"/>
              <w:rPr>
                <w:color w:val="000000" w:themeColor="text1"/>
              </w:rPr>
            </w:pPr>
            <w:r>
              <w:rPr>
                <w:color w:val="000000" w:themeColor="text1"/>
              </w:rPr>
              <w:t>I</w:t>
            </w:r>
          </w:p>
        </w:tc>
        <w:tc>
          <w:tcPr>
            <w:tcW w:w="1029" w:type="dxa"/>
            <w:tcBorders>
              <w:top w:val="nil"/>
              <w:left w:val="nil"/>
              <w:bottom w:val="single" w:sz="6" w:space="0" w:color="000000"/>
              <w:right w:val="single" w:sz="6" w:space="0" w:color="000000"/>
            </w:tcBorders>
            <w:tcMar>
              <w:top w:w="0" w:type="dxa"/>
              <w:left w:w="100" w:type="dxa"/>
              <w:bottom w:w="0" w:type="dxa"/>
              <w:right w:w="100" w:type="dxa"/>
            </w:tcMar>
          </w:tcPr>
          <w:p w14:paraId="339C8293" w14:textId="77777777" w:rsidR="003D2527" w:rsidRDefault="002B1B7E">
            <w:pPr>
              <w:spacing w:line="360" w:lineRule="auto"/>
              <w:rPr>
                <w:color w:val="000000" w:themeColor="text1"/>
              </w:rPr>
            </w:pPr>
            <w:r>
              <w:rPr>
                <w:color w:val="000000" w:themeColor="text1"/>
              </w:rPr>
              <w:t>C</w:t>
            </w:r>
          </w:p>
        </w:tc>
        <w:tc>
          <w:tcPr>
            <w:tcW w:w="924" w:type="dxa"/>
            <w:tcBorders>
              <w:top w:val="nil"/>
              <w:left w:val="nil"/>
              <w:bottom w:val="single" w:sz="6" w:space="0" w:color="000000"/>
              <w:right w:val="single" w:sz="6" w:space="0" w:color="000000"/>
            </w:tcBorders>
            <w:tcMar>
              <w:top w:w="0" w:type="dxa"/>
              <w:left w:w="100" w:type="dxa"/>
              <w:bottom w:w="0" w:type="dxa"/>
              <w:right w:w="100" w:type="dxa"/>
            </w:tcMar>
          </w:tcPr>
          <w:p w14:paraId="164A133A" w14:textId="77777777" w:rsidR="003D2527" w:rsidRDefault="002B1B7E">
            <w:pPr>
              <w:spacing w:line="360" w:lineRule="auto"/>
              <w:rPr>
                <w:color w:val="000000" w:themeColor="text1"/>
              </w:rPr>
            </w:pPr>
            <w:r>
              <w:rPr>
                <w:color w:val="000000" w:themeColor="text1"/>
              </w:rPr>
              <w:t>R/A</w:t>
            </w:r>
          </w:p>
        </w:tc>
        <w:tc>
          <w:tcPr>
            <w:tcW w:w="971" w:type="dxa"/>
            <w:tcBorders>
              <w:top w:val="nil"/>
              <w:left w:val="nil"/>
              <w:bottom w:val="single" w:sz="6" w:space="0" w:color="000000"/>
              <w:right w:val="single" w:sz="6" w:space="0" w:color="000000"/>
            </w:tcBorders>
            <w:tcMar>
              <w:top w:w="0" w:type="dxa"/>
              <w:left w:w="100" w:type="dxa"/>
              <w:bottom w:w="0" w:type="dxa"/>
              <w:right w:w="100" w:type="dxa"/>
            </w:tcMar>
          </w:tcPr>
          <w:p w14:paraId="32D05909" w14:textId="77777777" w:rsidR="003D2527" w:rsidRDefault="002B1B7E">
            <w:pPr>
              <w:spacing w:line="360" w:lineRule="auto"/>
              <w:rPr>
                <w:color w:val="000000" w:themeColor="text1"/>
              </w:rPr>
            </w:pPr>
            <w:r>
              <w:rPr>
                <w:color w:val="000000" w:themeColor="text1"/>
              </w:rPr>
              <w:t>C</w:t>
            </w:r>
          </w:p>
        </w:tc>
        <w:tc>
          <w:tcPr>
            <w:tcW w:w="936" w:type="dxa"/>
            <w:tcBorders>
              <w:top w:val="nil"/>
              <w:left w:val="nil"/>
              <w:bottom w:val="single" w:sz="6" w:space="0" w:color="000000"/>
              <w:right w:val="single" w:sz="6" w:space="0" w:color="000000"/>
            </w:tcBorders>
            <w:tcMar>
              <w:top w:w="0" w:type="dxa"/>
              <w:left w:w="100" w:type="dxa"/>
              <w:bottom w:w="0" w:type="dxa"/>
              <w:right w:w="100" w:type="dxa"/>
            </w:tcMar>
          </w:tcPr>
          <w:p w14:paraId="7DF47440" w14:textId="77777777" w:rsidR="003D2527" w:rsidRDefault="002B1B7E">
            <w:pPr>
              <w:spacing w:line="360" w:lineRule="auto"/>
              <w:rPr>
                <w:color w:val="000000" w:themeColor="text1"/>
              </w:rPr>
            </w:pPr>
            <w:r>
              <w:rPr>
                <w:color w:val="000000" w:themeColor="text1"/>
              </w:rPr>
              <w:t>I</w:t>
            </w:r>
          </w:p>
        </w:tc>
        <w:tc>
          <w:tcPr>
            <w:tcW w:w="1076" w:type="dxa"/>
            <w:tcBorders>
              <w:top w:val="nil"/>
              <w:left w:val="nil"/>
              <w:bottom w:val="single" w:sz="6" w:space="0" w:color="000000"/>
              <w:right w:val="single" w:sz="6" w:space="0" w:color="000000"/>
            </w:tcBorders>
            <w:tcMar>
              <w:top w:w="0" w:type="dxa"/>
              <w:left w:w="100" w:type="dxa"/>
              <w:bottom w:w="0" w:type="dxa"/>
              <w:right w:w="100" w:type="dxa"/>
            </w:tcMar>
          </w:tcPr>
          <w:p w14:paraId="261CAE1E" w14:textId="77777777" w:rsidR="003D2527" w:rsidRDefault="002B1B7E">
            <w:pPr>
              <w:spacing w:line="360" w:lineRule="auto"/>
              <w:rPr>
                <w:color w:val="000000" w:themeColor="text1"/>
              </w:rPr>
            </w:pPr>
            <w:r>
              <w:rPr>
                <w:color w:val="000000" w:themeColor="text1"/>
              </w:rPr>
              <w:t>I</w:t>
            </w:r>
          </w:p>
        </w:tc>
        <w:tc>
          <w:tcPr>
            <w:tcW w:w="924" w:type="dxa"/>
            <w:tcBorders>
              <w:top w:val="nil"/>
              <w:left w:val="nil"/>
              <w:bottom w:val="single" w:sz="6" w:space="0" w:color="000000"/>
              <w:right w:val="single" w:sz="6" w:space="0" w:color="000000"/>
            </w:tcBorders>
            <w:tcMar>
              <w:top w:w="0" w:type="dxa"/>
              <w:left w:w="100" w:type="dxa"/>
              <w:bottom w:w="0" w:type="dxa"/>
              <w:right w:w="100" w:type="dxa"/>
            </w:tcMar>
          </w:tcPr>
          <w:p w14:paraId="355079E9" w14:textId="77777777" w:rsidR="003D2527" w:rsidRDefault="002B1B7E">
            <w:pPr>
              <w:spacing w:line="360" w:lineRule="auto"/>
              <w:rPr>
                <w:color w:val="000000" w:themeColor="text1"/>
              </w:rPr>
            </w:pPr>
            <w:r>
              <w:rPr>
                <w:color w:val="000000" w:themeColor="text1"/>
              </w:rPr>
              <w:t>I</w:t>
            </w:r>
          </w:p>
        </w:tc>
        <w:tc>
          <w:tcPr>
            <w:tcW w:w="877" w:type="dxa"/>
            <w:tcBorders>
              <w:top w:val="nil"/>
              <w:left w:val="nil"/>
              <w:bottom w:val="single" w:sz="6" w:space="0" w:color="000000"/>
              <w:right w:val="single" w:sz="6" w:space="0" w:color="000000"/>
            </w:tcBorders>
            <w:tcMar>
              <w:top w:w="0" w:type="dxa"/>
              <w:left w:w="100" w:type="dxa"/>
              <w:bottom w:w="0" w:type="dxa"/>
              <w:right w:w="100" w:type="dxa"/>
            </w:tcMar>
          </w:tcPr>
          <w:p w14:paraId="6B619E48" w14:textId="77777777" w:rsidR="003D2527" w:rsidRDefault="002B1B7E">
            <w:pPr>
              <w:spacing w:line="360" w:lineRule="auto"/>
              <w:rPr>
                <w:color w:val="000000" w:themeColor="text1"/>
              </w:rPr>
            </w:pPr>
            <w:r>
              <w:rPr>
                <w:color w:val="000000" w:themeColor="text1"/>
              </w:rPr>
              <w:t>C</w:t>
            </w:r>
          </w:p>
        </w:tc>
      </w:tr>
      <w:tr w:rsidR="003D2527" w14:paraId="13275C87" w14:textId="77777777">
        <w:trPr>
          <w:trHeight w:val="585"/>
          <w:jc w:val="center"/>
        </w:trPr>
        <w:tc>
          <w:tcPr>
            <w:tcW w:w="1194"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3D2B94FF" w14:textId="77777777" w:rsidR="003D2527" w:rsidRDefault="002B1B7E">
            <w:pPr>
              <w:spacing w:line="360" w:lineRule="auto"/>
              <w:rPr>
                <w:b/>
                <w:color w:val="000000" w:themeColor="text1"/>
              </w:rPr>
            </w:pPr>
            <w:r>
              <w:rPr>
                <w:b/>
                <w:color w:val="000000" w:themeColor="text1"/>
              </w:rPr>
              <w:t>Regulatory Compliance</w:t>
            </w:r>
          </w:p>
        </w:tc>
        <w:tc>
          <w:tcPr>
            <w:tcW w:w="820" w:type="dxa"/>
            <w:tcBorders>
              <w:top w:val="nil"/>
              <w:left w:val="nil"/>
              <w:bottom w:val="single" w:sz="6" w:space="0" w:color="000000"/>
              <w:right w:val="single" w:sz="6" w:space="0" w:color="000000"/>
            </w:tcBorders>
            <w:tcMar>
              <w:top w:w="0" w:type="dxa"/>
              <w:left w:w="100" w:type="dxa"/>
              <w:bottom w:w="0" w:type="dxa"/>
              <w:right w:w="100" w:type="dxa"/>
            </w:tcMar>
          </w:tcPr>
          <w:p w14:paraId="4BFFE14A" w14:textId="77777777" w:rsidR="003D2527" w:rsidRDefault="002B1B7E">
            <w:pPr>
              <w:spacing w:line="360" w:lineRule="auto"/>
              <w:rPr>
                <w:color w:val="000000" w:themeColor="text1"/>
              </w:rPr>
            </w:pPr>
            <w:r>
              <w:rPr>
                <w:color w:val="000000" w:themeColor="text1"/>
              </w:rPr>
              <w:t>I</w:t>
            </w:r>
          </w:p>
        </w:tc>
        <w:tc>
          <w:tcPr>
            <w:tcW w:w="609" w:type="dxa"/>
            <w:tcBorders>
              <w:top w:val="nil"/>
              <w:left w:val="nil"/>
              <w:bottom w:val="single" w:sz="6" w:space="0" w:color="000000"/>
              <w:right w:val="single" w:sz="6" w:space="0" w:color="000000"/>
            </w:tcBorders>
            <w:tcMar>
              <w:top w:w="0" w:type="dxa"/>
              <w:left w:w="100" w:type="dxa"/>
              <w:bottom w:w="0" w:type="dxa"/>
              <w:right w:w="100" w:type="dxa"/>
            </w:tcMar>
          </w:tcPr>
          <w:p w14:paraId="3272A7E1" w14:textId="77777777" w:rsidR="003D2527" w:rsidRDefault="002B1B7E">
            <w:pPr>
              <w:spacing w:line="360" w:lineRule="auto"/>
              <w:rPr>
                <w:color w:val="000000" w:themeColor="text1"/>
              </w:rPr>
            </w:pPr>
            <w:r>
              <w:rPr>
                <w:color w:val="000000" w:themeColor="text1"/>
              </w:rPr>
              <w:t>C</w:t>
            </w:r>
          </w:p>
        </w:tc>
        <w:tc>
          <w:tcPr>
            <w:tcW w:w="1029" w:type="dxa"/>
            <w:tcBorders>
              <w:top w:val="nil"/>
              <w:left w:val="nil"/>
              <w:bottom w:val="single" w:sz="6" w:space="0" w:color="000000"/>
              <w:right w:val="single" w:sz="6" w:space="0" w:color="000000"/>
            </w:tcBorders>
            <w:tcMar>
              <w:top w:w="0" w:type="dxa"/>
              <w:left w:w="100" w:type="dxa"/>
              <w:bottom w:w="0" w:type="dxa"/>
              <w:right w:w="100" w:type="dxa"/>
            </w:tcMar>
          </w:tcPr>
          <w:p w14:paraId="739F2DF7" w14:textId="77777777" w:rsidR="003D2527" w:rsidRDefault="002B1B7E">
            <w:pPr>
              <w:spacing w:line="360" w:lineRule="auto"/>
              <w:rPr>
                <w:color w:val="000000" w:themeColor="text1"/>
              </w:rPr>
            </w:pPr>
            <w:r>
              <w:rPr>
                <w:color w:val="000000" w:themeColor="text1"/>
              </w:rPr>
              <w:t>I</w:t>
            </w:r>
          </w:p>
        </w:tc>
        <w:tc>
          <w:tcPr>
            <w:tcW w:w="924" w:type="dxa"/>
            <w:tcBorders>
              <w:top w:val="nil"/>
              <w:left w:val="nil"/>
              <w:bottom w:val="single" w:sz="6" w:space="0" w:color="000000"/>
              <w:right w:val="single" w:sz="6" w:space="0" w:color="000000"/>
            </w:tcBorders>
            <w:tcMar>
              <w:top w:w="0" w:type="dxa"/>
              <w:left w:w="100" w:type="dxa"/>
              <w:bottom w:w="0" w:type="dxa"/>
              <w:right w:w="100" w:type="dxa"/>
            </w:tcMar>
          </w:tcPr>
          <w:p w14:paraId="3CB344A8" w14:textId="77777777" w:rsidR="003D2527" w:rsidRDefault="002B1B7E">
            <w:pPr>
              <w:spacing w:line="360" w:lineRule="auto"/>
              <w:rPr>
                <w:color w:val="000000" w:themeColor="text1"/>
              </w:rPr>
            </w:pPr>
            <w:r>
              <w:rPr>
                <w:color w:val="000000" w:themeColor="text1"/>
              </w:rPr>
              <w:t>C</w:t>
            </w:r>
          </w:p>
        </w:tc>
        <w:tc>
          <w:tcPr>
            <w:tcW w:w="971" w:type="dxa"/>
            <w:tcBorders>
              <w:top w:val="nil"/>
              <w:left w:val="nil"/>
              <w:bottom w:val="single" w:sz="6" w:space="0" w:color="000000"/>
              <w:right w:val="single" w:sz="6" w:space="0" w:color="000000"/>
            </w:tcBorders>
            <w:tcMar>
              <w:top w:w="0" w:type="dxa"/>
              <w:left w:w="100" w:type="dxa"/>
              <w:bottom w:w="0" w:type="dxa"/>
              <w:right w:w="100" w:type="dxa"/>
            </w:tcMar>
          </w:tcPr>
          <w:p w14:paraId="445DB879" w14:textId="77777777" w:rsidR="003D2527" w:rsidRDefault="002B1B7E">
            <w:pPr>
              <w:spacing w:line="360" w:lineRule="auto"/>
              <w:rPr>
                <w:color w:val="000000" w:themeColor="text1"/>
              </w:rPr>
            </w:pPr>
            <w:r>
              <w:rPr>
                <w:color w:val="000000" w:themeColor="text1"/>
              </w:rPr>
              <w:t>I</w:t>
            </w:r>
          </w:p>
        </w:tc>
        <w:tc>
          <w:tcPr>
            <w:tcW w:w="936" w:type="dxa"/>
            <w:tcBorders>
              <w:top w:val="nil"/>
              <w:left w:val="nil"/>
              <w:bottom w:val="single" w:sz="6" w:space="0" w:color="000000"/>
              <w:right w:val="single" w:sz="6" w:space="0" w:color="000000"/>
            </w:tcBorders>
            <w:tcMar>
              <w:top w:w="0" w:type="dxa"/>
              <w:left w:w="100" w:type="dxa"/>
              <w:bottom w:w="0" w:type="dxa"/>
              <w:right w:w="100" w:type="dxa"/>
            </w:tcMar>
          </w:tcPr>
          <w:p w14:paraId="5A7AD2D2" w14:textId="77777777" w:rsidR="003D2527" w:rsidRDefault="002B1B7E">
            <w:pPr>
              <w:spacing w:line="360" w:lineRule="auto"/>
              <w:rPr>
                <w:color w:val="000000" w:themeColor="text1"/>
              </w:rPr>
            </w:pPr>
            <w:r>
              <w:rPr>
                <w:color w:val="000000" w:themeColor="text1"/>
              </w:rPr>
              <w:t>I</w:t>
            </w:r>
          </w:p>
        </w:tc>
        <w:tc>
          <w:tcPr>
            <w:tcW w:w="1076" w:type="dxa"/>
            <w:tcBorders>
              <w:top w:val="nil"/>
              <w:left w:val="nil"/>
              <w:bottom w:val="single" w:sz="6" w:space="0" w:color="000000"/>
              <w:right w:val="single" w:sz="6" w:space="0" w:color="000000"/>
            </w:tcBorders>
            <w:tcMar>
              <w:top w:w="0" w:type="dxa"/>
              <w:left w:w="100" w:type="dxa"/>
              <w:bottom w:w="0" w:type="dxa"/>
              <w:right w:w="100" w:type="dxa"/>
            </w:tcMar>
          </w:tcPr>
          <w:p w14:paraId="34F6AC77" w14:textId="77777777" w:rsidR="003D2527" w:rsidRDefault="002B1B7E">
            <w:pPr>
              <w:spacing w:line="360" w:lineRule="auto"/>
              <w:rPr>
                <w:color w:val="000000" w:themeColor="text1"/>
              </w:rPr>
            </w:pPr>
            <w:r>
              <w:rPr>
                <w:color w:val="000000" w:themeColor="text1"/>
              </w:rPr>
              <w:t>R/A</w:t>
            </w:r>
          </w:p>
        </w:tc>
        <w:tc>
          <w:tcPr>
            <w:tcW w:w="924" w:type="dxa"/>
            <w:tcBorders>
              <w:top w:val="nil"/>
              <w:left w:val="nil"/>
              <w:bottom w:val="single" w:sz="6" w:space="0" w:color="000000"/>
              <w:right w:val="single" w:sz="6" w:space="0" w:color="000000"/>
            </w:tcBorders>
            <w:tcMar>
              <w:top w:w="0" w:type="dxa"/>
              <w:left w:w="100" w:type="dxa"/>
              <w:bottom w:w="0" w:type="dxa"/>
              <w:right w:w="100" w:type="dxa"/>
            </w:tcMar>
          </w:tcPr>
          <w:p w14:paraId="76431377" w14:textId="77777777" w:rsidR="003D2527" w:rsidRDefault="002B1B7E">
            <w:pPr>
              <w:spacing w:line="360" w:lineRule="auto"/>
              <w:rPr>
                <w:color w:val="000000" w:themeColor="text1"/>
              </w:rPr>
            </w:pPr>
            <w:r>
              <w:rPr>
                <w:color w:val="000000" w:themeColor="text1"/>
              </w:rPr>
              <w:t>I</w:t>
            </w:r>
          </w:p>
        </w:tc>
        <w:tc>
          <w:tcPr>
            <w:tcW w:w="877" w:type="dxa"/>
            <w:tcBorders>
              <w:top w:val="nil"/>
              <w:left w:val="nil"/>
              <w:bottom w:val="single" w:sz="6" w:space="0" w:color="000000"/>
              <w:right w:val="single" w:sz="6" w:space="0" w:color="000000"/>
            </w:tcBorders>
            <w:tcMar>
              <w:top w:w="0" w:type="dxa"/>
              <w:left w:w="100" w:type="dxa"/>
              <w:bottom w:w="0" w:type="dxa"/>
              <w:right w:w="100" w:type="dxa"/>
            </w:tcMar>
          </w:tcPr>
          <w:p w14:paraId="064EABF4" w14:textId="77777777" w:rsidR="003D2527" w:rsidRDefault="002B1B7E">
            <w:pPr>
              <w:spacing w:line="360" w:lineRule="auto"/>
              <w:rPr>
                <w:color w:val="000000" w:themeColor="text1"/>
              </w:rPr>
            </w:pPr>
            <w:r>
              <w:rPr>
                <w:color w:val="000000" w:themeColor="text1"/>
              </w:rPr>
              <w:t>I</w:t>
            </w:r>
          </w:p>
        </w:tc>
      </w:tr>
      <w:tr w:rsidR="003D2527" w14:paraId="281F2CCB" w14:textId="77777777">
        <w:trPr>
          <w:trHeight w:val="585"/>
          <w:jc w:val="center"/>
        </w:trPr>
        <w:tc>
          <w:tcPr>
            <w:tcW w:w="1194"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681552F3" w14:textId="77777777" w:rsidR="003D2527" w:rsidRDefault="002B1B7E">
            <w:pPr>
              <w:spacing w:line="360" w:lineRule="auto"/>
              <w:rPr>
                <w:b/>
                <w:color w:val="000000" w:themeColor="text1"/>
              </w:rPr>
            </w:pPr>
            <w:r>
              <w:rPr>
                <w:b/>
                <w:color w:val="000000" w:themeColor="text1"/>
              </w:rPr>
              <w:t>Customer Support</w:t>
            </w:r>
          </w:p>
        </w:tc>
        <w:tc>
          <w:tcPr>
            <w:tcW w:w="820" w:type="dxa"/>
            <w:tcBorders>
              <w:top w:val="nil"/>
              <w:left w:val="nil"/>
              <w:bottom w:val="single" w:sz="6" w:space="0" w:color="000000"/>
              <w:right w:val="single" w:sz="6" w:space="0" w:color="000000"/>
            </w:tcBorders>
            <w:tcMar>
              <w:top w:w="0" w:type="dxa"/>
              <w:left w:w="100" w:type="dxa"/>
              <w:bottom w:w="0" w:type="dxa"/>
              <w:right w:w="100" w:type="dxa"/>
            </w:tcMar>
          </w:tcPr>
          <w:p w14:paraId="151C1F0E" w14:textId="77777777" w:rsidR="003D2527" w:rsidRDefault="002B1B7E">
            <w:pPr>
              <w:spacing w:line="360" w:lineRule="auto"/>
              <w:rPr>
                <w:color w:val="000000" w:themeColor="text1"/>
              </w:rPr>
            </w:pPr>
            <w:r>
              <w:rPr>
                <w:color w:val="000000" w:themeColor="text1"/>
              </w:rPr>
              <w:t>I</w:t>
            </w:r>
          </w:p>
        </w:tc>
        <w:tc>
          <w:tcPr>
            <w:tcW w:w="609" w:type="dxa"/>
            <w:tcBorders>
              <w:top w:val="nil"/>
              <w:left w:val="nil"/>
              <w:bottom w:val="single" w:sz="6" w:space="0" w:color="000000"/>
              <w:right w:val="single" w:sz="6" w:space="0" w:color="000000"/>
            </w:tcBorders>
            <w:tcMar>
              <w:top w:w="0" w:type="dxa"/>
              <w:left w:w="100" w:type="dxa"/>
              <w:bottom w:w="0" w:type="dxa"/>
              <w:right w:w="100" w:type="dxa"/>
            </w:tcMar>
          </w:tcPr>
          <w:p w14:paraId="72E00957" w14:textId="77777777" w:rsidR="003D2527" w:rsidRDefault="002B1B7E">
            <w:pPr>
              <w:spacing w:line="360" w:lineRule="auto"/>
              <w:rPr>
                <w:color w:val="000000" w:themeColor="text1"/>
              </w:rPr>
            </w:pPr>
            <w:r>
              <w:rPr>
                <w:color w:val="000000" w:themeColor="text1"/>
              </w:rPr>
              <w:t>I</w:t>
            </w:r>
          </w:p>
        </w:tc>
        <w:tc>
          <w:tcPr>
            <w:tcW w:w="1029" w:type="dxa"/>
            <w:tcBorders>
              <w:top w:val="nil"/>
              <w:left w:val="nil"/>
              <w:bottom w:val="single" w:sz="6" w:space="0" w:color="000000"/>
              <w:right w:val="single" w:sz="6" w:space="0" w:color="000000"/>
            </w:tcBorders>
            <w:tcMar>
              <w:top w:w="0" w:type="dxa"/>
              <w:left w:w="100" w:type="dxa"/>
              <w:bottom w:w="0" w:type="dxa"/>
              <w:right w:w="100" w:type="dxa"/>
            </w:tcMar>
          </w:tcPr>
          <w:p w14:paraId="17D343B9" w14:textId="77777777" w:rsidR="003D2527" w:rsidRDefault="002B1B7E">
            <w:pPr>
              <w:spacing w:line="360" w:lineRule="auto"/>
              <w:rPr>
                <w:color w:val="000000" w:themeColor="text1"/>
              </w:rPr>
            </w:pPr>
            <w:r>
              <w:rPr>
                <w:color w:val="000000" w:themeColor="text1"/>
              </w:rPr>
              <w:t>I</w:t>
            </w:r>
          </w:p>
        </w:tc>
        <w:tc>
          <w:tcPr>
            <w:tcW w:w="924" w:type="dxa"/>
            <w:tcBorders>
              <w:top w:val="nil"/>
              <w:left w:val="nil"/>
              <w:bottom w:val="single" w:sz="6" w:space="0" w:color="000000"/>
              <w:right w:val="single" w:sz="6" w:space="0" w:color="000000"/>
            </w:tcBorders>
            <w:tcMar>
              <w:top w:w="0" w:type="dxa"/>
              <w:left w:w="100" w:type="dxa"/>
              <w:bottom w:w="0" w:type="dxa"/>
              <w:right w:w="100" w:type="dxa"/>
            </w:tcMar>
          </w:tcPr>
          <w:p w14:paraId="1ED9C017" w14:textId="77777777" w:rsidR="003D2527" w:rsidRDefault="002B1B7E">
            <w:pPr>
              <w:spacing w:line="360" w:lineRule="auto"/>
              <w:rPr>
                <w:color w:val="000000" w:themeColor="text1"/>
              </w:rPr>
            </w:pPr>
            <w:r>
              <w:rPr>
                <w:color w:val="000000" w:themeColor="text1"/>
              </w:rPr>
              <w:t>C</w:t>
            </w:r>
          </w:p>
        </w:tc>
        <w:tc>
          <w:tcPr>
            <w:tcW w:w="971" w:type="dxa"/>
            <w:tcBorders>
              <w:top w:val="nil"/>
              <w:left w:val="nil"/>
              <w:bottom w:val="single" w:sz="6" w:space="0" w:color="000000"/>
              <w:right w:val="single" w:sz="6" w:space="0" w:color="000000"/>
            </w:tcBorders>
            <w:tcMar>
              <w:top w:w="0" w:type="dxa"/>
              <w:left w:w="100" w:type="dxa"/>
              <w:bottom w:w="0" w:type="dxa"/>
              <w:right w:w="100" w:type="dxa"/>
            </w:tcMar>
          </w:tcPr>
          <w:p w14:paraId="22AAE875" w14:textId="77777777" w:rsidR="003D2527" w:rsidRDefault="002B1B7E">
            <w:pPr>
              <w:spacing w:line="360" w:lineRule="auto"/>
              <w:rPr>
                <w:color w:val="000000" w:themeColor="text1"/>
              </w:rPr>
            </w:pPr>
            <w:r>
              <w:rPr>
                <w:color w:val="000000" w:themeColor="text1"/>
              </w:rPr>
              <w:t>R/A</w:t>
            </w:r>
          </w:p>
        </w:tc>
        <w:tc>
          <w:tcPr>
            <w:tcW w:w="936" w:type="dxa"/>
            <w:tcBorders>
              <w:top w:val="nil"/>
              <w:left w:val="nil"/>
              <w:bottom w:val="single" w:sz="6" w:space="0" w:color="000000"/>
              <w:right w:val="single" w:sz="6" w:space="0" w:color="000000"/>
            </w:tcBorders>
            <w:tcMar>
              <w:top w:w="0" w:type="dxa"/>
              <w:left w:w="100" w:type="dxa"/>
              <w:bottom w:w="0" w:type="dxa"/>
              <w:right w:w="100" w:type="dxa"/>
            </w:tcMar>
          </w:tcPr>
          <w:p w14:paraId="11A48987" w14:textId="77777777" w:rsidR="003D2527" w:rsidRDefault="002B1B7E">
            <w:pPr>
              <w:spacing w:line="360" w:lineRule="auto"/>
              <w:rPr>
                <w:color w:val="000000" w:themeColor="text1"/>
              </w:rPr>
            </w:pPr>
            <w:r>
              <w:rPr>
                <w:color w:val="000000" w:themeColor="text1"/>
              </w:rPr>
              <w:t>I</w:t>
            </w:r>
          </w:p>
        </w:tc>
        <w:tc>
          <w:tcPr>
            <w:tcW w:w="1076" w:type="dxa"/>
            <w:tcBorders>
              <w:top w:val="nil"/>
              <w:left w:val="nil"/>
              <w:bottom w:val="single" w:sz="6" w:space="0" w:color="000000"/>
              <w:right w:val="single" w:sz="6" w:space="0" w:color="000000"/>
            </w:tcBorders>
            <w:tcMar>
              <w:top w:w="0" w:type="dxa"/>
              <w:left w:w="100" w:type="dxa"/>
              <w:bottom w:w="0" w:type="dxa"/>
              <w:right w:w="100" w:type="dxa"/>
            </w:tcMar>
          </w:tcPr>
          <w:p w14:paraId="703CBC48" w14:textId="77777777" w:rsidR="003D2527" w:rsidRDefault="002B1B7E">
            <w:pPr>
              <w:spacing w:line="360" w:lineRule="auto"/>
              <w:rPr>
                <w:color w:val="000000" w:themeColor="text1"/>
              </w:rPr>
            </w:pPr>
            <w:r>
              <w:rPr>
                <w:color w:val="000000" w:themeColor="text1"/>
              </w:rPr>
              <w:t>I</w:t>
            </w:r>
          </w:p>
        </w:tc>
        <w:tc>
          <w:tcPr>
            <w:tcW w:w="924" w:type="dxa"/>
            <w:tcBorders>
              <w:top w:val="nil"/>
              <w:left w:val="nil"/>
              <w:bottom w:val="single" w:sz="6" w:space="0" w:color="000000"/>
              <w:right w:val="single" w:sz="6" w:space="0" w:color="000000"/>
            </w:tcBorders>
            <w:tcMar>
              <w:top w:w="0" w:type="dxa"/>
              <w:left w:w="100" w:type="dxa"/>
              <w:bottom w:w="0" w:type="dxa"/>
              <w:right w:w="100" w:type="dxa"/>
            </w:tcMar>
          </w:tcPr>
          <w:p w14:paraId="651017DB" w14:textId="77777777" w:rsidR="003D2527" w:rsidRDefault="002B1B7E">
            <w:pPr>
              <w:spacing w:line="360" w:lineRule="auto"/>
              <w:rPr>
                <w:color w:val="000000" w:themeColor="text1"/>
              </w:rPr>
            </w:pPr>
            <w:r>
              <w:rPr>
                <w:color w:val="000000" w:themeColor="text1"/>
              </w:rPr>
              <w:t>I</w:t>
            </w:r>
          </w:p>
        </w:tc>
        <w:tc>
          <w:tcPr>
            <w:tcW w:w="877" w:type="dxa"/>
            <w:tcBorders>
              <w:top w:val="nil"/>
              <w:left w:val="nil"/>
              <w:bottom w:val="single" w:sz="6" w:space="0" w:color="000000"/>
              <w:right w:val="single" w:sz="6" w:space="0" w:color="000000"/>
            </w:tcBorders>
            <w:tcMar>
              <w:top w:w="0" w:type="dxa"/>
              <w:left w:w="100" w:type="dxa"/>
              <w:bottom w:w="0" w:type="dxa"/>
              <w:right w:w="100" w:type="dxa"/>
            </w:tcMar>
          </w:tcPr>
          <w:p w14:paraId="35701695" w14:textId="77777777" w:rsidR="003D2527" w:rsidRDefault="002B1B7E">
            <w:pPr>
              <w:spacing w:line="360" w:lineRule="auto"/>
              <w:rPr>
                <w:color w:val="000000" w:themeColor="text1"/>
              </w:rPr>
            </w:pPr>
            <w:r>
              <w:rPr>
                <w:color w:val="000000" w:themeColor="text1"/>
              </w:rPr>
              <w:t>C</w:t>
            </w:r>
          </w:p>
        </w:tc>
      </w:tr>
      <w:tr w:rsidR="003D2527" w14:paraId="480517F9" w14:textId="77777777">
        <w:trPr>
          <w:trHeight w:val="585"/>
          <w:jc w:val="center"/>
        </w:trPr>
        <w:tc>
          <w:tcPr>
            <w:tcW w:w="1194"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4F063958" w14:textId="77777777" w:rsidR="003D2527" w:rsidRDefault="002B1B7E">
            <w:pPr>
              <w:spacing w:line="360" w:lineRule="auto"/>
              <w:rPr>
                <w:b/>
                <w:color w:val="000000" w:themeColor="text1"/>
              </w:rPr>
            </w:pPr>
            <w:r>
              <w:rPr>
                <w:b/>
                <w:color w:val="000000" w:themeColor="text1"/>
              </w:rPr>
              <w:t>Supplier Coordination</w:t>
            </w:r>
          </w:p>
        </w:tc>
        <w:tc>
          <w:tcPr>
            <w:tcW w:w="820" w:type="dxa"/>
            <w:tcBorders>
              <w:top w:val="nil"/>
              <w:left w:val="nil"/>
              <w:bottom w:val="single" w:sz="6" w:space="0" w:color="000000"/>
              <w:right w:val="single" w:sz="6" w:space="0" w:color="000000"/>
            </w:tcBorders>
            <w:tcMar>
              <w:top w:w="0" w:type="dxa"/>
              <w:left w:w="100" w:type="dxa"/>
              <w:bottom w:w="0" w:type="dxa"/>
              <w:right w:w="100" w:type="dxa"/>
            </w:tcMar>
          </w:tcPr>
          <w:p w14:paraId="3CD2B764" w14:textId="77777777" w:rsidR="003D2527" w:rsidRDefault="002B1B7E">
            <w:pPr>
              <w:spacing w:line="360" w:lineRule="auto"/>
              <w:rPr>
                <w:color w:val="000000" w:themeColor="text1"/>
              </w:rPr>
            </w:pPr>
            <w:r>
              <w:rPr>
                <w:color w:val="000000" w:themeColor="text1"/>
              </w:rPr>
              <w:t>C</w:t>
            </w:r>
          </w:p>
        </w:tc>
        <w:tc>
          <w:tcPr>
            <w:tcW w:w="609" w:type="dxa"/>
            <w:tcBorders>
              <w:top w:val="nil"/>
              <w:left w:val="nil"/>
              <w:bottom w:val="single" w:sz="6" w:space="0" w:color="000000"/>
              <w:right w:val="single" w:sz="6" w:space="0" w:color="000000"/>
            </w:tcBorders>
            <w:tcMar>
              <w:top w:w="0" w:type="dxa"/>
              <w:left w:w="100" w:type="dxa"/>
              <w:bottom w:w="0" w:type="dxa"/>
              <w:right w:w="100" w:type="dxa"/>
            </w:tcMar>
          </w:tcPr>
          <w:p w14:paraId="7AD249AC" w14:textId="77777777" w:rsidR="003D2527" w:rsidRDefault="002B1B7E">
            <w:pPr>
              <w:spacing w:line="360" w:lineRule="auto"/>
              <w:rPr>
                <w:color w:val="000000" w:themeColor="text1"/>
              </w:rPr>
            </w:pPr>
            <w:r>
              <w:rPr>
                <w:color w:val="000000" w:themeColor="text1"/>
              </w:rPr>
              <w:t>C</w:t>
            </w:r>
          </w:p>
        </w:tc>
        <w:tc>
          <w:tcPr>
            <w:tcW w:w="1029" w:type="dxa"/>
            <w:tcBorders>
              <w:top w:val="nil"/>
              <w:left w:val="nil"/>
              <w:bottom w:val="single" w:sz="6" w:space="0" w:color="000000"/>
              <w:right w:val="single" w:sz="6" w:space="0" w:color="000000"/>
            </w:tcBorders>
            <w:tcMar>
              <w:top w:w="0" w:type="dxa"/>
              <w:left w:w="100" w:type="dxa"/>
              <w:bottom w:w="0" w:type="dxa"/>
              <w:right w:w="100" w:type="dxa"/>
            </w:tcMar>
          </w:tcPr>
          <w:p w14:paraId="70613D39" w14:textId="77777777" w:rsidR="003D2527" w:rsidRDefault="002B1B7E">
            <w:pPr>
              <w:spacing w:line="360" w:lineRule="auto"/>
              <w:rPr>
                <w:color w:val="000000" w:themeColor="text1"/>
              </w:rPr>
            </w:pPr>
            <w:r>
              <w:rPr>
                <w:color w:val="000000" w:themeColor="text1"/>
              </w:rPr>
              <w:t>I</w:t>
            </w:r>
          </w:p>
        </w:tc>
        <w:tc>
          <w:tcPr>
            <w:tcW w:w="924" w:type="dxa"/>
            <w:tcBorders>
              <w:top w:val="nil"/>
              <w:left w:val="nil"/>
              <w:bottom w:val="single" w:sz="6" w:space="0" w:color="000000"/>
              <w:right w:val="single" w:sz="6" w:space="0" w:color="000000"/>
            </w:tcBorders>
            <w:tcMar>
              <w:top w:w="0" w:type="dxa"/>
              <w:left w:w="100" w:type="dxa"/>
              <w:bottom w:w="0" w:type="dxa"/>
              <w:right w:w="100" w:type="dxa"/>
            </w:tcMar>
          </w:tcPr>
          <w:p w14:paraId="5D76A9B8" w14:textId="77777777" w:rsidR="003D2527" w:rsidRDefault="002B1B7E">
            <w:pPr>
              <w:spacing w:line="360" w:lineRule="auto"/>
              <w:rPr>
                <w:color w:val="000000" w:themeColor="text1"/>
              </w:rPr>
            </w:pPr>
            <w:r>
              <w:rPr>
                <w:color w:val="000000" w:themeColor="text1"/>
              </w:rPr>
              <w:t>I</w:t>
            </w:r>
          </w:p>
        </w:tc>
        <w:tc>
          <w:tcPr>
            <w:tcW w:w="971" w:type="dxa"/>
            <w:tcBorders>
              <w:top w:val="nil"/>
              <w:left w:val="nil"/>
              <w:bottom w:val="single" w:sz="6" w:space="0" w:color="000000"/>
              <w:right w:val="single" w:sz="6" w:space="0" w:color="000000"/>
            </w:tcBorders>
            <w:tcMar>
              <w:top w:w="0" w:type="dxa"/>
              <w:left w:w="100" w:type="dxa"/>
              <w:bottom w:w="0" w:type="dxa"/>
              <w:right w:w="100" w:type="dxa"/>
            </w:tcMar>
          </w:tcPr>
          <w:p w14:paraId="2C59D4FB" w14:textId="77777777" w:rsidR="003D2527" w:rsidRDefault="002B1B7E">
            <w:pPr>
              <w:spacing w:line="360" w:lineRule="auto"/>
              <w:rPr>
                <w:color w:val="000000" w:themeColor="text1"/>
              </w:rPr>
            </w:pPr>
            <w:r>
              <w:rPr>
                <w:color w:val="000000" w:themeColor="text1"/>
              </w:rPr>
              <w:t>I</w:t>
            </w:r>
          </w:p>
        </w:tc>
        <w:tc>
          <w:tcPr>
            <w:tcW w:w="936" w:type="dxa"/>
            <w:tcBorders>
              <w:top w:val="nil"/>
              <w:left w:val="nil"/>
              <w:bottom w:val="single" w:sz="6" w:space="0" w:color="000000"/>
              <w:right w:val="single" w:sz="6" w:space="0" w:color="000000"/>
            </w:tcBorders>
            <w:tcMar>
              <w:top w:w="0" w:type="dxa"/>
              <w:left w:w="100" w:type="dxa"/>
              <w:bottom w:w="0" w:type="dxa"/>
              <w:right w:w="100" w:type="dxa"/>
            </w:tcMar>
          </w:tcPr>
          <w:p w14:paraId="0D4C728F" w14:textId="77777777" w:rsidR="003D2527" w:rsidRDefault="002B1B7E">
            <w:pPr>
              <w:spacing w:line="360" w:lineRule="auto"/>
              <w:rPr>
                <w:color w:val="000000" w:themeColor="text1"/>
              </w:rPr>
            </w:pPr>
            <w:r>
              <w:rPr>
                <w:color w:val="000000" w:themeColor="text1"/>
              </w:rPr>
              <w:t>R/A</w:t>
            </w:r>
          </w:p>
        </w:tc>
        <w:tc>
          <w:tcPr>
            <w:tcW w:w="1076" w:type="dxa"/>
            <w:tcBorders>
              <w:top w:val="nil"/>
              <w:left w:val="nil"/>
              <w:bottom w:val="single" w:sz="6" w:space="0" w:color="000000"/>
              <w:right w:val="single" w:sz="6" w:space="0" w:color="000000"/>
            </w:tcBorders>
            <w:tcMar>
              <w:top w:w="0" w:type="dxa"/>
              <w:left w:w="100" w:type="dxa"/>
              <w:bottom w:w="0" w:type="dxa"/>
              <w:right w:w="100" w:type="dxa"/>
            </w:tcMar>
          </w:tcPr>
          <w:p w14:paraId="48D39577" w14:textId="77777777" w:rsidR="003D2527" w:rsidRDefault="002B1B7E">
            <w:pPr>
              <w:spacing w:line="360" w:lineRule="auto"/>
              <w:rPr>
                <w:color w:val="000000" w:themeColor="text1"/>
              </w:rPr>
            </w:pPr>
            <w:r>
              <w:rPr>
                <w:color w:val="000000" w:themeColor="text1"/>
              </w:rPr>
              <w:t>I</w:t>
            </w:r>
          </w:p>
        </w:tc>
        <w:tc>
          <w:tcPr>
            <w:tcW w:w="924" w:type="dxa"/>
            <w:tcBorders>
              <w:top w:val="nil"/>
              <w:left w:val="nil"/>
              <w:bottom w:val="single" w:sz="6" w:space="0" w:color="000000"/>
              <w:right w:val="single" w:sz="6" w:space="0" w:color="000000"/>
            </w:tcBorders>
            <w:tcMar>
              <w:top w:w="0" w:type="dxa"/>
              <w:left w:w="100" w:type="dxa"/>
              <w:bottom w:w="0" w:type="dxa"/>
              <w:right w:w="100" w:type="dxa"/>
            </w:tcMar>
          </w:tcPr>
          <w:p w14:paraId="7819D4F0" w14:textId="77777777" w:rsidR="003D2527" w:rsidRDefault="002B1B7E">
            <w:pPr>
              <w:spacing w:line="360" w:lineRule="auto"/>
              <w:rPr>
                <w:color w:val="000000" w:themeColor="text1"/>
              </w:rPr>
            </w:pPr>
            <w:r>
              <w:rPr>
                <w:color w:val="000000" w:themeColor="text1"/>
              </w:rPr>
              <w:t>I</w:t>
            </w:r>
          </w:p>
        </w:tc>
        <w:tc>
          <w:tcPr>
            <w:tcW w:w="877" w:type="dxa"/>
            <w:tcBorders>
              <w:top w:val="nil"/>
              <w:left w:val="nil"/>
              <w:bottom w:val="single" w:sz="6" w:space="0" w:color="000000"/>
              <w:right w:val="single" w:sz="6" w:space="0" w:color="000000"/>
            </w:tcBorders>
            <w:tcMar>
              <w:top w:w="0" w:type="dxa"/>
              <w:left w:w="100" w:type="dxa"/>
              <w:bottom w:w="0" w:type="dxa"/>
              <w:right w:w="100" w:type="dxa"/>
            </w:tcMar>
          </w:tcPr>
          <w:p w14:paraId="120AEBCF" w14:textId="77777777" w:rsidR="003D2527" w:rsidRDefault="002B1B7E">
            <w:pPr>
              <w:spacing w:line="360" w:lineRule="auto"/>
              <w:rPr>
                <w:color w:val="000000" w:themeColor="text1"/>
              </w:rPr>
            </w:pPr>
            <w:r>
              <w:rPr>
                <w:color w:val="000000" w:themeColor="text1"/>
              </w:rPr>
              <w:t>C</w:t>
            </w:r>
          </w:p>
        </w:tc>
      </w:tr>
    </w:tbl>
    <w:p w14:paraId="06759902" w14:textId="77777777" w:rsidR="003D2527" w:rsidRDefault="003D2527">
      <w:pPr>
        <w:spacing w:line="360" w:lineRule="auto"/>
        <w:jc w:val="both"/>
        <w:rPr>
          <w:b/>
          <w:color w:val="000000" w:themeColor="text1"/>
        </w:rPr>
      </w:pPr>
    </w:p>
    <w:p w14:paraId="687B8444" w14:textId="77777777" w:rsidR="003D2527" w:rsidRDefault="002B1B7E">
      <w:pPr>
        <w:spacing w:line="360" w:lineRule="auto"/>
        <w:jc w:val="center"/>
        <w:rPr>
          <w:b/>
          <w:color w:val="000000" w:themeColor="text1"/>
        </w:rPr>
      </w:pPr>
      <w:r>
        <w:rPr>
          <w:b/>
          <w:color w:val="000000" w:themeColor="text1"/>
        </w:rPr>
        <w:t xml:space="preserve">Table 2: RACI matrix </w:t>
      </w:r>
    </w:p>
    <w:p w14:paraId="658E1ACA" w14:textId="77777777" w:rsidR="003D2527" w:rsidRDefault="002B1B7E">
      <w:pPr>
        <w:spacing w:line="360" w:lineRule="auto"/>
        <w:jc w:val="center"/>
        <w:rPr>
          <w:color w:val="000000" w:themeColor="text1"/>
        </w:rPr>
      </w:pPr>
      <w:r>
        <w:rPr>
          <w:color w:val="000000" w:themeColor="text1"/>
        </w:rPr>
        <w:t>(Source: Self-created)</w:t>
      </w:r>
    </w:p>
    <w:p w14:paraId="17A69B6A" w14:textId="77777777" w:rsidR="003D2527" w:rsidRDefault="002B1B7E">
      <w:pPr>
        <w:pStyle w:val="Heading2"/>
        <w:spacing w:line="360" w:lineRule="auto"/>
        <w:rPr>
          <w:rFonts w:ascii="Arial" w:eastAsia="Arial" w:hAnsi="Arial" w:cs="Arial"/>
          <w:color w:val="000000" w:themeColor="text1"/>
          <w:sz w:val="22"/>
          <w:szCs w:val="22"/>
        </w:rPr>
      </w:pPr>
      <w:bookmarkStart w:id="10" w:name="_heading=h.r46rwrakas9j" w:colFirst="0" w:colLast="0"/>
      <w:bookmarkEnd w:id="10"/>
      <w:r>
        <w:rPr>
          <w:rFonts w:ascii="Arial" w:eastAsia="Arial" w:hAnsi="Arial" w:cs="Arial"/>
          <w:color w:val="000000" w:themeColor="text1"/>
          <w:sz w:val="22"/>
          <w:szCs w:val="22"/>
        </w:rPr>
        <w:t>3.2 Internal Stakeholders</w:t>
      </w:r>
    </w:p>
    <w:p w14:paraId="6DA4F7CA" w14:textId="39541428" w:rsidR="003D2527" w:rsidRDefault="002B1B7E">
      <w:pPr>
        <w:spacing w:line="360" w:lineRule="auto"/>
        <w:jc w:val="both"/>
        <w:rPr>
          <w:color w:val="000000" w:themeColor="text1"/>
        </w:rPr>
      </w:pPr>
      <w:r>
        <w:rPr>
          <w:color w:val="000000" w:themeColor="text1"/>
        </w:rPr>
        <w:t xml:space="preserve">The product development team is one of the crucial internal stakeholders for this project. They are the ones who will design and develop the </w:t>
      </w:r>
      <w:r w:rsidR="000B52E3">
        <w:rPr>
          <w:color w:val="000000" w:themeColor="text1"/>
        </w:rPr>
        <w:t>smartwatch</w:t>
      </w:r>
      <w:r>
        <w:rPr>
          <w:color w:val="000000" w:themeColor="text1"/>
        </w:rPr>
        <w:t xml:space="preserve"> health device and make it compliant with the health monitoring requirements </w:t>
      </w:r>
      <w:proofErr w:type="gramStart"/>
      <w:r>
        <w:rPr>
          <w:color w:val="000000" w:themeColor="text1"/>
        </w:rPr>
        <w:t>and also</w:t>
      </w:r>
      <w:proofErr w:type="gramEnd"/>
      <w:r>
        <w:rPr>
          <w:color w:val="000000" w:themeColor="text1"/>
        </w:rPr>
        <w:t xml:space="preserve"> the functional requirements. </w:t>
      </w:r>
    </w:p>
    <w:p w14:paraId="6CC2E8C1" w14:textId="77777777" w:rsidR="003D2527" w:rsidRDefault="002B1B7E">
      <w:pPr>
        <w:spacing w:line="360" w:lineRule="auto"/>
        <w:jc w:val="both"/>
        <w:rPr>
          <w:b/>
          <w:color w:val="000000" w:themeColor="text1"/>
        </w:rPr>
      </w:pPr>
      <w:r>
        <w:rPr>
          <w:color w:val="000000" w:themeColor="text1"/>
        </w:rPr>
        <w:t xml:space="preserve">The internal stakeholders of the research and development team perform the feasibility, prototypes and testing as well. Their technical knowledge will be essential in making the gadget safe, reliable and competitive. Internal stakeholders of the project also include the marketing and sales departments. They work out launch campaigns, strategies of price and distribution channels. Internal stakeholders include the customer service team as well, where enquiry feedback and support will be provided after the launch. </w:t>
      </w:r>
    </w:p>
    <w:p w14:paraId="0C68355E" w14:textId="77777777" w:rsidR="003D2527" w:rsidRDefault="002B1B7E">
      <w:pPr>
        <w:pStyle w:val="Heading2"/>
        <w:spacing w:line="360" w:lineRule="auto"/>
        <w:rPr>
          <w:rFonts w:ascii="Arial" w:eastAsia="Arial" w:hAnsi="Arial" w:cs="Arial"/>
          <w:color w:val="000000" w:themeColor="text1"/>
          <w:sz w:val="22"/>
          <w:szCs w:val="22"/>
        </w:rPr>
      </w:pPr>
      <w:bookmarkStart w:id="11" w:name="_heading=h.v7xejnoh7oh6" w:colFirst="0" w:colLast="0"/>
      <w:bookmarkEnd w:id="11"/>
      <w:r>
        <w:rPr>
          <w:rFonts w:ascii="Arial" w:eastAsia="Arial" w:hAnsi="Arial" w:cs="Arial"/>
          <w:color w:val="000000" w:themeColor="text1"/>
          <w:sz w:val="22"/>
          <w:szCs w:val="22"/>
        </w:rPr>
        <w:t>3.3 External Stakeholders</w:t>
      </w:r>
    </w:p>
    <w:p w14:paraId="14D4175D" w14:textId="77777777" w:rsidR="003D2527" w:rsidRDefault="002B1B7E">
      <w:pPr>
        <w:spacing w:line="360" w:lineRule="auto"/>
        <w:jc w:val="both"/>
        <w:rPr>
          <w:b/>
          <w:color w:val="000000" w:themeColor="text1"/>
        </w:rPr>
      </w:pPr>
      <w:r>
        <w:rPr>
          <w:color w:val="000000" w:themeColor="text1"/>
        </w:rPr>
        <w:t>The suppliers of valuable technology components are the external stakeholders for this project. They will be provided with critical hardware for device production. Regulatory bodies are also the external stakeholders for this project. For example, the National Healthcare Service and Medicines and Healthcare Regulatory Agency are the regulatory bodies that focus on ensuring compliance with medical device regulations as well as safety standards (</w:t>
      </w:r>
      <w:r>
        <w:rPr>
          <w:color w:val="000000" w:themeColor="text1"/>
          <w:highlight w:val="white"/>
        </w:rPr>
        <w:t>MHRA, 2025</w:t>
      </w:r>
      <w:r>
        <w:rPr>
          <w:color w:val="000000" w:themeColor="text1"/>
        </w:rPr>
        <w:t>). Customers are the end users and are also the external stakeholders for the project. For example, the high level of engagement and adoption rate of the ultimate users of the device is highly essential. Investors, who will provide financial support and expect high returns, are also external stakeholders. Strategic technology partners are also the external stakeholders for the project. For example, strategic technology partners will help in app integration, implement AI features and develop software.</w:t>
      </w:r>
    </w:p>
    <w:p w14:paraId="279117D0" w14:textId="77777777" w:rsidR="003D2527" w:rsidRDefault="002B1B7E">
      <w:pPr>
        <w:pStyle w:val="Heading2"/>
        <w:spacing w:line="360" w:lineRule="auto"/>
        <w:rPr>
          <w:rFonts w:ascii="Arial" w:eastAsia="Arial" w:hAnsi="Arial" w:cs="Arial"/>
          <w:color w:val="000000" w:themeColor="text1"/>
          <w:sz w:val="22"/>
          <w:szCs w:val="22"/>
        </w:rPr>
      </w:pPr>
      <w:bookmarkStart w:id="12" w:name="_heading=h.8vr51inr59ie" w:colFirst="0" w:colLast="0"/>
      <w:bookmarkEnd w:id="12"/>
      <w:r>
        <w:rPr>
          <w:rFonts w:ascii="Arial" w:eastAsia="Arial" w:hAnsi="Arial" w:cs="Arial"/>
          <w:color w:val="000000" w:themeColor="text1"/>
          <w:sz w:val="22"/>
          <w:szCs w:val="22"/>
        </w:rPr>
        <w:t>3.4. Stakeholder map</w:t>
      </w:r>
    </w:p>
    <w:p w14:paraId="044B55EA" w14:textId="77777777" w:rsidR="003D2527" w:rsidRDefault="002B1B7E">
      <w:pPr>
        <w:spacing w:line="360" w:lineRule="auto"/>
        <w:jc w:val="center"/>
        <w:rPr>
          <w:b/>
          <w:color w:val="000000" w:themeColor="text1"/>
        </w:rPr>
      </w:pPr>
      <w:r>
        <w:rPr>
          <w:b/>
          <w:noProof/>
          <w:color w:val="000000" w:themeColor="text1"/>
        </w:rPr>
        <w:drawing>
          <wp:inline distT="114300" distB="114300" distL="114300" distR="114300" wp14:anchorId="135FA9AB" wp14:editId="57FCBF6A">
            <wp:extent cx="5943600" cy="4419600"/>
            <wp:effectExtent l="0" t="0" r="0" b="0"/>
            <wp:docPr id="22" name="image5.png"/>
            <wp:cNvGraphicFramePr/>
            <a:graphic xmlns:a="http://schemas.openxmlformats.org/drawingml/2006/main">
              <a:graphicData uri="http://schemas.openxmlformats.org/drawingml/2006/picture">
                <pic:pic xmlns:pic="http://schemas.openxmlformats.org/drawingml/2006/picture">
                  <pic:nvPicPr>
                    <pic:cNvPr id="22" name="image5.png"/>
                    <pic:cNvPicPr preferRelativeResize="0"/>
                  </pic:nvPicPr>
                  <pic:blipFill>
                    <a:blip r:embed="rId11"/>
                    <a:srcRect/>
                    <a:stretch>
                      <a:fillRect/>
                    </a:stretch>
                  </pic:blipFill>
                  <pic:spPr>
                    <a:xfrm>
                      <a:off x="0" y="0"/>
                      <a:ext cx="5943600" cy="4419600"/>
                    </a:xfrm>
                    <a:prstGeom prst="rect">
                      <a:avLst/>
                    </a:prstGeom>
                  </pic:spPr>
                </pic:pic>
              </a:graphicData>
            </a:graphic>
          </wp:inline>
        </w:drawing>
      </w:r>
    </w:p>
    <w:p w14:paraId="592BB332" w14:textId="77777777" w:rsidR="003D2527" w:rsidRDefault="002B1B7E">
      <w:pPr>
        <w:spacing w:line="360" w:lineRule="auto"/>
        <w:jc w:val="center"/>
        <w:rPr>
          <w:b/>
          <w:color w:val="000000" w:themeColor="text1"/>
        </w:rPr>
      </w:pPr>
      <w:r>
        <w:rPr>
          <w:b/>
          <w:color w:val="000000" w:themeColor="text1"/>
        </w:rPr>
        <w:t>Figure 3: Stakeholder Mapping</w:t>
      </w:r>
    </w:p>
    <w:p w14:paraId="7C86600C" w14:textId="77777777" w:rsidR="003D2527" w:rsidRDefault="002B1B7E">
      <w:pPr>
        <w:spacing w:line="360" w:lineRule="auto"/>
        <w:jc w:val="center"/>
        <w:rPr>
          <w:color w:val="000000" w:themeColor="text1"/>
        </w:rPr>
      </w:pPr>
      <w:r>
        <w:rPr>
          <w:color w:val="000000" w:themeColor="text1"/>
        </w:rPr>
        <w:t>(Source: Self-created)</w:t>
      </w:r>
    </w:p>
    <w:p w14:paraId="4A1FB939" w14:textId="77777777" w:rsidR="003D2527" w:rsidRDefault="002B1B7E">
      <w:pPr>
        <w:pStyle w:val="Heading2"/>
        <w:spacing w:line="360" w:lineRule="auto"/>
        <w:rPr>
          <w:rFonts w:ascii="Arial" w:eastAsia="Arial" w:hAnsi="Arial" w:cs="Arial"/>
          <w:color w:val="000000" w:themeColor="text1"/>
          <w:sz w:val="22"/>
          <w:szCs w:val="22"/>
        </w:rPr>
      </w:pPr>
      <w:bookmarkStart w:id="13" w:name="_heading=h.3j510vkirfo" w:colFirst="0" w:colLast="0"/>
      <w:bookmarkEnd w:id="13"/>
      <w:r>
        <w:rPr>
          <w:rFonts w:ascii="Arial" w:eastAsia="Arial" w:hAnsi="Arial" w:cs="Arial"/>
          <w:color w:val="000000" w:themeColor="text1"/>
          <w:sz w:val="22"/>
          <w:szCs w:val="22"/>
        </w:rPr>
        <w:t xml:space="preserve">3.5 Stakeholders matrix </w:t>
      </w:r>
    </w:p>
    <w:tbl>
      <w:tblPr>
        <w:tblStyle w:val="Style56"/>
        <w:tblW w:w="8880" w:type="dxa"/>
        <w:jc w:val="center"/>
        <w:tblInd w:w="0" w:type="dxa"/>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Look w:val="04A0" w:firstRow="1" w:lastRow="0" w:firstColumn="1" w:lastColumn="0" w:noHBand="0" w:noVBand="1"/>
      </w:tblPr>
      <w:tblGrid>
        <w:gridCol w:w="3105"/>
        <w:gridCol w:w="1185"/>
        <w:gridCol w:w="1050"/>
        <w:gridCol w:w="3540"/>
      </w:tblGrid>
      <w:tr w:rsidR="003D2527" w14:paraId="64CAA181" w14:textId="77777777">
        <w:trPr>
          <w:trHeight w:val="300"/>
          <w:jc w:val="center"/>
        </w:trPr>
        <w:tc>
          <w:tcPr>
            <w:tcW w:w="310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3E11AC21" w14:textId="77777777" w:rsidR="003D2527" w:rsidRDefault="002B1B7E">
            <w:pPr>
              <w:spacing w:before="240" w:line="360" w:lineRule="auto"/>
              <w:jc w:val="center"/>
              <w:rPr>
                <w:b/>
                <w:color w:val="000000" w:themeColor="text1"/>
              </w:rPr>
            </w:pPr>
            <w:r>
              <w:rPr>
                <w:b/>
                <w:color w:val="000000" w:themeColor="text1"/>
              </w:rPr>
              <w:t>Stakeholder Group</w:t>
            </w:r>
          </w:p>
        </w:tc>
        <w:tc>
          <w:tcPr>
            <w:tcW w:w="1185"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47054175" w14:textId="77777777" w:rsidR="003D2527" w:rsidRDefault="002B1B7E">
            <w:pPr>
              <w:spacing w:before="240" w:line="360" w:lineRule="auto"/>
              <w:jc w:val="center"/>
              <w:rPr>
                <w:b/>
                <w:color w:val="000000" w:themeColor="text1"/>
              </w:rPr>
            </w:pPr>
            <w:r>
              <w:rPr>
                <w:b/>
                <w:color w:val="000000" w:themeColor="text1"/>
              </w:rPr>
              <w:t>Influence</w:t>
            </w:r>
          </w:p>
        </w:tc>
        <w:tc>
          <w:tcPr>
            <w:tcW w:w="1050"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2FAD0CAE" w14:textId="77777777" w:rsidR="003D2527" w:rsidRDefault="002B1B7E">
            <w:pPr>
              <w:spacing w:before="240" w:line="360" w:lineRule="auto"/>
              <w:jc w:val="center"/>
              <w:rPr>
                <w:b/>
                <w:color w:val="000000" w:themeColor="text1"/>
              </w:rPr>
            </w:pPr>
            <w:r>
              <w:rPr>
                <w:b/>
                <w:color w:val="000000" w:themeColor="text1"/>
              </w:rPr>
              <w:t>Interest</w:t>
            </w:r>
          </w:p>
        </w:tc>
        <w:tc>
          <w:tcPr>
            <w:tcW w:w="3540"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1CCC4DA0" w14:textId="77777777" w:rsidR="003D2527" w:rsidRDefault="002B1B7E">
            <w:pPr>
              <w:spacing w:before="240" w:line="360" w:lineRule="auto"/>
              <w:jc w:val="center"/>
              <w:rPr>
                <w:b/>
                <w:color w:val="000000" w:themeColor="text1"/>
              </w:rPr>
            </w:pPr>
            <w:r>
              <w:rPr>
                <w:b/>
                <w:color w:val="000000" w:themeColor="text1"/>
              </w:rPr>
              <w:t>Engagement Strategy</w:t>
            </w:r>
          </w:p>
        </w:tc>
      </w:tr>
      <w:tr w:rsidR="003D2527" w14:paraId="1AD383F1" w14:textId="77777777">
        <w:trPr>
          <w:trHeight w:val="585"/>
          <w:jc w:val="center"/>
        </w:trPr>
        <w:tc>
          <w:tcPr>
            <w:tcW w:w="310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4CA2BC69" w14:textId="77777777" w:rsidR="003D2527" w:rsidRDefault="002B1B7E">
            <w:pPr>
              <w:spacing w:before="240" w:line="360" w:lineRule="auto"/>
              <w:jc w:val="both"/>
              <w:rPr>
                <w:color w:val="000000" w:themeColor="text1"/>
              </w:rPr>
            </w:pPr>
            <w:r>
              <w:rPr>
                <w:color w:val="000000" w:themeColor="text1"/>
              </w:rPr>
              <w:t>Executive Leadership/Board</w:t>
            </w:r>
          </w:p>
        </w:tc>
        <w:tc>
          <w:tcPr>
            <w:tcW w:w="1185" w:type="dxa"/>
            <w:tcBorders>
              <w:top w:val="nil"/>
              <w:left w:val="nil"/>
              <w:bottom w:val="single" w:sz="6" w:space="0" w:color="000000"/>
              <w:right w:val="single" w:sz="6" w:space="0" w:color="000000"/>
            </w:tcBorders>
            <w:tcMar>
              <w:top w:w="0" w:type="dxa"/>
              <w:left w:w="100" w:type="dxa"/>
              <w:bottom w:w="0" w:type="dxa"/>
              <w:right w:w="100" w:type="dxa"/>
            </w:tcMar>
          </w:tcPr>
          <w:p w14:paraId="1A22ED3A" w14:textId="77777777" w:rsidR="003D2527" w:rsidRDefault="002B1B7E">
            <w:pPr>
              <w:spacing w:before="240" w:line="360" w:lineRule="auto"/>
              <w:jc w:val="both"/>
              <w:rPr>
                <w:color w:val="000000" w:themeColor="text1"/>
              </w:rPr>
            </w:pPr>
            <w:r>
              <w:rPr>
                <w:color w:val="000000" w:themeColor="text1"/>
              </w:rPr>
              <w:t>High</w:t>
            </w:r>
          </w:p>
        </w:tc>
        <w:tc>
          <w:tcPr>
            <w:tcW w:w="1050" w:type="dxa"/>
            <w:tcBorders>
              <w:top w:val="nil"/>
              <w:left w:val="nil"/>
              <w:bottom w:val="single" w:sz="6" w:space="0" w:color="000000"/>
              <w:right w:val="single" w:sz="6" w:space="0" w:color="000000"/>
            </w:tcBorders>
            <w:tcMar>
              <w:top w:w="0" w:type="dxa"/>
              <w:left w:w="100" w:type="dxa"/>
              <w:bottom w:w="0" w:type="dxa"/>
              <w:right w:w="100" w:type="dxa"/>
            </w:tcMar>
          </w:tcPr>
          <w:p w14:paraId="48F37ED2" w14:textId="77777777" w:rsidR="003D2527" w:rsidRDefault="002B1B7E">
            <w:pPr>
              <w:spacing w:before="240" w:line="360" w:lineRule="auto"/>
              <w:jc w:val="both"/>
              <w:rPr>
                <w:color w:val="000000" w:themeColor="text1"/>
              </w:rPr>
            </w:pPr>
            <w:r>
              <w:rPr>
                <w:color w:val="000000" w:themeColor="text1"/>
              </w:rPr>
              <w:t>High</w:t>
            </w:r>
          </w:p>
        </w:tc>
        <w:tc>
          <w:tcPr>
            <w:tcW w:w="3540" w:type="dxa"/>
            <w:tcBorders>
              <w:top w:val="nil"/>
              <w:left w:val="nil"/>
              <w:bottom w:val="single" w:sz="6" w:space="0" w:color="000000"/>
              <w:right w:val="single" w:sz="6" w:space="0" w:color="000000"/>
            </w:tcBorders>
            <w:tcMar>
              <w:top w:w="0" w:type="dxa"/>
              <w:left w:w="100" w:type="dxa"/>
              <w:bottom w:w="0" w:type="dxa"/>
              <w:right w:w="100" w:type="dxa"/>
            </w:tcMar>
          </w:tcPr>
          <w:p w14:paraId="40551355" w14:textId="77777777" w:rsidR="003D2527" w:rsidRDefault="002B1B7E">
            <w:pPr>
              <w:spacing w:before="240" w:line="360" w:lineRule="auto"/>
              <w:jc w:val="both"/>
              <w:rPr>
                <w:color w:val="000000" w:themeColor="text1"/>
              </w:rPr>
            </w:pPr>
            <w:r>
              <w:rPr>
                <w:color w:val="000000" w:themeColor="text1"/>
              </w:rPr>
              <w:t>Active consultation, frequent briefings</w:t>
            </w:r>
          </w:p>
        </w:tc>
      </w:tr>
      <w:tr w:rsidR="003D2527" w14:paraId="27B22996" w14:textId="77777777">
        <w:trPr>
          <w:trHeight w:val="585"/>
          <w:jc w:val="center"/>
        </w:trPr>
        <w:tc>
          <w:tcPr>
            <w:tcW w:w="310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3F7962C8" w14:textId="77777777" w:rsidR="003D2527" w:rsidRDefault="002B1B7E">
            <w:pPr>
              <w:spacing w:before="240" w:line="360" w:lineRule="auto"/>
              <w:jc w:val="both"/>
              <w:rPr>
                <w:color w:val="000000" w:themeColor="text1"/>
              </w:rPr>
            </w:pPr>
            <w:r>
              <w:rPr>
                <w:color w:val="000000" w:themeColor="text1"/>
              </w:rPr>
              <w:t>Product Development Team</w:t>
            </w:r>
          </w:p>
        </w:tc>
        <w:tc>
          <w:tcPr>
            <w:tcW w:w="1185" w:type="dxa"/>
            <w:tcBorders>
              <w:top w:val="nil"/>
              <w:left w:val="nil"/>
              <w:bottom w:val="single" w:sz="6" w:space="0" w:color="000000"/>
              <w:right w:val="single" w:sz="6" w:space="0" w:color="000000"/>
            </w:tcBorders>
            <w:tcMar>
              <w:top w:w="0" w:type="dxa"/>
              <w:left w:w="100" w:type="dxa"/>
              <w:bottom w:w="0" w:type="dxa"/>
              <w:right w:w="100" w:type="dxa"/>
            </w:tcMar>
          </w:tcPr>
          <w:p w14:paraId="2ECF6F45" w14:textId="77777777" w:rsidR="003D2527" w:rsidRDefault="002B1B7E">
            <w:pPr>
              <w:spacing w:before="240" w:line="360" w:lineRule="auto"/>
              <w:jc w:val="both"/>
              <w:rPr>
                <w:color w:val="000000" w:themeColor="text1"/>
              </w:rPr>
            </w:pPr>
            <w:r>
              <w:rPr>
                <w:color w:val="000000" w:themeColor="text1"/>
              </w:rPr>
              <w:t>High</w:t>
            </w:r>
          </w:p>
        </w:tc>
        <w:tc>
          <w:tcPr>
            <w:tcW w:w="1050" w:type="dxa"/>
            <w:tcBorders>
              <w:top w:val="nil"/>
              <w:left w:val="nil"/>
              <w:bottom w:val="single" w:sz="6" w:space="0" w:color="000000"/>
              <w:right w:val="single" w:sz="6" w:space="0" w:color="000000"/>
            </w:tcBorders>
            <w:tcMar>
              <w:top w:w="0" w:type="dxa"/>
              <w:left w:w="100" w:type="dxa"/>
              <w:bottom w:w="0" w:type="dxa"/>
              <w:right w:w="100" w:type="dxa"/>
            </w:tcMar>
          </w:tcPr>
          <w:p w14:paraId="66EC7105" w14:textId="77777777" w:rsidR="003D2527" w:rsidRDefault="002B1B7E">
            <w:pPr>
              <w:spacing w:before="240" w:line="360" w:lineRule="auto"/>
              <w:jc w:val="both"/>
              <w:rPr>
                <w:color w:val="000000" w:themeColor="text1"/>
              </w:rPr>
            </w:pPr>
            <w:r>
              <w:rPr>
                <w:color w:val="000000" w:themeColor="text1"/>
              </w:rPr>
              <w:t>High</w:t>
            </w:r>
          </w:p>
        </w:tc>
        <w:tc>
          <w:tcPr>
            <w:tcW w:w="3540" w:type="dxa"/>
            <w:tcBorders>
              <w:top w:val="nil"/>
              <w:left w:val="nil"/>
              <w:bottom w:val="single" w:sz="6" w:space="0" w:color="000000"/>
              <w:right w:val="single" w:sz="6" w:space="0" w:color="000000"/>
            </w:tcBorders>
            <w:tcMar>
              <w:top w:w="0" w:type="dxa"/>
              <w:left w:w="100" w:type="dxa"/>
              <w:bottom w:w="0" w:type="dxa"/>
              <w:right w:w="100" w:type="dxa"/>
            </w:tcMar>
          </w:tcPr>
          <w:p w14:paraId="17B8CD8C" w14:textId="77777777" w:rsidR="003D2527" w:rsidRDefault="002B1B7E">
            <w:pPr>
              <w:spacing w:before="240" w:line="360" w:lineRule="auto"/>
              <w:jc w:val="both"/>
              <w:rPr>
                <w:color w:val="000000" w:themeColor="text1"/>
              </w:rPr>
            </w:pPr>
            <w:r>
              <w:rPr>
                <w:color w:val="000000" w:themeColor="text1"/>
              </w:rPr>
              <w:t>Collaborative workshops, agile updates</w:t>
            </w:r>
          </w:p>
        </w:tc>
      </w:tr>
      <w:tr w:rsidR="003D2527" w14:paraId="6EE6A893" w14:textId="77777777">
        <w:trPr>
          <w:trHeight w:val="585"/>
          <w:jc w:val="center"/>
        </w:trPr>
        <w:tc>
          <w:tcPr>
            <w:tcW w:w="310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78F21C08" w14:textId="77777777" w:rsidR="003D2527" w:rsidRDefault="002B1B7E">
            <w:pPr>
              <w:spacing w:before="240" w:line="360" w:lineRule="auto"/>
              <w:jc w:val="both"/>
              <w:rPr>
                <w:color w:val="000000" w:themeColor="text1"/>
              </w:rPr>
            </w:pPr>
            <w:r>
              <w:rPr>
                <w:color w:val="000000" w:themeColor="text1"/>
              </w:rPr>
              <w:t>Regulatory Bodies (MHRA/NHS)</w:t>
            </w:r>
          </w:p>
        </w:tc>
        <w:tc>
          <w:tcPr>
            <w:tcW w:w="1185" w:type="dxa"/>
            <w:tcBorders>
              <w:top w:val="nil"/>
              <w:left w:val="nil"/>
              <w:bottom w:val="single" w:sz="6" w:space="0" w:color="000000"/>
              <w:right w:val="single" w:sz="6" w:space="0" w:color="000000"/>
            </w:tcBorders>
            <w:tcMar>
              <w:top w:w="0" w:type="dxa"/>
              <w:left w:w="100" w:type="dxa"/>
              <w:bottom w:w="0" w:type="dxa"/>
              <w:right w:w="100" w:type="dxa"/>
            </w:tcMar>
          </w:tcPr>
          <w:p w14:paraId="7B2A561D" w14:textId="77777777" w:rsidR="003D2527" w:rsidRDefault="002B1B7E">
            <w:pPr>
              <w:spacing w:before="240" w:line="360" w:lineRule="auto"/>
              <w:jc w:val="both"/>
              <w:rPr>
                <w:color w:val="000000" w:themeColor="text1"/>
              </w:rPr>
            </w:pPr>
            <w:r>
              <w:rPr>
                <w:color w:val="000000" w:themeColor="text1"/>
              </w:rPr>
              <w:t>High</w:t>
            </w:r>
          </w:p>
        </w:tc>
        <w:tc>
          <w:tcPr>
            <w:tcW w:w="1050" w:type="dxa"/>
            <w:tcBorders>
              <w:top w:val="nil"/>
              <w:left w:val="nil"/>
              <w:bottom w:val="single" w:sz="6" w:space="0" w:color="000000"/>
              <w:right w:val="single" w:sz="6" w:space="0" w:color="000000"/>
            </w:tcBorders>
            <w:tcMar>
              <w:top w:w="0" w:type="dxa"/>
              <w:left w:w="100" w:type="dxa"/>
              <w:bottom w:w="0" w:type="dxa"/>
              <w:right w:w="100" w:type="dxa"/>
            </w:tcMar>
          </w:tcPr>
          <w:p w14:paraId="22369671" w14:textId="77777777" w:rsidR="003D2527" w:rsidRDefault="002B1B7E">
            <w:pPr>
              <w:spacing w:before="240" w:line="360" w:lineRule="auto"/>
              <w:jc w:val="both"/>
              <w:rPr>
                <w:color w:val="000000" w:themeColor="text1"/>
              </w:rPr>
            </w:pPr>
            <w:r>
              <w:rPr>
                <w:color w:val="000000" w:themeColor="text1"/>
              </w:rPr>
              <w:t>Medium</w:t>
            </w:r>
          </w:p>
        </w:tc>
        <w:tc>
          <w:tcPr>
            <w:tcW w:w="3540" w:type="dxa"/>
            <w:tcBorders>
              <w:top w:val="nil"/>
              <w:left w:val="nil"/>
              <w:bottom w:val="single" w:sz="6" w:space="0" w:color="000000"/>
              <w:right w:val="single" w:sz="6" w:space="0" w:color="000000"/>
            </w:tcBorders>
            <w:tcMar>
              <w:top w:w="0" w:type="dxa"/>
              <w:left w:w="100" w:type="dxa"/>
              <w:bottom w:w="0" w:type="dxa"/>
              <w:right w:w="100" w:type="dxa"/>
            </w:tcMar>
          </w:tcPr>
          <w:p w14:paraId="233622ED" w14:textId="77777777" w:rsidR="003D2527" w:rsidRDefault="002B1B7E">
            <w:pPr>
              <w:spacing w:before="240" w:line="360" w:lineRule="auto"/>
              <w:jc w:val="both"/>
              <w:rPr>
                <w:color w:val="000000" w:themeColor="text1"/>
              </w:rPr>
            </w:pPr>
            <w:r>
              <w:rPr>
                <w:color w:val="000000" w:themeColor="text1"/>
              </w:rPr>
              <w:t>Formal reporting, compliance reviews</w:t>
            </w:r>
          </w:p>
        </w:tc>
      </w:tr>
      <w:tr w:rsidR="003D2527" w14:paraId="76913AA5" w14:textId="77777777">
        <w:trPr>
          <w:trHeight w:val="585"/>
          <w:jc w:val="center"/>
        </w:trPr>
        <w:tc>
          <w:tcPr>
            <w:tcW w:w="310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21DDFE60" w14:textId="77777777" w:rsidR="003D2527" w:rsidRDefault="002B1B7E">
            <w:pPr>
              <w:spacing w:before="240" w:line="360" w:lineRule="auto"/>
              <w:jc w:val="both"/>
              <w:rPr>
                <w:color w:val="000000" w:themeColor="text1"/>
              </w:rPr>
            </w:pPr>
            <w:r>
              <w:rPr>
                <w:color w:val="000000" w:themeColor="text1"/>
              </w:rPr>
              <w:t>Marketing &amp; Sales Team</w:t>
            </w:r>
          </w:p>
        </w:tc>
        <w:tc>
          <w:tcPr>
            <w:tcW w:w="1185" w:type="dxa"/>
            <w:tcBorders>
              <w:top w:val="nil"/>
              <w:left w:val="nil"/>
              <w:bottom w:val="single" w:sz="6" w:space="0" w:color="000000"/>
              <w:right w:val="single" w:sz="6" w:space="0" w:color="000000"/>
            </w:tcBorders>
            <w:tcMar>
              <w:top w:w="0" w:type="dxa"/>
              <w:left w:w="100" w:type="dxa"/>
              <w:bottom w:w="0" w:type="dxa"/>
              <w:right w:w="100" w:type="dxa"/>
            </w:tcMar>
          </w:tcPr>
          <w:p w14:paraId="5C745CCD" w14:textId="77777777" w:rsidR="003D2527" w:rsidRDefault="002B1B7E">
            <w:pPr>
              <w:spacing w:before="240" w:line="360" w:lineRule="auto"/>
              <w:jc w:val="both"/>
              <w:rPr>
                <w:color w:val="000000" w:themeColor="text1"/>
              </w:rPr>
            </w:pPr>
            <w:r>
              <w:rPr>
                <w:color w:val="000000" w:themeColor="text1"/>
              </w:rPr>
              <w:t>Medium</w:t>
            </w:r>
          </w:p>
        </w:tc>
        <w:tc>
          <w:tcPr>
            <w:tcW w:w="1050" w:type="dxa"/>
            <w:tcBorders>
              <w:top w:val="nil"/>
              <w:left w:val="nil"/>
              <w:bottom w:val="single" w:sz="6" w:space="0" w:color="000000"/>
              <w:right w:val="single" w:sz="6" w:space="0" w:color="000000"/>
            </w:tcBorders>
            <w:tcMar>
              <w:top w:w="0" w:type="dxa"/>
              <w:left w:w="100" w:type="dxa"/>
              <w:bottom w:w="0" w:type="dxa"/>
              <w:right w:w="100" w:type="dxa"/>
            </w:tcMar>
          </w:tcPr>
          <w:p w14:paraId="7718F997" w14:textId="77777777" w:rsidR="003D2527" w:rsidRDefault="002B1B7E">
            <w:pPr>
              <w:spacing w:before="240" w:line="360" w:lineRule="auto"/>
              <w:jc w:val="both"/>
              <w:rPr>
                <w:color w:val="000000" w:themeColor="text1"/>
              </w:rPr>
            </w:pPr>
            <w:r>
              <w:rPr>
                <w:color w:val="000000" w:themeColor="text1"/>
              </w:rPr>
              <w:t>High</w:t>
            </w:r>
          </w:p>
        </w:tc>
        <w:tc>
          <w:tcPr>
            <w:tcW w:w="3540" w:type="dxa"/>
            <w:tcBorders>
              <w:top w:val="nil"/>
              <w:left w:val="nil"/>
              <w:bottom w:val="single" w:sz="6" w:space="0" w:color="000000"/>
              <w:right w:val="single" w:sz="6" w:space="0" w:color="000000"/>
            </w:tcBorders>
            <w:tcMar>
              <w:top w:w="0" w:type="dxa"/>
              <w:left w:w="100" w:type="dxa"/>
              <w:bottom w:w="0" w:type="dxa"/>
              <w:right w:w="100" w:type="dxa"/>
            </w:tcMar>
          </w:tcPr>
          <w:p w14:paraId="142BFCE3" w14:textId="77777777" w:rsidR="003D2527" w:rsidRDefault="002B1B7E">
            <w:pPr>
              <w:spacing w:before="240" w:line="360" w:lineRule="auto"/>
              <w:jc w:val="both"/>
              <w:rPr>
                <w:color w:val="000000" w:themeColor="text1"/>
              </w:rPr>
            </w:pPr>
            <w:r>
              <w:rPr>
                <w:color w:val="000000" w:themeColor="text1"/>
              </w:rPr>
              <w:t>Weekly progress meetings, dashboards</w:t>
            </w:r>
          </w:p>
        </w:tc>
      </w:tr>
      <w:tr w:rsidR="003D2527" w14:paraId="239B0F20" w14:textId="77777777">
        <w:trPr>
          <w:trHeight w:val="585"/>
          <w:jc w:val="center"/>
        </w:trPr>
        <w:tc>
          <w:tcPr>
            <w:tcW w:w="310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3C83D642" w14:textId="77777777" w:rsidR="003D2527" w:rsidRDefault="002B1B7E">
            <w:pPr>
              <w:spacing w:before="240" w:line="360" w:lineRule="auto"/>
              <w:jc w:val="both"/>
              <w:rPr>
                <w:color w:val="000000" w:themeColor="text1"/>
              </w:rPr>
            </w:pPr>
            <w:r>
              <w:rPr>
                <w:color w:val="000000" w:themeColor="text1"/>
              </w:rPr>
              <w:t>Patients/End-users</w:t>
            </w:r>
          </w:p>
        </w:tc>
        <w:tc>
          <w:tcPr>
            <w:tcW w:w="1185" w:type="dxa"/>
            <w:tcBorders>
              <w:top w:val="nil"/>
              <w:left w:val="nil"/>
              <w:bottom w:val="single" w:sz="6" w:space="0" w:color="000000"/>
              <w:right w:val="single" w:sz="6" w:space="0" w:color="000000"/>
            </w:tcBorders>
            <w:tcMar>
              <w:top w:w="0" w:type="dxa"/>
              <w:left w:w="100" w:type="dxa"/>
              <w:bottom w:w="0" w:type="dxa"/>
              <w:right w:w="100" w:type="dxa"/>
            </w:tcMar>
          </w:tcPr>
          <w:p w14:paraId="28BF87CE" w14:textId="77777777" w:rsidR="003D2527" w:rsidRDefault="002B1B7E">
            <w:pPr>
              <w:spacing w:before="240" w:line="360" w:lineRule="auto"/>
              <w:jc w:val="both"/>
              <w:rPr>
                <w:color w:val="000000" w:themeColor="text1"/>
              </w:rPr>
            </w:pPr>
            <w:r>
              <w:rPr>
                <w:color w:val="000000" w:themeColor="text1"/>
              </w:rPr>
              <w:t>Low</w:t>
            </w:r>
          </w:p>
        </w:tc>
        <w:tc>
          <w:tcPr>
            <w:tcW w:w="1050" w:type="dxa"/>
            <w:tcBorders>
              <w:top w:val="nil"/>
              <w:left w:val="nil"/>
              <w:bottom w:val="single" w:sz="6" w:space="0" w:color="000000"/>
              <w:right w:val="single" w:sz="6" w:space="0" w:color="000000"/>
            </w:tcBorders>
            <w:tcMar>
              <w:top w:w="0" w:type="dxa"/>
              <w:left w:w="100" w:type="dxa"/>
              <w:bottom w:w="0" w:type="dxa"/>
              <w:right w:w="100" w:type="dxa"/>
            </w:tcMar>
          </w:tcPr>
          <w:p w14:paraId="56C9BDE8" w14:textId="77777777" w:rsidR="003D2527" w:rsidRDefault="002B1B7E">
            <w:pPr>
              <w:spacing w:before="240" w:line="360" w:lineRule="auto"/>
              <w:jc w:val="both"/>
              <w:rPr>
                <w:color w:val="000000" w:themeColor="text1"/>
              </w:rPr>
            </w:pPr>
            <w:r>
              <w:rPr>
                <w:color w:val="000000" w:themeColor="text1"/>
              </w:rPr>
              <w:t>High</w:t>
            </w:r>
          </w:p>
        </w:tc>
        <w:tc>
          <w:tcPr>
            <w:tcW w:w="3540" w:type="dxa"/>
            <w:tcBorders>
              <w:top w:val="nil"/>
              <w:left w:val="nil"/>
              <w:bottom w:val="single" w:sz="6" w:space="0" w:color="000000"/>
              <w:right w:val="single" w:sz="6" w:space="0" w:color="000000"/>
            </w:tcBorders>
            <w:tcMar>
              <w:top w:w="0" w:type="dxa"/>
              <w:left w:w="100" w:type="dxa"/>
              <w:bottom w:w="0" w:type="dxa"/>
              <w:right w:w="100" w:type="dxa"/>
            </w:tcMar>
          </w:tcPr>
          <w:p w14:paraId="14873F7B" w14:textId="77777777" w:rsidR="003D2527" w:rsidRDefault="002B1B7E">
            <w:pPr>
              <w:spacing w:before="240" w:line="360" w:lineRule="auto"/>
              <w:jc w:val="both"/>
              <w:rPr>
                <w:color w:val="000000" w:themeColor="text1"/>
              </w:rPr>
            </w:pPr>
            <w:r>
              <w:rPr>
                <w:color w:val="000000" w:themeColor="text1"/>
              </w:rPr>
              <w:t>Surveys, pilot testing, and feedback sessions</w:t>
            </w:r>
          </w:p>
        </w:tc>
      </w:tr>
      <w:tr w:rsidR="003D2527" w14:paraId="33A89A85" w14:textId="77777777">
        <w:trPr>
          <w:trHeight w:val="585"/>
          <w:jc w:val="center"/>
        </w:trPr>
        <w:tc>
          <w:tcPr>
            <w:tcW w:w="310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0EA0165F" w14:textId="77777777" w:rsidR="003D2527" w:rsidRDefault="002B1B7E">
            <w:pPr>
              <w:spacing w:before="240" w:line="360" w:lineRule="auto"/>
              <w:jc w:val="both"/>
              <w:rPr>
                <w:color w:val="000000" w:themeColor="text1"/>
              </w:rPr>
            </w:pPr>
            <w:r>
              <w:rPr>
                <w:color w:val="000000" w:themeColor="text1"/>
              </w:rPr>
              <w:t>Suppliers &amp; Distributors</w:t>
            </w:r>
          </w:p>
        </w:tc>
        <w:tc>
          <w:tcPr>
            <w:tcW w:w="1185" w:type="dxa"/>
            <w:tcBorders>
              <w:top w:val="nil"/>
              <w:left w:val="nil"/>
              <w:bottom w:val="single" w:sz="6" w:space="0" w:color="000000"/>
              <w:right w:val="single" w:sz="6" w:space="0" w:color="000000"/>
            </w:tcBorders>
            <w:tcMar>
              <w:top w:w="0" w:type="dxa"/>
              <w:left w:w="100" w:type="dxa"/>
              <w:bottom w:w="0" w:type="dxa"/>
              <w:right w:w="100" w:type="dxa"/>
            </w:tcMar>
          </w:tcPr>
          <w:p w14:paraId="2E86E286" w14:textId="77777777" w:rsidR="003D2527" w:rsidRDefault="002B1B7E">
            <w:pPr>
              <w:spacing w:before="240" w:line="360" w:lineRule="auto"/>
              <w:jc w:val="both"/>
              <w:rPr>
                <w:color w:val="000000" w:themeColor="text1"/>
              </w:rPr>
            </w:pPr>
            <w:r>
              <w:rPr>
                <w:color w:val="000000" w:themeColor="text1"/>
              </w:rPr>
              <w:t>Medium</w:t>
            </w:r>
          </w:p>
        </w:tc>
        <w:tc>
          <w:tcPr>
            <w:tcW w:w="1050" w:type="dxa"/>
            <w:tcBorders>
              <w:top w:val="nil"/>
              <w:left w:val="nil"/>
              <w:bottom w:val="single" w:sz="6" w:space="0" w:color="000000"/>
              <w:right w:val="single" w:sz="6" w:space="0" w:color="000000"/>
            </w:tcBorders>
            <w:tcMar>
              <w:top w:w="0" w:type="dxa"/>
              <w:left w:w="100" w:type="dxa"/>
              <w:bottom w:w="0" w:type="dxa"/>
              <w:right w:w="100" w:type="dxa"/>
            </w:tcMar>
          </w:tcPr>
          <w:p w14:paraId="07AD085F" w14:textId="77777777" w:rsidR="003D2527" w:rsidRDefault="002B1B7E">
            <w:pPr>
              <w:spacing w:before="240" w:line="360" w:lineRule="auto"/>
              <w:jc w:val="both"/>
              <w:rPr>
                <w:color w:val="000000" w:themeColor="text1"/>
              </w:rPr>
            </w:pPr>
            <w:r>
              <w:rPr>
                <w:color w:val="000000" w:themeColor="text1"/>
              </w:rPr>
              <w:t>Medium</w:t>
            </w:r>
          </w:p>
        </w:tc>
        <w:tc>
          <w:tcPr>
            <w:tcW w:w="3540" w:type="dxa"/>
            <w:tcBorders>
              <w:top w:val="nil"/>
              <w:left w:val="nil"/>
              <w:bottom w:val="single" w:sz="6" w:space="0" w:color="000000"/>
              <w:right w:val="single" w:sz="6" w:space="0" w:color="000000"/>
            </w:tcBorders>
            <w:tcMar>
              <w:top w:w="0" w:type="dxa"/>
              <w:left w:w="100" w:type="dxa"/>
              <w:bottom w:w="0" w:type="dxa"/>
              <w:right w:w="100" w:type="dxa"/>
            </w:tcMar>
          </w:tcPr>
          <w:p w14:paraId="1426E840" w14:textId="77777777" w:rsidR="003D2527" w:rsidRDefault="002B1B7E">
            <w:pPr>
              <w:spacing w:before="240" w:line="360" w:lineRule="auto"/>
              <w:jc w:val="both"/>
              <w:rPr>
                <w:color w:val="000000" w:themeColor="text1"/>
              </w:rPr>
            </w:pPr>
            <w:r>
              <w:rPr>
                <w:color w:val="000000" w:themeColor="text1"/>
              </w:rPr>
              <w:t>Monthly reports, operational coordination</w:t>
            </w:r>
          </w:p>
        </w:tc>
      </w:tr>
    </w:tbl>
    <w:p w14:paraId="663CADCA" w14:textId="77777777" w:rsidR="003D2527" w:rsidRDefault="002B1B7E">
      <w:pPr>
        <w:spacing w:line="360" w:lineRule="auto"/>
        <w:jc w:val="center"/>
        <w:rPr>
          <w:b/>
          <w:color w:val="000000" w:themeColor="text1"/>
        </w:rPr>
      </w:pPr>
      <w:r>
        <w:rPr>
          <w:b/>
          <w:color w:val="000000" w:themeColor="text1"/>
        </w:rPr>
        <w:t>Table 3: Stakeholders matrix</w:t>
      </w:r>
    </w:p>
    <w:p w14:paraId="40E4178B" w14:textId="77777777" w:rsidR="003D2527" w:rsidRDefault="002B1B7E">
      <w:pPr>
        <w:spacing w:line="360" w:lineRule="auto"/>
        <w:jc w:val="center"/>
        <w:rPr>
          <w:color w:val="000000" w:themeColor="text1"/>
        </w:rPr>
      </w:pPr>
      <w:r>
        <w:rPr>
          <w:color w:val="000000" w:themeColor="text1"/>
        </w:rPr>
        <w:t>(Source: Self-created)</w:t>
      </w:r>
    </w:p>
    <w:p w14:paraId="0967FE53" w14:textId="77777777" w:rsidR="003D2527" w:rsidRDefault="002B1B7E">
      <w:pPr>
        <w:spacing w:line="360" w:lineRule="auto"/>
        <w:jc w:val="both"/>
        <w:rPr>
          <w:color w:val="000000" w:themeColor="text1"/>
        </w:rPr>
      </w:pPr>
      <w:r>
        <w:rPr>
          <w:color w:val="000000" w:themeColor="text1"/>
        </w:rPr>
        <w:t xml:space="preserve">Stakeholder Matrix significantly focuses on mapping of the stakeholders that are mainly based on the interest and influence, which also enables prioritisation for the engagement strategies (Styk and Bogacz, 2022, p.183). The Matrix focuses on ensuring a significant engagement of resources that are allocated for the stakeholders proactively. </w:t>
      </w:r>
    </w:p>
    <w:p w14:paraId="75946CEC" w14:textId="77777777" w:rsidR="003D2527" w:rsidRDefault="002B1B7E">
      <w:pPr>
        <w:pStyle w:val="Heading2"/>
        <w:spacing w:line="360" w:lineRule="auto"/>
        <w:rPr>
          <w:rFonts w:ascii="Arial" w:eastAsia="Arial" w:hAnsi="Arial" w:cs="Arial"/>
          <w:color w:val="000000" w:themeColor="text1"/>
          <w:sz w:val="22"/>
          <w:szCs w:val="22"/>
        </w:rPr>
      </w:pPr>
      <w:bookmarkStart w:id="14" w:name="_heading=h.2ootnhug0q09" w:colFirst="0" w:colLast="0"/>
      <w:bookmarkEnd w:id="14"/>
      <w:r>
        <w:rPr>
          <w:rFonts w:ascii="Arial" w:eastAsia="Arial" w:hAnsi="Arial" w:cs="Arial"/>
          <w:color w:val="000000" w:themeColor="text1"/>
          <w:sz w:val="22"/>
          <w:szCs w:val="22"/>
        </w:rPr>
        <w:t xml:space="preserve">3.6. Engagement plan </w:t>
      </w:r>
    </w:p>
    <w:p w14:paraId="5A239178" w14:textId="77777777" w:rsidR="003D2527" w:rsidRDefault="002B1B7E">
      <w:pPr>
        <w:spacing w:line="360" w:lineRule="auto"/>
        <w:jc w:val="both"/>
        <w:rPr>
          <w:color w:val="000000" w:themeColor="text1"/>
        </w:rPr>
      </w:pPr>
      <w:r>
        <w:rPr>
          <w:color w:val="000000" w:themeColor="text1"/>
        </w:rPr>
        <w:t xml:space="preserve">An engagement plan helps in outlining how the stakeholders focus on involvement throughout the respective project (Hollmann </w:t>
      </w:r>
      <w:r>
        <w:rPr>
          <w:i/>
          <w:color w:val="000000" w:themeColor="text1"/>
        </w:rPr>
        <w:t xml:space="preserve">et al., </w:t>
      </w:r>
      <w:r>
        <w:rPr>
          <w:color w:val="000000" w:themeColor="text1"/>
        </w:rPr>
        <w:t xml:space="preserve">2022). For the case of </w:t>
      </w:r>
      <w:proofErr w:type="spellStart"/>
      <w:r>
        <w:rPr>
          <w:color w:val="000000" w:themeColor="text1"/>
        </w:rPr>
        <w:t>TestCard</w:t>
      </w:r>
      <w:proofErr w:type="spellEnd"/>
      <w:r>
        <w:rPr>
          <w:color w:val="000000" w:themeColor="text1"/>
        </w:rPr>
        <w:t xml:space="preserve"> UK, executive leadership will include a regular project review </w:t>
      </w:r>
      <w:proofErr w:type="gramStart"/>
      <w:r>
        <w:rPr>
          <w:color w:val="000000" w:themeColor="text1"/>
        </w:rPr>
        <w:t>and also</w:t>
      </w:r>
      <w:proofErr w:type="gramEnd"/>
      <w:r>
        <w:rPr>
          <w:color w:val="000000" w:themeColor="text1"/>
        </w:rPr>
        <w:t xml:space="preserve"> the approval for the strategic decisions. The engagement plan for the product development team can focus on including agile sprint meetings and prototyping of workshops. For the case of regulatory bodies, inclusion of compliance submission, audits and approval can be one of the important engagement plans. For the patient or the end users, inclusion of pilot testing, feedback collection and different co-design sessions can be beneficial. For the marketing and sales department, the campaign planning meeting and the product launch briefing can be one of the important engagement plans. </w:t>
      </w:r>
    </w:p>
    <w:p w14:paraId="21908CA0" w14:textId="77777777" w:rsidR="003D2527" w:rsidRDefault="002B1B7E">
      <w:pPr>
        <w:pStyle w:val="Heading2"/>
        <w:spacing w:line="360" w:lineRule="auto"/>
        <w:rPr>
          <w:rFonts w:ascii="Arial" w:eastAsia="Arial" w:hAnsi="Arial" w:cs="Arial"/>
          <w:color w:val="000000" w:themeColor="text1"/>
          <w:sz w:val="22"/>
          <w:szCs w:val="22"/>
        </w:rPr>
      </w:pPr>
      <w:bookmarkStart w:id="15" w:name="_heading=h.dg9cpfc2sfw7" w:colFirst="0" w:colLast="0"/>
      <w:bookmarkEnd w:id="15"/>
      <w:r>
        <w:rPr>
          <w:rFonts w:ascii="Arial" w:eastAsia="Arial" w:hAnsi="Arial" w:cs="Arial"/>
          <w:color w:val="000000" w:themeColor="text1"/>
          <w:sz w:val="22"/>
          <w:szCs w:val="22"/>
        </w:rPr>
        <w:t xml:space="preserve">3.7 Communication plan </w:t>
      </w:r>
    </w:p>
    <w:tbl>
      <w:tblPr>
        <w:tblStyle w:val="Style57"/>
        <w:tblW w:w="8880" w:type="dxa"/>
        <w:jc w:val="center"/>
        <w:tblInd w:w="0" w:type="dxa"/>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Look w:val="04A0" w:firstRow="1" w:lastRow="0" w:firstColumn="1" w:lastColumn="0" w:noHBand="0" w:noVBand="1"/>
      </w:tblPr>
      <w:tblGrid>
        <w:gridCol w:w="2430"/>
        <w:gridCol w:w="2925"/>
        <w:gridCol w:w="1320"/>
        <w:gridCol w:w="2205"/>
      </w:tblGrid>
      <w:tr w:rsidR="003D2527" w14:paraId="5CB3C50A" w14:textId="77777777">
        <w:trPr>
          <w:trHeight w:val="585"/>
          <w:jc w:val="center"/>
        </w:trPr>
        <w:tc>
          <w:tcPr>
            <w:tcW w:w="243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416F9C68" w14:textId="77777777" w:rsidR="003D2527" w:rsidRDefault="002B1B7E">
            <w:pPr>
              <w:spacing w:before="240" w:line="360" w:lineRule="auto"/>
              <w:jc w:val="center"/>
              <w:rPr>
                <w:b/>
                <w:color w:val="000000" w:themeColor="text1"/>
              </w:rPr>
            </w:pPr>
            <w:r>
              <w:rPr>
                <w:b/>
                <w:color w:val="000000" w:themeColor="text1"/>
              </w:rPr>
              <w:t>Stakeholder Group</w:t>
            </w:r>
          </w:p>
        </w:tc>
        <w:tc>
          <w:tcPr>
            <w:tcW w:w="2925"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71D02A27" w14:textId="77777777" w:rsidR="003D2527" w:rsidRDefault="002B1B7E">
            <w:pPr>
              <w:spacing w:before="240" w:line="360" w:lineRule="auto"/>
              <w:jc w:val="center"/>
              <w:rPr>
                <w:b/>
                <w:color w:val="000000" w:themeColor="text1"/>
              </w:rPr>
            </w:pPr>
            <w:r>
              <w:rPr>
                <w:b/>
                <w:color w:val="000000" w:themeColor="text1"/>
              </w:rPr>
              <w:t>Communication Type</w:t>
            </w:r>
          </w:p>
        </w:tc>
        <w:tc>
          <w:tcPr>
            <w:tcW w:w="1320"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59EE1B58" w14:textId="77777777" w:rsidR="003D2527" w:rsidRDefault="002B1B7E">
            <w:pPr>
              <w:spacing w:before="240" w:line="360" w:lineRule="auto"/>
              <w:jc w:val="center"/>
              <w:rPr>
                <w:b/>
                <w:color w:val="000000" w:themeColor="text1"/>
              </w:rPr>
            </w:pPr>
            <w:r>
              <w:rPr>
                <w:b/>
                <w:color w:val="000000" w:themeColor="text1"/>
              </w:rPr>
              <w:t>Frequency</w:t>
            </w:r>
          </w:p>
        </w:tc>
        <w:tc>
          <w:tcPr>
            <w:tcW w:w="2205"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1E9BDE81" w14:textId="77777777" w:rsidR="003D2527" w:rsidRDefault="002B1B7E">
            <w:pPr>
              <w:spacing w:before="240" w:line="360" w:lineRule="auto"/>
              <w:jc w:val="center"/>
              <w:rPr>
                <w:b/>
                <w:color w:val="000000" w:themeColor="text1"/>
              </w:rPr>
            </w:pPr>
            <w:r>
              <w:rPr>
                <w:b/>
                <w:color w:val="000000" w:themeColor="text1"/>
              </w:rPr>
              <w:t>Responsible Person</w:t>
            </w:r>
          </w:p>
        </w:tc>
      </w:tr>
      <w:tr w:rsidR="003D2527" w14:paraId="6AE77032" w14:textId="77777777">
        <w:trPr>
          <w:trHeight w:val="585"/>
          <w:jc w:val="center"/>
        </w:trPr>
        <w:tc>
          <w:tcPr>
            <w:tcW w:w="243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779B0A17" w14:textId="77777777" w:rsidR="003D2527" w:rsidRDefault="002B1B7E">
            <w:pPr>
              <w:spacing w:before="240" w:line="360" w:lineRule="auto"/>
              <w:jc w:val="both"/>
              <w:rPr>
                <w:color w:val="000000" w:themeColor="text1"/>
              </w:rPr>
            </w:pPr>
            <w:r>
              <w:rPr>
                <w:color w:val="000000" w:themeColor="text1"/>
              </w:rPr>
              <w:t>Executive Leadership/Board</w:t>
            </w:r>
          </w:p>
        </w:tc>
        <w:tc>
          <w:tcPr>
            <w:tcW w:w="2925" w:type="dxa"/>
            <w:tcBorders>
              <w:top w:val="nil"/>
              <w:left w:val="nil"/>
              <w:bottom w:val="single" w:sz="6" w:space="0" w:color="000000"/>
              <w:right w:val="single" w:sz="6" w:space="0" w:color="000000"/>
            </w:tcBorders>
            <w:tcMar>
              <w:top w:w="0" w:type="dxa"/>
              <w:left w:w="100" w:type="dxa"/>
              <w:bottom w:w="0" w:type="dxa"/>
              <w:right w:w="100" w:type="dxa"/>
            </w:tcMar>
          </w:tcPr>
          <w:p w14:paraId="11DEFF0E" w14:textId="77777777" w:rsidR="003D2527" w:rsidRDefault="002B1B7E">
            <w:pPr>
              <w:spacing w:before="240" w:line="360" w:lineRule="auto"/>
              <w:jc w:val="both"/>
              <w:rPr>
                <w:color w:val="000000" w:themeColor="text1"/>
              </w:rPr>
            </w:pPr>
            <w:r>
              <w:rPr>
                <w:color w:val="000000" w:themeColor="text1"/>
              </w:rPr>
              <w:t>Progress reports, presentations</w:t>
            </w:r>
          </w:p>
        </w:tc>
        <w:tc>
          <w:tcPr>
            <w:tcW w:w="1320" w:type="dxa"/>
            <w:tcBorders>
              <w:top w:val="nil"/>
              <w:left w:val="nil"/>
              <w:bottom w:val="single" w:sz="6" w:space="0" w:color="000000"/>
              <w:right w:val="single" w:sz="6" w:space="0" w:color="000000"/>
            </w:tcBorders>
            <w:tcMar>
              <w:top w:w="0" w:type="dxa"/>
              <w:left w:w="100" w:type="dxa"/>
              <w:bottom w:w="0" w:type="dxa"/>
              <w:right w:w="100" w:type="dxa"/>
            </w:tcMar>
          </w:tcPr>
          <w:p w14:paraId="32EB88BD" w14:textId="77777777" w:rsidR="003D2527" w:rsidRDefault="002B1B7E">
            <w:pPr>
              <w:spacing w:before="240" w:line="360" w:lineRule="auto"/>
              <w:jc w:val="both"/>
              <w:rPr>
                <w:color w:val="000000" w:themeColor="text1"/>
              </w:rPr>
            </w:pPr>
            <w:r>
              <w:rPr>
                <w:color w:val="000000" w:themeColor="text1"/>
              </w:rPr>
              <w:t>Bi-weekly</w:t>
            </w:r>
          </w:p>
        </w:tc>
        <w:tc>
          <w:tcPr>
            <w:tcW w:w="2205" w:type="dxa"/>
            <w:tcBorders>
              <w:top w:val="nil"/>
              <w:left w:val="nil"/>
              <w:bottom w:val="single" w:sz="6" w:space="0" w:color="000000"/>
              <w:right w:val="single" w:sz="6" w:space="0" w:color="000000"/>
            </w:tcBorders>
            <w:tcMar>
              <w:top w:w="0" w:type="dxa"/>
              <w:left w:w="100" w:type="dxa"/>
              <w:bottom w:w="0" w:type="dxa"/>
              <w:right w:w="100" w:type="dxa"/>
            </w:tcMar>
          </w:tcPr>
          <w:p w14:paraId="10E98D89" w14:textId="77777777" w:rsidR="003D2527" w:rsidRDefault="002B1B7E">
            <w:pPr>
              <w:spacing w:before="240" w:line="360" w:lineRule="auto"/>
              <w:jc w:val="both"/>
              <w:rPr>
                <w:color w:val="000000" w:themeColor="text1"/>
              </w:rPr>
            </w:pPr>
            <w:r>
              <w:rPr>
                <w:color w:val="000000" w:themeColor="text1"/>
              </w:rPr>
              <w:t>Project Manager</w:t>
            </w:r>
          </w:p>
        </w:tc>
      </w:tr>
      <w:tr w:rsidR="003D2527" w14:paraId="0B40BA62" w14:textId="77777777">
        <w:trPr>
          <w:trHeight w:val="585"/>
          <w:jc w:val="center"/>
        </w:trPr>
        <w:tc>
          <w:tcPr>
            <w:tcW w:w="243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4BC82D8B" w14:textId="77777777" w:rsidR="003D2527" w:rsidRDefault="002B1B7E">
            <w:pPr>
              <w:spacing w:before="240" w:line="360" w:lineRule="auto"/>
              <w:jc w:val="both"/>
              <w:rPr>
                <w:color w:val="000000" w:themeColor="text1"/>
              </w:rPr>
            </w:pPr>
            <w:r>
              <w:rPr>
                <w:color w:val="000000" w:themeColor="text1"/>
              </w:rPr>
              <w:t>Product Development Team</w:t>
            </w:r>
          </w:p>
        </w:tc>
        <w:tc>
          <w:tcPr>
            <w:tcW w:w="2925" w:type="dxa"/>
            <w:tcBorders>
              <w:top w:val="nil"/>
              <w:left w:val="nil"/>
              <w:bottom w:val="single" w:sz="6" w:space="0" w:color="000000"/>
              <w:right w:val="single" w:sz="6" w:space="0" w:color="000000"/>
            </w:tcBorders>
            <w:tcMar>
              <w:top w:w="0" w:type="dxa"/>
              <w:left w:w="100" w:type="dxa"/>
              <w:bottom w:w="0" w:type="dxa"/>
              <w:right w:w="100" w:type="dxa"/>
            </w:tcMar>
          </w:tcPr>
          <w:p w14:paraId="5987FF3E" w14:textId="77777777" w:rsidR="003D2527" w:rsidRDefault="002B1B7E">
            <w:pPr>
              <w:spacing w:before="240" w:line="360" w:lineRule="auto"/>
              <w:jc w:val="both"/>
              <w:rPr>
                <w:color w:val="000000" w:themeColor="text1"/>
              </w:rPr>
            </w:pPr>
            <w:r>
              <w:rPr>
                <w:color w:val="000000" w:themeColor="text1"/>
              </w:rPr>
              <w:t>Agile updates, workshops</w:t>
            </w:r>
          </w:p>
        </w:tc>
        <w:tc>
          <w:tcPr>
            <w:tcW w:w="1320" w:type="dxa"/>
            <w:tcBorders>
              <w:top w:val="nil"/>
              <w:left w:val="nil"/>
              <w:bottom w:val="single" w:sz="6" w:space="0" w:color="000000"/>
              <w:right w:val="single" w:sz="6" w:space="0" w:color="000000"/>
            </w:tcBorders>
            <w:tcMar>
              <w:top w:w="0" w:type="dxa"/>
              <w:left w:w="100" w:type="dxa"/>
              <w:bottom w:w="0" w:type="dxa"/>
              <w:right w:w="100" w:type="dxa"/>
            </w:tcMar>
          </w:tcPr>
          <w:p w14:paraId="5157CDE1" w14:textId="77777777" w:rsidR="003D2527" w:rsidRDefault="002B1B7E">
            <w:pPr>
              <w:spacing w:before="240" w:line="360" w:lineRule="auto"/>
              <w:jc w:val="both"/>
              <w:rPr>
                <w:color w:val="000000" w:themeColor="text1"/>
              </w:rPr>
            </w:pPr>
            <w:r>
              <w:rPr>
                <w:color w:val="000000" w:themeColor="text1"/>
              </w:rPr>
              <w:t>Weekly</w:t>
            </w:r>
          </w:p>
        </w:tc>
        <w:tc>
          <w:tcPr>
            <w:tcW w:w="2205" w:type="dxa"/>
            <w:tcBorders>
              <w:top w:val="nil"/>
              <w:left w:val="nil"/>
              <w:bottom w:val="single" w:sz="6" w:space="0" w:color="000000"/>
              <w:right w:val="single" w:sz="6" w:space="0" w:color="000000"/>
            </w:tcBorders>
            <w:tcMar>
              <w:top w:w="0" w:type="dxa"/>
              <w:left w:w="100" w:type="dxa"/>
              <w:bottom w:w="0" w:type="dxa"/>
              <w:right w:w="100" w:type="dxa"/>
            </w:tcMar>
          </w:tcPr>
          <w:p w14:paraId="30822135" w14:textId="77777777" w:rsidR="003D2527" w:rsidRDefault="002B1B7E">
            <w:pPr>
              <w:spacing w:before="240" w:line="360" w:lineRule="auto"/>
              <w:jc w:val="both"/>
              <w:rPr>
                <w:color w:val="000000" w:themeColor="text1"/>
              </w:rPr>
            </w:pPr>
            <w:r>
              <w:rPr>
                <w:color w:val="000000" w:themeColor="text1"/>
              </w:rPr>
              <w:t>Project Manager/Tech Lead</w:t>
            </w:r>
          </w:p>
        </w:tc>
      </w:tr>
      <w:tr w:rsidR="003D2527" w14:paraId="327FDF37" w14:textId="77777777">
        <w:trPr>
          <w:trHeight w:val="585"/>
          <w:jc w:val="center"/>
        </w:trPr>
        <w:tc>
          <w:tcPr>
            <w:tcW w:w="243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4D3B0A0F" w14:textId="77777777" w:rsidR="003D2527" w:rsidRDefault="002B1B7E">
            <w:pPr>
              <w:spacing w:before="240" w:line="360" w:lineRule="auto"/>
              <w:jc w:val="both"/>
              <w:rPr>
                <w:color w:val="000000" w:themeColor="text1"/>
              </w:rPr>
            </w:pPr>
            <w:r>
              <w:rPr>
                <w:color w:val="000000" w:themeColor="text1"/>
              </w:rPr>
              <w:t>Regulatory Bodies</w:t>
            </w:r>
          </w:p>
        </w:tc>
        <w:tc>
          <w:tcPr>
            <w:tcW w:w="2925" w:type="dxa"/>
            <w:tcBorders>
              <w:top w:val="nil"/>
              <w:left w:val="nil"/>
              <w:bottom w:val="single" w:sz="6" w:space="0" w:color="000000"/>
              <w:right w:val="single" w:sz="6" w:space="0" w:color="000000"/>
            </w:tcBorders>
            <w:tcMar>
              <w:top w:w="0" w:type="dxa"/>
              <w:left w:w="100" w:type="dxa"/>
              <w:bottom w:w="0" w:type="dxa"/>
              <w:right w:w="100" w:type="dxa"/>
            </w:tcMar>
          </w:tcPr>
          <w:p w14:paraId="6CFDADB9" w14:textId="77777777" w:rsidR="003D2527" w:rsidRDefault="002B1B7E">
            <w:pPr>
              <w:spacing w:before="240" w:line="360" w:lineRule="auto"/>
              <w:jc w:val="both"/>
              <w:rPr>
                <w:color w:val="000000" w:themeColor="text1"/>
              </w:rPr>
            </w:pPr>
            <w:r>
              <w:rPr>
                <w:color w:val="000000" w:themeColor="text1"/>
              </w:rPr>
              <w:t>Formal submissions, compliance reports</w:t>
            </w:r>
          </w:p>
        </w:tc>
        <w:tc>
          <w:tcPr>
            <w:tcW w:w="1320" w:type="dxa"/>
            <w:tcBorders>
              <w:top w:val="nil"/>
              <w:left w:val="nil"/>
              <w:bottom w:val="single" w:sz="6" w:space="0" w:color="000000"/>
              <w:right w:val="single" w:sz="6" w:space="0" w:color="000000"/>
            </w:tcBorders>
            <w:tcMar>
              <w:top w:w="0" w:type="dxa"/>
              <w:left w:w="100" w:type="dxa"/>
              <w:bottom w:w="0" w:type="dxa"/>
              <w:right w:w="100" w:type="dxa"/>
            </w:tcMar>
          </w:tcPr>
          <w:p w14:paraId="5AFE8EF6" w14:textId="77777777" w:rsidR="003D2527" w:rsidRDefault="002B1B7E">
            <w:pPr>
              <w:spacing w:before="240" w:line="360" w:lineRule="auto"/>
              <w:jc w:val="both"/>
              <w:rPr>
                <w:color w:val="000000" w:themeColor="text1"/>
              </w:rPr>
            </w:pPr>
            <w:r>
              <w:rPr>
                <w:color w:val="000000" w:themeColor="text1"/>
              </w:rPr>
              <w:t>Monthly</w:t>
            </w:r>
          </w:p>
        </w:tc>
        <w:tc>
          <w:tcPr>
            <w:tcW w:w="2205" w:type="dxa"/>
            <w:tcBorders>
              <w:top w:val="nil"/>
              <w:left w:val="nil"/>
              <w:bottom w:val="single" w:sz="6" w:space="0" w:color="000000"/>
              <w:right w:val="single" w:sz="6" w:space="0" w:color="000000"/>
            </w:tcBorders>
            <w:tcMar>
              <w:top w:w="0" w:type="dxa"/>
              <w:left w:w="100" w:type="dxa"/>
              <w:bottom w:w="0" w:type="dxa"/>
              <w:right w:w="100" w:type="dxa"/>
            </w:tcMar>
          </w:tcPr>
          <w:p w14:paraId="72BF5DD6" w14:textId="77777777" w:rsidR="003D2527" w:rsidRDefault="002B1B7E">
            <w:pPr>
              <w:spacing w:before="240" w:line="360" w:lineRule="auto"/>
              <w:jc w:val="both"/>
              <w:rPr>
                <w:color w:val="000000" w:themeColor="text1"/>
              </w:rPr>
            </w:pPr>
            <w:r>
              <w:rPr>
                <w:color w:val="000000" w:themeColor="text1"/>
              </w:rPr>
              <w:t>Regulatory Lead</w:t>
            </w:r>
          </w:p>
        </w:tc>
      </w:tr>
      <w:tr w:rsidR="003D2527" w14:paraId="40512F7F" w14:textId="77777777">
        <w:trPr>
          <w:trHeight w:val="300"/>
          <w:jc w:val="center"/>
        </w:trPr>
        <w:tc>
          <w:tcPr>
            <w:tcW w:w="243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6EA32036" w14:textId="77777777" w:rsidR="003D2527" w:rsidRDefault="002B1B7E">
            <w:pPr>
              <w:spacing w:before="240" w:line="360" w:lineRule="auto"/>
              <w:jc w:val="both"/>
              <w:rPr>
                <w:color w:val="000000" w:themeColor="text1"/>
              </w:rPr>
            </w:pPr>
            <w:r>
              <w:rPr>
                <w:color w:val="000000" w:themeColor="text1"/>
              </w:rPr>
              <w:t>Patients/End-users</w:t>
            </w:r>
          </w:p>
        </w:tc>
        <w:tc>
          <w:tcPr>
            <w:tcW w:w="2925" w:type="dxa"/>
            <w:tcBorders>
              <w:top w:val="nil"/>
              <w:left w:val="nil"/>
              <w:bottom w:val="single" w:sz="6" w:space="0" w:color="000000"/>
              <w:right w:val="single" w:sz="6" w:space="0" w:color="000000"/>
            </w:tcBorders>
            <w:tcMar>
              <w:top w:w="0" w:type="dxa"/>
              <w:left w:w="100" w:type="dxa"/>
              <w:bottom w:w="0" w:type="dxa"/>
              <w:right w:w="100" w:type="dxa"/>
            </w:tcMar>
          </w:tcPr>
          <w:p w14:paraId="0317B2A7" w14:textId="77777777" w:rsidR="003D2527" w:rsidRDefault="002B1B7E">
            <w:pPr>
              <w:spacing w:before="240" w:line="360" w:lineRule="auto"/>
              <w:jc w:val="both"/>
              <w:rPr>
                <w:color w:val="000000" w:themeColor="text1"/>
              </w:rPr>
            </w:pPr>
            <w:r>
              <w:rPr>
                <w:color w:val="000000" w:themeColor="text1"/>
              </w:rPr>
              <w:t>Surveys, pilot updates</w:t>
            </w:r>
          </w:p>
        </w:tc>
        <w:tc>
          <w:tcPr>
            <w:tcW w:w="1320" w:type="dxa"/>
            <w:tcBorders>
              <w:top w:val="nil"/>
              <w:left w:val="nil"/>
              <w:bottom w:val="single" w:sz="6" w:space="0" w:color="000000"/>
              <w:right w:val="single" w:sz="6" w:space="0" w:color="000000"/>
            </w:tcBorders>
            <w:tcMar>
              <w:top w:w="0" w:type="dxa"/>
              <w:left w:w="100" w:type="dxa"/>
              <w:bottom w:w="0" w:type="dxa"/>
              <w:right w:w="100" w:type="dxa"/>
            </w:tcMar>
          </w:tcPr>
          <w:p w14:paraId="3F2D6E09" w14:textId="77777777" w:rsidR="003D2527" w:rsidRDefault="002B1B7E">
            <w:pPr>
              <w:spacing w:before="240" w:line="360" w:lineRule="auto"/>
              <w:jc w:val="both"/>
              <w:rPr>
                <w:color w:val="000000" w:themeColor="text1"/>
              </w:rPr>
            </w:pPr>
            <w:r>
              <w:rPr>
                <w:color w:val="000000" w:themeColor="text1"/>
              </w:rPr>
              <w:t>Monthly</w:t>
            </w:r>
          </w:p>
        </w:tc>
        <w:tc>
          <w:tcPr>
            <w:tcW w:w="2205" w:type="dxa"/>
            <w:tcBorders>
              <w:top w:val="nil"/>
              <w:left w:val="nil"/>
              <w:bottom w:val="single" w:sz="6" w:space="0" w:color="000000"/>
              <w:right w:val="single" w:sz="6" w:space="0" w:color="000000"/>
            </w:tcBorders>
            <w:tcMar>
              <w:top w:w="0" w:type="dxa"/>
              <w:left w:w="100" w:type="dxa"/>
              <w:bottom w:w="0" w:type="dxa"/>
              <w:right w:w="100" w:type="dxa"/>
            </w:tcMar>
          </w:tcPr>
          <w:p w14:paraId="4CE3200B" w14:textId="77777777" w:rsidR="003D2527" w:rsidRDefault="002B1B7E">
            <w:pPr>
              <w:spacing w:before="240" w:line="360" w:lineRule="auto"/>
              <w:jc w:val="both"/>
              <w:rPr>
                <w:color w:val="000000" w:themeColor="text1"/>
              </w:rPr>
            </w:pPr>
            <w:r>
              <w:rPr>
                <w:color w:val="000000" w:themeColor="text1"/>
              </w:rPr>
              <w:t>Marketing Team</w:t>
            </w:r>
          </w:p>
        </w:tc>
      </w:tr>
      <w:tr w:rsidR="003D2527" w14:paraId="10C83592" w14:textId="77777777">
        <w:trPr>
          <w:trHeight w:val="585"/>
          <w:jc w:val="center"/>
        </w:trPr>
        <w:tc>
          <w:tcPr>
            <w:tcW w:w="243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0597EB64" w14:textId="77777777" w:rsidR="003D2527" w:rsidRDefault="002B1B7E">
            <w:pPr>
              <w:spacing w:before="240" w:line="360" w:lineRule="auto"/>
              <w:jc w:val="both"/>
              <w:rPr>
                <w:color w:val="000000" w:themeColor="text1"/>
              </w:rPr>
            </w:pPr>
            <w:r>
              <w:rPr>
                <w:color w:val="000000" w:themeColor="text1"/>
              </w:rPr>
              <w:t>Marketing &amp; Sales Team</w:t>
            </w:r>
          </w:p>
        </w:tc>
        <w:tc>
          <w:tcPr>
            <w:tcW w:w="2925" w:type="dxa"/>
            <w:tcBorders>
              <w:top w:val="nil"/>
              <w:left w:val="nil"/>
              <w:bottom w:val="single" w:sz="6" w:space="0" w:color="000000"/>
              <w:right w:val="single" w:sz="6" w:space="0" w:color="000000"/>
            </w:tcBorders>
            <w:tcMar>
              <w:top w:w="0" w:type="dxa"/>
              <w:left w:w="100" w:type="dxa"/>
              <w:bottom w:w="0" w:type="dxa"/>
              <w:right w:w="100" w:type="dxa"/>
            </w:tcMar>
          </w:tcPr>
          <w:p w14:paraId="302DFD0C" w14:textId="77777777" w:rsidR="003D2527" w:rsidRDefault="002B1B7E">
            <w:pPr>
              <w:spacing w:before="240" w:line="360" w:lineRule="auto"/>
              <w:jc w:val="both"/>
              <w:rPr>
                <w:color w:val="000000" w:themeColor="text1"/>
              </w:rPr>
            </w:pPr>
            <w:r>
              <w:rPr>
                <w:color w:val="000000" w:themeColor="text1"/>
              </w:rPr>
              <w:t>Dashboards, briefings</w:t>
            </w:r>
          </w:p>
        </w:tc>
        <w:tc>
          <w:tcPr>
            <w:tcW w:w="1320" w:type="dxa"/>
            <w:tcBorders>
              <w:top w:val="nil"/>
              <w:left w:val="nil"/>
              <w:bottom w:val="single" w:sz="6" w:space="0" w:color="000000"/>
              <w:right w:val="single" w:sz="6" w:space="0" w:color="000000"/>
            </w:tcBorders>
            <w:tcMar>
              <w:top w:w="0" w:type="dxa"/>
              <w:left w:w="100" w:type="dxa"/>
              <w:bottom w:w="0" w:type="dxa"/>
              <w:right w:w="100" w:type="dxa"/>
            </w:tcMar>
          </w:tcPr>
          <w:p w14:paraId="6F518528" w14:textId="77777777" w:rsidR="003D2527" w:rsidRDefault="002B1B7E">
            <w:pPr>
              <w:spacing w:before="240" w:line="360" w:lineRule="auto"/>
              <w:jc w:val="both"/>
              <w:rPr>
                <w:color w:val="000000" w:themeColor="text1"/>
              </w:rPr>
            </w:pPr>
            <w:r>
              <w:rPr>
                <w:color w:val="000000" w:themeColor="text1"/>
              </w:rPr>
              <w:t>Weekly</w:t>
            </w:r>
          </w:p>
        </w:tc>
        <w:tc>
          <w:tcPr>
            <w:tcW w:w="2205" w:type="dxa"/>
            <w:tcBorders>
              <w:top w:val="nil"/>
              <w:left w:val="nil"/>
              <w:bottom w:val="single" w:sz="6" w:space="0" w:color="000000"/>
              <w:right w:val="single" w:sz="6" w:space="0" w:color="000000"/>
            </w:tcBorders>
            <w:tcMar>
              <w:top w:w="0" w:type="dxa"/>
              <w:left w:w="100" w:type="dxa"/>
              <w:bottom w:w="0" w:type="dxa"/>
              <w:right w:w="100" w:type="dxa"/>
            </w:tcMar>
          </w:tcPr>
          <w:p w14:paraId="256E3A88" w14:textId="77777777" w:rsidR="003D2527" w:rsidRDefault="002B1B7E">
            <w:pPr>
              <w:spacing w:before="240" w:line="360" w:lineRule="auto"/>
              <w:jc w:val="both"/>
              <w:rPr>
                <w:color w:val="000000" w:themeColor="text1"/>
              </w:rPr>
            </w:pPr>
            <w:r>
              <w:rPr>
                <w:color w:val="000000" w:themeColor="text1"/>
              </w:rPr>
              <w:t>Marketing Manager</w:t>
            </w:r>
          </w:p>
        </w:tc>
      </w:tr>
      <w:tr w:rsidR="003D2527" w14:paraId="0F638FCA" w14:textId="77777777">
        <w:trPr>
          <w:trHeight w:val="585"/>
          <w:jc w:val="center"/>
        </w:trPr>
        <w:tc>
          <w:tcPr>
            <w:tcW w:w="243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6BBBE46C" w14:textId="77777777" w:rsidR="003D2527" w:rsidRDefault="002B1B7E">
            <w:pPr>
              <w:spacing w:before="240" w:line="360" w:lineRule="auto"/>
              <w:jc w:val="both"/>
              <w:rPr>
                <w:color w:val="000000" w:themeColor="text1"/>
              </w:rPr>
            </w:pPr>
            <w:r>
              <w:rPr>
                <w:color w:val="000000" w:themeColor="text1"/>
              </w:rPr>
              <w:t>Suppliers &amp; Distributors</w:t>
            </w:r>
          </w:p>
        </w:tc>
        <w:tc>
          <w:tcPr>
            <w:tcW w:w="2925" w:type="dxa"/>
            <w:tcBorders>
              <w:top w:val="nil"/>
              <w:left w:val="nil"/>
              <w:bottom w:val="single" w:sz="6" w:space="0" w:color="000000"/>
              <w:right w:val="single" w:sz="6" w:space="0" w:color="000000"/>
            </w:tcBorders>
            <w:tcMar>
              <w:top w:w="0" w:type="dxa"/>
              <w:left w:w="100" w:type="dxa"/>
              <w:bottom w:w="0" w:type="dxa"/>
              <w:right w:w="100" w:type="dxa"/>
            </w:tcMar>
          </w:tcPr>
          <w:p w14:paraId="223700E4" w14:textId="77777777" w:rsidR="003D2527" w:rsidRDefault="002B1B7E">
            <w:pPr>
              <w:spacing w:before="240" w:line="360" w:lineRule="auto"/>
              <w:jc w:val="both"/>
              <w:rPr>
                <w:color w:val="000000" w:themeColor="text1"/>
              </w:rPr>
            </w:pPr>
            <w:r>
              <w:rPr>
                <w:color w:val="000000" w:themeColor="text1"/>
              </w:rPr>
              <w:t>Operational updates</w:t>
            </w:r>
          </w:p>
        </w:tc>
        <w:tc>
          <w:tcPr>
            <w:tcW w:w="1320" w:type="dxa"/>
            <w:tcBorders>
              <w:top w:val="nil"/>
              <w:left w:val="nil"/>
              <w:bottom w:val="single" w:sz="6" w:space="0" w:color="000000"/>
              <w:right w:val="single" w:sz="6" w:space="0" w:color="000000"/>
            </w:tcBorders>
            <w:tcMar>
              <w:top w:w="0" w:type="dxa"/>
              <w:left w:w="100" w:type="dxa"/>
              <w:bottom w:w="0" w:type="dxa"/>
              <w:right w:w="100" w:type="dxa"/>
            </w:tcMar>
          </w:tcPr>
          <w:p w14:paraId="3329F5D5" w14:textId="77777777" w:rsidR="003D2527" w:rsidRDefault="002B1B7E">
            <w:pPr>
              <w:spacing w:before="240" w:line="360" w:lineRule="auto"/>
              <w:jc w:val="both"/>
              <w:rPr>
                <w:color w:val="000000" w:themeColor="text1"/>
              </w:rPr>
            </w:pPr>
            <w:r>
              <w:rPr>
                <w:color w:val="000000" w:themeColor="text1"/>
              </w:rPr>
              <w:t>Monthly</w:t>
            </w:r>
          </w:p>
        </w:tc>
        <w:tc>
          <w:tcPr>
            <w:tcW w:w="2205" w:type="dxa"/>
            <w:tcBorders>
              <w:top w:val="nil"/>
              <w:left w:val="nil"/>
              <w:bottom w:val="single" w:sz="6" w:space="0" w:color="000000"/>
              <w:right w:val="single" w:sz="6" w:space="0" w:color="000000"/>
            </w:tcBorders>
            <w:tcMar>
              <w:top w:w="0" w:type="dxa"/>
              <w:left w:w="100" w:type="dxa"/>
              <w:bottom w:w="0" w:type="dxa"/>
              <w:right w:w="100" w:type="dxa"/>
            </w:tcMar>
          </w:tcPr>
          <w:p w14:paraId="6BC8BF66" w14:textId="77777777" w:rsidR="003D2527" w:rsidRDefault="002B1B7E">
            <w:pPr>
              <w:spacing w:before="240" w:line="360" w:lineRule="auto"/>
              <w:jc w:val="both"/>
              <w:rPr>
                <w:color w:val="000000" w:themeColor="text1"/>
              </w:rPr>
            </w:pPr>
            <w:r>
              <w:rPr>
                <w:color w:val="000000" w:themeColor="text1"/>
              </w:rPr>
              <w:t>Supply Chain Manager</w:t>
            </w:r>
          </w:p>
        </w:tc>
      </w:tr>
    </w:tbl>
    <w:p w14:paraId="798FE2DD" w14:textId="77777777" w:rsidR="003D2527" w:rsidRDefault="002B1B7E">
      <w:pPr>
        <w:spacing w:line="360" w:lineRule="auto"/>
        <w:jc w:val="center"/>
        <w:rPr>
          <w:b/>
          <w:color w:val="000000" w:themeColor="text1"/>
        </w:rPr>
      </w:pPr>
      <w:r>
        <w:rPr>
          <w:b/>
          <w:color w:val="000000" w:themeColor="text1"/>
        </w:rPr>
        <w:t>Table 4: Communication plan</w:t>
      </w:r>
    </w:p>
    <w:p w14:paraId="1FFF381D" w14:textId="77777777" w:rsidR="003D2527" w:rsidRDefault="002B1B7E">
      <w:pPr>
        <w:spacing w:line="360" w:lineRule="auto"/>
        <w:jc w:val="center"/>
        <w:rPr>
          <w:color w:val="000000" w:themeColor="text1"/>
        </w:rPr>
      </w:pPr>
      <w:r>
        <w:rPr>
          <w:color w:val="000000" w:themeColor="text1"/>
        </w:rPr>
        <w:t>(Source: Self-created)</w:t>
      </w:r>
    </w:p>
    <w:p w14:paraId="1D1885E2" w14:textId="77777777" w:rsidR="003D2527" w:rsidRDefault="002B1B7E">
      <w:pPr>
        <w:spacing w:line="360" w:lineRule="auto"/>
        <w:jc w:val="both"/>
        <w:rPr>
          <w:color w:val="000000" w:themeColor="text1"/>
        </w:rPr>
      </w:pPr>
      <w:r>
        <w:rPr>
          <w:color w:val="000000" w:themeColor="text1"/>
        </w:rPr>
        <w:t xml:space="preserve">A communication plan helps in specifying different information that needs to be shared with different stakeholders (Ellis </w:t>
      </w:r>
      <w:r>
        <w:rPr>
          <w:i/>
          <w:color w:val="000000" w:themeColor="text1"/>
        </w:rPr>
        <w:t xml:space="preserve">et al., </w:t>
      </w:r>
      <w:r>
        <w:rPr>
          <w:color w:val="000000" w:themeColor="text1"/>
        </w:rPr>
        <w:t xml:space="preserve">1991, p.48). The above communication plan provides detailed information regarding the process of communication with the considered stakeholders. </w:t>
      </w:r>
    </w:p>
    <w:p w14:paraId="50D4DE4E" w14:textId="77777777" w:rsidR="003D2527" w:rsidRDefault="002B1B7E">
      <w:pPr>
        <w:pStyle w:val="Heading1"/>
        <w:rPr>
          <w:rFonts w:ascii="Arial" w:eastAsia="Arial" w:hAnsi="Arial" w:cs="Arial"/>
          <w:color w:val="000000" w:themeColor="text1"/>
          <w:sz w:val="22"/>
          <w:szCs w:val="22"/>
        </w:rPr>
      </w:pPr>
      <w:bookmarkStart w:id="16" w:name="_heading=h.mgb438amyc69" w:colFirst="0" w:colLast="0"/>
      <w:bookmarkEnd w:id="16"/>
      <w:r>
        <w:rPr>
          <w:rFonts w:ascii="Arial" w:eastAsia="Arial" w:hAnsi="Arial" w:cs="Arial"/>
          <w:color w:val="000000" w:themeColor="text1"/>
          <w:sz w:val="22"/>
          <w:szCs w:val="22"/>
        </w:rPr>
        <w:t xml:space="preserve">4. Explanation of the roles and responsibilities of the key stakeholders </w:t>
      </w:r>
    </w:p>
    <w:p w14:paraId="116140D0" w14:textId="77777777" w:rsidR="003D2527" w:rsidRDefault="002B1B7E">
      <w:pPr>
        <w:pStyle w:val="Heading2"/>
        <w:spacing w:line="360" w:lineRule="auto"/>
        <w:rPr>
          <w:color w:val="000000" w:themeColor="text1"/>
        </w:rPr>
      </w:pPr>
      <w:bookmarkStart w:id="17" w:name="_heading=h.qovsjc6g4ylz" w:colFirst="0" w:colLast="0"/>
      <w:bookmarkEnd w:id="17"/>
      <w:r>
        <w:rPr>
          <w:rFonts w:ascii="Arial" w:eastAsia="Arial" w:hAnsi="Arial" w:cs="Arial"/>
          <w:color w:val="000000" w:themeColor="text1"/>
          <w:sz w:val="22"/>
          <w:szCs w:val="22"/>
        </w:rPr>
        <w:t>4.1 Application of 4C model</w:t>
      </w:r>
    </w:p>
    <w:p w14:paraId="5B00234F" w14:textId="2ADA4A9D" w:rsidR="003D2527" w:rsidRDefault="002B1B7E">
      <w:pPr>
        <w:spacing w:line="360" w:lineRule="auto"/>
        <w:jc w:val="both"/>
        <w:rPr>
          <w:color w:val="000000" w:themeColor="text1"/>
        </w:rPr>
      </w:pPr>
      <w:r>
        <w:rPr>
          <w:color w:val="000000" w:themeColor="text1"/>
        </w:rPr>
        <w:t xml:space="preserve">As the project manager of </w:t>
      </w:r>
      <w:proofErr w:type="spellStart"/>
      <w:r>
        <w:rPr>
          <w:color w:val="000000" w:themeColor="text1"/>
        </w:rPr>
        <w:t>TestCard</w:t>
      </w:r>
      <w:proofErr w:type="spellEnd"/>
      <w:r>
        <w:rPr>
          <w:color w:val="000000" w:themeColor="text1"/>
        </w:rPr>
        <w:t xml:space="preserve"> UK for its </w:t>
      </w:r>
      <w:r w:rsidR="006D242E">
        <w:rPr>
          <w:color w:val="000000" w:themeColor="text1"/>
        </w:rPr>
        <w:t>smartwatch</w:t>
      </w:r>
      <w:r>
        <w:rPr>
          <w:color w:val="000000" w:themeColor="text1"/>
        </w:rPr>
        <w:t xml:space="preserve"> health device launch, the primary responsibility is to focus on ensuring that all the stakeholders are effectively engaged to achieve the objective of the project within the next 6-month timeline. Stakeholder engagement helps in informing the stakeholders </w:t>
      </w:r>
      <w:proofErr w:type="gramStart"/>
      <w:r>
        <w:rPr>
          <w:color w:val="000000" w:themeColor="text1"/>
        </w:rPr>
        <w:t>and also</w:t>
      </w:r>
      <w:proofErr w:type="gramEnd"/>
      <w:r>
        <w:rPr>
          <w:color w:val="000000" w:themeColor="text1"/>
        </w:rPr>
        <w:t xml:space="preserve"> focuses on studying significant participation, aligning the expectations and further mitigation of risk and conflicts (Kujala </w:t>
      </w:r>
      <w:r>
        <w:rPr>
          <w:i/>
          <w:color w:val="000000" w:themeColor="text1"/>
        </w:rPr>
        <w:t xml:space="preserve">et al., </w:t>
      </w:r>
      <w:r>
        <w:rPr>
          <w:color w:val="000000" w:themeColor="text1"/>
        </w:rPr>
        <w:t xml:space="preserve">2022, p.1186). The process of significant engagement of the stakeholders within a structured plan, systematic communication and proactive management can be done with the help of the 4C model. </w:t>
      </w:r>
    </w:p>
    <w:p w14:paraId="2F576CEF" w14:textId="77777777" w:rsidR="003D2527" w:rsidRDefault="002B1B7E">
      <w:pPr>
        <w:spacing w:line="360" w:lineRule="auto"/>
        <w:jc w:val="both"/>
        <w:rPr>
          <w:color w:val="000000" w:themeColor="text1"/>
        </w:rPr>
      </w:pPr>
      <w:r>
        <w:rPr>
          <w:b/>
          <w:i/>
          <w:color w:val="000000" w:themeColor="text1"/>
        </w:rPr>
        <w:t xml:space="preserve">Communication: </w:t>
      </w:r>
      <w:r>
        <w:rPr>
          <w:color w:val="000000" w:themeColor="text1"/>
        </w:rPr>
        <w:t xml:space="preserve">Effective communication can </w:t>
      </w:r>
      <w:proofErr w:type="gramStart"/>
      <w:r>
        <w:rPr>
          <w:color w:val="000000" w:themeColor="text1"/>
        </w:rPr>
        <w:t>be considered to be</w:t>
      </w:r>
      <w:proofErr w:type="gramEnd"/>
      <w:r>
        <w:rPr>
          <w:color w:val="000000" w:themeColor="text1"/>
        </w:rPr>
        <w:t xml:space="preserve"> one of the important elements for stakeholder engagement. Effective and open communication helps ensure that all the parties are significantly informed, and the expectations are properly aligned, along with misunderstandings that are minimised (Bahrain </w:t>
      </w:r>
      <w:r>
        <w:rPr>
          <w:i/>
          <w:color w:val="000000" w:themeColor="text1"/>
        </w:rPr>
        <w:t xml:space="preserve">et al., </w:t>
      </w:r>
      <w:r>
        <w:rPr>
          <w:color w:val="000000" w:themeColor="text1"/>
        </w:rPr>
        <w:t xml:space="preserve">2023, p.1491). Executive leadership significantly requires concise and higher-level progress that mainly focuses on highlighting important risks, milestones </w:t>
      </w:r>
      <w:proofErr w:type="gramStart"/>
      <w:r>
        <w:rPr>
          <w:color w:val="000000" w:themeColor="text1"/>
        </w:rPr>
        <w:t>and also</w:t>
      </w:r>
      <w:proofErr w:type="gramEnd"/>
      <w:r>
        <w:rPr>
          <w:color w:val="000000" w:themeColor="text1"/>
        </w:rPr>
        <w:t xml:space="preserve"> the decisions needed. The product development benefited from the frequent, detailed updates </w:t>
      </w:r>
      <w:proofErr w:type="gramStart"/>
      <w:r>
        <w:rPr>
          <w:color w:val="000000" w:themeColor="text1"/>
        </w:rPr>
        <w:t>and also</w:t>
      </w:r>
      <w:proofErr w:type="gramEnd"/>
      <w:r>
        <w:rPr>
          <w:color w:val="000000" w:themeColor="text1"/>
        </w:rPr>
        <w:t xml:space="preserve"> the involvement of interactive workshops to focus on facilitating rapid problem-solving. Patience and the end users whose feedback </w:t>
      </w:r>
      <w:proofErr w:type="gramStart"/>
      <w:r>
        <w:rPr>
          <w:color w:val="000000" w:themeColor="text1"/>
        </w:rPr>
        <w:t>is considered to be</w:t>
      </w:r>
      <w:proofErr w:type="gramEnd"/>
      <w:r>
        <w:rPr>
          <w:color w:val="000000" w:themeColor="text1"/>
        </w:rPr>
        <w:t xml:space="preserve"> critical for the respective product design will be further engaged with the help of a survey, significant pilot testing </w:t>
      </w:r>
      <w:proofErr w:type="gramStart"/>
      <w:r>
        <w:rPr>
          <w:color w:val="000000" w:themeColor="text1"/>
        </w:rPr>
        <w:t>and also</w:t>
      </w:r>
      <w:proofErr w:type="gramEnd"/>
      <w:r>
        <w:rPr>
          <w:color w:val="000000" w:themeColor="text1"/>
        </w:rPr>
        <w:t xml:space="preserve"> structuring of feedback sessions. Communication channels will be significantly diversified, including emails and the project dashboards for the routine updates, meetings for different strategic discussions </w:t>
      </w:r>
      <w:proofErr w:type="gramStart"/>
      <w:r>
        <w:rPr>
          <w:color w:val="000000" w:themeColor="text1"/>
        </w:rPr>
        <w:t>and also</w:t>
      </w:r>
      <w:proofErr w:type="gramEnd"/>
      <w:r>
        <w:rPr>
          <w:color w:val="000000" w:themeColor="text1"/>
        </w:rPr>
        <w:t xml:space="preserve"> the involvement of collaborative platforms that help in dealing with the task tracking and technical collaboration (Mammadova and Abdullayeva, 2025, p.201). The feedback loop helps in ensuring that stakeholder voices are properly addressed, ask different questions and contribute their insights. </w:t>
      </w:r>
    </w:p>
    <w:p w14:paraId="47FAE17E" w14:textId="77777777" w:rsidR="003D2527" w:rsidRDefault="002B1B7E">
      <w:pPr>
        <w:spacing w:line="360" w:lineRule="auto"/>
        <w:jc w:val="both"/>
        <w:rPr>
          <w:color w:val="000000" w:themeColor="text1"/>
        </w:rPr>
      </w:pPr>
      <w:r>
        <w:rPr>
          <w:b/>
          <w:i/>
          <w:color w:val="000000" w:themeColor="text1"/>
        </w:rPr>
        <w:t>Coordination:</w:t>
      </w:r>
      <w:r>
        <w:rPr>
          <w:color w:val="000000" w:themeColor="text1"/>
        </w:rPr>
        <w:t xml:space="preserve"> Coordination includes aligning different efforts of the stakeholders to ensure efficient workflow </w:t>
      </w:r>
      <w:proofErr w:type="gramStart"/>
      <w:r>
        <w:rPr>
          <w:color w:val="000000" w:themeColor="text1"/>
        </w:rPr>
        <w:t>and also</w:t>
      </w:r>
      <w:proofErr w:type="gramEnd"/>
      <w:r>
        <w:rPr>
          <w:color w:val="000000" w:themeColor="text1"/>
        </w:rPr>
        <w:t xml:space="preserve"> avoiding any kind of duplication or conflicts (</w:t>
      </w:r>
      <w:proofErr w:type="spellStart"/>
      <w:r>
        <w:rPr>
          <w:color w:val="000000" w:themeColor="text1"/>
        </w:rPr>
        <w:t>Ganeshu</w:t>
      </w:r>
      <w:proofErr w:type="spellEnd"/>
      <w:r>
        <w:rPr>
          <w:color w:val="000000" w:themeColor="text1"/>
        </w:rPr>
        <w:t xml:space="preserve"> </w:t>
      </w:r>
      <w:r>
        <w:rPr>
          <w:i/>
          <w:color w:val="000000" w:themeColor="text1"/>
        </w:rPr>
        <w:t xml:space="preserve">et al., </w:t>
      </w:r>
      <w:r>
        <w:rPr>
          <w:color w:val="000000" w:themeColor="text1"/>
        </w:rPr>
        <w:t xml:space="preserve">2024, p.16). It helps in establishing the central project schedule with an environment of clear milestones and deliverables, focusing on the accessibility of the stakeholders. Regular coordination meetings with the internal team include addressing the potential bottleneck. For the case of external elements, coordination with the regulatory authorities, different suppliers and the health care providers is observed to be essential for meeting the compliance requirements </w:t>
      </w:r>
      <w:proofErr w:type="gramStart"/>
      <w:r>
        <w:rPr>
          <w:color w:val="000000" w:themeColor="text1"/>
        </w:rPr>
        <w:t>and also</w:t>
      </w:r>
      <w:proofErr w:type="gramEnd"/>
      <w:r>
        <w:rPr>
          <w:color w:val="000000" w:themeColor="text1"/>
        </w:rPr>
        <w:t xml:space="preserve"> ensuring the timely procurement of different materials. Coordination mechanisms such as the involvement of project calendars, different task allocation tools </w:t>
      </w:r>
      <w:proofErr w:type="gramStart"/>
      <w:r>
        <w:rPr>
          <w:color w:val="000000" w:themeColor="text1"/>
        </w:rPr>
        <w:t>and also</w:t>
      </w:r>
      <w:proofErr w:type="gramEnd"/>
      <w:r>
        <w:rPr>
          <w:color w:val="000000" w:themeColor="text1"/>
        </w:rPr>
        <w:t xml:space="preserve"> the integrated reporting system help in facilitating better accountability, transparency and the real-time monitoring of the entire progress (Ellis </w:t>
      </w:r>
      <w:r>
        <w:rPr>
          <w:i/>
          <w:color w:val="000000" w:themeColor="text1"/>
        </w:rPr>
        <w:t xml:space="preserve">et al., </w:t>
      </w:r>
      <w:r>
        <w:rPr>
          <w:color w:val="000000" w:themeColor="text1"/>
        </w:rPr>
        <w:t xml:space="preserve">1991, p.52). The structured approach focuses on the stakeholders working towards the common objective </w:t>
      </w:r>
      <w:proofErr w:type="gramStart"/>
      <w:r>
        <w:rPr>
          <w:color w:val="000000" w:themeColor="text1"/>
        </w:rPr>
        <w:t>and also</w:t>
      </w:r>
      <w:proofErr w:type="gramEnd"/>
      <w:r>
        <w:rPr>
          <w:color w:val="000000" w:themeColor="text1"/>
        </w:rPr>
        <w:t xml:space="preserve"> minimises the risk of management. </w:t>
      </w:r>
    </w:p>
    <w:p w14:paraId="7EA9825A" w14:textId="537D41AD" w:rsidR="003D2527" w:rsidRDefault="002B1B7E">
      <w:pPr>
        <w:spacing w:line="360" w:lineRule="auto"/>
        <w:jc w:val="both"/>
        <w:rPr>
          <w:color w:val="000000" w:themeColor="text1"/>
        </w:rPr>
      </w:pPr>
      <w:r>
        <w:rPr>
          <w:b/>
          <w:i/>
          <w:color w:val="000000" w:themeColor="text1"/>
        </w:rPr>
        <w:t>Cooperation:</w:t>
      </w:r>
      <w:r>
        <w:rPr>
          <w:color w:val="000000" w:themeColor="text1"/>
        </w:rPr>
        <w:t xml:space="preserve"> In the successful completion of a project, cooperation </w:t>
      </w:r>
      <w:proofErr w:type="gramStart"/>
      <w:r>
        <w:rPr>
          <w:color w:val="000000" w:themeColor="text1"/>
        </w:rPr>
        <w:t>is considered to be</w:t>
      </w:r>
      <w:proofErr w:type="gramEnd"/>
      <w:r>
        <w:rPr>
          <w:color w:val="000000" w:themeColor="text1"/>
        </w:rPr>
        <w:t xml:space="preserve"> essential. Cooperation refers to the working together of the stakeholders for achieving the shared goals </w:t>
      </w:r>
      <w:proofErr w:type="gramStart"/>
      <w:r>
        <w:rPr>
          <w:color w:val="000000" w:themeColor="text1"/>
        </w:rPr>
        <w:t>and also</w:t>
      </w:r>
      <w:proofErr w:type="gramEnd"/>
      <w:r>
        <w:rPr>
          <w:color w:val="000000" w:themeColor="text1"/>
        </w:rPr>
        <w:t xml:space="preserve"> respecting individuals for the responsibilities and significant constraints. For the context of the </w:t>
      </w:r>
      <w:r w:rsidR="006D242E">
        <w:rPr>
          <w:color w:val="000000" w:themeColor="text1"/>
        </w:rPr>
        <w:t>smartwatch</w:t>
      </w:r>
      <w:r>
        <w:rPr>
          <w:color w:val="000000" w:themeColor="text1"/>
        </w:rPr>
        <w:t xml:space="preserve"> device launch, fostering cooperation by clarification of significant roles and responsibilities with the RACI Matrix will provide a significant definition for the activities within the project task. Cooperation also requires the involvement of creating a supportive environment for the stakeholders where they are further encouraged for significant participation and the recognition of their contribution (Nonet </w:t>
      </w:r>
      <w:r>
        <w:rPr>
          <w:i/>
          <w:color w:val="000000" w:themeColor="text1"/>
        </w:rPr>
        <w:t xml:space="preserve">et al., </w:t>
      </w:r>
      <w:r>
        <w:rPr>
          <w:color w:val="000000" w:themeColor="text1"/>
        </w:rPr>
        <w:t xml:space="preserve">2022, p.182). Organising a cross-functional workshop for the stakeholders can help in solving the problem, sharing of expertise </w:t>
      </w:r>
      <w:proofErr w:type="gramStart"/>
      <w:r>
        <w:rPr>
          <w:color w:val="000000" w:themeColor="text1"/>
        </w:rPr>
        <w:t>and also</w:t>
      </w:r>
      <w:proofErr w:type="gramEnd"/>
      <w:r>
        <w:rPr>
          <w:color w:val="000000" w:themeColor="text1"/>
        </w:rPr>
        <w:t xml:space="preserve"> focusing on innovative solutions. </w:t>
      </w:r>
    </w:p>
    <w:p w14:paraId="47FA9FE5" w14:textId="77777777" w:rsidR="003D2527" w:rsidRDefault="002B1B7E">
      <w:pPr>
        <w:spacing w:line="360" w:lineRule="auto"/>
        <w:jc w:val="both"/>
        <w:rPr>
          <w:color w:val="000000" w:themeColor="text1"/>
        </w:rPr>
      </w:pPr>
      <w:r>
        <w:rPr>
          <w:b/>
          <w:i/>
          <w:color w:val="000000" w:themeColor="text1"/>
        </w:rPr>
        <w:t>Collaboration:</w:t>
      </w:r>
      <w:r>
        <w:rPr>
          <w:color w:val="000000" w:themeColor="text1"/>
        </w:rPr>
        <w:t xml:space="preserve"> Collaboration significantly represents a higher level of engagement with the stakeholders. Through collaboration between different parties, actively co-create different solutions, sharing important knowledge </w:t>
      </w:r>
      <w:proofErr w:type="gramStart"/>
      <w:r>
        <w:rPr>
          <w:color w:val="000000" w:themeColor="text1"/>
        </w:rPr>
        <w:t>and also</w:t>
      </w:r>
      <w:proofErr w:type="gramEnd"/>
      <w:r>
        <w:rPr>
          <w:color w:val="000000" w:themeColor="text1"/>
        </w:rPr>
        <w:t xml:space="preserve"> making some joint decisions (Mason </w:t>
      </w:r>
      <w:r>
        <w:rPr>
          <w:i/>
          <w:color w:val="000000" w:themeColor="text1"/>
        </w:rPr>
        <w:t xml:space="preserve">et al., </w:t>
      </w:r>
      <w:r>
        <w:rPr>
          <w:color w:val="000000" w:themeColor="text1"/>
        </w:rPr>
        <w:t xml:space="preserve">2024, p.399). For this project, significant collaboration </w:t>
      </w:r>
      <w:proofErr w:type="gramStart"/>
      <w:r>
        <w:rPr>
          <w:color w:val="000000" w:themeColor="text1"/>
        </w:rPr>
        <w:t>is considered to be</w:t>
      </w:r>
      <w:proofErr w:type="gramEnd"/>
      <w:r>
        <w:rPr>
          <w:color w:val="000000" w:themeColor="text1"/>
        </w:rPr>
        <w:t xml:space="preserve"> critical for the integration of insights from different diverse stakeholders, such as the involvement of combining the clinical feedback from the NHS trust with the inclusion of consumer preferences for redefining the device features. Collaborative tools will also include the shared documentation of the platforms and the codesign sessions that will help contribute to the real-time decision-making process. </w:t>
      </w:r>
    </w:p>
    <w:p w14:paraId="74D4EEED" w14:textId="77777777" w:rsidR="003D2527" w:rsidRDefault="002B1B7E">
      <w:pPr>
        <w:spacing w:line="360" w:lineRule="auto"/>
        <w:jc w:val="both"/>
        <w:rPr>
          <w:color w:val="000000" w:themeColor="text1"/>
        </w:rPr>
      </w:pPr>
      <w:r>
        <w:rPr>
          <w:color w:val="000000" w:themeColor="text1"/>
        </w:rPr>
        <w:t xml:space="preserve">The 4C model focuses on supporting conflict management. Communication helps in ensuring significant clarity and reducing misunderstanding (Adham, 2023, p.154). It focuses on including coordination and aligns with the schedules and the resources, cooperation focuses on building better trust and responsibility, and collaboration considers joint resolution for the disputes. The risk register and the stakeholder feedback mechanism can be used to focus on proactively identifying different sources of conflicts. Escalation protocols and the involvement of mediation processes can be beneficial for addressing the disagreement quickly, ensuring that the project remains on the timeline, and managing a positive stakeholder relationship. </w:t>
      </w:r>
    </w:p>
    <w:p w14:paraId="27DEF907" w14:textId="77777777" w:rsidR="003D2527" w:rsidRDefault="002B1B7E">
      <w:pPr>
        <w:pStyle w:val="Heading2"/>
        <w:spacing w:line="360" w:lineRule="auto"/>
        <w:rPr>
          <w:rFonts w:ascii="Arial" w:eastAsia="Arial" w:hAnsi="Arial" w:cs="Arial"/>
          <w:color w:val="000000" w:themeColor="text1"/>
          <w:sz w:val="22"/>
          <w:szCs w:val="22"/>
        </w:rPr>
      </w:pPr>
      <w:bookmarkStart w:id="18" w:name="_heading=h.crbak1kjp9d" w:colFirst="0" w:colLast="0"/>
      <w:bookmarkEnd w:id="18"/>
      <w:r>
        <w:rPr>
          <w:rFonts w:ascii="Arial" w:eastAsia="Arial" w:hAnsi="Arial" w:cs="Arial"/>
          <w:color w:val="000000" w:themeColor="text1"/>
          <w:sz w:val="22"/>
          <w:szCs w:val="22"/>
        </w:rPr>
        <w:t>4.2 Roles and responsibilities of internal stakeholders</w:t>
      </w:r>
    </w:p>
    <w:tbl>
      <w:tblPr>
        <w:tblStyle w:val="Style58"/>
        <w:tblW w:w="9885" w:type="dxa"/>
        <w:tblInd w:w="-100" w:type="dxa"/>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Look w:val="04A0" w:firstRow="1" w:lastRow="0" w:firstColumn="1" w:lastColumn="0" w:noHBand="0" w:noVBand="1"/>
      </w:tblPr>
      <w:tblGrid>
        <w:gridCol w:w="1830"/>
        <w:gridCol w:w="1935"/>
        <w:gridCol w:w="6120"/>
      </w:tblGrid>
      <w:tr w:rsidR="003D2527" w14:paraId="221DF5B2" w14:textId="77777777">
        <w:trPr>
          <w:trHeight w:val="585"/>
        </w:trPr>
        <w:tc>
          <w:tcPr>
            <w:tcW w:w="183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30044FFF" w14:textId="77777777" w:rsidR="003D2527" w:rsidRDefault="002B1B7E">
            <w:pPr>
              <w:spacing w:line="360" w:lineRule="auto"/>
              <w:jc w:val="center"/>
              <w:rPr>
                <w:b/>
                <w:color w:val="000000" w:themeColor="text1"/>
              </w:rPr>
            </w:pPr>
            <w:r>
              <w:rPr>
                <w:b/>
                <w:color w:val="000000" w:themeColor="text1"/>
              </w:rPr>
              <w:t>Internal Stakeholder</w:t>
            </w:r>
          </w:p>
        </w:tc>
        <w:tc>
          <w:tcPr>
            <w:tcW w:w="1935"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307DA3EF" w14:textId="77777777" w:rsidR="003D2527" w:rsidRDefault="002B1B7E">
            <w:pPr>
              <w:spacing w:line="360" w:lineRule="auto"/>
              <w:jc w:val="center"/>
              <w:rPr>
                <w:b/>
                <w:color w:val="000000" w:themeColor="text1"/>
              </w:rPr>
            </w:pPr>
            <w:r>
              <w:rPr>
                <w:b/>
                <w:color w:val="000000" w:themeColor="text1"/>
              </w:rPr>
              <w:t>Role</w:t>
            </w:r>
          </w:p>
        </w:tc>
        <w:tc>
          <w:tcPr>
            <w:tcW w:w="6120"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5F06C770" w14:textId="77777777" w:rsidR="003D2527" w:rsidRDefault="002B1B7E">
            <w:pPr>
              <w:spacing w:line="360" w:lineRule="auto"/>
              <w:jc w:val="center"/>
              <w:rPr>
                <w:b/>
                <w:color w:val="000000" w:themeColor="text1"/>
              </w:rPr>
            </w:pPr>
            <w:r>
              <w:rPr>
                <w:b/>
                <w:color w:val="000000" w:themeColor="text1"/>
              </w:rPr>
              <w:t>Responsibilities</w:t>
            </w:r>
          </w:p>
        </w:tc>
      </w:tr>
      <w:tr w:rsidR="003D2527" w14:paraId="7435FDDF" w14:textId="77777777">
        <w:trPr>
          <w:trHeight w:val="1155"/>
        </w:trPr>
        <w:tc>
          <w:tcPr>
            <w:tcW w:w="183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7267779E" w14:textId="77777777" w:rsidR="003D2527" w:rsidRDefault="002B1B7E">
            <w:pPr>
              <w:spacing w:line="360" w:lineRule="auto"/>
              <w:jc w:val="both"/>
              <w:rPr>
                <w:color w:val="000000" w:themeColor="text1"/>
              </w:rPr>
            </w:pPr>
            <w:r>
              <w:rPr>
                <w:color w:val="000000" w:themeColor="text1"/>
              </w:rPr>
              <w:t>Product Development Team</w:t>
            </w:r>
          </w:p>
        </w:tc>
        <w:tc>
          <w:tcPr>
            <w:tcW w:w="1935" w:type="dxa"/>
            <w:tcBorders>
              <w:top w:val="nil"/>
              <w:left w:val="nil"/>
              <w:bottom w:val="single" w:sz="6" w:space="0" w:color="000000"/>
              <w:right w:val="single" w:sz="6" w:space="0" w:color="000000"/>
            </w:tcBorders>
            <w:tcMar>
              <w:top w:w="0" w:type="dxa"/>
              <w:left w:w="100" w:type="dxa"/>
              <w:bottom w:w="0" w:type="dxa"/>
              <w:right w:w="100" w:type="dxa"/>
            </w:tcMar>
          </w:tcPr>
          <w:p w14:paraId="0664CCF5" w14:textId="77777777" w:rsidR="003D2527" w:rsidRDefault="002B1B7E">
            <w:pPr>
              <w:spacing w:line="360" w:lineRule="auto"/>
              <w:jc w:val="both"/>
              <w:rPr>
                <w:color w:val="000000" w:themeColor="text1"/>
              </w:rPr>
            </w:pPr>
            <w:r>
              <w:rPr>
                <w:color w:val="000000" w:themeColor="text1"/>
              </w:rPr>
              <w:t>Design &amp; development (</w:t>
            </w:r>
            <w:r>
              <w:rPr>
                <w:color w:val="000000" w:themeColor="text1"/>
                <w:highlight w:val="white"/>
              </w:rPr>
              <w:t>Dribble, 2022)</w:t>
            </w:r>
          </w:p>
        </w:tc>
        <w:tc>
          <w:tcPr>
            <w:tcW w:w="6120" w:type="dxa"/>
            <w:tcBorders>
              <w:top w:val="nil"/>
              <w:left w:val="nil"/>
              <w:bottom w:val="single" w:sz="6" w:space="0" w:color="000000"/>
              <w:right w:val="single" w:sz="6" w:space="0" w:color="000000"/>
            </w:tcBorders>
            <w:tcMar>
              <w:top w:w="0" w:type="dxa"/>
              <w:left w:w="100" w:type="dxa"/>
              <w:bottom w:w="0" w:type="dxa"/>
              <w:right w:w="100" w:type="dxa"/>
            </w:tcMar>
          </w:tcPr>
          <w:p w14:paraId="64177D7D" w14:textId="77777777" w:rsidR="003D2527" w:rsidRDefault="002B1B7E">
            <w:pPr>
              <w:spacing w:line="360" w:lineRule="auto"/>
              <w:jc w:val="both"/>
              <w:rPr>
                <w:color w:val="000000" w:themeColor="text1"/>
              </w:rPr>
            </w:pPr>
            <w:r>
              <w:rPr>
                <w:color w:val="000000" w:themeColor="text1"/>
              </w:rPr>
              <w:t>Design the wearable device, ensure it meets health-monitoring and functional requirements, collaborate with R&amp;D, and oversee quality assurance.</w:t>
            </w:r>
          </w:p>
        </w:tc>
      </w:tr>
      <w:tr w:rsidR="003D2527" w14:paraId="6ED6D5FE" w14:textId="77777777">
        <w:trPr>
          <w:trHeight w:val="870"/>
        </w:trPr>
        <w:tc>
          <w:tcPr>
            <w:tcW w:w="183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56594F91" w14:textId="77777777" w:rsidR="003D2527" w:rsidRDefault="002B1B7E">
            <w:pPr>
              <w:spacing w:line="360" w:lineRule="auto"/>
              <w:jc w:val="both"/>
              <w:rPr>
                <w:color w:val="000000" w:themeColor="text1"/>
              </w:rPr>
            </w:pPr>
            <w:r>
              <w:rPr>
                <w:color w:val="000000" w:themeColor="text1"/>
              </w:rPr>
              <w:t>R&amp;D Team</w:t>
            </w:r>
          </w:p>
        </w:tc>
        <w:tc>
          <w:tcPr>
            <w:tcW w:w="1935" w:type="dxa"/>
            <w:tcBorders>
              <w:top w:val="nil"/>
              <w:left w:val="nil"/>
              <w:bottom w:val="single" w:sz="6" w:space="0" w:color="000000"/>
              <w:right w:val="single" w:sz="6" w:space="0" w:color="000000"/>
            </w:tcBorders>
            <w:tcMar>
              <w:top w:w="0" w:type="dxa"/>
              <w:left w:w="100" w:type="dxa"/>
              <w:bottom w:w="0" w:type="dxa"/>
              <w:right w:w="100" w:type="dxa"/>
            </w:tcMar>
          </w:tcPr>
          <w:p w14:paraId="3B4E5BBF" w14:textId="77777777" w:rsidR="003D2527" w:rsidRDefault="002B1B7E">
            <w:pPr>
              <w:spacing w:line="360" w:lineRule="auto"/>
              <w:jc w:val="both"/>
              <w:rPr>
                <w:color w:val="000000" w:themeColor="text1"/>
              </w:rPr>
            </w:pPr>
            <w:r>
              <w:rPr>
                <w:color w:val="000000" w:themeColor="text1"/>
              </w:rPr>
              <w:t>Technical feasibility &amp; prototyping</w:t>
            </w:r>
          </w:p>
        </w:tc>
        <w:tc>
          <w:tcPr>
            <w:tcW w:w="6120" w:type="dxa"/>
            <w:tcBorders>
              <w:top w:val="nil"/>
              <w:left w:val="nil"/>
              <w:bottom w:val="single" w:sz="6" w:space="0" w:color="000000"/>
              <w:right w:val="single" w:sz="6" w:space="0" w:color="000000"/>
            </w:tcBorders>
            <w:tcMar>
              <w:top w:w="0" w:type="dxa"/>
              <w:left w:w="100" w:type="dxa"/>
              <w:bottom w:w="0" w:type="dxa"/>
              <w:right w:w="100" w:type="dxa"/>
            </w:tcMar>
          </w:tcPr>
          <w:p w14:paraId="482281B5" w14:textId="77777777" w:rsidR="003D2527" w:rsidRDefault="002B1B7E">
            <w:pPr>
              <w:spacing w:line="360" w:lineRule="auto"/>
              <w:jc w:val="both"/>
              <w:rPr>
                <w:color w:val="000000" w:themeColor="text1"/>
              </w:rPr>
            </w:pPr>
            <w:r>
              <w:rPr>
                <w:color w:val="000000" w:themeColor="text1"/>
              </w:rPr>
              <w:t>Conduct feasibility studies, develop prototypes, test device functionality, ensure safety, reliability, and technical compliance.</w:t>
            </w:r>
          </w:p>
        </w:tc>
      </w:tr>
      <w:tr w:rsidR="003D2527" w14:paraId="1496C1A0" w14:textId="77777777">
        <w:trPr>
          <w:trHeight w:val="870"/>
        </w:trPr>
        <w:tc>
          <w:tcPr>
            <w:tcW w:w="183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42DC57ED" w14:textId="77777777" w:rsidR="003D2527" w:rsidRDefault="002B1B7E">
            <w:pPr>
              <w:spacing w:line="360" w:lineRule="auto"/>
              <w:jc w:val="both"/>
              <w:rPr>
                <w:color w:val="000000" w:themeColor="text1"/>
              </w:rPr>
            </w:pPr>
            <w:r>
              <w:rPr>
                <w:color w:val="000000" w:themeColor="text1"/>
              </w:rPr>
              <w:t>Marketing &amp; Sales</w:t>
            </w:r>
          </w:p>
        </w:tc>
        <w:tc>
          <w:tcPr>
            <w:tcW w:w="1935" w:type="dxa"/>
            <w:tcBorders>
              <w:top w:val="nil"/>
              <w:left w:val="nil"/>
              <w:bottom w:val="single" w:sz="6" w:space="0" w:color="000000"/>
              <w:right w:val="single" w:sz="6" w:space="0" w:color="000000"/>
            </w:tcBorders>
            <w:tcMar>
              <w:top w:w="0" w:type="dxa"/>
              <w:left w:w="100" w:type="dxa"/>
              <w:bottom w:w="0" w:type="dxa"/>
              <w:right w:w="100" w:type="dxa"/>
            </w:tcMar>
          </w:tcPr>
          <w:p w14:paraId="1A25F33F" w14:textId="77777777" w:rsidR="003D2527" w:rsidRDefault="002B1B7E">
            <w:pPr>
              <w:spacing w:line="360" w:lineRule="auto"/>
              <w:jc w:val="both"/>
              <w:rPr>
                <w:color w:val="000000" w:themeColor="text1"/>
              </w:rPr>
            </w:pPr>
            <w:r>
              <w:rPr>
                <w:color w:val="000000" w:themeColor="text1"/>
              </w:rPr>
              <w:t>Promotion &amp; distribution</w:t>
            </w:r>
          </w:p>
        </w:tc>
        <w:tc>
          <w:tcPr>
            <w:tcW w:w="6120" w:type="dxa"/>
            <w:tcBorders>
              <w:top w:val="nil"/>
              <w:left w:val="nil"/>
              <w:bottom w:val="single" w:sz="6" w:space="0" w:color="000000"/>
              <w:right w:val="single" w:sz="6" w:space="0" w:color="000000"/>
            </w:tcBorders>
            <w:tcMar>
              <w:top w:w="0" w:type="dxa"/>
              <w:left w:w="100" w:type="dxa"/>
              <w:bottom w:w="0" w:type="dxa"/>
              <w:right w:w="100" w:type="dxa"/>
            </w:tcMar>
          </w:tcPr>
          <w:p w14:paraId="3CF16AB0" w14:textId="77777777" w:rsidR="003D2527" w:rsidRDefault="002B1B7E">
            <w:pPr>
              <w:spacing w:line="360" w:lineRule="auto"/>
              <w:jc w:val="both"/>
              <w:rPr>
                <w:color w:val="000000" w:themeColor="text1"/>
              </w:rPr>
            </w:pPr>
            <w:r>
              <w:rPr>
                <w:color w:val="000000" w:themeColor="text1"/>
              </w:rPr>
              <w:t>Develop marketing campaigns, create pricing strategies, plan distribution channels, conduct market research, and identify target customers (Marcon Nora</w:t>
            </w:r>
            <w:r>
              <w:rPr>
                <w:i/>
                <w:color w:val="000000" w:themeColor="text1"/>
              </w:rPr>
              <w:t xml:space="preserve"> et al.,</w:t>
            </w:r>
            <w:r>
              <w:rPr>
                <w:color w:val="000000" w:themeColor="text1"/>
              </w:rPr>
              <w:t xml:space="preserve"> 2023, p.682).</w:t>
            </w:r>
          </w:p>
        </w:tc>
      </w:tr>
      <w:tr w:rsidR="003D2527" w14:paraId="1E552BD1" w14:textId="77777777">
        <w:trPr>
          <w:trHeight w:val="1155"/>
        </w:trPr>
        <w:tc>
          <w:tcPr>
            <w:tcW w:w="183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768EC8E0" w14:textId="77777777" w:rsidR="003D2527" w:rsidRDefault="002B1B7E">
            <w:pPr>
              <w:spacing w:line="360" w:lineRule="auto"/>
              <w:jc w:val="both"/>
              <w:rPr>
                <w:color w:val="000000" w:themeColor="text1"/>
              </w:rPr>
            </w:pPr>
            <w:r>
              <w:rPr>
                <w:color w:val="000000" w:themeColor="text1"/>
              </w:rPr>
              <w:t>IT &amp; Data Analytics</w:t>
            </w:r>
          </w:p>
        </w:tc>
        <w:tc>
          <w:tcPr>
            <w:tcW w:w="1935" w:type="dxa"/>
            <w:tcBorders>
              <w:top w:val="nil"/>
              <w:left w:val="nil"/>
              <w:bottom w:val="single" w:sz="6" w:space="0" w:color="000000"/>
              <w:right w:val="single" w:sz="6" w:space="0" w:color="000000"/>
            </w:tcBorders>
            <w:tcMar>
              <w:top w:w="0" w:type="dxa"/>
              <w:left w:w="100" w:type="dxa"/>
              <w:bottom w:w="0" w:type="dxa"/>
              <w:right w:w="100" w:type="dxa"/>
            </w:tcMar>
          </w:tcPr>
          <w:p w14:paraId="5EBD2A97" w14:textId="77777777" w:rsidR="003D2527" w:rsidRDefault="002B1B7E">
            <w:pPr>
              <w:spacing w:line="360" w:lineRule="auto"/>
              <w:jc w:val="both"/>
              <w:rPr>
                <w:color w:val="000000" w:themeColor="text1"/>
              </w:rPr>
            </w:pPr>
            <w:r>
              <w:rPr>
                <w:color w:val="000000" w:themeColor="text1"/>
              </w:rPr>
              <w:t>Data management &amp; integration</w:t>
            </w:r>
          </w:p>
        </w:tc>
        <w:tc>
          <w:tcPr>
            <w:tcW w:w="6120" w:type="dxa"/>
            <w:tcBorders>
              <w:top w:val="nil"/>
              <w:left w:val="nil"/>
              <w:bottom w:val="single" w:sz="6" w:space="0" w:color="000000"/>
              <w:right w:val="single" w:sz="6" w:space="0" w:color="000000"/>
            </w:tcBorders>
            <w:tcMar>
              <w:top w:w="0" w:type="dxa"/>
              <w:left w:w="100" w:type="dxa"/>
              <w:bottom w:w="0" w:type="dxa"/>
              <w:right w:w="100" w:type="dxa"/>
            </w:tcMar>
          </w:tcPr>
          <w:p w14:paraId="1A17CE61" w14:textId="77777777" w:rsidR="003D2527" w:rsidRDefault="002B1B7E">
            <w:pPr>
              <w:spacing w:line="360" w:lineRule="auto"/>
              <w:jc w:val="both"/>
              <w:rPr>
                <w:color w:val="000000" w:themeColor="text1"/>
              </w:rPr>
            </w:pPr>
            <w:r>
              <w:rPr>
                <w:color w:val="000000" w:themeColor="text1"/>
              </w:rPr>
              <w:t>Collect, store, and analyse device data, integrate with apps and platforms, ensure secure handling of sensitive health information, and provide analytics for product improvement.</w:t>
            </w:r>
          </w:p>
        </w:tc>
      </w:tr>
      <w:tr w:rsidR="003D2527" w14:paraId="252A0BB7" w14:textId="77777777">
        <w:trPr>
          <w:trHeight w:val="870"/>
        </w:trPr>
        <w:tc>
          <w:tcPr>
            <w:tcW w:w="183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447EBCD4" w14:textId="77777777" w:rsidR="003D2527" w:rsidRDefault="002B1B7E">
            <w:pPr>
              <w:spacing w:line="360" w:lineRule="auto"/>
              <w:jc w:val="both"/>
              <w:rPr>
                <w:color w:val="000000" w:themeColor="text1"/>
              </w:rPr>
            </w:pPr>
            <w:r>
              <w:rPr>
                <w:color w:val="000000" w:themeColor="text1"/>
              </w:rPr>
              <w:t>Customer Service</w:t>
            </w:r>
          </w:p>
        </w:tc>
        <w:tc>
          <w:tcPr>
            <w:tcW w:w="1935" w:type="dxa"/>
            <w:tcBorders>
              <w:top w:val="nil"/>
              <w:left w:val="nil"/>
              <w:bottom w:val="single" w:sz="6" w:space="0" w:color="000000"/>
              <w:right w:val="single" w:sz="6" w:space="0" w:color="000000"/>
            </w:tcBorders>
            <w:tcMar>
              <w:top w:w="0" w:type="dxa"/>
              <w:left w:w="100" w:type="dxa"/>
              <w:bottom w:w="0" w:type="dxa"/>
              <w:right w:w="100" w:type="dxa"/>
            </w:tcMar>
          </w:tcPr>
          <w:p w14:paraId="4D1EEAEE" w14:textId="77777777" w:rsidR="003D2527" w:rsidRDefault="002B1B7E">
            <w:pPr>
              <w:spacing w:line="360" w:lineRule="auto"/>
              <w:jc w:val="both"/>
              <w:rPr>
                <w:color w:val="000000" w:themeColor="text1"/>
              </w:rPr>
            </w:pPr>
            <w:r>
              <w:rPr>
                <w:color w:val="000000" w:themeColor="text1"/>
              </w:rPr>
              <w:t>Post-launch support</w:t>
            </w:r>
          </w:p>
        </w:tc>
        <w:tc>
          <w:tcPr>
            <w:tcW w:w="6120" w:type="dxa"/>
            <w:tcBorders>
              <w:top w:val="nil"/>
              <w:left w:val="nil"/>
              <w:bottom w:val="single" w:sz="6" w:space="0" w:color="000000"/>
              <w:right w:val="single" w:sz="6" w:space="0" w:color="000000"/>
            </w:tcBorders>
            <w:tcMar>
              <w:top w:w="0" w:type="dxa"/>
              <w:left w:w="100" w:type="dxa"/>
              <w:bottom w:w="0" w:type="dxa"/>
              <w:right w:w="100" w:type="dxa"/>
            </w:tcMar>
          </w:tcPr>
          <w:p w14:paraId="3627851A" w14:textId="77777777" w:rsidR="003D2527" w:rsidRDefault="002B1B7E">
            <w:pPr>
              <w:spacing w:line="360" w:lineRule="auto"/>
              <w:jc w:val="both"/>
              <w:rPr>
                <w:color w:val="000000" w:themeColor="text1"/>
              </w:rPr>
            </w:pPr>
            <w:r>
              <w:rPr>
                <w:color w:val="000000" w:themeColor="text1"/>
              </w:rPr>
              <w:t>Manage customer inquiries, complaints, and feedback, ensure high customer satisfaction, and provide insights to inform product enhancements.</w:t>
            </w:r>
          </w:p>
        </w:tc>
      </w:tr>
    </w:tbl>
    <w:p w14:paraId="59103A14" w14:textId="77777777" w:rsidR="003D2527" w:rsidRDefault="002B1B7E">
      <w:pPr>
        <w:spacing w:line="360" w:lineRule="auto"/>
        <w:jc w:val="both"/>
        <w:rPr>
          <w:b/>
          <w:color w:val="000000" w:themeColor="text1"/>
        </w:rPr>
      </w:pPr>
      <w:r>
        <w:rPr>
          <w:b/>
          <w:color w:val="000000" w:themeColor="text1"/>
        </w:rPr>
        <w:t xml:space="preserve"> </w:t>
      </w:r>
    </w:p>
    <w:p w14:paraId="5E90FFDC" w14:textId="77777777" w:rsidR="003D2527" w:rsidRDefault="002B1B7E">
      <w:pPr>
        <w:spacing w:line="360" w:lineRule="auto"/>
        <w:jc w:val="center"/>
        <w:rPr>
          <w:b/>
          <w:color w:val="000000" w:themeColor="text1"/>
        </w:rPr>
      </w:pPr>
      <w:r>
        <w:rPr>
          <w:b/>
          <w:color w:val="000000" w:themeColor="text1"/>
        </w:rPr>
        <w:t>Table 5: Roles and responsibilities of internal stakeholders</w:t>
      </w:r>
    </w:p>
    <w:p w14:paraId="7BB478A7" w14:textId="77777777" w:rsidR="003D2527" w:rsidRDefault="002B1B7E">
      <w:pPr>
        <w:spacing w:line="360" w:lineRule="auto"/>
        <w:jc w:val="center"/>
        <w:rPr>
          <w:color w:val="000000" w:themeColor="text1"/>
        </w:rPr>
      </w:pPr>
      <w:r>
        <w:rPr>
          <w:color w:val="000000" w:themeColor="text1"/>
        </w:rPr>
        <w:t>(Source: Self-created)</w:t>
      </w:r>
    </w:p>
    <w:p w14:paraId="5585A7C9" w14:textId="77777777" w:rsidR="003D2527" w:rsidRDefault="002B1B7E">
      <w:pPr>
        <w:pStyle w:val="Heading2"/>
        <w:spacing w:line="360" w:lineRule="auto"/>
        <w:rPr>
          <w:rFonts w:ascii="Arial" w:eastAsia="Arial" w:hAnsi="Arial" w:cs="Arial"/>
          <w:color w:val="000000" w:themeColor="text1"/>
          <w:sz w:val="22"/>
          <w:szCs w:val="22"/>
        </w:rPr>
      </w:pPr>
      <w:bookmarkStart w:id="19" w:name="_heading=h.fihaljnchjx" w:colFirst="0" w:colLast="0"/>
      <w:bookmarkEnd w:id="19"/>
      <w:r>
        <w:rPr>
          <w:rFonts w:ascii="Arial" w:eastAsia="Arial" w:hAnsi="Arial" w:cs="Arial"/>
          <w:color w:val="000000" w:themeColor="text1"/>
          <w:sz w:val="22"/>
          <w:szCs w:val="22"/>
        </w:rPr>
        <w:t xml:space="preserve">4.3 Roles and responsibilities of External stakeholders </w:t>
      </w:r>
    </w:p>
    <w:tbl>
      <w:tblPr>
        <w:tblStyle w:val="Style59"/>
        <w:tblW w:w="10200" w:type="dxa"/>
        <w:tblInd w:w="-100" w:type="dxa"/>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Look w:val="04A0" w:firstRow="1" w:lastRow="0" w:firstColumn="1" w:lastColumn="0" w:noHBand="0" w:noVBand="1"/>
      </w:tblPr>
      <w:tblGrid>
        <w:gridCol w:w="1695"/>
        <w:gridCol w:w="1620"/>
        <w:gridCol w:w="6885"/>
      </w:tblGrid>
      <w:tr w:rsidR="003D2527" w14:paraId="04137914" w14:textId="77777777">
        <w:trPr>
          <w:trHeight w:val="585"/>
        </w:trPr>
        <w:tc>
          <w:tcPr>
            <w:tcW w:w="169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0382B373" w14:textId="77777777" w:rsidR="003D2527" w:rsidRDefault="002B1B7E">
            <w:pPr>
              <w:spacing w:line="360" w:lineRule="auto"/>
              <w:jc w:val="center"/>
              <w:rPr>
                <w:b/>
                <w:color w:val="000000" w:themeColor="text1"/>
              </w:rPr>
            </w:pPr>
            <w:r>
              <w:rPr>
                <w:b/>
                <w:color w:val="000000" w:themeColor="text1"/>
              </w:rPr>
              <w:t>External Stakeholder</w:t>
            </w:r>
          </w:p>
        </w:tc>
        <w:tc>
          <w:tcPr>
            <w:tcW w:w="1620"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482AE5B2" w14:textId="77777777" w:rsidR="003D2527" w:rsidRDefault="002B1B7E">
            <w:pPr>
              <w:spacing w:line="360" w:lineRule="auto"/>
              <w:jc w:val="center"/>
              <w:rPr>
                <w:b/>
                <w:color w:val="000000" w:themeColor="text1"/>
              </w:rPr>
            </w:pPr>
            <w:r>
              <w:rPr>
                <w:b/>
                <w:color w:val="000000" w:themeColor="text1"/>
              </w:rPr>
              <w:t>Role</w:t>
            </w:r>
          </w:p>
        </w:tc>
        <w:tc>
          <w:tcPr>
            <w:tcW w:w="6885"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30BAA9DE" w14:textId="77777777" w:rsidR="003D2527" w:rsidRDefault="002B1B7E">
            <w:pPr>
              <w:spacing w:line="360" w:lineRule="auto"/>
              <w:jc w:val="center"/>
              <w:rPr>
                <w:b/>
                <w:color w:val="000000" w:themeColor="text1"/>
              </w:rPr>
            </w:pPr>
            <w:r>
              <w:rPr>
                <w:b/>
                <w:color w:val="000000" w:themeColor="text1"/>
              </w:rPr>
              <w:t>Responsibilities</w:t>
            </w:r>
          </w:p>
        </w:tc>
      </w:tr>
      <w:tr w:rsidR="003D2527" w14:paraId="1AFAC234" w14:textId="77777777">
        <w:trPr>
          <w:trHeight w:val="2280"/>
        </w:trPr>
        <w:tc>
          <w:tcPr>
            <w:tcW w:w="169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7A18960E" w14:textId="77777777" w:rsidR="003D2527" w:rsidRDefault="002B1B7E">
            <w:pPr>
              <w:spacing w:line="360" w:lineRule="auto"/>
              <w:jc w:val="both"/>
              <w:rPr>
                <w:color w:val="000000" w:themeColor="text1"/>
              </w:rPr>
            </w:pPr>
            <w:r>
              <w:rPr>
                <w:color w:val="000000" w:themeColor="text1"/>
              </w:rPr>
              <w:t>Suppliers</w:t>
            </w:r>
          </w:p>
        </w:tc>
        <w:tc>
          <w:tcPr>
            <w:tcW w:w="1620" w:type="dxa"/>
            <w:tcBorders>
              <w:top w:val="nil"/>
              <w:left w:val="nil"/>
              <w:bottom w:val="single" w:sz="6" w:space="0" w:color="000000"/>
              <w:right w:val="single" w:sz="6" w:space="0" w:color="000000"/>
            </w:tcBorders>
            <w:tcMar>
              <w:top w:w="0" w:type="dxa"/>
              <w:left w:w="100" w:type="dxa"/>
              <w:bottom w:w="0" w:type="dxa"/>
              <w:right w:w="100" w:type="dxa"/>
            </w:tcMar>
          </w:tcPr>
          <w:p w14:paraId="1C419438" w14:textId="77777777" w:rsidR="003D2527" w:rsidRDefault="002B1B7E">
            <w:pPr>
              <w:spacing w:line="360" w:lineRule="auto"/>
              <w:jc w:val="both"/>
              <w:rPr>
                <w:color w:val="000000" w:themeColor="text1"/>
              </w:rPr>
            </w:pPr>
            <w:r>
              <w:rPr>
                <w:color w:val="000000" w:themeColor="text1"/>
              </w:rPr>
              <w:t>Hardware &amp; technology provision</w:t>
            </w:r>
          </w:p>
        </w:tc>
        <w:tc>
          <w:tcPr>
            <w:tcW w:w="6885" w:type="dxa"/>
            <w:tcBorders>
              <w:top w:val="nil"/>
              <w:left w:val="nil"/>
              <w:bottom w:val="single" w:sz="6" w:space="0" w:color="000000"/>
              <w:right w:val="single" w:sz="6" w:space="0" w:color="000000"/>
            </w:tcBorders>
            <w:tcMar>
              <w:top w:w="0" w:type="dxa"/>
              <w:left w:w="100" w:type="dxa"/>
              <w:bottom w:w="0" w:type="dxa"/>
              <w:right w:w="100" w:type="dxa"/>
            </w:tcMar>
          </w:tcPr>
          <w:p w14:paraId="1ADFE902" w14:textId="77777777" w:rsidR="003D2527" w:rsidRDefault="002B1B7E">
            <w:pPr>
              <w:spacing w:line="360" w:lineRule="auto"/>
              <w:jc w:val="both"/>
              <w:rPr>
                <w:color w:val="000000" w:themeColor="text1"/>
              </w:rPr>
            </w:pPr>
            <w:r>
              <w:rPr>
                <w:color w:val="000000" w:themeColor="text1"/>
              </w:rPr>
              <w:t xml:space="preserve">Suppliers are critical for providing high-quality wearable components required </w:t>
            </w:r>
            <w:proofErr w:type="gramStart"/>
            <w:r>
              <w:rPr>
                <w:color w:val="000000" w:themeColor="text1"/>
              </w:rPr>
              <w:t>for the production of</w:t>
            </w:r>
            <w:proofErr w:type="gramEnd"/>
            <w:r>
              <w:rPr>
                <w:color w:val="000000" w:themeColor="text1"/>
              </w:rPr>
              <w:t xml:space="preserve"> devices. Their responsibilities include timely delivery of materials, ensuring components meet technical and quality standards, and supporting the production process to avoid delays (</w:t>
            </w:r>
            <w:r>
              <w:rPr>
                <w:color w:val="000000" w:themeColor="text1"/>
                <w:highlight w:val="white"/>
              </w:rPr>
              <w:t>Zaidi, 2025)</w:t>
            </w:r>
            <w:r>
              <w:rPr>
                <w:color w:val="000000" w:themeColor="text1"/>
              </w:rPr>
              <w:t>. They also maintain supply chain reliability and communicate any issues that could impact project timelines.</w:t>
            </w:r>
          </w:p>
        </w:tc>
      </w:tr>
      <w:tr w:rsidR="003D2527" w14:paraId="2512ADF4" w14:textId="77777777">
        <w:trPr>
          <w:trHeight w:val="1995"/>
        </w:trPr>
        <w:tc>
          <w:tcPr>
            <w:tcW w:w="169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20F8FB84" w14:textId="77777777" w:rsidR="003D2527" w:rsidRDefault="002B1B7E">
            <w:pPr>
              <w:spacing w:line="360" w:lineRule="auto"/>
              <w:jc w:val="both"/>
              <w:rPr>
                <w:color w:val="000000" w:themeColor="text1"/>
              </w:rPr>
            </w:pPr>
            <w:r>
              <w:rPr>
                <w:color w:val="000000" w:themeColor="text1"/>
              </w:rPr>
              <w:t>Regulatory Bodies (MHRA, NHS)</w:t>
            </w:r>
          </w:p>
        </w:tc>
        <w:tc>
          <w:tcPr>
            <w:tcW w:w="1620" w:type="dxa"/>
            <w:tcBorders>
              <w:top w:val="nil"/>
              <w:left w:val="nil"/>
              <w:bottom w:val="single" w:sz="6" w:space="0" w:color="000000"/>
              <w:right w:val="single" w:sz="6" w:space="0" w:color="000000"/>
            </w:tcBorders>
            <w:tcMar>
              <w:top w:w="0" w:type="dxa"/>
              <w:left w:w="100" w:type="dxa"/>
              <w:bottom w:w="0" w:type="dxa"/>
              <w:right w:w="100" w:type="dxa"/>
            </w:tcMar>
          </w:tcPr>
          <w:p w14:paraId="0AD5BA64" w14:textId="77777777" w:rsidR="003D2527" w:rsidRDefault="002B1B7E">
            <w:pPr>
              <w:spacing w:line="360" w:lineRule="auto"/>
              <w:jc w:val="both"/>
              <w:rPr>
                <w:color w:val="000000" w:themeColor="text1"/>
              </w:rPr>
            </w:pPr>
            <w:r>
              <w:rPr>
                <w:color w:val="000000" w:themeColor="text1"/>
              </w:rPr>
              <w:t>Compliance &amp; approval</w:t>
            </w:r>
          </w:p>
        </w:tc>
        <w:tc>
          <w:tcPr>
            <w:tcW w:w="6885" w:type="dxa"/>
            <w:tcBorders>
              <w:top w:val="nil"/>
              <w:left w:val="nil"/>
              <w:bottom w:val="single" w:sz="6" w:space="0" w:color="000000"/>
              <w:right w:val="single" w:sz="6" w:space="0" w:color="000000"/>
            </w:tcBorders>
            <w:tcMar>
              <w:top w:w="0" w:type="dxa"/>
              <w:left w:w="100" w:type="dxa"/>
              <w:bottom w:w="0" w:type="dxa"/>
              <w:right w:w="100" w:type="dxa"/>
            </w:tcMar>
          </w:tcPr>
          <w:p w14:paraId="445C5416" w14:textId="77777777" w:rsidR="003D2527" w:rsidRDefault="002B1B7E">
            <w:pPr>
              <w:spacing w:line="360" w:lineRule="auto"/>
              <w:jc w:val="both"/>
              <w:rPr>
                <w:color w:val="000000" w:themeColor="text1"/>
              </w:rPr>
            </w:pPr>
            <w:r>
              <w:rPr>
                <w:color w:val="000000" w:themeColor="text1"/>
              </w:rPr>
              <w:t>Regulatory bodies ensure that the device complies with UK medical device regulations and safety standards (</w:t>
            </w:r>
            <w:r>
              <w:rPr>
                <w:color w:val="000000" w:themeColor="text1"/>
                <w:highlight w:val="white"/>
              </w:rPr>
              <w:t>MHRA, 2025)</w:t>
            </w:r>
            <w:r>
              <w:rPr>
                <w:color w:val="000000" w:themeColor="text1"/>
              </w:rPr>
              <w:t>. Their responsibilities include reviewing all documentation, assessing safety and efficacy, granting approvals for market release, and monitoring ongoing compliance to prevent legal or ethical violations. They play a high-influence role in enabling market entry.</w:t>
            </w:r>
          </w:p>
        </w:tc>
      </w:tr>
      <w:tr w:rsidR="003D2527" w14:paraId="7093EDE2" w14:textId="77777777">
        <w:trPr>
          <w:trHeight w:val="1995"/>
        </w:trPr>
        <w:tc>
          <w:tcPr>
            <w:tcW w:w="169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58A83AF0" w14:textId="77777777" w:rsidR="003D2527" w:rsidRDefault="002B1B7E">
            <w:pPr>
              <w:spacing w:line="360" w:lineRule="auto"/>
              <w:jc w:val="both"/>
              <w:rPr>
                <w:color w:val="000000" w:themeColor="text1"/>
              </w:rPr>
            </w:pPr>
            <w:r>
              <w:rPr>
                <w:color w:val="000000" w:themeColor="text1"/>
              </w:rPr>
              <w:t>Customers / End-users</w:t>
            </w:r>
          </w:p>
        </w:tc>
        <w:tc>
          <w:tcPr>
            <w:tcW w:w="1620" w:type="dxa"/>
            <w:tcBorders>
              <w:top w:val="nil"/>
              <w:left w:val="nil"/>
              <w:bottom w:val="single" w:sz="6" w:space="0" w:color="000000"/>
              <w:right w:val="single" w:sz="6" w:space="0" w:color="000000"/>
            </w:tcBorders>
            <w:tcMar>
              <w:top w:w="0" w:type="dxa"/>
              <w:left w:w="100" w:type="dxa"/>
              <w:bottom w:w="0" w:type="dxa"/>
              <w:right w:w="100" w:type="dxa"/>
            </w:tcMar>
          </w:tcPr>
          <w:p w14:paraId="48E9E619" w14:textId="77777777" w:rsidR="003D2527" w:rsidRDefault="002B1B7E">
            <w:pPr>
              <w:spacing w:line="360" w:lineRule="auto"/>
              <w:jc w:val="both"/>
              <w:rPr>
                <w:color w:val="000000" w:themeColor="text1"/>
              </w:rPr>
            </w:pPr>
            <w:r>
              <w:rPr>
                <w:color w:val="000000" w:themeColor="text1"/>
              </w:rPr>
              <w:t>Product adoption &amp; feedback</w:t>
            </w:r>
          </w:p>
        </w:tc>
        <w:tc>
          <w:tcPr>
            <w:tcW w:w="6885" w:type="dxa"/>
            <w:tcBorders>
              <w:top w:val="nil"/>
              <w:left w:val="nil"/>
              <w:bottom w:val="single" w:sz="6" w:space="0" w:color="000000"/>
              <w:right w:val="single" w:sz="6" w:space="0" w:color="000000"/>
            </w:tcBorders>
            <w:tcMar>
              <w:top w:w="0" w:type="dxa"/>
              <w:left w:w="100" w:type="dxa"/>
              <w:bottom w:w="0" w:type="dxa"/>
              <w:right w:w="100" w:type="dxa"/>
            </w:tcMar>
          </w:tcPr>
          <w:p w14:paraId="502D2FE9" w14:textId="77777777" w:rsidR="003D2527" w:rsidRDefault="002B1B7E">
            <w:pPr>
              <w:spacing w:line="360" w:lineRule="auto"/>
              <w:jc w:val="both"/>
              <w:rPr>
                <w:color w:val="000000" w:themeColor="text1"/>
              </w:rPr>
            </w:pPr>
            <w:r>
              <w:rPr>
                <w:color w:val="000000" w:themeColor="text1"/>
              </w:rPr>
              <w:t>Customers are the ultimate users whose adoption determines the success of the product. Their responsibilities include engaging with the device, reporting usability issues, providing feedback on functionality, and contributing insights for iterative improvements. High engagement ensures better design refinement and satisfaction.</w:t>
            </w:r>
          </w:p>
        </w:tc>
      </w:tr>
      <w:tr w:rsidR="003D2527" w14:paraId="7E5EF405" w14:textId="77777777">
        <w:trPr>
          <w:trHeight w:val="1710"/>
        </w:trPr>
        <w:tc>
          <w:tcPr>
            <w:tcW w:w="169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7619FB0C" w14:textId="77777777" w:rsidR="003D2527" w:rsidRDefault="002B1B7E">
            <w:pPr>
              <w:spacing w:line="360" w:lineRule="auto"/>
              <w:jc w:val="both"/>
              <w:rPr>
                <w:color w:val="000000" w:themeColor="text1"/>
              </w:rPr>
            </w:pPr>
            <w:r>
              <w:rPr>
                <w:color w:val="000000" w:themeColor="text1"/>
              </w:rPr>
              <w:t>Investors</w:t>
            </w:r>
          </w:p>
        </w:tc>
        <w:tc>
          <w:tcPr>
            <w:tcW w:w="1620" w:type="dxa"/>
            <w:tcBorders>
              <w:top w:val="nil"/>
              <w:left w:val="nil"/>
              <w:bottom w:val="single" w:sz="6" w:space="0" w:color="000000"/>
              <w:right w:val="single" w:sz="6" w:space="0" w:color="000000"/>
            </w:tcBorders>
            <w:tcMar>
              <w:top w:w="0" w:type="dxa"/>
              <w:left w:w="100" w:type="dxa"/>
              <w:bottom w:w="0" w:type="dxa"/>
              <w:right w:w="100" w:type="dxa"/>
            </w:tcMar>
          </w:tcPr>
          <w:p w14:paraId="5DC0F69D" w14:textId="77777777" w:rsidR="003D2527" w:rsidRDefault="002B1B7E">
            <w:pPr>
              <w:spacing w:line="360" w:lineRule="auto"/>
              <w:jc w:val="both"/>
              <w:rPr>
                <w:color w:val="000000" w:themeColor="text1"/>
              </w:rPr>
            </w:pPr>
            <w:r>
              <w:rPr>
                <w:color w:val="000000" w:themeColor="text1"/>
              </w:rPr>
              <w:t>Funding &amp; oversight</w:t>
            </w:r>
          </w:p>
        </w:tc>
        <w:tc>
          <w:tcPr>
            <w:tcW w:w="6885" w:type="dxa"/>
            <w:tcBorders>
              <w:top w:val="nil"/>
              <w:left w:val="nil"/>
              <w:bottom w:val="single" w:sz="6" w:space="0" w:color="000000"/>
              <w:right w:val="single" w:sz="6" w:space="0" w:color="000000"/>
            </w:tcBorders>
            <w:tcMar>
              <w:top w:w="0" w:type="dxa"/>
              <w:left w:w="100" w:type="dxa"/>
              <w:bottom w:w="0" w:type="dxa"/>
              <w:right w:w="100" w:type="dxa"/>
            </w:tcMar>
          </w:tcPr>
          <w:p w14:paraId="4EC1DD98" w14:textId="77777777" w:rsidR="003D2527" w:rsidRDefault="002B1B7E">
            <w:pPr>
              <w:spacing w:line="360" w:lineRule="auto"/>
              <w:jc w:val="both"/>
              <w:rPr>
                <w:color w:val="000000" w:themeColor="text1"/>
              </w:rPr>
            </w:pPr>
            <w:r>
              <w:rPr>
                <w:color w:val="000000" w:themeColor="text1"/>
              </w:rPr>
              <w:t xml:space="preserve">Investors provide the financial resources necessary for development, marketing, and launch (Hollmann </w:t>
            </w:r>
            <w:r>
              <w:rPr>
                <w:i/>
                <w:color w:val="000000" w:themeColor="text1"/>
              </w:rPr>
              <w:t>et al.,</w:t>
            </w:r>
            <w:r>
              <w:rPr>
                <w:color w:val="000000" w:themeColor="text1"/>
              </w:rPr>
              <w:t xml:space="preserve"> 2022). They are responsible for monitoring project progress, evaluating return on investment, approving major budget allocations, and influencing strategic decisions that affect project scope and resource allocation.</w:t>
            </w:r>
          </w:p>
        </w:tc>
      </w:tr>
      <w:tr w:rsidR="003D2527" w14:paraId="0D33BBEA" w14:textId="77777777">
        <w:trPr>
          <w:trHeight w:val="1995"/>
        </w:trPr>
        <w:tc>
          <w:tcPr>
            <w:tcW w:w="169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1BC461EC" w14:textId="77777777" w:rsidR="003D2527" w:rsidRDefault="002B1B7E">
            <w:pPr>
              <w:spacing w:line="360" w:lineRule="auto"/>
              <w:jc w:val="both"/>
              <w:rPr>
                <w:color w:val="000000" w:themeColor="text1"/>
              </w:rPr>
            </w:pPr>
            <w:r>
              <w:rPr>
                <w:color w:val="000000" w:themeColor="text1"/>
              </w:rPr>
              <w:t>Strategic Technology Partners</w:t>
            </w:r>
          </w:p>
        </w:tc>
        <w:tc>
          <w:tcPr>
            <w:tcW w:w="1620" w:type="dxa"/>
            <w:tcBorders>
              <w:top w:val="nil"/>
              <w:left w:val="nil"/>
              <w:bottom w:val="single" w:sz="6" w:space="0" w:color="000000"/>
              <w:right w:val="single" w:sz="6" w:space="0" w:color="000000"/>
            </w:tcBorders>
            <w:tcMar>
              <w:top w:w="0" w:type="dxa"/>
              <w:left w:w="100" w:type="dxa"/>
              <w:bottom w:w="0" w:type="dxa"/>
              <w:right w:w="100" w:type="dxa"/>
            </w:tcMar>
          </w:tcPr>
          <w:p w14:paraId="57ED692F" w14:textId="77777777" w:rsidR="003D2527" w:rsidRDefault="002B1B7E">
            <w:pPr>
              <w:spacing w:line="360" w:lineRule="auto"/>
              <w:jc w:val="both"/>
              <w:rPr>
                <w:color w:val="000000" w:themeColor="text1"/>
              </w:rPr>
            </w:pPr>
            <w:r>
              <w:rPr>
                <w:color w:val="000000" w:themeColor="text1"/>
              </w:rPr>
              <w:t>Software &amp; AI integration</w:t>
            </w:r>
          </w:p>
        </w:tc>
        <w:tc>
          <w:tcPr>
            <w:tcW w:w="6885" w:type="dxa"/>
            <w:tcBorders>
              <w:top w:val="nil"/>
              <w:left w:val="nil"/>
              <w:bottom w:val="single" w:sz="6" w:space="0" w:color="000000"/>
              <w:right w:val="single" w:sz="6" w:space="0" w:color="000000"/>
            </w:tcBorders>
            <w:tcMar>
              <w:top w:w="0" w:type="dxa"/>
              <w:left w:w="100" w:type="dxa"/>
              <w:bottom w:w="0" w:type="dxa"/>
              <w:right w:w="100" w:type="dxa"/>
            </w:tcMar>
          </w:tcPr>
          <w:p w14:paraId="49E910BB" w14:textId="77777777" w:rsidR="003D2527" w:rsidRDefault="002B1B7E">
            <w:pPr>
              <w:spacing w:line="360" w:lineRule="auto"/>
              <w:jc w:val="both"/>
              <w:rPr>
                <w:color w:val="000000" w:themeColor="text1"/>
              </w:rPr>
            </w:pPr>
            <w:r>
              <w:rPr>
                <w:color w:val="000000" w:themeColor="text1"/>
              </w:rPr>
              <w:t xml:space="preserve">Support app integration, implement AI features, develop software functionalities, and ensure compatibility with the digital health ecosystem of </w:t>
            </w:r>
            <w:proofErr w:type="spellStart"/>
            <w:r>
              <w:rPr>
                <w:color w:val="000000" w:themeColor="text1"/>
              </w:rPr>
              <w:t>TestCard</w:t>
            </w:r>
            <w:proofErr w:type="spellEnd"/>
            <w:r>
              <w:rPr>
                <w:color w:val="000000" w:themeColor="text1"/>
              </w:rPr>
              <w:t>.</w:t>
            </w:r>
          </w:p>
        </w:tc>
      </w:tr>
    </w:tbl>
    <w:p w14:paraId="14BCBBA7" w14:textId="77777777" w:rsidR="003D2527" w:rsidRDefault="003D2527">
      <w:pPr>
        <w:spacing w:line="360" w:lineRule="auto"/>
        <w:jc w:val="both"/>
        <w:rPr>
          <w:b/>
          <w:color w:val="000000" w:themeColor="text1"/>
        </w:rPr>
      </w:pPr>
    </w:p>
    <w:p w14:paraId="2777BFA0" w14:textId="77777777" w:rsidR="003D2527" w:rsidRDefault="002B1B7E">
      <w:pPr>
        <w:spacing w:line="360" w:lineRule="auto"/>
        <w:jc w:val="center"/>
        <w:rPr>
          <w:b/>
          <w:color w:val="000000" w:themeColor="text1"/>
        </w:rPr>
      </w:pPr>
      <w:r>
        <w:rPr>
          <w:b/>
          <w:color w:val="000000" w:themeColor="text1"/>
        </w:rPr>
        <w:t>Table 6: Roles and responsibilities of External stakeholders</w:t>
      </w:r>
    </w:p>
    <w:p w14:paraId="37FF1B51" w14:textId="77777777" w:rsidR="003D2527" w:rsidRDefault="002B1B7E">
      <w:pPr>
        <w:spacing w:line="360" w:lineRule="auto"/>
        <w:jc w:val="center"/>
        <w:rPr>
          <w:color w:val="000000" w:themeColor="text1"/>
        </w:rPr>
      </w:pPr>
      <w:r>
        <w:rPr>
          <w:color w:val="000000" w:themeColor="text1"/>
        </w:rPr>
        <w:t>(Source: Self-created)</w:t>
      </w:r>
    </w:p>
    <w:p w14:paraId="50C7C31F" w14:textId="77777777" w:rsidR="003D2527" w:rsidRDefault="002B1B7E">
      <w:pPr>
        <w:pStyle w:val="Heading1"/>
        <w:rPr>
          <w:rFonts w:ascii="Arial" w:eastAsia="Arial" w:hAnsi="Arial" w:cs="Arial"/>
          <w:color w:val="000000" w:themeColor="text1"/>
          <w:sz w:val="22"/>
          <w:szCs w:val="22"/>
        </w:rPr>
      </w:pPr>
      <w:bookmarkStart w:id="20" w:name="_heading=h.qtsz2gv63s2h" w:colFirst="0" w:colLast="0"/>
      <w:bookmarkEnd w:id="20"/>
      <w:r>
        <w:rPr>
          <w:rFonts w:ascii="Arial" w:eastAsia="Arial" w:hAnsi="Arial" w:cs="Arial"/>
          <w:color w:val="000000" w:themeColor="text1"/>
          <w:sz w:val="22"/>
          <w:szCs w:val="22"/>
        </w:rPr>
        <w:t xml:space="preserve">5. Impact of stakeholders' engagement and recommendations for future </w:t>
      </w:r>
    </w:p>
    <w:p w14:paraId="1A956E28" w14:textId="77777777" w:rsidR="003D2527" w:rsidRDefault="002B1B7E">
      <w:pPr>
        <w:spacing w:line="360" w:lineRule="auto"/>
        <w:jc w:val="both"/>
        <w:rPr>
          <w:b/>
          <w:color w:val="000000" w:themeColor="text1"/>
        </w:rPr>
      </w:pPr>
      <w:r>
        <w:rPr>
          <w:color w:val="000000" w:themeColor="text1"/>
        </w:rPr>
        <w:t>Effective stakeholder engagement is essential for successfully completing a project (</w:t>
      </w:r>
      <w:proofErr w:type="spellStart"/>
      <w:r>
        <w:rPr>
          <w:color w:val="000000" w:themeColor="text1"/>
          <w:highlight w:val="white"/>
        </w:rPr>
        <w:t>OnIndus</w:t>
      </w:r>
      <w:proofErr w:type="spellEnd"/>
      <w:r>
        <w:rPr>
          <w:color w:val="000000" w:themeColor="text1"/>
          <w:highlight w:val="white"/>
        </w:rPr>
        <w:t>, 2024)</w:t>
      </w:r>
      <w:r>
        <w:rPr>
          <w:color w:val="000000" w:themeColor="text1"/>
        </w:rPr>
        <w:t xml:space="preserve">. Engaging stakeholders strategically ensures that their resources, experiences and influence are utilised to achieve the targeted project goals, while reducing risk, as well as maximising benefits. In this section, the impact of effective engagement of stakeholders will be highlighted along with key recommendations for the future. </w:t>
      </w:r>
    </w:p>
    <w:p w14:paraId="71AFAB9A" w14:textId="77777777" w:rsidR="003D2527" w:rsidRDefault="002B1B7E">
      <w:pPr>
        <w:pStyle w:val="Heading2"/>
        <w:spacing w:line="360" w:lineRule="auto"/>
        <w:rPr>
          <w:rFonts w:ascii="Arial" w:eastAsia="Arial" w:hAnsi="Arial" w:cs="Arial"/>
          <w:color w:val="000000" w:themeColor="text1"/>
          <w:sz w:val="22"/>
          <w:szCs w:val="22"/>
        </w:rPr>
      </w:pPr>
      <w:bookmarkStart w:id="21" w:name="_heading=h.4tp1ji3b0x68" w:colFirst="0" w:colLast="0"/>
      <w:bookmarkEnd w:id="21"/>
      <w:r>
        <w:rPr>
          <w:rFonts w:ascii="Arial" w:eastAsia="Arial" w:hAnsi="Arial" w:cs="Arial"/>
          <w:color w:val="000000" w:themeColor="text1"/>
          <w:sz w:val="22"/>
          <w:szCs w:val="22"/>
        </w:rPr>
        <w:t>5.1 Impact of stakeholder engagement on business performance</w:t>
      </w:r>
    </w:p>
    <w:p w14:paraId="7B572030" w14:textId="77777777" w:rsidR="003D2527" w:rsidRDefault="002B1B7E">
      <w:pPr>
        <w:spacing w:line="360" w:lineRule="auto"/>
        <w:jc w:val="both"/>
        <w:rPr>
          <w:b/>
          <w:i/>
          <w:color w:val="000000" w:themeColor="text1"/>
        </w:rPr>
      </w:pPr>
      <w:r>
        <w:rPr>
          <w:b/>
          <w:i/>
          <w:color w:val="000000" w:themeColor="text1"/>
        </w:rPr>
        <w:t>Quality improvements and market readiness:</w:t>
      </w:r>
    </w:p>
    <w:p w14:paraId="587ACB58" w14:textId="77777777" w:rsidR="003D2527" w:rsidRDefault="002B1B7E">
      <w:pPr>
        <w:spacing w:line="360" w:lineRule="auto"/>
        <w:jc w:val="both"/>
        <w:rPr>
          <w:color w:val="000000" w:themeColor="text1"/>
        </w:rPr>
      </w:pPr>
      <w:r>
        <w:rPr>
          <w:color w:val="000000" w:themeColor="text1"/>
        </w:rPr>
        <w:t xml:space="preserve">Engaging internal stakeholders such as the research and development and product development teams helps in effectively improving the product quality as well as ensuring market readiness. A regular collaboration between engineers, data analytics and product designs </w:t>
      </w:r>
      <w:proofErr w:type="gramStart"/>
      <w:r>
        <w:rPr>
          <w:color w:val="000000" w:themeColor="text1"/>
        </w:rPr>
        <w:t>is</w:t>
      </w:r>
      <w:proofErr w:type="gramEnd"/>
      <w:r>
        <w:rPr>
          <w:color w:val="000000" w:themeColor="text1"/>
        </w:rPr>
        <w:t xml:space="preserve"> effective for iterative testing, rapid identification of design flows, and improvements within the project on time. Effective engagement of external stakeholders, such as users, is helpful in providing feedback related to comfort, functionality and usability (</w:t>
      </w:r>
      <w:r>
        <w:rPr>
          <w:color w:val="000000" w:themeColor="text1"/>
          <w:highlight w:val="white"/>
        </w:rPr>
        <w:t>McKinsey &amp; Company, 2020)</w:t>
      </w:r>
      <w:r>
        <w:rPr>
          <w:color w:val="000000" w:themeColor="text1"/>
        </w:rPr>
        <w:t xml:space="preserve">. Based on this insight into end users, the appropriate adjustment within the wearable device can happen. Integration of stakeholder insights at the early stage of the product development process, such as in the wearable device manufacturing process, helps ensure an appropriate product that meets customer expectations. </w:t>
      </w:r>
    </w:p>
    <w:p w14:paraId="79D7DD2F" w14:textId="77777777" w:rsidR="003D2527" w:rsidRDefault="002B1B7E">
      <w:pPr>
        <w:spacing w:line="360" w:lineRule="auto"/>
        <w:jc w:val="both"/>
        <w:rPr>
          <w:b/>
          <w:i/>
          <w:color w:val="000000" w:themeColor="text1"/>
        </w:rPr>
      </w:pPr>
      <w:r>
        <w:rPr>
          <w:b/>
          <w:i/>
          <w:color w:val="000000" w:themeColor="text1"/>
        </w:rPr>
        <w:t>Enhanced end users' trust and adoption</w:t>
      </w:r>
    </w:p>
    <w:p w14:paraId="694D5BB1" w14:textId="77777777" w:rsidR="003D2527" w:rsidRDefault="002B1B7E">
      <w:pPr>
        <w:spacing w:line="360" w:lineRule="auto"/>
        <w:jc w:val="both"/>
        <w:rPr>
          <w:color w:val="000000" w:themeColor="text1"/>
        </w:rPr>
      </w:pPr>
      <w:r>
        <w:rPr>
          <w:color w:val="000000" w:themeColor="text1"/>
        </w:rPr>
        <w:t>Stakeholder engagement with end users helped in fostering a sense of inclusion and ownership (</w:t>
      </w:r>
      <w:r>
        <w:rPr>
          <w:color w:val="000000" w:themeColor="text1"/>
          <w:highlight w:val="white"/>
        </w:rPr>
        <w:t>Ashcroft, 2017</w:t>
      </w:r>
      <w:r>
        <w:rPr>
          <w:color w:val="000000" w:themeColor="text1"/>
        </w:rPr>
        <w:t xml:space="preserve">). For example, through survey focus groups and beta testing, customer engagement ensured this project. Customers who feel heard are more likely to adopt the product </w:t>
      </w:r>
      <w:proofErr w:type="gramStart"/>
      <w:r>
        <w:rPr>
          <w:color w:val="000000" w:themeColor="text1"/>
        </w:rPr>
        <w:t>and also</w:t>
      </w:r>
      <w:proofErr w:type="gramEnd"/>
      <w:r>
        <w:rPr>
          <w:color w:val="000000" w:themeColor="text1"/>
        </w:rPr>
        <w:t xml:space="preserve"> provide positive feedback. This strengthens the brand loyalty of </w:t>
      </w:r>
      <w:proofErr w:type="spellStart"/>
      <w:r>
        <w:rPr>
          <w:color w:val="000000" w:themeColor="text1"/>
        </w:rPr>
        <w:t>TestCard</w:t>
      </w:r>
      <w:proofErr w:type="spellEnd"/>
      <w:r>
        <w:rPr>
          <w:color w:val="000000" w:themeColor="text1"/>
        </w:rPr>
        <w:t xml:space="preserve">. Ensuring transparent communication on product features, their impacts, and data privacy measures helps in creating trust among targeted users. This is highly important for </w:t>
      </w:r>
      <w:proofErr w:type="spellStart"/>
      <w:r>
        <w:rPr>
          <w:color w:val="000000" w:themeColor="text1"/>
        </w:rPr>
        <w:t>TestCard</w:t>
      </w:r>
      <w:proofErr w:type="spellEnd"/>
      <w:r>
        <w:rPr>
          <w:color w:val="000000" w:themeColor="text1"/>
        </w:rPr>
        <w:t>, as trust directly influences market adoption, as well as successful launch.</w:t>
      </w:r>
    </w:p>
    <w:p w14:paraId="57C38CCF" w14:textId="77777777" w:rsidR="003D2527" w:rsidRDefault="002B1B7E">
      <w:pPr>
        <w:spacing w:line="360" w:lineRule="auto"/>
        <w:jc w:val="both"/>
        <w:rPr>
          <w:color w:val="000000" w:themeColor="text1"/>
        </w:rPr>
      </w:pPr>
      <w:r>
        <w:rPr>
          <w:b/>
          <w:i/>
          <w:color w:val="000000" w:themeColor="text1"/>
        </w:rPr>
        <w:t>Strong Regulatory Compliance:</w:t>
      </w:r>
      <w:r>
        <w:rPr>
          <w:color w:val="000000" w:themeColor="text1"/>
        </w:rPr>
        <w:t xml:space="preserve"> </w:t>
      </w:r>
    </w:p>
    <w:p w14:paraId="03FDD68A" w14:textId="77777777" w:rsidR="003D2527" w:rsidRDefault="002B1B7E">
      <w:pPr>
        <w:spacing w:line="360" w:lineRule="auto"/>
        <w:jc w:val="both"/>
        <w:rPr>
          <w:color w:val="000000" w:themeColor="text1"/>
        </w:rPr>
      </w:pPr>
      <w:r>
        <w:rPr>
          <w:color w:val="000000" w:themeColor="text1"/>
        </w:rPr>
        <w:t xml:space="preserve">The other impact of stakeholder engagement is strong compliance with regulations (Christopher </w:t>
      </w:r>
      <w:r>
        <w:rPr>
          <w:i/>
          <w:color w:val="000000" w:themeColor="text1"/>
        </w:rPr>
        <w:t xml:space="preserve">et al., </w:t>
      </w:r>
      <w:r>
        <w:rPr>
          <w:color w:val="000000" w:themeColor="text1"/>
        </w:rPr>
        <w:t xml:space="preserve">2013). The regulatory bodies, such as MHRA and NHS, help this project meet their medical device standards as well as meet legal requirements. Throughout the product development process of </w:t>
      </w:r>
      <w:proofErr w:type="spellStart"/>
      <w:r>
        <w:rPr>
          <w:color w:val="000000" w:themeColor="text1"/>
        </w:rPr>
        <w:t>TestCard</w:t>
      </w:r>
      <w:proofErr w:type="spellEnd"/>
      <w:r>
        <w:rPr>
          <w:color w:val="000000" w:themeColor="text1"/>
        </w:rPr>
        <w:t xml:space="preserve">, the involvement of MHRA and NHS helped the organisation to create a wearable device that incorporates feedback, submit accurate documentation </w:t>
      </w:r>
      <w:proofErr w:type="gramStart"/>
      <w:r>
        <w:rPr>
          <w:color w:val="000000" w:themeColor="text1"/>
        </w:rPr>
        <w:t>and also</w:t>
      </w:r>
      <w:proofErr w:type="gramEnd"/>
      <w:r>
        <w:rPr>
          <w:color w:val="000000" w:themeColor="text1"/>
        </w:rPr>
        <w:t xml:space="preserve"> be free from any compliance issues. Engagement of regulatory bodies at early stages helps in reducing delays in product development </w:t>
      </w:r>
      <w:proofErr w:type="gramStart"/>
      <w:r>
        <w:rPr>
          <w:color w:val="000000" w:themeColor="text1"/>
        </w:rPr>
        <w:t>and also</w:t>
      </w:r>
      <w:proofErr w:type="gramEnd"/>
      <w:r>
        <w:rPr>
          <w:color w:val="000000" w:themeColor="text1"/>
        </w:rPr>
        <w:t xml:space="preserve"> requires regulatory requirements that support the safety and quality of the product.</w:t>
      </w:r>
    </w:p>
    <w:p w14:paraId="3C1C30D8" w14:textId="77777777" w:rsidR="003D2527" w:rsidRDefault="002B1B7E">
      <w:pPr>
        <w:spacing w:line="360" w:lineRule="auto"/>
        <w:jc w:val="both"/>
        <w:rPr>
          <w:b/>
          <w:i/>
          <w:color w:val="000000" w:themeColor="text1"/>
        </w:rPr>
      </w:pPr>
      <w:r>
        <w:rPr>
          <w:b/>
          <w:i/>
          <w:color w:val="000000" w:themeColor="text1"/>
        </w:rPr>
        <w:t>Project-related risk reduction</w:t>
      </w:r>
    </w:p>
    <w:p w14:paraId="208A979A" w14:textId="77777777" w:rsidR="003D2527" w:rsidRDefault="002B1B7E">
      <w:pPr>
        <w:spacing w:line="360" w:lineRule="auto"/>
        <w:jc w:val="both"/>
        <w:rPr>
          <w:color w:val="000000" w:themeColor="text1"/>
        </w:rPr>
      </w:pPr>
      <w:r>
        <w:rPr>
          <w:color w:val="000000" w:themeColor="text1"/>
        </w:rPr>
        <w:t xml:space="preserve">Stakeholder engagement in the project helps in identifying potential risks at early stages (Global Infrastructure Hub, 2023). For example, inclusion of a research development team, product development team, regulatory bodies, suppliers and others at the early stage helped in identifying technical, financial or operational risks in projects of </w:t>
      </w:r>
      <w:proofErr w:type="spellStart"/>
      <w:r>
        <w:rPr>
          <w:color w:val="000000" w:themeColor="text1"/>
        </w:rPr>
        <w:t>TestCard</w:t>
      </w:r>
      <w:proofErr w:type="spellEnd"/>
      <w:r>
        <w:rPr>
          <w:color w:val="000000" w:themeColor="text1"/>
        </w:rPr>
        <w:t xml:space="preserve">. Regular coordination with suppliers helps in the timely delivery of the essential components for creating the device. Regulatory authorities such as the NHS and others are helped in providing industrial standards. This reduces delays as well as the cost overall in this project. </w:t>
      </w:r>
    </w:p>
    <w:p w14:paraId="7FE6AD35" w14:textId="77777777" w:rsidR="003D2527" w:rsidRDefault="002B1B7E">
      <w:pPr>
        <w:spacing w:line="360" w:lineRule="auto"/>
        <w:jc w:val="both"/>
        <w:rPr>
          <w:color w:val="000000" w:themeColor="text1"/>
        </w:rPr>
      </w:pPr>
      <w:r>
        <w:rPr>
          <w:color w:val="000000" w:themeColor="text1"/>
        </w:rPr>
        <w:t xml:space="preserve">These are some key impacts of effective stakeholder engagement on the wearable device project of </w:t>
      </w:r>
      <w:proofErr w:type="spellStart"/>
      <w:r>
        <w:rPr>
          <w:color w:val="000000" w:themeColor="text1"/>
        </w:rPr>
        <w:t>TestCard</w:t>
      </w:r>
      <w:proofErr w:type="spellEnd"/>
      <w:r>
        <w:rPr>
          <w:color w:val="000000" w:themeColor="text1"/>
        </w:rPr>
        <w:t xml:space="preserve">. </w:t>
      </w:r>
    </w:p>
    <w:p w14:paraId="4F8FC848" w14:textId="77777777" w:rsidR="003D2527" w:rsidRDefault="002B1B7E">
      <w:pPr>
        <w:pStyle w:val="Heading2"/>
        <w:spacing w:line="360" w:lineRule="auto"/>
        <w:rPr>
          <w:rFonts w:ascii="Arial" w:eastAsia="Arial" w:hAnsi="Arial" w:cs="Arial"/>
          <w:color w:val="000000" w:themeColor="text1"/>
          <w:sz w:val="22"/>
          <w:szCs w:val="22"/>
        </w:rPr>
      </w:pPr>
      <w:bookmarkStart w:id="22" w:name="_heading=h.rutx0yzh9bq" w:colFirst="0" w:colLast="0"/>
      <w:bookmarkEnd w:id="22"/>
      <w:r>
        <w:rPr>
          <w:rFonts w:ascii="Arial" w:eastAsia="Arial" w:hAnsi="Arial" w:cs="Arial"/>
          <w:color w:val="000000" w:themeColor="text1"/>
          <w:sz w:val="22"/>
          <w:szCs w:val="22"/>
        </w:rPr>
        <w:t xml:space="preserve">5.2 Theory and model </w:t>
      </w:r>
    </w:p>
    <w:p w14:paraId="5A036013" w14:textId="77777777" w:rsidR="003D2527" w:rsidRDefault="002B1B7E">
      <w:pPr>
        <w:spacing w:line="360" w:lineRule="auto"/>
        <w:jc w:val="center"/>
        <w:rPr>
          <w:color w:val="000000" w:themeColor="text1"/>
        </w:rPr>
      </w:pPr>
      <w:r>
        <w:rPr>
          <w:noProof/>
          <w:color w:val="000000" w:themeColor="text1"/>
        </w:rPr>
        <w:drawing>
          <wp:inline distT="0" distB="0" distL="0" distR="0" wp14:anchorId="16482B7D" wp14:editId="69B9160D">
            <wp:extent cx="3619500" cy="2343150"/>
            <wp:effectExtent l="0" t="0" r="0" b="0"/>
            <wp:docPr id="25" name="image2.png"/>
            <wp:cNvGraphicFramePr/>
            <a:graphic xmlns:a="http://schemas.openxmlformats.org/drawingml/2006/main">
              <a:graphicData uri="http://schemas.openxmlformats.org/drawingml/2006/picture">
                <pic:pic xmlns:pic="http://schemas.openxmlformats.org/drawingml/2006/picture">
                  <pic:nvPicPr>
                    <pic:cNvPr id="25" name="image2.png"/>
                    <pic:cNvPicPr preferRelativeResize="0"/>
                  </pic:nvPicPr>
                  <pic:blipFill>
                    <a:blip r:embed="rId12"/>
                    <a:srcRect/>
                    <a:stretch>
                      <a:fillRect/>
                    </a:stretch>
                  </pic:blipFill>
                  <pic:spPr>
                    <a:xfrm>
                      <a:off x="0" y="0"/>
                      <a:ext cx="3619500" cy="2343150"/>
                    </a:xfrm>
                    <a:prstGeom prst="rect">
                      <a:avLst/>
                    </a:prstGeom>
                  </pic:spPr>
                </pic:pic>
              </a:graphicData>
            </a:graphic>
          </wp:inline>
        </w:drawing>
      </w:r>
    </w:p>
    <w:p w14:paraId="4E89A4A6" w14:textId="77777777" w:rsidR="003D2527" w:rsidRDefault="002B1B7E">
      <w:pPr>
        <w:spacing w:line="360" w:lineRule="auto"/>
        <w:jc w:val="center"/>
        <w:rPr>
          <w:b/>
          <w:color w:val="000000" w:themeColor="text1"/>
        </w:rPr>
      </w:pPr>
      <w:r>
        <w:rPr>
          <w:b/>
          <w:color w:val="000000" w:themeColor="text1"/>
        </w:rPr>
        <w:t xml:space="preserve">Figure 4: Stakeholder theory </w:t>
      </w:r>
    </w:p>
    <w:p w14:paraId="117E55CA" w14:textId="77777777" w:rsidR="003D2527" w:rsidRDefault="002B1B7E">
      <w:pPr>
        <w:spacing w:line="360" w:lineRule="auto"/>
        <w:jc w:val="center"/>
        <w:rPr>
          <w:color w:val="000000" w:themeColor="text1"/>
        </w:rPr>
      </w:pPr>
      <w:r>
        <w:rPr>
          <w:color w:val="000000" w:themeColor="text1"/>
        </w:rPr>
        <w:t>(Source: Thakur, 2022)</w:t>
      </w:r>
    </w:p>
    <w:p w14:paraId="36ADE5EC" w14:textId="77777777" w:rsidR="003D2527" w:rsidRDefault="002B1B7E">
      <w:pPr>
        <w:spacing w:line="360" w:lineRule="auto"/>
        <w:jc w:val="center"/>
        <w:rPr>
          <w:color w:val="000000" w:themeColor="text1"/>
        </w:rPr>
      </w:pPr>
      <w:r>
        <w:rPr>
          <w:noProof/>
          <w:color w:val="000000" w:themeColor="text1"/>
        </w:rPr>
        <w:drawing>
          <wp:inline distT="0" distB="0" distL="0" distR="0" wp14:anchorId="7C8FE109" wp14:editId="36B92130">
            <wp:extent cx="2933700" cy="2921000"/>
            <wp:effectExtent l="0" t="0" r="0" b="0"/>
            <wp:docPr id="24" name="image3.jpg" descr="Stakeholder Salience: Identify Key Stakeholders Effectively"/>
            <wp:cNvGraphicFramePr/>
            <a:graphic xmlns:a="http://schemas.openxmlformats.org/drawingml/2006/main">
              <a:graphicData uri="http://schemas.openxmlformats.org/drawingml/2006/picture">
                <pic:pic xmlns:pic="http://schemas.openxmlformats.org/drawingml/2006/picture">
                  <pic:nvPicPr>
                    <pic:cNvPr id="24" name="image3.jpg" descr="Stakeholder Salience: Identify Key Stakeholders Effectively"/>
                    <pic:cNvPicPr preferRelativeResize="0"/>
                  </pic:nvPicPr>
                  <pic:blipFill>
                    <a:blip r:embed="rId13"/>
                    <a:srcRect/>
                    <a:stretch>
                      <a:fillRect/>
                    </a:stretch>
                  </pic:blipFill>
                  <pic:spPr>
                    <a:xfrm>
                      <a:off x="0" y="0"/>
                      <a:ext cx="2933700" cy="2921136"/>
                    </a:xfrm>
                    <a:prstGeom prst="rect">
                      <a:avLst/>
                    </a:prstGeom>
                  </pic:spPr>
                </pic:pic>
              </a:graphicData>
            </a:graphic>
          </wp:inline>
        </w:drawing>
      </w:r>
    </w:p>
    <w:p w14:paraId="485A69C6" w14:textId="77777777" w:rsidR="003D2527" w:rsidRDefault="002B1B7E">
      <w:pPr>
        <w:spacing w:line="360" w:lineRule="auto"/>
        <w:jc w:val="center"/>
        <w:rPr>
          <w:b/>
          <w:color w:val="000000" w:themeColor="text1"/>
        </w:rPr>
      </w:pPr>
      <w:r>
        <w:rPr>
          <w:b/>
          <w:color w:val="000000" w:themeColor="text1"/>
        </w:rPr>
        <w:t>Figure 5: Salience Model</w:t>
      </w:r>
    </w:p>
    <w:p w14:paraId="4F989F01" w14:textId="77777777" w:rsidR="003D2527" w:rsidRDefault="002B1B7E">
      <w:pPr>
        <w:spacing w:line="360" w:lineRule="auto"/>
        <w:jc w:val="center"/>
        <w:rPr>
          <w:color w:val="000000" w:themeColor="text1"/>
        </w:rPr>
      </w:pPr>
      <w:r>
        <w:rPr>
          <w:color w:val="000000" w:themeColor="text1"/>
        </w:rPr>
        <w:t>(Source: Morphy, 2019)</w:t>
      </w:r>
    </w:p>
    <w:p w14:paraId="2D18CD8B" w14:textId="77777777" w:rsidR="003D2527" w:rsidRDefault="002B1B7E">
      <w:pPr>
        <w:spacing w:line="360" w:lineRule="auto"/>
        <w:jc w:val="both"/>
        <w:rPr>
          <w:color w:val="000000" w:themeColor="text1"/>
        </w:rPr>
      </w:pPr>
      <w:r>
        <w:rPr>
          <w:color w:val="000000" w:themeColor="text1"/>
        </w:rPr>
        <w:t xml:space="preserve">Important theories and models can be considered for the stakeholders that help in dealing with better conflict management </w:t>
      </w:r>
      <w:proofErr w:type="gramStart"/>
      <w:r>
        <w:rPr>
          <w:color w:val="000000" w:themeColor="text1"/>
        </w:rPr>
        <w:t>and also</w:t>
      </w:r>
      <w:proofErr w:type="gramEnd"/>
      <w:r>
        <w:rPr>
          <w:color w:val="000000" w:themeColor="text1"/>
        </w:rPr>
        <w:t xml:space="preserve"> understanding of the working process within the project. Stakeholder theory significantly provides one of the foundations for understanding the names of the stakeholders and their expectations (Awa </w:t>
      </w:r>
      <w:r>
        <w:rPr>
          <w:i/>
          <w:color w:val="000000" w:themeColor="text1"/>
        </w:rPr>
        <w:t xml:space="preserve">et al., </w:t>
      </w:r>
      <w:r>
        <w:rPr>
          <w:color w:val="000000" w:themeColor="text1"/>
        </w:rPr>
        <w:t>2024, p.9). The Salience Model helps in the classification of the stakeholders by their respective power, legitimacy and urgency, providing significant guidance for prioritising the engagement strategy (</w:t>
      </w:r>
      <w:proofErr w:type="spellStart"/>
      <w:r>
        <w:rPr>
          <w:color w:val="000000" w:themeColor="text1"/>
        </w:rPr>
        <w:t>Kapiriri</w:t>
      </w:r>
      <w:proofErr w:type="spellEnd"/>
      <w:r>
        <w:rPr>
          <w:color w:val="000000" w:themeColor="text1"/>
        </w:rPr>
        <w:t xml:space="preserve"> and Razavi, 2021, p.1029). 4C's model that includes communication, coordination, cooperation and collaboration significantly supports the overall conflict resolution and aligns with the diverse needs of the stakeholder group. Integrating all these can be beneficial to ensure a better stakeholder engagement at </w:t>
      </w:r>
      <w:proofErr w:type="spellStart"/>
      <w:r>
        <w:rPr>
          <w:color w:val="000000" w:themeColor="text1"/>
        </w:rPr>
        <w:t>TestCard</w:t>
      </w:r>
      <w:proofErr w:type="spellEnd"/>
      <w:r>
        <w:rPr>
          <w:color w:val="000000" w:themeColor="text1"/>
        </w:rPr>
        <w:t xml:space="preserve"> UK in a more systematic, proactive and aligned way for the respective project success. </w:t>
      </w:r>
    </w:p>
    <w:p w14:paraId="2B9221B8" w14:textId="77777777" w:rsidR="003D2527" w:rsidRDefault="002B1B7E">
      <w:pPr>
        <w:pStyle w:val="Heading2"/>
        <w:spacing w:line="360" w:lineRule="auto"/>
        <w:rPr>
          <w:rFonts w:ascii="Arial" w:eastAsia="Arial" w:hAnsi="Arial" w:cs="Arial"/>
          <w:color w:val="000000" w:themeColor="text1"/>
          <w:sz w:val="22"/>
          <w:szCs w:val="22"/>
        </w:rPr>
      </w:pPr>
      <w:bookmarkStart w:id="23" w:name="_heading=h.jy8wb5ihe6vo" w:colFirst="0" w:colLast="0"/>
      <w:bookmarkEnd w:id="23"/>
      <w:r>
        <w:rPr>
          <w:rFonts w:ascii="Arial" w:eastAsia="Arial" w:hAnsi="Arial" w:cs="Arial"/>
          <w:color w:val="000000" w:themeColor="text1"/>
          <w:sz w:val="22"/>
          <w:szCs w:val="22"/>
        </w:rPr>
        <w:t>5.3 Recommendations</w:t>
      </w:r>
    </w:p>
    <w:p w14:paraId="2024499E" w14:textId="77777777" w:rsidR="003D2527" w:rsidRDefault="002B1B7E">
      <w:pPr>
        <w:numPr>
          <w:ilvl w:val="0"/>
          <w:numId w:val="1"/>
        </w:numPr>
        <w:spacing w:line="360" w:lineRule="auto"/>
        <w:jc w:val="both"/>
        <w:rPr>
          <w:color w:val="000000" w:themeColor="text1"/>
        </w:rPr>
      </w:pPr>
      <w:r>
        <w:rPr>
          <w:color w:val="000000" w:themeColor="text1"/>
        </w:rPr>
        <w:t>One of the suggestions regarding how stakeholder engagement can be conducted in the future in this project is the implementation of a continuous feedback loop to the users (</w:t>
      </w:r>
      <w:proofErr w:type="spellStart"/>
      <w:r>
        <w:rPr>
          <w:color w:val="000000" w:themeColor="text1"/>
        </w:rPr>
        <w:t>Dugbartey</w:t>
      </w:r>
      <w:proofErr w:type="spellEnd"/>
      <w:r>
        <w:rPr>
          <w:color w:val="000000" w:themeColor="text1"/>
        </w:rPr>
        <w:t xml:space="preserve"> and Kehinde, 2025, p.1243). To make sure, for example, there should be a structured system of gathering constant feedback from device users that takes place after lunch. It will assist in collecting customer feedback and development of features of the devices, resolution of usability challenges and projection of future requirements. </w:t>
      </w:r>
    </w:p>
    <w:p w14:paraId="2B28E799" w14:textId="77777777" w:rsidR="003D2527" w:rsidRDefault="002B1B7E">
      <w:pPr>
        <w:numPr>
          <w:ilvl w:val="0"/>
          <w:numId w:val="1"/>
        </w:numPr>
        <w:spacing w:line="360" w:lineRule="auto"/>
        <w:jc w:val="both"/>
        <w:rPr>
          <w:color w:val="000000" w:themeColor="text1"/>
        </w:rPr>
      </w:pPr>
      <w:r>
        <w:rPr>
          <w:color w:val="000000" w:themeColor="text1"/>
        </w:rPr>
        <w:t xml:space="preserve">The other strategic suggestion is the retention of frequent executive reports and meetings with the stakeholders. With high-influence stakeholders, such as regulatory bodies, top management and investors, </w:t>
      </w:r>
      <w:proofErr w:type="spellStart"/>
      <w:r>
        <w:rPr>
          <w:color w:val="000000" w:themeColor="text1"/>
        </w:rPr>
        <w:t>TestCard</w:t>
      </w:r>
      <w:proofErr w:type="spellEnd"/>
      <w:r>
        <w:rPr>
          <w:color w:val="000000" w:themeColor="text1"/>
        </w:rPr>
        <w:t xml:space="preserve"> needs to continuously communicate. This will help in identifying essential updates in devices and allow for productive problem-solving. </w:t>
      </w:r>
    </w:p>
    <w:p w14:paraId="5B49B112" w14:textId="77777777" w:rsidR="003D2527" w:rsidRDefault="002B1B7E">
      <w:pPr>
        <w:numPr>
          <w:ilvl w:val="0"/>
          <w:numId w:val="1"/>
        </w:numPr>
        <w:spacing w:line="360" w:lineRule="auto"/>
        <w:jc w:val="both"/>
        <w:rPr>
          <w:color w:val="000000" w:themeColor="text1"/>
        </w:rPr>
      </w:pPr>
      <w:r>
        <w:rPr>
          <w:color w:val="000000" w:themeColor="text1"/>
        </w:rPr>
        <w:t xml:space="preserve">The other strategic recommendation for future stakeholder engagement is to invest in stakeholder relationship management software. For example, utilising digital tools to track interaction, concern and feedback of stakeholders is recommended (Boreal, 2025). This will help improve efficiency as well as ensure accountability. </w:t>
      </w:r>
    </w:p>
    <w:p w14:paraId="351AED3C" w14:textId="77777777" w:rsidR="003D2527" w:rsidRDefault="002B1B7E">
      <w:pPr>
        <w:numPr>
          <w:ilvl w:val="0"/>
          <w:numId w:val="1"/>
        </w:numPr>
        <w:spacing w:line="360" w:lineRule="auto"/>
        <w:jc w:val="both"/>
        <w:rPr>
          <w:color w:val="000000" w:themeColor="text1"/>
        </w:rPr>
      </w:pPr>
      <w:r>
        <w:rPr>
          <w:color w:val="000000" w:themeColor="text1"/>
        </w:rPr>
        <w:t>Fostering cross-functional training is also another recommendation for future stakeholder engagement (</w:t>
      </w:r>
      <w:proofErr w:type="spellStart"/>
      <w:r>
        <w:rPr>
          <w:color w:val="000000" w:themeColor="text1"/>
          <w:highlight w:val="white"/>
        </w:rPr>
        <w:t>Dugbartey</w:t>
      </w:r>
      <w:proofErr w:type="spellEnd"/>
      <w:r>
        <w:rPr>
          <w:color w:val="000000" w:themeColor="text1"/>
          <w:highlight w:val="white"/>
        </w:rPr>
        <w:t xml:space="preserve"> and Kehinde, 2025)</w:t>
      </w:r>
      <w:r>
        <w:rPr>
          <w:color w:val="000000" w:themeColor="text1"/>
        </w:rPr>
        <w:t xml:space="preserve">. For example, providing training sessions that bring together marketing, customer service and product development will improve collaboration and reduce knowledge silos. </w:t>
      </w:r>
    </w:p>
    <w:p w14:paraId="650BEDA3" w14:textId="77777777" w:rsidR="003D2527" w:rsidRDefault="002B1B7E">
      <w:pPr>
        <w:numPr>
          <w:ilvl w:val="0"/>
          <w:numId w:val="1"/>
        </w:numPr>
        <w:spacing w:line="360" w:lineRule="auto"/>
        <w:jc w:val="both"/>
        <w:rPr>
          <w:color w:val="000000" w:themeColor="text1"/>
        </w:rPr>
      </w:pPr>
      <w:proofErr w:type="spellStart"/>
      <w:r>
        <w:rPr>
          <w:color w:val="000000" w:themeColor="text1"/>
        </w:rPr>
        <w:t>TestCard</w:t>
      </w:r>
      <w:proofErr w:type="spellEnd"/>
      <w:r>
        <w:rPr>
          <w:color w:val="000000" w:themeColor="text1"/>
        </w:rPr>
        <w:t xml:space="preserve"> should align stakeholder engagement with sustainability practices. For example, using eco-friendly materials and green supply chain management at </w:t>
      </w:r>
      <w:proofErr w:type="spellStart"/>
      <w:r>
        <w:rPr>
          <w:color w:val="000000" w:themeColor="text1"/>
        </w:rPr>
        <w:t>TestCard</w:t>
      </w:r>
      <w:proofErr w:type="spellEnd"/>
      <w:r>
        <w:rPr>
          <w:color w:val="000000" w:themeColor="text1"/>
        </w:rPr>
        <w:t xml:space="preserve"> will help in enhancing brand reputation </w:t>
      </w:r>
      <w:proofErr w:type="gramStart"/>
      <w:r>
        <w:rPr>
          <w:color w:val="000000" w:themeColor="text1"/>
        </w:rPr>
        <w:t>and also</w:t>
      </w:r>
      <w:proofErr w:type="gramEnd"/>
      <w:r>
        <w:rPr>
          <w:color w:val="000000" w:themeColor="text1"/>
        </w:rPr>
        <w:t xml:space="preserve"> appeal to </w:t>
      </w:r>
      <w:proofErr w:type="gramStart"/>
      <w:r>
        <w:rPr>
          <w:color w:val="000000" w:themeColor="text1"/>
        </w:rPr>
        <w:t>ethically-conscious</w:t>
      </w:r>
      <w:proofErr w:type="gramEnd"/>
      <w:r>
        <w:rPr>
          <w:color w:val="000000" w:themeColor="text1"/>
        </w:rPr>
        <w:t xml:space="preserve"> consumers. </w:t>
      </w:r>
    </w:p>
    <w:p w14:paraId="15A87410" w14:textId="77777777" w:rsidR="003D2527" w:rsidRDefault="002B1B7E">
      <w:pPr>
        <w:numPr>
          <w:ilvl w:val="0"/>
          <w:numId w:val="1"/>
        </w:numPr>
        <w:spacing w:line="360" w:lineRule="auto"/>
        <w:jc w:val="both"/>
        <w:rPr>
          <w:color w:val="000000" w:themeColor="text1"/>
        </w:rPr>
      </w:pPr>
      <w:r>
        <w:rPr>
          <w:color w:val="000000" w:themeColor="text1"/>
        </w:rPr>
        <w:t>Monitoring engagement effectiveness is also another strategic recommendation. For example, implementation of KPIs, such as response time, satisfaction rating and others, will ensure continuous improvement and measurable value for the engagement strategy.</w:t>
      </w:r>
    </w:p>
    <w:p w14:paraId="7A794839" w14:textId="77777777" w:rsidR="003D2527" w:rsidRDefault="002B1B7E">
      <w:pPr>
        <w:spacing w:line="360" w:lineRule="auto"/>
        <w:jc w:val="both"/>
        <w:rPr>
          <w:color w:val="000000" w:themeColor="text1"/>
        </w:rPr>
      </w:pPr>
      <w:r>
        <w:rPr>
          <w:color w:val="000000" w:themeColor="text1"/>
        </w:rPr>
        <w:t>The overall recommendation highlighted that stakeholder engagement should not end at the launch of the product, but a continuous interaction with customers, regulators and other stakeholders is needed to sustain the product performance and facilitate future innovation.</w:t>
      </w:r>
    </w:p>
    <w:p w14:paraId="19D4BEAD" w14:textId="77777777" w:rsidR="003D2527" w:rsidRDefault="002B1B7E">
      <w:pPr>
        <w:pStyle w:val="Heading1"/>
        <w:rPr>
          <w:rFonts w:ascii="Arial" w:eastAsia="Arial" w:hAnsi="Arial" w:cs="Arial"/>
          <w:color w:val="000000" w:themeColor="text1"/>
          <w:sz w:val="22"/>
          <w:szCs w:val="22"/>
        </w:rPr>
      </w:pPr>
      <w:bookmarkStart w:id="24" w:name="_heading=h.l999rujrhkz1" w:colFirst="0" w:colLast="0"/>
      <w:bookmarkEnd w:id="24"/>
      <w:r>
        <w:rPr>
          <w:rFonts w:ascii="Arial" w:eastAsia="Arial" w:hAnsi="Arial" w:cs="Arial"/>
          <w:color w:val="000000" w:themeColor="text1"/>
          <w:sz w:val="22"/>
          <w:szCs w:val="22"/>
        </w:rPr>
        <w:t>6. Conclusion</w:t>
      </w:r>
    </w:p>
    <w:p w14:paraId="11A3B204" w14:textId="77777777" w:rsidR="003D2527" w:rsidRDefault="002B1B7E">
      <w:pPr>
        <w:spacing w:line="360" w:lineRule="auto"/>
        <w:jc w:val="both"/>
        <w:rPr>
          <w:color w:val="000000" w:themeColor="text1"/>
        </w:rPr>
      </w:pPr>
      <w:r>
        <w:rPr>
          <w:color w:val="000000" w:themeColor="text1"/>
        </w:rPr>
        <w:t xml:space="preserve">Reflecting on the overall discussion, it can be concluded that in the current healthcare technology landscape, where regulatory compliance, customer trust and innovation are crucial, engaging stakeholders strategically will ensure that their insights, experience and knowledge are fully harnessed. This process is associated with improvement in product development as well as reducing the risk of delays, addressing customer satisfaction </w:t>
      </w:r>
      <w:proofErr w:type="gramStart"/>
      <w:r>
        <w:rPr>
          <w:color w:val="000000" w:themeColor="text1"/>
        </w:rPr>
        <w:t>and also</w:t>
      </w:r>
      <w:proofErr w:type="gramEnd"/>
      <w:r>
        <w:rPr>
          <w:color w:val="000000" w:themeColor="text1"/>
        </w:rPr>
        <w:t xml:space="preserve"> complying with regulatory requirements. With the help of systematic instruments and models, e.g., of SWOT and PEST analysis, the present stance of the strategic strategies of </w:t>
      </w:r>
      <w:proofErr w:type="spellStart"/>
      <w:r>
        <w:rPr>
          <w:color w:val="000000" w:themeColor="text1"/>
        </w:rPr>
        <w:t>TestCard</w:t>
      </w:r>
      <w:proofErr w:type="spellEnd"/>
      <w:r>
        <w:rPr>
          <w:color w:val="000000" w:themeColor="text1"/>
        </w:rPr>
        <w:t xml:space="preserve"> is outlined. The strong brand name and requirement of health products provide an advantage to </w:t>
      </w:r>
      <w:proofErr w:type="spellStart"/>
      <w:r>
        <w:rPr>
          <w:color w:val="000000" w:themeColor="text1"/>
        </w:rPr>
        <w:t>TestCard</w:t>
      </w:r>
      <w:proofErr w:type="spellEnd"/>
      <w:r>
        <w:rPr>
          <w:color w:val="000000" w:themeColor="text1"/>
        </w:rPr>
        <w:t xml:space="preserve"> health devices, where difficulties arise due to high competition, implementation costs and others. The RACI matrix and stakeholder mapping helped in elucidating accountability, the level of influence and interest of the stakeholders. It also identified the need to maintain open communication on this project. Going forward, the 4C model, including communication, coordination, cooperation, and collaboration, proved to be a key mechanism in conflict management alongside the establishment of strong and trust-based relations in a project. All these are ways of developing a holistic system of matching project goals and the expectations of the stakeholders. The overall discussion also highlighted that participation of stakeholders does not only enable instant </w:t>
      </w:r>
      <w:proofErr w:type="gramStart"/>
      <w:r>
        <w:rPr>
          <w:color w:val="000000" w:themeColor="text1"/>
        </w:rPr>
        <w:t>lunch, but</w:t>
      </w:r>
      <w:proofErr w:type="gramEnd"/>
      <w:r>
        <w:rPr>
          <w:color w:val="000000" w:themeColor="text1"/>
        </w:rPr>
        <w:t xml:space="preserve"> would also have long run advantages to </w:t>
      </w:r>
      <w:proofErr w:type="spellStart"/>
      <w:r>
        <w:rPr>
          <w:color w:val="000000" w:themeColor="text1"/>
        </w:rPr>
        <w:t>TestCard</w:t>
      </w:r>
      <w:proofErr w:type="spellEnd"/>
      <w:r>
        <w:rPr>
          <w:color w:val="000000" w:themeColor="text1"/>
        </w:rPr>
        <w:t xml:space="preserve">. In particular, the collaboration with regulators, clients, and partners will help the company in the sphere of innovation, sustainability, compliance, and the possibility to sustain relations with the suppliers and other participants available. Transparency and trust in the innovation-based growth policy of </w:t>
      </w:r>
      <w:proofErr w:type="spellStart"/>
      <w:r>
        <w:rPr>
          <w:color w:val="000000" w:themeColor="text1"/>
        </w:rPr>
        <w:t>TestCard</w:t>
      </w:r>
      <w:proofErr w:type="spellEnd"/>
      <w:r>
        <w:rPr>
          <w:color w:val="000000" w:themeColor="text1"/>
        </w:rPr>
        <w:t xml:space="preserve"> are also beneficial to the investors. The study also highlighted that stakeholder engagement is highly essential for post-launch. It will help the organisation to stay competitive within the market by upgrading features on its wearable health device. It will directly sustain the reputation, customer trust and competitive advantage of </w:t>
      </w:r>
      <w:proofErr w:type="spellStart"/>
      <w:r>
        <w:rPr>
          <w:color w:val="000000" w:themeColor="text1"/>
        </w:rPr>
        <w:t>TestCard</w:t>
      </w:r>
      <w:proofErr w:type="spellEnd"/>
      <w:r>
        <w:rPr>
          <w:color w:val="000000" w:themeColor="text1"/>
        </w:rPr>
        <w:t xml:space="preserve">.  In general, stakeholder engagement is not only a one-time event but a continuous process that would guarantee project success and make </w:t>
      </w:r>
      <w:proofErr w:type="spellStart"/>
      <w:r>
        <w:rPr>
          <w:color w:val="000000" w:themeColor="text1"/>
        </w:rPr>
        <w:t>TestCard</w:t>
      </w:r>
      <w:proofErr w:type="spellEnd"/>
      <w:r>
        <w:rPr>
          <w:color w:val="000000" w:themeColor="text1"/>
        </w:rPr>
        <w:t xml:space="preserve"> one of the major companies in the wearable health devices market. </w:t>
      </w:r>
    </w:p>
    <w:p w14:paraId="4FF0FBA6" w14:textId="77777777" w:rsidR="003D2527" w:rsidRDefault="002B1B7E">
      <w:pPr>
        <w:spacing w:line="360" w:lineRule="auto"/>
        <w:rPr>
          <w:color w:val="000000" w:themeColor="text1"/>
        </w:rPr>
      </w:pPr>
      <w:r>
        <w:rPr>
          <w:color w:val="000000" w:themeColor="text1"/>
        </w:rPr>
        <w:br w:type="page"/>
      </w:r>
    </w:p>
    <w:p w14:paraId="6AF2F1FC" w14:textId="77777777" w:rsidR="003D2527" w:rsidRDefault="002B1B7E">
      <w:pPr>
        <w:pStyle w:val="Heading1"/>
        <w:jc w:val="left"/>
        <w:rPr>
          <w:rFonts w:ascii="Arial" w:eastAsia="Arial" w:hAnsi="Arial" w:cs="Arial"/>
          <w:sz w:val="22"/>
          <w:szCs w:val="22"/>
        </w:rPr>
      </w:pPr>
      <w:bookmarkStart w:id="25" w:name="_heading=h.tb1hfq33dwbf" w:colFirst="0" w:colLast="0"/>
      <w:bookmarkEnd w:id="25"/>
      <w:r>
        <w:rPr>
          <w:rFonts w:ascii="Arial" w:eastAsia="Arial" w:hAnsi="Arial" w:cs="Arial"/>
          <w:sz w:val="22"/>
          <w:szCs w:val="22"/>
        </w:rPr>
        <w:t>References</w:t>
      </w:r>
    </w:p>
    <w:p w14:paraId="053A32DB" w14:textId="77777777" w:rsidR="003D2527" w:rsidRDefault="002B1B7E">
      <w:pPr>
        <w:spacing w:after="240" w:line="360" w:lineRule="auto"/>
        <w:rPr>
          <w:color w:val="222222"/>
          <w:highlight w:val="white"/>
        </w:rPr>
      </w:pPr>
      <w:r>
        <w:rPr>
          <w:color w:val="222222"/>
          <w:highlight w:val="white"/>
        </w:rPr>
        <w:t xml:space="preserve">Adamson, V. (2025). </w:t>
      </w:r>
      <w:r>
        <w:rPr>
          <w:i/>
          <w:color w:val="222222"/>
          <w:highlight w:val="white"/>
        </w:rPr>
        <w:t>Consumer attitudes show health is all about balance | AHDB</w:t>
      </w:r>
      <w:r>
        <w:rPr>
          <w:color w:val="222222"/>
          <w:highlight w:val="white"/>
        </w:rPr>
        <w:t xml:space="preserve">. [online] Ahdb.org.uk. Available at: </w:t>
      </w:r>
      <w:hyperlink r:id="rId14">
        <w:r w:rsidR="003D2527">
          <w:rPr>
            <w:color w:val="1155CC"/>
            <w:highlight w:val="white"/>
            <w:u w:val="single"/>
          </w:rPr>
          <w:t>https://ahdb.org.uk/news/consumer-insight-consumer-attitudes-show-health-is-all-about-balance</w:t>
        </w:r>
      </w:hyperlink>
      <w:r>
        <w:rPr>
          <w:color w:val="222222"/>
          <w:highlight w:val="white"/>
        </w:rPr>
        <w:t xml:space="preserve">. </w:t>
      </w:r>
      <w:r>
        <w:t>(Accessed: 21 Sep 2025)</w:t>
      </w:r>
    </w:p>
    <w:p w14:paraId="24BDBB06" w14:textId="77777777" w:rsidR="003D2527" w:rsidRDefault="002B1B7E">
      <w:pPr>
        <w:spacing w:after="380" w:line="360" w:lineRule="auto"/>
        <w:ind w:right="240"/>
        <w:rPr>
          <w:color w:val="000000"/>
        </w:rPr>
      </w:pPr>
      <w:r>
        <w:rPr>
          <w:color w:val="000000"/>
        </w:rPr>
        <w:t xml:space="preserve">Adham, T.K.I. (2023). ‘Conflict resolution in team: </w:t>
      </w:r>
      <w:proofErr w:type="spellStart"/>
      <w:r>
        <w:rPr>
          <w:color w:val="000000"/>
        </w:rPr>
        <w:t>Analyzing</w:t>
      </w:r>
      <w:proofErr w:type="spellEnd"/>
      <w:r>
        <w:rPr>
          <w:color w:val="000000"/>
        </w:rPr>
        <w:t xml:space="preserve"> the of conflicts and best skills for resolution.’ </w:t>
      </w:r>
      <w:r>
        <w:rPr>
          <w:i/>
          <w:color w:val="000000"/>
        </w:rPr>
        <w:t>Scholars Journal of Engineering and Technology</w:t>
      </w:r>
      <w:r>
        <w:rPr>
          <w:color w:val="000000"/>
        </w:rPr>
        <w:t xml:space="preserve">, </w:t>
      </w:r>
      <w:r>
        <w:rPr>
          <w:i/>
          <w:color w:val="000000"/>
        </w:rPr>
        <w:t>11</w:t>
      </w:r>
      <w:r>
        <w:rPr>
          <w:color w:val="000000"/>
        </w:rPr>
        <w:t>(08), pp.152-162.</w:t>
      </w:r>
    </w:p>
    <w:p w14:paraId="1DBCA940" w14:textId="77777777" w:rsidR="003D2527" w:rsidRDefault="002B1B7E">
      <w:pPr>
        <w:spacing w:after="380" w:line="360" w:lineRule="auto"/>
        <w:ind w:right="240"/>
        <w:rPr>
          <w:color w:val="222222"/>
          <w:highlight w:val="white"/>
        </w:rPr>
      </w:pPr>
      <w:r>
        <w:rPr>
          <w:highlight w:val="white"/>
        </w:rPr>
        <w:t>Ashcroft, J. (2017) The relational lens: understanding, measuring, and managing stakeholder relationships. Cambridge: Cambridge University Press. Available at:</w:t>
      </w:r>
      <w:hyperlink r:id="rId15" w:anchor="CN-bp-1">
        <w:r w:rsidR="003D2527">
          <w:rPr>
            <w:highlight w:val="white"/>
          </w:rPr>
          <w:t xml:space="preserve"> </w:t>
        </w:r>
      </w:hyperlink>
      <w:hyperlink r:id="rId16" w:anchor="CN-bp-1">
        <w:r w:rsidR="003D2527">
          <w:rPr>
            <w:color w:val="0563C1"/>
            <w:highlight w:val="white"/>
            <w:u w:val="single"/>
          </w:rPr>
          <w:t>https://www-cambridge-org.ezproxy.uwtsd.ac.uk/core/books/relational-lens/value-and-importance-of-relationships/718C31032061BDFA3F480BA2A53F45D4#CN-bp-1</w:t>
        </w:r>
      </w:hyperlink>
      <w:r>
        <w:rPr>
          <w:color w:val="0563C1"/>
          <w:highlight w:val="white"/>
          <w:u w:val="single"/>
        </w:rPr>
        <w:t xml:space="preserve"> </w:t>
      </w:r>
      <w:r>
        <w:t>(Accessed 23 Sep 2025)</w:t>
      </w:r>
    </w:p>
    <w:p w14:paraId="69B5CE72" w14:textId="77777777" w:rsidR="003D2527" w:rsidRDefault="002B1B7E">
      <w:pPr>
        <w:spacing w:after="380" w:line="360" w:lineRule="auto"/>
        <w:ind w:right="240"/>
        <w:rPr>
          <w:color w:val="000000"/>
        </w:rPr>
      </w:pPr>
      <w:r>
        <w:rPr>
          <w:color w:val="000000"/>
        </w:rPr>
        <w:t xml:space="preserve">Awa, H.O., Etim, W. and Ogbonda, E. (2024). ‘Stakeholders, stakeholder theory and corporate social responsibility (CSR).’ </w:t>
      </w:r>
      <w:r>
        <w:rPr>
          <w:i/>
          <w:color w:val="000000"/>
        </w:rPr>
        <w:t>International Journal of Corporate Social Responsibility</w:t>
      </w:r>
      <w:r>
        <w:rPr>
          <w:color w:val="000000"/>
        </w:rPr>
        <w:t xml:space="preserve">, </w:t>
      </w:r>
      <w:r>
        <w:rPr>
          <w:i/>
          <w:color w:val="000000"/>
        </w:rPr>
        <w:t>9</w:t>
      </w:r>
      <w:r>
        <w:rPr>
          <w:color w:val="000000"/>
        </w:rPr>
        <w:t>(1), pp.1-11.</w:t>
      </w:r>
    </w:p>
    <w:p w14:paraId="7EBDCF37" w14:textId="77777777" w:rsidR="003D2527" w:rsidRDefault="002B1B7E">
      <w:pPr>
        <w:spacing w:after="380" w:line="360" w:lineRule="auto"/>
        <w:ind w:right="240"/>
        <w:rPr>
          <w:color w:val="000000"/>
        </w:rPr>
      </w:pPr>
      <w:r>
        <w:rPr>
          <w:color w:val="000000"/>
        </w:rPr>
        <w:t xml:space="preserve">Bahrain, N.K., </w:t>
      </w:r>
      <w:proofErr w:type="spellStart"/>
      <w:r>
        <w:rPr>
          <w:color w:val="000000"/>
        </w:rPr>
        <w:t>Sakrani</w:t>
      </w:r>
      <w:proofErr w:type="spellEnd"/>
      <w:r>
        <w:rPr>
          <w:color w:val="000000"/>
        </w:rPr>
        <w:t xml:space="preserve">, S.R. and Maidin, A. (2023). ‘Communication barriers in work environment: understanding impact and challenges.’ </w:t>
      </w:r>
      <w:r>
        <w:rPr>
          <w:i/>
          <w:color w:val="000000"/>
        </w:rPr>
        <w:t>International Journal of Academic Research in Business and Social Sciences</w:t>
      </w:r>
      <w:r>
        <w:rPr>
          <w:color w:val="000000"/>
        </w:rPr>
        <w:t xml:space="preserve">, </w:t>
      </w:r>
      <w:r>
        <w:rPr>
          <w:i/>
          <w:color w:val="000000"/>
        </w:rPr>
        <w:t>13</w:t>
      </w:r>
      <w:r>
        <w:rPr>
          <w:color w:val="000000"/>
        </w:rPr>
        <w:t>(11), pp.1489-1503.</w:t>
      </w:r>
    </w:p>
    <w:p w14:paraId="52C36F15" w14:textId="77777777" w:rsidR="003D2527" w:rsidRDefault="002B1B7E">
      <w:pPr>
        <w:spacing w:after="240" w:line="360" w:lineRule="auto"/>
      </w:pPr>
      <w:r>
        <w:t xml:space="preserve">Boreal (2025). </w:t>
      </w:r>
      <w:r>
        <w:rPr>
          <w:i/>
        </w:rPr>
        <w:t>Stakeholder Engagement</w:t>
      </w:r>
      <w:r>
        <w:t xml:space="preserve">. [online] </w:t>
      </w:r>
      <w:proofErr w:type="spellStart"/>
      <w:r>
        <w:t>Boréalis</w:t>
      </w:r>
      <w:proofErr w:type="spellEnd"/>
      <w:r>
        <w:t xml:space="preserve">. Available at: </w:t>
      </w:r>
      <w:hyperlink r:id="rId17">
        <w:r w:rsidR="003D2527">
          <w:rPr>
            <w:color w:val="0000FF"/>
            <w:u w:val="single"/>
          </w:rPr>
          <w:t>https://www.boreal-is.com/modules/stakeholder-engagement/</w:t>
        </w:r>
      </w:hyperlink>
      <w:r>
        <w:t>. (Accessed 23 Sep 2025)</w:t>
      </w:r>
    </w:p>
    <w:p w14:paraId="2E896D72" w14:textId="77777777" w:rsidR="003D2527" w:rsidRDefault="002B1B7E">
      <w:pPr>
        <w:spacing w:after="240" w:line="360" w:lineRule="auto"/>
        <w:rPr>
          <w:color w:val="222222"/>
          <w:highlight w:val="white"/>
        </w:rPr>
      </w:pPr>
      <w:r>
        <w:rPr>
          <w:color w:val="222222"/>
          <w:highlight w:val="white"/>
        </w:rPr>
        <w:t xml:space="preserve">Callaghan, S., Lösch, M., Pione, A. and Teichner, W., (2021). ‘Feeling good: The future of the $1.5 trillion wellness market.’ </w:t>
      </w:r>
      <w:r>
        <w:rPr>
          <w:i/>
          <w:color w:val="222222"/>
          <w:highlight w:val="white"/>
        </w:rPr>
        <w:t xml:space="preserve">URL: https://www. </w:t>
      </w:r>
      <w:proofErr w:type="spellStart"/>
      <w:r>
        <w:rPr>
          <w:i/>
          <w:color w:val="222222"/>
          <w:highlight w:val="white"/>
        </w:rPr>
        <w:t>mckinsey</w:t>
      </w:r>
      <w:proofErr w:type="spellEnd"/>
      <w:r>
        <w:rPr>
          <w:i/>
          <w:color w:val="222222"/>
          <w:highlight w:val="white"/>
        </w:rPr>
        <w:t xml:space="preserve">. com/industries/consumer-packaged-goods/our-insights/feeling-good-the-future-of-the-1-5-trillion-wellness-market </w:t>
      </w:r>
    </w:p>
    <w:p w14:paraId="693868B5" w14:textId="77777777" w:rsidR="003D2527" w:rsidRDefault="002B1B7E">
      <w:pPr>
        <w:spacing w:after="380" w:line="360" w:lineRule="auto"/>
        <w:ind w:right="240"/>
      </w:pPr>
      <w:r>
        <w:t xml:space="preserve">Christopher, M., Payne, A., and Ballantyne, D. (2013). Relationship Marketing: Creating Stakeholder Value. Saint Louis: Taylor and Francis </w:t>
      </w:r>
    </w:p>
    <w:p w14:paraId="3415CDBB" w14:textId="77777777" w:rsidR="003D2527" w:rsidRDefault="002B1B7E">
      <w:pPr>
        <w:spacing w:after="240" w:line="360" w:lineRule="auto"/>
        <w:rPr>
          <w:color w:val="222222"/>
          <w:highlight w:val="white"/>
        </w:rPr>
      </w:pPr>
      <w:r>
        <w:rPr>
          <w:color w:val="222222"/>
          <w:highlight w:val="white"/>
        </w:rPr>
        <w:t xml:space="preserve">Cohen, I.G., Gerke, S. and Kramer, D.B. (2020). ‘Ethical and legal implications of remote monitoring of medical devices.’ </w:t>
      </w:r>
      <w:r>
        <w:rPr>
          <w:i/>
          <w:color w:val="222222"/>
          <w:highlight w:val="white"/>
        </w:rPr>
        <w:t>The Milbank Quarterly</w:t>
      </w:r>
      <w:r>
        <w:rPr>
          <w:color w:val="222222"/>
          <w:highlight w:val="white"/>
        </w:rPr>
        <w:t xml:space="preserve">, </w:t>
      </w:r>
      <w:r>
        <w:rPr>
          <w:i/>
          <w:color w:val="222222"/>
          <w:highlight w:val="white"/>
        </w:rPr>
        <w:t>98</w:t>
      </w:r>
      <w:r>
        <w:rPr>
          <w:color w:val="222222"/>
          <w:highlight w:val="white"/>
        </w:rPr>
        <w:t>(4), pp.1257-1289.</w:t>
      </w:r>
    </w:p>
    <w:p w14:paraId="438260F1" w14:textId="77777777" w:rsidR="003D2527" w:rsidRDefault="002B1B7E">
      <w:pPr>
        <w:spacing w:after="240" w:line="360" w:lineRule="auto"/>
        <w:rPr>
          <w:color w:val="222222"/>
          <w:highlight w:val="white"/>
        </w:rPr>
      </w:pPr>
      <w:r>
        <w:rPr>
          <w:color w:val="222222"/>
          <w:highlight w:val="white"/>
        </w:rPr>
        <w:t xml:space="preserve">Dribble (2022). </w:t>
      </w:r>
      <w:proofErr w:type="spellStart"/>
      <w:r>
        <w:rPr>
          <w:i/>
          <w:color w:val="222222"/>
          <w:highlight w:val="white"/>
        </w:rPr>
        <w:t>Dribbble</w:t>
      </w:r>
      <w:proofErr w:type="spellEnd"/>
      <w:r>
        <w:rPr>
          <w:i/>
          <w:color w:val="222222"/>
          <w:highlight w:val="white"/>
        </w:rPr>
        <w:t xml:space="preserve"> - Discover the World’s Top Designers &amp; Creative Professionals</w:t>
      </w:r>
      <w:r>
        <w:rPr>
          <w:color w:val="222222"/>
          <w:highlight w:val="white"/>
        </w:rPr>
        <w:t xml:space="preserve">. [online] dribbble.com. Available at: </w:t>
      </w:r>
      <w:hyperlink r:id="rId18">
        <w:r w:rsidR="003D2527">
          <w:rPr>
            <w:color w:val="1155CC"/>
            <w:highlight w:val="white"/>
            <w:u w:val="single"/>
          </w:rPr>
          <w:t>https://dribbble.com/resources/career/product-team-roles</w:t>
        </w:r>
      </w:hyperlink>
      <w:r>
        <w:rPr>
          <w:color w:val="222222"/>
          <w:highlight w:val="white"/>
        </w:rPr>
        <w:t xml:space="preserve">. </w:t>
      </w:r>
      <w:r>
        <w:t>(Accessed 26 Sep 2025)</w:t>
      </w:r>
    </w:p>
    <w:p w14:paraId="7BCDC780" w14:textId="77777777" w:rsidR="003D2527" w:rsidRDefault="002B1B7E">
      <w:pPr>
        <w:spacing w:after="240" w:line="360" w:lineRule="auto"/>
        <w:rPr>
          <w:color w:val="222222"/>
          <w:highlight w:val="white"/>
        </w:rPr>
      </w:pPr>
      <w:proofErr w:type="spellStart"/>
      <w:r>
        <w:rPr>
          <w:color w:val="222222"/>
          <w:highlight w:val="white"/>
        </w:rPr>
        <w:t>Dugbartey</w:t>
      </w:r>
      <w:proofErr w:type="spellEnd"/>
      <w:r>
        <w:rPr>
          <w:color w:val="222222"/>
          <w:highlight w:val="white"/>
        </w:rPr>
        <w:t xml:space="preserve">, A.N. and Kehinde, O., (2025). ‘Optimizing project delivery through agile methodologies: Balancing speed, collaboration and stakeholder engagement.’ </w:t>
      </w:r>
      <w:r>
        <w:rPr>
          <w:i/>
          <w:color w:val="222222"/>
          <w:highlight w:val="white"/>
        </w:rPr>
        <w:t>World J. Adv. Res. Rev</w:t>
      </w:r>
      <w:r>
        <w:rPr>
          <w:color w:val="222222"/>
          <w:highlight w:val="white"/>
        </w:rPr>
        <w:t xml:space="preserve">, </w:t>
      </w:r>
      <w:r>
        <w:rPr>
          <w:i/>
          <w:color w:val="222222"/>
          <w:highlight w:val="white"/>
        </w:rPr>
        <w:t>25</w:t>
      </w:r>
      <w:r>
        <w:rPr>
          <w:color w:val="222222"/>
          <w:highlight w:val="white"/>
        </w:rPr>
        <w:t>, pp.1237-1257.</w:t>
      </w:r>
    </w:p>
    <w:p w14:paraId="206B846B" w14:textId="77777777" w:rsidR="003D2527" w:rsidRDefault="002B1B7E">
      <w:pPr>
        <w:spacing w:after="380" w:line="360" w:lineRule="auto"/>
        <w:ind w:right="240"/>
        <w:rPr>
          <w:color w:val="000000"/>
        </w:rPr>
      </w:pPr>
      <w:r>
        <w:rPr>
          <w:color w:val="000000"/>
        </w:rPr>
        <w:t xml:space="preserve">Ellis, C.A., Gibbs, S.J. and Rein, G.L. (1991). ‘Groupware: Some issues and experiences.’ Communications of the ACM, 34(1), pp.38–58. </w:t>
      </w:r>
    </w:p>
    <w:p w14:paraId="57C3CDB8" w14:textId="77777777" w:rsidR="003D2527" w:rsidRDefault="002B1B7E">
      <w:pPr>
        <w:spacing w:after="380" w:line="360" w:lineRule="auto"/>
        <w:ind w:right="240"/>
        <w:rPr>
          <w:color w:val="000000"/>
        </w:rPr>
      </w:pPr>
      <w:proofErr w:type="spellStart"/>
      <w:r>
        <w:rPr>
          <w:color w:val="000000"/>
        </w:rPr>
        <w:t>Ganeshu</w:t>
      </w:r>
      <w:proofErr w:type="spellEnd"/>
      <w:r>
        <w:rPr>
          <w:color w:val="000000"/>
        </w:rPr>
        <w:t xml:space="preserve">, P., Fernando, T., Therrien, M.C. and </w:t>
      </w:r>
      <w:proofErr w:type="spellStart"/>
      <w:r>
        <w:rPr>
          <w:color w:val="000000"/>
        </w:rPr>
        <w:t>Keraminiyage</w:t>
      </w:r>
      <w:proofErr w:type="spellEnd"/>
      <w:r>
        <w:rPr>
          <w:color w:val="000000"/>
        </w:rPr>
        <w:t xml:space="preserve">, K. (2024). ‘Inter-organisational collaboration structures and features to facilitate stakeholder </w:t>
      </w:r>
      <w:proofErr w:type="spellStart"/>
      <w:r>
        <w:rPr>
          <w:color w:val="000000"/>
        </w:rPr>
        <w:t>collaboration.’</w:t>
      </w:r>
      <w:r>
        <w:rPr>
          <w:i/>
          <w:color w:val="000000"/>
        </w:rPr>
        <w:t>Administrative</w:t>
      </w:r>
      <w:proofErr w:type="spellEnd"/>
      <w:r>
        <w:rPr>
          <w:i/>
          <w:color w:val="000000"/>
        </w:rPr>
        <w:t xml:space="preserve"> Sciences</w:t>
      </w:r>
      <w:r>
        <w:rPr>
          <w:color w:val="000000"/>
        </w:rPr>
        <w:t xml:space="preserve">, </w:t>
      </w:r>
      <w:r>
        <w:rPr>
          <w:i/>
          <w:color w:val="000000"/>
        </w:rPr>
        <w:t>14</w:t>
      </w:r>
      <w:r>
        <w:rPr>
          <w:color w:val="000000"/>
        </w:rPr>
        <w:t>(2), pp.1-25.</w:t>
      </w:r>
    </w:p>
    <w:p w14:paraId="0DB7E550" w14:textId="77777777" w:rsidR="003D2527" w:rsidRDefault="002B1B7E">
      <w:pPr>
        <w:spacing w:after="240" w:line="360" w:lineRule="auto"/>
      </w:pPr>
      <w:r>
        <w:t xml:space="preserve">Global Infrastructure Hub (2023). </w:t>
      </w:r>
      <w:r>
        <w:rPr>
          <w:i/>
        </w:rPr>
        <w:t>Stakeholder Identification, Engagement and Empowerment</w:t>
      </w:r>
      <w:r>
        <w:t xml:space="preserve">. [online] inclusiveinfra.gihub.org. Available at: </w:t>
      </w:r>
      <w:hyperlink r:id="rId19">
        <w:r w:rsidR="003D2527">
          <w:rPr>
            <w:color w:val="1155CC"/>
            <w:u w:val="single"/>
          </w:rPr>
          <w:t>https://inclusiveinfra.gihub.org/action-areas/stakeholder-identification-engagement-and-empowerment/</w:t>
        </w:r>
      </w:hyperlink>
      <w:r>
        <w:t>. (Accessed 25 Sep 2025)</w:t>
      </w:r>
    </w:p>
    <w:p w14:paraId="62E4DCE4" w14:textId="77777777" w:rsidR="003D2527" w:rsidRDefault="002B1B7E">
      <w:pPr>
        <w:spacing w:after="380" w:line="360" w:lineRule="auto"/>
        <w:ind w:right="240"/>
        <w:rPr>
          <w:color w:val="000000"/>
        </w:rPr>
      </w:pPr>
      <w:r>
        <w:rPr>
          <w:color w:val="000000"/>
        </w:rPr>
        <w:t xml:space="preserve">Hollmann, S., </w:t>
      </w:r>
      <w:proofErr w:type="spellStart"/>
      <w:r>
        <w:rPr>
          <w:color w:val="000000"/>
        </w:rPr>
        <w:t>Regierer</w:t>
      </w:r>
      <w:proofErr w:type="spellEnd"/>
      <w:r>
        <w:rPr>
          <w:color w:val="000000"/>
        </w:rPr>
        <w:t xml:space="preserve">, B., </w:t>
      </w:r>
      <w:proofErr w:type="spellStart"/>
      <w:r>
        <w:rPr>
          <w:color w:val="000000"/>
        </w:rPr>
        <w:t>Bechis</w:t>
      </w:r>
      <w:proofErr w:type="spellEnd"/>
      <w:r>
        <w:rPr>
          <w:color w:val="000000"/>
        </w:rPr>
        <w:t xml:space="preserve">, J., Tobin, L. and D’Elia, D. (2022). ‘Ten simple rules on how to develop a stakeholder engagement plan.’ </w:t>
      </w:r>
      <w:proofErr w:type="spellStart"/>
      <w:r>
        <w:rPr>
          <w:i/>
          <w:color w:val="000000"/>
        </w:rPr>
        <w:t>PLoS</w:t>
      </w:r>
      <w:proofErr w:type="spellEnd"/>
      <w:r>
        <w:rPr>
          <w:i/>
          <w:color w:val="000000"/>
        </w:rPr>
        <w:t xml:space="preserve"> Computational Biology</w:t>
      </w:r>
      <w:r>
        <w:rPr>
          <w:color w:val="000000"/>
        </w:rPr>
        <w:t xml:space="preserve">, </w:t>
      </w:r>
      <w:r>
        <w:rPr>
          <w:i/>
          <w:color w:val="000000"/>
        </w:rPr>
        <w:t>18</w:t>
      </w:r>
      <w:r>
        <w:rPr>
          <w:color w:val="000000"/>
        </w:rPr>
        <w:t>(10), pp.1-520.</w:t>
      </w:r>
    </w:p>
    <w:p w14:paraId="00FB04D4" w14:textId="77777777" w:rsidR="003D2527" w:rsidRDefault="002B1B7E">
      <w:pPr>
        <w:spacing w:after="240" w:line="360" w:lineRule="auto"/>
      </w:pPr>
      <w:r>
        <w:t xml:space="preserve">IDC (2025). </w:t>
      </w:r>
      <w:r>
        <w:rPr>
          <w:i/>
        </w:rPr>
        <w:t>IDC - Wearable Devices Market Insights</w:t>
      </w:r>
      <w:r>
        <w:t xml:space="preserve">. [online] IDC. Available at: </w:t>
      </w:r>
      <w:hyperlink r:id="rId20">
        <w:r w:rsidR="003D2527">
          <w:rPr>
            <w:color w:val="1155CC"/>
            <w:u w:val="single"/>
          </w:rPr>
          <w:t>https://www.idc.com/promo/wearablevendor/</w:t>
        </w:r>
      </w:hyperlink>
      <w:r>
        <w:t>. (Accessed 20 Sep 2025)</w:t>
      </w:r>
    </w:p>
    <w:p w14:paraId="38F4DF01" w14:textId="77777777" w:rsidR="003D2527" w:rsidRDefault="002B1B7E">
      <w:pPr>
        <w:spacing w:after="380" w:line="360" w:lineRule="auto"/>
        <w:ind w:right="240"/>
        <w:rPr>
          <w:color w:val="000000"/>
        </w:rPr>
      </w:pPr>
      <w:r>
        <w:rPr>
          <w:color w:val="000000"/>
        </w:rPr>
        <w:t xml:space="preserve">Kapiriri, L. and Razavi, S.D. (2021). ‘Salient stakeholders: Using the salience stakeholder model to assess stakeholders’ influence in healthcare priority setting.’ </w:t>
      </w:r>
      <w:r>
        <w:rPr>
          <w:i/>
          <w:color w:val="000000"/>
        </w:rPr>
        <w:t>Health Policy OPEN</w:t>
      </w:r>
      <w:r>
        <w:rPr>
          <w:color w:val="000000"/>
        </w:rPr>
        <w:t xml:space="preserve">, </w:t>
      </w:r>
      <w:r>
        <w:rPr>
          <w:i/>
          <w:color w:val="000000"/>
        </w:rPr>
        <w:t>2</w:t>
      </w:r>
      <w:r>
        <w:rPr>
          <w:color w:val="000000"/>
        </w:rPr>
        <w:t>, pp.1</w:t>
      </w:r>
      <w:r>
        <w:t>-10</w:t>
      </w:r>
      <w:r>
        <w:rPr>
          <w:color w:val="000000"/>
        </w:rPr>
        <w:t>48.</w:t>
      </w:r>
    </w:p>
    <w:p w14:paraId="251C06BA" w14:textId="77777777" w:rsidR="003D2527" w:rsidRDefault="002B1B7E">
      <w:pPr>
        <w:spacing w:after="380" w:line="360" w:lineRule="auto"/>
        <w:ind w:right="240"/>
        <w:rPr>
          <w:color w:val="000000"/>
        </w:rPr>
      </w:pPr>
      <w:r>
        <w:rPr>
          <w:color w:val="000000"/>
        </w:rPr>
        <w:t xml:space="preserve">Kujala, J., Sachs, S., Leinonen, H., Heikkinen, A. and Laude, D. (2022). ‘Stakeholder engagement: Past, present, and future.’ </w:t>
      </w:r>
      <w:r>
        <w:rPr>
          <w:i/>
          <w:color w:val="000000"/>
        </w:rPr>
        <w:t>Business &amp; Society</w:t>
      </w:r>
      <w:r>
        <w:rPr>
          <w:color w:val="000000"/>
        </w:rPr>
        <w:t xml:space="preserve">, </w:t>
      </w:r>
      <w:r>
        <w:rPr>
          <w:i/>
          <w:color w:val="000000"/>
        </w:rPr>
        <w:t>61</w:t>
      </w:r>
      <w:r>
        <w:rPr>
          <w:color w:val="000000"/>
        </w:rPr>
        <w:t>(5), pp.1136-1196.</w:t>
      </w:r>
    </w:p>
    <w:p w14:paraId="3F3AD8F3" w14:textId="77777777" w:rsidR="003D2527" w:rsidRDefault="002B1B7E">
      <w:pPr>
        <w:spacing w:after="380" w:line="360" w:lineRule="auto"/>
        <w:ind w:right="240"/>
        <w:rPr>
          <w:color w:val="000000"/>
        </w:rPr>
      </w:pPr>
      <w:r>
        <w:rPr>
          <w:color w:val="000000"/>
        </w:rPr>
        <w:t xml:space="preserve">Mammadova, F. and Abdullayeva, N. (2025). ‘The role of communication and collaboration in business management.’ JEL Classification, 45, pp. 196-210. </w:t>
      </w:r>
    </w:p>
    <w:p w14:paraId="4FA1B1C7" w14:textId="77777777" w:rsidR="003D2527" w:rsidRDefault="002B1B7E">
      <w:pPr>
        <w:spacing w:after="240" w:line="360" w:lineRule="auto"/>
        <w:rPr>
          <w:color w:val="222222"/>
          <w:highlight w:val="white"/>
        </w:rPr>
      </w:pPr>
      <w:r>
        <w:rPr>
          <w:color w:val="222222"/>
          <w:highlight w:val="white"/>
        </w:rPr>
        <w:t>Marcon Nora, G.A., Alberton, A. and Ayala, D.H.F. (2023). ‘Stakeholder theory and actor</w:t>
      </w:r>
      <w:r>
        <w:rPr>
          <w:rFonts w:ascii="Cambria Math" w:eastAsia="Cambria Math" w:hAnsi="Cambria Math" w:cs="Cambria Math"/>
          <w:color w:val="222222"/>
          <w:highlight w:val="white"/>
        </w:rPr>
        <w:t>‐</w:t>
      </w:r>
      <w:r>
        <w:rPr>
          <w:color w:val="222222"/>
          <w:highlight w:val="white"/>
        </w:rPr>
        <w:t xml:space="preserve">network theory: The stakeholder engagement in energy transitions.’ </w:t>
      </w:r>
      <w:r>
        <w:rPr>
          <w:i/>
          <w:color w:val="222222"/>
          <w:highlight w:val="white"/>
        </w:rPr>
        <w:t>Business Strategy and the Environment</w:t>
      </w:r>
      <w:r>
        <w:rPr>
          <w:color w:val="222222"/>
          <w:highlight w:val="white"/>
        </w:rPr>
        <w:t xml:space="preserve">, </w:t>
      </w:r>
      <w:r>
        <w:rPr>
          <w:i/>
          <w:color w:val="222222"/>
          <w:highlight w:val="white"/>
        </w:rPr>
        <w:t>32</w:t>
      </w:r>
      <w:r>
        <w:rPr>
          <w:color w:val="222222"/>
          <w:highlight w:val="white"/>
        </w:rPr>
        <w:t>(1), pp.673-685.</w:t>
      </w:r>
    </w:p>
    <w:p w14:paraId="092DEE6C" w14:textId="77777777" w:rsidR="003D2527" w:rsidRDefault="002B1B7E">
      <w:pPr>
        <w:spacing w:after="380" w:line="360" w:lineRule="auto"/>
        <w:ind w:right="240"/>
        <w:rPr>
          <w:color w:val="000000"/>
        </w:rPr>
      </w:pPr>
      <w:r>
        <w:rPr>
          <w:color w:val="000000"/>
        </w:rPr>
        <w:t xml:space="preserve">Mason, M.C., </w:t>
      </w:r>
      <w:proofErr w:type="spellStart"/>
      <w:r>
        <w:rPr>
          <w:color w:val="000000"/>
        </w:rPr>
        <w:t>Iacuzzi</w:t>
      </w:r>
      <w:proofErr w:type="spellEnd"/>
      <w:r>
        <w:rPr>
          <w:color w:val="000000"/>
        </w:rPr>
        <w:t xml:space="preserve">, S., </w:t>
      </w:r>
      <w:proofErr w:type="spellStart"/>
      <w:r>
        <w:rPr>
          <w:color w:val="000000"/>
        </w:rPr>
        <w:t>Zamparo</w:t>
      </w:r>
      <w:proofErr w:type="spellEnd"/>
      <w:r>
        <w:rPr>
          <w:color w:val="000000"/>
        </w:rPr>
        <w:t xml:space="preserve">, G. and </w:t>
      </w:r>
      <w:proofErr w:type="spellStart"/>
      <w:r>
        <w:rPr>
          <w:color w:val="000000"/>
        </w:rPr>
        <w:t>Garlatti</w:t>
      </w:r>
      <w:proofErr w:type="spellEnd"/>
      <w:r>
        <w:rPr>
          <w:color w:val="000000"/>
        </w:rPr>
        <w:t xml:space="preserve">, A. (2024). ‘How do stakeholders co-create value in a service ecosystem? Insight from mega-events.’ </w:t>
      </w:r>
      <w:r>
        <w:rPr>
          <w:i/>
          <w:color w:val="000000"/>
        </w:rPr>
        <w:t>Management Decision</w:t>
      </w:r>
      <w:r>
        <w:rPr>
          <w:color w:val="000000"/>
        </w:rPr>
        <w:t xml:space="preserve">, </w:t>
      </w:r>
      <w:r>
        <w:rPr>
          <w:i/>
          <w:color w:val="000000"/>
        </w:rPr>
        <w:t>62</w:t>
      </w:r>
      <w:r>
        <w:rPr>
          <w:color w:val="000000"/>
        </w:rPr>
        <w:t>(13), pp.398-425.</w:t>
      </w:r>
    </w:p>
    <w:p w14:paraId="42205184" w14:textId="77777777" w:rsidR="003D2527" w:rsidRDefault="002B1B7E">
      <w:pPr>
        <w:spacing w:after="240" w:line="360" w:lineRule="auto"/>
        <w:rPr>
          <w:color w:val="222222"/>
          <w:highlight w:val="white"/>
        </w:rPr>
      </w:pPr>
      <w:r>
        <w:rPr>
          <w:color w:val="222222"/>
          <w:highlight w:val="white"/>
        </w:rPr>
        <w:t xml:space="preserve">McKinsey &amp; Company (2020). </w:t>
      </w:r>
      <w:r>
        <w:rPr>
          <w:i/>
          <w:color w:val="222222"/>
          <w:highlight w:val="white"/>
        </w:rPr>
        <w:t>Factors for external stakeholder engagement | McKinsey</w:t>
      </w:r>
      <w:r>
        <w:rPr>
          <w:color w:val="222222"/>
          <w:highlight w:val="white"/>
        </w:rPr>
        <w:t xml:space="preserve">. [online] www.mckinsey.com. Available at: </w:t>
      </w:r>
      <w:hyperlink r:id="rId21">
        <w:r w:rsidR="003D2527">
          <w:rPr>
            <w:color w:val="1155CC"/>
            <w:highlight w:val="white"/>
            <w:u w:val="single"/>
          </w:rPr>
          <w:t>https://www.mckinsey.com/capabilities/strategy-and-corporate-finance/our-insights/the-pivotal-factors-for-effective-external-engagement</w:t>
        </w:r>
      </w:hyperlink>
      <w:r>
        <w:rPr>
          <w:color w:val="222222"/>
          <w:highlight w:val="white"/>
        </w:rPr>
        <w:t xml:space="preserve">. </w:t>
      </w:r>
      <w:r>
        <w:t>(Accessed 21 Sep 2025)</w:t>
      </w:r>
    </w:p>
    <w:p w14:paraId="6CE41C34" w14:textId="77777777" w:rsidR="003D2527" w:rsidRDefault="002B1B7E">
      <w:pPr>
        <w:spacing w:after="240" w:line="360" w:lineRule="auto"/>
        <w:rPr>
          <w:color w:val="222222"/>
          <w:highlight w:val="white"/>
        </w:rPr>
      </w:pPr>
      <w:r>
        <w:rPr>
          <w:color w:val="222222"/>
          <w:highlight w:val="white"/>
        </w:rPr>
        <w:t xml:space="preserve">MHRA (2025). </w:t>
      </w:r>
      <w:r>
        <w:rPr>
          <w:i/>
          <w:color w:val="222222"/>
          <w:highlight w:val="white"/>
        </w:rPr>
        <w:t>Medicines and Healthcare products Regulatory Agency</w:t>
      </w:r>
      <w:r>
        <w:rPr>
          <w:color w:val="222222"/>
          <w:highlight w:val="white"/>
        </w:rPr>
        <w:t xml:space="preserve">. [online] GOV.UK. Available at: </w:t>
      </w:r>
      <w:hyperlink r:id="rId22">
        <w:r w:rsidR="003D2527">
          <w:rPr>
            <w:color w:val="1155CC"/>
            <w:highlight w:val="white"/>
            <w:u w:val="single"/>
          </w:rPr>
          <w:t>https://www.gov.uk/government/organisations/medicines-and-healthcare-products-regulatory-agency</w:t>
        </w:r>
      </w:hyperlink>
      <w:r>
        <w:rPr>
          <w:color w:val="222222"/>
          <w:highlight w:val="white"/>
        </w:rPr>
        <w:t xml:space="preserve">. </w:t>
      </w:r>
      <w:r>
        <w:t>(Accessed 22 Sep 2025)</w:t>
      </w:r>
    </w:p>
    <w:p w14:paraId="061ADC46" w14:textId="77777777" w:rsidR="003D2527" w:rsidRDefault="002B1B7E">
      <w:pPr>
        <w:spacing w:after="240" w:line="360" w:lineRule="auto"/>
        <w:rPr>
          <w:color w:val="000000"/>
        </w:rPr>
      </w:pPr>
      <w:r>
        <w:rPr>
          <w:color w:val="000000"/>
        </w:rPr>
        <w:t xml:space="preserve">Morphy, T. (2019). </w:t>
      </w:r>
      <w:r>
        <w:rPr>
          <w:i/>
          <w:color w:val="000000"/>
        </w:rPr>
        <w:t>Stakeholder Salience</w:t>
      </w:r>
      <w:r>
        <w:rPr>
          <w:color w:val="000000"/>
        </w:rPr>
        <w:t>. [online] Stakeholdermap.com. Available at: https://www.stakeholdermap.com/stakeholder-analysis/stakeholder-salience.html (Accessed 25 Sep. 2025).</w:t>
      </w:r>
    </w:p>
    <w:p w14:paraId="4F8113C3" w14:textId="77777777" w:rsidR="003D2527" w:rsidRDefault="002B1B7E">
      <w:pPr>
        <w:spacing w:after="380" w:line="360" w:lineRule="auto"/>
        <w:ind w:right="240"/>
        <w:rPr>
          <w:color w:val="000000"/>
        </w:rPr>
      </w:pPr>
      <w:r>
        <w:rPr>
          <w:color w:val="000000"/>
        </w:rPr>
        <w:t xml:space="preserve">Nonet, G.A.H., </w:t>
      </w:r>
      <w:proofErr w:type="spellStart"/>
      <w:r>
        <w:rPr>
          <w:color w:val="000000"/>
        </w:rPr>
        <w:t>Gössling</w:t>
      </w:r>
      <w:proofErr w:type="spellEnd"/>
      <w:r>
        <w:rPr>
          <w:color w:val="000000"/>
        </w:rPr>
        <w:t xml:space="preserve">, T., Van </w:t>
      </w:r>
      <w:proofErr w:type="spellStart"/>
      <w:r>
        <w:rPr>
          <w:color w:val="000000"/>
        </w:rPr>
        <w:t>Tulder</w:t>
      </w:r>
      <w:proofErr w:type="spellEnd"/>
      <w:r>
        <w:rPr>
          <w:color w:val="000000"/>
        </w:rPr>
        <w:t xml:space="preserve">, R. and Bryson, J.M. (2022). ‘Multi-stakeholder engagement for the sustainable development goals: introduction to the special issue.’ </w:t>
      </w:r>
      <w:r>
        <w:rPr>
          <w:i/>
          <w:color w:val="000000"/>
        </w:rPr>
        <w:t>Journal of Business Ethics</w:t>
      </w:r>
      <w:r>
        <w:rPr>
          <w:color w:val="000000"/>
        </w:rPr>
        <w:t xml:space="preserve">, </w:t>
      </w:r>
      <w:r>
        <w:rPr>
          <w:i/>
          <w:color w:val="000000"/>
        </w:rPr>
        <w:t>180</w:t>
      </w:r>
      <w:r>
        <w:rPr>
          <w:color w:val="000000"/>
        </w:rPr>
        <w:t>(4), pp.1-945.</w:t>
      </w:r>
    </w:p>
    <w:p w14:paraId="25E011BC" w14:textId="77777777" w:rsidR="003D2527" w:rsidRDefault="002B1B7E">
      <w:pPr>
        <w:spacing w:after="240" w:line="360" w:lineRule="auto"/>
        <w:rPr>
          <w:color w:val="222222"/>
          <w:highlight w:val="white"/>
        </w:rPr>
      </w:pPr>
      <w:proofErr w:type="spellStart"/>
      <w:r>
        <w:rPr>
          <w:color w:val="222222"/>
          <w:highlight w:val="white"/>
        </w:rPr>
        <w:t>OnIndus</w:t>
      </w:r>
      <w:proofErr w:type="spellEnd"/>
      <w:r>
        <w:rPr>
          <w:color w:val="222222"/>
          <w:highlight w:val="white"/>
        </w:rPr>
        <w:t xml:space="preserve"> (2024). </w:t>
      </w:r>
      <w:r>
        <w:rPr>
          <w:i/>
          <w:color w:val="222222"/>
          <w:highlight w:val="white"/>
        </w:rPr>
        <w:t xml:space="preserve">Why Stakeholder Engagement is Crucial for Project Success? - </w:t>
      </w:r>
      <w:proofErr w:type="spellStart"/>
      <w:r>
        <w:rPr>
          <w:i/>
          <w:color w:val="222222"/>
          <w:highlight w:val="white"/>
        </w:rPr>
        <w:t>OnIndus</w:t>
      </w:r>
      <w:proofErr w:type="spellEnd"/>
      <w:r>
        <w:rPr>
          <w:color w:val="222222"/>
          <w:highlight w:val="white"/>
        </w:rPr>
        <w:t xml:space="preserve">. [online] </w:t>
      </w:r>
      <w:proofErr w:type="spellStart"/>
      <w:r>
        <w:rPr>
          <w:color w:val="222222"/>
          <w:highlight w:val="white"/>
        </w:rPr>
        <w:t>OnIndus</w:t>
      </w:r>
      <w:proofErr w:type="spellEnd"/>
      <w:r>
        <w:rPr>
          <w:color w:val="222222"/>
          <w:highlight w:val="white"/>
        </w:rPr>
        <w:t xml:space="preserve">. Available at: </w:t>
      </w:r>
      <w:hyperlink r:id="rId23">
        <w:r w:rsidR="003D2527">
          <w:rPr>
            <w:color w:val="1155CC"/>
            <w:highlight w:val="white"/>
            <w:u w:val="single"/>
          </w:rPr>
          <w:t>https://www.onindus.com/importance-of-stakeholder-engagement-in-project-management/</w:t>
        </w:r>
      </w:hyperlink>
      <w:r>
        <w:rPr>
          <w:color w:val="222222"/>
          <w:highlight w:val="white"/>
        </w:rPr>
        <w:t xml:space="preserve">. </w:t>
      </w:r>
      <w:r>
        <w:t>(Accessed 24 Sep 2025)</w:t>
      </w:r>
    </w:p>
    <w:p w14:paraId="2015105F" w14:textId="77777777" w:rsidR="003D2527" w:rsidRDefault="002B1B7E">
      <w:pPr>
        <w:spacing w:after="380" w:line="360" w:lineRule="auto"/>
        <w:ind w:right="240"/>
        <w:rPr>
          <w:color w:val="000000"/>
        </w:rPr>
      </w:pPr>
      <w:r>
        <w:rPr>
          <w:color w:val="000000"/>
        </w:rPr>
        <w:t xml:space="preserve">Styk, K. and Bogacz, P. (2022). ‘A method for stakeholder mapping in connection with the implementation of a development project.’ </w:t>
      </w:r>
      <w:r>
        <w:rPr>
          <w:i/>
          <w:color w:val="000000"/>
        </w:rPr>
        <w:t>Energies</w:t>
      </w:r>
      <w:r>
        <w:rPr>
          <w:color w:val="000000"/>
        </w:rPr>
        <w:t>, 15(4), pp.1-1592.</w:t>
      </w:r>
    </w:p>
    <w:p w14:paraId="6321D364" w14:textId="77777777" w:rsidR="003D2527" w:rsidRDefault="002B1B7E">
      <w:pPr>
        <w:spacing w:after="240" w:line="360" w:lineRule="auto"/>
        <w:rPr>
          <w:color w:val="000000"/>
        </w:rPr>
      </w:pPr>
      <w:r>
        <w:rPr>
          <w:color w:val="000000"/>
        </w:rPr>
        <w:t xml:space="preserve">Thakur, M. (2022). </w:t>
      </w:r>
      <w:r>
        <w:rPr>
          <w:i/>
          <w:color w:val="000000"/>
        </w:rPr>
        <w:t>Stakeholder Theory | Top 6 Principles of Stakeholder Theory with Example</w:t>
      </w:r>
      <w:r>
        <w:rPr>
          <w:color w:val="000000"/>
        </w:rPr>
        <w:t>. [online] EDUCBA. Available at: https://www.educba.com/stakeholder-theory/ (Accessed 26 Sep. 2025).</w:t>
      </w:r>
    </w:p>
    <w:p w14:paraId="23B79D17" w14:textId="77777777" w:rsidR="003D2527" w:rsidRDefault="002B1B7E">
      <w:pPr>
        <w:spacing w:after="240" w:line="360" w:lineRule="auto"/>
      </w:pPr>
      <w:r>
        <w:t xml:space="preserve">Testcard, (2025). </w:t>
      </w:r>
      <w:r>
        <w:rPr>
          <w:i/>
        </w:rPr>
        <w:t>The future of diagnostic testing is digit</w:t>
      </w:r>
      <w:r>
        <w:t xml:space="preserve">al. Available </w:t>
      </w:r>
      <w:proofErr w:type="spellStart"/>
      <w:r>
        <w:t>at:</w:t>
      </w:r>
      <w:hyperlink r:id="rId24">
        <w:r w:rsidR="003D2527">
          <w:rPr>
            <w:color w:val="1155CC"/>
            <w:u w:val="single"/>
          </w:rPr>
          <w:t>https</w:t>
        </w:r>
        <w:proofErr w:type="spellEnd"/>
        <w:r w:rsidR="003D2527">
          <w:rPr>
            <w:color w:val="1155CC"/>
            <w:u w:val="single"/>
          </w:rPr>
          <w:t>://www.testcard.com/</w:t>
        </w:r>
      </w:hyperlink>
      <w:r>
        <w:t xml:space="preserve"> (Accessed 26 Sep. 2025).</w:t>
      </w:r>
    </w:p>
    <w:p w14:paraId="6A535740" w14:textId="619D8B54" w:rsidR="003D2527" w:rsidRDefault="002B1B7E" w:rsidP="005C72E4">
      <w:pPr>
        <w:spacing w:after="240" w:line="360" w:lineRule="auto"/>
      </w:pPr>
      <w:r>
        <w:rPr>
          <w:color w:val="222222"/>
          <w:highlight w:val="white"/>
        </w:rPr>
        <w:t xml:space="preserve">Zaidi, Z. (2025). </w:t>
      </w:r>
      <w:r>
        <w:rPr>
          <w:i/>
          <w:color w:val="222222"/>
          <w:highlight w:val="white"/>
        </w:rPr>
        <w:t>Supplier’s responsibilities: Overview, definition, and example</w:t>
      </w:r>
      <w:r>
        <w:rPr>
          <w:color w:val="222222"/>
          <w:highlight w:val="white"/>
        </w:rPr>
        <w:t xml:space="preserve">. [online] </w:t>
      </w:r>
      <w:proofErr w:type="spellStart"/>
      <w:r>
        <w:rPr>
          <w:color w:val="222222"/>
          <w:highlight w:val="white"/>
        </w:rPr>
        <w:t>Cobrief</w:t>
      </w:r>
      <w:proofErr w:type="spellEnd"/>
      <w:r>
        <w:rPr>
          <w:color w:val="222222"/>
          <w:highlight w:val="white"/>
        </w:rPr>
        <w:t xml:space="preserve">. Available at: </w:t>
      </w:r>
      <w:hyperlink r:id="rId25">
        <w:r w:rsidR="003D2527">
          <w:rPr>
            <w:color w:val="1155CC"/>
            <w:highlight w:val="white"/>
            <w:u w:val="single"/>
          </w:rPr>
          <w:t>https://www.cobrief.app/resources/legal-glossary/suppliers-responsibilities-overview-definition-and-example/</w:t>
        </w:r>
      </w:hyperlink>
      <w:r>
        <w:rPr>
          <w:color w:val="222222"/>
          <w:highlight w:val="white"/>
        </w:rPr>
        <w:t xml:space="preserve">. </w:t>
      </w:r>
      <w:r>
        <w:t>(Accessed 23 Sep 2025)</w:t>
      </w:r>
      <w:bookmarkStart w:id="26" w:name="_heading=h.srmatmp1o84t" w:colFirst="0" w:colLast="0"/>
      <w:bookmarkEnd w:id="26"/>
      <w:r w:rsidR="005C72E4">
        <w:t>.</w:t>
      </w:r>
    </w:p>
    <w:sectPr w:rsidR="003D2527">
      <w:footerReference w:type="default" r:id="rId26"/>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831338" w14:textId="77777777" w:rsidR="00AC1E1B" w:rsidRDefault="00AC1E1B">
      <w:pPr>
        <w:spacing w:line="240" w:lineRule="auto"/>
      </w:pPr>
      <w:r>
        <w:separator/>
      </w:r>
    </w:p>
  </w:endnote>
  <w:endnote w:type="continuationSeparator" w:id="0">
    <w:p w14:paraId="0C2AD039" w14:textId="77777777" w:rsidR="00AC1E1B" w:rsidRDefault="00AC1E1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auto"/>
    <w:pitch w:val="default"/>
    <w:sig w:usb0="E1002EFF" w:usb1="C000605B" w:usb2="00000029" w:usb3="00000000" w:csb0="200101FF" w:csb1="20280000"/>
  </w:font>
  <w:font w:name="Georgia">
    <w:panose1 w:val="02040502050405020303"/>
    <w:charset w:val="00"/>
    <w:family w:val="auto"/>
    <w:pitch w:val="default"/>
    <w:sig w:usb0="00000287" w:usb1="00000000" w:usb2="00000000" w:usb3="00000000" w:csb0="2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400825" w14:textId="77777777" w:rsidR="003D2527" w:rsidRDefault="002B1B7E">
    <w:pPr>
      <w:tabs>
        <w:tab w:val="center" w:pos="4680"/>
        <w:tab w:val="right" w:pos="9360"/>
      </w:tabs>
      <w:spacing w:line="240" w:lineRule="auto"/>
      <w:jc w:val="right"/>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488527D1" w14:textId="77777777" w:rsidR="003D2527" w:rsidRDefault="003D2527">
    <w:pP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8A10C9" w14:textId="77777777" w:rsidR="00AC1E1B" w:rsidRDefault="00AC1E1B">
      <w:r>
        <w:separator/>
      </w:r>
    </w:p>
  </w:footnote>
  <w:footnote w:type="continuationSeparator" w:id="0">
    <w:p w14:paraId="09AB3ECA" w14:textId="77777777" w:rsidR="00AC1E1B" w:rsidRDefault="00AC1E1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3AF1767"/>
    <w:multiLevelType w:val="multilevel"/>
    <w:tmpl w:val="43AF17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2195840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2527"/>
    <w:rsid w:val="000B52E3"/>
    <w:rsid w:val="002B1B7E"/>
    <w:rsid w:val="002E1922"/>
    <w:rsid w:val="003D2527"/>
    <w:rsid w:val="005C72E4"/>
    <w:rsid w:val="006D242E"/>
    <w:rsid w:val="008A31C8"/>
    <w:rsid w:val="008B32C8"/>
    <w:rsid w:val="00AC1E1B"/>
    <w:rsid w:val="00B040C5"/>
    <w:rsid w:val="00E80CED"/>
    <w:rsid w:val="01EC73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1BB9FC"/>
  <w15:docId w15:val="{F5B33949-2DC3-4AC5-BD9C-2D0B82942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toc 1" w:uiPriority="39" w:unhideWhenUsed="1" w:qFormat="1"/>
    <w:lsdException w:name="toc 2" w:uiPriority="39" w:unhideWhenUsed="1" w:qFormat="1"/>
    <w:lsdException w:name="annotation text" w:semiHidden="1" w:uiPriority="99" w:unhideWhenUsed="1" w:qFormat="1"/>
    <w:lsdException w:name="header" w:semiHidden="1" w:uiPriority="99" w:unhideWhenUsed="1" w:qFormat="1"/>
    <w:lsdException w:name="footer" w:uiPriority="99" w:unhideWhenUsed="1"/>
    <w:lsdException w:name="caption" w:semiHidden="1" w:unhideWhenUsed="1" w:qFormat="1"/>
    <w:lsdException w:name="annotation reference" w:semiHidden="1" w:uiPriority="99" w:unhideWhenUsed="1" w:qFormat="1"/>
    <w:lsdException w:name="Title" w:qFormat="1"/>
    <w:lsdException w:name="Default Paragraph Font" w:semiHidden="1" w:uiPriority="1" w:unhideWhenUsed="1" w:qFormat="1"/>
    <w:lsdException w:name="Subtitle" w:qFormat="1"/>
    <w:lsdException w:name="Hyperlink" w:uiPriority="99" w:unhideWhenUsed="1" w:qFormat="1"/>
    <w:lsdException w:name="Strong" w:uiPriority="22" w:qFormat="1"/>
    <w:lsdException w:name="Emphasis" w:qFormat="1"/>
    <w:lsdException w:name="HTML Top of Form" w:semiHidden="1" w:uiPriority="99" w:unhideWhenUsed="1"/>
    <w:lsdException w:name="HTML Bottom of Form" w:semiHidden="1" w:uiPriority="99" w:unhideWhenUsed="1"/>
    <w:lsdException w:name="Normal (Web)" w:semiHidden="1" w:uiPriority="99" w:unhideWhenUsed="1"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qFormat="1"/>
    <w:lsdException w:name="Table Theme" w:semiHidden="1"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276" w:lineRule="auto"/>
    </w:pPr>
    <w:rPr>
      <w:sz w:val="22"/>
      <w:szCs w:val="22"/>
      <w:lang w:val="en-IN"/>
    </w:rPr>
  </w:style>
  <w:style w:type="paragraph" w:styleId="Heading1">
    <w:name w:val="heading 1"/>
    <w:basedOn w:val="Normal"/>
    <w:next w:val="Normal"/>
    <w:link w:val="Heading1Char"/>
    <w:qFormat/>
    <w:pPr>
      <w:keepNext/>
      <w:keepLines/>
      <w:spacing w:before="120" w:line="360" w:lineRule="auto"/>
      <w:jc w:val="both"/>
      <w:outlineLvl w:val="0"/>
    </w:pPr>
    <w:rPr>
      <w:rFonts w:ascii="Times New Roman" w:eastAsia="Times New Roman" w:hAnsi="Times New Roman" w:cs="Times New Roman"/>
      <w:b/>
      <w:color w:val="000000"/>
      <w:sz w:val="28"/>
      <w:szCs w:val="28"/>
    </w:rPr>
  </w:style>
  <w:style w:type="paragraph" w:styleId="Heading2">
    <w:name w:val="heading 2"/>
    <w:basedOn w:val="Normal"/>
    <w:next w:val="Normal"/>
    <w:link w:val="Heading2Char"/>
    <w:qFormat/>
    <w:pPr>
      <w:keepNext/>
      <w:keepLines/>
      <w:spacing w:before="200"/>
      <w:jc w:val="both"/>
      <w:outlineLvl w:val="1"/>
    </w:pPr>
    <w:rPr>
      <w:rFonts w:ascii="Times New Roman" w:eastAsia="Times New Roman" w:hAnsi="Times New Roman" w:cs="Times New Roman"/>
      <w:b/>
      <w:color w:val="000000"/>
      <w:sz w:val="26"/>
      <w:szCs w:val="26"/>
    </w:rPr>
  </w:style>
  <w:style w:type="paragraph" w:styleId="Heading3">
    <w:name w:val="heading 3"/>
    <w:basedOn w:val="Normal"/>
    <w:next w:val="Normal"/>
    <w:link w:val="Heading3Char"/>
    <w:qFormat/>
    <w:pPr>
      <w:keepNext/>
      <w:keepLines/>
      <w:spacing w:before="200"/>
      <w:outlineLvl w:val="2"/>
    </w:pPr>
    <w:rPr>
      <w:b/>
      <w:color w:val="000000"/>
    </w:rPr>
  </w:style>
  <w:style w:type="paragraph" w:styleId="Heading4">
    <w:name w:val="heading 4"/>
    <w:basedOn w:val="Normal"/>
    <w:next w:val="Normal"/>
    <w:qFormat/>
    <w:pPr>
      <w:keepNext/>
      <w:keepLines/>
      <w:spacing w:before="240" w:after="40"/>
      <w:outlineLvl w:val="3"/>
    </w:pPr>
    <w:rPr>
      <w:b/>
      <w:sz w:val="24"/>
      <w:szCs w:val="24"/>
    </w:rPr>
  </w:style>
  <w:style w:type="paragraph" w:styleId="Heading5">
    <w:name w:val="heading 5"/>
    <w:basedOn w:val="Normal"/>
    <w:next w:val="Normal"/>
    <w:qFormat/>
    <w:pPr>
      <w:keepNext/>
      <w:keepLines/>
      <w:spacing w:before="220" w:after="40"/>
      <w:outlineLvl w:val="4"/>
    </w:pPr>
    <w:rPr>
      <w:b/>
    </w:rPr>
  </w:style>
  <w:style w:type="paragraph" w:styleId="Heading6">
    <w:name w:val="heading 6"/>
    <w:basedOn w:val="Normal"/>
    <w:next w:val="Normal"/>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line="240" w:lineRule="auto"/>
    </w:pPr>
    <w:rPr>
      <w:rFonts w:ascii="Tahoma" w:hAnsi="Tahoma" w:cs="Tahoma"/>
      <w:sz w:val="16"/>
      <w:szCs w:val="16"/>
    </w:rPr>
  </w:style>
  <w:style w:type="character" w:styleId="CommentReference">
    <w:name w:val="annotation reference"/>
    <w:basedOn w:val="DefaultParagraphFont"/>
    <w:uiPriority w:val="99"/>
    <w:semiHidden/>
    <w:unhideWhenUsed/>
    <w:qFormat/>
    <w:rPr>
      <w:sz w:val="16"/>
      <w:szCs w:val="16"/>
    </w:rPr>
  </w:style>
  <w:style w:type="paragraph" w:styleId="CommentText">
    <w:name w:val="annotation text"/>
    <w:basedOn w:val="Normal"/>
    <w:link w:val="CommentTextChar"/>
    <w:uiPriority w:val="99"/>
    <w:semiHidden/>
    <w:unhideWhenUsed/>
    <w:qFormat/>
    <w:pPr>
      <w:spacing w:line="240" w:lineRule="auto"/>
    </w:pPr>
    <w:rPr>
      <w:sz w:val="20"/>
      <w:szCs w:val="20"/>
    </w:rPr>
  </w:style>
  <w:style w:type="paragraph" w:styleId="Footer">
    <w:name w:val="footer"/>
    <w:basedOn w:val="Normal"/>
    <w:link w:val="FooterChar"/>
    <w:uiPriority w:val="99"/>
    <w:unhideWhenUsed/>
    <w:pPr>
      <w:tabs>
        <w:tab w:val="center" w:pos="4680"/>
        <w:tab w:val="right" w:pos="9360"/>
      </w:tabs>
      <w:spacing w:line="240" w:lineRule="auto"/>
    </w:pPr>
  </w:style>
  <w:style w:type="paragraph" w:styleId="Header">
    <w:name w:val="header"/>
    <w:basedOn w:val="Normal"/>
    <w:link w:val="HeaderChar"/>
    <w:uiPriority w:val="99"/>
    <w:semiHidden/>
    <w:unhideWhenUsed/>
    <w:qFormat/>
    <w:pPr>
      <w:tabs>
        <w:tab w:val="center" w:pos="4680"/>
        <w:tab w:val="right" w:pos="9360"/>
      </w:tabs>
      <w:spacing w:line="240" w:lineRule="auto"/>
    </w:p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basedOn w:val="Normal"/>
    <w:uiPriority w:val="99"/>
    <w:semiHidden/>
    <w:unhideWhenUsed/>
    <w:qFormat/>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styleId="Strong">
    <w:name w:val="Strong"/>
    <w:basedOn w:val="DefaultParagraphFont"/>
    <w:uiPriority w:val="22"/>
    <w:qFormat/>
    <w:rPr>
      <w:b/>
      <w:bCs/>
    </w:rPr>
  </w:style>
  <w:style w:type="paragraph" w:styleId="Subtitle">
    <w:name w:val="Subtitle"/>
    <w:basedOn w:val="Normal"/>
    <w:next w:val="Normal"/>
    <w:qFormat/>
    <w:pPr>
      <w:keepNext/>
      <w:keepLines/>
      <w:spacing w:before="360" w:after="80"/>
    </w:pPr>
    <w:rPr>
      <w:rFonts w:ascii="Georgia" w:eastAsia="Georgia" w:hAnsi="Georgia" w:cs="Georgia"/>
      <w:i/>
      <w:color w:val="666666"/>
      <w:sz w:val="48"/>
      <w:szCs w:val="48"/>
    </w:rPr>
  </w:style>
  <w:style w:type="paragraph" w:styleId="Title">
    <w:name w:val="Title"/>
    <w:basedOn w:val="Normal"/>
    <w:next w:val="Normal"/>
    <w:qFormat/>
    <w:pPr>
      <w:keepNext/>
      <w:keepLines/>
      <w:spacing w:before="480" w:after="120"/>
    </w:pPr>
    <w:rPr>
      <w:b/>
      <w:sz w:val="72"/>
      <w:szCs w:val="72"/>
    </w:rPr>
  </w:style>
  <w:style w:type="paragraph" w:styleId="TOC1">
    <w:name w:val="toc 1"/>
    <w:basedOn w:val="Normal"/>
    <w:next w:val="Normal"/>
    <w:autoRedefine/>
    <w:uiPriority w:val="39"/>
    <w:unhideWhenUsed/>
    <w:qFormat/>
    <w:pPr>
      <w:spacing w:after="100"/>
    </w:pPr>
  </w:style>
  <w:style w:type="paragraph" w:styleId="TOC2">
    <w:name w:val="toc 2"/>
    <w:basedOn w:val="Normal"/>
    <w:next w:val="Normal"/>
    <w:autoRedefine/>
    <w:uiPriority w:val="39"/>
    <w:unhideWhenUsed/>
    <w:qFormat/>
    <w:pPr>
      <w:spacing w:after="100"/>
      <w:ind w:left="220"/>
    </w:pPr>
  </w:style>
  <w:style w:type="table" w:customStyle="1" w:styleId="TableNormal0">
    <w:name w:val="TableNormal"/>
    <w:qFormat/>
    <w:tblPr>
      <w:tblCellMar>
        <w:top w:w="100" w:type="dxa"/>
        <w:left w:w="100" w:type="dxa"/>
        <w:bottom w:w="100" w:type="dxa"/>
        <w:right w:w="100" w:type="dxa"/>
      </w:tblCellMar>
    </w:tblPr>
  </w:style>
  <w:style w:type="character" w:customStyle="1" w:styleId="Heading1Char">
    <w:name w:val="Heading 1 Char"/>
    <w:basedOn w:val="DefaultParagraphFont"/>
    <w:link w:val="Heading1"/>
    <w:uiPriority w:val="9"/>
    <w:qFormat/>
    <w:rPr>
      <w:rFonts w:ascii="Times New Roman" w:eastAsiaTheme="majorEastAsia" w:hAnsi="Times New Roman" w:cs="Arial"/>
      <w:b/>
      <w:bCs/>
      <w:color w:val="000000" w:themeColor="text1"/>
      <w:kern w:val="0"/>
      <w:sz w:val="28"/>
      <w:szCs w:val="28"/>
      <w:lang w:eastAsia="en-IN"/>
    </w:rPr>
  </w:style>
  <w:style w:type="character" w:customStyle="1" w:styleId="Heading2Char">
    <w:name w:val="Heading 2 Char"/>
    <w:basedOn w:val="DefaultParagraphFont"/>
    <w:link w:val="Heading2"/>
    <w:uiPriority w:val="9"/>
    <w:qFormat/>
    <w:rPr>
      <w:rFonts w:ascii="Times New Roman" w:eastAsiaTheme="majorEastAsia" w:hAnsi="Times New Roman" w:cs="Arial"/>
      <w:b/>
      <w:bCs/>
      <w:color w:val="000000" w:themeColor="text1"/>
      <w:kern w:val="0"/>
      <w:sz w:val="26"/>
      <w:szCs w:val="26"/>
      <w:lang w:eastAsia="en-IN"/>
    </w:rPr>
  </w:style>
  <w:style w:type="character" w:customStyle="1" w:styleId="Heading3Char">
    <w:name w:val="Heading 3 Char"/>
    <w:basedOn w:val="DefaultParagraphFont"/>
    <w:link w:val="Heading3"/>
    <w:uiPriority w:val="9"/>
    <w:qFormat/>
    <w:rPr>
      <w:rFonts w:ascii="Times New Roman" w:eastAsiaTheme="majorEastAsia" w:hAnsi="Times New Roman" w:cstheme="majorBidi"/>
      <w:b/>
      <w:bCs/>
      <w:color w:val="000000" w:themeColor="text1"/>
      <w:sz w:val="24"/>
    </w:rPr>
  </w:style>
  <w:style w:type="character" w:customStyle="1" w:styleId="BalloonTextChar">
    <w:name w:val="Balloon Text Char"/>
    <w:basedOn w:val="DefaultParagraphFont"/>
    <w:link w:val="BalloonText"/>
    <w:uiPriority w:val="99"/>
    <w:semiHidden/>
    <w:qFormat/>
    <w:rPr>
      <w:rFonts w:ascii="Tahoma" w:eastAsia="Arial" w:hAnsi="Tahoma" w:cs="Tahoma"/>
      <w:kern w:val="0"/>
      <w:sz w:val="16"/>
      <w:szCs w:val="16"/>
      <w:lang w:eastAsia="en-IN"/>
    </w:rPr>
  </w:style>
  <w:style w:type="paragraph" w:styleId="ListParagraph">
    <w:name w:val="List Paragraph"/>
    <w:basedOn w:val="Normal"/>
    <w:uiPriority w:val="34"/>
    <w:qFormat/>
    <w:pPr>
      <w:ind w:left="720"/>
      <w:contextualSpacing/>
    </w:pPr>
  </w:style>
  <w:style w:type="paragraph" w:customStyle="1" w:styleId="TOCHeading1">
    <w:name w:val="TOC Heading1"/>
    <w:basedOn w:val="Heading1"/>
    <w:next w:val="Normal"/>
    <w:uiPriority w:val="39"/>
    <w:semiHidden/>
    <w:unhideWhenUsed/>
    <w:qFormat/>
    <w:pPr>
      <w:spacing w:before="480" w:line="276" w:lineRule="auto"/>
      <w:jc w:val="left"/>
      <w:outlineLvl w:val="9"/>
    </w:pPr>
    <w:rPr>
      <w:rFonts w:asciiTheme="majorHAnsi" w:hAnsiTheme="majorHAnsi" w:cstheme="majorBidi"/>
      <w:color w:val="365F91" w:themeColor="accent1" w:themeShade="BF"/>
      <w:lang w:val="en-US" w:eastAsia="ja-JP"/>
    </w:rPr>
  </w:style>
  <w:style w:type="paragraph" w:styleId="NoSpacing">
    <w:name w:val="No Spacing"/>
    <w:uiPriority w:val="1"/>
    <w:qFormat/>
    <w:pPr>
      <w:spacing w:line="480" w:lineRule="auto"/>
      <w:jc w:val="both"/>
    </w:pPr>
    <w:rPr>
      <w:rFonts w:ascii="Times New Roman" w:hAnsi="Times New Roman"/>
      <w:sz w:val="24"/>
      <w:szCs w:val="22"/>
      <w:lang w:val="en-IN"/>
    </w:rPr>
  </w:style>
  <w:style w:type="paragraph" w:customStyle="1" w:styleId="Normal1">
    <w:name w:val="Normal1"/>
    <w:qFormat/>
    <w:pPr>
      <w:spacing w:line="276" w:lineRule="auto"/>
    </w:pPr>
    <w:rPr>
      <w:sz w:val="22"/>
      <w:szCs w:val="22"/>
      <w:lang w:val="en-IN"/>
    </w:rPr>
  </w:style>
  <w:style w:type="character" w:customStyle="1" w:styleId="HeaderChar">
    <w:name w:val="Header Char"/>
    <w:basedOn w:val="DefaultParagraphFont"/>
    <w:link w:val="Header"/>
    <w:uiPriority w:val="99"/>
    <w:semiHidden/>
    <w:qFormat/>
    <w:rPr>
      <w:rFonts w:ascii="Arial" w:eastAsia="Arial" w:hAnsi="Arial" w:cs="Arial"/>
      <w:kern w:val="0"/>
      <w:lang w:eastAsia="en-IN"/>
    </w:rPr>
  </w:style>
  <w:style w:type="character" w:customStyle="1" w:styleId="FooterChar">
    <w:name w:val="Footer Char"/>
    <w:basedOn w:val="DefaultParagraphFont"/>
    <w:link w:val="Footer"/>
    <w:uiPriority w:val="99"/>
    <w:qFormat/>
    <w:rPr>
      <w:rFonts w:ascii="Arial" w:eastAsia="Arial" w:hAnsi="Arial" w:cs="Arial"/>
      <w:kern w:val="0"/>
      <w:lang w:eastAsia="en-IN"/>
    </w:rPr>
  </w:style>
  <w:style w:type="table" w:customStyle="1" w:styleId="a">
    <w:name w:val="a"/>
    <w:basedOn w:val="TableNormal0"/>
    <w:qFormat/>
    <w:tblPr>
      <w:tblCellMar>
        <w:left w:w="115" w:type="dxa"/>
        <w:right w:w="115" w:type="dxa"/>
      </w:tblCellMar>
    </w:tblPr>
  </w:style>
  <w:style w:type="table" w:customStyle="1" w:styleId="a0">
    <w:name w:val="a0"/>
    <w:basedOn w:val="TableNormal0"/>
    <w:qFormat/>
    <w:tblPr>
      <w:tblCellMar>
        <w:left w:w="115" w:type="dxa"/>
        <w:right w:w="115" w:type="dxa"/>
      </w:tblCellMar>
    </w:tblPr>
  </w:style>
  <w:style w:type="table" w:customStyle="1" w:styleId="a1">
    <w:name w:val="a1"/>
    <w:basedOn w:val="TableNormal0"/>
    <w:qFormat/>
    <w:tblPr>
      <w:tblCellMar>
        <w:left w:w="115" w:type="dxa"/>
        <w:right w:w="115" w:type="dxa"/>
      </w:tblCellMar>
    </w:tblPr>
  </w:style>
  <w:style w:type="table" w:customStyle="1" w:styleId="a2">
    <w:name w:val="a2"/>
    <w:basedOn w:val="TableNormal0"/>
    <w:qFormat/>
    <w:tblPr>
      <w:tblCellMar>
        <w:left w:w="115" w:type="dxa"/>
        <w:right w:w="115" w:type="dxa"/>
      </w:tblCellMar>
    </w:tblPr>
  </w:style>
  <w:style w:type="table" w:customStyle="1" w:styleId="a3">
    <w:name w:val="a3"/>
    <w:basedOn w:val="TableNormal0"/>
    <w:qFormat/>
    <w:tblPr>
      <w:tblCellMar>
        <w:left w:w="115" w:type="dxa"/>
        <w:right w:w="115" w:type="dxa"/>
      </w:tblCellMar>
    </w:tblPr>
  </w:style>
  <w:style w:type="table" w:customStyle="1" w:styleId="a4">
    <w:name w:val="a4"/>
    <w:basedOn w:val="TableNormal0"/>
    <w:qFormat/>
    <w:tblPr>
      <w:tblCellMar>
        <w:left w:w="115" w:type="dxa"/>
        <w:right w:w="115" w:type="dxa"/>
      </w:tblCellMar>
    </w:tblPr>
  </w:style>
  <w:style w:type="table" w:customStyle="1" w:styleId="Style37">
    <w:name w:val="_Style 37"/>
    <w:basedOn w:val="TableNormal0"/>
    <w:qFormat/>
    <w:tblPr>
      <w:tblCellMar>
        <w:left w:w="115" w:type="dxa"/>
        <w:right w:w="115" w:type="dxa"/>
      </w:tblCellMar>
    </w:tblPr>
  </w:style>
  <w:style w:type="table" w:customStyle="1" w:styleId="Style38">
    <w:name w:val="_Style 38"/>
    <w:basedOn w:val="TableNormal0"/>
    <w:qFormat/>
    <w:tblPr>
      <w:tblCellMar>
        <w:left w:w="115" w:type="dxa"/>
        <w:right w:w="115" w:type="dxa"/>
      </w:tblCellMar>
    </w:tblPr>
  </w:style>
  <w:style w:type="table" w:customStyle="1" w:styleId="Style39">
    <w:name w:val="_Style 39"/>
    <w:basedOn w:val="TableNormal0"/>
    <w:qFormat/>
    <w:tblPr>
      <w:tblCellMar>
        <w:left w:w="115" w:type="dxa"/>
        <w:right w:w="115" w:type="dxa"/>
      </w:tblCellMar>
    </w:tblPr>
  </w:style>
  <w:style w:type="table" w:customStyle="1" w:styleId="Style40">
    <w:name w:val="_Style 40"/>
    <w:basedOn w:val="TableNormal0"/>
    <w:qFormat/>
    <w:tblPr>
      <w:tblCellMar>
        <w:left w:w="115" w:type="dxa"/>
        <w:right w:w="115" w:type="dxa"/>
      </w:tblCellMar>
    </w:tblPr>
  </w:style>
  <w:style w:type="table" w:customStyle="1" w:styleId="Style41">
    <w:name w:val="_Style 41"/>
    <w:basedOn w:val="TableNormal0"/>
    <w:qFormat/>
    <w:tblPr>
      <w:tblCellMar>
        <w:left w:w="115" w:type="dxa"/>
        <w:right w:w="115" w:type="dxa"/>
      </w:tblCellMar>
    </w:tblPr>
  </w:style>
  <w:style w:type="table" w:customStyle="1" w:styleId="Style42">
    <w:name w:val="_Style 42"/>
    <w:basedOn w:val="TableNormal0"/>
    <w:qFormat/>
    <w:tblPr>
      <w:tblCellMar>
        <w:left w:w="115" w:type="dxa"/>
        <w:right w:w="115" w:type="dxa"/>
      </w:tblCellMar>
    </w:tblPr>
  </w:style>
  <w:style w:type="character" w:customStyle="1" w:styleId="CommentTextChar">
    <w:name w:val="Comment Text Char"/>
    <w:basedOn w:val="DefaultParagraphFont"/>
    <w:link w:val="CommentText"/>
    <w:uiPriority w:val="99"/>
    <w:semiHidden/>
    <w:qFormat/>
    <w:rPr>
      <w:sz w:val="20"/>
      <w:szCs w:val="20"/>
    </w:rPr>
  </w:style>
  <w:style w:type="table" w:customStyle="1" w:styleId="Style46">
    <w:name w:val="_Style 46"/>
    <w:basedOn w:val="TableNormal0"/>
    <w:qFormat/>
    <w:tblPr>
      <w:tblCellMar>
        <w:left w:w="115" w:type="dxa"/>
        <w:right w:w="115" w:type="dxa"/>
      </w:tblCellMar>
    </w:tblPr>
  </w:style>
  <w:style w:type="table" w:customStyle="1" w:styleId="Style47">
    <w:name w:val="_Style 47"/>
    <w:basedOn w:val="TableNormal0"/>
    <w:qFormat/>
    <w:tblPr>
      <w:tblCellMar>
        <w:left w:w="115" w:type="dxa"/>
        <w:right w:w="115" w:type="dxa"/>
      </w:tblCellMar>
    </w:tblPr>
  </w:style>
  <w:style w:type="table" w:customStyle="1" w:styleId="Style48">
    <w:name w:val="_Style 48"/>
    <w:basedOn w:val="TableNormal0"/>
    <w:qFormat/>
    <w:tblPr>
      <w:tblCellMar>
        <w:left w:w="115" w:type="dxa"/>
        <w:right w:w="115" w:type="dxa"/>
      </w:tblCellMar>
    </w:tblPr>
  </w:style>
  <w:style w:type="table" w:customStyle="1" w:styleId="Style49">
    <w:name w:val="_Style 49"/>
    <w:basedOn w:val="TableNormal0"/>
    <w:qFormat/>
    <w:tblPr>
      <w:tblCellMar>
        <w:left w:w="115" w:type="dxa"/>
        <w:right w:w="115" w:type="dxa"/>
      </w:tblCellMar>
    </w:tblPr>
  </w:style>
  <w:style w:type="table" w:customStyle="1" w:styleId="Style50">
    <w:name w:val="_Style 50"/>
    <w:basedOn w:val="TableNormal0"/>
    <w:qFormat/>
    <w:tblPr>
      <w:tblCellMar>
        <w:left w:w="115" w:type="dxa"/>
        <w:right w:w="115" w:type="dxa"/>
      </w:tblCellMar>
    </w:tblPr>
  </w:style>
  <w:style w:type="table" w:customStyle="1" w:styleId="Style51">
    <w:name w:val="_Style 51"/>
    <w:basedOn w:val="TableNormal0"/>
    <w:qFormat/>
    <w:tblPr>
      <w:tblCellMar>
        <w:left w:w="115" w:type="dxa"/>
        <w:right w:w="115" w:type="dxa"/>
      </w:tblCellMar>
    </w:tblPr>
  </w:style>
  <w:style w:type="table" w:customStyle="1" w:styleId="Style54">
    <w:name w:val="_Style 54"/>
    <w:basedOn w:val="TableNormal0"/>
    <w:qFormat/>
    <w:tblPr>
      <w:tblCellMar>
        <w:top w:w="0" w:type="dxa"/>
        <w:left w:w="115" w:type="dxa"/>
        <w:bottom w:w="0" w:type="dxa"/>
        <w:right w:w="115" w:type="dxa"/>
      </w:tblCellMar>
    </w:tblPr>
  </w:style>
  <w:style w:type="table" w:customStyle="1" w:styleId="Style55">
    <w:name w:val="_Style 55"/>
    <w:basedOn w:val="TableNormal0"/>
    <w:qFormat/>
    <w:tblPr>
      <w:tblCellMar>
        <w:top w:w="0" w:type="dxa"/>
        <w:left w:w="115" w:type="dxa"/>
        <w:bottom w:w="0" w:type="dxa"/>
        <w:right w:w="115" w:type="dxa"/>
      </w:tblCellMar>
    </w:tblPr>
  </w:style>
  <w:style w:type="table" w:customStyle="1" w:styleId="Style56">
    <w:name w:val="_Style 56"/>
    <w:basedOn w:val="TableNormal0"/>
    <w:qFormat/>
    <w:tblPr>
      <w:tblCellMar>
        <w:top w:w="0" w:type="dxa"/>
        <w:left w:w="115" w:type="dxa"/>
        <w:bottom w:w="0" w:type="dxa"/>
        <w:right w:w="115" w:type="dxa"/>
      </w:tblCellMar>
    </w:tblPr>
  </w:style>
  <w:style w:type="table" w:customStyle="1" w:styleId="Style57">
    <w:name w:val="_Style 57"/>
    <w:basedOn w:val="TableNormal0"/>
    <w:qFormat/>
    <w:tblPr>
      <w:tblCellMar>
        <w:top w:w="0" w:type="dxa"/>
        <w:left w:w="115" w:type="dxa"/>
        <w:bottom w:w="0" w:type="dxa"/>
        <w:right w:w="115" w:type="dxa"/>
      </w:tblCellMar>
    </w:tblPr>
  </w:style>
  <w:style w:type="table" w:customStyle="1" w:styleId="Style58">
    <w:name w:val="_Style 58"/>
    <w:basedOn w:val="TableNormal0"/>
    <w:qFormat/>
    <w:tblPr>
      <w:tblCellMar>
        <w:top w:w="0" w:type="dxa"/>
        <w:left w:w="115" w:type="dxa"/>
        <w:bottom w:w="0" w:type="dxa"/>
        <w:right w:w="115" w:type="dxa"/>
      </w:tblCellMar>
    </w:tblPr>
  </w:style>
  <w:style w:type="table" w:customStyle="1" w:styleId="Style59">
    <w:name w:val="_Style 59"/>
    <w:basedOn w:val="TableNormal0"/>
    <w:qFormat/>
    <w:tblPr>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hyperlink" Target="https://dribbble.com/resources/career/product-team-roles"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mckinsey.com/capabilities/strategy-and-corporate-finance/our-insights/the-pivotal-factors-for-effective-external-engagement"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boreal-is.com/modules/stakeholder-engagement/" TargetMode="External"/><Relationship Id="rId25" Type="http://schemas.openxmlformats.org/officeDocument/2006/relationships/hyperlink" Target="https://www.cobrief.app/resources/legal-glossary/suppliers-responsibilities-overview-definition-and-example/" TargetMode="External"/><Relationship Id="rId2" Type="http://schemas.openxmlformats.org/officeDocument/2006/relationships/numbering" Target="numbering.xml"/><Relationship Id="rId16" Type="http://schemas.openxmlformats.org/officeDocument/2006/relationships/hyperlink" Target="https://www-cambridge-org.ezproxy.uwtsd.ac.uk/core/books/relational-lens/value-and-importance-of-relationships/718C31032061BDFA3F480BA2A53F45D4" TargetMode="External"/><Relationship Id="rId20" Type="http://schemas.openxmlformats.org/officeDocument/2006/relationships/hyperlink" Target="https://www.idc.com/promo/wearablevendo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testcard.com/" TargetMode="External"/><Relationship Id="rId5" Type="http://schemas.openxmlformats.org/officeDocument/2006/relationships/webSettings" Target="webSettings.xml"/><Relationship Id="rId15" Type="http://schemas.openxmlformats.org/officeDocument/2006/relationships/hyperlink" Target="https://www-cambridge-org.ezproxy.uwtsd.ac.uk/core/books/relational-lens/value-and-importance-of-relationships/718C31032061BDFA3F480BA2A53F45D4" TargetMode="External"/><Relationship Id="rId23" Type="http://schemas.openxmlformats.org/officeDocument/2006/relationships/hyperlink" Target="https://www.onindus.com/importance-of-stakeholder-engagement-in-project-management/" TargetMode="Externa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inclusiveinfra.gihub.org/action-areas/stakeholder-identification-engagement-and-empowermen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ahdb.org.uk/news/consumer-insight-consumer-attitudes-show-health-is-all-about-balance" TargetMode="External"/><Relationship Id="rId22" Type="http://schemas.openxmlformats.org/officeDocument/2006/relationships/hyperlink" Target="https://www.gov.uk/government/organisations/medicines-and-healthcare-products-regulatory-agency"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sMBy7sxTRuub1FedYPqO/xqH8A==">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Pages>
  <Words>6017</Words>
  <Characters>34299</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Ana Capatana</cp:lastModifiedBy>
  <cp:revision>6</cp:revision>
  <dcterms:created xsi:type="dcterms:W3CDTF">2025-09-27T07:58:00Z</dcterms:created>
  <dcterms:modified xsi:type="dcterms:W3CDTF">2025-11-07T13:57:00Z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2057-12.2.0.22549</vt:lpwstr>
  </property>
  <property fmtid="{D5CDD505-2E9C-101B-9397-08002B2CF9AE}" pid="3" name="ICV">
    <vt:lpwstr>CF003A29B51C47CA915BA895AEE1D1B8_12</vt:lpwstr>
  </property>
</Properties>
</file>