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6D633" w14:textId="77777777" w:rsidR="00681A06" w:rsidRDefault="00681A06" w:rsidP="00681A06">
      <w:pPr>
        <w:pStyle w:val="Title"/>
        <w:jc w:val="center"/>
      </w:pPr>
    </w:p>
    <w:p w14:paraId="0C9E8C48" w14:textId="77777777" w:rsidR="00681A06" w:rsidRDefault="00681A06" w:rsidP="00681A06">
      <w:pPr>
        <w:pStyle w:val="Title"/>
        <w:jc w:val="center"/>
      </w:pPr>
    </w:p>
    <w:p w14:paraId="489918FC" w14:textId="45C4091E" w:rsidR="00681A06" w:rsidRDefault="00681A06" w:rsidP="00681A06">
      <w:pPr>
        <w:pStyle w:val="Title"/>
        <w:jc w:val="center"/>
      </w:pPr>
      <w:r w:rsidRPr="00681A06">
        <w:t>BMIH6001</w:t>
      </w:r>
    </w:p>
    <w:p w14:paraId="5BBF8EBE" w14:textId="77777777" w:rsidR="00681A06" w:rsidRDefault="00681A06" w:rsidP="00681A06">
      <w:pPr>
        <w:pStyle w:val="Title"/>
        <w:jc w:val="center"/>
      </w:pPr>
    </w:p>
    <w:p w14:paraId="05061C07" w14:textId="77777777" w:rsidR="00681A06" w:rsidRDefault="00681A06" w:rsidP="00681A06">
      <w:pPr>
        <w:pStyle w:val="Title"/>
        <w:jc w:val="center"/>
      </w:pPr>
    </w:p>
    <w:p w14:paraId="5A4C9E3E" w14:textId="5ED3F90C" w:rsidR="00681A06" w:rsidRDefault="00681A06" w:rsidP="00681A06">
      <w:pPr>
        <w:pStyle w:val="Title"/>
        <w:jc w:val="center"/>
      </w:pPr>
      <w:r w:rsidRPr="00681A06">
        <w:t>Contemporary Themes in the Hotel and Hospitality Sector</w:t>
      </w:r>
    </w:p>
    <w:p w14:paraId="0C31DD48" w14:textId="77777777" w:rsidR="00F62B78" w:rsidRDefault="00F62B78" w:rsidP="00F62B78">
      <w:pPr>
        <w:pStyle w:val="Title"/>
        <w:jc w:val="center"/>
        <w:rPr>
          <w:sz w:val="40"/>
          <w:szCs w:val="40"/>
        </w:rPr>
      </w:pPr>
    </w:p>
    <w:p w14:paraId="368DBAE3" w14:textId="77777777" w:rsidR="00F62B78" w:rsidRDefault="00F62B78" w:rsidP="00F62B78">
      <w:pPr>
        <w:pStyle w:val="Title"/>
        <w:jc w:val="center"/>
        <w:rPr>
          <w:sz w:val="40"/>
          <w:szCs w:val="40"/>
        </w:rPr>
      </w:pPr>
    </w:p>
    <w:p w14:paraId="73E1CE14" w14:textId="7002CD5F" w:rsidR="00F62B78" w:rsidRDefault="00F62B78" w:rsidP="00F62B78">
      <w:pPr>
        <w:pStyle w:val="Title"/>
        <w:jc w:val="center"/>
        <w:rPr>
          <w:sz w:val="40"/>
          <w:szCs w:val="40"/>
        </w:rPr>
      </w:pPr>
      <w:r w:rsidRPr="00F47419">
        <w:rPr>
          <w:sz w:val="40"/>
          <w:szCs w:val="40"/>
        </w:rPr>
        <w:t>The choose option: The Deepening Mental Health Crisis in the Hospitality Industry</w:t>
      </w:r>
    </w:p>
    <w:p w14:paraId="38ABB89F" w14:textId="77777777" w:rsidR="00F62B78" w:rsidRDefault="00F62B78" w:rsidP="00F62B78">
      <w:pPr>
        <w:jc w:val="center"/>
        <w:rPr>
          <w:b/>
          <w:bCs/>
          <w:sz w:val="28"/>
          <w:szCs w:val="24"/>
        </w:rPr>
      </w:pPr>
    </w:p>
    <w:p w14:paraId="2ED68035" w14:textId="77777777" w:rsidR="00F62B78" w:rsidRDefault="00F62B78" w:rsidP="00F62B78">
      <w:pPr>
        <w:jc w:val="center"/>
        <w:rPr>
          <w:b/>
          <w:bCs/>
          <w:sz w:val="28"/>
          <w:szCs w:val="24"/>
        </w:rPr>
      </w:pPr>
    </w:p>
    <w:p w14:paraId="76013FED" w14:textId="2A5D88F0" w:rsidR="00F62B78" w:rsidRPr="00F62B78" w:rsidRDefault="00F62B78" w:rsidP="00F62B78">
      <w:pPr>
        <w:jc w:val="center"/>
        <w:rPr>
          <w:b/>
          <w:bCs/>
          <w:sz w:val="32"/>
          <w:szCs w:val="28"/>
        </w:rPr>
      </w:pPr>
      <w:r w:rsidRPr="00F62B78">
        <w:rPr>
          <w:b/>
          <w:bCs/>
          <w:sz w:val="32"/>
          <w:szCs w:val="28"/>
        </w:rPr>
        <w:t>Student Name:</w:t>
      </w:r>
      <w:r w:rsidR="00E93DAE">
        <w:rPr>
          <w:b/>
          <w:bCs/>
          <w:sz w:val="32"/>
          <w:szCs w:val="28"/>
        </w:rPr>
        <w:t xml:space="preserve"> Andreea Anca Beatrice Gama</w:t>
      </w:r>
    </w:p>
    <w:p w14:paraId="28FE5CA9" w14:textId="65DA2D08" w:rsidR="00F62B78" w:rsidRPr="00F62B78" w:rsidRDefault="00F62B78" w:rsidP="00F62B78">
      <w:pPr>
        <w:jc w:val="center"/>
        <w:rPr>
          <w:b/>
          <w:bCs/>
          <w:sz w:val="32"/>
          <w:szCs w:val="28"/>
        </w:rPr>
      </w:pPr>
      <w:r w:rsidRPr="00F62B78">
        <w:rPr>
          <w:b/>
          <w:bCs/>
          <w:sz w:val="32"/>
          <w:szCs w:val="28"/>
        </w:rPr>
        <w:t>Student ID:</w:t>
      </w:r>
      <w:r w:rsidR="00E93DAE">
        <w:rPr>
          <w:b/>
          <w:bCs/>
          <w:sz w:val="32"/>
          <w:szCs w:val="28"/>
        </w:rPr>
        <w:t>2219781</w:t>
      </w:r>
    </w:p>
    <w:p w14:paraId="49D7624A" w14:textId="77777777" w:rsidR="00F62B78" w:rsidRPr="00F62B78" w:rsidRDefault="00F62B78" w:rsidP="00F62B78"/>
    <w:p w14:paraId="1432F82C" w14:textId="77777777" w:rsidR="00681A06" w:rsidRDefault="00681A06" w:rsidP="007C5C34">
      <w:pPr>
        <w:jc w:val="left"/>
      </w:pPr>
    </w:p>
    <w:p w14:paraId="12A60B33" w14:textId="77777777" w:rsidR="001E4DF0" w:rsidRDefault="00883B1A">
      <w:pPr>
        <w:spacing w:after="160" w:line="278" w:lineRule="auto"/>
        <w:jc w:val="left"/>
      </w:pPr>
      <w:r w:rsidRPr="00681A06">
        <w:br w:type="page"/>
      </w:r>
    </w:p>
    <w:sdt>
      <w:sdtPr>
        <w:rPr>
          <w:rFonts w:ascii="Times New Roman" w:eastAsiaTheme="minorHAnsi" w:hAnsi="Times New Roman" w:cstheme="minorBidi"/>
          <w:color w:val="auto"/>
          <w:sz w:val="24"/>
          <w:szCs w:val="22"/>
          <w:lang w:val="en-GB"/>
        </w:rPr>
        <w:id w:val="1969630302"/>
        <w:docPartObj>
          <w:docPartGallery w:val="Table of Contents"/>
          <w:docPartUnique/>
        </w:docPartObj>
      </w:sdtPr>
      <w:sdtEndPr>
        <w:rPr>
          <w:b/>
          <w:bCs/>
          <w:noProof/>
        </w:rPr>
      </w:sdtEndPr>
      <w:sdtContent>
        <w:p w14:paraId="070871E8" w14:textId="3170427D" w:rsidR="001E4DF0" w:rsidRPr="001E4DF0" w:rsidRDefault="001E4DF0">
          <w:pPr>
            <w:pStyle w:val="TOCHeading"/>
            <w:rPr>
              <w:rFonts w:ascii="Times New Roman" w:hAnsi="Times New Roman" w:cs="Times New Roman"/>
              <w:b/>
              <w:bCs/>
              <w:color w:val="0D0D0D" w:themeColor="text1" w:themeTint="F2"/>
            </w:rPr>
          </w:pPr>
          <w:r w:rsidRPr="001E4DF0">
            <w:rPr>
              <w:rFonts w:ascii="Times New Roman" w:hAnsi="Times New Roman" w:cs="Times New Roman"/>
              <w:b/>
              <w:bCs/>
              <w:color w:val="0D0D0D" w:themeColor="text1" w:themeTint="F2"/>
            </w:rPr>
            <w:t>Table of Contents</w:t>
          </w:r>
        </w:p>
        <w:p w14:paraId="57200757" w14:textId="3C6A4E9A" w:rsidR="00D625BC" w:rsidRDefault="001E4DF0">
          <w:pPr>
            <w:pStyle w:val="TOC1"/>
            <w:tabs>
              <w:tab w:val="right" w:leader="dot" w:pos="9350"/>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2540572" w:history="1">
            <w:r w:rsidR="00D625BC" w:rsidRPr="001955F9">
              <w:rPr>
                <w:rStyle w:val="Hyperlink"/>
                <w:noProof/>
              </w:rPr>
              <w:t>1. Introduction</w:t>
            </w:r>
            <w:r w:rsidR="00D625BC">
              <w:rPr>
                <w:noProof/>
                <w:webHidden/>
              </w:rPr>
              <w:tab/>
            </w:r>
            <w:r w:rsidR="00D625BC">
              <w:rPr>
                <w:noProof/>
                <w:webHidden/>
              </w:rPr>
              <w:fldChar w:fldCharType="begin"/>
            </w:r>
            <w:r w:rsidR="00D625BC">
              <w:rPr>
                <w:noProof/>
                <w:webHidden/>
              </w:rPr>
              <w:instrText xml:space="preserve"> PAGEREF _Toc212540572 \h </w:instrText>
            </w:r>
            <w:r w:rsidR="00D625BC">
              <w:rPr>
                <w:noProof/>
                <w:webHidden/>
              </w:rPr>
            </w:r>
            <w:r w:rsidR="00D625BC">
              <w:rPr>
                <w:noProof/>
                <w:webHidden/>
              </w:rPr>
              <w:fldChar w:fldCharType="separate"/>
            </w:r>
            <w:r w:rsidR="00D625BC">
              <w:rPr>
                <w:noProof/>
                <w:webHidden/>
              </w:rPr>
              <w:t>4</w:t>
            </w:r>
            <w:r w:rsidR="00D625BC">
              <w:rPr>
                <w:noProof/>
                <w:webHidden/>
              </w:rPr>
              <w:fldChar w:fldCharType="end"/>
            </w:r>
          </w:hyperlink>
        </w:p>
        <w:p w14:paraId="02C67AE3" w14:textId="6B0E5532"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73" w:history="1">
            <w:r w:rsidRPr="001955F9">
              <w:rPr>
                <w:rStyle w:val="Hyperlink"/>
                <w:noProof/>
              </w:rPr>
              <w:t>2. Literature Review</w:t>
            </w:r>
            <w:r>
              <w:rPr>
                <w:noProof/>
                <w:webHidden/>
              </w:rPr>
              <w:tab/>
            </w:r>
            <w:r>
              <w:rPr>
                <w:noProof/>
                <w:webHidden/>
              </w:rPr>
              <w:fldChar w:fldCharType="begin"/>
            </w:r>
            <w:r>
              <w:rPr>
                <w:noProof/>
                <w:webHidden/>
              </w:rPr>
              <w:instrText xml:space="preserve"> PAGEREF _Toc212540573 \h </w:instrText>
            </w:r>
            <w:r>
              <w:rPr>
                <w:noProof/>
                <w:webHidden/>
              </w:rPr>
            </w:r>
            <w:r>
              <w:rPr>
                <w:noProof/>
                <w:webHidden/>
              </w:rPr>
              <w:fldChar w:fldCharType="separate"/>
            </w:r>
            <w:r>
              <w:rPr>
                <w:noProof/>
                <w:webHidden/>
              </w:rPr>
              <w:t>5</w:t>
            </w:r>
            <w:r>
              <w:rPr>
                <w:noProof/>
                <w:webHidden/>
              </w:rPr>
              <w:fldChar w:fldCharType="end"/>
            </w:r>
          </w:hyperlink>
        </w:p>
        <w:p w14:paraId="1365079F" w14:textId="081D6386"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4" w:history="1">
            <w:r w:rsidRPr="001955F9">
              <w:rPr>
                <w:rStyle w:val="Hyperlink"/>
                <w:noProof/>
              </w:rPr>
              <w:t>2.1 The Structural Roots of the Crisis</w:t>
            </w:r>
            <w:r>
              <w:rPr>
                <w:noProof/>
                <w:webHidden/>
              </w:rPr>
              <w:tab/>
            </w:r>
            <w:r>
              <w:rPr>
                <w:noProof/>
                <w:webHidden/>
              </w:rPr>
              <w:fldChar w:fldCharType="begin"/>
            </w:r>
            <w:r>
              <w:rPr>
                <w:noProof/>
                <w:webHidden/>
              </w:rPr>
              <w:instrText xml:space="preserve"> PAGEREF _Toc212540574 \h </w:instrText>
            </w:r>
            <w:r>
              <w:rPr>
                <w:noProof/>
                <w:webHidden/>
              </w:rPr>
            </w:r>
            <w:r>
              <w:rPr>
                <w:noProof/>
                <w:webHidden/>
              </w:rPr>
              <w:fldChar w:fldCharType="separate"/>
            </w:r>
            <w:r>
              <w:rPr>
                <w:noProof/>
                <w:webHidden/>
              </w:rPr>
              <w:t>5</w:t>
            </w:r>
            <w:r>
              <w:rPr>
                <w:noProof/>
                <w:webHidden/>
              </w:rPr>
              <w:fldChar w:fldCharType="end"/>
            </w:r>
          </w:hyperlink>
        </w:p>
        <w:p w14:paraId="25E2183C" w14:textId="44BDB1B5"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5" w:history="1">
            <w:r w:rsidRPr="001955F9">
              <w:rPr>
                <w:rStyle w:val="Hyperlink"/>
                <w:noProof/>
              </w:rPr>
              <w:t>2.2 The Pandemic as a Catalyst</w:t>
            </w:r>
            <w:r>
              <w:rPr>
                <w:noProof/>
                <w:webHidden/>
              </w:rPr>
              <w:tab/>
            </w:r>
            <w:r>
              <w:rPr>
                <w:noProof/>
                <w:webHidden/>
              </w:rPr>
              <w:fldChar w:fldCharType="begin"/>
            </w:r>
            <w:r>
              <w:rPr>
                <w:noProof/>
                <w:webHidden/>
              </w:rPr>
              <w:instrText xml:space="preserve"> PAGEREF _Toc212540575 \h </w:instrText>
            </w:r>
            <w:r>
              <w:rPr>
                <w:noProof/>
                <w:webHidden/>
              </w:rPr>
            </w:r>
            <w:r>
              <w:rPr>
                <w:noProof/>
                <w:webHidden/>
              </w:rPr>
              <w:fldChar w:fldCharType="separate"/>
            </w:r>
            <w:r>
              <w:rPr>
                <w:noProof/>
                <w:webHidden/>
              </w:rPr>
              <w:t>6</w:t>
            </w:r>
            <w:r>
              <w:rPr>
                <w:noProof/>
                <w:webHidden/>
              </w:rPr>
              <w:fldChar w:fldCharType="end"/>
            </w:r>
          </w:hyperlink>
        </w:p>
        <w:p w14:paraId="6DC88C7D" w14:textId="7C305BE5"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6" w:history="1">
            <w:r w:rsidRPr="001955F9">
              <w:rPr>
                <w:rStyle w:val="Hyperlink"/>
                <w:noProof/>
              </w:rPr>
              <w:t>2.3 Stigma, Silence, and Culture in Organisations</w:t>
            </w:r>
            <w:r>
              <w:rPr>
                <w:noProof/>
                <w:webHidden/>
              </w:rPr>
              <w:tab/>
            </w:r>
            <w:r>
              <w:rPr>
                <w:noProof/>
                <w:webHidden/>
              </w:rPr>
              <w:fldChar w:fldCharType="begin"/>
            </w:r>
            <w:r>
              <w:rPr>
                <w:noProof/>
                <w:webHidden/>
              </w:rPr>
              <w:instrText xml:space="preserve"> PAGEREF _Toc212540576 \h </w:instrText>
            </w:r>
            <w:r>
              <w:rPr>
                <w:noProof/>
                <w:webHidden/>
              </w:rPr>
            </w:r>
            <w:r>
              <w:rPr>
                <w:noProof/>
                <w:webHidden/>
              </w:rPr>
              <w:fldChar w:fldCharType="separate"/>
            </w:r>
            <w:r>
              <w:rPr>
                <w:noProof/>
                <w:webHidden/>
              </w:rPr>
              <w:t>6</w:t>
            </w:r>
            <w:r>
              <w:rPr>
                <w:noProof/>
                <w:webHidden/>
              </w:rPr>
              <w:fldChar w:fldCharType="end"/>
            </w:r>
          </w:hyperlink>
        </w:p>
        <w:p w14:paraId="41C27752" w14:textId="1AA6FDF5"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7" w:history="1">
            <w:r w:rsidRPr="001955F9">
              <w:rPr>
                <w:rStyle w:val="Hyperlink"/>
                <w:noProof/>
              </w:rPr>
              <w:t>2.4 Leadership and Managerial Influence</w:t>
            </w:r>
            <w:r>
              <w:rPr>
                <w:noProof/>
                <w:webHidden/>
              </w:rPr>
              <w:tab/>
            </w:r>
            <w:r>
              <w:rPr>
                <w:noProof/>
                <w:webHidden/>
              </w:rPr>
              <w:fldChar w:fldCharType="begin"/>
            </w:r>
            <w:r>
              <w:rPr>
                <w:noProof/>
                <w:webHidden/>
              </w:rPr>
              <w:instrText xml:space="preserve"> PAGEREF _Toc212540577 \h </w:instrText>
            </w:r>
            <w:r>
              <w:rPr>
                <w:noProof/>
                <w:webHidden/>
              </w:rPr>
            </w:r>
            <w:r>
              <w:rPr>
                <w:noProof/>
                <w:webHidden/>
              </w:rPr>
              <w:fldChar w:fldCharType="separate"/>
            </w:r>
            <w:r>
              <w:rPr>
                <w:noProof/>
                <w:webHidden/>
              </w:rPr>
              <w:t>7</w:t>
            </w:r>
            <w:r>
              <w:rPr>
                <w:noProof/>
                <w:webHidden/>
              </w:rPr>
              <w:fldChar w:fldCharType="end"/>
            </w:r>
          </w:hyperlink>
        </w:p>
        <w:p w14:paraId="5C684B72" w14:textId="4BD0FA8D"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8" w:history="1">
            <w:r w:rsidRPr="001955F9">
              <w:rPr>
                <w:rStyle w:val="Hyperlink"/>
                <w:noProof/>
              </w:rPr>
              <w:t>2.5 Gender, Diversity, and Intersectional Effects</w:t>
            </w:r>
            <w:r>
              <w:rPr>
                <w:noProof/>
                <w:webHidden/>
              </w:rPr>
              <w:tab/>
            </w:r>
            <w:r>
              <w:rPr>
                <w:noProof/>
                <w:webHidden/>
              </w:rPr>
              <w:fldChar w:fldCharType="begin"/>
            </w:r>
            <w:r>
              <w:rPr>
                <w:noProof/>
                <w:webHidden/>
              </w:rPr>
              <w:instrText xml:space="preserve"> PAGEREF _Toc212540578 \h </w:instrText>
            </w:r>
            <w:r>
              <w:rPr>
                <w:noProof/>
                <w:webHidden/>
              </w:rPr>
            </w:r>
            <w:r>
              <w:rPr>
                <w:noProof/>
                <w:webHidden/>
              </w:rPr>
              <w:fldChar w:fldCharType="separate"/>
            </w:r>
            <w:r>
              <w:rPr>
                <w:noProof/>
                <w:webHidden/>
              </w:rPr>
              <w:t>7</w:t>
            </w:r>
            <w:r>
              <w:rPr>
                <w:noProof/>
                <w:webHidden/>
              </w:rPr>
              <w:fldChar w:fldCharType="end"/>
            </w:r>
          </w:hyperlink>
        </w:p>
        <w:p w14:paraId="28233945" w14:textId="5957F913"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79" w:history="1">
            <w:r w:rsidRPr="001955F9">
              <w:rPr>
                <w:rStyle w:val="Hyperlink"/>
                <w:noProof/>
              </w:rPr>
              <w:t>2.6 Industry Responses</w:t>
            </w:r>
            <w:r>
              <w:rPr>
                <w:noProof/>
                <w:webHidden/>
              </w:rPr>
              <w:tab/>
            </w:r>
            <w:r>
              <w:rPr>
                <w:noProof/>
                <w:webHidden/>
              </w:rPr>
              <w:fldChar w:fldCharType="begin"/>
            </w:r>
            <w:r>
              <w:rPr>
                <w:noProof/>
                <w:webHidden/>
              </w:rPr>
              <w:instrText xml:space="preserve"> PAGEREF _Toc212540579 \h </w:instrText>
            </w:r>
            <w:r>
              <w:rPr>
                <w:noProof/>
                <w:webHidden/>
              </w:rPr>
            </w:r>
            <w:r>
              <w:rPr>
                <w:noProof/>
                <w:webHidden/>
              </w:rPr>
              <w:fldChar w:fldCharType="separate"/>
            </w:r>
            <w:r>
              <w:rPr>
                <w:noProof/>
                <w:webHidden/>
              </w:rPr>
              <w:t>7</w:t>
            </w:r>
            <w:r>
              <w:rPr>
                <w:noProof/>
                <w:webHidden/>
              </w:rPr>
              <w:fldChar w:fldCharType="end"/>
            </w:r>
          </w:hyperlink>
        </w:p>
        <w:p w14:paraId="6A58D246" w14:textId="2752719D"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0" w:history="1">
            <w:r w:rsidRPr="001955F9">
              <w:rPr>
                <w:rStyle w:val="Hyperlink"/>
                <w:noProof/>
              </w:rPr>
              <w:t>2.7 Summary</w:t>
            </w:r>
            <w:r>
              <w:rPr>
                <w:noProof/>
                <w:webHidden/>
              </w:rPr>
              <w:tab/>
            </w:r>
            <w:r>
              <w:rPr>
                <w:noProof/>
                <w:webHidden/>
              </w:rPr>
              <w:fldChar w:fldCharType="begin"/>
            </w:r>
            <w:r>
              <w:rPr>
                <w:noProof/>
                <w:webHidden/>
              </w:rPr>
              <w:instrText xml:space="preserve"> PAGEREF _Toc212540580 \h </w:instrText>
            </w:r>
            <w:r>
              <w:rPr>
                <w:noProof/>
                <w:webHidden/>
              </w:rPr>
            </w:r>
            <w:r>
              <w:rPr>
                <w:noProof/>
                <w:webHidden/>
              </w:rPr>
              <w:fldChar w:fldCharType="separate"/>
            </w:r>
            <w:r>
              <w:rPr>
                <w:noProof/>
                <w:webHidden/>
              </w:rPr>
              <w:t>7</w:t>
            </w:r>
            <w:r>
              <w:rPr>
                <w:noProof/>
                <w:webHidden/>
              </w:rPr>
              <w:fldChar w:fldCharType="end"/>
            </w:r>
          </w:hyperlink>
        </w:p>
        <w:p w14:paraId="6C87A8D6" w14:textId="69E6DAE1"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81" w:history="1">
            <w:r w:rsidRPr="001955F9">
              <w:rPr>
                <w:rStyle w:val="Hyperlink"/>
                <w:noProof/>
              </w:rPr>
              <w:t>3. Method</w:t>
            </w:r>
            <w:r>
              <w:rPr>
                <w:noProof/>
                <w:webHidden/>
              </w:rPr>
              <w:tab/>
            </w:r>
            <w:r>
              <w:rPr>
                <w:noProof/>
                <w:webHidden/>
              </w:rPr>
              <w:fldChar w:fldCharType="begin"/>
            </w:r>
            <w:r>
              <w:rPr>
                <w:noProof/>
                <w:webHidden/>
              </w:rPr>
              <w:instrText xml:space="preserve"> PAGEREF _Toc212540581 \h </w:instrText>
            </w:r>
            <w:r>
              <w:rPr>
                <w:noProof/>
                <w:webHidden/>
              </w:rPr>
            </w:r>
            <w:r>
              <w:rPr>
                <w:noProof/>
                <w:webHidden/>
              </w:rPr>
              <w:fldChar w:fldCharType="separate"/>
            </w:r>
            <w:r>
              <w:rPr>
                <w:noProof/>
                <w:webHidden/>
              </w:rPr>
              <w:t>8</w:t>
            </w:r>
            <w:r>
              <w:rPr>
                <w:noProof/>
                <w:webHidden/>
              </w:rPr>
              <w:fldChar w:fldCharType="end"/>
            </w:r>
          </w:hyperlink>
        </w:p>
        <w:p w14:paraId="2B64F8AE" w14:textId="25A632CD"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82" w:history="1">
            <w:r w:rsidRPr="001955F9">
              <w:rPr>
                <w:rStyle w:val="Hyperlink"/>
                <w:noProof/>
              </w:rPr>
              <w:t>4. Theme impact analysis</w:t>
            </w:r>
            <w:r>
              <w:rPr>
                <w:noProof/>
                <w:webHidden/>
              </w:rPr>
              <w:tab/>
            </w:r>
            <w:r>
              <w:rPr>
                <w:noProof/>
                <w:webHidden/>
              </w:rPr>
              <w:fldChar w:fldCharType="begin"/>
            </w:r>
            <w:r>
              <w:rPr>
                <w:noProof/>
                <w:webHidden/>
              </w:rPr>
              <w:instrText xml:space="preserve"> PAGEREF _Toc212540582 \h </w:instrText>
            </w:r>
            <w:r>
              <w:rPr>
                <w:noProof/>
                <w:webHidden/>
              </w:rPr>
            </w:r>
            <w:r>
              <w:rPr>
                <w:noProof/>
                <w:webHidden/>
              </w:rPr>
              <w:fldChar w:fldCharType="separate"/>
            </w:r>
            <w:r>
              <w:rPr>
                <w:noProof/>
                <w:webHidden/>
              </w:rPr>
              <w:t>8</w:t>
            </w:r>
            <w:r>
              <w:rPr>
                <w:noProof/>
                <w:webHidden/>
              </w:rPr>
              <w:fldChar w:fldCharType="end"/>
            </w:r>
          </w:hyperlink>
        </w:p>
        <w:p w14:paraId="5BA4E415" w14:textId="00E3878B"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3" w:history="1">
            <w:r w:rsidRPr="001955F9">
              <w:rPr>
                <w:rStyle w:val="Hyperlink"/>
                <w:noProof/>
              </w:rPr>
              <w:t>4.1 Use of the JD-R model</w:t>
            </w:r>
            <w:r>
              <w:rPr>
                <w:noProof/>
                <w:webHidden/>
              </w:rPr>
              <w:tab/>
            </w:r>
            <w:r>
              <w:rPr>
                <w:noProof/>
                <w:webHidden/>
              </w:rPr>
              <w:fldChar w:fldCharType="begin"/>
            </w:r>
            <w:r>
              <w:rPr>
                <w:noProof/>
                <w:webHidden/>
              </w:rPr>
              <w:instrText xml:space="preserve"> PAGEREF _Toc212540583 \h </w:instrText>
            </w:r>
            <w:r>
              <w:rPr>
                <w:noProof/>
                <w:webHidden/>
              </w:rPr>
            </w:r>
            <w:r>
              <w:rPr>
                <w:noProof/>
                <w:webHidden/>
              </w:rPr>
              <w:fldChar w:fldCharType="separate"/>
            </w:r>
            <w:r>
              <w:rPr>
                <w:noProof/>
                <w:webHidden/>
              </w:rPr>
              <w:t>9</w:t>
            </w:r>
            <w:r>
              <w:rPr>
                <w:noProof/>
                <w:webHidden/>
              </w:rPr>
              <w:fldChar w:fldCharType="end"/>
            </w:r>
          </w:hyperlink>
        </w:p>
        <w:p w14:paraId="5FCECE4C" w14:textId="549244F6"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4" w:history="1">
            <w:r w:rsidRPr="001955F9">
              <w:rPr>
                <w:rStyle w:val="Hyperlink"/>
                <w:noProof/>
              </w:rPr>
              <w:t>4.2 Organisational Impact</w:t>
            </w:r>
            <w:r>
              <w:rPr>
                <w:noProof/>
                <w:webHidden/>
              </w:rPr>
              <w:tab/>
            </w:r>
            <w:r>
              <w:rPr>
                <w:noProof/>
                <w:webHidden/>
              </w:rPr>
              <w:fldChar w:fldCharType="begin"/>
            </w:r>
            <w:r>
              <w:rPr>
                <w:noProof/>
                <w:webHidden/>
              </w:rPr>
              <w:instrText xml:space="preserve"> PAGEREF _Toc212540584 \h </w:instrText>
            </w:r>
            <w:r>
              <w:rPr>
                <w:noProof/>
                <w:webHidden/>
              </w:rPr>
            </w:r>
            <w:r>
              <w:rPr>
                <w:noProof/>
                <w:webHidden/>
              </w:rPr>
              <w:fldChar w:fldCharType="separate"/>
            </w:r>
            <w:r>
              <w:rPr>
                <w:noProof/>
                <w:webHidden/>
              </w:rPr>
              <w:t>9</w:t>
            </w:r>
            <w:r>
              <w:rPr>
                <w:noProof/>
                <w:webHidden/>
              </w:rPr>
              <w:fldChar w:fldCharType="end"/>
            </w:r>
          </w:hyperlink>
        </w:p>
        <w:p w14:paraId="1BCD1D31" w14:textId="7BD9B7B7"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5" w:history="1">
            <w:r w:rsidRPr="001955F9">
              <w:rPr>
                <w:rStyle w:val="Hyperlink"/>
                <w:noProof/>
              </w:rPr>
              <w:t>4.3 Human Impact</w:t>
            </w:r>
            <w:r>
              <w:rPr>
                <w:noProof/>
                <w:webHidden/>
              </w:rPr>
              <w:tab/>
            </w:r>
            <w:r>
              <w:rPr>
                <w:noProof/>
                <w:webHidden/>
              </w:rPr>
              <w:fldChar w:fldCharType="begin"/>
            </w:r>
            <w:r>
              <w:rPr>
                <w:noProof/>
                <w:webHidden/>
              </w:rPr>
              <w:instrText xml:space="preserve"> PAGEREF _Toc212540585 \h </w:instrText>
            </w:r>
            <w:r>
              <w:rPr>
                <w:noProof/>
                <w:webHidden/>
              </w:rPr>
            </w:r>
            <w:r>
              <w:rPr>
                <w:noProof/>
                <w:webHidden/>
              </w:rPr>
              <w:fldChar w:fldCharType="separate"/>
            </w:r>
            <w:r>
              <w:rPr>
                <w:noProof/>
                <w:webHidden/>
              </w:rPr>
              <w:t>10</w:t>
            </w:r>
            <w:r>
              <w:rPr>
                <w:noProof/>
                <w:webHidden/>
              </w:rPr>
              <w:fldChar w:fldCharType="end"/>
            </w:r>
          </w:hyperlink>
        </w:p>
        <w:p w14:paraId="26E5A3A4" w14:textId="7B1AFFA1"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6" w:history="1">
            <w:r w:rsidRPr="001955F9">
              <w:rPr>
                <w:rStyle w:val="Hyperlink"/>
                <w:noProof/>
              </w:rPr>
              <w:t>4.4 Illustrative Examples and Sectoral Actions</w:t>
            </w:r>
            <w:r>
              <w:rPr>
                <w:noProof/>
                <w:webHidden/>
              </w:rPr>
              <w:tab/>
            </w:r>
            <w:r>
              <w:rPr>
                <w:noProof/>
                <w:webHidden/>
              </w:rPr>
              <w:fldChar w:fldCharType="begin"/>
            </w:r>
            <w:r>
              <w:rPr>
                <w:noProof/>
                <w:webHidden/>
              </w:rPr>
              <w:instrText xml:space="preserve"> PAGEREF _Toc212540586 \h </w:instrText>
            </w:r>
            <w:r>
              <w:rPr>
                <w:noProof/>
                <w:webHidden/>
              </w:rPr>
            </w:r>
            <w:r>
              <w:rPr>
                <w:noProof/>
                <w:webHidden/>
              </w:rPr>
              <w:fldChar w:fldCharType="separate"/>
            </w:r>
            <w:r>
              <w:rPr>
                <w:noProof/>
                <w:webHidden/>
              </w:rPr>
              <w:t>10</w:t>
            </w:r>
            <w:r>
              <w:rPr>
                <w:noProof/>
                <w:webHidden/>
              </w:rPr>
              <w:fldChar w:fldCharType="end"/>
            </w:r>
          </w:hyperlink>
        </w:p>
        <w:p w14:paraId="52C37EF4" w14:textId="514C5575"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7" w:history="1">
            <w:r w:rsidRPr="001955F9">
              <w:rPr>
                <w:rStyle w:val="Hyperlink"/>
                <w:noProof/>
              </w:rPr>
              <w:t>4.5 Judgement of Responses</w:t>
            </w:r>
            <w:r>
              <w:rPr>
                <w:noProof/>
                <w:webHidden/>
              </w:rPr>
              <w:tab/>
            </w:r>
            <w:r>
              <w:rPr>
                <w:noProof/>
                <w:webHidden/>
              </w:rPr>
              <w:fldChar w:fldCharType="begin"/>
            </w:r>
            <w:r>
              <w:rPr>
                <w:noProof/>
                <w:webHidden/>
              </w:rPr>
              <w:instrText xml:space="preserve"> PAGEREF _Toc212540587 \h </w:instrText>
            </w:r>
            <w:r>
              <w:rPr>
                <w:noProof/>
                <w:webHidden/>
              </w:rPr>
            </w:r>
            <w:r>
              <w:rPr>
                <w:noProof/>
                <w:webHidden/>
              </w:rPr>
              <w:fldChar w:fldCharType="separate"/>
            </w:r>
            <w:r>
              <w:rPr>
                <w:noProof/>
                <w:webHidden/>
              </w:rPr>
              <w:t>10</w:t>
            </w:r>
            <w:r>
              <w:rPr>
                <w:noProof/>
                <w:webHidden/>
              </w:rPr>
              <w:fldChar w:fldCharType="end"/>
            </w:r>
          </w:hyperlink>
        </w:p>
        <w:p w14:paraId="30EA2F35" w14:textId="15E8CFE8"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8" w:history="1">
            <w:r w:rsidRPr="001955F9">
              <w:rPr>
                <w:rStyle w:val="Hyperlink"/>
                <w:noProof/>
              </w:rPr>
              <w:t>4.6 Emerging Best Practice</w:t>
            </w:r>
            <w:r>
              <w:rPr>
                <w:noProof/>
                <w:webHidden/>
              </w:rPr>
              <w:tab/>
            </w:r>
            <w:r>
              <w:rPr>
                <w:noProof/>
                <w:webHidden/>
              </w:rPr>
              <w:fldChar w:fldCharType="begin"/>
            </w:r>
            <w:r>
              <w:rPr>
                <w:noProof/>
                <w:webHidden/>
              </w:rPr>
              <w:instrText xml:space="preserve"> PAGEREF _Toc212540588 \h </w:instrText>
            </w:r>
            <w:r>
              <w:rPr>
                <w:noProof/>
                <w:webHidden/>
              </w:rPr>
            </w:r>
            <w:r>
              <w:rPr>
                <w:noProof/>
                <w:webHidden/>
              </w:rPr>
              <w:fldChar w:fldCharType="separate"/>
            </w:r>
            <w:r>
              <w:rPr>
                <w:noProof/>
                <w:webHidden/>
              </w:rPr>
              <w:t>10</w:t>
            </w:r>
            <w:r>
              <w:rPr>
                <w:noProof/>
                <w:webHidden/>
              </w:rPr>
              <w:fldChar w:fldCharType="end"/>
            </w:r>
          </w:hyperlink>
        </w:p>
        <w:p w14:paraId="2321D28E" w14:textId="0D8FDC10"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89" w:history="1">
            <w:r w:rsidRPr="001955F9">
              <w:rPr>
                <w:rStyle w:val="Hyperlink"/>
                <w:noProof/>
              </w:rPr>
              <w:t>4.7 Limitations and Future Risks</w:t>
            </w:r>
            <w:r>
              <w:rPr>
                <w:noProof/>
                <w:webHidden/>
              </w:rPr>
              <w:tab/>
            </w:r>
            <w:r>
              <w:rPr>
                <w:noProof/>
                <w:webHidden/>
              </w:rPr>
              <w:fldChar w:fldCharType="begin"/>
            </w:r>
            <w:r>
              <w:rPr>
                <w:noProof/>
                <w:webHidden/>
              </w:rPr>
              <w:instrText xml:space="preserve"> PAGEREF _Toc212540589 \h </w:instrText>
            </w:r>
            <w:r>
              <w:rPr>
                <w:noProof/>
                <w:webHidden/>
              </w:rPr>
            </w:r>
            <w:r>
              <w:rPr>
                <w:noProof/>
                <w:webHidden/>
              </w:rPr>
              <w:fldChar w:fldCharType="separate"/>
            </w:r>
            <w:r>
              <w:rPr>
                <w:noProof/>
                <w:webHidden/>
              </w:rPr>
              <w:t>11</w:t>
            </w:r>
            <w:r>
              <w:rPr>
                <w:noProof/>
                <w:webHidden/>
              </w:rPr>
              <w:fldChar w:fldCharType="end"/>
            </w:r>
          </w:hyperlink>
        </w:p>
        <w:p w14:paraId="6397644E" w14:textId="302A9135" w:rsidR="00D625BC" w:rsidRDefault="00D625BC">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12540590" w:history="1">
            <w:r w:rsidRPr="001955F9">
              <w:rPr>
                <w:rStyle w:val="Hyperlink"/>
                <w:noProof/>
              </w:rPr>
              <w:t>4.8 Synthesis</w:t>
            </w:r>
            <w:r>
              <w:rPr>
                <w:noProof/>
                <w:webHidden/>
              </w:rPr>
              <w:tab/>
            </w:r>
            <w:r>
              <w:rPr>
                <w:noProof/>
                <w:webHidden/>
              </w:rPr>
              <w:fldChar w:fldCharType="begin"/>
            </w:r>
            <w:r>
              <w:rPr>
                <w:noProof/>
                <w:webHidden/>
              </w:rPr>
              <w:instrText xml:space="preserve"> PAGEREF _Toc212540590 \h </w:instrText>
            </w:r>
            <w:r>
              <w:rPr>
                <w:noProof/>
                <w:webHidden/>
              </w:rPr>
            </w:r>
            <w:r>
              <w:rPr>
                <w:noProof/>
                <w:webHidden/>
              </w:rPr>
              <w:fldChar w:fldCharType="separate"/>
            </w:r>
            <w:r>
              <w:rPr>
                <w:noProof/>
                <w:webHidden/>
              </w:rPr>
              <w:t>11</w:t>
            </w:r>
            <w:r>
              <w:rPr>
                <w:noProof/>
                <w:webHidden/>
              </w:rPr>
              <w:fldChar w:fldCharType="end"/>
            </w:r>
          </w:hyperlink>
        </w:p>
        <w:p w14:paraId="41EFF28E" w14:textId="7230E54E"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91" w:history="1">
            <w:r w:rsidRPr="001955F9">
              <w:rPr>
                <w:rStyle w:val="Hyperlink"/>
                <w:noProof/>
              </w:rPr>
              <w:t>5. Conclusion</w:t>
            </w:r>
            <w:r>
              <w:rPr>
                <w:noProof/>
                <w:webHidden/>
              </w:rPr>
              <w:tab/>
            </w:r>
            <w:r>
              <w:rPr>
                <w:noProof/>
                <w:webHidden/>
              </w:rPr>
              <w:fldChar w:fldCharType="begin"/>
            </w:r>
            <w:r>
              <w:rPr>
                <w:noProof/>
                <w:webHidden/>
              </w:rPr>
              <w:instrText xml:space="preserve"> PAGEREF _Toc212540591 \h </w:instrText>
            </w:r>
            <w:r>
              <w:rPr>
                <w:noProof/>
                <w:webHidden/>
              </w:rPr>
            </w:r>
            <w:r>
              <w:rPr>
                <w:noProof/>
                <w:webHidden/>
              </w:rPr>
              <w:fldChar w:fldCharType="separate"/>
            </w:r>
            <w:r>
              <w:rPr>
                <w:noProof/>
                <w:webHidden/>
              </w:rPr>
              <w:t>12</w:t>
            </w:r>
            <w:r>
              <w:rPr>
                <w:noProof/>
                <w:webHidden/>
              </w:rPr>
              <w:fldChar w:fldCharType="end"/>
            </w:r>
          </w:hyperlink>
        </w:p>
        <w:p w14:paraId="2D3912D8" w14:textId="39A2BD66"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92" w:history="1">
            <w:r w:rsidRPr="001955F9">
              <w:rPr>
                <w:rStyle w:val="Hyperlink"/>
                <w:noProof/>
              </w:rPr>
              <w:t>6. Recommendations</w:t>
            </w:r>
            <w:r>
              <w:rPr>
                <w:noProof/>
                <w:webHidden/>
              </w:rPr>
              <w:tab/>
            </w:r>
            <w:r>
              <w:rPr>
                <w:noProof/>
                <w:webHidden/>
              </w:rPr>
              <w:fldChar w:fldCharType="begin"/>
            </w:r>
            <w:r>
              <w:rPr>
                <w:noProof/>
                <w:webHidden/>
              </w:rPr>
              <w:instrText xml:space="preserve"> PAGEREF _Toc212540592 \h </w:instrText>
            </w:r>
            <w:r>
              <w:rPr>
                <w:noProof/>
                <w:webHidden/>
              </w:rPr>
            </w:r>
            <w:r>
              <w:rPr>
                <w:noProof/>
                <w:webHidden/>
              </w:rPr>
              <w:fldChar w:fldCharType="separate"/>
            </w:r>
            <w:r>
              <w:rPr>
                <w:noProof/>
                <w:webHidden/>
              </w:rPr>
              <w:t>13</w:t>
            </w:r>
            <w:r>
              <w:rPr>
                <w:noProof/>
                <w:webHidden/>
              </w:rPr>
              <w:fldChar w:fldCharType="end"/>
            </w:r>
          </w:hyperlink>
        </w:p>
        <w:p w14:paraId="0194B978" w14:textId="08759C61" w:rsidR="00D625BC" w:rsidRDefault="00D625BC">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12540593" w:history="1">
            <w:r w:rsidRPr="001955F9">
              <w:rPr>
                <w:rStyle w:val="Hyperlink"/>
                <w:noProof/>
              </w:rPr>
              <w:t>References</w:t>
            </w:r>
            <w:r>
              <w:rPr>
                <w:noProof/>
                <w:webHidden/>
              </w:rPr>
              <w:tab/>
            </w:r>
            <w:r>
              <w:rPr>
                <w:noProof/>
                <w:webHidden/>
              </w:rPr>
              <w:fldChar w:fldCharType="begin"/>
            </w:r>
            <w:r>
              <w:rPr>
                <w:noProof/>
                <w:webHidden/>
              </w:rPr>
              <w:instrText xml:space="preserve"> PAGEREF _Toc212540593 \h </w:instrText>
            </w:r>
            <w:r>
              <w:rPr>
                <w:noProof/>
                <w:webHidden/>
              </w:rPr>
            </w:r>
            <w:r>
              <w:rPr>
                <w:noProof/>
                <w:webHidden/>
              </w:rPr>
              <w:fldChar w:fldCharType="separate"/>
            </w:r>
            <w:r>
              <w:rPr>
                <w:noProof/>
                <w:webHidden/>
              </w:rPr>
              <w:t>16</w:t>
            </w:r>
            <w:r>
              <w:rPr>
                <w:noProof/>
                <w:webHidden/>
              </w:rPr>
              <w:fldChar w:fldCharType="end"/>
            </w:r>
          </w:hyperlink>
        </w:p>
        <w:p w14:paraId="302C02B9" w14:textId="419BF1A2" w:rsidR="00A84FAE" w:rsidRDefault="001E4DF0">
          <w:pPr>
            <w:rPr>
              <w:b/>
              <w:bCs/>
              <w:noProof/>
            </w:rPr>
          </w:pPr>
          <w:r>
            <w:rPr>
              <w:b/>
              <w:bCs/>
              <w:noProof/>
            </w:rPr>
            <w:fldChar w:fldCharType="end"/>
          </w:r>
          <w:r w:rsidR="00A84FAE">
            <w:rPr>
              <w:b/>
              <w:bCs/>
              <w:noProof/>
            </w:rPr>
            <w:t>List Of Figures</w:t>
          </w:r>
        </w:p>
        <w:p w14:paraId="4FB1D433" w14:textId="345D2629" w:rsidR="00A84FAE" w:rsidRDefault="00A84FAE">
          <w:pPr>
            <w:pStyle w:val="TableofFigures"/>
            <w:tabs>
              <w:tab w:val="right" w:leader="dot" w:pos="9350"/>
            </w:tabs>
            <w:rPr>
              <w:noProof/>
            </w:rPr>
          </w:pPr>
          <w:r>
            <w:rPr>
              <w:b/>
              <w:bCs/>
              <w:noProof/>
            </w:rPr>
            <w:fldChar w:fldCharType="begin"/>
          </w:r>
          <w:r>
            <w:rPr>
              <w:b/>
              <w:bCs/>
              <w:noProof/>
            </w:rPr>
            <w:instrText xml:space="preserve"> TOC \c "Figure" </w:instrText>
          </w:r>
          <w:r>
            <w:rPr>
              <w:b/>
              <w:bCs/>
              <w:noProof/>
            </w:rPr>
            <w:fldChar w:fldCharType="separate"/>
          </w:r>
          <w:r w:rsidRPr="00EC4987">
            <w:rPr>
              <w:noProof/>
            </w:rPr>
            <w:t>Figure 1: Mental health</w:t>
          </w:r>
          <w:r>
            <w:rPr>
              <w:noProof/>
            </w:rPr>
            <w:tab/>
          </w:r>
          <w:r>
            <w:rPr>
              <w:noProof/>
            </w:rPr>
            <w:fldChar w:fldCharType="begin"/>
          </w:r>
          <w:r>
            <w:rPr>
              <w:noProof/>
            </w:rPr>
            <w:instrText xml:space="preserve"> PAGEREF _Toc212507195 \h </w:instrText>
          </w:r>
          <w:r>
            <w:rPr>
              <w:noProof/>
            </w:rPr>
          </w:r>
          <w:r>
            <w:rPr>
              <w:noProof/>
            </w:rPr>
            <w:fldChar w:fldCharType="separate"/>
          </w:r>
          <w:r>
            <w:rPr>
              <w:noProof/>
            </w:rPr>
            <w:t>4</w:t>
          </w:r>
          <w:r>
            <w:rPr>
              <w:noProof/>
            </w:rPr>
            <w:fldChar w:fldCharType="end"/>
          </w:r>
        </w:p>
        <w:p w14:paraId="7426770D" w14:textId="7E0B4471" w:rsidR="00A84FAE" w:rsidRDefault="00A84FAE">
          <w:pPr>
            <w:pStyle w:val="TableofFigures"/>
            <w:tabs>
              <w:tab w:val="right" w:leader="dot" w:pos="9350"/>
            </w:tabs>
            <w:rPr>
              <w:noProof/>
            </w:rPr>
          </w:pPr>
          <w:r w:rsidRPr="00EC4987">
            <w:rPr>
              <w:noProof/>
            </w:rPr>
            <w:lastRenderedPageBreak/>
            <w:t>Figure 2: Literature Review</w:t>
          </w:r>
          <w:r>
            <w:rPr>
              <w:noProof/>
            </w:rPr>
            <w:tab/>
          </w:r>
          <w:r>
            <w:rPr>
              <w:noProof/>
            </w:rPr>
            <w:fldChar w:fldCharType="begin"/>
          </w:r>
          <w:r>
            <w:rPr>
              <w:noProof/>
            </w:rPr>
            <w:instrText xml:space="preserve"> PAGEREF _Toc212507196 \h </w:instrText>
          </w:r>
          <w:r>
            <w:rPr>
              <w:noProof/>
            </w:rPr>
          </w:r>
          <w:r>
            <w:rPr>
              <w:noProof/>
            </w:rPr>
            <w:fldChar w:fldCharType="separate"/>
          </w:r>
          <w:r>
            <w:rPr>
              <w:noProof/>
            </w:rPr>
            <w:t>5</w:t>
          </w:r>
          <w:r>
            <w:rPr>
              <w:noProof/>
            </w:rPr>
            <w:fldChar w:fldCharType="end"/>
          </w:r>
        </w:p>
        <w:p w14:paraId="02B2155A" w14:textId="68B69ACB" w:rsidR="00A84FAE" w:rsidRDefault="00A84FAE">
          <w:pPr>
            <w:pStyle w:val="TableofFigures"/>
            <w:tabs>
              <w:tab w:val="right" w:leader="dot" w:pos="9350"/>
            </w:tabs>
            <w:rPr>
              <w:noProof/>
            </w:rPr>
          </w:pPr>
          <w:r w:rsidRPr="00EC4987">
            <w:rPr>
              <w:noProof/>
            </w:rPr>
            <w:t>Figure 3: Theme impact analysis</w:t>
          </w:r>
          <w:r>
            <w:rPr>
              <w:noProof/>
            </w:rPr>
            <w:tab/>
          </w:r>
          <w:r>
            <w:rPr>
              <w:noProof/>
            </w:rPr>
            <w:fldChar w:fldCharType="begin"/>
          </w:r>
          <w:r>
            <w:rPr>
              <w:noProof/>
            </w:rPr>
            <w:instrText xml:space="preserve"> PAGEREF _Toc212507197 \h </w:instrText>
          </w:r>
          <w:r>
            <w:rPr>
              <w:noProof/>
            </w:rPr>
          </w:r>
          <w:r>
            <w:rPr>
              <w:noProof/>
            </w:rPr>
            <w:fldChar w:fldCharType="separate"/>
          </w:r>
          <w:r>
            <w:rPr>
              <w:noProof/>
            </w:rPr>
            <w:t>9</w:t>
          </w:r>
          <w:r>
            <w:rPr>
              <w:noProof/>
            </w:rPr>
            <w:fldChar w:fldCharType="end"/>
          </w:r>
        </w:p>
        <w:p w14:paraId="04E9D944" w14:textId="53FC1DB9" w:rsidR="00A84FAE" w:rsidRDefault="00A84FAE">
          <w:pPr>
            <w:pStyle w:val="TableofFigures"/>
            <w:tabs>
              <w:tab w:val="right" w:leader="dot" w:pos="9350"/>
            </w:tabs>
            <w:rPr>
              <w:noProof/>
            </w:rPr>
          </w:pPr>
          <w:r w:rsidRPr="00EC4987">
            <w:rPr>
              <w:noProof/>
            </w:rPr>
            <w:t>Figure 4: Recommendations</w:t>
          </w:r>
          <w:r>
            <w:rPr>
              <w:noProof/>
            </w:rPr>
            <w:tab/>
          </w:r>
          <w:r>
            <w:rPr>
              <w:noProof/>
            </w:rPr>
            <w:fldChar w:fldCharType="begin"/>
          </w:r>
          <w:r>
            <w:rPr>
              <w:noProof/>
            </w:rPr>
            <w:instrText xml:space="preserve"> PAGEREF _Toc212507198 \h </w:instrText>
          </w:r>
          <w:r>
            <w:rPr>
              <w:noProof/>
            </w:rPr>
          </w:r>
          <w:r>
            <w:rPr>
              <w:noProof/>
            </w:rPr>
            <w:fldChar w:fldCharType="separate"/>
          </w:r>
          <w:r>
            <w:rPr>
              <w:noProof/>
            </w:rPr>
            <w:t>13</w:t>
          </w:r>
          <w:r>
            <w:rPr>
              <w:noProof/>
            </w:rPr>
            <w:fldChar w:fldCharType="end"/>
          </w:r>
        </w:p>
        <w:p w14:paraId="63AC1856" w14:textId="1A40C8B2" w:rsidR="00A84FAE" w:rsidRDefault="00A84FAE">
          <w:pPr>
            <w:rPr>
              <w:b/>
              <w:bCs/>
              <w:noProof/>
            </w:rPr>
          </w:pPr>
          <w:r>
            <w:rPr>
              <w:b/>
              <w:bCs/>
              <w:noProof/>
            </w:rPr>
            <w:fldChar w:fldCharType="end"/>
          </w:r>
        </w:p>
        <w:p w14:paraId="6A06849B" w14:textId="60080EC8" w:rsidR="001E4DF0" w:rsidRDefault="00FD0376"/>
      </w:sdtContent>
    </w:sdt>
    <w:p w14:paraId="232DAF00" w14:textId="5FDF3FF9" w:rsidR="001E4DF0" w:rsidRDefault="001E4DF0">
      <w:pPr>
        <w:spacing w:after="160" w:line="278" w:lineRule="auto"/>
        <w:jc w:val="left"/>
      </w:pPr>
      <w:r>
        <w:br w:type="page"/>
      </w:r>
    </w:p>
    <w:p w14:paraId="7C5AEFE1" w14:textId="55EBA799" w:rsidR="006265A4" w:rsidRDefault="006265A4" w:rsidP="007C5C34">
      <w:pPr>
        <w:jc w:val="left"/>
        <w:rPr>
          <w:b/>
          <w:bCs/>
        </w:rPr>
      </w:pPr>
      <w:bookmarkStart w:id="0" w:name="_Toc212540572"/>
      <w:r w:rsidRPr="006265A4">
        <w:rPr>
          <w:rStyle w:val="Heading1Char"/>
        </w:rPr>
        <w:lastRenderedPageBreak/>
        <w:t>1. Introduction</w:t>
      </w:r>
      <w:bookmarkEnd w:id="0"/>
    </w:p>
    <w:p w14:paraId="69A03E07" w14:textId="5CC9B509" w:rsidR="006265A4" w:rsidRDefault="006265A4" w:rsidP="006265A4">
      <w:r w:rsidRPr="006265A4">
        <w:t>Working long hours, pressure, and emotional pressure are the characteristics of the hospitality industry that has a high level of customer satisfaction as a priority</w:t>
      </w:r>
      <w:r w:rsidR="00502981">
        <w:t xml:space="preserve"> (</w:t>
      </w:r>
      <w:r w:rsidR="00502981" w:rsidRPr="00502981">
        <w:t>Vashdi</w:t>
      </w:r>
      <w:r w:rsidR="00502981">
        <w:t xml:space="preserve"> </w:t>
      </w:r>
      <w:r w:rsidR="00502981" w:rsidRPr="00502981">
        <w:t>Katz–Navon, and Delegach,</w:t>
      </w:r>
      <w:r w:rsidR="00502981">
        <w:t xml:space="preserve"> </w:t>
      </w:r>
      <w:r w:rsidR="00502981" w:rsidRPr="00502981">
        <w:t>2022</w:t>
      </w:r>
      <w:r w:rsidR="00502981">
        <w:t>)</w:t>
      </w:r>
      <w:r w:rsidR="00502981" w:rsidRPr="00502981">
        <w:t xml:space="preserve">. </w:t>
      </w:r>
      <w:r w:rsidRPr="006265A4">
        <w:t xml:space="preserve">It has more than 300 million employees worldwide, but it is still among the industries that is the most heavily impacted by the mental health factor </w:t>
      </w:r>
      <w:r w:rsidRPr="006265A4">
        <w:rPr>
          <w:b/>
          <w:bCs/>
        </w:rPr>
        <w:t>(World Health Organisation, 2023).</w:t>
      </w:r>
      <w:r w:rsidRPr="006265A4">
        <w:t xml:space="preserve"> Research has always demonstrated high anxiety, depression, and burnout rates among hospitality employees in contrast with other service industries</w:t>
      </w:r>
      <w:r>
        <w:t>.</w:t>
      </w:r>
      <w:r w:rsidRPr="006265A4">
        <w:t xml:space="preserve"> All these problems were increased by the COVID-19 pandemic, which caused numerous job insecurity, emotional fatigue, and a decline in morale in hotels, restaurants, and other enterprises in the tourism sector.</w:t>
      </w:r>
      <w:r>
        <w:t xml:space="preserve"> </w:t>
      </w:r>
      <w:r w:rsidRPr="006265A4">
        <w:t xml:space="preserve">This theme is critically applicable to the hospitality industry since its employees are its main resources since the guest experience based on human contact and emotional service provision is the focal point of the industry. Constant stress, lack of control, and neglect by managers not only damage personal and well-being of individuals but also lower productivity and the quality of services. Stigma and a culture of smiling discourage openness in discussing </w:t>
      </w:r>
      <w:r w:rsidRPr="006265A4">
        <w:rPr>
          <w:b/>
          <w:bCs/>
        </w:rPr>
        <w:t>mental health</w:t>
      </w:r>
      <w:r w:rsidRPr="006265A4">
        <w:t xml:space="preserve"> despite greater advocacy. This research article describes the development of burnout and well-being into systemic problems, interprets organisational responses in the framework of the Job Demands-Resources (JD-R) model, and gives strategic suggestions on how hospitality workplaces can become mentally healthy and resilient.</w:t>
      </w:r>
    </w:p>
    <w:p w14:paraId="5F6159DE" w14:textId="77777777" w:rsidR="00BB6EBB" w:rsidRDefault="00624FB9" w:rsidP="00BB6EBB">
      <w:pPr>
        <w:keepNext/>
        <w:jc w:val="center"/>
      </w:pPr>
      <w:r w:rsidRPr="00624FB9">
        <w:rPr>
          <w:noProof/>
        </w:rPr>
        <w:drawing>
          <wp:inline distT="0" distB="0" distL="0" distR="0" wp14:anchorId="776BEE9F" wp14:editId="5063EF65">
            <wp:extent cx="1750557" cy="1719482"/>
            <wp:effectExtent l="95250" t="95250" r="97790" b="90805"/>
            <wp:docPr id="1594768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68259" name=""/>
                    <pic:cNvPicPr/>
                  </pic:nvPicPr>
                  <pic:blipFill>
                    <a:blip r:embed="rId8"/>
                    <a:stretch>
                      <a:fillRect/>
                    </a:stretch>
                  </pic:blipFill>
                  <pic:spPr>
                    <a:xfrm>
                      <a:off x="0" y="0"/>
                      <a:ext cx="1761519" cy="173024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D37BE9A" w14:textId="62DCA823" w:rsidR="00BB6EBB" w:rsidRPr="00BB6EBB" w:rsidRDefault="00BB6EBB" w:rsidP="00BB6EBB">
      <w:pPr>
        <w:pStyle w:val="Caption"/>
        <w:jc w:val="center"/>
        <w:rPr>
          <w:i w:val="0"/>
          <w:iCs w:val="0"/>
        </w:rPr>
      </w:pPr>
      <w:bookmarkStart w:id="1" w:name="_Toc212507195"/>
      <w:r w:rsidRPr="00BB6EBB">
        <w:rPr>
          <w:i w:val="0"/>
          <w:iCs w:val="0"/>
        </w:rPr>
        <w:t xml:space="preserve">Figure </w:t>
      </w:r>
      <w:r w:rsidRPr="00BB6EBB">
        <w:rPr>
          <w:i w:val="0"/>
          <w:iCs w:val="0"/>
        </w:rPr>
        <w:fldChar w:fldCharType="begin"/>
      </w:r>
      <w:r w:rsidRPr="00BB6EBB">
        <w:rPr>
          <w:i w:val="0"/>
          <w:iCs w:val="0"/>
        </w:rPr>
        <w:instrText xml:space="preserve"> SEQ Figure \* ARABIC </w:instrText>
      </w:r>
      <w:r w:rsidRPr="00BB6EBB">
        <w:rPr>
          <w:i w:val="0"/>
          <w:iCs w:val="0"/>
        </w:rPr>
        <w:fldChar w:fldCharType="separate"/>
      </w:r>
      <w:r w:rsidR="00362FDC">
        <w:rPr>
          <w:i w:val="0"/>
          <w:iCs w:val="0"/>
          <w:noProof/>
        </w:rPr>
        <w:t>1</w:t>
      </w:r>
      <w:r w:rsidRPr="00BB6EBB">
        <w:rPr>
          <w:i w:val="0"/>
          <w:iCs w:val="0"/>
        </w:rPr>
        <w:fldChar w:fldCharType="end"/>
      </w:r>
      <w:r w:rsidRPr="00BB6EBB">
        <w:rPr>
          <w:i w:val="0"/>
          <w:iCs w:val="0"/>
        </w:rPr>
        <w:t>: Mental health</w:t>
      </w:r>
      <w:bookmarkEnd w:id="1"/>
    </w:p>
    <w:p w14:paraId="6ECB8B5B" w14:textId="6771A0EE" w:rsidR="00624FB9" w:rsidRPr="00BB6EBB" w:rsidRDefault="00BB6EBB" w:rsidP="00BB6EBB">
      <w:pPr>
        <w:pStyle w:val="Caption"/>
        <w:jc w:val="center"/>
        <w:rPr>
          <w:i w:val="0"/>
          <w:iCs w:val="0"/>
        </w:rPr>
      </w:pPr>
      <w:r w:rsidRPr="00BB6EBB">
        <w:rPr>
          <w:i w:val="0"/>
          <w:iCs w:val="0"/>
        </w:rPr>
        <w:t xml:space="preserve"> (Source: https://www.holy-cross.com)</w:t>
      </w:r>
    </w:p>
    <w:p w14:paraId="44A0F57A" w14:textId="6DF616F2" w:rsidR="006265A4" w:rsidRDefault="006265A4">
      <w:pPr>
        <w:spacing w:after="160" w:line="278" w:lineRule="auto"/>
        <w:jc w:val="left"/>
      </w:pPr>
      <w:r>
        <w:br w:type="page"/>
      </w:r>
    </w:p>
    <w:p w14:paraId="1E11D0A6" w14:textId="79885C44" w:rsidR="006265A4" w:rsidRDefault="006265A4" w:rsidP="006265A4">
      <w:pPr>
        <w:rPr>
          <w:rStyle w:val="Heading1Char"/>
          <w:lang w:val="en-US"/>
        </w:rPr>
      </w:pPr>
      <w:bookmarkStart w:id="2" w:name="_Toc212540573"/>
      <w:r w:rsidRPr="006265A4">
        <w:rPr>
          <w:rStyle w:val="Heading1Char"/>
          <w:lang w:val="en-US"/>
        </w:rPr>
        <w:lastRenderedPageBreak/>
        <w:t>2. Literature Review</w:t>
      </w:r>
      <w:bookmarkEnd w:id="2"/>
    </w:p>
    <w:p w14:paraId="6E2F98B4" w14:textId="77777777" w:rsidR="00FE452A" w:rsidRDefault="00BB6EBB" w:rsidP="00FE452A">
      <w:pPr>
        <w:keepNext/>
        <w:jc w:val="center"/>
      </w:pPr>
      <w:r>
        <w:rPr>
          <w:b/>
          <w:bCs/>
          <w:noProof/>
          <w:lang w:val="en-US"/>
          <w14:ligatures w14:val="standardContextual"/>
        </w:rPr>
        <w:drawing>
          <wp:inline distT="0" distB="0" distL="0" distR="0" wp14:anchorId="6460E8E7" wp14:editId="5F6BCBF5">
            <wp:extent cx="4107766" cy="2293033"/>
            <wp:effectExtent l="0" t="38100" r="0" b="69215"/>
            <wp:docPr id="7340999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B036540" w14:textId="4E4844AE" w:rsidR="00FE452A" w:rsidRPr="00FE452A" w:rsidRDefault="00FE452A" w:rsidP="00FE452A">
      <w:pPr>
        <w:pStyle w:val="Caption"/>
        <w:jc w:val="center"/>
        <w:rPr>
          <w:i w:val="0"/>
          <w:iCs w:val="0"/>
        </w:rPr>
      </w:pPr>
      <w:bookmarkStart w:id="3" w:name="_Toc212507196"/>
      <w:r w:rsidRPr="00FE452A">
        <w:rPr>
          <w:i w:val="0"/>
          <w:iCs w:val="0"/>
        </w:rPr>
        <w:t xml:space="preserve">Figure </w:t>
      </w:r>
      <w:r w:rsidRPr="00FE452A">
        <w:rPr>
          <w:i w:val="0"/>
          <w:iCs w:val="0"/>
        </w:rPr>
        <w:fldChar w:fldCharType="begin"/>
      </w:r>
      <w:r w:rsidRPr="00FE452A">
        <w:rPr>
          <w:i w:val="0"/>
          <w:iCs w:val="0"/>
        </w:rPr>
        <w:instrText xml:space="preserve"> SEQ Figure \* ARABIC </w:instrText>
      </w:r>
      <w:r w:rsidRPr="00FE452A">
        <w:rPr>
          <w:i w:val="0"/>
          <w:iCs w:val="0"/>
        </w:rPr>
        <w:fldChar w:fldCharType="separate"/>
      </w:r>
      <w:r w:rsidR="00362FDC">
        <w:rPr>
          <w:i w:val="0"/>
          <w:iCs w:val="0"/>
          <w:noProof/>
        </w:rPr>
        <w:t>2</w:t>
      </w:r>
      <w:r w:rsidRPr="00FE452A">
        <w:rPr>
          <w:i w:val="0"/>
          <w:iCs w:val="0"/>
        </w:rPr>
        <w:fldChar w:fldCharType="end"/>
      </w:r>
      <w:r w:rsidRPr="00FE452A">
        <w:rPr>
          <w:i w:val="0"/>
          <w:iCs w:val="0"/>
        </w:rPr>
        <w:t>: Literature Review</w:t>
      </w:r>
      <w:bookmarkEnd w:id="3"/>
    </w:p>
    <w:p w14:paraId="4E10445E" w14:textId="6A5787D8" w:rsidR="00BB6EBB" w:rsidRPr="00FE452A" w:rsidRDefault="00FE452A" w:rsidP="00FE452A">
      <w:pPr>
        <w:pStyle w:val="Caption"/>
        <w:jc w:val="center"/>
        <w:rPr>
          <w:b/>
          <w:bCs/>
          <w:i w:val="0"/>
          <w:iCs w:val="0"/>
          <w:lang w:val="en-US"/>
        </w:rPr>
      </w:pPr>
      <w:r w:rsidRPr="00FE452A">
        <w:rPr>
          <w:i w:val="0"/>
          <w:iCs w:val="0"/>
        </w:rPr>
        <w:t xml:space="preserve"> (Source: Author, 2025)</w:t>
      </w:r>
    </w:p>
    <w:p w14:paraId="2C7E2C2D" w14:textId="77777777" w:rsidR="006265A4" w:rsidRPr="006265A4" w:rsidRDefault="006265A4" w:rsidP="006265A4">
      <w:pPr>
        <w:pStyle w:val="Heading2"/>
      </w:pPr>
      <w:bookmarkStart w:id="4" w:name="_Toc212540574"/>
      <w:r w:rsidRPr="006265A4">
        <w:t>2.1 The Structural Roots of the Crisis</w:t>
      </w:r>
      <w:bookmarkEnd w:id="4"/>
    </w:p>
    <w:p w14:paraId="14DB22A6" w14:textId="50605130" w:rsidR="006265A4" w:rsidRDefault="006265A4" w:rsidP="006265A4">
      <w:r w:rsidRPr="006265A4">
        <w:t>People tend to think of the hospitality industry as a lively, ever-changing profession that encourages creativity, social connections, and personal development</w:t>
      </w:r>
      <w:r w:rsidR="002F457B">
        <w:t xml:space="preserve"> (</w:t>
      </w:r>
      <w:r w:rsidR="002F457B" w:rsidRPr="002F457B">
        <w:t>Antica, 2024</w:t>
      </w:r>
      <w:r w:rsidR="002F457B">
        <w:t>)</w:t>
      </w:r>
      <w:r w:rsidR="002F457B" w:rsidRPr="002F457B">
        <w:t xml:space="preserve">. </w:t>
      </w:r>
      <w:r w:rsidRPr="006265A4">
        <w:t xml:space="preserve"> But think again; the hospitality field is characteri</w:t>
      </w:r>
      <w:r w:rsidR="00502981">
        <w:t>s</w:t>
      </w:r>
      <w:r w:rsidRPr="006265A4">
        <w:t>ed by a culture of long working hours, demanding guests, and the act of "Simul tasking", which can put immense psychological stress on workers in the industry. The hospitality industry is also "emotionally charged" because workers must be engaged in emotional labour</w:t>
      </w:r>
      <w:r>
        <w:t xml:space="preserve"> </w:t>
      </w:r>
      <w:r w:rsidRPr="006265A4">
        <w:t>that is, regardless of real feelings, they are expected to be warm, patient, and enthusiastic. Emotional labour involves being emotionally regulated and intentionally pushing down genuine emotions to uphold the ideal experience for the guest</w:t>
      </w:r>
      <w:r w:rsidR="00E21CB9">
        <w:t>.</w:t>
      </w:r>
      <w:r w:rsidR="000C72E3">
        <w:t xml:space="preserve"> (</w:t>
      </w:r>
      <w:r w:rsidR="000C72E3" w:rsidRPr="000C72E3">
        <w:t>Ngcobo, Chiwawa, and Wissink, 2022</w:t>
      </w:r>
      <w:r w:rsidR="000C72E3">
        <w:t>)</w:t>
      </w:r>
      <w:r w:rsidR="000C72E3" w:rsidRPr="000C72E3">
        <w:t xml:space="preserve">. </w:t>
      </w:r>
      <w:r w:rsidR="00A84FAE" w:rsidRPr="006265A4">
        <w:t>Emotional</w:t>
      </w:r>
      <w:r w:rsidRPr="006265A4">
        <w:t xml:space="preserve"> work leads to an increase in emotional exhaustion, a decrease in motivation, and even a loss of personal meaning. </w:t>
      </w:r>
    </w:p>
    <w:p w14:paraId="4C3F90B6" w14:textId="43C61331" w:rsidR="006265A4" w:rsidRDefault="004334F4" w:rsidP="006265A4">
      <w:r w:rsidRPr="004334F4">
        <w:t xml:space="preserve">A deeper understanding of the structural aspects of this crisis can result from using the Job Demands-Resources model perspective, to convey how one becomes suffers burnout due to job demands (e.g., workload, pressure, emotional intensity) exceed resources (e.g., supervisor support, control, equitable pay, etc.). Unfortunately, the hospitality industry is aligned in a space where considerable expectations with respective demands and limited autonomy and low qualified wages </w:t>
      </w:r>
      <w:r w:rsidRPr="004334F4">
        <w:lastRenderedPageBreak/>
        <w:t>leave no other internal mechanism to cope with stress at work</w:t>
      </w:r>
      <w:r w:rsidR="000C72E3">
        <w:t xml:space="preserve"> </w:t>
      </w:r>
      <w:r w:rsidRPr="004334F4">
        <w:t xml:space="preserve">i.e. feelings become chronic or permanent, which leads to even more difficulty to escape or leave employment in the industry bearing the perpetual states of feeling fatigued and dissatisfied with working conditions, feeling like basic resilience is not or could be enough to address the systemic flaws of work and/or leadership. </w:t>
      </w:r>
      <w:r>
        <w:t xml:space="preserve"> </w:t>
      </w:r>
      <w:r w:rsidRPr="004334F4">
        <w:t>This indicates that the mental health issue arises not from an individual's lack of coping ability, but the industry is fundamentally out of balance</w:t>
      </w:r>
      <w:r w:rsidR="00026D30">
        <w:t xml:space="preserve"> (</w:t>
      </w:r>
      <w:r w:rsidR="00026D30" w:rsidRPr="00026D30">
        <w:t xml:space="preserve">Hennekam, Richard, and </w:t>
      </w:r>
      <w:r w:rsidR="00FE452A" w:rsidRPr="00026D30">
        <w:t>Grima, 2020</w:t>
      </w:r>
      <w:r w:rsidR="00026D30">
        <w:t>).</w:t>
      </w:r>
    </w:p>
    <w:p w14:paraId="6D999DEC" w14:textId="65848D31" w:rsidR="004334F4" w:rsidRDefault="004334F4" w:rsidP="004334F4">
      <w:pPr>
        <w:pStyle w:val="Heading2"/>
      </w:pPr>
      <w:bookmarkStart w:id="5" w:name="_Toc212540575"/>
      <w:r w:rsidRPr="004334F4">
        <w:t>2.2 The Pandemic as a Catalyst</w:t>
      </w:r>
      <w:bookmarkEnd w:id="5"/>
    </w:p>
    <w:p w14:paraId="20D4C92B" w14:textId="107AC297" w:rsidR="004334F4" w:rsidRPr="004334F4" w:rsidRDefault="004334F4" w:rsidP="004334F4">
      <w:pPr>
        <w:rPr>
          <w:lang w:val="en-US"/>
        </w:rPr>
      </w:pPr>
      <w:r w:rsidRPr="00FE452A">
        <w:t>The COVID-19 pandemic exacerbated existing mental health issues present in the hospitality industry.</w:t>
      </w:r>
      <w:r w:rsidRPr="004334F4">
        <w:t xml:space="preserve"> This unprecedented experience saw the entire industry shut down, resulting in termination of employees and increased uncertainty for workers, millions of whom were left without consistent wages and meaningful purpose. When establishments reopened, workers faced new risks and stressors - shifting to strict hygiene procedures, contending with apprehensive patrons, and labour shortages that increased work demands</w:t>
      </w:r>
      <w:r w:rsidR="00707619">
        <w:t xml:space="preserve"> (</w:t>
      </w:r>
      <w:r w:rsidR="00707619" w:rsidRPr="00707619">
        <w:t>Lippert,</w:t>
      </w:r>
      <w:r w:rsidR="00707619">
        <w:t xml:space="preserve"> </w:t>
      </w:r>
      <w:r w:rsidR="00707619" w:rsidRPr="00707619">
        <w:t>Rosing, and Tendick‐Matesanz,</w:t>
      </w:r>
      <w:r w:rsidR="00707619">
        <w:t xml:space="preserve"> </w:t>
      </w:r>
      <w:r w:rsidR="00707619" w:rsidRPr="00707619">
        <w:t>2020</w:t>
      </w:r>
      <w:r w:rsidR="00707619">
        <w:t>)</w:t>
      </w:r>
      <w:r w:rsidR="00707619" w:rsidRPr="00707619">
        <w:t xml:space="preserve">. </w:t>
      </w:r>
      <w:r w:rsidRPr="004334F4">
        <w:t>Many workers accordingly reported increased anxiety around the risk of infection, while managers struggled to find a balance between hospitality's economic recovery and the concerns of their workers.</w:t>
      </w:r>
    </w:p>
    <w:p w14:paraId="725FECE1" w14:textId="3F00C28C" w:rsidR="004334F4" w:rsidRDefault="004334F4" w:rsidP="004334F4">
      <w:r w:rsidRPr="004334F4">
        <w:t>The return to work was marred by what researchers refer to as "re-entry anxiety", where workers were afraid to both work with the public, as well as the pressure associated with returning to pre-pandemic standards of service. This period indicated the inadequacy of even basic mental health support systems after the pandemic</w:t>
      </w:r>
      <w:r w:rsidR="00542B51">
        <w:t xml:space="preserve"> </w:t>
      </w:r>
      <w:r w:rsidR="000A35FB">
        <w:t>(</w:t>
      </w:r>
      <w:r w:rsidR="00542B51" w:rsidRPr="00542B51">
        <w:t>Tausch</w:t>
      </w:r>
      <w:r w:rsidR="000A35FB">
        <w:t xml:space="preserve"> et al., </w:t>
      </w:r>
      <w:r w:rsidR="00542B51" w:rsidRPr="00542B51">
        <w:t>2022</w:t>
      </w:r>
      <w:r w:rsidR="000A35FB">
        <w:t>)</w:t>
      </w:r>
      <w:r w:rsidR="00542B51" w:rsidRPr="00542B51">
        <w:t xml:space="preserve">. </w:t>
      </w:r>
    </w:p>
    <w:p w14:paraId="64285704" w14:textId="01B82D87" w:rsidR="002D5F61" w:rsidRDefault="002D5F61" w:rsidP="004334F4">
      <w:r w:rsidRPr="002D5F61">
        <w:t>The return to work introduced what researchers refer to as “re-entry anxiety” due to concern for both their health and the pressure to re-establish service delivery</w:t>
      </w:r>
      <w:r w:rsidR="007000D4">
        <w:t xml:space="preserve"> </w:t>
      </w:r>
      <w:r w:rsidR="00706578">
        <w:t>(</w:t>
      </w:r>
      <w:r w:rsidR="007000D4" w:rsidRPr="007000D4">
        <w:t>Wankhede and Sharma, 2025</w:t>
      </w:r>
      <w:r w:rsidR="007000D4">
        <w:t xml:space="preserve">). </w:t>
      </w:r>
      <w:r w:rsidRPr="002D5F61">
        <w:t xml:space="preserve">This period demonstrated the fragility of mental health support at hospitality organisations, to the point that most organisations did not have a formal psychological support system in place. </w:t>
      </w:r>
    </w:p>
    <w:p w14:paraId="538C0668" w14:textId="74A4D38A" w:rsidR="002D5F61" w:rsidRDefault="002D5F61" w:rsidP="002D5F61">
      <w:pPr>
        <w:pStyle w:val="Heading2"/>
      </w:pPr>
      <w:bookmarkStart w:id="6" w:name="_Toc212540576"/>
      <w:r w:rsidRPr="002D5F61">
        <w:t>2.3 Stigma, Silence, and Culture in Organisations</w:t>
      </w:r>
      <w:bookmarkEnd w:id="6"/>
    </w:p>
    <w:p w14:paraId="29E6542F" w14:textId="6390CC1D" w:rsidR="002D5F61" w:rsidRDefault="002D5F61" w:rsidP="004334F4">
      <w:r w:rsidRPr="002D5F61">
        <w:t xml:space="preserve">Even if we're more aware, stigma around mental health in hospitality continues to be an embedded issue. Because of the constant expectation of positivity – sometimes referred to as the 'hospitality smile' - staff do not feel they can acknowledge or disclose emotional struggle. Staff can feel pressure to act happy and composed, regardless of their internal state, which leads emotional </w:t>
      </w:r>
      <w:r w:rsidRPr="002D5F61">
        <w:lastRenderedPageBreak/>
        <w:t xml:space="preserve">dissonance between their authentic feelings and the behaviours they're expected to demonstrate. This pressure develops shame and isolation, which creates silence, regardless of mental </w:t>
      </w:r>
      <w:r w:rsidR="00706578" w:rsidRPr="002D5F61">
        <w:t>distress. Workers</w:t>
      </w:r>
      <w:r w:rsidRPr="002D5F61">
        <w:t xml:space="preserve"> often worry that sharing mental health issues could impact their perceived work ethic or job security</w:t>
      </w:r>
      <w:r w:rsidR="004515BC">
        <w:t xml:space="preserve"> (</w:t>
      </w:r>
      <w:r w:rsidR="004515BC" w:rsidRPr="004515BC">
        <w:t>Holmlund</w:t>
      </w:r>
      <w:r w:rsidR="004515BC">
        <w:t xml:space="preserve"> et al., </w:t>
      </w:r>
      <w:r w:rsidR="004515BC" w:rsidRPr="004515BC">
        <w:t>2023</w:t>
      </w:r>
      <w:r w:rsidR="004515BC">
        <w:t>)</w:t>
      </w:r>
      <w:r w:rsidR="004515BC" w:rsidRPr="004515BC">
        <w:t xml:space="preserve">. </w:t>
      </w:r>
    </w:p>
    <w:p w14:paraId="186D77A8" w14:textId="5D2899AC" w:rsidR="002D5F61" w:rsidRDefault="002D5F61" w:rsidP="002D5F61">
      <w:pPr>
        <w:pStyle w:val="Heading2"/>
      </w:pPr>
      <w:bookmarkStart w:id="7" w:name="_Toc212540577"/>
      <w:r w:rsidRPr="002D5F61">
        <w:t>2.4 Leadership and Managerial Influence</w:t>
      </w:r>
      <w:bookmarkEnd w:id="7"/>
    </w:p>
    <w:p w14:paraId="3C48A57D" w14:textId="18F670F3" w:rsidR="002D5F61" w:rsidRDefault="002D5F61" w:rsidP="002D5F61">
      <w:r w:rsidRPr="002D5F61">
        <w:t>Leadership has a critical impact on mental health outcomes in the workplace</w:t>
      </w:r>
      <w:r w:rsidR="0069615B">
        <w:t xml:space="preserve"> </w:t>
      </w:r>
      <w:r w:rsidR="0069615B" w:rsidRPr="0069615B">
        <w:t>Stuber, F., Seifried-</w:t>
      </w:r>
      <w:r w:rsidR="0069615B">
        <w:t>(</w:t>
      </w:r>
      <w:r w:rsidR="0069615B" w:rsidRPr="0069615B">
        <w:t>Dübon</w:t>
      </w:r>
      <w:r w:rsidR="0069615B">
        <w:t xml:space="preserve"> et al., </w:t>
      </w:r>
      <w:r w:rsidR="0069615B" w:rsidRPr="0069615B">
        <w:t>2021</w:t>
      </w:r>
      <w:r w:rsidR="0069615B">
        <w:t>)</w:t>
      </w:r>
      <w:r w:rsidR="0069615B" w:rsidRPr="0069615B">
        <w:t xml:space="preserve">. </w:t>
      </w:r>
      <w:r w:rsidRPr="002D5F61">
        <w:t xml:space="preserve"> In many hospitality workplaces, the operational expectations are compounded by high levels of employee turnover and irregular hours. Having leaders who contribute to a sense of psychosocial safety by showing compassion, appreciation and open dialogue </w:t>
      </w:r>
      <w:r w:rsidR="006D498C" w:rsidRPr="002D5F61">
        <w:t>help</w:t>
      </w:r>
      <w:r w:rsidRPr="002D5F61">
        <w:t xml:space="preserve"> employees develop resilience. </w:t>
      </w:r>
    </w:p>
    <w:p w14:paraId="63BD5C99" w14:textId="0341AFB1" w:rsidR="00FA1F84" w:rsidRDefault="00FA1F84" w:rsidP="00FA1F84">
      <w:pPr>
        <w:pStyle w:val="Heading2"/>
      </w:pPr>
      <w:bookmarkStart w:id="8" w:name="_Toc212540578"/>
      <w:r w:rsidRPr="00FA1F84">
        <w:t>2.5 Gender, Diversity, and Intersectional Effects</w:t>
      </w:r>
      <w:bookmarkEnd w:id="8"/>
      <w:r w:rsidRPr="00FA1F84">
        <w:t xml:space="preserve"> </w:t>
      </w:r>
    </w:p>
    <w:p w14:paraId="118F649C" w14:textId="155D0F47" w:rsidR="00FA1F84" w:rsidRDefault="00FA1F84" w:rsidP="002D5F61">
      <w:r w:rsidRPr="00FA1F84">
        <w:t>Women, immigrants, and younger workers generally face greater risk levels. Hoel &amp; Einarsen (2021) have shown that the psychological susceptibility is higher through factors such as sexual harassments, discrimination, and uncertainty in employment contracts. Cultural norms, particularly among Asian hospitality markets, dictate and inhibit emotionality</w:t>
      </w:r>
      <w:r w:rsidR="003F704E">
        <w:t xml:space="preserve"> (</w:t>
      </w:r>
      <w:r w:rsidR="003F704E" w:rsidRPr="003F704E">
        <w:t>Sidhu</w:t>
      </w:r>
      <w:r w:rsidR="003F704E">
        <w:t xml:space="preserve"> a</w:t>
      </w:r>
      <w:r w:rsidR="003F704E" w:rsidRPr="003F704E">
        <w:t>nd Ishikawa,</w:t>
      </w:r>
      <w:r w:rsidR="003F704E">
        <w:t xml:space="preserve"> </w:t>
      </w:r>
      <w:r w:rsidR="003F704E" w:rsidRPr="003F704E">
        <w:t>2022</w:t>
      </w:r>
      <w:r w:rsidR="003F704E">
        <w:t>)</w:t>
      </w:r>
      <w:r w:rsidR="003F704E" w:rsidRPr="003F704E">
        <w:t xml:space="preserve">. </w:t>
      </w:r>
    </w:p>
    <w:p w14:paraId="156EA865" w14:textId="513EF7F1" w:rsidR="00FA1F84" w:rsidRDefault="00FA1F84" w:rsidP="00FA1F84">
      <w:pPr>
        <w:pStyle w:val="Heading2"/>
      </w:pPr>
      <w:bookmarkStart w:id="9" w:name="_Toc212540579"/>
      <w:r w:rsidRPr="00FA1F84">
        <w:t>2.6 Industry Responses</w:t>
      </w:r>
      <w:bookmarkEnd w:id="9"/>
    </w:p>
    <w:p w14:paraId="51EA0606" w14:textId="2EBDB87A" w:rsidR="00FA1F84" w:rsidRDefault="00FA1F84" w:rsidP="002D5F61">
      <w:r w:rsidRPr="00FA1F84">
        <w:t>There have been some well-meaning responses from progressive hospitality brands, including Marriott's "TakeCare" and Accor's "All Heartist" programmes that aim at well-being. These initiatives seek to develop employee self-care (mindfulness training), as well as support vulnerable employees in their access to counselling and access work-life balance policies</w:t>
      </w:r>
      <w:r w:rsidR="006C191B">
        <w:t xml:space="preserve"> (</w:t>
      </w:r>
      <w:r w:rsidR="006C191B" w:rsidRPr="006C191B">
        <w:t>Underdown, McCabe,</w:t>
      </w:r>
      <w:r w:rsidR="006C191B">
        <w:t xml:space="preserve"> </w:t>
      </w:r>
      <w:r w:rsidR="006C191B" w:rsidRPr="006C191B">
        <w:t>and McCabe,</w:t>
      </w:r>
      <w:r w:rsidR="006C191B">
        <w:t xml:space="preserve"> </w:t>
      </w:r>
      <w:r w:rsidR="006C191B" w:rsidRPr="006C191B">
        <w:t>2022</w:t>
      </w:r>
      <w:r w:rsidR="006C191B">
        <w:t>)</w:t>
      </w:r>
      <w:r w:rsidR="006C191B" w:rsidRPr="006C191B">
        <w:t xml:space="preserve">. </w:t>
      </w:r>
      <w:r w:rsidRPr="00FA1F84">
        <w:t xml:space="preserve">According to Smith et al. (2023), however, </w:t>
      </w:r>
      <w:r w:rsidR="003F704E" w:rsidRPr="00FA1F84">
        <w:t>most</w:t>
      </w:r>
      <w:r w:rsidRPr="00FA1F84">
        <w:t xml:space="preserve"> hospitality wellbeing interventions are still reactive, rather than preventative, </w:t>
      </w:r>
    </w:p>
    <w:p w14:paraId="4CF2061B" w14:textId="77777777" w:rsidR="00FE452A" w:rsidRDefault="00FE452A" w:rsidP="00FE452A">
      <w:pPr>
        <w:pStyle w:val="Heading2"/>
      </w:pPr>
      <w:bookmarkStart w:id="10" w:name="_Toc212540580"/>
      <w:r w:rsidRPr="00FE452A">
        <w:t>2.7 Summary</w:t>
      </w:r>
      <w:bookmarkEnd w:id="10"/>
      <w:r w:rsidRPr="00FE452A">
        <w:t xml:space="preserve"> </w:t>
      </w:r>
    </w:p>
    <w:p w14:paraId="493DD7D0" w14:textId="625AB581" w:rsidR="00FE452A" w:rsidRDefault="00FE452A" w:rsidP="002D5F61">
      <w:r w:rsidRPr="00FE452A">
        <w:t xml:space="preserve">In summary, the literature supports that the hospitality mental health crisis is a systemic issue. The hospitality mental health crisis is an unbalance between emotional labour and organisational resources exacerbated by stigma and ineffective leadership. To address this crisis, we require </w:t>
      </w:r>
      <w:r w:rsidRPr="00FE452A">
        <w:lastRenderedPageBreak/>
        <w:t>structural change, leadership training, and normalising the conversation around mental health in the industry.</w:t>
      </w:r>
    </w:p>
    <w:p w14:paraId="08BC397C" w14:textId="051678D7" w:rsidR="006C191B" w:rsidRDefault="00FA1F84" w:rsidP="00FE452A">
      <w:pPr>
        <w:spacing w:after="160" w:line="278" w:lineRule="auto"/>
        <w:jc w:val="left"/>
      </w:pPr>
      <w:bookmarkStart w:id="11" w:name="_Toc212540581"/>
      <w:r w:rsidRPr="00FA1F84">
        <w:rPr>
          <w:rStyle w:val="Heading1Char"/>
        </w:rPr>
        <w:t>3. Method</w:t>
      </w:r>
      <w:bookmarkEnd w:id="11"/>
    </w:p>
    <w:p w14:paraId="27A0832B" w14:textId="5D15ED19" w:rsidR="00FA1F84" w:rsidRDefault="00FA1F84" w:rsidP="002D5F61">
      <w:r w:rsidRPr="00FA1F84">
        <w:t>This research is of a qualitative secondary research type and draws from peer-reviewed academic journals, industry reports, and organisational case studies published within 2019-2023. This paper utilizes an integrative review design to review, integrate and synthesise empirical findings, conceptual frameworks, and interventions from a wide geographical scope. Sources were sourced from databases such as ScienceDirect, Emerald Insight and the International Journal of Hospitality Management using key words such as hospitality, mental health, burnout, well-being, leadership, and retention. A total of 30 sources were reviewed along with 25 appropriately referenced citations in this paper. The analysis of the data was through thematic analysis</w:t>
      </w:r>
      <w:r w:rsidR="00CB7A8E">
        <w:t xml:space="preserve"> (</w:t>
      </w:r>
      <w:r w:rsidR="00CB7A8E" w:rsidRPr="00CB7A8E">
        <w:t>Byrne,</w:t>
      </w:r>
      <w:r w:rsidR="00CB7A8E">
        <w:t xml:space="preserve"> </w:t>
      </w:r>
      <w:r w:rsidR="00CB7A8E" w:rsidRPr="00CB7A8E">
        <w:t>2022</w:t>
      </w:r>
      <w:r w:rsidR="00CB7A8E">
        <w:t>)</w:t>
      </w:r>
      <w:r w:rsidR="00CB7A8E" w:rsidRPr="00CB7A8E">
        <w:t xml:space="preserve">. </w:t>
      </w:r>
      <w:r w:rsidRPr="00FA1F84">
        <w:t>identifying patterns recurrently under three themes: (1) structural reasons for declining mental health; (2) managerial and organizational actions; and (3) effectiveness of support systems. A Job Demands-Resources (JD-R) model was then utilized as the framework of analysis to interpret findings. The JD-R model provided a structured understanding of how workplace factors receive psychological outcomes. Ethical considerations were met through appropriate citation and critical evaluation of the credibility of the sources</w:t>
      </w:r>
      <w:r w:rsidR="00E43727">
        <w:t xml:space="preserve"> (</w:t>
      </w:r>
      <w:r w:rsidR="00E43727" w:rsidRPr="00E43727">
        <w:t>Kington</w:t>
      </w:r>
      <w:r w:rsidR="00E43727">
        <w:t xml:space="preserve"> et al., </w:t>
      </w:r>
      <w:r w:rsidR="00E43727" w:rsidRPr="00E43727">
        <w:t>2021</w:t>
      </w:r>
      <w:r w:rsidR="00E43727">
        <w:t>)</w:t>
      </w:r>
      <w:r w:rsidR="00E43727" w:rsidRPr="00E43727">
        <w:t>.</w:t>
      </w:r>
    </w:p>
    <w:p w14:paraId="2C43AC4B" w14:textId="779F074B" w:rsidR="00FA1F84" w:rsidRDefault="00FA1F84" w:rsidP="002D5F61">
      <w:bookmarkStart w:id="12" w:name="_Toc212540582"/>
      <w:r w:rsidRPr="00FA1F84">
        <w:rPr>
          <w:rStyle w:val="Heading1Char"/>
        </w:rPr>
        <w:t>4. Theme impact analysis</w:t>
      </w:r>
      <w:bookmarkEnd w:id="12"/>
      <w:r w:rsidRPr="00FA1F84">
        <w:t xml:space="preserve"> </w:t>
      </w:r>
    </w:p>
    <w:p w14:paraId="572F37D6" w14:textId="77777777" w:rsidR="00362FDC" w:rsidRDefault="00362FDC" w:rsidP="00362FDC">
      <w:pPr>
        <w:keepNext/>
        <w:jc w:val="center"/>
      </w:pPr>
      <w:r>
        <w:rPr>
          <w:noProof/>
          <w14:ligatures w14:val="standardContextual"/>
        </w:rPr>
        <w:lastRenderedPageBreak/>
        <w:drawing>
          <wp:inline distT="0" distB="0" distL="0" distR="0" wp14:anchorId="01A38BFB" wp14:editId="3F711374">
            <wp:extent cx="3755341" cy="2660846"/>
            <wp:effectExtent l="0" t="38100" r="0" b="82550"/>
            <wp:docPr id="13625937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BD7A80C" w14:textId="28DDE79F" w:rsidR="00362FDC" w:rsidRPr="00362FDC" w:rsidRDefault="00362FDC" w:rsidP="00362FDC">
      <w:pPr>
        <w:pStyle w:val="Caption"/>
        <w:jc w:val="center"/>
        <w:rPr>
          <w:i w:val="0"/>
          <w:iCs w:val="0"/>
        </w:rPr>
      </w:pPr>
      <w:bookmarkStart w:id="13" w:name="_Toc212507197"/>
      <w:r w:rsidRPr="00362FDC">
        <w:rPr>
          <w:i w:val="0"/>
          <w:iCs w:val="0"/>
        </w:rPr>
        <w:t xml:space="preserve">Figure </w:t>
      </w:r>
      <w:r w:rsidRPr="00362FDC">
        <w:rPr>
          <w:i w:val="0"/>
          <w:iCs w:val="0"/>
        </w:rPr>
        <w:fldChar w:fldCharType="begin"/>
      </w:r>
      <w:r w:rsidRPr="00362FDC">
        <w:rPr>
          <w:i w:val="0"/>
          <w:iCs w:val="0"/>
        </w:rPr>
        <w:instrText xml:space="preserve"> SEQ Figure \* ARABIC </w:instrText>
      </w:r>
      <w:r w:rsidRPr="00362FDC">
        <w:rPr>
          <w:i w:val="0"/>
          <w:iCs w:val="0"/>
        </w:rPr>
        <w:fldChar w:fldCharType="separate"/>
      </w:r>
      <w:r>
        <w:rPr>
          <w:i w:val="0"/>
          <w:iCs w:val="0"/>
          <w:noProof/>
        </w:rPr>
        <w:t>3</w:t>
      </w:r>
      <w:r w:rsidRPr="00362FDC">
        <w:rPr>
          <w:i w:val="0"/>
          <w:iCs w:val="0"/>
        </w:rPr>
        <w:fldChar w:fldCharType="end"/>
      </w:r>
      <w:r w:rsidRPr="00362FDC">
        <w:rPr>
          <w:i w:val="0"/>
          <w:iCs w:val="0"/>
        </w:rPr>
        <w:t>: Theme impact analysis</w:t>
      </w:r>
      <w:bookmarkEnd w:id="13"/>
    </w:p>
    <w:p w14:paraId="5529D77F" w14:textId="63681AC3" w:rsidR="00362FDC" w:rsidRPr="00362FDC" w:rsidRDefault="00362FDC" w:rsidP="00362FDC">
      <w:pPr>
        <w:pStyle w:val="Caption"/>
        <w:jc w:val="center"/>
        <w:rPr>
          <w:i w:val="0"/>
          <w:iCs w:val="0"/>
        </w:rPr>
      </w:pPr>
      <w:r w:rsidRPr="00362FDC">
        <w:rPr>
          <w:i w:val="0"/>
          <w:iCs w:val="0"/>
        </w:rPr>
        <w:t xml:space="preserve"> (Source: Author, 2025)</w:t>
      </w:r>
    </w:p>
    <w:p w14:paraId="3E9D9B9A" w14:textId="17B8BF94" w:rsidR="00FA1F84" w:rsidRDefault="00FA1F84" w:rsidP="00CB7A8E">
      <w:pPr>
        <w:pStyle w:val="Heading2"/>
      </w:pPr>
      <w:bookmarkStart w:id="14" w:name="_Toc212540583"/>
      <w:r w:rsidRPr="00FA1F84">
        <w:t>4.1 Use of the JD-R model</w:t>
      </w:r>
      <w:bookmarkEnd w:id="14"/>
      <w:r w:rsidRPr="00FA1F84">
        <w:t xml:space="preserve"> </w:t>
      </w:r>
    </w:p>
    <w:p w14:paraId="11474571" w14:textId="74174526" w:rsidR="00FA1F84" w:rsidRDefault="00FA1F84" w:rsidP="002D5F61">
      <w:r w:rsidRPr="00FA1F84">
        <w:t xml:space="preserve">The JD-R model offers a balanced lens to evaluate the mental health crisis. Job demands within the hospitality sector include but are not limited </w:t>
      </w:r>
      <w:r w:rsidR="00CB7A8E" w:rsidRPr="00FA1F84">
        <w:t>to</w:t>
      </w:r>
      <w:r w:rsidRPr="00FA1F84">
        <w:t xml:space="preserve"> emotional labour, customer incident conflict, moderate time pressure, and long hours; resources include but are not limited </w:t>
      </w:r>
      <w:r w:rsidR="007B6266" w:rsidRPr="00FA1F84">
        <w:t>to</w:t>
      </w:r>
      <w:r w:rsidRPr="00FA1F84">
        <w:t xml:space="preserve"> managerial support, training and autonomy. Worker burnout is the point at which job demands exceed resources - burnout includes emotional exhaustion, cynicism or disengagement, and reduced efficacy</w:t>
      </w:r>
      <w:r w:rsidR="00563634">
        <w:t xml:space="preserve"> (</w:t>
      </w:r>
      <w:r w:rsidR="00563634" w:rsidRPr="00563634">
        <w:t>Bakker</w:t>
      </w:r>
      <w:r w:rsidR="00563634">
        <w:t xml:space="preserve"> </w:t>
      </w:r>
      <w:r w:rsidR="00563634" w:rsidRPr="00563634">
        <w:t>and De Vries, 2021</w:t>
      </w:r>
      <w:r w:rsidR="00563634">
        <w:t>)</w:t>
      </w:r>
      <w:r w:rsidR="00563634" w:rsidRPr="00563634">
        <w:t xml:space="preserve">. </w:t>
      </w:r>
    </w:p>
    <w:p w14:paraId="57ECD1CA" w14:textId="77777777" w:rsidR="007B6266" w:rsidRDefault="007B6266" w:rsidP="007B6266">
      <w:pPr>
        <w:pStyle w:val="Heading2"/>
      </w:pPr>
      <w:bookmarkStart w:id="15" w:name="_Toc212540584"/>
      <w:r w:rsidRPr="007B6266">
        <w:t>4.2 Organisational Impact</w:t>
      </w:r>
      <w:bookmarkEnd w:id="15"/>
    </w:p>
    <w:p w14:paraId="7A85C6D0" w14:textId="6420F4DA" w:rsidR="007B6266" w:rsidRDefault="007B6266" w:rsidP="002D5F61">
      <w:r w:rsidRPr="007B6266">
        <w:t>High levels of stress lead to tangible costs for the business</w:t>
      </w:r>
      <w:r w:rsidR="004A7A1C">
        <w:t xml:space="preserve"> (</w:t>
      </w:r>
      <w:r w:rsidR="004A7A1C" w:rsidRPr="004A7A1C">
        <w:t>Muchiri,</w:t>
      </w:r>
      <w:r w:rsidR="004A7A1C">
        <w:t xml:space="preserve"> </w:t>
      </w:r>
      <w:r w:rsidR="004A7A1C" w:rsidRPr="004A7A1C">
        <w:t>2022</w:t>
      </w:r>
      <w:r w:rsidR="004A7A1C">
        <w:t xml:space="preserve">). </w:t>
      </w:r>
      <w:r w:rsidRPr="007B6266">
        <w:t>According to the Hospitality Health Report</w:t>
      </w:r>
      <w:r>
        <w:t>.</w:t>
      </w:r>
      <w:r w:rsidRPr="007B6266">
        <w:t xml:space="preserve"> the estimated cost to the UK hospitality sector of mental health in absenteeism is over £1 billion each year. The turnover of staff in hospitality averages around 30 -35% per year, which is high compared to many other service industries (Hospitality 2024). Turnover and employee disengagement also have the knock-on impact of driving down guest satisfaction, and increasing the cost of recruitment, with the potential impact on profitability and brand reputation.</w:t>
      </w:r>
    </w:p>
    <w:p w14:paraId="251A09EE" w14:textId="365493C8" w:rsidR="007B6266" w:rsidRDefault="007B6266" w:rsidP="007B6266">
      <w:pPr>
        <w:pStyle w:val="Heading2"/>
      </w:pPr>
      <w:bookmarkStart w:id="16" w:name="_Toc212540585"/>
      <w:r w:rsidRPr="007B6266">
        <w:lastRenderedPageBreak/>
        <w:t>4.3 Human Impact</w:t>
      </w:r>
      <w:bookmarkEnd w:id="16"/>
    </w:p>
    <w:p w14:paraId="1F8F0FBE" w14:textId="6BF6ADBE" w:rsidR="007B6266" w:rsidRDefault="007B6266" w:rsidP="002D5F61">
      <w:r w:rsidRPr="007B6266">
        <w:t xml:space="preserve">For employees themselves, the crisis presents itself as anxiety, depression, and burnout. Research by suggests that hospitality employees experience higher rates of sleep disturbance and substance use. Younger employees, especially in hotels and quick-service restaurants, suffer from “compassion fatigue” from continuous interaction with </w:t>
      </w:r>
      <w:r w:rsidR="0000081D" w:rsidRPr="007B6266">
        <w:t>guests</w:t>
      </w:r>
      <w:r w:rsidR="0000081D" w:rsidRPr="0000081D">
        <w:t xml:space="preserve"> </w:t>
      </w:r>
      <w:r w:rsidR="0000081D">
        <w:t>(</w:t>
      </w:r>
      <w:r w:rsidR="0000081D" w:rsidRPr="0000081D">
        <w:t>Mr</w:t>
      </w:r>
      <w:r w:rsidR="0000081D">
        <w:t xml:space="preserve"> et al., </w:t>
      </w:r>
      <w:r w:rsidR="0000081D" w:rsidRPr="0000081D">
        <w:t>2019</w:t>
      </w:r>
      <w:r w:rsidR="0000081D">
        <w:t>)</w:t>
      </w:r>
      <w:r w:rsidR="0000081D" w:rsidRPr="0000081D">
        <w:t xml:space="preserve">. </w:t>
      </w:r>
      <w:r w:rsidR="0000081D">
        <w:t xml:space="preserve"> </w:t>
      </w:r>
    </w:p>
    <w:p w14:paraId="2110FF69" w14:textId="717F9F40" w:rsidR="007B6266" w:rsidRDefault="007B6266" w:rsidP="007B6266">
      <w:pPr>
        <w:pStyle w:val="Heading2"/>
      </w:pPr>
      <w:bookmarkStart w:id="17" w:name="_Toc212540586"/>
      <w:r w:rsidRPr="007B6266">
        <w:t>4.4 Illustrative Examples and Sectoral Actions</w:t>
      </w:r>
      <w:bookmarkEnd w:id="17"/>
    </w:p>
    <w:p w14:paraId="12E1C4D3" w14:textId="29D09B92" w:rsidR="007B6266" w:rsidRDefault="007B6266" w:rsidP="002D5F61">
      <w:r w:rsidRPr="007B6266">
        <w:t>Marriott International has integrated mental health into its "TakeCare" programme to provide employees with tele-therapy and flexibility in their schedules. Evaluations of this programme suggest greater employee satisfaction, but little reduction in turnover</w:t>
      </w:r>
      <w:r w:rsidR="0000081D">
        <w:t xml:space="preserve">. </w:t>
      </w:r>
      <w:r w:rsidRPr="007B6266">
        <w:t xml:space="preserve">Hilton's Thrive Hilton programme also seeks to increase resilience, as well an offer peer support networks, but smaller operators have difficulty replicating this type of resource intensive programmes. Equally, smaller hotels, such as The Zetter Group (UK), have initiated mindfulness sessions and "check-in circles" at lower cost without major financial commitment, </w:t>
      </w:r>
      <w:r w:rsidR="0000081D" w:rsidRPr="007B6266">
        <w:t>to</w:t>
      </w:r>
      <w:r w:rsidRPr="007B6266">
        <w:t xml:space="preserve"> encourage a positive shift in culture. </w:t>
      </w:r>
    </w:p>
    <w:p w14:paraId="6ABD7E9D" w14:textId="3AF92E89" w:rsidR="007B6266" w:rsidRDefault="007B6266" w:rsidP="007B6266">
      <w:pPr>
        <w:pStyle w:val="Heading2"/>
      </w:pPr>
      <w:bookmarkStart w:id="18" w:name="_Toc212540587"/>
      <w:r w:rsidRPr="007B6266">
        <w:t>4.5 Judgement of Responses</w:t>
      </w:r>
      <w:bookmarkEnd w:id="18"/>
    </w:p>
    <w:p w14:paraId="2C419125" w14:textId="7AAA81CA" w:rsidR="007B6266" w:rsidRDefault="007B6266" w:rsidP="002D5F61">
      <w:r w:rsidRPr="007B6266">
        <w:t>Most programmes focus on individualised coping, such as yoga or counselling / psychotherapy, rather than institutional or systemic change</w:t>
      </w:r>
      <w:r w:rsidR="009061C1">
        <w:t xml:space="preserve"> (</w:t>
      </w:r>
      <w:r w:rsidR="009061C1" w:rsidRPr="009061C1">
        <w:t>Mann, 2025</w:t>
      </w:r>
      <w:r w:rsidR="009061C1">
        <w:t>)</w:t>
      </w:r>
      <w:r w:rsidR="009061C1" w:rsidRPr="009061C1">
        <w:t xml:space="preserve">. </w:t>
      </w:r>
      <w:r w:rsidRPr="007B6266">
        <w:t xml:space="preserve"> has cautioned that this sort of approach runs the risk of “responsibilising” employees (or rather, forcing them to frame mental health as a personal weakness). Making a sustainable impact in this domain will depend on shifting towards a more preventive management framework</w:t>
      </w:r>
      <w:r w:rsidR="00297E96">
        <w:t xml:space="preserve"> </w:t>
      </w:r>
      <w:r w:rsidRPr="007B6266">
        <w:t>reconstructing workloads, ensuring employees work predictable shifts, while providing training and support for leaders to demonstrate genuine empathy.</w:t>
      </w:r>
    </w:p>
    <w:p w14:paraId="35ACFB1C" w14:textId="33E229AB" w:rsidR="007B6266" w:rsidRDefault="007B6266" w:rsidP="007B6266">
      <w:pPr>
        <w:pStyle w:val="Heading2"/>
      </w:pPr>
      <w:bookmarkStart w:id="19" w:name="_Toc212540588"/>
      <w:r w:rsidRPr="007B6266">
        <w:t>4.6 Emerging Best Practice</w:t>
      </w:r>
      <w:bookmarkEnd w:id="19"/>
    </w:p>
    <w:p w14:paraId="52772112" w14:textId="4D6F6DE6" w:rsidR="007B6266" w:rsidRDefault="007B6266" w:rsidP="002D5F61">
      <w:r w:rsidRPr="007B6266">
        <w:t xml:space="preserve">Research suggests organisations that </w:t>
      </w:r>
      <w:r w:rsidR="00B357F5" w:rsidRPr="007B6266">
        <w:t>can</w:t>
      </w:r>
      <w:r w:rsidRPr="007B6266">
        <w:t xml:space="preserve"> incorporate psychological well-being into corporate governance practices outperform others. Accor is making strides in this area by incorporating mental health into corporate environmental, social, and governance (ESG) reporting. Their approach is precedent setting, as the incorporation in reports hold organisations accountable</w:t>
      </w:r>
      <w:r w:rsidR="0054401E">
        <w:t xml:space="preserve"> </w:t>
      </w:r>
      <w:r w:rsidR="00C444FD">
        <w:t>(</w:t>
      </w:r>
      <w:r w:rsidR="0054401E" w:rsidRPr="0054401E">
        <w:t>Parsa</w:t>
      </w:r>
      <w:r w:rsidR="00C444FD">
        <w:t xml:space="preserve"> et al.,</w:t>
      </w:r>
      <w:r w:rsidR="0054401E" w:rsidRPr="0054401E">
        <w:t xml:space="preserve"> 2021</w:t>
      </w:r>
      <w:r w:rsidR="00C444FD">
        <w:t>)</w:t>
      </w:r>
      <w:r w:rsidR="0054401E" w:rsidRPr="0054401E">
        <w:t xml:space="preserve">. </w:t>
      </w:r>
      <w:r w:rsidRPr="007B6266">
        <w:t xml:space="preserve">It is also important to promote relationships outside of the organisation with NGOs </w:t>
      </w:r>
      <w:r w:rsidRPr="007B6266">
        <w:lastRenderedPageBreak/>
        <w:t>focused on mental health, such as Hospitality Action (UK). Incorporating an external organisation into the strategy builds trust and provides confidentiality for employees (Hospitality Action, 2023).</w:t>
      </w:r>
    </w:p>
    <w:p w14:paraId="04FF45E2" w14:textId="6E4280DB" w:rsidR="007B6266" w:rsidRDefault="007B6266" w:rsidP="007B6266">
      <w:pPr>
        <w:pStyle w:val="Heading2"/>
      </w:pPr>
      <w:bookmarkStart w:id="20" w:name="_Toc212540589"/>
      <w:r w:rsidRPr="007B6266">
        <w:t>4.7 Limitations and Future Risks</w:t>
      </w:r>
      <w:bookmarkEnd w:id="20"/>
    </w:p>
    <w:p w14:paraId="3A6EF2B3" w14:textId="32E797A9" w:rsidR="007B6266" w:rsidRDefault="007B6266" w:rsidP="002D5F61">
      <w:r w:rsidRPr="007B6266">
        <w:t>There are continuing gaps in implementation, especially with SMEs, where financial barriers and cultural stigmas remain. Disruption from AI automation and gig work brings new forms of stress</w:t>
      </w:r>
      <w:r w:rsidR="00362FDC">
        <w:t xml:space="preserve"> </w:t>
      </w:r>
      <w:r w:rsidRPr="007B6266">
        <w:t>fear of diminished value and loss of identity (Ivanov &amp; Webster, 2019). Without policy intercession, the sector continues to threaten inequality and talent loss.</w:t>
      </w:r>
    </w:p>
    <w:p w14:paraId="6B9C731B" w14:textId="77777777" w:rsidR="009845E7" w:rsidRDefault="009845E7" w:rsidP="009845E7">
      <w:pPr>
        <w:pStyle w:val="Heading2"/>
      </w:pPr>
      <w:bookmarkStart w:id="21" w:name="_Toc212540590"/>
      <w:r w:rsidRPr="009845E7">
        <w:t>4.8 Synthesis</w:t>
      </w:r>
      <w:bookmarkEnd w:id="21"/>
    </w:p>
    <w:p w14:paraId="10B1AC09" w14:textId="0A1DD993" w:rsidR="009845E7" w:rsidRDefault="009845E7" w:rsidP="002D5F61">
      <w:r w:rsidRPr="009845E7">
        <w:t>the mental health crisis has significant organizational, human and financial implications. There is an increasing deinstitutional awareness and commitment to actions in the industry, however until actions to support well-being become an integrated strategic priority instead of recognized as an "add on," it will remain a piecemeal effort.</w:t>
      </w:r>
    </w:p>
    <w:p w14:paraId="14404EA7" w14:textId="77777777" w:rsidR="007B6266" w:rsidRDefault="007B6266">
      <w:pPr>
        <w:spacing w:after="160" w:line="278" w:lineRule="auto"/>
        <w:jc w:val="left"/>
      </w:pPr>
      <w:r>
        <w:br w:type="page"/>
      </w:r>
    </w:p>
    <w:p w14:paraId="7776FDA6" w14:textId="77777777" w:rsidR="007B6266" w:rsidRDefault="007B6266" w:rsidP="001E4DF0">
      <w:pPr>
        <w:pStyle w:val="Heading1"/>
      </w:pPr>
      <w:bookmarkStart w:id="22" w:name="_Toc212540591"/>
      <w:r w:rsidRPr="007B6266">
        <w:lastRenderedPageBreak/>
        <w:t>5. Conclusion</w:t>
      </w:r>
      <w:bookmarkEnd w:id="22"/>
    </w:p>
    <w:p w14:paraId="1B17FC78" w14:textId="00772FF2" w:rsidR="007B6266" w:rsidRDefault="007B6266" w:rsidP="002D5F61">
      <w:r w:rsidRPr="007B6266">
        <w:t>The issue with mental health in the hospitality sector is a systematic issue - it is attributed to extreme demands of the job, including emotional labour and lack of organisational support. While some global brands have begun implementing well-being initiatives, the solutions so far have been mostly reactive and based on individual responsibility. Using the JD-R model highlights that lasting solutions require demand-resource rebalancing through structural change, emotional leadership and organisational culture change. Engaging with mental health is more than an ethical imperative, it is also a strategic necessity for sustainability, retention and service in the post-pandemic hospitality sector.</w:t>
      </w:r>
    </w:p>
    <w:p w14:paraId="26674B3B" w14:textId="63BDEA47" w:rsidR="007B6266" w:rsidRDefault="007B6266">
      <w:pPr>
        <w:spacing w:after="160" w:line="278" w:lineRule="auto"/>
        <w:jc w:val="left"/>
      </w:pPr>
      <w:r>
        <w:br w:type="page"/>
      </w:r>
    </w:p>
    <w:p w14:paraId="7C614198" w14:textId="77777777" w:rsidR="00560571" w:rsidRDefault="0036207B" w:rsidP="001E4DF0">
      <w:pPr>
        <w:pStyle w:val="Heading1"/>
        <w:rPr>
          <w:rStyle w:val="Heading1Char"/>
          <w:b/>
        </w:rPr>
      </w:pPr>
      <w:bookmarkStart w:id="23" w:name="_Toc212540592"/>
      <w:r w:rsidRPr="001E4DF0">
        <w:rPr>
          <w:rStyle w:val="Heading1Char"/>
          <w:b/>
        </w:rPr>
        <w:lastRenderedPageBreak/>
        <w:t>6. Recommendations</w:t>
      </w:r>
      <w:bookmarkEnd w:id="23"/>
    </w:p>
    <w:p w14:paraId="3E995269" w14:textId="77777777" w:rsidR="00362FDC" w:rsidRDefault="00362FDC" w:rsidP="00362FDC">
      <w:pPr>
        <w:keepNext/>
        <w:jc w:val="center"/>
      </w:pPr>
      <w:r>
        <w:rPr>
          <w:noProof/>
        </w:rPr>
        <w:drawing>
          <wp:inline distT="0" distB="0" distL="0" distR="0" wp14:anchorId="6A3DFDDB" wp14:editId="3124A803">
            <wp:extent cx="3847514" cy="2461846"/>
            <wp:effectExtent l="0" t="0" r="0" b="15240"/>
            <wp:docPr id="3987586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FCA0E85" w14:textId="77777777" w:rsidR="00362FDC" w:rsidRPr="00362FDC" w:rsidRDefault="00362FDC" w:rsidP="00362FDC">
      <w:pPr>
        <w:pStyle w:val="Caption"/>
        <w:jc w:val="center"/>
        <w:rPr>
          <w:i w:val="0"/>
          <w:iCs w:val="0"/>
        </w:rPr>
      </w:pPr>
      <w:bookmarkStart w:id="24" w:name="_Toc212507198"/>
      <w:r w:rsidRPr="00362FDC">
        <w:rPr>
          <w:i w:val="0"/>
          <w:iCs w:val="0"/>
        </w:rPr>
        <w:t xml:space="preserve">Figure </w:t>
      </w:r>
      <w:r w:rsidRPr="00362FDC">
        <w:rPr>
          <w:i w:val="0"/>
          <w:iCs w:val="0"/>
        </w:rPr>
        <w:fldChar w:fldCharType="begin"/>
      </w:r>
      <w:r w:rsidRPr="00362FDC">
        <w:rPr>
          <w:i w:val="0"/>
          <w:iCs w:val="0"/>
        </w:rPr>
        <w:instrText xml:space="preserve"> SEQ Figure \* ARABIC </w:instrText>
      </w:r>
      <w:r w:rsidRPr="00362FDC">
        <w:rPr>
          <w:i w:val="0"/>
          <w:iCs w:val="0"/>
        </w:rPr>
        <w:fldChar w:fldCharType="separate"/>
      </w:r>
      <w:r w:rsidRPr="00362FDC">
        <w:rPr>
          <w:i w:val="0"/>
          <w:iCs w:val="0"/>
          <w:noProof/>
        </w:rPr>
        <w:t>4</w:t>
      </w:r>
      <w:r w:rsidRPr="00362FDC">
        <w:rPr>
          <w:i w:val="0"/>
          <w:iCs w:val="0"/>
        </w:rPr>
        <w:fldChar w:fldCharType="end"/>
      </w:r>
      <w:r w:rsidRPr="00362FDC">
        <w:rPr>
          <w:i w:val="0"/>
          <w:iCs w:val="0"/>
        </w:rPr>
        <w:t>: Recommendations</w:t>
      </w:r>
      <w:bookmarkEnd w:id="24"/>
    </w:p>
    <w:p w14:paraId="07D1A074" w14:textId="537F9027" w:rsidR="007B6266" w:rsidRPr="00362FDC" w:rsidRDefault="00362FDC" w:rsidP="00362FDC">
      <w:pPr>
        <w:pStyle w:val="Caption"/>
        <w:jc w:val="center"/>
        <w:rPr>
          <w:i w:val="0"/>
          <w:iCs w:val="0"/>
        </w:rPr>
      </w:pPr>
      <w:r w:rsidRPr="00362FDC">
        <w:rPr>
          <w:i w:val="0"/>
          <w:iCs w:val="0"/>
        </w:rPr>
        <w:t xml:space="preserve"> (Source: Author, 2025)</w:t>
      </w:r>
    </w:p>
    <w:p w14:paraId="7E034E5A" w14:textId="6D1F2780" w:rsidR="0036207B" w:rsidRDefault="0036207B" w:rsidP="002D5F61">
      <w:r w:rsidRPr="0036207B">
        <w:t>Addressing the deepening mental health crisis in the hospitality industry requires a coordinated, structural approach that embeds well-being into organisational culture, leadership practice, and policy frameworks. The following recommendations are based on research findings, theoretical insights, and observed best practices across leading hospitality brands</w:t>
      </w:r>
      <w:r w:rsidR="009B7A6F">
        <w:t xml:space="preserve"> (</w:t>
      </w:r>
      <w:r w:rsidR="009B7A6F" w:rsidRPr="009B7A6F">
        <w:t xml:space="preserve">Altinay and </w:t>
      </w:r>
      <w:r w:rsidR="00362FDC" w:rsidRPr="009B7A6F">
        <w:t>Taheri, 2019</w:t>
      </w:r>
      <w:r w:rsidR="009B7A6F">
        <w:t>)</w:t>
      </w:r>
      <w:r w:rsidR="009B7A6F" w:rsidRPr="009B7A6F">
        <w:t xml:space="preserve">. </w:t>
      </w:r>
    </w:p>
    <w:p w14:paraId="3D033CE3" w14:textId="77777777" w:rsidR="0036207B" w:rsidRPr="0036207B" w:rsidRDefault="0036207B" w:rsidP="002D5F61">
      <w:pPr>
        <w:rPr>
          <w:b/>
          <w:bCs/>
        </w:rPr>
      </w:pPr>
      <w:r w:rsidRPr="0036207B">
        <w:rPr>
          <w:b/>
          <w:bCs/>
        </w:rPr>
        <w:t>Embed Mental Health into Organisational Strategy</w:t>
      </w:r>
    </w:p>
    <w:p w14:paraId="209099C8" w14:textId="7EEAEE61" w:rsidR="0036207B" w:rsidRDefault="0036207B" w:rsidP="002D5F61">
      <w:r w:rsidRPr="0036207B">
        <w:t>Mental health should be treated as a strategic priority &amp; not an 'add-on'. Building well-being metrics into your corporate performance indicators at all hierarchies creates accountability</w:t>
      </w:r>
      <w:r w:rsidR="00872122">
        <w:t xml:space="preserve"> (</w:t>
      </w:r>
      <w:r w:rsidR="00872122" w:rsidRPr="00872122">
        <w:t xml:space="preserve">Singh, Chandra, and </w:t>
      </w:r>
      <w:r w:rsidR="00362FDC" w:rsidRPr="00872122">
        <w:t>Wombmates</w:t>
      </w:r>
      <w:r w:rsidR="00872122" w:rsidRPr="00872122">
        <w:t>, 2025</w:t>
      </w:r>
      <w:r w:rsidR="00872122">
        <w:t>)</w:t>
      </w:r>
      <w:r w:rsidR="00872122" w:rsidRPr="00872122">
        <w:t>.</w:t>
      </w:r>
      <w:r w:rsidR="00872122">
        <w:t xml:space="preserve"> </w:t>
      </w:r>
      <w:r w:rsidRPr="0036207B">
        <w:t xml:space="preserve">Adopting a structured approach to employee mental health compliance such as ISO 45003 - Psychological Health and Safety at Work, will assist businesses in also demonstrating good practice and provide an </w:t>
      </w:r>
      <w:r w:rsidR="00883B1A" w:rsidRPr="0036207B">
        <w:t>element of a standard</w:t>
      </w:r>
      <w:r w:rsidRPr="0036207B">
        <w:t>. Establishing annual mental health auditing across hotel chains will assess the industry's sincere approach to risks, identifying high-pressure departments, and measuring the impact of change over time. Embedding this approach within metrics around Environmental, Social, and Governance (ESG) models - like Accor International's approach to staff welfare aligned to sustainability policy, I believe is the right path to take.</w:t>
      </w:r>
    </w:p>
    <w:p w14:paraId="1DE40726" w14:textId="77777777" w:rsidR="00883B1A" w:rsidRPr="00883B1A" w:rsidRDefault="00883B1A" w:rsidP="00883B1A">
      <w:pPr>
        <w:rPr>
          <w:b/>
          <w:bCs/>
        </w:rPr>
      </w:pPr>
      <w:r w:rsidRPr="00883B1A">
        <w:rPr>
          <w:b/>
          <w:bCs/>
        </w:rPr>
        <w:t>Leadership Education and Mental Health Literacy.</w:t>
      </w:r>
    </w:p>
    <w:p w14:paraId="4FF30B1B" w14:textId="3CDDAD32" w:rsidR="00883B1A" w:rsidRDefault="00883B1A" w:rsidP="00883B1A">
      <w:r>
        <w:lastRenderedPageBreak/>
        <w:t>Managers are important in defining workplace health</w:t>
      </w:r>
      <w:r w:rsidR="005F2369">
        <w:t xml:space="preserve"> </w:t>
      </w:r>
      <w:r w:rsidR="00B142F2">
        <w:t>(</w:t>
      </w:r>
      <w:r w:rsidR="005F2369" w:rsidRPr="005F2369">
        <w:t>Sinclair</w:t>
      </w:r>
      <w:r w:rsidR="00B142F2">
        <w:t xml:space="preserve"> et al., </w:t>
      </w:r>
      <w:r w:rsidR="005F2369" w:rsidRPr="005F2369">
        <w:t xml:space="preserve">2020. </w:t>
      </w:r>
      <w:r>
        <w:t xml:space="preserve">Organisations must consequently introduce compulsory leadership development initiatives that concentrate on emotional intelligence, trauma-informed supervision as well as awareness of early signs of burnout. The leadership that is compassionate, which is empathetic, fair and open to communication, ought to be institutionalised in the terms of recruitment, performance appraisal and promotional terms. </w:t>
      </w:r>
    </w:p>
    <w:p w14:paraId="5B287243" w14:textId="77777777" w:rsidR="00883B1A" w:rsidRPr="00883B1A" w:rsidRDefault="00883B1A" w:rsidP="00883B1A">
      <w:pPr>
        <w:rPr>
          <w:b/>
          <w:bCs/>
        </w:rPr>
      </w:pPr>
      <w:r w:rsidRPr="00883B1A">
        <w:rPr>
          <w:b/>
          <w:bCs/>
        </w:rPr>
        <w:t>Reform of Policies and Structural Adjustments.</w:t>
      </w:r>
    </w:p>
    <w:p w14:paraId="77CD8532" w14:textId="5693A26A" w:rsidR="0036207B" w:rsidRDefault="00883B1A" w:rsidP="00883B1A">
      <w:r>
        <w:t>It is necessary to change practical policies to minimize chronic fatigue and emotional exhaustion</w:t>
      </w:r>
      <w:r w:rsidR="00D16439">
        <w:t xml:space="preserve"> (</w:t>
      </w:r>
      <w:r w:rsidR="00D16439" w:rsidRPr="00D16439">
        <w:t>Gonçalves</w:t>
      </w:r>
      <w:r w:rsidR="00D16439">
        <w:t xml:space="preserve"> </w:t>
      </w:r>
      <w:r w:rsidR="00D16439" w:rsidRPr="00D16439">
        <w:t>and Matos,</w:t>
      </w:r>
      <w:r w:rsidR="00D16439">
        <w:t xml:space="preserve"> </w:t>
      </w:r>
      <w:r w:rsidR="00D16439" w:rsidRPr="00D16439">
        <w:t>2025</w:t>
      </w:r>
      <w:r w:rsidR="00D16439">
        <w:t>)</w:t>
      </w:r>
      <w:r w:rsidR="00D16439" w:rsidRPr="00D16439">
        <w:t xml:space="preserve">. </w:t>
      </w:r>
      <w:r>
        <w:t>Hotels must implement sane working hours, foreseeable schedule, and find out alternative or condensed workweeks. Employees should be given an anonymous way of reporting so that they can feel confident to raise issues without being afraid of being punished</w:t>
      </w:r>
      <w:r w:rsidR="005E3B25">
        <w:t xml:space="preserve"> (</w:t>
      </w:r>
      <w:r w:rsidR="005E3B25" w:rsidRPr="005E3B25">
        <w:t>Ressler,</w:t>
      </w:r>
      <w:r w:rsidR="005E3B25">
        <w:t xml:space="preserve"> </w:t>
      </w:r>
      <w:r w:rsidR="005E3B25" w:rsidRPr="005E3B25">
        <w:t>2022</w:t>
      </w:r>
      <w:r w:rsidR="005E3B25">
        <w:t>)</w:t>
      </w:r>
      <w:r w:rsidR="005E3B25" w:rsidRPr="005E3B25">
        <w:t>.</w:t>
      </w:r>
      <w:r>
        <w:t xml:space="preserve"> Compliance and accountability can also be achieved by aligning workplace policies with national legislation on well-being (i.e. stress management standards) by the Health and Safety Executive (HSE) in the UK.</w:t>
      </w:r>
    </w:p>
    <w:p w14:paraId="7ED3B502" w14:textId="77777777" w:rsidR="00883B1A" w:rsidRPr="00883B1A" w:rsidRDefault="00883B1A" w:rsidP="00883B1A">
      <w:pPr>
        <w:rPr>
          <w:b/>
          <w:bCs/>
        </w:rPr>
      </w:pPr>
      <w:r w:rsidRPr="00883B1A">
        <w:rPr>
          <w:b/>
          <w:bCs/>
        </w:rPr>
        <w:t>Readily available Employee Support Systems.</w:t>
      </w:r>
    </w:p>
    <w:p w14:paraId="1AD4028B" w14:textId="3363301B" w:rsidR="00883B1A" w:rsidRDefault="00883B1A" w:rsidP="00883B1A">
      <w:r>
        <w:t>Extensive support services should be provided to every employee, casual workers, and also those on contracts</w:t>
      </w:r>
      <w:r w:rsidR="000C0C00">
        <w:t xml:space="preserve"> (</w:t>
      </w:r>
      <w:r w:rsidR="000C0C00" w:rsidRPr="000C0C00">
        <w:t>De Stefano</w:t>
      </w:r>
      <w:r w:rsidR="000C0C00">
        <w:t xml:space="preserve"> </w:t>
      </w:r>
      <w:r w:rsidR="000C0C00" w:rsidRPr="000C0C00">
        <w:t>and Aloisi,</w:t>
      </w:r>
      <w:r w:rsidR="000C0C00">
        <w:t xml:space="preserve"> </w:t>
      </w:r>
      <w:r w:rsidR="000C0C00" w:rsidRPr="000C0C00">
        <w:t>2019</w:t>
      </w:r>
      <w:r w:rsidR="000C0C00">
        <w:t>)</w:t>
      </w:r>
      <w:r w:rsidR="000C0C00" w:rsidRPr="000C0C00">
        <w:t xml:space="preserve">. </w:t>
      </w:r>
      <w:r>
        <w:t xml:space="preserve">The Confidential counselling, crisis response and debt management can be offered by expanding Employee Assistance Programmes (EAPs) and collaborating with local non-governmental organisations or mental health charities. </w:t>
      </w:r>
    </w:p>
    <w:p w14:paraId="0562333C" w14:textId="77777777" w:rsidR="00883B1A" w:rsidRDefault="00883B1A" w:rsidP="00883B1A">
      <w:r w:rsidRPr="00883B1A">
        <w:rPr>
          <w:b/>
          <w:bCs/>
        </w:rPr>
        <w:t>Enhance an Open and Inclusion Culture</w:t>
      </w:r>
      <w:r>
        <w:t>.</w:t>
      </w:r>
    </w:p>
    <w:p w14:paraId="23543C52" w14:textId="2F7A39FA" w:rsidR="00883B1A" w:rsidRDefault="00883B1A" w:rsidP="00883B1A">
      <w:r>
        <w:t>A solution relies on the breakdown of stigma and the normalization of mental health discussions. Openness can be achieved through awareness campaigns, peer support networks and visible role-modelling by senior leaders. Developing women, migrant workers and under-represented groups initiatives makes sure that the workforce is inclusive and equitable</w:t>
      </w:r>
      <w:r w:rsidR="006E2803">
        <w:t xml:space="preserve"> (</w:t>
      </w:r>
      <w:r w:rsidR="006E2803" w:rsidRPr="006E2803">
        <w:t>Noviski</w:t>
      </w:r>
      <w:r w:rsidR="006E2803">
        <w:t xml:space="preserve"> </w:t>
      </w:r>
      <w:r w:rsidR="006E2803" w:rsidRPr="006E2803">
        <w:t xml:space="preserve">and </w:t>
      </w:r>
      <w:r w:rsidR="00362FDC" w:rsidRPr="006E2803">
        <w:t>Noviski, 2021</w:t>
      </w:r>
      <w:r w:rsidR="006E2803">
        <w:t>)</w:t>
      </w:r>
      <w:r w:rsidR="006E2803" w:rsidRPr="006E2803">
        <w:t>. </w:t>
      </w:r>
    </w:p>
    <w:p w14:paraId="5D94BFEE" w14:textId="77777777" w:rsidR="00883B1A" w:rsidRPr="00883B1A" w:rsidRDefault="00883B1A" w:rsidP="00883B1A">
      <w:pPr>
        <w:rPr>
          <w:b/>
          <w:bCs/>
        </w:rPr>
      </w:pPr>
      <w:r w:rsidRPr="00883B1A">
        <w:rPr>
          <w:b/>
          <w:bCs/>
        </w:rPr>
        <w:t>Continuous Monitoring and Research.</w:t>
      </w:r>
    </w:p>
    <w:p w14:paraId="2E93EFFE" w14:textId="49C37807" w:rsidR="00883B1A" w:rsidRDefault="00883B1A" w:rsidP="00883B1A">
      <w:r>
        <w:t>Lastly, it is essential to continue the partnership between academia, industry and policy agencies to analyze the effects of interventions in the long term</w:t>
      </w:r>
      <w:r w:rsidR="00D0784F">
        <w:t xml:space="preserve"> </w:t>
      </w:r>
      <w:r w:rsidR="00B357F5">
        <w:t>(</w:t>
      </w:r>
      <w:r w:rsidR="00D0784F" w:rsidRPr="00D0784F">
        <w:t>Rossoni,</w:t>
      </w:r>
      <w:r w:rsidR="00B357F5">
        <w:t xml:space="preserve"> </w:t>
      </w:r>
      <w:r w:rsidR="00D0784F" w:rsidRPr="00D0784F">
        <w:t xml:space="preserve">de </w:t>
      </w:r>
      <w:r w:rsidR="00362FDC" w:rsidRPr="00D0784F">
        <w:t>Vasconcellos, and</w:t>
      </w:r>
      <w:r w:rsidR="00D0784F" w:rsidRPr="00D0784F">
        <w:t xml:space="preserve"> de Castilho </w:t>
      </w:r>
      <w:r w:rsidR="00D0784F" w:rsidRPr="00D0784F">
        <w:lastRenderedPageBreak/>
        <w:t>Rossoni,</w:t>
      </w:r>
      <w:r w:rsidR="00B357F5">
        <w:t xml:space="preserve"> </w:t>
      </w:r>
      <w:r w:rsidR="00D0784F" w:rsidRPr="00D0784F">
        <w:t>2024</w:t>
      </w:r>
      <w:r w:rsidR="00D0784F">
        <w:t>)</w:t>
      </w:r>
      <w:r w:rsidR="00D0784F" w:rsidRPr="00D0784F">
        <w:t xml:space="preserve">. </w:t>
      </w:r>
      <w:r>
        <w:t xml:space="preserve"> The annual survey of employees carried out anonymously and online feedback tools will help evaluate the progress and optimize the strategies.</w:t>
      </w:r>
    </w:p>
    <w:p w14:paraId="038552D1" w14:textId="2CC6D253" w:rsidR="00502981" w:rsidRDefault="00502981">
      <w:pPr>
        <w:spacing w:after="160" w:line="278" w:lineRule="auto"/>
        <w:jc w:val="left"/>
      </w:pPr>
      <w:r>
        <w:br w:type="page"/>
      </w:r>
    </w:p>
    <w:p w14:paraId="627F8F0B" w14:textId="047DB830" w:rsidR="00502981" w:rsidRDefault="00502981" w:rsidP="00502981">
      <w:pPr>
        <w:pStyle w:val="Heading1"/>
      </w:pPr>
      <w:bookmarkStart w:id="25" w:name="_Toc212540593"/>
      <w:r>
        <w:lastRenderedPageBreak/>
        <w:t>References</w:t>
      </w:r>
      <w:bookmarkEnd w:id="25"/>
    </w:p>
    <w:p w14:paraId="29E3FBB2" w14:textId="77777777" w:rsidR="00560571" w:rsidRDefault="00560571" w:rsidP="00560571">
      <w:r w:rsidRPr="009B7A6F">
        <w:t xml:space="preserve">Altinay, L. and Taheri, B., </w:t>
      </w:r>
      <w:r>
        <w:t>(</w:t>
      </w:r>
      <w:r w:rsidRPr="009B7A6F">
        <w:t>2019</w:t>
      </w:r>
      <w:r>
        <w:t>)</w:t>
      </w:r>
      <w:r w:rsidRPr="009B7A6F">
        <w:t>. Emerging themes and theories in the sharing economy: a critical note for hospitality and tourism. </w:t>
      </w:r>
      <w:r w:rsidRPr="00560571">
        <w:rPr>
          <w:i/>
          <w:iCs/>
        </w:rPr>
        <w:t>International journal of contemporary hospitality management</w:t>
      </w:r>
      <w:r w:rsidRPr="009B7A6F">
        <w:t>, </w:t>
      </w:r>
      <w:r w:rsidRPr="00560571">
        <w:rPr>
          <w:i/>
          <w:iCs/>
        </w:rPr>
        <w:t>31</w:t>
      </w:r>
      <w:r w:rsidRPr="009B7A6F">
        <w:t>(1), pp.180-193.</w:t>
      </w:r>
    </w:p>
    <w:p w14:paraId="2A3B9789" w14:textId="77777777" w:rsidR="00560571" w:rsidRDefault="00560571" w:rsidP="00560571">
      <w:r w:rsidRPr="002F457B">
        <w:t xml:space="preserve">Antica, B., </w:t>
      </w:r>
      <w:r>
        <w:t>(</w:t>
      </w:r>
      <w:r w:rsidRPr="002F457B">
        <w:t>2024</w:t>
      </w:r>
      <w:r>
        <w:t>)</w:t>
      </w:r>
      <w:r w:rsidRPr="002F457B">
        <w:t>. Values, skills and motivation: The hospitality symphony.</w:t>
      </w:r>
    </w:p>
    <w:p w14:paraId="4B311B44" w14:textId="77777777" w:rsidR="00560571" w:rsidRDefault="00560571" w:rsidP="00560571">
      <w:r w:rsidRPr="00563634">
        <w:t xml:space="preserve">Bakker, A.B. and De Vries, J.D., </w:t>
      </w:r>
      <w:r>
        <w:t>(</w:t>
      </w:r>
      <w:r w:rsidRPr="00563634">
        <w:t>2021</w:t>
      </w:r>
      <w:r>
        <w:t>)</w:t>
      </w:r>
      <w:r w:rsidRPr="00563634">
        <w:t>. Job Demands–Resources theory and self-regulation: New explanations and remedies for job burnout. </w:t>
      </w:r>
      <w:r w:rsidRPr="00560571">
        <w:rPr>
          <w:i/>
          <w:iCs/>
        </w:rPr>
        <w:t>Anxiety, stress, &amp; coping</w:t>
      </w:r>
      <w:r w:rsidRPr="00563634">
        <w:t>, </w:t>
      </w:r>
      <w:r w:rsidRPr="00560571">
        <w:rPr>
          <w:i/>
          <w:iCs/>
        </w:rPr>
        <w:t>34</w:t>
      </w:r>
      <w:r w:rsidRPr="00563634">
        <w:t>(1), pp.1-21.</w:t>
      </w:r>
    </w:p>
    <w:p w14:paraId="35EFD7E5" w14:textId="77777777" w:rsidR="00560571" w:rsidRDefault="00560571" w:rsidP="00560571">
      <w:r w:rsidRPr="00CB7A8E">
        <w:t xml:space="preserve">Byrne, D., </w:t>
      </w:r>
      <w:r>
        <w:t>(</w:t>
      </w:r>
      <w:r w:rsidRPr="00CB7A8E">
        <w:t>2022</w:t>
      </w:r>
      <w:r>
        <w:t>)</w:t>
      </w:r>
      <w:r w:rsidRPr="00CB7A8E">
        <w:t>. A worked example of Braun and Clarke’s approach to reflexive thematic analysis. </w:t>
      </w:r>
      <w:r w:rsidRPr="00560571">
        <w:rPr>
          <w:i/>
          <w:iCs/>
        </w:rPr>
        <w:t>Quality &amp; quantity</w:t>
      </w:r>
      <w:r w:rsidRPr="00CB7A8E">
        <w:t>, </w:t>
      </w:r>
      <w:r w:rsidRPr="00560571">
        <w:rPr>
          <w:i/>
          <w:iCs/>
        </w:rPr>
        <w:t>56</w:t>
      </w:r>
      <w:r w:rsidRPr="00CB7A8E">
        <w:t>(3), pp.1391-1412.</w:t>
      </w:r>
    </w:p>
    <w:p w14:paraId="4D3A3E03" w14:textId="77777777" w:rsidR="00560571" w:rsidRDefault="00560571" w:rsidP="00560571">
      <w:r w:rsidRPr="000C0C00">
        <w:t xml:space="preserve">De Stefano, V. and Aloisi, A., </w:t>
      </w:r>
      <w:r>
        <w:t>(</w:t>
      </w:r>
      <w:r w:rsidRPr="000C0C00">
        <w:t>2019</w:t>
      </w:r>
      <w:r>
        <w:t>)</w:t>
      </w:r>
      <w:r w:rsidRPr="000C0C00">
        <w:t>. Fundamental labour rights, platform work and human rights protection of non-standard workers. In </w:t>
      </w:r>
      <w:r w:rsidRPr="00560571">
        <w:rPr>
          <w:i/>
          <w:iCs/>
        </w:rPr>
        <w:t>Research handbook on labour, business and human rights law</w:t>
      </w:r>
      <w:r w:rsidRPr="000C0C00">
        <w:t> (pp. 359-379). Edward Elgar Publishing.</w:t>
      </w:r>
    </w:p>
    <w:p w14:paraId="4E69E06A" w14:textId="77777777" w:rsidR="00560571" w:rsidRDefault="00560571" w:rsidP="00560571">
      <w:r w:rsidRPr="00D16439">
        <w:t xml:space="preserve">Gonçalves, S. and Matos, R.S., </w:t>
      </w:r>
      <w:r>
        <w:t>(</w:t>
      </w:r>
      <w:r w:rsidRPr="00D16439">
        <w:t>2025</w:t>
      </w:r>
      <w:r>
        <w:t>)</w:t>
      </w:r>
      <w:r w:rsidRPr="00D16439">
        <w:t>. Understanding emotional fatigue: a systematic review of causes, consequences, and coping strategies. </w:t>
      </w:r>
      <w:r w:rsidRPr="00560571">
        <w:rPr>
          <w:i/>
          <w:iCs/>
        </w:rPr>
        <w:t>Enfermería Clínica (English Edition)</w:t>
      </w:r>
      <w:r w:rsidRPr="00D16439">
        <w:t>, p.502190.</w:t>
      </w:r>
    </w:p>
    <w:p w14:paraId="4ED32EDB" w14:textId="77777777" w:rsidR="00560571" w:rsidRDefault="00560571" w:rsidP="00560571">
      <w:r w:rsidRPr="00026D30">
        <w:t xml:space="preserve">Hennekam, S., Richard, S. and Grima, F., </w:t>
      </w:r>
      <w:r>
        <w:t>(</w:t>
      </w:r>
      <w:r w:rsidRPr="00026D30">
        <w:t>2020</w:t>
      </w:r>
      <w:r>
        <w:t>)</w:t>
      </w:r>
      <w:r w:rsidRPr="00026D30">
        <w:t>. Coping with mental health conditions at work and its impact on self-perceived job performance. </w:t>
      </w:r>
      <w:r w:rsidRPr="00560571">
        <w:rPr>
          <w:i/>
          <w:iCs/>
        </w:rPr>
        <w:t>Employee Relations: The International Journal</w:t>
      </w:r>
      <w:r w:rsidRPr="00026D30">
        <w:t>, </w:t>
      </w:r>
      <w:r w:rsidRPr="00560571">
        <w:rPr>
          <w:i/>
          <w:iCs/>
        </w:rPr>
        <w:t>42</w:t>
      </w:r>
      <w:r w:rsidRPr="00026D30">
        <w:t>(3), pp.626-645.</w:t>
      </w:r>
    </w:p>
    <w:p w14:paraId="16B95410" w14:textId="77777777" w:rsidR="00560571" w:rsidRDefault="00560571" w:rsidP="00560571">
      <w:r w:rsidRPr="004515BC">
        <w:t xml:space="preserve">Holmlund, L., Sandman, L., Hellman, T., Kwak, L. and Björk Brämberg, E., </w:t>
      </w:r>
      <w:r>
        <w:t>(</w:t>
      </w:r>
      <w:r w:rsidRPr="004515BC">
        <w:t>2023</w:t>
      </w:r>
      <w:r>
        <w:t>)</w:t>
      </w:r>
      <w:r w:rsidRPr="004515BC">
        <w:t>. Ethical aspects of the coordination of return-to-work among employees on sick leave due to common mental disorders: a qualitative study. </w:t>
      </w:r>
      <w:r w:rsidRPr="00560571">
        <w:rPr>
          <w:i/>
          <w:iCs/>
        </w:rPr>
        <w:t>Disability and Rehabilitation</w:t>
      </w:r>
      <w:r w:rsidRPr="004515BC">
        <w:t>, </w:t>
      </w:r>
      <w:r w:rsidRPr="00560571">
        <w:rPr>
          <w:i/>
          <w:iCs/>
        </w:rPr>
        <w:t>45</w:t>
      </w:r>
      <w:r w:rsidRPr="004515BC">
        <w:t>(13), pp.2118-2127.</w:t>
      </w:r>
    </w:p>
    <w:p w14:paraId="5EDAAEBF" w14:textId="77777777" w:rsidR="00560571" w:rsidRDefault="00560571" w:rsidP="00560571">
      <w:r w:rsidRPr="00E43727">
        <w:t xml:space="preserve">Kington, R.S., Arnesen, S., Chou, W.Y.S., Curry, S.J., Lazer, D. and Villarruel, A.M., </w:t>
      </w:r>
      <w:r>
        <w:t>(</w:t>
      </w:r>
      <w:r w:rsidRPr="00E43727">
        <w:t>2021</w:t>
      </w:r>
      <w:r>
        <w:t>)</w:t>
      </w:r>
      <w:r w:rsidRPr="00E43727">
        <w:t>. Identifying credible sources of health information in social media: principles and attributes. </w:t>
      </w:r>
      <w:r w:rsidRPr="00560571">
        <w:rPr>
          <w:i/>
          <w:iCs/>
        </w:rPr>
        <w:t>NAM perspectives</w:t>
      </w:r>
      <w:r w:rsidRPr="00E43727">
        <w:t>, </w:t>
      </w:r>
      <w:r w:rsidRPr="00560571">
        <w:rPr>
          <w:i/>
          <w:iCs/>
        </w:rPr>
        <w:t>2021</w:t>
      </w:r>
      <w:r w:rsidRPr="00E43727">
        <w:t>, pp.10-31478.</w:t>
      </w:r>
    </w:p>
    <w:p w14:paraId="066EB36D" w14:textId="77777777" w:rsidR="00560571" w:rsidRDefault="00560571" w:rsidP="00560571">
      <w:r w:rsidRPr="00707619">
        <w:t xml:space="preserve">Lippert, J., Rosing, H. and Tendick‐Matesanz, F., </w:t>
      </w:r>
      <w:r>
        <w:t>(</w:t>
      </w:r>
      <w:r w:rsidRPr="00707619">
        <w:t>2020</w:t>
      </w:r>
      <w:r>
        <w:t>)</w:t>
      </w:r>
      <w:r w:rsidRPr="00707619">
        <w:t>. The health of restaurant work: A historical and social context to the occupational health of food service. </w:t>
      </w:r>
      <w:r w:rsidRPr="00560571">
        <w:rPr>
          <w:i/>
          <w:iCs/>
        </w:rPr>
        <w:t>American journal of industrial medicine</w:t>
      </w:r>
      <w:r w:rsidRPr="00707619">
        <w:t>, </w:t>
      </w:r>
      <w:r w:rsidRPr="00560571">
        <w:rPr>
          <w:i/>
          <w:iCs/>
        </w:rPr>
        <w:t>63</w:t>
      </w:r>
      <w:r w:rsidRPr="00707619">
        <w:t>(7), pp.563-576.</w:t>
      </w:r>
    </w:p>
    <w:p w14:paraId="5FE60E80" w14:textId="77777777" w:rsidR="00560571" w:rsidRDefault="00560571" w:rsidP="00560571">
      <w:r w:rsidRPr="009061C1">
        <w:lastRenderedPageBreak/>
        <w:t xml:space="preserve">Mann, A.R., </w:t>
      </w:r>
      <w:r>
        <w:t>(</w:t>
      </w:r>
      <w:r w:rsidRPr="009061C1">
        <w:t>2025</w:t>
      </w:r>
      <w:r>
        <w:t>)</w:t>
      </w:r>
      <w:r w:rsidRPr="009061C1">
        <w:t>. Addressing the Mind, Body, and Soul: A Systematic Literature Review Investigating the Use of Yoga-Related Practices in Counselling Within Aotearoa/New Zealand.</w:t>
      </w:r>
    </w:p>
    <w:p w14:paraId="17C71D4B" w14:textId="77777777" w:rsidR="00560571" w:rsidRDefault="00560571" w:rsidP="00560571">
      <w:r w:rsidRPr="0000081D">
        <w:t xml:space="preserve">Mr, G., Ntayi, J.M., Balunywa, W. and Ahiauzu, A., </w:t>
      </w:r>
      <w:r>
        <w:t>(</w:t>
      </w:r>
      <w:r w:rsidRPr="0000081D">
        <w:t>2019</w:t>
      </w:r>
      <w:r>
        <w:t>)</w:t>
      </w:r>
      <w:r w:rsidRPr="0000081D">
        <w:t>. Organizational virtuousness: The customers’ perspective. </w:t>
      </w:r>
      <w:r w:rsidRPr="00560571">
        <w:rPr>
          <w:i/>
          <w:iCs/>
        </w:rPr>
        <w:t>African Social Science Review</w:t>
      </w:r>
      <w:r w:rsidRPr="0000081D">
        <w:t>, </w:t>
      </w:r>
      <w:r w:rsidRPr="00560571">
        <w:rPr>
          <w:i/>
          <w:iCs/>
        </w:rPr>
        <w:t>10</w:t>
      </w:r>
      <w:r w:rsidRPr="0000081D">
        <w:t>(1), p.6.</w:t>
      </w:r>
    </w:p>
    <w:p w14:paraId="4CBB8316" w14:textId="77777777" w:rsidR="00560571" w:rsidRDefault="00560571" w:rsidP="00560571">
      <w:r w:rsidRPr="004A7A1C">
        <w:t xml:space="preserve">Muchiri, C.T., </w:t>
      </w:r>
      <w:r>
        <w:t>(</w:t>
      </w:r>
      <w:r w:rsidRPr="004A7A1C">
        <w:t>2022</w:t>
      </w:r>
      <w:r>
        <w:t>)</w:t>
      </w:r>
      <w:r w:rsidRPr="004A7A1C">
        <w:t>. Effects of work stress on service delivery, productivity, service quality and corporate image in Kenya Disciplined Services. </w:t>
      </w:r>
      <w:r w:rsidRPr="00560571">
        <w:rPr>
          <w:i/>
          <w:iCs/>
        </w:rPr>
        <w:t>Reviewed Journal International of Business Management</w:t>
      </w:r>
      <w:r w:rsidRPr="004A7A1C">
        <w:t>, </w:t>
      </w:r>
      <w:r w:rsidRPr="00560571">
        <w:rPr>
          <w:i/>
          <w:iCs/>
        </w:rPr>
        <w:t>3</w:t>
      </w:r>
      <w:r w:rsidRPr="004A7A1C">
        <w:t>(1), pp.38-52.</w:t>
      </w:r>
    </w:p>
    <w:p w14:paraId="50A0CFB6" w14:textId="77777777" w:rsidR="00560571" w:rsidRDefault="00560571" w:rsidP="00560571">
      <w:r w:rsidRPr="000C72E3">
        <w:t xml:space="preserve">Ngcobo, N.F., Chiwawa, N. and Wissink, H., </w:t>
      </w:r>
      <w:r>
        <w:t>(</w:t>
      </w:r>
      <w:r w:rsidRPr="000C72E3">
        <w:t>2022</w:t>
      </w:r>
      <w:r>
        <w:t>)</w:t>
      </w:r>
      <w:r w:rsidRPr="000C72E3">
        <w:t>. Emotional labour: The effects of genuine acting on employee performance in the service industry. </w:t>
      </w:r>
      <w:r w:rsidRPr="00560571">
        <w:rPr>
          <w:i/>
          <w:iCs/>
        </w:rPr>
        <w:t>SA Journal of Human Resource Management</w:t>
      </w:r>
      <w:r w:rsidRPr="000C72E3">
        <w:t>, </w:t>
      </w:r>
      <w:r w:rsidRPr="00560571">
        <w:rPr>
          <w:i/>
          <w:iCs/>
        </w:rPr>
        <w:t>20</w:t>
      </w:r>
      <w:r w:rsidRPr="000C72E3">
        <w:t>, p.8.</w:t>
      </w:r>
    </w:p>
    <w:p w14:paraId="444D6876" w14:textId="77777777" w:rsidR="00560571" w:rsidRDefault="00560571" w:rsidP="00560571">
      <w:r w:rsidRPr="006E2803">
        <w:t xml:space="preserve">Noviski, M. and Noviski, M., </w:t>
      </w:r>
      <w:r>
        <w:t>(</w:t>
      </w:r>
      <w:r w:rsidRPr="006E2803">
        <w:t>2021</w:t>
      </w:r>
      <w:r>
        <w:t>)</w:t>
      </w:r>
      <w:r w:rsidRPr="006E2803">
        <w:t>. </w:t>
      </w:r>
      <w:r w:rsidRPr="00560571">
        <w:rPr>
          <w:i/>
          <w:iCs/>
        </w:rPr>
        <w:t>Supporting Women and Under-Represented Minorities in the Sciences: Implementing Equitable Approaches to Organizational Change</w:t>
      </w:r>
      <w:r w:rsidRPr="006E2803">
        <w:t>. US Department of Commerce, National Institute of Standards and Technology.</w:t>
      </w:r>
    </w:p>
    <w:p w14:paraId="68AD4D8F" w14:textId="77777777" w:rsidR="00560571" w:rsidRDefault="00560571" w:rsidP="00560571">
      <w:r w:rsidRPr="00D625BC">
        <w:rPr>
          <w:lang w:val="it-IT"/>
        </w:rPr>
        <w:t xml:space="preserve">Parsa, S., Dai, N., Belal, A., Li, T. and Tang, G., (2021). </w:t>
      </w:r>
      <w:r w:rsidRPr="0054401E">
        <w:t>Corporate social responsibility reporting in China: Political, social and corporate influences. </w:t>
      </w:r>
      <w:r w:rsidRPr="00560571">
        <w:rPr>
          <w:i/>
          <w:iCs/>
        </w:rPr>
        <w:t>Accounting and Business Research</w:t>
      </w:r>
      <w:r w:rsidRPr="0054401E">
        <w:t>, </w:t>
      </w:r>
      <w:r w:rsidRPr="00560571">
        <w:rPr>
          <w:i/>
          <w:iCs/>
        </w:rPr>
        <w:t>51</w:t>
      </w:r>
      <w:r w:rsidRPr="0054401E">
        <w:t>(1), pp.36-64.</w:t>
      </w:r>
    </w:p>
    <w:p w14:paraId="5B8546DB" w14:textId="77777777" w:rsidR="00560571" w:rsidRPr="00D625BC" w:rsidRDefault="00560571" w:rsidP="00560571">
      <w:pPr>
        <w:rPr>
          <w:lang w:val="pt-BR"/>
        </w:rPr>
      </w:pPr>
      <w:r w:rsidRPr="005E3B25">
        <w:t xml:space="preserve">Ressler, J.S., </w:t>
      </w:r>
      <w:r>
        <w:t>(</w:t>
      </w:r>
      <w:r w:rsidRPr="005E3B25">
        <w:t>2022</w:t>
      </w:r>
      <w:r>
        <w:t>)</w:t>
      </w:r>
      <w:r w:rsidRPr="005E3B25">
        <w:t>. Workplace Anonymity. </w:t>
      </w:r>
      <w:r w:rsidRPr="00D625BC">
        <w:rPr>
          <w:i/>
          <w:iCs/>
          <w:lang w:val="pt-BR"/>
        </w:rPr>
        <w:t>Buff. L. Rev.</w:t>
      </w:r>
      <w:r w:rsidRPr="00D625BC">
        <w:rPr>
          <w:lang w:val="pt-BR"/>
        </w:rPr>
        <w:t>, </w:t>
      </w:r>
      <w:r w:rsidRPr="00D625BC">
        <w:rPr>
          <w:i/>
          <w:iCs/>
          <w:lang w:val="pt-BR"/>
        </w:rPr>
        <w:t>70</w:t>
      </w:r>
      <w:r w:rsidRPr="00D625BC">
        <w:rPr>
          <w:lang w:val="pt-BR"/>
        </w:rPr>
        <w:t>, p.1495.</w:t>
      </w:r>
    </w:p>
    <w:p w14:paraId="22FC2C95" w14:textId="77777777" w:rsidR="00560571" w:rsidRDefault="00560571" w:rsidP="00560571">
      <w:r w:rsidRPr="00D625BC">
        <w:rPr>
          <w:lang w:val="pt-BR"/>
        </w:rPr>
        <w:t xml:space="preserve">Rossoni, A.L., de Vasconcellos, E.P.G. and de Castilho Rossoni, R.L., (2024). </w:t>
      </w:r>
      <w:r w:rsidRPr="00D0784F">
        <w:t>Barriers and facilitators of university-industry collaboration for research, development and innovation: a systematic review. </w:t>
      </w:r>
      <w:r w:rsidRPr="00560571">
        <w:rPr>
          <w:i/>
          <w:iCs/>
        </w:rPr>
        <w:t>Management Review Quarterly</w:t>
      </w:r>
      <w:r w:rsidRPr="00D0784F">
        <w:t>, </w:t>
      </w:r>
      <w:r w:rsidRPr="00560571">
        <w:rPr>
          <w:i/>
          <w:iCs/>
        </w:rPr>
        <w:t>74</w:t>
      </w:r>
      <w:r w:rsidRPr="00D0784F">
        <w:t>(3), pp.1841-1877.</w:t>
      </w:r>
    </w:p>
    <w:p w14:paraId="3F470E9F" w14:textId="77777777" w:rsidR="00560571" w:rsidRDefault="00560571" w:rsidP="00560571">
      <w:r w:rsidRPr="003F704E">
        <w:t xml:space="preserve">Sidhu, R. and Ishikawa, M., </w:t>
      </w:r>
      <w:r>
        <w:t>(</w:t>
      </w:r>
      <w:r w:rsidRPr="003F704E">
        <w:t>2022</w:t>
      </w:r>
      <w:r>
        <w:t>)</w:t>
      </w:r>
      <w:r w:rsidRPr="003F704E">
        <w:t>. Destined for Asia: hospitality and emotions in international student mobilities. </w:t>
      </w:r>
      <w:r w:rsidRPr="00560571">
        <w:rPr>
          <w:i/>
          <w:iCs/>
        </w:rPr>
        <w:t>Compare: A Journal of Comparative and International Education</w:t>
      </w:r>
      <w:r w:rsidRPr="003F704E">
        <w:t>, </w:t>
      </w:r>
      <w:r w:rsidRPr="00560571">
        <w:rPr>
          <w:i/>
          <w:iCs/>
        </w:rPr>
        <w:t>52</w:t>
      </w:r>
      <w:r w:rsidRPr="003F704E">
        <w:t>(3), pp.399-417.</w:t>
      </w:r>
    </w:p>
    <w:p w14:paraId="2408AFF9" w14:textId="77777777" w:rsidR="00560571" w:rsidRDefault="00560571" w:rsidP="00560571">
      <w:r w:rsidRPr="005F2369">
        <w:t xml:space="preserve">Sinclair, R.R., Allen, T., Barber, L., Bergman, M., Britt, T., Butler, A., Ford, M., Hammer, L., Kath, L., Probst, T. and Yuan, Z., </w:t>
      </w:r>
      <w:r>
        <w:t>(</w:t>
      </w:r>
      <w:r w:rsidRPr="005F2369">
        <w:t>2020</w:t>
      </w:r>
      <w:r>
        <w:t>)</w:t>
      </w:r>
      <w:r w:rsidRPr="005F2369">
        <w:t>. Occupational health science in the time of COVID-19: Now more than ever. </w:t>
      </w:r>
      <w:r w:rsidRPr="00560571">
        <w:rPr>
          <w:i/>
          <w:iCs/>
        </w:rPr>
        <w:t>Occupational health science</w:t>
      </w:r>
      <w:r w:rsidRPr="005F2369">
        <w:t>, </w:t>
      </w:r>
      <w:r w:rsidRPr="00560571">
        <w:rPr>
          <w:i/>
          <w:iCs/>
        </w:rPr>
        <w:t>4</w:t>
      </w:r>
      <w:r w:rsidRPr="005F2369">
        <w:t>(1), pp.1-22.</w:t>
      </w:r>
    </w:p>
    <w:p w14:paraId="7C539E7F" w14:textId="77777777" w:rsidR="00560571" w:rsidRDefault="00560571" w:rsidP="00560571">
      <w:r w:rsidRPr="00872122">
        <w:lastRenderedPageBreak/>
        <w:t xml:space="preserve">Singh, B., Chandra, S. and Wongmahesak, K., </w:t>
      </w:r>
      <w:r>
        <w:t>(</w:t>
      </w:r>
      <w:r w:rsidRPr="00872122">
        <w:t>2025</w:t>
      </w:r>
      <w:r>
        <w:t>)</w:t>
      </w:r>
      <w:r w:rsidRPr="00872122">
        <w:t>. Prioritizing Employee Psychological Well-Being: A Practical Guide to Organizational Sustainability. In </w:t>
      </w:r>
      <w:r w:rsidRPr="00560571">
        <w:rPr>
          <w:i/>
          <w:iCs/>
        </w:rPr>
        <w:t>Prioritizing Employee Mental Health and Well-Being for Organizational Success</w:t>
      </w:r>
      <w:r w:rsidRPr="00872122">
        <w:t> (pp. 55-72). IGI Global Scientific Publishing.</w:t>
      </w:r>
    </w:p>
    <w:p w14:paraId="2EF4736F" w14:textId="77777777" w:rsidR="00560571" w:rsidRDefault="00560571" w:rsidP="00560571">
      <w:r w:rsidRPr="0069615B">
        <w:t xml:space="preserve">Stuber, F., Seifried-Dübon, T., Rieger, M.A., Gündel, H., Ruhle, S., Zipfel, S. and Junne, F., </w:t>
      </w:r>
      <w:r>
        <w:t>(</w:t>
      </w:r>
      <w:r w:rsidRPr="0069615B">
        <w:t>2021</w:t>
      </w:r>
      <w:r>
        <w:t>)</w:t>
      </w:r>
      <w:r w:rsidRPr="0069615B">
        <w:t>. The effectiveness of health-oriented leadership interventions for the improvement of mental health of employees in the health care sector: a systematic review. </w:t>
      </w:r>
      <w:r w:rsidRPr="00560571">
        <w:rPr>
          <w:i/>
          <w:iCs/>
        </w:rPr>
        <w:t>International archives of occupational and environmental health</w:t>
      </w:r>
      <w:r w:rsidRPr="0069615B">
        <w:t>, </w:t>
      </w:r>
      <w:r w:rsidRPr="00560571">
        <w:rPr>
          <w:i/>
          <w:iCs/>
        </w:rPr>
        <w:t>94</w:t>
      </w:r>
      <w:r w:rsidRPr="0069615B">
        <w:t>(2), pp.203-220.</w:t>
      </w:r>
    </w:p>
    <w:p w14:paraId="72FD488E" w14:textId="77777777" w:rsidR="00560571" w:rsidRDefault="00560571" w:rsidP="00560571">
      <w:r w:rsidRPr="00542B51">
        <w:t xml:space="preserve">Tausch, A., e Souza, R.O., Viciana, C.M., Cayetano, C., Barbosa, J. and Hennis, A.J., </w:t>
      </w:r>
      <w:r>
        <w:t>(</w:t>
      </w:r>
      <w:r w:rsidRPr="00542B51">
        <w:t>2022</w:t>
      </w:r>
      <w:r>
        <w:t>)</w:t>
      </w:r>
      <w:r w:rsidRPr="00542B51">
        <w:t>. Strengthening mental health responses to COVID-19 in the Americas: A health policy analysis and recommendations. </w:t>
      </w:r>
      <w:r w:rsidRPr="00560571">
        <w:rPr>
          <w:i/>
          <w:iCs/>
        </w:rPr>
        <w:t>The Lancet Regional Health–Americas</w:t>
      </w:r>
      <w:r w:rsidRPr="00542B51">
        <w:t>, </w:t>
      </w:r>
      <w:r w:rsidRPr="00560571">
        <w:rPr>
          <w:i/>
          <w:iCs/>
        </w:rPr>
        <w:t>5</w:t>
      </w:r>
      <w:r w:rsidRPr="00542B51">
        <w:t>.</w:t>
      </w:r>
    </w:p>
    <w:p w14:paraId="79D56A9D" w14:textId="77777777" w:rsidR="00560571" w:rsidRDefault="00560571" w:rsidP="00560571">
      <w:r w:rsidRPr="006C191B">
        <w:t xml:space="preserve">Underdown, K.O., McCabe, C.L. and McCabe, M.F., </w:t>
      </w:r>
      <w:r>
        <w:t>(</w:t>
      </w:r>
      <w:r w:rsidRPr="006C191B">
        <w:t>2022</w:t>
      </w:r>
      <w:r>
        <w:t>)</w:t>
      </w:r>
      <w:r w:rsidRPr="006C191B">
        <w:t>. Creating and maintaining balance: Work-life balance, self-care, and mindfulness. In </w:t>
      </w:r>
      <w:r w:rsidRPr="00560571">
        <w:rPr>
          <w:i/>
          <w:iCs/>
        </w:rPr>
        <w:t>Handbook of research on future of work and education: implications for curriculum delivery and work design</w:t>
      </w:r>
      <w:r w:rsidRPr="006C191B">
        <w:t> (pp. 533-545). IGI Global Scientific Publishing.</w:t>
      </w:r>
    </w:p>
    <w:p w14:paraId="0B681322" w14:textId="77777777" w:rsidR="00560571" w:rsidRDefault="00560571" w:rsidP="00560571">
      <w:r w:rsidRPr="00502981">
        <w:t xml:space="preserve">Vashdi, D.R., Katz–Navon, T. and Delegach, M., </w:t>
      </w:r>
      <w:r>
        <w:t>(</w:t>
      </w:r>
      <w:r w:rsidRPr="00502981">
        <w:t>2022</w:t>
      </w:r>
      <w:r>
        <w:t>)</w:t>
      </w:r>
      <w:r w:rsidRPr="00502981">
        <w:t>. Service priority climate and service performance among hospitality employees: the role of emotional labor and workload pressure. </w:t>
      </w:r>
      <w:r w:rsidRPr="00560571">
        <w:rPr>
          <w:i/>
          <w:iCs/>
        </w:rPr>
        <w:t>Cornell Hospitality Quarterly</w:t>
      </w:r>
      <w:r w:rsidRPr="00502981">
        <w:t>, </w:t>
      </w:r>
      <w:r w:rsidRPr="00560571">
        <w:rPr>
          <w:i/>
          <w:iCs/>
        </w:rPr>
        <w:t>63</w:t>
      </w:r>
      <w:r w:rsidRPr="00502981">
        <w:t>(4), pp.504-518.</w:t>
      </w:r>
    </w:p>
    <w:p w14:paraId="32B2A9D6" w14:textId="77777777" w:rsidR="00560571" w:rsidRDefault="00560571" w:rsidP="00560571">
      <w:r w:rsidRPr="007000D4">
        <w:t xml:space="preserve">Wankhede, M. and Sharma, K., </w:t>
      </w:r>
      <w:r>
        <w:t>(</w:t>
      </w:r>
      <w:r w:rsidRPr="007000D4">
        <w:t>2025</w:t>
      </w:r>
      <w:r>
        <w:t>)</w:t>
      </w:r>
      <w:r w:rsidRPr="007000D4">
        <w:t>. Leadership challenges to re-establish office culture Post-COVID-19. In </w:t>
      </w:r>
      <w:r w:rsidRPr="00560571">
        <w:rPr>
          <w:i/>
          <w:iCs/>
        </w:rPr>
        <w:t>Conflict Prevention and Peace Management</w:t>
      </w:r>
      <w:r w:rsidRPr="007000D4">
        <w:t> (pp. 55-68). Emerald Publishing Limited.</w:t>
      </w:r>
    </w:p>
    <w:p w14:paraId="34AF3444" w14:textId="77777777" w:rsidR="002D5F61" w:rsidRPr="006D498C" w:rsidRDefault="002D5F61" w:rsidP="002D5F61">
      <w:pPr>
        <w:rPr>
          <w:lang w:val="en-US"/>
        </w:rPr>
      </w:pPr>
    </w:p>
    <w:p w14:paraId="6C5661DF" w14:textId="77777777" w:rsidR="002D5F61" w:rsidRDefault="002D5F61" w:rsidP="004334F4"/>
    <w:p w14:paraId="11FE3CF2" w14:textId="77777777" w:rsidR="004334F4" w:rsidRPr="004334F4" w:rsidRDefault="004334F4" w:rsidP="004334F4">
      <w:pPr>
        <w:rPr>
          <w:lang w:val="en-US"/>
        </w:rPr>
      </w:pPr>
    </w:p>
    <w:p w14:paraId="25EF08EB" w14:textId="77777777" w:rsidR="004334F4" w:rsidRPr="006265A4" w:rsidRDefault="004334F4" w:rsidP="006265A4"/>
    <w:sectPr w:rsidR="004334F4" w:rsidRPr="006265A4">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22F58" w14:textId="77777777" w:rsidR="008A4703" w:rsidRDefault="008A4703" w:rsidP="00883B1A">
      <w:pPr>
        <w:spacing w:after="0" w:line="240" w:lineRule="auto"/>
      </w:pPr>
      <w:r>
        <w:separator/>
      </w:r>
    </w:p>
  </w:endnote>
  <w:endnote w:type="continuationSeparator" w:id="0">
    <w:p w14:paraId="35D035A0" w14:textId="77777777" w:rsidR="008A4703" w:rsidRDefault="008A4703" w:rsidP="00883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76777"/>
      <w:docPartObj>
        <w:docPartGallery w:val="Page Numbers (Bottom of Page)"/>
        <w:docPartUnique/>
      </w:docPartObj>
    </w:sdtPr>
    <w:sdtEndPr>
      <w:rPr>
        <w:noProof/>
      </w:rPr>
    </w:sdtEndPr>
    <w:sdtContent>
      <w:p w14:paraId="3E932E68" w14:textId="0A1626CE" w:rsidR="003904CF" w:rsidRDefault="003904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2050D7" w14:textId="77777777" w:rsidR="00883B1A" w:rsidRDefault="00883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585FD" w14:textId="77777777" w:rsidR="008A4703" w:rsidRDefault="008A4703" w:rsidP="00883B1A">
      <w:pPr>
        <w:spacing w:after="0" w:line="240" w:lineRule="auto"/>
      </w:pPr>
      <w:r>
        <w:separator/>
      </w:r>
    </w:p>
  </w:footnote>
  <w:footnote w:type="continuationSeparator" w:id="0">
    <w:p w14:paraId="577BF156" w14:textId="77777777" w:rsidR="008A4703" w:rsidRDefault="008A4703" w:rsidP="00883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75AF7"/>
    <w:multiLevelType w:val="hybridMultilevel"/>
    <w:tmpl w:val="05FE1C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1102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5A4"/>
    <w:rsid w:val="0000081D"/>
    <w:rsid w:val="00001218"/>
    <w:rsid w:val="000215A7"/>
    <w:rsid w:val="00026D30"/>
    <w:rsid w:val="0005486C"/>
    <w:rsid w:val="0009402B"/>
    <w:rsid w:val="000A35FB"/>
    <w:rsid w:val="000C0C00"/>
    <w:rsid w:val="000C72E3"/>
    <w:rsid w:val="000F2F3C"/>
    <w:rsid w:val="00101093"/>
    <w:rsid w:val="00151A15"/>
    <w:rsid w:val="00151B08"/>
    <w:rsid w:val="00187C82"/>
    <w:rsid w:val="001E4DF0"/>
    <w:rsid w:val="001F3C63"/>
    <w:rsid w:val="002523DA"/>
    <w:rsid w:val="002747E7"/>
    <w:rsid w:val="00296E38"/>
    <w:rsid w:val="00297E96"/>
    <w:rsid w:val="002C6039"/>
    <w:rsid w:val="002D5F61"/>
    <w:rsid w:val="002F457B"/>
    <w:rsid w:val="002F5C62"/>
    <w:rsid w:val="002F77C9"/>
    <w:rsid w:val="00313833"/>
    <w:rsid w:val="0032627F"/>
    <w:rsid w:val="0036207B"/>
    <w:rsid w:val="00362FDC"/>
    <w:rsid w:val="00370EBA"/>
    <w:rsid w:val="003904CF"/>
    <w:rsid w:val="003E787A"/>
    <w:rsid w:val="003F704E"/>
    <w:rsid w:val="004334F4"/>
    <w:rsid w:val="004515BC"/>
    <w:rsid w:val="00453A69"/>
    <w:rsid w:val="00454DE6"/>
    <w:rsid w:val="004A7A1C"/>
    <w:rsid w:val="004D1751"/>
    <w:rsid w:val="004E397F"/>
    <w:rsid w:val="004E7F3B"/>
    <w:rsid w:val="00502981"/>
    <w:rsid w:val="00542B51"/>
    <w:rsid w:val="0054401E"/>
    <w:rsid w:val="00560571"/>
    <w:rsid w:val="00563634"/>
    <w:rsid w:val="00566A41"/>
    <w:rsid w:val="005C7D94"/>
    <w:rsid w:val="005E3B25"/>
    <w:rsid w:val="005E7FE3"/>
    <w:rsid w:val="005F2369"/>
    <w:rsid w:val="005F72E3"/>
    <w:rsid w:val="00624FB9"/>
    <w:rsid w:val="006265A4"/>
    <w:rsid w:val="00641CA8"/>
    <w:rsid w:val="00681A06"/>
    <w:rsid w:val="00692F82"/>
    <w:rsid w:val="0069615B"/>
    <w:rsid w:val="006C191B"/>
    <w:rsid w:val="006D498C"/>
    <w:rsid w:val="006E2803"/>
    <w:rsid w:val="007000D4"/>
    <w:rsid w:val="00706578"/>
    <w:rsid w:val="00707619"/>
    <w:rsid w:val="00717B4E"/>
    <w:rsid w:val="007B1705"/>
    <w:rsid w:val="007B6266"/>
    <w:rsid w:val="007C5C34"/>
    <w:rsid w:val="00834A03"/>
    <w:rsid w:val="00850EAA"/>
    <w:rsid w:val="00855B78"/>
    <w:rsid w:val="00861AD7"/>
    <w:rsid w:val="00872122"/>
    <w:rsid w:val="00883B1A"/>
    <w:rsid w:val="008A4703"/>
    <w:rsid w:val="008E0802"/>
    <w:rsid w:val="009061C1"/>
    <w:rsid w:val="00972F8B"/>
    <w:rsid w:val="009845E7"/>
    <w:rsid w:val="009914F0"/>
    <w:rsid w:val="009B7A6F"/>
    <w:rsid w:val="009F39E3"/>
    <w:rsid w:val="00A52488"/>
    <w:rsid w:val="00A84FAE"/>
    <w:rsid w:val="00AB4E51"/>
    <w:rsid w:val="00B142F2"/>
    <w:rsid w:val="00B357F5"/>
    <w:rsid w:val="00BB6EBB"/>
    <w:rsid w:val="00BC1B20"/>
    <w:rsid w:val="00BE7473"/>
    <w:rsid w:val="00C27F8C"/>
    <w:rsid w:val="00C444FD"/>
    <w:rsid w:val="00C457AE"/>
    <w:rsid w:val="00CA65EB"/>
    <w:rsid w:val="00CB7A8E"/>
    <w:rsid w:val="00CE52E7"/>
    <w:rsid w:val="00D0784F"/>
    <w:rsid w:val="00D16439"/>
    <w:rsid w:val="00D41A07"/>
    <w:rsid w:val="00D625BC"/>
    <w:rsid w:val="00DA1DE2"/>
    <w:rsid w:val="00E21CB9"/>
    <w:rsid w:val="00E22387"/>
    <w:rsid w:val="00E43727"/>
    <w:rsid w:val="00E672B4"/>
    <w:rsid w:val="00E712F0"/>
    <w:rsid w:val="00E74C47"/>
    <w:rsid w:val="00E93DAE"/>
    <w:rsid w:val="00F62B78"/>
    <w:rsid w:val="00F6733B"/>
    <w:rsid w:val="00FA1F84"/>
    <w:rsid w:val="00FA4C22"/>
    <w:rsid w:val="00FA67A8"/>
    <w:rsid w:val="00FD04AF"/>
    <w:rsid w:val="00FE452A"/>
    <w:rsid w:val="00FF12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8292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7AE"/>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C457AE"/>
    <w:pPr>
      <w:keepNext/>
      <w:keepLines/>
      <w:spacing w:before="240" w:after="0"/>
      <w:outlineLvl w:val="0"/>
    </w:pPr>
    <w:rPr>
      <w:rFonts w:eastAsiaTheme="majorEastAsia" w:cstheme="majorBidi"/>
      <w:b/>
      <w:color w:val="0D0D0D" w:themeColor="text1" w:themeTint="F2"/>
      <w:kern w:val="2"/>
      <w:sz w:val="36"/>
      <w:szCs w:val="32"/>
      <w:lang w:val="en-US"/>
      <w14:ligatures w14:val="standardContextual"/>
    </w:rPr>
  </w:style>
  <w:style w:type="paragraph" w:styleId="Heading2">
    <w:name w:val="heading 2"/>
    <w:basedOn w:val="Normal"/>
    <w:next w:val="Normal"/>
    <w:link w:val="Heading2Char"/>
    <w:uiPriority w:val="9"/>
    <w:unhideWhenUsed/>
    <w:qFormat/>
    <w:rsid w:val="00DA1DE2"/>
    <w:pPr>
      <w:keepNext/>
      <w:keepLines/>
      <w:spacing w:before="40" w:after="0"/>
      <w:outlineLvl w:val="1"/>
    </w:pPr>
    <w:rPr>
      <w:rFonts w:eastAsiaTheme="majorEastAsia" w:cstheme="majorBidi"/>
      <w:b/>
      <w:color w:val="0D0D0D" w:themeColor="text1" w:themeTint="F2"/>
      <w:kern w:val="2"/>
      <w:sz w:val="32"/>
      <w:szCs w:val="26"/>
      <w:lang w:val="en-US"/>
      <w14:ligatures w14:val="standardContextual"/>
    </w:rPr>
  </w:style>
  <w:style w:type="paragraph" w:styleId="Heading3">
    <w:name w:val="heading 3"/>
    <w:basedOn w:val="Normal"/>
    <w:next w:val="Normal"/>
    <w:link w:val="Heading3Char"/>
    <w:uiPriority w:val="9"/>
    <w:semiHidden/>
    <w:unhideWhenUsed/>
    <w:qFormat/>
    <w:rsid w:val="006265A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5A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265A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265A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65A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65A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65A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7AE"/>
    <w:rPr>
      <w:rFonts w:ascii="Times New Roman" w:eastAsiaTheme="majorEastAsia" w:hAnsi="Times New Roman" w:cstheme="majorBidi"/>
      <w:b/>
      <w:color w:val="0D0D0D" w:themeColor="text1" w:themeTint="F2"/>
      <w:sz w:val="36"/>
      <w:szCs w:val="32"/>
    </w:rPr>
  </w:style>
  <w:style w:type="character" w:customStyle="1" w:styleId="Heading2Char">
    <w:name w:val="Heading 2 Char"/>
    <w:basedOn w:val="DefaultParagraphFont"/>
    <w:link w:val="Heading2"/>
    <w:uiPriority w:val="9"/>
    <w:rsid w:val="00DA1DE2"/>
    <w:rPr>
      <w:rFonts w:ascii="Times New Roman" w:eastAsiaTheme="majorEastAsia" w:hAnsi="Times New Roman" w:cstheme="majorBidi"/>
      <w:b/>
      <w:color w:val="0D0D0D" w:themeColor="text1" w:themeTint="F2"/>
      <w:sz w:val="32"/>
      <w:szCs w:val="26"/>
    </w:rPr>
  </w:style>
  <w:style w:type="paragraph" w:styleId="Title">
    <w:name w:val="Title"/>
    <w:basedOn w:val="Normal"/>
    <w:next w:val="Normal"/>
    <w:link w:val="TitleChar"/>
    <w:uiPriority w:val="10"/>
    <w:qFormat/>
    <w:rsid w:val="00454DE6"/>
    <w:pPr>
      <w:spacing w:after="8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54DE6"/>
    <w:rPr>
      <w:rFonts w:ascii="Times New Roman" w:eastAsiaTheme="majorEastAsia" w:hAnsi="Times New Roman" w:cstheme="majorBidi"/>
      <w:b/>
      <w:spacing w:val="-10"/>
      <w:kern w:val="28"/>
      <w:sz w:val="56"/>
      <w:szCs w:val="56"/>
      <w:lang w:val="en-GB"/>
      <w14:ligatures w14:val="none"/>
    </w:rPr>
  </w:style>
  <w:style w:type="character" w:customStyle="1" w:styleId="Heading3Char">
    <w:name w:val="Heading 3 Char"/>
    <w:basedOn w:val="DefaultParagraphFont"/>
    <w:link w:val="Heading3"/>
    <w:uiPriority w:val="9"/>
    <w:semiHidden/>
    <w:rsid w:val="006265A4"/>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6265A4"/>
    <w:rPr>
      <w:rFonts w:eastAsiaTheme="majorEastAsia" w:cstheme="majorBidi"/>
      <w:i/>
      <w:iCs/>
      <w:color w:val="0F4761"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6265A4"/>
    <w:rPr>
      <w:rFonts w:eastAsiaTheme="majorEastAsia"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6265A4"/>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6265A4"/>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6265A4"/>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6265A4"/>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6265A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5A4"/>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265A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65A4"/>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6265A4"/>
    <w:pPr>
      <w:ind w:left="720"/>
      <w:contextualSpacing/>
    </w:pPr>
  </w:style>
  <w:style w:type="character" w:styleId="IntenseEmphasis">
    <w:name w:val="Intense Emphasis"/>
    <w:basedOn w:val="DefaultParagraphFont"/>
    <w:uiPriority w:val="21"/>
    <w:qFormat/>
    <w:rsid w:val="006265A4"/>
    <w:rPr>
      <w:i/>
      <w:iCs/>
      <w:color w:val="0F4761" w:themeColor="accent1" w:themeShade="BF"/>
    </w:rPr>
  </w:style>
  <w:style w:type="paragraph" w:styleId="IntenseQuote">
    <w:name w:val="Intense Quote"/>
    <w:basedOn w:val="Normal"/>
    <w:next w:val="Normal"/>
    <w:link w:val="IntenseQuoteChar"/>
    <w:uiPriority w:val="30"/>
    <w:qFormat/>
    <w:rsid w:val="006265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5A4"/>
    <w:rPr>
      <w:rFonts w:ascii="Times New Roman" w:hAnsi="Times New Roman"/>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6265A4"/>
    <w:rPr>
      <w:b/>
      <w:bCs/>
      <w:smallCaps/>
      <w:color w:val="0F4761" w:themeColor="accent1" w:themeShade="BF"/>
      <w:spacing w:val="5"/>
    </w:rPr>
  </w:style>
  <w:style w:type="paragraph" w:styleId="Header">
    <w:name w:val="header"/>
    <w:basedOn w:val="Normal"/>
    <w:link w:val="HeaderChar"/>
    <w:uiPriority w:val="99"/>
    <w:unhideWhenUsed/>
    <w:rsid w:val="00883B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3B1A"/>
    <w:rPr>
      <w:rFonts w:ascii="Times New Roman" w:hAnsi="Times New Roman"/>
      <w:kern w:val="0"/>
      <w:szCs w:val="22"/>
      <w:lang w:val="en-GB"/>
      <w14:ligatures w14:val="none"/>
    </w:rPr>
  </w:style>
  <w:style w:type="paragraph" w:styleId="Footer">
    <w:name w:val="footer"/>
    <w:basedOn w:val="Normal"/>
    <w:link w:val="FooterChar"/>
    <w:uiPriority w:val="99"/>
    <w:unhideWhenUsed/>
    <w:rsid w:val="00883B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3B1A"/>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1E4DF0"/>
    <w:pPr>
      <w:spacing w:line="259" w:lineRule="auto"/>
      <w:jc w:val="left"/>
      <w:outlineLvl w:val="9"/>
    </w:pPr>
    <w:rPr>
      <w:rFonts w:asciiTheme="majorHAnsi" w:hAnsiTheme="majorHAnsi"/>
      <w:b w:val="0"/>
      <w:color w:val="0F4761" w:themeColor="accent1" w:themeShade="BF"/>
      <w:kern w:val="0"/>
      <w:sz w:val="32"/>
      <w14:ligatures w14:val="none"/>
    </w:rPr>
  </w:style>
  <w:style w:type="paragraph" w:styleId="TOC1">
    <w:name w:val="toc 1"/>
    <w:basedOn w:val="Normal"/>
    <w:next w:val="Normal"/>
    <w:autoRedefine/>
    <w:uiPriority w:val="39"/>
    <w:unhideWhenUsed/>
    <w:rsid w:val="001E4DF0"/>
    <w:pPr>
      <w:spacing w:after="100"/>
    </w:pPr>
  </w:style>
  <w:style w:type="paragraph" w:styleId="TOC2">
    <w:name w:val="toc 2"/>
    <w:basedOn w:val="Normal"/>
    <w:next w:val="Normal"/>
    <w:autoRedefine/>
    <w:uiPriority w:val="39"/>
    <w:unhideWhenUsed/>
    <w:rsid w:val="001E4DF0"/>
    <w:pPr>
      <w:spacing w:after="100"/>
      <w:ind w:left="240"/>
    </w:pPr>
  </w:style>
  <w:style w:type="character" w:styleId="Hyperlink">
    <w:name w:val="Hyperlink"/>
    <w:basedOn w:val="DefaultParagraphFont"/>
    <w:uiPriority w:val="99"/>
    <w:unhideWhenUsed/>
    <w:rsid w:val="001E4DF0"/>
    <w:rPr>
      <w:color w:val="467886" w:themeColor="hyperlink"/>
      <w:u w:val="single"/>
    </w:rPr>
  </w:style>
  <w:style w:type="paragraph" w:styleId="Caption">
    <w:name w:val="caption"/>
    <w:basedOn w:val="Normal"/>
    <w:next w:val="Normal"/>
    <w:uiPriority w:val="35"/>
    <w:unhideWhenUsed/>
    <w:qFormat/>
    <w:rsid w:val="00BB6EBB"/>
    <w:pPr>
      <w:spacing w:line="240" w:lineRule="auto"/>
    </w:pPr>
    <w:rPr>
      <w:i/>
      <w:iCs/>
      <w:color w:val="0E2841" w:themeColor="text2"/>
      <w:sz w:val="18"/>
      <w:szCs w:val="18"/>
    </w:rPr>
  </w:style>
  <w:style w:type="paragraph" w:styleId="TableofFigures">
    <w:name w:val="table of figures"/>
    <w:basedOn w:val="Normal"/>
    <w:next w:val="Normal"/>
    <w:uiPriority w:val="99"/>
    <w:unhideWhenUsed/>
    <w:rsid w:val="00A84FA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BFA6F4-12ED-4BD8-A4FD-8282D97576B7}" type="doc">
      <dgm:prSet loTypeId="urn:microsoft.com/office/officeart/2005/8/layout/radial6" loCatId="cycle" qsTypeId="urn:microsoft.com/office/officeart/2005/8/quickstyle/simple5" qsCatId="simple" csTypeId="urn:microsoft.com/office/officeart/2005/8/colors/colorful2" csCatId="colorful" phldr="1"/>
      <dgm:spPr/>
      <dgm:t>
        <a:bodyPr/>
        <a:lstStyle/>
        <a:p>
          <a:endParaRPr lang="en-US"/>
        </a:p>
      </dgm:t>
    </dgm:pt>
    <dgm:pt modelId="{1C978F8A-78EA-444C-BDA0-742DB18E8C37}">
      <dgm:prSet phldrT="[Text]"/>
      <dgm:spPr/>
      <dgm:t>
        <a:bodyPr/>
        <a:lstStyle/>
        <a:p>
          <a:pPr algn="ctr">
            <a:buNone/>
          </a:pPr>
          <a:r>
            <a:rPr lang="en-US" b="1">
              <a:latin typeface="Times New Roman" panose="02020603050405020304" pitchFamily="18" charset="0"/>
              <a:cs typeface="Times New Roman" panose="02020603050405020304" pitchFamily="18" charset="0"/>
            </a:rPr>
            <a:t>Literature Review</a:t>
          </a:r>
          <a:endParaRPr lang="en-US">
            <a:latin typeface="Times New Roman" panose="02020603050405020304" pitchFamily="18" charset="0"/>
            <a:cs typeface="Times New Roman" panose="02020603050405020304" pitchFamily="18" charset="0"/>
          </a:endParaRPr>
        </a:p>
      </dgm:t>
    </dgm:pt>
    <dgm:pt modelId="{975D4C8F-1405-4674-B314-B3B4F917EED9}" type="parTrans" cxnId="{4DE87EFF-4EB3-42F0-8D53-68FE513EBF69}">
      <dgm:prSet/>
      <dgm:spPr/>
      <dgm:t>
        <a:bodyPr/>
        <a:lstStyle/>
        <a:p>
          <a:pPr algn="ctr"/>
          <a:endParaRPr lang="en-US"/>
        </a:p>
      </dgm:t>
    </dgm:pt>
    <dgm:pt modelId="{E665EB70-AF4E-4B4D-8F53-2F238E1777A9}" type="sibTrans" cxnId="{4DE87EFF-4EB3-42F0-8D53-68FE513EBF69}">
      <dgm:prSet/>
      <dgm:spPr/>
      <dgm:t>
        <a:bodyPr/>
        <a:lstStyle/>
        <a:p>
          <a:pPr algn="ctr"/>
          <a:endParaRPr lang="en-US"/>
        </a:p>
      </dgm:t>
    </dgm:pt>
    <dgm:pt modelId="{2A3EB672-BA10-4E32-99D6-2A420ECBEB36}">
      <dgm:prSet phldrT="[Text]"/>
      <dgm:spPr/>
      <dgm:t>
        <a:bodyPr/>
        <a:lstStyle/>
        <a:p>
          <a:pPr algn="ctr">
            <a:buNone/>
          </a:pPr>
          <a:r>
            <a:rPr lang="en-GB">
              <a:latin typeface="Times New Roman" panose="02020603050405020304" pitchFamily="18" charset="0"/>
              <a:cs typeface="Times New Roman" panose="02020603050405020304" pitchFamily="18" charset="0"/>
            </a:rPr>
            <a:t>The Structural Roots of the Crisis</a:t>
          </a:r>
          <a:endParaRPr lang="en-US">
            <a:latin typeface="Times New Roman" panose="02020603050405020304" pitchFamily="18" charset="0"/>
            <a:cs typeface="Times New Roman" panose="02020603050405020304" pitchFamily="18" charset="0"/>
          </a:endParaRPr>
        </a:p>
      </dgm:t>
    </dgm:pt>
    <dgm:pt modelId="{C36B7B94-24D9-4346-B0CB-D9A7F2A0D1D7}" type="parTrans" cxnId="{9C63AC4E-E3B9-4233-9A11-A293ED194DE5}">
      <dgm:prSet/>
      <dgm:spPr/>
      <dgm:t>
        <a:bodyPr/>
        <a:lstStyle/>
        <a:p>
          <a:pPr algn="ctr"/>
          <a:endParaRPr lang="en-US"/>
        </a:p>
      </dgm:t>
    </dgm:pt>
    <dgm:pt modelId="{3E0FB80E-C663-496C-A27A-6400D4171C46}" type="sibTrans" cxnId="{9C63AC4E-E3B9-4233-9A11-A293ED194DE5}">
      <dgm:prSet/>
      <dgm:spPr/>
      <dgm:t>
        <a:bodyPr/>
        <a:lstStyle/>
        <a:p>
          <a:pPr algn="ctr"/>
          <a:endParaRPr lang="en-US"/>
        </a:p>
      </dgm:t>
    </dgm:pt>
    <dgm:pt modelId="{A0E6564C-26DA-43C2-8C7A-E56762B8D5D3}">
      <dgm:prSet phldrT="[Text]"/>
      <dgm:spPr/>
      <dgm:t>
        <a:bodyPr/>
        <a:lstStyle/>
        <a:p>
          <a:pPr algn="ctr">
            <a:buNone/>
          </a:pPr>
          <a:r>
            <a:rPr lang="en-GB">
              <a:latin typeface="Times New Roman" panose="02020603050405020304" pitchFamily="18" charset="0"/>
              <a:cs typeface="Times New Roman" panose="02020603050405020304" pitchFamily="18" charset="0"/>
            </a:rPr>
            <a:t>The Pandemic as a Catalyst</a:t>
          </a:r>
          <a:endParaRPr lang="en-US">
            <a:latin typeface="Times New Roman" panose="02020603050405020304" pitchFamily="18" charset="0"/>
            <a:cs typeface="Times New Roman" panose="02020603050405020304" pitchFamily="18" charset="0"/>
          </a:endParaRPr>
        </a:p>
      </dgm:t>
    </dgm:pt>
    <dgm:pt modelId="{FCE27FAE-86FF-40A9-B564-859FB288D052}" type="parTrans" cxnId="{5404B58C-85CB-49B4-AEE9-8B0B343E0C1F}">
      <dgm:prSet/>
      <dgm:spPr/>
      <dgm:t>
        <a:bodyPr/>
        <a:lstStyle/>
        <a:p>
          <a:pPr algn="ctr"/>
          <a:endParaRPr lang="en-US"/>
        </a:p>
      </dgm:t>
    </dgm:pt>
    <dgm:pt modelId="{616FEDFA-E55E-448A-8F60-0896ABED3B8C}" type="sibTrans" cxnId="{5404B58C-85CB-49B4-AEE9-8B0B343E0C1F}">
      <dgm:prSet/>
      <dgm:spPr/>
      <dgm:t>
        <a:bodyPr/>
        <a:lstStyle/>
        <a:p>
          <a:pPr algn="ctr"/>
          <a:endParaRPr lang="en-US"/>
        </a:p>
      </dgm:t>
    </dgm:pt>
    <dgm:pt modelId="{F7A87593-19A5-4D9E-B338-546570EB4EE9}">
      <dgm:prSet phldrT="[Text]"/>
      <dgm:spPr/>
      <dgm:t>
        <a:bodyPr/>
        <a:lstStyle/>
        <a:p>
          <a:pPr algn="ctr">
            <a:buNone/>
          </a:pPr>
          <a:r>
            <a:rPr lang="en-GB">
              <a:latin typeface="Times New Roman" panose="02020603050405020304" pitchFamily="18" charset="0"/>
              <a:cs typeface="Times New Roman" panose="02020603050405020304" pitchFamily="18" charset="0"/>
            </a:rPr>
            <a:t>Stigma, Silence, and Culture in Organisations</a:t>
          </a:r>
          <a:endParaRPr lang="en-US">
            <a:latin typeface="Times New Roman" panose="02020603050405020304" pitchFamily="18" charset="0"/>
            <a:cs typeface="Times New Roman" panose="02020603050405020304" pitchFamily="18" charset="0"/>
          </a:endParaRPr>
        </a:p>
      </dgm:t>
    </dgm:pt>
    <dgm:pt modelId="{76B90D96-6B6B-405E-96B8-FF7962E0F9AD}" type="parTrans" cxnId="{52D6A912-176C-43C8-8408-0FA0CA42AD6B}">
      <dgm:prSet/>
      <dgm:spPr/>
      <dgm:t>
        <a:bodyPr/>
        <a:lstStyle/>
        <a:p>
          <a:pPr algn="ctr"/>
          <a:endParaRPr lang="en-US"/>
        </a:p>
      </dgm:t>
    </dgm:pt>
    <dgm:pt modelId="{2C6BA3BD-1240-4473-AC71-A260A07CCF3F}" type="sibTrans" cxnId="{52D6A912-176C-43C8-8408-0FA0CA42AD6B}">
      <dgm:prSet/>
      <dgm:spPr/>
      <dgm:t>
        <a:bodyPr/>
        <a:lstStyle/>
        <a:p>
          <a:pPr algn="ctr"/>
          <a:endParaRPr lang="en-US"/>
        </a:p>
      </dgm:t>
    </dgm:pt>
    <dgm:pt modelId="{CE3090B5-A21E-4250-880B-3214EFE65210}">
      <dgm:prSet phldrT="[Text]"/>
      <dgm:spPr/>
      <dgm:t>
        <a:bodyPr/>
        <a:lstStyle/>
        <a:p>
          <a:pPr algn="ctr">
            <a:buNone/>
          </a:pPr>
          <a:r>
            <a:rPr lang="en-GB">
              <a:latin typeface="Times New Roman" panose="02020603050405020304" pitchFamily="18" charset="0"/>
              <a:cs typeface="Times New Roman" panose="02020603050405020304" pitchFamily="18" charset="0"/>
            </a:rPr>
            <a:t>Leadership and Managerial Influence</a:t>
          </a:r>
          <a:endParaRPr lang="en-US">
            <a:latin typeface="Times New Roman" panose="02020603050405020304" pitchFamily="18" charset="0"/>
            <a:cs typeface="Times New Roman" panose="02020603050405020304" pitchFamily="18" charset="0"/>
          </a:endParaRPr>
        </a:p>
      </dgm:t>
    </dgm:pt>
    <dgm:pt modelId="{92A47D16-2513-4152-BDA5-F6A54B2CE247}" type="parTrans" cxnId="{78841EA2-3051-4D98-B93A-ED3F8796B48E}">
      <dgm:prSet/>
      <dgm:spPr/>
      <dgm:t>
        <a:bodyPr/>
        <a:lstStyle/>
        <a:p>
          <a:pPr algn="ctr"/>
          <a:endParaRPr lang="en-US"/>
        </a:p>
      </dgm:t>
    </dgm:pt>
    <dgm:pt modelId="{A9679902-A2AC-4F8A-9228-D86CB9A37FAD}" type="sibTrans" cxnId="{78841EA2-3051-4D98-B93A-ED3F8796B48E}">
      <dgm:prSet/>
      <dgm:spPr/>
      <dgm:t>
        <a:bodyPr/>
        <a:lstStyle/>
        <a:p>
          <a:pPr algn="ctr"/>
          <a:endParaRPr lang="en-US"/>
        </a:p>
      </dgm:t>
    </dgm:pt>
    <dgm:pt modelId="{288BBC8E-E6E7-45C7-A4FE-52CD59BF626F}">
      <dgm:prSet/>
      <dgm:spPr/>
      <dgm:t>
        <a:bodyPr/>
        <a:lstStyle/>
        <a:p>
          <a:endParaRPr lang="en-IN"/>
        </a:p>
      </dgm:t>
    </dgm:pt>
    <dgm:pt modelId="{BEFAFB08-C29E-45BF-9449-164319FFA739}" type="parTrans" cxnId="{748E8064-D4AB-4C19-8778-5E2182BDF9A3}">
      <dgm:prSet/>
      <dgm:spPr/>
      <dgm:t>
        <a:bodyPr/>
        <a:lstStyle/>
        <a:p>
          <a:pPr algn="ctr"/>
          <a:endParaRPr lang="en-US"/>
        </a:p>
      </dgm:t>
    </dgm:pt>
    <dgm:pt modelId="{BC1AE0AB-8DD4-44A4-9470-06583850C8C6}" type="sibTrans" cxnId="{748E8064-D4AB-4C19-8778-5E2182BDF9A3}">
      <dgm:prSet/>
      <dgm:spPr/>
      <dgm:t>
        <a:bodyPr/>
        <a:lstStyle/>
        <a:p>
          <a:pPr algn="ctr"/>
          <a:endParaRPr lang="en-US"/>
        </a:p>
      </dgm:t>
    </dgm:pt>
    <dgm:pt modelId="{6E5D941F-1160-40AA-9214-8EF4A2E747AD}">
      <dgm:prSet/>
      <dgm:spPr/>
      <dgm:t>
        <a:bodyPr/>
        <a:lstStyle/>
        <a:p>
          <a:pPr algn="ctr">
            <a:buNone/>
          </a:pPr>
          <a:r>
            <a:rPr lang="en-GB">
              <a:latin typeface="Times New Roman" panose="02020603050405020304" pitchFamily="18" charset="0"/>
              <a:cs typeface="Times New Roman" panose="02020603050405020304" pitchFamily="18" charset="0"/>
            </a:rPr>
            <a:t>Gender, Diversity, and Intersectional Effects </a:t>
          </a:r>
          <a:endParaRPr lang="en-US">
            <a:latin typeface="Times New Roman" panose="02020603050405020304" pitchFamily="18" charset="0"/>
            <a:cs typeface="Times New Roman" panose="02020603050405020304" pitchFamily="18" charset="0"/>
          </a:endParaRPr>
        </a:p>
      </dgm:t>
    </dgm:pt>
    <dgm:pt modelId="{D1F39EC9-9CAD-4438-86E9-961386CFA49A}" type="parTrans" cxnId="{F9496058-0CF2-466D-8BCD-E50723222F48}">
      <dgm:prSet/>
      <dgm:spPr/>
      <dgm:t>
        <a:bodyPr/>
        <a:lstStyle/>
        <a:p>
          <a:pPr algn="ctr"/>
          <a:endParaRPr lang="en-US"/>
        </a:p>
      </dgm:t>
    </dgm:pt>
    <dgm:pt modelId="{3EC45692-4A1B-4F5F-A2C2-BCBB25AA8149}" type="sibTrans" cxnId="{F9496058-0CF2-466D-8BCD-E50723222F48}">
      <dgm:prSet/>
      <dgm:spPr/>
      <dgm:t>
        <a:bodyPr/>
        <a:lstStyle/>
        <a:p>
          <a:pPr algn="ctr"/>
          <a:endParaRPr lang="en-US"/>
        </a:p>
      </dgm:t>
    </dgm:pt>
    <dgm:pt modelId="{422F02E5-B21B-496D-984D-F7079B97CA9D}">
      <dgm:prSet/>
      <dgm:spPr/>
      <dgm:t>
        <a:bodyPr/>
        <a:lstStyle/>
        <a:p>
          <a:pPr algn="ctr">
            <a:buNone/>
          </a:pPr>
          <a:r>
            <a:rPr lang="en-GB">
              <a:latin typeface="Times New Roman" panose="02020603050405020304" pitchFamily="18" charset="0"/>
              <a:cs typeface="Times New Roman" panose="02020603050405020304" pitchFamily="18" charset="0"/>
            </a:rPr>
            <a:t>Industry Responses</a:t>
          </a:r>
          <a:endParaRPr lang="en-US">
            <a:latin typeface="Times New Roman" panose="02020603050405020304" pitchFamily="18" charset="0"/>
            <a:cs typeface="Times New Roman" panose="02020603050405020304" pitchFamily="18" charset="0"/>
          </a:endParaRPr>
        </a:p>
      </dgm:t>
    </dgm:pt>
    <dgm:pt modelId="{366FBFB7-2A23-4250-9603-CBB687BC73B6}" type="parTrans" cxnId="{4BDCB375-4B5E-4279-BEF8-34557AD2BF74}">
      <dgm:prSet/>
      <dgm:spPr/>
      <dgm:t>
        <a:bodyPr/>
        <a:lstStyle/>
        <a:p>
          <a:pPr algn="ctr"/>
          <a:endParaRPr lang="en-US"/>
        </a:p>
      </dgm:t>
    </dgm:pt>
    <dgm:pt modelId="{737A5C8D-E454-4C45-B0BD-875646BDEC02}" type="sibTrans" cxnId="{4BDCB375-4B5E-4279-BEF8-34557AD2BF74}">
      <dgm:prSet/>
      <dgm:spPr/>
      <dgm:t>
        <a:bodyPr/>
        <a:lstStyle/>
        <a:p>
          <a:pPr algn="ctr"/>
          <a:endParaRPr lang="en-US"/>
        </a:p>
      </dgm:t>
    </dgm:pt>
    <dgm:pt modelId="{DA794F56-56D0-4E81-8687-2C3CFAF543F9}">
      <dgm:prSet/>
      <dgm:spPr/>
      <dgm:t>
        <a:bodyPr/>
        <a:lstStyle/>
        <a:p>
          <a:pPr algn="ctr">
            <a:buNone/>
          </a:pPr>
          <a:r>
            <a:rPr lang="en-GB">
              <a:latin typeface="Times New Roman" panose="02020603050405020304" pitchFamily="18" charset="0"/>
              <a:cs typeface="Times New Roman" panose="02020603050405020304" pitchFamily="18" charset="0"/>
            </a:rPr>
            <a:t>Summary </a:t>
          </a:r>
          <a:endParaRPr lang="en-US">
            <a:latin typeface="Times New Roman" panose="02020603050405020304" pitchFamily="18" charset="0"/>
            <a:cs typeface="Times New Roman" panose="02020603050405020304" pitchFamily="18" charset="0"/>
          </a:endParaRPr>
        </a:p>
      </dgm:t>
    </dgm:pt>
    <dgm:pt modelId="{97701A67-A4BF-4209-AE24-6CA879433D1A}" type="parTrans" cxnId="{2DD3B5AF-A811-4673-8FC1-140D040D35CD}">
      <dgm:prSet/>
      <dgm:spPr/>
      <dgm:t>
        <a:bodyPr/>
        <a:lstStyle/>
        <a:p>
          <a:pPr algn="ctr"/>
          <a:endParaRPr lang="en-US"/>
        </a:p>
      </dgm:t>
    </dgm:pt>
    <dgm:pt modelId="{5E42AF91-DB0D-4CE8-9908-ED3C7EAF116C}" type="sibTrans" cxnId="{2DD3B5AF-A811-4673-8FC1-140D040D35CD}">
      <dgm:prSet/>
      <dgm:spPr/>
      <dgm:t>
        <a:bodyPr/>
        <a:lstStyle/>
        <a:p>
          <a:pPr algn="ctr"/>
          <a:endParaRPr lang="en-US"/>
        </a:p>
      </dgm:t>
    </dgm:pt>
    <dgm:pt modelId="{66F4EE60-673D-4256-B93A-150933F0C1DD}" type="pres">
      <dgm:prSet presAssocID="{22BFA6F4-12ED-4BD8-A4FD-8282D97576B7}" presName="Name0" presStyleCnt="0">
        <dgm:presLayoutVars>
          <dgm:chMax val="1"/>
          <dgm:dir/>
          <dgm:animLvl val="ctr"/>
          <dgm:resizeHandles val="exact"/>
        </dgm:presLayoutVars>
      </dgm:prSet>
      <dgm:spPr/>
    </dgm:pt>
    <dgm:pt modelId="{20350E41-4265-486E-B575-4522D89C690F}" type="pres">
      <dgm:prSet presAssocID="{1C978F8A-78EA-444C-BDA0-742DB18E8C37}" presName="centerShape" presStyleLbl="node0" presStyleIdx="0" presStyleCnt="1"/>
      <dgm:spPr/>
    </dgm:pt>
    <dgm:pt modelId="{0D9A917B-BD5B-430A-A2D2-5715B6730BB3}" type="pres">
      <dgm:prSet presAssocID="{2A3EB672-BA10-4E32-99D6-2A420ECBEB36}" presName="node" presStyleLbl="node1" presStyleIdx="0" presStyleCnt="7">
        <dgm:presLayoutVars>
          <dgm:bulletEnabled val="1"/>
        </dgm:presLayoutVars>
      </dgm:prSet>
      <dgm:spPr/>
    </dgm:pt>
    <dgm:pt modelId="{E935D9A6-E06A-4C8C-95B4-277327A8A3A4}" type="pres">
      <dgm:prSet presAssocID="{2A3EB672-BA10-4E32-99D6-2A420ECBEB36}" presName="dummy" presStyleCnt="0"/>
      <dgm:spPr/>
    </dgm:pt>
    <dgm:pt modelId="{A80BD9A7-C34D-4E67-AFB9-A9E5418C5898}" type="pres">
      <dgm:prSet presAssocID="{3E0FB80E-C663-496C-A27A-6400D4171C46}" presName="sibTrans" presStyleLbl="sibTrans2D1" presStyleIdx="0" presStyleCnt="7"/>
      <dgm:spPr/>
    </dgm:pt>
    <dgm:pt modelId="{FA5EFEEA-16F6-4084-A6FC-B554EC279DA4}" type="pres">
      <dgm:prSet presAssocID="{A0E6564C-26DA-43C2-8C7A-E56762B8D5D3}" presName="node" presStyleLbl="node1" presStyleIdx="1" presStyleCnt="7">
        <dgm:presLayoutVars>
          <dgm:bulletEnabled val="1"/>
        </dgm:presLayoutVars>
      </dgm:prSet>
      <dgm:spPr/>
    </dgm:pt>
    <dgm:pt modelId="{55674172-7CEF-424E-B1F5-1EAE1F79B3ED}" type="pres">
      <dgm:prSet presAssocID="{A0E6564C-26DA-43C2-8C7A-E56762B8D5D3}" presName="dummy" presStyleCnt="0"/>
      <dgm:spPr/>
    </dgm:pt>
    <dgm:pt modelId="{3B67B521-F860-4B25-A551-51E5CB682F98}" type="pres">
      <dgm:prSet presAssocID="{616FEDFA-E55E-448A-8F60-0896ABED3B8C}" presName="sibTrans" presStyleLbl="sibTrans2D1" presStyleIdx="1" presStyleCnt="7"/>
      <dgm:spPr/>
    </dgm:pt>
    <dgm:pt modelId="{9B61A729-A2CB-4388-A7DC-9A4B6FA23484}" type="pres">
      <dgm:prSet presAssocID="{F7A87593-19A5-4D9E-B338-546570EB4EE9}" presName="node" presStyleLbl="node1" presStyleIdx="2" presStyleCnt="7">
        <dgm:presLayoutVars>
          <dgm:bulletEnabled val="1"/>
        </dgm:presLayoutVars>
      </dgm:prSet>
      <dgm:spPr/>
    </dgm:pt>
    <dgm:pt modelId="{43F05F8B-21AB-43E5-A53B-C775AFD957E7}" type="pres">
      <dgm:prSet presAssocID="{F7A87593-19A5-4D9E-B338-546570EB4EE9}" presName="dummy" presStyleCnt="0"/>
      <dgm:spPr/>
    </dgm:pt>
    <dgm:pt modelId="{4F7C0891-BCD1-4C6A-B2EF-4C2ED99B30E8}" type="pres">
      <dgm:prSet presAssocID="{2C6BA3BD-1240-4473-AC71-A260A07CCF3F}" presName="sibTrans" presStyleLbl="sibTrans2D1" presStyleIdx="2" presStyleCnt="7"/>
      <dgm:spPr/>
    </dgm:pt>
    <dgm:pt modelId="{05009561-10BA-47C5-8B8F-65FA3C974E6D}" type="pres">
      <dgm:prSet presAssocID="{CE3090B5-A21E-4250-880B-3214EFE65210}" presName="node" presStyleLbl="node1" presStyleIdx="3" presStyleCnt="7">
        <dgm:presLayoutVars>
          <dgm:bulletEnabled val="1"/>
        </dgm:presLayoutVars>
      </dgm:prSet>
      <dgm:spPr/>
    </dgm:pt>
    <dgm:pt modelId="{E5E50438-139A-4E2E-BB4C-F004B68F2A10}" type="pres">
      <dgm:prSet presAssocID="{CE3090B5-A21E-4250-880B-3214EFE65210}" presName="dummy" presStyleCnt="0"/>
      <dgm:spPr/>
    </dgm:pt>
    <dgm:pt modelId="{444E8FED-CE18-4CD6-BC8F-A2EE5708B861}" type="pres">
      <dgm:prSet presAssocID="{A9679902-A2AC-4F8A-9228-D86CB9A37FAD}" presName="sibTrans" presStyleLbl="sibTrans2D1" presStyleIdx="3" presStyleCnt="7"/>
      <dgm:spPr/>
    </dgm:pt>
    <dgm:pt modelId="{1118E03A-61BF-49E9-B624-DB40F66B1ACA}" type="pres">
      <dgm:prSet presAssocID="{6E5D941F-1160-40AA-9214-8EF4A2E747AD}" presName="node" presStyleLbl="node1" presStyleIdx="4" presStyleCnt="7">
        <dgm:presLayoutVars>
          <dgm:bulletEnabled val="1"/>
        </dgm:presLayoutVars>
      </dgm:prSet>
      <dgm:spPr/>
    </dgm:pt>
    <dgm:pt modelId="{F950A58E-2114-472A-9C14-C5E424015F87}" type="pres">
      <dgm:prSet presAssocID="{6E5D941F-1160-40AA-9214-8EF4A2E747AD}" presName="dummy" presStyleCnt="0"/>
      <dgm:spPr/>
    </dgm:pt>
    <dgm:pt modelId="{85958ECB-E761-423E-B188-E810419C6D91}" type="pres">
      <dgm:prSet presAssocID="{3EC45692-4A1B-4F5F-A2C2-BCBB25AA8149}" presName="sibTrans" presStyleLbl="sibTrans2D1" presStyleIdx="4" presStyleCnt="7"/>
      <dgm:spPr/>
    </dgm:pt>
    <dgm:pt modelId="{443A9F0F-B0ED-4859-ABC5-F7B40B014D1A}" type="pres">
      <dgm:prSet presAssocID="{422F02E5-B21B-496D-984D-F7079B97CA9D}" presName="node" presStyleLbl="node1" presStyleIdx="5" presStyleCnt="7">
        <dgm:presLayoutVars>
          <dgm:bulletEnabled val="1"/>
        </dgm:presLayoutVars>
      </dgm:prSet>
      <dgm:spPr/>
    </dgm:pt>
    <dgm:pt modelId="{DB59C83C-916D-4C4F-85F2-F3D1A0AD8589}" type="pres">
      <dgm:prSet presAssocID="{422F02E5-B21B-496D-984D-F7079B97CA9D}" presName="dummy" presStyleCnt="0"/>
      <dgm:spPr/>
    </dgm:pt>
    <dgm:pt modelId="{4861CB5F-5DE7-41E0-BAD4-00923833D15F}" type="pres">
      <dgm:prSet presAssocID="{737A5C8D-E454-4C45-B0BD-875646BDEC02}" presName="sibTrans" presStyleLbl="sibTrans2D1" presStyleIdx="5" presStyleCnt="7"/>
      <dgm:spPr/>
    </dgm:pt>
    <dgm:pt modelId="{BB8741E1-7430-40D2-8D26-154E403218FE}" type="pres">
      <dgm:prSet presAssocID="{DA794F56-56D0-4E81-8687-2C3CFAF543F9}" presName="node" presStyleLbl="node1" presStyleIdx="6" presStyleCnt="7">
        <dgm:presLayoutVars>
          <dgm:bulletEnabled val="1"/>
        </dgm:presLayoutVars>
      </dgm:prSet>
      <dgm:spPr/>
    </dgm:pt>
    <dgm:pt modelId="{4F485854-E0C2-4EBA-BEBD-DA6D2C423055}" type="pres">
      <dgm:prSet presAssocID="{DA794F56-56D0-4E81-8687-2C3CFAF543F9}" presName="dummy" presStyleCnt="0"/>
      <dgm:spPr/>
    </dgm:pt>
    <dgm:pt modelId="{DEEE9489-15EC-4DEA-8F90-21D9177DB5FB}" type="pres">
      <dgm:prSet presAssocID="{5E42AF91-DB0D-4CE8-9908-ED3C7EAF116C}" presName="sibTrans" presStyleLbl="sibTrans2D1" presStyleIdx="6" presStyleCnt="7"/>
      <dgm:spPr/>
    </dgm:pt>
  </dgm:ptLst>
  <dgm:cxnLst>
    <dgm:cxn modelId="{52D6A912-176C-43C8-8408-0FA0CA42AD6B}" srcId="{1C978F8A-78EA-444C-BDA0-742DB18E8C37}" destId="{F7A87593-19A5-4D9E-B338-546570EB4EE9}" srcOrd="2" destOrd="0" parTransId="{76B90D96-6B6B-405E-96B8-FF7962E0F9AD}" sibTransId="{2C6BA3BD-1240-4473-AC71-A260A07CCF3F}"/>
    <dgm:cxn modelId="{3A650D26-6AC6-4F32-BF47-CEBA0DAE1DBA}" type="presOf" srcId="{616FEDFA-E55E-448A-8F60-0896ABED3B8C}" destId="{3B67B521-F860-4B25-A551-51E5CB682F98}" srcOrd="0" destOrd="0" presId="urn:microsoft.com/office/officeart/2005/8/layout/radial6"/>
    <dgm:cxn modelId="{004B5435-AC18-48D9-9DDD-4C886096EF3B}" type="presOf" srcId="{2A3EB672-BA10-4E32-99D6-2A420ECBEB36}" destId="{0D9A917B-BD5B-430A-A2D2-5715B6730BB3}" srcOrd="0" destOrd="0" presId="urn:microsoft.com/office/officeart/2005/8/layout/radial6"/>
    <dgm:cxn modelId="{748E8064-D4AB-4C19-8778-5E2182BDF9A3}" srcId="{22BFA6F4-12ED-4BD8-A4FD-8282D97576B7}" destId="{288BBC8E-E6E7-45C7-A4FE-52CD59BF626F}" srcOrd="1" destOrd="0" parTransId="{BEFAFB08-C29E-45BF-9449-164319FFA739}" sibTransId="{BC1AE0AB-8DD4-44A4-9470-06583850C8C6}"/>
    <dgm:cxn modelId="{9C63AC4E-E3B9-4233-9A11-A293ED194DE5}" srcId="{1C978F8A-78EA-444C-BDA0-742DB18E8C37}" destId="{2A3EB672-BA10-4E32-99D6-2A420ECBEB36}" srcOrd="0" destOrd="0" parTransId="{C36B7B94-24D9-4346-B0CB-D9A7F2A0D1D7}" sibTransId="{3E0FB80E-C663-496C-A27A-6400D4171C46}"/>
    <dgm:cxn modelId="{4BDCB375-4B5E-4279-BEF8-34557AD2BF74}" srcId="{1C978F8A-78EA-444C-BDA0-742DB18E8C37}" destId="{422F02E5-B21B-496D-984D-F7079B97CA9D}" srcOrd="5" destOrd="0" parTransId="{366FBFB7-2A23-4250-9603-CBB687BC73B6}" sibTransId="{737A5C8D-E454-4C45-B0BD-875646BDEC02}"/>
    <dgm:cxn modelId="{F9496058-0CF2-466D-8BCD-E50723222F48}" srcId="{1C978F8A-78EA-444C-BDA0-742DB18E8C37}" destId="{6E5D941F-1160-40AA-9214-8EF4A2E747AD}" srcOrd="4" destOrd="0" parTransId="{D1F39EC9-9CAD-4438-86E9-961386CFA49A}" sibTransId="{3EC45692-4A1B-4F5F-A2C2-BCBB25AA8149}"/>
    <dgm:cxn modelId="{EEDB2459-ADFA-4B12-8385-7334103AA58D}" type="presOf" srcId="{A0E6564C-26DA-43C2-8C7A-E56762B8D5D3}" destId="{FA5EFEEA-16F6-4084-A6FC-B554EC279DA4}" srcOrd="0" destOrd="0" presId="urn:microsoft.com/office/officeart/2005/8/layout/radial6"/>
    <dgm:cxn modelId="{F54FD782-8772-4E34-844C-628C3489E814}" type="presOf" srcId="{737A5C8D-E454-4C45-B0BD-875646BDEC02}" destId="{4861CB5F-5DE7-41E0-BAD4-00923833D15F}" srcOrd="0" destOrd="0" presId="urn:microsoft.com/office/officeart/2005/8/layout/radial6"/>
    <dgm:cxn modelId="{12E90089-46DA-401E-A78E-8F3EE5D6B7D7}" type="presOf" srcId="{2C6BA3BD-1240-4473-AC71-A260A07CCF3F}" destId="{4F7C0891-BCD1-4C6A-B2EF-4C2ED99B30E8}" srcOrd="0" destOrd="0" presId="urn:microsoft.com/office/officeart/2005/8/layout/radial6"/>
    <dgm:cxn modelId="{FB2A4A8A-9D9E-4E10-8FF8-19DE961FC973}" type="presOf" srcId="{422F02E5-B21B-496D-984D-F7079B97CA9D}" destId="{443A9F0F-B0ED-4859-ABC5-F7B40B014D1A}" srcOrd="0" destOrd="0" presId="urn:microsoft.com/office/officeart/2005/8/layout/radial6"/>
    <dgm:cxn modelId="{BB38198C-71C2-4BE0-BD55-E1B8DCB483C2}" type="presOf" srcId="{1C978F8A-78EA-444C-BDA0-742DB18E8C37}" destId="{20350E41-4265-486E-B575-4522D89C690F}" srcOrd="0" destOrd="0" presId="urn:microsoft.com/office/officeart/2005/8/layout/radial6"/>
    <dgm:cxn modelId="{5404B58C-85CB-49B4-AEE9-8B0B343E0C1F}" srcId="{1C978F8A-78EA-444C-BDA0-742DB18E8C37}" destId="{A0E6564C-26DA-43C2-8C7A-E56762B8D5D3}" srcOrd="1" destOrd="0" parTransId="{FCE27FAE-86FF-40A9-B564-859FB288D052}" sibTransId="{616FEDFA-E55E-448A-8F60-0896ABED3B8C}"/>
    <dgm:cxn modelId="{68000190-D426-494E-9162-8E08F1200443}" type="presOf" srcId="{5E42AF91-DB0D-4CE8-9908-ED3C7EAF116C}" destId="{DEEE9489-15EC-4DEA-8F90-21D9177DB5FB}" srcOrd="0" destOrd="0" presId="urn:microsoft.com/office/officeart/2005/8/layout/radial6"/>
    <dgm:cxn modelId="{78841EA2-3051-4D98-B93A-ED3F8796B48E}" srcId="{1C978F8A-78EA-444C-BDA0-742DB18E8C37}" destId="{CE3090B5-A21E-4250-880B-3214EFE65210}" srcOrd="3" destOrd="0" parTransId="{92A47D16-2513-4152-BDA5-F6A54B2CE247}" sibTransId="{A9679902-A2AC-4F8A-9228-D86CB9A37FAD}"/>
    <dgm:cxn modelId="{2DD3B5AF-A811-4673-8FC1-140D040D35CD}" srcId="{1C978F8A-78EA-444C-BDA0-742DB18E8C37}" destId="{DA794F56-56D0-4E81-8687-2C3CFAF543F9}" srcOrd="6" destOrd="0" parTransId="{97701A67-A4BF-4209-AE24-6CA879433D1A}" sibTransId="{5E42AF91-DB0D-4CE8-9908-ED3C7EAF116C}"/>
    <dgm:cxn modelId="{381B86B3-32D4-4A0A-9069-AD8FEDA01D9B}" type="presOf" srcId="{DA794F56-56D0-4E81-8687-2C3CFAF543F9}" destId="{BB8741E1-7430-40D2-8D26-154E403218FE}" srcOrd="0" destOrd="0" presId="urn:microsoft.com/office/officeart/2005/8/layout/radial6"/>
    <dgm:cxn modelId="{4EF596B7-2DB7-459E-8260-4C7F9A4BE1FC}" type="presOf" srcId="{22BFA6F4-12ED-4BD8-A4FD-8282D97576B7}" destId="{66F4EE60-673D-4256-B93A-150933F0C1DD}" srcOrd="0" destOrd="0" presId="urn:microsoft.com/office/officeart/2005/8/layout/radial6"/>
    <dgm:cxn modelId="{C77360BF-3617-4EEE-8378-9871A35DEB1F}" type="presOf" srcId="{3EC45692-4A1B-4F5F-A2C2-BCBB25AA8149}" destId="{85958ECB-E761-423E-B188-E810419C6D91}" srcOrd="0" destOrd="0" presId="urn:microsoft.com/office/officeart/2005/8/layout/radial6"/>
    <dgm:cxn modelId="{684448CA-0205-40EA-A05D-50E1658A0BEF}" type="presOf" srcId="{3E0FB80E-C663-496C-A27A-6400D4171C46}" destId="{A80BD9A7-C34D-4E67-AFB9-A9E5418C5898}" srcOrd="0" destOrd="0" presId="urn:microsoft.com/office/officeart/2005/8/layout/radial6"/>
    <dgm:cxn modelId="{37DE7DF3-3C86-43F1-A40A-24097806B50A}" type="presOf" srcId="{F7A87593-19A5-4D9E-B338-546570EB4EE9}" destId="{9B61A729-A2CB-4388-A7DC-9A4B6FA23484}" srcOrd="0" destOrd="0" presId="urn:microsoft.com/office/officeart/2005/8/layout/radial6"/>
    <dgm:cxn modelId="{85B79BF3-2958-4031-8B95-BF7AD572A171}" type="presOf" srcId="{A9679902-A2AC-4F8A-9228-D86CB9A37FAD}" destId="{444E8FED-CE18-4CD6-BC8F-A2EE5708B861}" srcOrd="0" destOrd="0" presId="urn:microsoft.com/office/officeart/2005/8/layout/radial6"/>
    <dgm:cxn modelId="{A5B80EF7-3FF2-4336-A217-BD5D43FC2BF4}" type="presOf" srcId="{6E5D941F-1160-40AA-9214-8EF4A2E747AD}" destId="{1118E03A-61BF-49E9-B624-DB40F66B1ACA}" srcOrd="0" destOrd="0" presId="urn:microsoft.com/office/officeart/2005/8/layout/radial6"/>
    <dgm:cxn modelId="{47EFEBF8-24C0-4ACC-8C54-089D825F3274}" type="presOf" srcId="{CE3090B5-A21E-4250-880B-3214EFE65210}" destId="{05009561-10BA-47C5-8B8F-65FA3C974E6D}" srcOrd="0" destOrd="0" presId="urn:microsoft.com/office/officeart/2005/8/layout/radial6"/>
    <dgm:cxn modelId="{4DE87EFF-4EB3-42F0-8D53-68FE513EBF69}" srcId="{22BFA6F4-12ED-4BD8-A4FD-8282D97576B7}" destId="{1C978F8A-78EA-444C-BDA0-742DB18E8C37}" srcOrd="0" destOrd="0" parTransId="{975D4C8F-1405-4674-B314-B3B4F917EED9}" sibTransId="{E665EB70-AF4E-4B4D-8F53-2F238E1777A9}"/>
    <dgm:cxn modelId="{FF15B385-0CFD-4464-86E4-C18AA0FED967}" type="presParOf" srcId="{66F4EE60-673D-4256-B93A-150933F0C1DD}" destId="{20350E41-4265-486E-B575-4522D89C690F}" srcOrd="0" destOrd="0" presId="urn:microsoft.com/office/officeart/2005/8/layout/radial6"/>
    <dgm:cxn modelId="{9F81AECA-6EE0-4713-89AB-EB36CFC15E31}" type="presParOf" srcId="{66F4EE60-673D-4256-B93A-150933F0C1DD}" destId="{0D9A917B-BD5B-430A-A2D2-5715B6730BB3}" srcOrd="1" destOrd="0" presId="urn:microsoft.com/office/officeart/2005/8/layout/radial6"/>
    <dgm:cxn modelId="{985C46EA-F54C-441F-B3C6-506FB45A3CEF}" type="presParOf" srcId="{66F4EE60-673D-4256-B93A-150933F0C1DD}" destId="{E935D9A6-E06A-4C8C-95B4-277327A8A3A4}" srcOrd="2" destOrd="0" presId="urn:microsoft.com/office/officeart/2005/8/layout/radial6"/>
    <dgm:cxn modelId="{86BBDF9C-8B32-4510-A803-666A741D9A5E}" type="presParOf" srcId="{66F4EE60-673D-4256-B93A-150933F0C1DD}" destId="{A80BD9A7-C34D-4E67-AFB9-A9E5418C5898}" srcOrd="3" destOrd="0" presId="urn:microsoft.com/office/officeart/2005/8/layout/radial6"/>
    <dgm:cxn modelId="{6B55046F-37EB-461C-B4B0-C7B7351DA460}" type="presParOf" srcId="{66F4EE60-673D-4256-B93A-150933F0C1DD}" destId="{FA5EFEEA-16F6-4084-A6FC-B554EC279DA4}" srcOrd="4" destOrd="0" presId="urn:microsoft.com/office/officeart/2005/8/layout/radial6"/>
    <dgm:cxn modelId="{0F5D5894-24B9-4239-AD82-FB497D174694}" type="presParOf" srcId="{66F4EE60-673D-4256-B93A-150933F0C1DD}" destId="{55674172-7CEF-424E-B1F5-1EAE1F79B3ED}" srcOrd="5" destOrd="0" presId="urn:microsoft.com/office/officeart/2005/8/layout/radial6"/>
    <dgm:cxn modelId="{06ADC8B2-DD0E-4A61-85F0-CB1C54ED4873}" type="presParOf" srcId="{66F4EE60-673D-4256-B93A-150933F0C1DD}" destId="{3B67B521-F860-4B25-A551-51E5CB682F98}" srcOrd="6" destOrd="0" presId="urn:microsoft.com/office/officeart/2005/8/layout/radial6"/>
    <dgm:cxn modelId="{6950A48E-1B2F-49A0-95DA-BA24C73A8D98}" type="presParOf" srcId="{66F4EE60-673D-4256-B93A-150933F0C1DD}" destId="{9B61A729-A2CB-4388-A7DC-9A4B6FA23484}" srcOrd="7" destOrd="0" presId="urn:microsoft.com/office/officeart/2005/8/layout/radial6"/>
    <dgm:cxn modelId="{9FD83CC1-0373-4DF3-B17F-6A34288C7C18}" type="presParOf" srcId="{66F4EE60-673D-4256-B93A-150933F0C1DD}" destId="{43F05F8B-21AB-43E5-A53B-C775AFD957E7}" srcOrd="8" destOrd="0" presId="urn:microsoft.com/office/officeart/2005/8/layout/radial6"/>
    <dgm:cxn modelId="{68E8D9BC-3C5A-4DA6-836C-EC85675E9FE7}" type="presParOf" srcId="{66F4EE60-673D-4256-B93A-150933F0C1DD}" destId="{4F7C0891-BCD1-4C6A-B2EF-4C2ED99B30E8}" srcOrd="9" destOrd="0" presId="urn:microsoft.com/office/officeart/2005/8/layout/radial6"/>
    <dgm:cxn modelId="{0506EFAA-2C61-49A4-89D0-7821E66FA5D7}" type="presParOf" srcId="{66F4EE60-673D-4256-B93A-150933F0C1DD}" destId="{05009561-10BA-47C5-8B8F-65FA3C974E6D}" srcOrd="10" destOrd="0" presId="urn:microsoft.com/office/officeart/2005/8/layout/radial6"/>
    <dgm:cxn modelId="{45EFB0AB-76ED-4197-8912-C19E46FA33F2}" type="presParOf" srcId="{66F4EE60-673D-4256-B93A-150933F0C1DD}" destId="{E5E50438-139A-4E2E-BB4C-F004B68F2A10}" srcOrd="11" destOrd="0" presId="urn:microsoft.com/office/officeart/2005/8/layout/radial6"/>
    <dgm:cxn modelId="{B50EC2AC-D50E-4330-A587-37585D813EB8}" type="presParOf" srcId="{66F4EE60-673D-4256-B93A-150933F0C1DD}" destId="{444E8FED-CE18-4CD6-BC8F-A2EE5708B861}" srcOrd="12" destOrd="0" presId="urn:microsoft.com/office/officeart/2005/8/layout/radial6"/>
    <dgm:cxn modelId="{0DDA1136-6DD5-48F4-A164-645A8D16F5CC}" type="presParOf" srcId="{66F4EE60-673D-4256-B93A-150933F0C1DD}" destId="{1118E03A-61BF-49E9-B624-DB40F66B1ACA}" srcOrd="13" destOrd="0" presId="urn:microsoft.com/office/officeart/2005/8/layout/radial6"/>
    <dgm:cxn modelId="{5F99FB16-0BD4-46F1-9B12-A155E3A0B681}" type="presParOf" srcId="{66F4EE60-673D-4256-B93A-150933F0C1DD}" destId="{F950A58E-2114-472A-9C14-C5E424015F87}" srcOrd="14" destOrd="0" presId="urn:microsoft.com/office/officeart/2005/8/layout/radial6"/>
    <dgm:cxn modelId="{53F0DEE6-21C8-4714-9415-40D998F8EEBF}" type="presParOf" srcId="{66F4EE60-673D-4256-B93A-150933F0C1DD}" destId="{85958ECB-E761-423E-B188-E810419C6D91}" srcOrd="15" destOrd="0" presId="urn:microsoft.com/office/officeart/2005/8/layout/radial6"/>
    <dgm:cxn modelId="{DD8C715B-22F5-43A1-93BD-E53778E2373A}" type="presParOf" srcId="{66F4EE60-673D-4256-B93A-150933F0C1DD}" destId="{443A9F0F-B0ED-4859-ABC5-F7B40B014D1A}" srcOrd="16" destOrd="0" presId="urn:microsoft.com/office/officeart/2005/8/layout/radial6"/>
    <dgm:cxn modelId="{BCBF87A5-B807-40BD-9421-7B1CB6AF7F3A}" type="presParOf" srcId="{66F4EE60-673D-4256-B93A-150933F0C1DD}" destId="{DB59C83C-916D-4C4F-85F2-F3D1A0AD8589}" srcOrd="17" destOrd="0" presId="urn:microsoft.com/office/officeart/2005/8/layout/radial6"/>
    <dgm:cxn modelId="{45115D64-0889-4CF3-8EC2-85A602EED1C8}" type="presParOf" srcId="{66F4EE60-673D-4256-B93A-150933F0C1DD}" destId="{4861CB5F-5DE7-41E0-BAD4-00923833D15F}" srcOrd="18" destOrd="0" presId="urn:microsoft.com/office/officeart/2005/8/layout/radial6"/>
    <dgm:cxn modelId="{1911FF69-9570-4809-B453-280874744319}" type="presParOf" srcId="{66F4EE60-673D-4256-B93A-150933F0C1DD}" destId="{BB8741E1-7430-40D2-8D26-154E403218FE}" srcOrd="19" destOrd="0" presId="urn:microsoft.com/office/officeart/2005/8/layout/radial6"/>
    <dgm:cxn modelId="{9AB32FC7-DA95-47A7-A749-0FD3ABB0BFD8}" type="presParOf" srcId="{66F4EE60-673D-4256-B93A-150933F0C1DD}" destId="{4F485854-E0C2-4EBA-BEBD-DA6D2C423055}" srcOrd="20" destOrd="0" presId="urn:microsoft.com/office/officeart/2005/8/layout/radial6"/>
    <dgm:cxn modelId="{A55CC8EB-11D8-44BF-BE88-B1D610C03E51}" type="presParOf" srcId="{66F4EE60-673D-4256-B93A-150933F0C1DD}" destId="{DEEE9489-15EC-4DEA-8F90-21D9177DB5FB}" srcOrd="21"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A606CF-7DA1-4BE1-8A23-987854F07408}" type="doc">
      <dgm:prSet loTypeId="urn:microsoft.com/office/officeart/2005/8/layout/radial1" loCatId="cycle" qsTypeId="urn:microsoft.com/office/officeart/2005/8/quickstyle/simple5" qsCatId="simple" csTypeId="urn:microsoft.com/office/officeart/2005/8/colors/accent2_4" csCatId="accent2" phldr="1"/>
      <dgm:spPr/>
      <dgm:t>
        <a:bodyPr/>
        <a:lstStyle/>
        <a:p>
          <a:endParaRPr lang="en-US"/>
        </a:p>
      </dgm:t>
    </dgm:pt>
    <dgm:pt modelId="{00B864F0-F6FB-4BDB-832F-C059D53C0B79}">
      <dgm:prSet phldrT="[Text]"/>
      <dgm:spPr/>
      <dgm:t>
        <a:bodyPr/>
        <a:lstStyle/>
        <a:p>
          <a:pPr>
            <a:buNone/>
          </a:pPr>
          <a:r>
            <a:rPr lang="en-GB" b="1">
              <a:latin typeface="Times New Roman" panose="02020603050405020304" pitchFamily="18" charset="0"/>
              <a:cs typeface="Times New Roman" panose="02020603050405020304" pitchFamily="18" charset="0"/>
            </a:rPr>
            <a:t>Theme impact analysis</a:t>
          </a:r>
          <a:r>
            <a:rPr lang="en-GB">
              <a:latin typeface="Times New Roman" panose="02020603050405020304" pitchFamily="18" charset="0"/>
              <a:cs typeface="Times New Roman" panose="02020603050405020304" pitchFamily="18" charset="0"/>
            </a:rPr>
            <a:t> </a:t>
          </a:r>
          <a:endParaRPr lang="en-US">
            <a:latin typeface="Times New Roman" panose="02020603050405020304" pitchFamily="18" charset="0"/>
            <a:cs typeface="Times New Roman" panose="02020603050405020304" pitchFamily="18" charset="0"/>
          </a:endParaRPr>
        </a:p>
      </dgm:t>
    </dgm:pt>
    <dgm:pt modelId="{B836A744-E552-4332-8319-219219782D23}" type="parTrans" cxnId="{883AA165-6C41-4995-BE33-3FFAA1462C5C}">
      <dgm:prSet/>
      <dgm:spPr/>
      <dgm:t>
        <a:bodyPr/>
        <a:lstStyle/>
        <a:p>
          <a:endParaRPr lang="en-US"/>
        </a:p>
      </dgm:t>
    </dgm:pt>
    <dgm:pt modelId="{FDD83483-5A58-42B3-AD67-C1CF5DFCF483}" type="sibTrans" cxnId="{883AA165-6C41-4995-BE33-3FFAA1462C5C}">
      <dgm:prSet/>
      <dgm:spPr/>
      <dgm:t>
        <a:bodyPr/>
        <a:lstStyle/>
        <a:p>
          <a:endParaRPr lang="en-US"/>
        </a:p>
      </dgm:t>
    </dgm:pt>
    <dgm:pt modelId="{C1A4026D-9133-4BC2-BF71-87582E6648A2}">
      <dgm:prSet phldrT="[Text]"/>
      <dgm:spPr/>
      <dgm:t>
        <a:bodyPr/>
        <a:lstStyle/>
        <a:p>
          <a:pPr>
            <a:buNone/>
          </a:pPr>
          <a:r>
            <a:rPr lang="en-GB">
              <a:latin typeface="Times New Roman" panose="02020603050405020304" pitchFamily="18" charset="0"/>
              <a:cs typeface="Times New Roman" panose="02020603050405020304" pitchFamily="18" charset="0"/>
            </a:rPr>
            <a:t>Use of the JD-R model </a:t>
          </a:r>
          <a:endParaRPr lang="en-US">
            <a:latin typeface="Times New Roman" panose="02020603050405020304" pitchFamily="18" charset="0"/>
            <a:cs typeface="Times New Roman" panose="02020603050405020304" pitchFamily="18" charset="0"/>
          </a:endParaRPr>
        </a:p>
      </dgm:t>
    </dgm:pt>
    <dgm:pt modelId="{10AC4F8D-1FDE-444C-B561-9C46945CA855}" type="parTrans" cxnId="{47E7E60A-6CC6-4E7C-B4DE-B8875290F74D}">
      <dgm:prSet/>
      <dgm:spPr/>
      <dgm:t>
        <a:bodyPr/>
        <a:lstStyle/>
        <a:p>
          <a:endParaRPr lang="en-US"/>
        </a:p>
      </dgm:t>
    </dgm:pt>
    <dgm:pt modelId="{631D609D-8A40-4A94-A4E3-955459C3B788}" type="sibTrans" cxnId="{47E7E60A-6CC6-4E7C-B4DE-B8875290F74D}">
      <dgm:prSet/>
      <dgm:spPr/>
      <dgm:t>
        <a:bodyPr/>
        <a:lstStyle/>
        <a:p>
          <a:endParaRPr lang="en-US"/>
        </a:p>
      </dgm:t>
    </dgm:pt>
    <dgm:pt modelId="{3DE866C4-9926-4EFB-B82D-EFA68D91C418}">
      <dgm:prSet phldrT="[Text]"/>
      <dgm:spPr/>
      <dgm:t>
        <a:bodyPr/>
        <a:lstStyle/>
        <a:p>
          <a:pPr>
            <a:buNone/>
          </a:pPr>
          <a:r>
            <a:rPr lang="en-US" b="1">
              <a:latin typeface="Times New Roman" panose="02020603050405020304" pitchFamily="18" charset="0"/>
              <a:cs typeface="Times New Roman" panose="02020603050405020304" pitchFamily="18" charset="0"/>
            </a:rPr>
            <a:t>Organisational Impact</a:t>
          </a:r>
          <a:endParaRPr lang="en-US">
            <a:latin typeface="Times New Roman" panose="02020603050405020304" pitchFamily="18" charset="0"/>
            <a:cs typeface="Times New Roman" panose="02020603050405020304" pitchFamily="18" charset="0"/>
          </a:endParaRPr>
        </a:p>
      </dgm:t>
    </dgm:pt>
    <dgm:pt modelId="{2C1F46C2-3357-46A6-BABB-972171BB685A}" type="parTrans" cxnId="{84806070-89CD-4FF1-AA7F-F1C6CF0AC217}">
      <dgm:prSet/>
      <dgm:spPr/>
      <dgm:t>
        <a:bodyPr/>
        <a:lstStyle/>
        <a:p>
          <a:endParaRPr lang="en-US"/>
        </a:p>
      </dgm:t>
    </dgm:pt>
    <dgm:pt modelId="{19F8F815-A67D-495C-9E5B-269C315EB1AF}" type="sibTrans" cxnId="{84806070-89CD-4FF1-AA7F-F1C6CF0AC217}">
      <dgm:prSet/>
      <dgm:spPr/>
      <dgm:t>
        <a:bodyPr/>
        <a:lstStyle/>
        <a:p>
          <a:endParaRPr lang="en-US"/>
        </a:p>
      </dgm:t>
    </dgm:pt>
    <dgm:pt modelId="{E2557AD1-5F5E-4B4E-9492-447C6A46C32A}">
      <dgm:prSet phldrT="[Text]"/>
      <dgm:spPr/>
      <dgm:t>
        <a:bodyPr/>
        <a:lstStyle/>
        <a:p>
          <a:pPr>
            <a:buNone/>
          </a:pPr>
          <a:r>
            <a:rPr lang="en-US" b="1">
              <a:latin typeface="Times New Roman" panose="02020603050405020304" pitchFamily="18" charset="0"/>
              <a:cs typeface="Times New Roman" panose="02020603050405020304" pitchFamily="18" charset="0"/>
            </a:rPr>
            <a:t>Human Impact</a:t>
          </a:r>
          <a:endParaRPr lang="en-US">
            <a:latin typeface="Times New Roman" panose="02020603050405020304" pitchFamily="18" charset="0"/>
            <a:cs typeface="Times New Roman" panose="02020603050405020304" pitchFamily="18" charset="0"/>
          </a:endParaRPr>
        </a:p>
      </dgm:t>
    </dgm:pt>
    <dgm:pt modelId="{7A5A6CA4-46CE-4522-941E-6F913182CC70}" type="parTrans" cxnId="{FF848BAF-2BD0-42BB-856C-10938F14EB10}">
      <dgm:prSet/>
      <dgm:spPr/>
      <dgm:t>
        <a:bodyPr/>
        <a:lstStyle/>
        <a:p>
          <a:endParaRPr lang="en-US"/>
        </a:p>
      </dgm:t>
    </dgm:pt>
    <dgm:pt modelId="{74547609-C42F-47B7-BD1A-FFB5678A0C22}" type="sibTrans" cxnId="{FF848BAF-2BD0-42BB-856C-10938F14EB10}">
      <dgm:prSet/>
      <dgm:spPr/>
      <dgm:t>
        <a:bodyPr/>
        <a:lstStyle/>
        <a:p>
          <a:endParaRPr lang="en-US"/>
        </a:p>
      </dgm:t>
    </dgm:pt>
    <dgm:pt modelId="{BF413DC4-FE97-4F28-97A6-B9050B1089E7}">
      <dgm:prSet phldrT="[Text]"/>
      <dgm:spPr/>
      <dgm:t>
        <a:bodyPr/>
        <a:lstStyle/>
        <a:p>
          <a:pPr>
            <a:buNone/>
          </a:pPr>
          <a:r>
            <a:rPr lang="en-US" b="1">
              <a:latin typeface="Times New Roman" panose="02020603050405020304" pitchFamily="18" charset="0"/>
              <a:cs typeface="Times New Roman" panose="02020603050405020304" pitchFamily="18" charset="0"/>
            </a:rPr>
            <a:t>Illustrative Examples and Sectoral Actions</a:t>
          </a:r>
          <a:endParaRPr lang="en-US">
            <a:latin typeface="Times New Roman" panose="02020603050405020304" pitchFamily="18" charset="0"/>
            <a:cs typeface="Times New Roman" panose="02020603050405020304" pitchFamily="18" charset="0"/>
          </a:endParaRPr>
        </a:p>
      </dgm:t>
    </dgm:pt>
    <dgm:pt modelId="{C12E2FFF-C7C7-411B-AEF9-785EBACBA6F9}" type="parTrans" cxnId="{59F3B0B3-4781-41DF-9B3F-1B30D56C30BD}">
      <dgm:prSet/>
      <dgm:spPr/>
      <dgm:t>
        <a:bodyPr/>
        <a:lstStyle/>
        <a:p>
          <a:endParaRPr lang="en-US"/>
        </a:p>
      </dgm:t>
    </dgm:pt>
    <dgm:pt modelId="{E55366B9-F684-43D1-A3D1-6C5F8132F74B}" type="sibTrans" cxnId="{59F3B0B3-4781-41DF-9B3F-1B30D56C30BD}">
      <dgm:prSet/>
      <dgm:spPr/>
      <dgm:t>
        <a:bodyPr/>
        <a:lstStyle/>
        <a:p>
          <a:endParaRPr lang="en-US"/>
        </a:p>
      </dgm:t>
    </dgm:pt>
    <dgm:pt modelId="{070291DA-81AE-4BED-B4CD-6E08AD10D42E}">
      <dgm:prSet/>
      <dgm:spPr/>
      <dgm:t>
        <a:bodyPr/>
        <a:lstStyle/>
        <a:p>
          <a:pPr>
            <a:buNone/>
          </a:pPr>
          <a:r>
            <a:rPr lang="en-GB">
              <a:latin typeface="Times New Roman" panose="02020603050405020304" pitchFamily="18" charset="0"/>
              <a:cs typeface="Times New Roman" panose="02020603050405020304" pitchFamily="18" charset="0"/>
            </a:rPr>
            <a:t>Judgement of Responses</a:t>
          </a:r>
          <a:endParaRPr lang="en-US">
            <a:latin typeface="Times New Roman" panose="02020603050405020304" pitchFamily="18" charset="0"/>
            <a:cs typeface="Times New Roman" panose="02020603050405020304" pitchFamily="18" charset="0"/>
          </a:endParaRPr>
        </a:p>
      </dgm:t>
    </dgm:pt>
    <dgm:pt modelId="{132451FC-F7AB-4725-8398-2F47745ED06A}" type="parTrans" cxnId="{E0EF08C7-FACD-4F80-B0C7-00B3C039B815}">
      <dgm:prSet/>
      <dgm:spPr/>
      <dgm:t>
        <a:bodyPr/>
        <a:lstStyle/>
        <a:p>
          <a:endParaRPr lang="en-US"/>
        </a:p>
      </dgm:t>
    </dgm:pt>
    <dgm:pt modelId="{000507CE-6040-4463-95BF-9E79D3872847}" type="sibTrans" cxnId="{E0EF08C7-FACD-4F80-B0C7-00B3C039B815}">
      <dgm:prSet/>
      <dgm:spPr/>
      <dgm:t>
        <a:bodyPr/>
        <a:lstStyle/>
        <a:p>
          <a:endParaRPr lang="en-US"/>
        </a:p>
      </dgm:t>
    </dgm:pt>
    <dgm:pt modelId="{40FDB33C-A863-495E-8C6B-467EE668478A}">
      <dgm:prSet/>
      <dgm:spPr/>
      <dgm:t>
        <a:bodyPr/>
        <a:lstStyle/>
        <a:p>
          <a:pPr>
            <a:buNone/>
          </a:pPr>
          <a:r>
            <a:rPr lang="en-GB">
              <a:latin typeface="Times New Roman" panose="02020603050405020304" pitchFamily="18" charset="0"/>
              <a:cs typeface="Times New Roman" panose="02020603050405020304" pitchFamily="18" charset="0"/>
            </a:rPr>
            <a:t>Emerging Best Practice</a:t>
          </a:r>
          <a:endParaRPr lang="en-US">
            <a:latin typeface="Times New Roman" panose="02020603050405020304" pitchFamily="18" charset="0"/>
            <a:cs typeface="Times New Roman" panose="02020603050405020304" pitchFamily="18" charset="0"/>
          </a:endParaRPr>
        </a:p>
      </dgm:t>
    </dgm:pt>
    <dgm:pt modelId="{4572468A-832B-4E25-B80C-7E9A165207F0}" type="parTrans" cxnId="{FF10D929-2A01-484F-A1D0-6DE9C889B163}">
      <dgm:prSet/>
      <dgm:spPr/>
      <dgm:t>
        <a:bodyPr/>
        <a:lstStyle/>
        <a:p>
          <a:endParaRPr lang="en-US"/>
        </a:p>
      </dgm:t>
    </dgm:pt>
    <dgm:pt modelId="{E632F0A9-9764-4A49-B482-A5471B5B5826}" type="sibTrans" cxnId="{FF10D929-2A01-484F-A1D0-6DE9C889B163}">
      <dgm:prSet/>
      <dgm:spPr/>
      <dgm:t>
        <a:bodyPr/>
        <a:lstStyle/>
        <a:p>
          <a:endParaRPr lang="en-US"/>
        </a:p>
      </dgm:t>
    </dgm:pt>
    <dgm:pt modelId="{67384781-FE4C-49F8-8DFC-496F44A35CA4}">
      <dgm:prSet/>
      <dgm:spPr/>
      <dgm:t>
        <a:bodyPr/>
        <a:lstStyle/>
        <a:p>
          <a:pPr>
            <a:buNone/>
          </a:pPr>
          <a:r>
            <a:rPr lang="en-US" b="1">
              <a:latin typeface="Times New Roman" panose="02020603050405020304" pitchFamily="18" charset="0"/>
              <a:cs typeface="Times New Roman" panose="02020603050405020304" pitchFamily="18" charset="0"/>
            </a:rPr>
            <a:t>Limitations and Future Risks</a:t>
          </a:r>
          <a:endParaRPr lang="en-US">
            <a:latin typeface="Times New Roman" panose="02020603050405020304" pitchFamily="18" charset="0"/>
            <a:cs typeface="Times New Roman" panose="02020603050405020304" pitchFamily="18" charset="0"/>
          </a:endParaRPr>
        </a:p>
      </dgm:t>
    </dgm:pt>
    <dgm:pt modelId="{0B82121B-11EF-46A0-8D0C-74233AE89BD7}" type="parTrans" cxnId="{9FB15C51-DD96-4723-B56F-CB164B5592C3}">
      <dgm:prSet/>
      <dgm:spPr/>
      <dgm:t>
        <a:bodyPr/>
        <a:lstStyle/>
        <a:p>
          <a:endParaRPr lang="en-US"/>
        </a:p>
      </dgm:t>
    </dgm:pt>
    <dgm:pt modelId="{3046BD45-CD07-464B-9170-30C28CD3FBA1}" type="sibTrans" cxnId="{9FB15C51-DD96-4723-B56F-CB164B5592C3}">
      <dgm:prSet/>
      <dgm:spPr/>
      <dgm:t>
        <a:bodyPr/>
        <a:lstStyle/>
        <a:p>
          <a:endParaRPr lang="en-US"/>
        </a:p>
      </dgm:t>
    </dgm:pt>
    <dgm:pt modelId="{CD89F199-8E76-4E7F-B480-E3C5B4570727}">
      <dgm:prSet/>
      <dgm:spPr/>
      <dgm:t>
        <a:bodyPr/>
        <a:lstStyle/>
        <a:p>
          <a:pPr>
            <a:buNone/>
          </a:pPr>
          <a:r>
            <a:rPr lang="en-US" b="1">
              <a:latin typeface="Times New Roman" panose="02020603050405020304" pitchFamily="18" charset="0"/>
              <a:cs typeface="Times New Roman" panose="02020603050405020304" pitchFamily="18" charset="0"/>
            </a:rPr>
            <a:t>Synthesis</a:t>
          </a:r>
          <a:endParaRPr lang="en-US">
            <a:latin typeface="Times New Roman" panose="02020603050405020304" pitchFamily="18" charset="0"/>
            <a:cs typeface="Times New Roman" panose="02020603050405020304" pitchFamily="18" charset="0"/>
          </a:endParaRPr>
        </a:p>
      </dgm:t>
    </dgm:pt>
    <dgm:pt modelId="{CB16F027-013F-4A94-AFC3-8B1AD50AC6F4}" type="parTrans" cxnId="{7736C02A-6D4A-4914-B82F-1866B9699200}">
      <dgm:prSet/>
      <dgm:spPr/>
      <dgm:t>
        <a:bodyPr/>
        <a:lstStyle/>
        <a:p>
          <a:endParaRPr lang="en-US"/>
        </a:p>
      </dgm:t>
    </dgm:pt>
    <dgm:pt modelId="{DB290A6D-CCE8-4081-B3DE-564940560A0C}" type="sibTrans" cxnId="{7736C02A-6D4A-4914-B82F-1866B9699200}">
      <dgm:prSet/>
      <dgm:spPr/>
      <dgm:t>
        <a:bodyPr/>
        <a:lstStyle/>
        <a:p>
          <a:endParaRPr lang="en-US"/>
        </a:p>
      </dgm:t>
    </dgm:pt>
    <dgm:pt modelId="{CF4889F9-28C0-43FA-B231-B1FEAE846940}" type="pres">
      <dgm:prSet presAssocID="{5CA606CF-7DA1-4BE1-8A23-987854F07408}" presName="cycle" presStyleCnt="0">
        <dgm:presLayoutVars>
          <dgm:chMax val="1"/>
          <dgm:dir/>
          <dgm:animLvl val="ctr"/>
          <dgm:resizeHandles val="exact"/>
        </dgm:presLayoutVars>
      </dgm:prSet>
      <dgm:spPr/>
    </dgm:pt>
    <dgm:pt modelId="{E9CB4182-2A9B-47F4-A9BB-2184927A8839}" type="pres">
      <dgm:prSet presAssocID="{00B864F0-F6FB-4BDB-832F-C059D53C0B79}" presName="centerShape" presStyleLbl="node0" presStyleIdx="0" presStyleCnt="1"/>
      <dgm:spPr/>
    </dgm:pt>
    <dgm:pt modelId="{7DF46300-8F50-418A-A905-469418352305}" type="pres">
      <dgm:prSet presAssocID="{10AC4F8D-1FDE-444C-B561-9C46945CA855}" presName="Name9" presStyleLbl="parChTrans1D2" presStyleIdx="0" presStyleCnt="8"/>
      <dgm:spPr/>
    </dgm:pt>
    <dgm:pt modelId="{FDA9CF50-2ACA-4F59-AEA0-2BFAADCAEFA8}" type="pres">
      <dgm:prSet presAssocID="{10AC4F8D-1FDE-444C-B561-9C46945CA855}" presName="connTx" presStyleLbl="parChTrans1D2" presStyleIdx="0" presStyleCnt="8"/>
      <dgm:spPr/>
    </dgm:pt>
    <dgm:pt modelId="{A5124D00-4C8C-4743-95B2-CC74957521BC}" type="pres">
      <dgm:prSet presAssocID="{C1A4026D-9133-4BC2-BF71-87582E6648A2}" presName="node" presStyleLbl="node1" presStyleIdx="0" presStyleCnt="8">
        <dgm:presLayoutVars>
          <dgm:bulletEnabled val="1"/>
        </dgm:presLayoutVars>
      </dgm:prSet>
      <dgm:spPr/>
    </dgm:pt>
    <dgm:pt modelId="{11F22FD1-ED77-4A87-8959-D111AFF0CE19}" type="pres">
      <dgm:prSet presAssocID="{2C1F46C2-3357-46A6-BABB-972171BB685A}" presName="Name9" presStyleLbl="parChTrans1D2" presStyleIdx="1" presStyleCnt="8"/>
      <dgm:spPr/>
    </dgm:pt>
    <dgm:pt modelId="{32707275-5A4E-4301-BFA2-F48E394279E4}" type="pres">
      <dgm:prSet presAssocID="{2C1F46C2-3357-46A6-BABB-972171BB685A}" presName="connTx" presStyleLbl="parChTrans1D2" presStyleIdx="1" presStyleCnt="8"/>
      <dgm:spPr/>
    </dgm:pt>
    <dgm:pt modelId="{A01DDE92-28E5-476A-BFD5-BE313C766E8F}" type="pres">
      <dgm:prSet presAssocID="{3DE866C4-9926-4EFB-B82D-EFA68D91C418}" presName="node" presStyleLbl="node1" presStyleIdx="1" presStyleCnt="8">
        <dgm:presLayoutVars>
          <dgm:bulletEnabled val="1"/>
        </dgm:presLayoutVars>
      </dgm:prSet>
      <dgm:spPr/>
    </dgm:pt>
    <dgm:pt modelId="{E08B38A8-55FF-47BC-A233-9ED194CDF9EC}" type="pres">
      <dgm:prSet presAssocID="{7A5A6CA4-46CE-4522-941E-6F913182CC70}" presName="Name9" presStyleLbl="parChTrans1D2" presStyleIdx="2" presStyleCnt="8"/>
      <dgm:spPr/>
    </dgm:pt>
    <dgm:pt modelId="{E177D063-CC1E-4789-BAFF-0F1A03C29C9B}" type="pres">
      <dgm:prSet presAssocID="{7A5A6CA4-46CE-4522-941E-6F913182CC70}" presName="connTx" presStyleLbl="parChTrans1D2" presStyleIdx="2" presStyleCnt="8"/>
      <dgm:spPr/>
    </dgm:pt>
    <dgm:pt modelId="{F99BE54C-9382-4A37-B983-DA96D7764BC4}" type="pres">
      <dgm:prSet presAssocID="{E2557AD1-5F5E-4B4E-9492-447C6A46C32A}" presName="node" presStyleLbl="node1" presStyleIdx="2" presStyleCnt="8">
        <dgm:presLayoutVars>
          <dgm:bulletEnabled val="1"/>
        </dgm:presLayoutVars>
      </dgm:prSet>
      <dgm:spPr/>
    </dgm:pt>
    <dgm:pt modelId="{33930C42-E454-47FB-ABD2-DFD23E0FA3F4}" type="pres">
      <dgm:prSet presAssocID="{C12E2FFF-C7C7-411B-AEF9-785EBACBA6F9}" presName="Name9" presStyleLbl="parChTrans1D2" presStyleIdx="3" presStyleCnt="8"/>
      <dgm:spPr/>
    </dgm:pt>
    <dgm:pt modelId="{4C359623-5638-4B7C-8F9A-6197C209565D}" type="pres">
      <dgm:prSet presAssocID="{C12E2FFF-C7C7-411B-AEF9-785EBACBA6F9}" presName="connTx" presStyleLbl="parChTrans1D2" presStyleIdx="3" presStyleCnt="8"/>
      <dgm:spPr/>
    </dgm:pt>
    <dgm:pt modelId="{A970CD47-FA9B-4CC5-A361-102603A9D245}" type="pres">
      <dgm:prSet presAssocID="{BF413DC4-FE97-4F28-97A6-B9050B1089E7}" presName="node" presStyleLbl="node1" presStyleIdx="3" presStyleCnt="8">
        <dgm:presLayoutVars>
          <dgm:bulletEnabled val="1"/>
        </dgm:presLayoutVars>
      </dgm:prSet>
      <dgm:spPr/>
    </dgm:pt>
    <dgm:pt modelId="{FF6993FB-6444-4146-B427-5FC22F749D47}" type="pres">
      <dgm:prSet presAssocID="{132451FC-F7AB-4725-8398-2F47745ED06A}" presName="Name9" presStyleLbl="parChTrans1D2" presStyleIdx="4" presStyleCnt="8"/>
      <dgm:spPr/>
    </dgm:pt>
    <dgm:pt modelId="{351AF547-2A1C-40A0-BF97-DFD388C43D4B}" type="pres">
      <dgm:prSet presAssocID="{132451FC-F7AB-4725-8398-2F47745ED06A}" presName="connTx" presStyleLbl="parChTrans1D2" presStyleIdx="4" presStyleCnt="8"/>
      <dgm:spPr/>
    </dgm:pt>
    <dgm:pt modelId="{6876C598-827D-4115-BA84-2BD34B72A559}" type="pres">
      <dgm:prSet presAssocID="{070291DA-81AE-4BED-B4CD-6E08AD10D42E}" presName="node" presStyleLbl="node1" presStyleIdx="4" presStyleCnt="8">
        <dgm:presLayoutVars>
          <dgm:bulletEnabled val="1"/>
        </dgm:presLayoutVars>
      </dgm:prSet>
      <dgm:spPr/>
    </dgm:pt>
    <dgm:pt modelId="{1513DE51-80F1-4134-9A1C-122B2A62E260}" type="pres">
      <dgm:prSet presAssocID="{4572468A-832B-4E25-B80C-7E9A165207F0}" presName="Name9" presStyleLbl="parChTrans1D2" presStyleIdx="5" presStyleCnt="8"/>
      <dgm:spPr/>
    </dgm:pt>
    <dgm:pt modelId="{6B46E291-B105-4DD7-9102-F5C3869554F1}" type="pres">
      <dgm:prSet presAssocID="{4572468A-832B-4E25-B80C-7E9A165207F0}" presName="connTx" presStyleLbl="parChTrans1D2" presStyleIdx="5" presStyleCnt="8"/>
      <dgm:spPr/>
    </dgm:pt>
    <dgm:pt modelId="{30DCB91A-6591-40F1-8491-5BDAED73902B}" type="pres">
      <dgm:prSet presAssocID="{40FDB33C-A863-495E-8C6B-467EE668478A}" presName="node" presStyleLbl="node1" presStyleIdx="5" presStyleCnt="8">
        <dgm:presLayoutVars>
          <dgm:bulletEnabled val="1"/>
        </dgm:presLayoutVars>
      </dgm:prSet>
      <dgm:spPr/>
    </dgm:pt>
    <dgm:pt modelId="{865A57BD-0404-40D3-BC04-A7EC5960FAB7}" type="pres">
      <dgm:prSet presAssocID="{0B82121B-11EF-46A0-8D0C-74233AE89BD7}" presName="Name9" presStyleLbl="parChTrans1D2" presStyleIdx="6" presStyleCnt="8"/>
      <dgm:spPr/>
    </dgm:pt>
    <dgm:pt modelId="{027A847C-8444-4B1B-8593-7B4EF8F7B616}" type="pres">
      <dgm:prSet presAssocID="{0B82121B-11EF-46A0-8D0C-74233AE89BD7}" presName="connTx" presStyleLbl="parChTrans1D2" presStyleIdx="6" presStyleCnt="8"/>
      <dgm:spPr/>
    </dgm:pt>
    <dgm:pt modelId="{34C3F8C7-AD4F-4BF7-90CA-6F3638C1459C}" type="pres">
      <dgm:prSet presAssocID="{67384781-FE4C-49F8-8DFC-496F44A35CA4}" presName="node" presStyleLbl="node1" presStyleIdx="6" presStyleCnt="8">
        <dgm:presLayoutVars>
          <dgm:bulletEnabled val="1"/>
        </dgm:presLayoutVars>
      </dgm:prSet>
      <dgm:spPr/>
    </dgm:pt>
    <dgm:pt modelId="{4910744B-8841-45AF-8BFD-801AEC2ADE36}" type="pres">
      <dgm:prSet presAssocID="{CB16F027-013F-4A94-AFC3-8B1AD50AC6F4}" presName="Name9" presStyleLbl="parChTrans1D2" presStyleIdx="7" presStyleCnt="8"/>
      <dgm:spPr/>
    </dgm:pt>
    <dgm:pt modelId="{A079947C-FFBF-4CE7-BE19-F41E04E03B04}" type="pres">
      <dgm:prSet presAssocID="{CB16F027-013F-4A94-AFC3-8B1AD50AC6F4}" presName="connTx" presStyleLbl="parChTrans1D2" presStyleIdx="7" presStyleCnt="8"/>
      <dgm:spPr/>
    </dgm:pt>
    <dgm:pt modelId="{B95A2012-0E2A-44A0-B0DB-B63ADA853477}" type="pres">
      <dgm:prSet presAssocID="{CD89F199-8E76-4E7F-B480-E3C5B4570727}" presName="node" presStyleLbl="node1" presStyleIdx="7" presStyleCnt="8">
        <dgm:presLayoutVars>
          <dgm:bulletEnabled val="1"/>
        </dgm:presLayoutVars>
      </dgm:prSet>
      <dgm:spPr/>
    </dgm:pt>
  </dgm:ptLst>
  <dgm:cxnLst>
    <dgm:cxn modelId="{BBEA7502-FF42-4FE8-A1B3-B493E7D4DCC1}" type="presOf" srcId="{CB16F027-013F-4A94-AFC3-8B1AD50AC6F4}" destId="{4910744B-8841-45AF-8BFD-801AEC2ADE36}" srcOrd="0" destOrd="0" presId="urn:microsoft.com/office/officeart/2005/8/layout/radial1"/>
    <dgm:cxn modelId="{47E7E60A-6CC6-4E7C-B4DE-B8875290F74D}" srcId="{00B864F0-F6FB-4BDB-832F-C059D53C0B79}" destId="{C1A4026D-9133-4BC2-BF71-87582E6648A2}" srcOrd="0" destOrd="0" parTransId="{10AC4F8D-1FDE-444C-B561-9C46945CA855}" sibTransId="{631D609D-8A40-4A94-A4E3-955459C3B788}"/>
    <dgm:cxn modelId="{B90D860E-A1DF-4BCA-82A7-8C0E9AA9C7D3}" type="presOf" srcId="{4572468A-832B-4E25-B80C-7E9A165207F0}" destId="{6B46E291-B105-4DD7-9102-F5C3869554F1}" srcOrd="1" destOrd="0" presId="urn:microsoft.com/office/officeart/2005/8/layout/radial1"/>
    <dgm:cxn modelId="{2658AA0E-ABE7-410D-95CF-11A9016470E3}" type="presOf" srcId="{C12E2FFF-C7C7-411B-AEF9-785EBACBA6F9}" destId="{33930C42-E454-47FB-ABD2-DFD23E0FA3F4}" srcOrd="0" destOrd="0" presId="urn:microsoft.com/office/officeart/2005/8/layout/radial1"/>
    <dgm:cxn modelId="{918A4928-E7E3-4CAD-9783-99C321E3655A}" type="presOf" srcId="{3DE866C4-9926-4EFB-B82D-EFA68D91C418}" destId="{A01DDE92-28E5-476A-BFD5-BE313C766E8F}" srcOrd="0" destOrd="0" presId="urn:microsoft.com/office/officeart/2005/8/layout/radial1"/>
    <dgm:cxn modelId="{FF10D929-2A01-484F-A1D0-6DE9C889B163}" srcId="{00B864F0-F6FB-4BDB-832F-C059D53C0B79}" destId="{40FDB33C-A863-495E-8C6B-467EE668478A}" srcOrd="5" destOrd="0" parTransId="{4572468A-832B-4E25-B80C-7E9A165207F0}" sibTransId="{E632F0A9-9764-4A49-B482-A5471B5B5826}"/>
    <dgm:cxn modelId="{7736C02A-6D4A-4914-B82F-1866B9699200}" srcId="{00B864F0-F6FB-4BDB-832F-C059D53C0B79}" destId="{CD89F199-8E76-4E7F-B480-E3C5B4570727}" srcOrd="7" destOrd="0" parTransId="{CB16F027-013F-4A94-AFC3-8B1AD50AC6F4}" sibTransId="{DB290A6D-CCE8-4081-B3DE-564940560A0C}"/>
    <dgm:cxn modelId="{A169FF2B-67B7-4847-B41B-D88CF5CAE657}" type="presOf" srcId="{00B864F0-F6FB-4BDB-832F-C059D53C0B79}" destId="{E9CB4182-2A9B-47F4-A9BB-2184927A8839}" srcOrd="0" destOrd="0" presId="urn:microsoft.com/office/officeart/2005/8/layout/radial1"/>
    <dgm:cxn modelId="{2D86FB35-5DD0-4532-BA77-CFD0F72F7B3C}" type="presOf" srcId="{132451FC-F7AB-4725-8398-2F47745ED06A}" destId="{FF6993FB-6444-4146-B427-5FC22F749D47}" srcOrd="0" destOrd="0" presId="urn:microsoft.com/office/officeart/2005/8/layout/radial1"/>
    <dgm:cxn modelId="{F3522537-521D-4863-AC0D-F731F4800145}" type="presOf" srcId="{0B82121B-11EF-46A0-8D0C-74233AE89BD7}" destId="{027A847C-8444-4B1B-8593-7B4EF8F7B616}" srcOrd="1" destOrd="0" presId="urn:microsoft.com/office/officeart/2005/8/layout/radial1"/>
    <dgm:cxn modelId="{B28F513E-BD47-4A54-82CE-96D426130099}" type="presOf" srcId="{7A5A6CA4-46CE-4522-941E-6F913182CC70}" destId="{E177D063-CC1E-4789-BAFF-0F1A03C29C9B}" srcOrd="1" destOrd="0" presId="urn:microsoft.com/office/officeart/2005/8/layout/radial1"/>
    <dgm:cxn modelId="{42D0E463-0569-4289-A35E-2DE20B8FB290}" type="presOf" srcId="{132451FC-F7AB-4725-8398-2F47745ED06A}" destId="{351AF547-2A1C-40A0-BF97-DFD388C43D4B}" srcOrd="1" destOrd="0" presId="urn:microsoft.com/office/officeart/2005/8/layout/radial1"/>
    <dgm:cxn modelId="{883AA165-6C41-4995-BE33-3FFAA1462C5C}" srcId="{5CA606CF-7DA1-4BE1-8A23-987854F07408}" destId="{00B864F0-F6FB-4BDB-832F-C059D53C0B79}" srcOrd="0" destOrd="0" parTransId="{B836A744-E552-4332-8319-219219782D23}" sibTransId="{FDD83483-5A58-42B3-AD67-C1CF5DFCF483}"/>
    <dgm:cxn modelId="{CC395046-93D6-4A30-8FE0-C7E428764B53}" type="presOf" srcId="{070291DA-81AE-4BED-B4CD-6E08AD10D42E}" destId="{6876C598-827D-4115-BA84-2BD34B72A559}" srcOrd="0" destOrd="0" presId="urn:microsoft.com/office/officeart/2005/8/layout/radial1"/>
    <dgm:cxn modelId="{FEB8E94D-3A76-43B2-A886-2878F17BE87A}" type="presOf" srcId="{C12E2FFF-C7C7-411B-AEF9-785EBACBA6F9}" destId="{4C359623-5638-4B7C-8F9A-6197C209565D}" srcOrd="1" destOrd="0" presId="urn:microsoft.com/office/officeart/2005/8/layout/radial1"/>
    <dgm:cxn modelId="{84806070-89CD-4FF1-AA7F-F1C6CF0AC217}" srcId="{00B864F0-F6FB-4BDB-832F-C059D53C0B79}" destId="{3DE866C4-9926-4EFB-B82D-EFA68D91C418}" srcOrd="1" destOrd="0" parTransId="{2C1F46C2-3357-46A6-BABB-972171BB685A}" sibTransId="{19F8F815-A67D-495C-9E5B-269C315EB1AF}"/>
    <dgm:cxn modelId="{9FB15C51-DD96-4723-B56F-CB164B5592C3}" srcId="{00B864F0-F6FB-4BDB-832F-C059D53C0B79}" destId="{67384781-FE4C-49F8-8DFC-496F44A35CA4}" srcOrd="6" destOrd="0" parTransId="{0B82121B-11EF-46A0-8D0C-74233AE89BD7}" sibTransId="{3046BD45-CD07-464B-9170-30C28CD3FBA1}"/>
    <dgm:cxn modelId="{2CC4AA52-BD59-4A85-8595-4EAA57B647B9}" type="presOf" srcId="{10AC4F8D-1FDE-444C-B561-9C46945CA855}" destId="{FDA9CF50-2ACA-4F59-AEA0-2BFAADCAEFA8}" srcOrd="1" destOrd="0" presId="urn:microsoft.com/office/officeart/2005/8/layout/radial1"/>
    <dgm:cxn modelId="{53140177-675F-4AC4-B715-5A7C6292415D}" type="presOf" srcId="{0B82121B-11EF-46A0-8D0C-74233AE89BD7}" destId="{865A57BD-0404-40D3-BC04-A7EC5960FAB7}" srcOrd="0" destOrd="0" presId="urn:microsoft.com/office/officeart/2005/8/layout/radial1"/>
    <dgm:cxn modelId="{F4032281-D1FB-4810-857D-CE661D42C54D}" type="presOf" srcId="{7A5A6CA4-46CE-4522-941E-6F913182CC70}" destId="{E08B38A8-55FF-47BC-A233-9ED194CDF9EC}" srcOrd="0" destOrd="0" presId="urn:microsoft.com/office/officeart/2005/8/layout/radial1"/>
    <dgm:cxn modelId="{DF03A186-F02C-4284-9F7D-E605575F16F7}" type="presOf" srcId="{C1A4026D-9133-4BC2-BF71-87582E6648A2}" destId="{A5124D00-4C8C-4743-95B2-CC74957521BC}" srcOrd="0" destOrd="0" presId="urn:microsoft.com/office/officeart/2005/8/layout/radial1"/>
    <dgm:cxn modelId="{9F4FD38E-26D0-4E8E-8B9D-527B3A06E5D8}" type="presOf" srcId="{2C1F46C2-3357-46A6-BABB-972171BB685A}" destId="{11F22FD1-ED77-4A87-8959-D111AFF0CE19}" srcOrd="0" destOrd="0" presId="urn:microsoft.com/office/officeart/2005/8/layout/radial1"/>
    <dgm:cxn modelId="{48BCC6A5-6C73-4B24-85FA-80376E4274AB}" type="presOf" srcId="{67384781-FE4C-49F8-8DFC-496F44A35CA4}" destId="{34C3F8C7-AD4F-4BF7-90CA-6F3638C1459C}" srcOrd="0" destOrd="0" presId="urn:microsoft.com/office/officeart/2005/8/layout/radial1"/>
    <dgm:cxn modelId="{A4A436AF-213A-450E-8C0A-C18A7246EE17}" type="presOf" srcId="{BF413DC4-FE97-4F28-97A6-B9050B1089E7}" destId="{A970CD47-FA9B-4CC5-A361-102603A9D245}" srcOrd="0" destOrd="0" presId="urn:microsoft.com/office/officeart/2005/8/layout/radial1"/>
    <dgm:cxn modelId="{FF848BAF-2BD0-42BB-856C-10938F14EB10}" srcId="{00B864F0-F6FB-4BDB-832F-C059D53C0B79}" destId="{E2557AD1-5F5E-4B4E-9492-447C6A46C32A}" srcOrd="2" destOrd="0" parTransId="{7A5A6CA4-46CE-4522-941E-6F913182CC70}" sibTransId="{74547609-C42F-47B7-BD1A-FFB5678A0C22}"/>
    <dgm:cxn modelId="{739A01B1-F320-4670-9981-56DC451C3F60}" type="presOf" srcId="{4572468A-832B-4E25-B80C-7E9A165207F0}" destId="{1513DE51-80F1-4134-9A1C-122B2A62E260}" srcOrd="0" destOrd="0" presId="urn:microsoft.com/office/officeart/2005/8/layout/radial1"/>
    <dgm:cxn modelId="{7ADA82B1-E459-442D-BCBB-330978D498B2}" type="presOf" srcId="{2C1F46C2-3357-46A6-BABB-972171BB685A}" destId="{32707275-5A4E-4301-BFA2-F48E394279E4}" srcOrd="1" destOrd="0" presId="urn:microsoft.com/office/officeart/2005/8/layout/radial1"/>
    <dgm:cxn modelId="{59F3B0B3-4781-41DF-9B3F-1B30D56C30BD}" srcId="{00B864F0-F6FB-4BDB-832F-C059D53C0B79}" destId="{BF413DC4-FE97-4F28-97A6-B9050B1089E7}" srcOrd="3" destOrd="0" parTransId="{C12E2FFF-C7C7-411B-AEF9-785EBACBA6F9}" sibTransId="{E55366B9-F684-43D1-A3D1-6C5F8132F74B}"/>
    <dgm:cxn modelId="{D7D24BB5-AEDD-4F8D-BB8F-9CE4AAFD6DF9}" type="presOf" srcId="{CD89F199-8E76-4E7F-B480-E3C5B4570727}" destId="{B95A2012-0E2A-44A0-B0DB-B63ADA853477}" srcOrd="0" destOrd="0" presId="urn:microsoft.com/office/officeart/2005/8/layout/radial1"/>
    <dgm:cxn modelId="{15602FB6-F5B4-497E-A2CD-D21DE5D72C7C}" type="presOf" srcId="{5CA606CF-7DA1-4BE1-8A23-987854F07408}" destId="{CF4889F9-28C0-43FA-B231-B1FEAE846940}" srcOrd="0" destOrd="0" presId="urn:microsoft.com/office/officeart/2005/8/layout/radial1"/>
    <dgm:cxn modelId="{9F2F5EB6-6067-47E5-A8B4-B84E8B084FAE}" type="presOf" srcId="{CB16F027-013F-4A94-AFC3-8B1AD50AC6F4}" destId="{A079947C-FFBF-4CE7-BE19-F41E04E03B04}" srcOrd="1" destOrd="0" presId="urn:microsoft.com/office/officeart/2005/8/layout/radial1"/>
    <dgm:cxn modelId="{E0EF08C7-FACD-4F80-B0C7-00B3C039B815}" srcId="{00B864F0-F6FB-4BDB-832F-C059D53C0B79}" destId="{070291DA-81AE-4BED-B4CD-6E08AD10D42E}" srcOrd="4" destOrd="0" parTransId="{132451FC-F7AB-4725-8398-2F47745ED06A}" sibTransId="{000507CE-6040-4463-95BF-9E79D3872847}"/>
    <dgm:cxn modelId="{DB7BB1D0-C8B0-43D9-ACD3-410D4477CDCC}" type="presOf" srcId="{40FDB33C-A863-495E-8C6B-467EE668478A}" destId="{30DCB91A-6591-40F1-8491-5BDAED73902B}" srcOrd="0" destOrd="0" presId="urn:microsoft.com/office/officeart/2005/8/layout/radial1"/>
    <dgm:cxn modelId="{57EE6DDC-A454-42B1-A8B2-71586F618497}" type="presOf" srcId="{E2557AD1-5F5E-4B4E-9492-447C6A46C32A}" destId="{F99BE54C-9382-4A37-B983-DA96D7764BC4}" srcOrd="0" destOrd="0" presId="urn:microsoft.com/office/officeart/2005/8/layout/radial1"/>
    <dgm:cxn modelId="{48BB84EA-6E04-4952-901C-948C8230280E}" type="presOf" srcId="{10AC4F8D-1FDE-444C-B561-9C46945CA855}" destId="{7DF46300-8F50-418A-A905-469418352305}" srcOrd="0" destOrd="0" presId="urn:microsoft.com/office/officeart/2005/8/layout/radial1"/>
    <dgm:cxn modelId="{854A1A52-D3F8-48D9-B388-B42BFAB6F1EB}" type="presParOf" srcId="{CF4889F9-28C0-43FA-B231-B1FEAE846940}" destId="{E9CB4182-2A9B-47F4-A9BB-2184927A8839}" srcOrd="0" destOrd="0" presId="urn:microsoft.com/office/officeart/2005/8/layout/radial1"/>
    <dgm:cxn modelId="{B7DCFBD7-62A2-48CF-830D-6E070D1DBC45}" type="presParOf" srcId="{CF4889F9-28C0-43FA-B231-B1FEAE846940}" destId="{7DF46300-8F50-418A-A905-469418352305}" srcOrd="1" destOrd="0" presId="urn:microsoft.com/office/officeart/2005/8/layout/radial1"/>
    <dgm:cxn modelId="{E41DA44B-D8D7-44A0-8A11-044A6320CB31}" type="presParOf" srcId="{7DF46300-8F50-418A-A905-469418352305}" destId="{FDA9CF50-2ACA-4F59-AEA0-2BFAADCAEFA8}" srcOrd="0" destOrd="0" presId="urn:microsoft.com/office/officeart/2005/8/layout/radial1"/>
    <dgm:cxn modelId="{A6829225-A3B3-4CDA-9D20-2FF99BC04B48}" type="presParOf" srcId="{CF4889F9-28C0-43FA-B231-B1FEAE846940}" destId="{A5124D00-4C8C-4743-95B2-CC74957521BC}" srcOrd="2" destOrd="0" presId="urn:microsoft.com/office/officeart/2005/8/layout/radial1"/>
    <dgm:cxn modelId="{E88C4BD4-ADE9-4A57-82D1-78409D784428}" type="presParOf" srcId="{CF4889F9-28C0-43FA-B231-B1FEAE846940}" destId="{11F22FD1-ED77-4A87-8959-D111AFF0CE19}" srcOrd="3" destOrd="0" presId="urn:microsoft.com/office/officeart/2005/8/layout/radial1"/>
    <dgm:cxn modelId="{7A55131A-BC86-4897-A111-F11F6531149B}" type="presParOf" srcId="{11F22FD1-ED77-4A87-8959-D111AFF0CE19}" destId="{32707275-5A4E-4301-BFA2-F48E394279E4}" srcOrd="0" destOrd="0" presId="urn:microsoft.com/office/officeart/2005/8/layout/radial1"/>
    <dgm:cxn modelId="{C83D995D-7D1E-49C7-8681-95C565A49E8D}" type="presParOf" srcId="{CF4889F9-28C0-43FA-B231-B1FEAE846940}" destId="{A01DDE92-28E5-476A-BFD5-BE313C766E8F}" srcOrd="4" destOrd="0" presId="urn:microsoft.com/office/officeart/2005/8/layout/radial1"/>
    <dgm:cxn modelId="{5F7186BE-CD19-4FC8-8B23-6EEB1C1A7E74}" type="presParOf" srcId="{CF4889F9-28C0-43FA-B231-B1FEAE846940}" destId="{E08B38A8-55FF-47BC-A233-9ED194CDF9EC}" srcOrd="5" destOrd="0" presId="urn:microsoft.com/office/officeart/2005/8/layout/radial1"/>
    <dgm:cxn modelId="{320E7CB1-00E1-4375-9254-E81703FAE252}" type="presParOf" srcId="{E08B38A8-55FF-47BC-A233-9ED194CDF9EC}" destId="{E177D063-CC1E-4789-BAFF-0F1A03C29C9B}" srcOrd="0" destOrd="0" presId="urn:microsoft.com/office/officeart/2005/8/layout/radial1"/>
    <dgm:cxn modelId="{3850D90D-9EAC-4A84-B1A8-45461389D3E9}" type="presParOf" srcId="{CF4889F9-28C0-43FA-B231-B1FEAE846940}" destId="{F99BE54C-9382-4A37-B983-DA96D7764BC4}" srcOrd="6" destOrd="0" presId="urn:microsoft.com/office/officeart/2005/8/layout/radial1"/>
    <dgm:cxn modelId="{13A20447-24A2-4DAD-A23B-0712C1D4B61D}" type="presParOf" srcId="{CF4889F9-28C0-43FA-B231-B1FEAE846940}" destId="{33930C42-E454-47FB-ABD2-DFD23E0FA3F4}" srcOrd="7" destOrd="0" presId="urn:microsoft.com/office/officeart/2005/8/layout/radial1"/>
    <dgm:cxn modelId="{234FD030-B6CB-4F7E-99AF-200F2412E6BD}" type="presParOf" srcId="{33930C42-E454-47FB-ABD2-DFD23E0FA3F4}" destId="{4C359623-5638-4B7C-8F9A-6197C209565D}" srcOrd="0" destOrd="0" presId="urn:microsoft.com/office/officeart/2005/8/layout/radial1"/>
    <dgm:cxn modelId="{96507BBC-096C-49D4-87BA-216F0C577477}" type="presParOf" srcId="{CF4889F9-28C0-43FA-B231-B1FEAE846940}" destId="{A970CD47-FA9B-4CC5-A361-102603A9D245}" srcOrd="8" destOrd="0" presId="urn:microsoft.com/office/officeart/2005/8/layout/radial1"/>
    <dgm:cxn modelId="{D7E1729D-5353-4C3B-947D-59CDE32B78C7}" type="presParOf" srcId="{CF4889F9-28C0-43FA-B231-B1FEAE846940}" destId="{FF6993FB-6444-4146-B427-5FC22F749D47}" srcOrd="9" destOrd="0" presId="urn:microsoft.com/office/officeart/2005/8/layout/radial1"/>
    <dgm:cxn modelId="{1A98B1BB-8158-44A2-96AE-61456AF1946B}" type="presParOf" srcId="{FF6993FB-6444-4146-B427-5FC22F749D47}" destId="{351AF547-2A1C-40A0-BF97-DFD388C43D4B}" srcOrd="0" destOrd="0" presId="urn:microsoft.com/office/officeart/2005/8/layout/radial1"/>
    <dgm:cxn modelId="{A5854C12-8DED-4F5F-AB2A-166F5222C9E9}" type="presParOf" srcId="{CF4889F9-28C0-43FA-B231-B1FEAE846940}" destId="{6876C598-827D-4115-BA84-2BD34B72A559}" srcOrd="10" destOrd="0" presId="urn:microsoft.com/office/officeart/2005/8/layout/radial1"/>
    <dgm:cxn modelId="{85C48692-D898-48F0-9649-DCD8D9A7A513}" type="presParOf" srcId="{CF4889F9-28C0-43FA-B231-B1FEAE846940}" destId="{1513DE51-80F1-4134-9A1C-122B2A62E260}" srcOrd="11" destOrd="0" presId="urn:microsoft.com/office/officeart/2005/8/layout/radial1"/>
    <dgm:cxn modelId="{6BC5AEF4-48D3-4C17-B09E-4F2C81F2F019}" type="presParOf" srcId="{1513DE51-80F1-4134-9A1C-122B2A62E260}" destId="{6B46E291-B105-4DD7-9102-F5C3869554F1}" srcOrd="0" destOrd="0" presId="urn:microsoft.com/office/officeart/2005/8/layout/radial1"/>
    <dgm:cxn modelId="{0F1C2079-74A8-4516-9C84-315F4312C17E}" type="presParOf" srcId="{CF4889F9-28C0-43FA-B231-B1FEAE846940}" destId="{30DCB91A-6591-40F1-8491-5BDAED73902B}" srcOrd="12" destOrd="0" presId="urn:microsoft.com/office/officeart/2005/8/layout/radial1"/>
    <dgm:cxn modelId="{BB00EA3C-537A-4EBF-961F-D345AF70B3B1}" type="presParOf" srcId="{CF4889F9-28C0-43FA-B231-B1FEAE846940}" destId="{865A57BD-0404-40D3-BC04-A7EC5960FAB7}" srcOrd="13" destOrd="0" presId="urn:microsoft.com/office/officeart/2005/8/layout/radial1"/>
    <dgm:cxn modelId="{5D7CC51E-C2EF-42F2-A679-37F765AD38BC}" type="presParOf" srcId="{865A57BD-0404-40D3-BC04-A7EC5960FAB7}" destId="{027A847C-8444-4B1B-8593-7B4EF8F7B616}" srcOrd="0" destOrd="0" presId="urn:microsoft.com/office/officeart/2005/8/layout/radial1"/>
    <dgm:cxn modelId="{E234E339-6DD7-44EC-9867-460096C06685}" type="presParOf" srcId="{CF4889F9-28C0-43FA-B231-B1FEAE846940}" destId="{34C3F8C7-AD4F-4BF7-90CA-6F3638C1459C}" srcOrd="14" destOrd="0" presId="urn:microsoft.com/office/officeart/2005/8/layout/radial1"/>
    <dgm:cxn modelId="{604FC4E3-3C33-43A6-B902-FA1F68045BB9}" type="presParOf" srcId="{CF4889F9-28C0-43FA-B231-B1FEAE846940}" destId="{4910744B-8841-45AF-8BFD-801AEC2ADE36}" srcOrd="15" destOrd="0" presId="urn:microsoft.com/office/officeart/2005/8/layout/radial1"/>
    <dgm:cxn modelId="{A5766412-3FAB-492E-A1D0-D8BF4C8E6EB6}" type="presParOf" srcId="{4910744B-8841-45AF-8BFD-801AEC2ADE36}" destId="{A079947C-FFBF-4CE7-BE19-F41E04E03B04}" srcOrd="0" destOrd="0" presId="urn:microsoft.com/office/officeart/2005/8/layout/radial1"/>
    <dgm:cxn modelId="{B237EF11-F441-49C3-8971-0DA55F0C39DB}" type="presParOf" srcId="{CF4889F9-28C0-43FA-B231-B1FEAE846940}" destId="{B95A2012-0E2A-44A0-B0DB-B63ADA853477}" srcOrd="16"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846143B-F4F5-4E92-B66C-FEBD97266044}" type="doc">
      <dgm:prSet loTypeId="urn:microsoft.com/office/officeart/2005/8/layout/radial3" loCatId="cycle" qsTypeId="urn:microsoft.com/office/officeart/2005/8/quickstyle/simple1" qsCatId="simple" csTypeId="urn:microsoft.com/office/officeart/2005/8/colors/accent3_5" csCatId="accent3" phldr="1"/>
      <dgm:spPr/>
      <dgm:t>
        <a:bodyPr/>
        <a:lstStyle/>
        <a:p>
          <a:endParaRPr lang="en-US"/>
        </a:p>
      </dgm:t>
    </dgm:pt>
    <dgm:pt modelId="{F76E3D66-B2CC-41CB-9F62-A429AEEBA8B5}">
      <dgm:prSet phldrT="[Text]"/>
      <dgm:spPr/>
      <dgm:t>
        <a:bodyPr/>
        <a:lstStyle/>
        <a:p>
          <a:pPr algn="ctr">
            <a:buNone/>
          </a:pPr>
          <a:r>
            <a:rPr lang="en-GB" b="1">
              <a:latin typeface="Times New Roman" panose="02020603050405020304" pitchFamily="18" charset="0"/>
              <a:cs typeface="Times New Roman" panose="02020603050405020304" pitchFamily="18" charset="0"/>
            </a:rPr>
            <a:t>Recommendation</a:t>
          </a:r>
          <a:r>
            <a:rPr lang="en-GB" b="0">
              <a:latin typeface="Times New Roman" panose="02020603050405020304" pitchFamily="18" charset="0"/>
              <a:cs typeface="Times New Roman" panose="02020603050405020304" pitchFamily="18" charset="0"/>
            </a:rPr>
            <a:t>s</a:t>
          </a:r>
          <a:endParaRPr lang="en-US">
            <a:latin typeface="Times New Roman" panose="02020603050405020304" pitchFamily="18" charset="0"/>
            <a:cs typeface="Times New Roman" panose="02020603050405020304" pitchFamily="18" charset="0"/>
          </a:endParaRPr>
        </a:p>
      </dgm:t>
    </dgm:pt>
    <dgm:pt modelId="{3669CD17-6711-4510-B748-38461844E4FC}" type="parTrans" cxnId="{E28D0C51-715C-4055-8DDD-1925C3A9EB8E}">
      <dgm:prSet/>
      <dgm:spPr/>
      <dgm:t>
        <a:bodyPr/>
        <a:lstStyle/>
        <a:p>
          <a:pPr algn="ctr"/>
          <a:endParaRPr lang="en-US"/>
        </a:p>
      </dgm:t>
    </dgm:pt>
    <dgm:pt modelId="{7F9E5DB6-0EC1-47EE-8E43-C256A7B697B2}" type="sibTrans" cxnId="{E28D0C51-715C-4055-8DDD-1925C3A9EB8E}">
      <dgm:prSet/>
      <dgm:spPr/>
      <dgm:t>
        <a:bodyPr/>
        <a:lstStyle/>
        <a:p>
          <a:pPr algn="ctr"/>
          <a:endParaRPr lang="en-US"/>
        </a:p>
      </dgm:t>
    </dgm:pt>
    <dgm:pt modelId="{A2BC40F6-AE91-4EB0-A60D-45254A9EDACE}">
      <dgm:prSet phldrT="[Text]"/>
      <dgm:spPr/>
      <dgm:t>
        <a:bodyPr/>
        <a:lstStyle/>
        <a:p>
          <a:pPr algn="ctr">
            <a:buNone/>
          </a:pPr>
          <a:r>
            <a:rPr lang="en-GB" b="1">
              <a:latin typeface="Times New Roman" panose="02020603050405020304" pitchFamily="18" charset="0"/>
              <a:cs typeface="Times New Roman" panose="02020603050405020304" pitchFamily="18" charset="0"/>
            </a:rPr>
            <a:t>Embed Mental Health into Organisational Strategy</a:t>
          </a:r>
          <a:endParaRPr lang="en-US">
            <a:latin typeface="Times New Roman" panose="02020603050405020304" pitchFamily="18" charset="0"/>
            <a:cs typeface="Times New Roman" panose="02020603050405020304" pitchFamily="18" charset="0"/>
          </a:endParaRPr>
        </a:p>
      </dgm:t>
    </dgm:pt>
    <dgm:pt modelId="{B00A8ABB-477D-4393-A4FF-BE74F46795A0}" type="parTrans" cxnId="{49D2EAE8-A1F2-449E-8AC1-BF9161E6310C}">
      <dgm:prSet/>
      <dgm:spPr/>
      <dgm:t>
        <a:bodyPr/>
        <a:lstStyle/>
        <a:p>
          <a:pPr algn="ctr"/>
          <a:endParaRPr lang="en-US"/>
        </a:p>
      </dgm:t>
    </dgm:pt>
    <dgm:pt modelId="{FDF128AC-955E-4137-B941-892541FF9457}" type="sibTrans" cxnId="{49D2EAE8-A1F2-449E-8AC1-BF9161E6310C}">
      <dgm:prSet/>
      <dgm:spPr/>
      <dgm:t>
        <a:bodyPr/>
        <a:lstStyle/>
        <a:p>
          <a:pPr algn="ctr"/>
          <a:endParaRPr lang="en-US"/>
        </a:p>
      </dgm:t>
    </dgm:pt>
    <dgm:pt modelId="{D98E41B8-89B7-4C00-B663-8D1236DEBED8}">
      <dgm:prSet phldrT="[Text]"/>
      <dgm:spPr/>
      <dgm:t>
        <a:bodyPr/>
        <a:lstStyle/>
        <a:p>
          <a:pPr algn="ctr">
            <a:buNone/>
          </a:pPr>
          <a:r>
            <a:rPr lang="en-GB" b="1">
              <a:latin typeface="Times New Roman" panose="02020603050405020304" pitchFamily="18" charset="0"/>
              <a:cs typeface="Times New Roman" panose="02020603050405020304" pitchFamily="18" charset="0"/>
            </a:rPr>
            <a:t>Leadership Education and Mental Health Literacy.</a:t>
          </a:r>
          <a:endParaRPr lang="en-US">
            <a:latin typeface="Times New Roman" panose="02020603050405020304" pitchFamily="18" charset="0"/>
            <a:cs typeface="Times New Roman" panose="02020603050405020304" pitchFamily="18" charset="0"/>
          </a:endParaRPr>
        </a:p>
      </dgm:t>
    </dgm:pt>
    <dgm:pt modelId="{36202234-4C2C-41E2-BEDD-109DEAA7EC67}" type="parTrans" cxnId="{63117086-6A12-45E3-9321-BB5AC6F73C1E}">
      <dgm:prSet/>
      <dgm:spPr/>
      <dgm:t>
        <a:bodyPr/>
        <a:lstStyle/>
        <a:p>
          <a:pPr algn="ctr"/>
          <a:endParaRPr lang="en-US"/>
        </a:p>
      </dgm:t>
    </dgm:pt>
    <dgm:pt modelId="{35DCAB98-B3C9-4F4D-91C0-E353CEF208DE}" type="sibTrans" cxnId="{63117086-6A12-45E3-9321-BB5AC6F73C1E}">
      <dgm:prSet/>
      <dgm:spPr/>
      <dgm:t>
        <a:bodyPr/>
        <a:lstStyle/>
        <a:p>
          <a:pPr algn="ctr"/>
          <a:endParaRPr lang="en-US"/>
        </a:p>
      </dgm:t>
    </dgm:pt>
    <dgm:pt modelId="{62F8EF0F-500F-46BD-AC9B-A2E645CD7FEC}">
      <dgm:prSet phldrT="[Text]"/>
      <dgm:spPr/>
      <dgm:t>
        <a:bodyPr/>
        <a:lstStyle/>
        <a:p>
          <a:pPr algn="ctr">
            <a:buNone/>
          </a:pPr>
          <a:r>
            <a:rPr lang="en-GB" b="1">
              <a:latin typeface="Times New Roman" panose="02020603050405020304" pitchFamily="18" charset="0"/>
              <a:cs typeface="Times New Roman" panose="02020603050405020304" pitchFamily="18" charset="0"/>
            </a:rPr>
            <a:t>Reform of Policies and Structural Adjustments</a:t>
          </a:r>
          <a:endParaRPr lang="en-US">
            <a:latin typeface="Times New Roman" panose="02020603050405020304" pitchFamily="18" charset="0"/>
            <a:cs typeface="Times New Roman" panose="02020603050405020304" pitchFamily="18" charset="0"/>
          </a:endParaRPr>
        </a:p>
      </dgm:t>
    </dgm:pt>
    <dgm:pt modelId="{D4F14877-C441-4753-9C66-402B90E92D39}" type="parTrans" cxnId="{DCC93F90-A13B-48F8-88E6-1FE62FA65088}">
      <dgm:prSet/>
      <dgm:spPr/>
      <dgm:t>
        <a:bodyPr/>
        <a:lstStyle/>
        <a:p>
          <a:pPr algn="ctr"/>
          <a:endParaRPr lang="en-US"/>
        </a:p>
      </dgm:t>
    </dgm:pt>
    <dgm:pt modelId="{8D010FBC-E538-4415-AC10-3EB53F3E7265}" type="sibTrans" cxnId="{DCC93F90-A13B-48F8-88E6-1FE62FA65088}">
      <dgm:prSet/>
      <dgm:spPr/>
      <dgm:t>
        <a:bodyPr/>
        <a:lstStyle/>
        <a:p>
          <a:pPr algn="ctr"/>
          <a:endParaRPr lang="en-US"/>
        </a:p>
      </dgm:t>
    </dgm:pt>
    <dgm:pt modelId="{C8C8BAAF-8E4A-442A-A21B-AA3715232B01}">
      <dgm:prSet phldrT="[Text]"/>
      <dgm:spPr/>
      <dgm:t>
        <a:bodyPr/>
        <a:lstStyle/>
        <a:p>
          <a:pPr algn="ctr">
            <a:buNone/>
          </a:pPr>
          <a:r>
            <a:rPr lang="en-GB" b="1">
              <a:latin typeface="Times New Roman" panose="02020603050405020304" pitchFamily="18" charset="0"/>
              <a:cs typeface="Times New Roman" panose="02020603050405020304" pitchFamily="18" charset="0"/>
            </a:rPr>
            <a:t>Readily available Employee Support Systems.</a:t>
          </a:r>
          <a:endParaRPr lang="en-US">
            <a:latin typeface="Times New Roman" panose="02020603050405020304" pitchFamily="18" charset="0"/>
            <a:cs typeface="Times New Roman" panose="02020603050405020304" pitchFamily="18" charset="0"/>
          </a:endParaRPr>
        </a:p>
      </dgm:t>
    </dgm:pt>
    <dgm:pt modelId="{C7066595-44FA-42E8-89AA-089F1B19BE7A}" type="parTrans" cxnId="{13FA955D-0A58-486D-952D-3C8CF5DB96AA}">
      <dgm:prSet/>
      <dgm:spPr/>
      <dgm:t>
        <a:bodyPr/>
        <a:lstStyle/>
        <a:p>
          <a:pPr algn="ctr"/>
          <a:endParaRPr lang="en-US"/>
        </a:p>
      </dgm:t>
    </dgm:pt>
    <dgm:pt modelId="{76C73FEE-E887-402E-A232-7549855E490B}" type="sibTrans" cxnId="{13FA955D-0A58-486D-952D-3C8CF5DB96AA}">
      <dgm:prSet/>
      <dgm:spPr/>
      <dgm:t>
        <a:bodyPr/>
        <a:lstStyle/>
        <a:p>
          <a:pPr algn="ctr"/>
          <a:endParaRPr lang="en-US"/>
        </a:p>
      </dgm:t>
    </dgm:pt>
    <dgm:pt modelId="{BD858679-896D-429F-B8A1-3FEFBFDEA9FF}">
      <dgm:prSet/>
      <dgm:spPr/>
      <dgm:t>
        <a:bodyPr/>
        <a:lstStyle/>
        <a:p>
          <a:pPr algn="ctr">
            <a:buNone/>
          </a:pPr>
          <a:r>
            <a:rPr lang="en-GB" b="1">
              <a:latin typeface="Times New Roman" panose="02020603050405020304" pitchFamily="18" charset="0"/>
              <a:cs typeface="Times New Roman" panose="02020603050405020304" pitchFamily="18" charset="0"/>
            </a:rPr>
            <a:t>Enhance an Open and Inclusion Culture</a:t>
          </a:r>
          <a:r>
            <a:rPr lang="en-GB">
              <a:latin typeface="Times New Roman" panose="02020603050405020304" pitchFamily="18" charset="0"/>
              <a:cs typeface="Times New Roman" panose="02020603050405020304" pitchFamily="18" charset="0"/>
            </a:rPr>
            <a:t>.</a:t>
          </a:r>
          <a:endParaRPr lang="en-US">
            <a:latin typeface="Times New Roman" panose="02020603050405020304" pitchFamily="18" charset="0"/>
            <a:cs typeface="Times New Roman" panose="02020603050405020304" pitchFamily="18" charset="0"/>
          </a:endParaRPr>
        </a:p>
      </dgm:t>
    </dgm:pt>
    <dgm:pt modelId="{0EEA3811-29D0-44C1-A4B4-DD91A832E91E}" type="parTrans" cxnId="{64FE623A-2F35-4FF9-96FE-F9F420591D83}">
      <dgm:prSet/>
      <dgm:spPr/>
      <dgm:t>
        <a:bodyPr/>
        <a:lstStyle/>
        <a:p>
          <a:pPr algn="ctr"/>
          <a:endParaRPr lang="en-US"/>
        </a:p>
      </dgm:t>
    </dgm:pt>
    <dgm:pt modelId="{11B8C28E-F71E-4756-BFAE-8C989F598606}" type="sibTrans" cxnId="{64FE623A-2F35-4FF9-96FE-F9F420591D83}">
      <dgm:prSet/>
      <dgm:spPr/>
      <dgm:t>
        <a:bodyPr/>
        <a:lstStyle/>
        <a:p>
          <a:pPr algn="ctr"/>
          <a:endParaRPr lang="en-US"/>
        </a:p>
      </dgm:t>
    </dgm:pt>
    <dgm:pt modelId="{9E728E9F-8215-4939-A22A-E906AB7536D6}">
      <dgm:prSet/>
      <dgm:spPr/>
      <dgm:t>
        <a:bodyPr/>
        <a:lstStyle/>
        <a:p>
          <a:pPr algn="ctr">
            <a:buNone/>
          </a:pPr>
          <a:r>
            <a:rPr lang="en-GB" b="1">
              <a:latin typeface="Times New Roman" panose="02020603050405020304" pitchFamily="18" charset="0"/>
              <a:cs typeface="Times New Roman" panose="02020603050405020304" pitchFamily="18" charset="0"/>
            </a:rPr>
            <a:t>Continuous Monitoring and Research.</a:t>
          </a:r>
          <a:endParaRPr lang="en-US">
            <a:latin typeface="Times New Roman" panose="02020603050405020304" pitchFamily="18" charset="0"/>
            <a:cs typeface="Times New Roman" panose="02020603050405020304" pitchFamily="18" charset="0"/>
          </a:endParaRPr>
        </a:p>
      </dgm:t>
    </dgm:pt>
    <dgm:pt modelId="{2B96E5F8-AC54-4B45-8065-F649C1781397}" type="parTrans" cxnId="{7D4CA855-DD21-4F7F-871B-CB667C141F8A}">
      <dgm:prSet/>
      <dgm:spPr/>
      <dgm:t>
        <a:bodyPr/>
        <a:lstStyle/>
        <a:p>
          <a:pPr algn="ctr"/>
          <a:endParaRPr lang="en-US"/>
        </a:p>
      </dgm:t>
    </dgm:pt>
    <dgm:pt modelId="{E8DCED3B-E160-4A12-8166-F4A7C2AEE76C}" type="sibTrans" cxnId="{7D4CA855-DD21-4F7F-871B-CB667C141F8A}">
      <dgm:prSet/>
      <dgm:spPr/>
      <dgm:t>
        <a:bodyPr/>
        <a:lstStyle/>
        <a:p>
          <a:pPr algn="ctr"/>
          <a:endParaRPr lang="en-US"/>
        </a:p>
      </dgm:t>
    </dgm:pt>
    <dgm:pt modelId="{1E487E88-6FE4-497D-8272-C6E977FC207A}" type="pres">
      <dgm:prSet presAssocID="{1846143B-F4F5-4E92-B66C-FEBD97266044}" presName="composite" presStyleCnt="0">
        <dgm:presLayoutVars>
          <dgm:chMax val="1"/>
          <dgm:dir/>
          <dgm:resizeHandles val="exact"/>
        </dgm:presLayoutVars>
      </dgm:prSet>
      <dgm:spPr/>
    </dgm:pt>
    <dgm:pt modelId="{4CA70628-F1A1-4F8B-840D-B9022DD2ECB7}" type="pres">
      <dgm:prSet presAssocID="{1846143B-F4F5-4E92-B66C-FEBD97266044}" presName="radial" presStyleCnt="0">
        <dgm:presLayoutVars>
          <dgm:animLvl val="ctr"/>
        </dgm:presLayoutVars>
      </dgm:prSet>
      <dgm:spPr/>
    </dgm:pt>
    <dgm:pt modelId="{D8734EAD-CAE6-410A-951D-89F0B8B72721}" type="pres">
      <dgm:prSet presAssocID="{F76E3D66-B2CC-41CB-9F62-A429AEEBA8B5}" presName="centerShape" presStyleLbl="vennNode1" presStyleIdx="0" presStyleCnt="7"/>
      <dgm:spPr/>
    </dgm:pt>
    <dgm:pt modelId="{33A41493-4293-43B6-820F-B48E4F71769F}" type="pres">
      <dgm:prSet presAssocID="{A2BC40F6-AE91-4EB0-A60D-45254A9EDACE}" presName="node" presStyleLbl="vennNode1" presStyleIdx="1" presStyleCnt="7">
        <dgm:presLayoutVars>
          <dgm:bulletEnabled val="1"/>
        </dgm:presLayoutVars>
      </dgm:prSet>
      <dgm:spPr/>
    </dgm:pt>
    <dgm:pt modelId="{CB4E1AAC-9B00-4B14-8DCD-8EA2252A2587}" type="pres">
      <dgm:prSet presAssocID="{D98E41B8-89B7-4C00-B663-8D1236DEBED8}" presName="node" presStyleLbl="vennNode1" presStyleIdx="2" presStyleCnt="7">
        <dgm:presLayoutVars>
          <dgm:bulletEnabled val="1"/>
        </dgm:presLayoutVars>
      </dgm:prSet>
      <dgm:spPr/>
    </dgm:pt>
    <dgm:pt modelId="{E284CCE3-907E-4868-A7D3-D4D169A4D334}" type="pres">
      <dgm:prSet presAssocID="{62F8EF0F-500F-46BD-AC9B-A2E645CD7FEC}" presName="node" presStyleLbl="vennNode1" presStyleIdx="3" presStyleCnt="7">
        <dgm:presLayoutVars>
          <dgm:bulletEnabled val="1"/>
        </dgm:presLayoutVars>
      </dgm:prSet>
      <dgm:spPr/>
    </dgm:pt>
    <dgm:pt modelId="{67F383C7-9A68-4539-BBE7-377CEAF14747}" type="pres">
      <dgm:prSet presAssocID="{C8C8BAAF-8E4A-442A-A21B-AA3715232B01}" presName="node" presStyleLbl="vennNode1" presStyleIdx="4" presStyleCnt="7">
        <dgm:presLayoutVars>
          <dgm:bulletEnabled val="1"/>
        </dgm:presLayoutVars>
      </dgm:prSet>
      <dgm:spPr/>
    </dgm:pt>
    <dgm:pt modelId="{76D2E518-F94B-4865-B82B-61D2E076EBE8}" type="pres">
      <dgm:prSet presAssocID="{BD858679-896D-429F-B8A1-3FEFBFDEA9FF}" presName="node" presStyleLbl="vennNode1" presStyleIdx="5" presStyleCnt="7">
        <dgm:presLayoutVars>
          <dgm:bulletEnabled val="1"/>
        </dgm:presLayoutVars>
      </dgm:prSet>
      <dgm:spPr/>
    </dgm:pt>
    <dgm:pt modelId="{59E914C9-E935-44AD-81C2-BE6C92E9A9C2}" type="pres">
      <dgm:prSet presAssocID="{9E728E9F-8215-4939-A22A-E906AB7536D6}" presName="node" presStyleLbl="vennNode1" presStyleIdx="6" presStyleCnt="7">
        <dgm:presLayoutVars>
          <dgm:bulletEnabled val="1"/>
        </dgm:presLayoutVars>
      </dgm:prSet>
      <dgm:spPr/>
    </dgm:pt>
  </dgm:ptLst>
  <dgm:cxnLst>
    <dgm:cxn modelId="{6523EB06-0433-4530-A7F6-FC631B96285A}" type="presOf" srcId="{D98E41B8-89B7-4C00-B663-8D1236DEBED8}" destId="{CB4E1AAC-9B00-4B14-8DCD-8EA2252A2587}" srcOrd="0" destOrd="0" presId="urn:microsoft.com/office/officeart/2005/8/layout/radial3"/>
    <dgm:cxn modelId="{64FE623A-2F35-4FF9-96FE-F9F420591D83}" srcId="{F76E3D66-B2CC-41CB-9F62-A429AEEBA8B5}" destId="{BD858679-896D-429F-B8A1-3FEFBFDEA9FF}" srcOrd="4" destOrd="0" parTransId="{0EEA3811-29D0-44C1-A4B4-DD91A832E91E}" sibTransId="{11B8C28E-F71E-4756-BFAE-8C989F598606}"/>
    <dgm:cxn modelId="{13FA955D-0A58-486D-952D-3C8CF5DB96AA}" srcId="{F76E3D66-B2CC-41CB-9F62-A429AEEBA8B5}" destId="{C8C8BAAF-8E4A-442A-A21B-AA3715232B01}" srcOrd="3" destOrd="0" parTransId="{C7066595-44FA-42E8-89AA-089F1B19BE7A}" sibTransId="{76C73FEE-E887-402E-A232-7549855E490B}"/>
    <dgm:cxn modelId="{03260A47-63E7-455D-90A2-8154FFAF272A}" type="presOf" srcId="{A2BC40F6-AE91-4EB0-A60D-45254A9EDACE}" destId="{33A41493-4293-43B6-820F-B48E4F71769F}" srcOrd="0" destOrd="0" presId="urn:microsoft.com/office/officeart/2005/8/layout/radial3"/>
    <dgm:cxn modelId="{E28D0C51-715C-4055-8DDD-1925C3A9EB8E}" srcId="{1846143B-F4F5-4E92-B66C-FEBD97266044}" destId="{F76E3D66-B2CC-41CB-9F62-A429AEEBA8B5}" srcOrd="0" destOrd="0" parTransId="{3669CD17-6711-4510-B748-38461844E4FC}" sibTransId="{7F9E5DB6-0EC1-47EE-8E43-C256A7B697B2}"/>
    <dgm:cxn modelId="{7D4CA855-DD21-4F7F-871B-CB667C141F8A}" srcId="{F76E3D66-B2CC-41CB-9F62-A429AEEBA8B5}" destId="{9E728E9F-8215-4939-A22A-E906AB7536D6}" srcOrd="5" destOrd="0" parTransId="{2B96E5F8-AC54-4B45-8065-F649C1781397}" sibTransId="{E8DCED3B-E160-4A12-8166-F4A7C2AEE76C}"/>
    <dgm:cxn modelId="{63117086-6A12-45E3-9321-BB5AC6F73C1E}" srcId="{F76E3D66-B2CC-41CB-9F62-A429AEEBA8B5}" destId="{D98E41B8-89B7-4C00-B663-8D1236DEBED8}" srcOrd="1" destOrd="0" parTransId="{36202234-4C2C-41E2-BEDD-109DEAA7EC67}" sibTransId="{35DCAB98-B3C9-4F4D-91C0-E353CEF208DE}"/>
    <dgm:cxn modelId="{5A66BB8F-756F-4820-AEB5-D60828F97027}" type="presOf" srcId="{1846143B-F4F5-4E92-B66C-FEBD97266044}" destId="{1E487E88-6FE4-497D-8272-C6E977FC207A}" srcOrd="0" destOrd="0" presId="urn:microsoft.com/office/officeart/2005/8/layout/radial3"/>
    <dgm:cxn modelId="{DCC93F90-A13B-48F8-88E6-1FE62FA65088}" srcId="{F76E3D66-B2CC-41CB-9F62-A429AEEBA8B5}" destId="{62F8EF0F-500F-46BD-AC9B-A2E645CD7FEC}" srcOrd="2" destOrd="0" parTransId="{D4F14877-C441-4753-9C66-402B90E92D39}" sibTransId="{8D010FBC-E538-4415-AC10-3EB53F3E7265}"/>
    <dgm:cxn modelId="{6238739C-5C67-473E-BBA3-AC60EEA918BD}" type="presOf" srcId="{BD858679-896D-429F-B8A1-3FEFBFDEA9FF}" destId="{76D2E518-F94B-4865-B82B-61D2E076EBE8}" srcOrd="0" destOrd="0" presId="urn:microsoft.com/office/officeart/2005/8/layout/radial3"/>
    <dgm:cxn modelId="{90D68DAD-4989-474F-98EE-A4F848D9A84D}" type="presOf" srcId="{C8C8BAAF-8E4A-442A-A21B-AA3715232B01}" destId="{67F383C7-9A68-4539-BBE7-377CEAF14747}" srcOrd="0" destOrd="0" presId="urn:microsoft.com/office/officeart/2005/8/layout/radial3"/>
    <dgm:cxn modelId="{7D1868C1-44A9-4346-93CB-65593A2DB620}" type="presOf" srcId="{62F8EF0F-500F-46BD-AC9B-A2E645CD7FEC}" destId="{E284CCE3-907E-4868-A7D3-D4D169A4D334}" srcOrd="0" destOrd="0" presId="urn:microsoft.com/office/officeart/2005/8/layout/radial3"/>
    <dgm:cxn modelId="{761CE8DB-AA39-434F-B7AC-CD429AF91E10}" type="presOf" srcId="{9E728E9F-8215-4939-A22A-E906AB7536D6}" destId="{59E914C9-E935-44AD-81C2-BE6C92E9A9C2}" srcOrd="0" destOrd="0" presId="urn:microsoft.com/office/officeart/2005/8/layout/radial3"/>
    <dgm:cxn modelId="{49D2EAE8-A1F2-449E-8AC1-BF9161E6310C}" srcId="{F76E3D66-B2CC-41CB-9F62-A429AEEBA8B5}" destId="{A2BC40F6-AE91-4EB0-A60D-45254A9EDACE}" srcOrd="0" destOrd="0" parTransId="{B00A8ABB-477D-4393-A4FF-BE74F46795A0}" sibTransId="{FDF128AC-955E-4137-B941-892541FF9457}"/>
    <dgm:cxn modelId="{FDFA74EC-A1F4-40DD-B9F8-BBC28F07F9D0}" type="presOf" srcId="{F76E3D66-B2CC-41CB-9F62-A429AEEBA8B5}" destId="{D8734EAD-CAE6-410A-951D-89F0B8B72721}" srcOrd="0" destOrd="0" presId="urn:microsoft.com/office/officeart/2005/8/layout/radial3"/>
    <dgm:cxn modelId="{CF4C6F16-A464-499B-87D8-283D689C1FC5}" type="presParOf" srcId="{1E487E88-6FE4-497D-8272-C6E977FC207A}" destId="{4CA70628-F1A1-4F8B-840D-B9022DD2ECB7}" srcOrd="0" destOrd="0" presId="urn:microsoft.com/office/officeart/2005/8/layout/radial3"/>
    <dgm:cxn modelId="{F181BC70-2BF3-4040-910F-35FCF774DC19}" type="presParOf" srcId="{4CA70628-F1A1-4F8B-840D-B9022DD2ECB7}" destId="{D8734EAD-CAE6-410A-951D-89F0B8B72721}" srcOrd="0" destOrd="0" presId="urn:microsoft.com/office/officeart/2005/8/layout/radial3"/>
    <dgm:cxn modelId="{1EAA7687-67E3-4932-8F02-D5871E0E5827}" type="presParOf" srcId="{4CA70628-F1A1-4F8B-840D-B9022DD2ECB7}" destId="{33A41493-4293-43B6-820F-B48E4F71769F}" srcOrd="1" destOrd="0" presId="urn:microsoft.com/office/officeart/2005/8/layout/radial3"/>
    <dgm:cxn modelId="{E7811E7C-0551-4146-85E6-CC359132D081}" type="presParOf" srcId="{4CA70628-F1A1-4F8B-840D-B9022DD2ECB7}" destId="{CB4E1AAC-9B00-4B14-8DCD-8EA2252A2587}" srcOrd="2" destOrd="0" presId="urn:microsoft.com/office/officeart/2005/8/layout/radial3"/>
    <dgm:cxn modelId="{E3F8523D-4D5B-4242-AEAC-48B3A7D0AA9B}" type="presParOf" srcId="{4CA70628-F1A1-4F8B-840D-B9022DD2ECB7}" destId="{E284CCE3-907E-4868-A7D3-D4D169A4D334}" srcOrd="3" destOrd="0" presId="urn:microsoft.com/office/officeart/2005/8/layout/radial3"/>
    <dgm:cxn modelId="{83ED41DF-B5C2-4755-ADA5-956DBBE3988E}" type="presParOf" srcId="{4CA70628-F1A1-4F8B-840D-B9022DD2ECB7}" destId="{67F383C7-9A68-4539-BBE7-377CEAF14747}" srcOrd="4" destOrd="0" presId="urn:microsoft.com/office/officeart/2005/8/layout/radial3"/>
    <dgm:cxn modelId="{A567BE4C-4D60-4353-AE97-8F53F5F3FE8F}" type="presParOf" srcId="{4CA70628-F1A1-4F8B-840D-B9022DD2ECB7}" destId="{76D2E518-F94B-4865-B82B-61D2E076EBE8}" srcOrd="5" destOrd="0" presId="urn:microsoft.com/office/officeart/2005/8/layout/radial3"/>
    <dgm:cxn modelId="{301B8FAB-9E6F-4145-8CF0-57DC3346AAE2}" type="presParOf" srcId="{4CA70628-F1A1-4F8B-840D-B9022DD2ECB7}" destId="{59E914C9-E935-44AD-81C2-BE6C92E9A9C2}" srcOrd="6" destOrd="0" presId="urn:microsoft.com/office/officeart/2005/8/layout/radial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EE9489-15EC-4DEA-8F90-21D9177DB5FB}">
      <dsp:nvSpPr>
        <dsp:cNvPr id="0" name=""/>
        <dsp:cNvSpPr/>
      </dsp:nvSpPr>
      <dsp:spPr>
        <a:xfrm>
          <a:off x="1100291" y="239226"/>
          <a:ext cx="1907183" cy="1907183"/>
        </a:xfrm>
        <a:prstGeom prst="blockArc">
          <a:avLst>
            <a:gd name="adj1" fmla="val 13114286"/>
            <a:gd name="adj2" fmla="val 16200000"/>
            <a:gd name="adj3" fmla="val 3880"/>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861CB5F-5DE7-41E0-BAD4-00923833D15F}">
      <dsp:nvSpPr>
        <dsp:cNvPr id="0" name=""/>
        <dsp:cNvSpPr/>
      </dsp:nvSpPr>
      <dsp:spPr>
        <a:xfrm>
          <a:off x="1100291" y="239226"/>
          <a:ext cx="1907183" cy="1907183"/>
        </a:xfrm>
        <a:prstGeom prst="blockArc">
          <a:avLst>
            <a:gd name="adj1" fmla="val 10028571"/>
            <a:gd name="adj2" fmla="val 13114286"/>
            <a:gd name="adj3" fmla="val 3880"/>
          </a:avLst>
        </a:prstGeom>
        <a:gradFill rotWithShape="0">
          <a:gsLst>
            <a:gs pos="0">
              <a:schemeClr val="accent2">
                <a:hueOff val="5369678"/>
                <a:satOff val="-15411"/>
                <a:lumOff val="-24674"/>
                <a:alphaOff val="0"/>
                <a:satMod val="103000"/>
                <a:lumMod val="102000"/>
                <a:tint val="94000"/>
              </a:schemeClr>
            </a:gs>
            <a:gs pos="50000">
              <a:schemeClr val="accent2">
                <a:hueOff val="5369678"/>
                <a:satOff val="-15411"/>
                <a:lumOff val="-24674"/>
                <a:alphaOff val="0"/>
                <a:satMod val="110000"/>
                <a:lumMod val="100000"/>
                <a:shade val="100000"/>
              </a:schemeClr>
            </a:gs>
            <a:gs pos="100000">
              <a:schemeClr val="accent2">
                <a:hueOff val="5369678"/>
                <a:satOff val="-15411"/>
                <a:lumOff val="-2467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5958ECB-E761-423E-B188-E810419C6D91}">
      <dsp:nvSpPr>
        <dsp:cNvPr id="0" name=""/>
        <dsp:cNvSpPr/>
      </dsp:nvSpPr>
      <dsp:spPr>
        <a:xfrm>
          <a:off x="1100291" y="239226"/>
          <a:ext cx="1907183" cy="1907183"/>
        </a:xfrm>
        <a:prstGeom prst="blockArc">
          <a:avLst>
            <a:gd name="adj1" fmla="val 6942857"/>
            <a:gd name="adj2" fmla="val 10028571"/>
            <a:gd name="adj3" fmla="val 3880"/>
          </a:avLst>
        </a:prstGeom>
        <a:gradFill rotWithShape="0">
          <a:gsLst>
            <a:gs pos="0">
              <a:schemeClr val="accent2">
                <a:hueOff val="4295743"/>
                <a:satOff val="-12329"/>
                <a:lumOff val="-19739"/>
                <a:alphaOff val="0"/>
                <a:satMod val="103000"/>
                <a:lumMod val="102000"/>
                <a:tint val="94000"/>
              </a:schemeClr>
            </a:gs>
            <a:gs pos="50000">
              <a:schemeClr val="accent2">
                <a:hueOff val="4295743"/>
                <a:satOff val="-12329"/>
                <a:lumOff val="-19739"/>
                <a:alphaOff val="0"/>
                <a:satMod val="110000"/>
                <a:lumMod val="100000"/>
                <a:shade val="100000"/>
              </a:schemeClr>
            </a:gs>
            <a:gs pos="100000">
              <a:schemeClr val="accent2">
                <a:hueOff val="4295743"/>
                <a:satOff val="-12329"/>
                <a:lumOff val="-1973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44E8FED-CE18-4CD6-BC8F-A2EE5708B861}">
      <dsp:nvSpPr>
        <dsp:cNvPr id="0" name=""/>
        <dsp:cNvSpPr/>
      </dsp:nvSpPr>
      <dsp:spPr>
        <a:xfrm>
          <a:off x="1100291" y="239226"/>
          <a:ext cx="1907183" cy="1907183"/>
        </a:xfrm>
        <a:prstGeom prst="blockArc">
          <a:avLst>
            <a:gd name="adj1" fmla="val 3857143"/>
            <a:gd name="adj2" fmla="val 6942857"/>
            <a:gd name="adj3" fmla="val 3880"/>
          </a:avLst>
        </a:prstGeom>
        <a:gradFill rotWithShape="0">
          <a:gsLst>
            <a:gs pos="0">
              <a:schemeClr val="accent2">
                <a:hueOff val="3221807"/>
                <a:satOff val="-9246"/>
                <a:lumOff val="-14805"/>
                <a:alphaOff val="0"/>
                <a:satMod val="103000"/>
                <a:lumMod val="102000"/>
                <a:tint val="94000"/>
              </a:schemeClr>
            </a:gs>
            <a:gs pos="50000">
              <a:schemeClr val="accent2">
                <a:hueOff val="3221807"/>
                <a:satOff val="-9246"/>
                <a:lumOff val="-14805"/>
                <a:alphaOff val="0"/>
                <a:satMod val="110000"/>
                <a:lumMod val="100000"/>
                <a:shade val="100000"/>
              </a:schemeClr>
            </a:gs>
            <a:gs pos="100000">
              <a:schemeClr val="accent2">
                <a:hueOff val="3221807"/>
                <a:satOff val="-9246"/>
                <a:lumOff val="-148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F7C0891-BCD1-4C6A-B2EF-4C2ED99B30E8}">
      <dsp:nvSpPr>
        <dsp:cNvPr id="0" name=""/>
        <dsp:cNvSpPr/>
      </dsp:nvSpPr>
      <dsp:spPr>
        <a:xfrm>
          <a:off x="1100291" y="239226"/>
          <a:ext cx="1907183" cy="1907183"/>
        </a:xfrm>
        <a:prstGeom prst="blockArc">
          <a:avLst>
            <a:gd name="adj1" fmla="val 771429"/>
            <a:gd name="adj2" fmla="val 3857143"/>
            <a:gd name="adj3" fmla="val 3880"/>
          </a:avLst>
        </a:prstGeom>
        <a:gradFill rotWithShape="0">
          <a:gsLst>
            <a:gs pos="0">
              <a:schemeClr val="accent2">
                <a:hueOff val="2147871"/>
                <a:satOff val="-6164"/>
                <a:lumOff val="-9870"/>
                <a:alphaOff val="0"/>
                <a:satMod val="103000"/>
                <a:lumMod val="102000"/>
                <a:tint val="94000"/>
              </a:schemeClr>
            </a:gs>
            <a:gs pos="50000">
              <a:schemeClr val="accent2">
                <a:hueOff val="2147871"/>
                <a:satOff val="-6164"/>
                <a:lumOff val="-9870"/>
                <a:alphaOff val="0"/>
                <a:satMod val="110000"/>
                <a:lumMod val="100000"/>
                <a:shade val="100000"/>
              </a:schemeClr>
            </a:gs>
            <a:gs pos="100000">
              <a:schemeClr val="accent2">
                <a:hueOff val="2147871"/>
                <a:satOff val="-6164"/>
                <a:lumOff val="-987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B67B521-F860-4B25-A551-51E5CB682F98}">
      <dsp:nvSpPr>
        <dsp:cNvPr id="0" name=""/>
        <dsp:cNvSpPr/>
      </dsp:nvSpPr>
      <dsp:spPr>
        <a:xfrm>
          <a:off x="1100291" y="239226"/>
          <a:ext cx="1907183" cy="1907183"/>
        </a:xfrm>
        <a:prstGeom prst="blockArc">
          <a:avLst>
            <a:gd name="adj1" fmla="val 19285714"/>
            <a:gd name="adj2" fmla="val 771429"/>
            <a:gd name="adj3" fmla="val 3880"/>
          </a:avLst>
        </a:prstGeom>
        <a:gradFill rotWithShape="0">
          <a:gsLst>
            <a:gs pos="0">
              <a:schemeClr val="accent2">
                <a:hueOff val="1073936"/>
                <a:satOff val="-3082"/>
                <a:lumOff val="-4935"/>
                <a:alphaOff val="0"/>
                <a:satMod val="103000"/>
                <a:lumMod val="102000"/>
                <a:tint val="94000"/>
              </a:schemeClr>
            </a:gs>
            <a:gs pos="50000">
              <a:schemeClr val="accent2">
                <a:hueOff val="1073936"/>
                <a:satOff val="-3082"/>
                <a:lumOff val="-4935"/>
                <a:alphaOff val="0"/>
                <a:satMod val="110000"/>
                <a:lumMod val="100000"/>
                <a:shade val="100000"/>
              </a:schemeClr>
            </a:gs>
            <a:gs pos="100000">
              <a:schemeClr val="accent2">
                <a:hueOff val="1073936"/>
                <a:satOff val="-3082"/>
                <a:lumOff val="-493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80BD9A7-C34D-4E67-AFB9-A9E5418C5898}">
      <dsp:nvSpPr>
        <dsp:cNvPr id="0" name=""/>
        <dsp:cNvSpPr/>
      </dsp:nvSpPr>
      <dsp:spPr>
        <a:xfrm>
          <a:off x="1100291" y="239226"/>
          <a:ext cx="1907183" cy="1907183"/>
        </a:xfrm>
        <a:prstGeom prst="blockArc">
          <a:avLst>
            <a:gd name="adj1" fmla="val 16200000"/>
            <a:gd name="adj2" fmla="val 19285714"/>
            <a:gd name="adj3" fmla="val 388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0350E41-4265-486E-B575-4522D89C690F}">
      <dsp:nvSpPr>
        <dsp:cNvPr id="0" name=""/>
        <dsp:cNvSpPr/>
      </dsp:nvSpPr>
      <dsp:spPr>
        <a:xfrm>
          <a:off x="1686831" y="825766"/>
          <a:ext cx="734102" cy="7341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Literature Review</a:t>
          </a:r>
          <a:endParaRPr lang="en-US" sz="800" kern="1200">
            <a:latin typeface="Times New Roman" panose="02020603050405020304" pitchFamily="18" charset="0"/>
            <a:cs typeface="Times New Roman" panose="02020603050405020304" pitchFamily="18" charset="0"/>
          </a:endParaRPr>
        </a:p>
      </dsp:txBody>
      <dsp:txXfrm>
        <a:off x="1794338" y="933273"/>
        <a:ext cx="519088" cy="519088"/>
      </dsp:txXfrm>
    </dsp:sp>
    <dsp:sp modelId="{0D9A917B-BD5B-430A-A2D2-5715B6730BB3}">
      <dsp:nvSpPr>
        <dsp:cNvPr id="0" name=""/>
        <dsp:cNvSpPr/>
      </dsp:nvSpPr>
      <dsp:spPr>
        <a:xfrm>
          <a:off x="1796947" y="789"/>
          <a:ext cx="513871" cy="513871"/>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The Structural Roots of the Crisis</a:t>
          </a:r>
          <a:endParaRPr lang="en-US" sz="500" kern="1200">
            <a:latin typeface="Times New Roman" panose="02020603050405020304" pitchFamily="18" charset="0"/>
            <a:cs typeface="Times New Roman" panose="02020603050405020304" pitchFamily="18" charset="0"/>
          </a:endParaRPr>
        </a:p>
      </dsp:txBody>
      <dsp:txXfrm>
        <a:off x="1872202" y="76044"/>
        <a:ext cx="363361" cy="363361"/>
      </dsp:txXfrm>
    </dsp:sp>
    <dsp:sp modelId="{FA5EFEEA-16F6-4084-A6FC-B554EC279DA4}">
      <dsp:nvSpPr>
        <dsp:cNvPr id="0" name=""/>
        <dsp:cNvSpPr/>
      </dsp:nvSpPr>
      <dsp:spPr>
        <a:xfrm>
          <a:off x="2528031" y="352861"/>
          <a:ext cx="513871" cy="513871"/>
        </a:xfrm>
        <a:prstGeom prst="ellipse">
          <a:avLst/>
        </a:prstGeom>
        <a:gradFill rotWithShape="0">
          <a:gsLst>
            <a:gs pos="0">
              <a:schemeClr val="accent2">
                <a:hueOff val="1073936"/>
                <a:satOff val="-3082"/>
                <a:lumOff val="-4935"/>
                <a:alphaOff val="0"/>
                <a:satMod val="103000"/>
                <a:lumMod val="102000"/>
                <a:tint val="94000"/>
              </a:schemeClr>
            </a:gs>
            <a:gs pos="50000">
              <a:schemeClr val="accent2">
                <a:hueOff val="1073936"/>
                <a:satOff val="-3082"/>
                <a:lumOff val="-4935"/>
                <a:alphaOff val="0"/>
                <a:satMod val="110000"/>
                <a:lumMod val="100000"/>
                <a:shade val="100000"/>
              </a:schemeClr>
            </a:gs>
            <a:gs pos="100000">
              <a:schemeClr val="accent2">
                <a:hueOff val="1073936"/>
                <a:satOff val="-3082"/>
                <a:lumOff val="-493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The Pandemic as a Catalyst</a:t>
          </a:r>
          <a:endParaRPr lang="en-US" sz="500" kern="1200">
            <a:latin typeface="Times New Roman" panose="02020603050405020304" pitchFamily="18" charset="0"/>
            <a:cs typeface="Times New Roman" panose="02020603050405020304" pitchFamily="18" charset="0"/>
          </a:endParaRPr>
        </a:p>
      </dsp:txBody>
      <dsp:txXfrm>
        <a:off x="2603286" y="428116"/>
        <a:ext cx="363361" cy="363361"/>
      </dsp:txXfrm>
    </dsp:sp>
    <dsp:sp modelId="{9B61A729-A2CB-4388-A7DC-9A4B6FA23484}">
      <dsp:nvSpPr>
        <dsp:cNvPr id="0" name=""/>
        <dsp:cNvSpPr/>
      </dsp:nvSpPr>
      <dsp:spPr>
        <a:xfrm>
          <a:off x="2708594" y="1143959"/>
          <a:ext cx="513871" cy="513871"/>
        </a:xfrm>
        <a:prstGeom prst="ellipse">
          <a:avLst/>
        </a:prstGeom>
        <a:gradFill rotWithShape="0">
          <a:gsLst>
            <a:gs pos="0">
              <a:schemeClr val="accent2">
                <a:hueOff val="2147871"/>
                <a:satOff val="-6164"/>
                <a:lumOff val="-9870"/>
                <a:alphaOff val="0"/>
                <a:satMod val="103000"/>
                <a:lumMod val="102000"/>
                <a:tint val="94000"/>
              </a:schemeClr>
            </a:gs>
            <a:gs pos="50000">
              <a:schemeClr val="accent2">
                <a:hueOff val="2147871"/>
                <a:satOff val="-6164"/>
                <a:lumOff val="-9870"/>
                <a:alphaOff val="0"/>
                <a:satMod val="110000"/>
                <a:lumMod val="100000"/>
                <a:shade val="100000"/>
              </a:schemeClr>
            </a:gs>
            <a:gs pos="100000">
              <a:schemeClr val="accent2">
                <a:hueOff val="2147871"/>
                <a:satOff val="-6164"/>
                <a:lumOff val="-987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Stigma, Silence, and Culture in Organisations</a:t>
          </a:r>
          <a:endParaRPr lang="en-US" sz="500" kern="1200">
            <a:latin typeface="Times New Roman" panose="02020603050405020304" pitchFamily="18" charset="0"/>
            <a:cs typeface="Times New Roman" panose="02020603050405020304" pitchFamily="18" charset="0"/>
          </a:endParaRPr>
        </a:p>
      </dsp:txBody>
      <dsp:txXfrm>
        <a:off x="2783849" y="1219214"/>
        <a:ext cx="363361" cy="363361"/>
      </dsp:txXfrm>
    </dsp:sp>
    <dsp:sp modelId="{05009561-10BA-47C5-8B8F-65FA3C974E6D}">
      <dsp:nvSpPr>
        <dsp:cNvPr id="0" name=""/>
        <dsp:cNvSpPr/>
      </dsp:nvSpPr>
      <dsp:spPr>
        <a:xfrm>
          <a:off x="2202668" y="1778371"/>
          <a:ext cx="513871" cy="513871"/>
        </a:xfrm>
        <a:prstGeom prst="ellipse">
          <a:avLst/>
        </a:prstGeom>
        <a:gradFill rotWithShape="0">
          <a:gsLst>
            <a:gs pos="0">
              <a:schemeClr val="accent2">
                <a:hueOff val="3221807"/>
                <a:satOff val="-9246"/>
                <a:lumOff val="-14805"/>
                <a:alphaOff val="0"/>
                <a:satMod val="103000"/>
                <a:lumMod val="102000"/>
                <a:tint val="94000"/>
              </a:schemeClr>
            </a:gs>
            <a:gs pos="50000">
              <a:schemeClr val="accent2">
                <a:hueOff val="3221807"/>
                <a:satOff val="-9246"/>
                <a:lumOff val="-14805"/>
                <a:alphaOff val="0"/>
                <a:satMod val="110000"/>
                <a:lumMod val="100000"/>
                <a:shade val="100000"/>
              </a:schemeClr>
            </a:gs>
            <a:gs pos="100000">
              <a:schemeClr val="accent2">
                <a:hueOff val="3221807"/>
                <a:satOff val="-9246"/>
                <a:lumOff val="-148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Leadership and Managerial Influence</a:t>
          </a:r>
          <a:endParaRPr lang="en-US" sz="500" kern="1200">
            <a:latin typeface="Times New Roman" panose="02020603050405020304" pitchFamily="18" charset="0"/>
            <a:cs typeface="Times New Roman" panose="02020603050405020304" pitchFamily="18" charset="0"/>
          </a:endParaRPr>
        </a:p>
      </dsp:txBody>
      <dsp:txXfrm>
        <a:off x="2277923" y="1853626"/>
        <a:ext cx="363361" cy="363361"/>
      </dsp:txXfrm>
    </dsp:sp>
    <dsp:sp modelId="{1118E03A-61BF-49E9-B624-DB40F66B1ACA}">
      <dsp:nvSpPr>
        <dsp:cNvPr id="0" name=""/>
        <dsp:cNvSpPr/>
      </dsp:nvSpPr>
      <dsp:spPr>
        <a:xfrm>
          <a:off x="1391225" y="1778371"/>
          <a:ext cx="513871" cy="513871"/>
        </a:xfrm>
        <a:prstGeom prst="ellipse">
          <a:avLst/>
        </a:prstGeom>
        <a:gradFill rotWithShape="0">
          <a:gsLst>
            <a:gs pos="0">
              <a:schemeClr val="accent2">
                <a:hueOff val="4295743"/>
                <a:satOff val="-12329"/>
                <a:lumOff val="-19739"/>
                <a:alphaOff val="0"/>
                <a:satMod val="103000"/>
                <a:lumMod val="102000"/>
                <a:tint val="94000"/>
              </a:schemeClr>
            </a:gs>
            <a:gs pos="50000">
              <a:schemeClr val="accent2">
                <a:hueOff val="4295743"/>
                <a:satOff val="-12329"/>
                <a:lumOff val="-19739"/>
                <a:alphaOff val="0"/>
                <a:satMod val="110000"/>
                <a:lumMod val="100000"/>
                <a:shade val="100000"/>
              </a:schemeClr>
            </a:gs>
            <a:gs pos="100000">
              <a:schemeClr val="accent2">
                <a:hueOff val="4295743"/>
                <a:satOff val="-12329"/>
                <a:lumOff val="-1973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Gender, Diversity, and Intersectional Effects </a:t>
          </a:r>
          <a:endParaRPr lang="en-US" sz="500" kern="1200">
            <a:latin typeface="Times New Roman" panose="02020603050405020304" pitchFamily="18" charset="0"/>
            <a:cs typeface="Times New Roman" panose="02020603050405020304" pitchFamily="18" charset="0"/>
          </a:endParaRPr>
        </a:p>
      </dsp:txBody>
      <dsp:txXfrm>
        <a:off x="1466480" y="1853626"/>
        <a:ext cx="363361" cy="363361"/>
      </dsp:txXfrm>
    </dsp:sp>
    <dsp:sp modelId="{443A9F0F-B0ED-4859-ABC5-F7B40B014D1A}">
      <dsp:nvSpPr>
        <dsp:cNvPr id="0" name=""/>
        <dsp:cNvSpPr/>
      </dsp:nvSpPr>
      <dsp:spPr>
        <a:xfrm>
          <a:off x="885299" y="1143959"/>
          <a:ext cx="513871" cy="513871"/>
        </a:xfrm>
        <a:prstGeom prst="ellipse">
          <a:avLst/>
        </a:prstGeom>
        <a:gradFill rotWithShape="0">
          <a:gsLst>
            <a:gs pos="0">
              <a:schemeClr val="accent2">
                <a:hueOff val="5369678"/>
                <a:satOff val="-15411"/>
                <a:lumOff val="-24674"/>
                <a:alphaOff val="0"/>
                <a:satMod val="103000"/>
                <a:lumMod val="102000"/>
                <a:tint val="94000"/>
              </a:schemeClr>
            </a:gs>
            <a:gs pos="50000">
              <a:schemeClr val="accent2">
                <a:hueOff val="5369678"/>
                <a:satOff val="-15411"/>
                <a:lumOff val="-24674"/>
                <a:alphaOff val="0"/>
                <a:satMod val="110000"/>
                <a:lumMod val="100000"/>
                <a:shade val="100000"/>
              </a:schemeClr>
            </a:gs>
            <a:gs pos="100000">
              <a:schemeClr val="accent2">
                <a:hueOff val="5369678"/>
                <a:satOff val="-15411"/>
                <a:lumOff val="-2467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Industry Responses</a:t>
          </a:r>
          <a:endParaRPr lang="en-US" sz="500" kern="1200">
            <a:latin typeface="Times New Roman" panose="02020603050405020304" pitchFamily="18" charset="0"/>
            <a:cs typeface="Times New Roman" panose="02020603050405020304" pitchFamily="18" charset="0"/>
          </a:endParaRPr>
        </a:p>
      </dsp:txBody>
      <dsp:txXfrm>
        <a:off x="960554" y="1219214"/>
        <a:ext cx="363361" cy="363361"/>
      </dsp:txXfrm>
    </dsp:sp>
    <dsp:sp modelId="{BB8741E1-7430-40D2-8D26-154E403218FE}">
      <dsp:nvSpPr>
        <dsp:cNvPr id="0" name=""/>
        <dsp:cNvSpPr/>
      </dsp:nvSpPr>
      <dsp:spPr>
        <a:xfrm>
          <a:off x="1065862" y="352861"/>
          <a:ext cx="513871" cy="513871"/>
        </a:xfrm>
        <a:prstGeom prst="ellipse">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Summary </a:t>
          </a:r>
          <a:endParaRPr lang="en-US" sz="500" kern="1200">
            <a:latin typeface="Times New Roman" panose="02020603050405020304" pitchFamily="18" charset="0"/>
            <a:cs typeface="Times New Roman" panose="02020603050405020304" pitchFamily="18" charset="0"/>
          </a:endParaRPr>
        </a:p>
      </dsp:txBody>
      <dsp:txXfrm>
        <a:off x="1141117" y="428116"/>
        <a:ext cx="363361" cy="3633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CB4182-2A9B-47F4-A9BB-2184927A8839}">
      <dsp:nvSpPr>
        <dsp:cNvPr id="0" name=""/>
        <dsp:cNvSpPr/>
      </dsp:nvSpPr>
      <dsp:spPr>
        <a:xfrm>
          <a:off x="1575574" y="1028327"/>
          <a:ext cx="604191" cy="604191"/>
        </a:xfrm>
        <a:prstGeom prst="ellipse">
          <a:avLst/>
        </a:prstGeom>
        <a:gradFill rotWithShape="0">
          <a:gsLst>
            <a:gs pos="0">
              <a:schemeClr val="accent2">
                <a:shade val="60000"/>
                <a:hueOff val="0"/>
                <a:satOff val="0"/>
                <a:lumOff val="0"/>
                <a:alphaOff val="0"/>
                <a:satMod val="103000"/>
                <a:lumMod val="102000"/>
                <a:tint val="94000"/>
              </a:schemeClr>
            </a:gs>
            <a:gs pos="50000">
              <a:schemeClr val="accent2">
                <a:shade val="60000"/>
                <a:hueOff val="0"/>
                <a:satOff val="0"/>
                <a:lumOff val="0"/>
                <a:alphaOff val="0"/>
                <a:satMod val="110000"/>
                <a:lumMod val="100000"/>
                <a:shade val="100000"/>
              </a:schemeClr>
            </a:gs>
            <a:gs pos="100000">
              <a:schemeClr val="accent2">
                <a:shade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Theme impact analysis</a:t>
          </a:r>
          <a:r>
            <a:rPr lang="en-GB" sz="900" kern="1200">
              <a:latin typeface="Times New Roman" panose="02020603050405020304" pitchFamily="18" charset="0"/>
              <a:cs typeface="Times New Roman" panose="02020603050405020304" pitchFamily="18" charset="0"/>
            </a:rPr>
            <a:t> </a:t>
          </a:r>
          <a:endParaRPr lang="en-US" sz="900" kern="1200">
            <a:latin typeface="Times New Roman" panose="02020603050405020304" pitchFamily="18" charset="0"/>
            <a:cs typeface="Times New Roman" panose="02020603050405020304" pitchFamily="18" charset="0"/>
          </a:endParaRPr>
        </a:p>
      </dsp:txBody>
      <dsp:txXfrm>
        <a:off x="1664056" y="1116809"/>
        <a:ext cx="427227" cy="427227"/>
      </dsp:txXfrm>
    </dsp:sp>
    <dsp:sp modelId="{7DF46300-8F50-418A-A905-469418352305}">
      <dsp:nvSpPr>
        <dsp:cNvPr id="0" name=""/>
        <dsp:cNvSpPr/>
      </dsp:nvSpPr>
      <dsp:spPr>
        <a:xfrm rot="16200000">
          <a:off x="1666598" y="802775"/>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67116" y="806701"/>
        <a:ext cx="21107" cy="21107"/>
      </dsp:txXfrm>
    </dsp:sp>
    <dsp:sp modelId="{A5124D00-4C8C-4743-95B2-CC74957521BC}">
      <dsp:nvSpPr>
        <dsp:cNvPr id="0" name=""/>
        <dsp:cNvSpPr/>
      </dsp:nvSpPr>
      <dsp:spPr>
        <a:xfrm>
          <a:off x="1575574" y="1991"/>
          <a:ext cx="604191" cy="604191"/>
        </a:xfrm>
        <a:prstGeom prst="ellipse">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Use of the JD-R model </a:t>
          </a:r>
          <a:endParaRPr lang="en-US" sz="500" kern="1200">
            <a:latin typeface="Times New Roman" panose="02020603050405020304" pitchFamily="18" charset="0"/>
            <a:cs typeface="Times New Roman" panose="02020603050405020304" pitchFamily="18" charset="0"/>
          </a:endParaRPr>
        </a:p>
      </dsp:txBody>
      <dsp:txXfrm>
        <a:off x="1664056" y="90473"/>
        <a:ext cx="427227" cy="427227"/>
      </dsp:txXfrm>
    </dsp:sp>
    <dsp:sp modelId="{11F22FD1-ED77-4A87-8959-D111AFF0CE19}">
      <dsp:nvSpPr>
        <dsp:cNvPr id="0" name=""/>
        <dsp:cNvSpPr/>
      </dsp:nvSpPr>
      <dsp:spPr>
        <a:xfrm rot="18900000">
          <a:off x="2029463" y="953078"/>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229981" y="957005"/>
        <a:ext cx="21107" cy="21107"/>
      </dsp:txXfrm>
    </dsp:sp>
    <dsp:sp modelId="{A01DDE92-28E5-476A-BFD5-BE313C766E8F}">
      <dsp:nvSpPr>
        <dsp:cNvPr id="0" name=""/>
        <dsp:cNvSpPr/>
      </dsp:nvSpPr>
      <dsp:spPr>
        <a:xfrm>
          <a:off x="2301303" y="302598"/>
          <a:ext cx="604191" cy="604191"/>
        </a:xfrm>
        <a:prstGeom prst="ellipse">
          <a:avLst/>
        </a:prstGeom>
        <a:gradFill rotWithShape="0">
          <a:gsLst>
            <a:gs pos="0">
              <a:schemeClr val="accent2">
                <a:shade val="50000"/>
                <a:hueOff val="-137212"/>
                <a:satOff val="1093"/>
                <a:lumOff val="11686"/>
                <a:alphaOff val="0"/>
                <a:satMod val="103000"/>
                <a:lumMod val="102000"/>
                <a:tint val="94000"/>
              </a:schemeClr>
            </a:gs>
            <a:gs pos="50000">
              <a:schemeClr val="accent2">
                <a:shade val="50000"/>
                <a:hueOff val="-137212"/>
                <a:satOff val="1093"/>
                <a:lumOff val="11686"/>
                <a:alphaOff val="0"/>
                <a:satMod val="110000"/>
                <a:lumMod val="100000"/>
                <a:shade val="100000"/>
              </a:schemeClr>
            </a:gs>
            <a:gs pos="100000">
              <a:schemeClr val="accent2">
                <a:shade val="50000"/>
                <a:hueOff val="-137212"/>
                <a:satOff val="1093"/>
                <a:lumOff val="1168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Organisational Impact</a:t>
          </a:r>
          <a:endParaRPr lang="en-US" sz="500" kern="1200">
            <a:latin typeface="Times New Roman" panose="02020603050405020304" pitchFamily="18" charset="0"/>
            <a:cs typeface="Times New Roman" panose="02020603050405020304" pitchFamily="18" charset="0"/>
          </a:endParaRPr>
        </a:p>
      </dsp:txBody>
      <dsp:txXfrm>
        <a:off x="2389785" y="391080"/>
        <a:ext cx="427227" cy="427227"/>
      </dsp:txXfrm>
    </dsp:sp>
    <dsp:sp modelId="{E08B38A8-55FF-47BC-A233-9ED194CDF9EC}">
      <dsp:nvSpPr>
        <dsp:cNvPr id="0" name=""/>
        <dsp:cNvSpPr/>
      </dsp:nvSpPr>
      <dsp:spPr>
        <a:xfrm>
          <a:off x="2179766" y="1315943"/>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380284" y="1319869"/>
        <a:ext cx="21107" cy="21107"/>
      </dsp:txXfrm>
    </dsp:sp>
    <dsp:sp modelId="{F99BE54C-9382-4A37-B983-DA96D7764BC4}">
      <dsp:nvSpPr>
        <dsp:cNvPr id="0" name=""/>
        <dsp:cNvSpPr/>
      </dsp:nvSpPr>
      <dsp:spPr>
        <a:xfrm>
          <a:off x="2601909" y="1028327"/>
          <a:ext cx="604191" cy="604191"/>
        </a:xfrm>
        <a:prstGeom prst="ellipse">
          <a:avLst/>
        </a:prstGeom>
        <a:gradFill rotWithShape="0">
          <a:gsLst>
            <a:gs pos="0">
              <a:schemeClr val="accent2">
                <a:shade val="50000"/>
                <a:hueOff val="-274425"/>
                <a:satOff val="2186"/>
                <a:lumOff val="23372"/>
                <a:alphaOff val="0"/>
                <a:satMod val="103000"/>
                <a:lumMod val="102000"/>
                <a:tint val="94000"/>
              </a:schemeClr>
            </a:gs>
            <a:gs pos="50000">
              <a:schemeClr val="accent2">
                <a:shade val="50000"/>
                <a:hueOff val="-274425"/>
                <a:satOff val="2186"/>
                <a:lumOff val="23372"/>
                <a:alphaOff val="0"/>
                <a:satMod val="110000"/>
                <a:lumMod val="100000"/>
                <a:shade val="100000"/>
              </a:schemeClr>
            </a:gs>
            <a:gs pos="100000">
              <a:schemeClr val="accent2">
                <a:shade val="50000"/>
                <a:hueOff val="-274425"/>
                <a:satOff val="2186"/>
                <a:lumOff val="2337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Human Impact</a:t>
          </a:r>
          <a:endParaRPr lang="en-US" sz="500" kern="1200">
            <a:latin typeface="Times New Roman" panose="02020603050405020304" pitchFamily="18" charset="0"/>
            <a:cs typeface="Times New Roman" panose="02020603050405020304" pitchFamily="18" charset="0"/>
          </a:endParaRPr>
        </a:p>
      </dsp:txBody>
      <dsp:txXfrm>
        <a:off x="2690391" y="1116809"/>
        <a:ext cx="427227" cy="427227"/>
      </dsp:txXfrm>
    </dsp:sp>
    <dsp:sp modelId="{33930C42-E454-47FB-ABD2-DFD23E0FA3F4}">
      <dsp:nvSpPr>
        <dsp:cNvPr id="0" name=""/>
        <dsp:cNvSpPr/>
      </dsp:nvSpPr>
      <dsp:spPr>
        <a:xfrm rot="2700000">
          <a:off x="2029463" y="1678807"/>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229981" y="1682733"/>
        <a:ext cx="21107" cy="21107"/>
      </dsp:txXfrm>
    </dsp:sp>
    <dsp:sp modelId="{A970CD47-FA9B-4CC5-A361-102603A9D245}">
      <dsp:nvSpPr>
        <dsp:cNvPr id="0" name=""/>
        <dsp:cNvSpPr/>
      </dsp:nvSpPr>
      <dsp:spPr>
        <a:xfrm>
          <a:off x="2301303" y="1754055"/>
          <a:ext cx="604191" cy="604191"/>
        </a:xfrm>
        <a:prstGeom prst="ellipse">
          <a:avLst/>
        </a:prstGeom>
        <a:gradFill rotWithShape="0">
          <a:gsLst>
            <a:gs pos="0">
              <a:schemeClr val="accent2">
                <a:shade val="50000"/>
                <a:hueOff val="-411637"/>
                <a:satOff val="3279"/>
                <a:lumOff val="35058"/>
                <a:alphaOff val="0"/>
                <a:satMod val="103000"/>
                <a:lumMod val="102000"/>
                <a:tint val="94000"/>
              </a:schemeClr>
            </a:gs>
            <a:gs pos="50000">
              <a:schemeClr val="accent2">
                <a:shade val="50000"/>
                <a:hueOff val="-411637"/>
                <a:satOff val="3279"/>
                <a:lumOff val="35058"/>
                <a:alphaOff val="0"/>
                <a:satMod val="110000"/>
                <a:lumMod val="100000"/>
                <a:shade val="100000"/>
              </a:schemeClr>
            </a:gs>
            <a:gs pos="100000">
              <a:schemeClr val="accent2">
                <a:shade val="50000"/>
                <a:hueOff val="-411637"/>
                <a:satOff val="3279"/>
                <a:lumOff val="3505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Illustrative Examples and Sectoral Actions</a:t>
          </a:r>
          <a:endParaRPr lang="en-US" sz="500" kern="1200">
            <a:latin typeface="Times New Roman" panose="02020603050405020304" pitchFamily="18" charset="0"/>
            <a:cs typeface="Times New Roman" panose="02020603050405020304" pitchFamily="18" charset="0"/>
          </a:endParaRPr>
        </a:p>
      </dsp:txBody>
      <dsp:txXfrm>
        <a:off x="2389785" y="1842537"/>
        <a:ext cx="427227" cy="427227"/>
      </dsp:txXfrm>
    </dsp:sp>
    <dsp:sp modelId="{FF6993FB-6444-4146-B427-5FC22F749D47}">
      <dsp:nvSpPr>
        <dsp:cNvPr id="0" name=""/>
        <dsp:cNvSpPr/>
      </dsp:nvSpPr>
      <dsp:spPr>
        <a:xfrm rot="5400000">
          <a:off x="1666598" y="1829110"/>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67116" y="1833037"/>
        <a:ext cx="21107" cy="21107"/>
      </dsp:txXfrm>
    </dsp:sp>
    <dsp:sp modelId="{6876C598-827D-4115-BA84-2BD34B72A559}">
      <dsp:nvSpPr>
        <dsp:cNvPr id="0" name=""/>
        <dsp:cNvSpPr/>
      </dsp:nvSpPr>
      <dsp:spPr>
        <a:xfrm>
          <a:off x="1575574" y="2054662"/>
          <a:ext cx="604191" cy="604191"/>
        </a:xfrm>
        <a:prstGeom prst="ellipse">
          <a:avLst/>
        </a:prstGeom>
        <a:gradFill rotWithShape="0">
          <a:gsLst>
            <a:gs pos="0">
              <a:schemeClr val="accent2">
                <a:shade val="50000"/>
                <a:hueOff val="-548849"/>
                <a:satOff val="4372"/>
                <a:lumOff val="46744"/>
                <a:alphaOff val="0"/>
                <a:satMod val="103000"/>
                <a:lumMod val="102000"/>
                <a:tint val="94000"/>
              </a:schemeClr>
            </a:gs>
            <a:gs pos="50000">
              <a:schemeClr val="accent2">
                <a:shade val="50000"/>
                <a:hueOff val="-548849"/>
                <a:satOff val="4372"/>
                <a:lumOff val="46744"/>
                <a:alphaOff val="0"/>
                <a:satMod val="110000"/>
                <a:lumMod val="100000"/>
                <a:shade val="100000"/>
              </a:schemeClr>
            </a:gs>
            <a:gs pos="100000">
              <a:schemeClr val="accent2">
                <a:shade val="50000"/>
                <a:hueOff val="-548849"/>
                <a:satOff val="4372"/>
                <a:lumOff val="4674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Judgement of Responses</a:t>
          </a:r>
          <a:endParaRPr lang="en-US" sz="500" kern="1200">
            <a:latin typeface="Times New Roman" panose="02020603050405020304" pitchFamily="18" charset="0"/>
            <a:cs typeface="Times New Roman" panose="02020603050405020304" pitchFamily="18" charset="0"/>
          </a:endParaRPr>
        </a:p>
      </dsp:txBody>
      <dsp:txXfrm>
        <a:off x="1664056" y="2143144"/>
        <a:ext cx="427227" cy="427227"/>
      </dsp:txXfrm>
    </dsp:sp>
    <dsp:sp modelId="{1513DE51-80F1-4134-9A1C-122B2A62E260}">
      <dsp:nvSpPr>
        <dsp:cNvPr id="0" name=""/>
        <dsp:cNvSpPr/>
      </dsp:nvSpPr>
      <dsp:spPr>
        <a:xfrm rot="8100000">
          <a:off x="1303734" y="1678807"/>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504252" y="1682733"/>
        <a:ext cx="21107" cy="21107"/>
      </dsp:txXfrm>
    </dsp:sp>
    <dsp:sp modelId="{30DCB91A-6591-40F1-8491-5BDAED73902B}">
      <dsp:nvSpPr>
        <dsp:cNvPr id="0" name=""/>
        <dsp:cNvSpPr/>
      </dsp:nvSpPr>
      <dsp:spPr>
        <a:xfrm>
          <a:off x="849846" y="1754055"/>
          <a:ext cx="604191" cy="604191"/>
        </a:xfrm>
        <a:prstGeom prst="ellipse">
          <a:avLst/>
        </a:prstGeom>
        <a:gradFill rotWithShape="0">
          <a:gsLst>
            <a:gs pos="0">
              <a:schemeClr val="accent2">
                <a:shade val="50000"/>
                <a:hueOff val="-411637"/>
                <a:satOff val="3279"/>
                <a:lumOff val="35058"/>
                <a:alphaOff val="0"/>
                <a:satMod val="103000"/>
                <a:lumMod val="102000"/>
                <a:tint val="94000"/>
              </a:schemeClr>
            </a:gs>
            <a:gs pos="50000">
              <a:schemeClr val="accent2">
                <a:shade val="50000"/>
                <a:hueOff val="-411637"/>
                <a:satOff val="3279"/>
                <a:lumOff val="35058"/>
                <a:alphaOff val="0"/>
                <a:satMod val="110000"/>
                <a:lumMod val="100000"/>
                <a:shade val="100000"/>
              </a:schemeClr>
            </a:gs>
            <a:gs pos="100000">
              <a:schemeClr val="accent2">
                <a:shade val="50000"/>
                <a:hueOff val="-411637"/>
                <a:satOff val="3279"/>
                <a:lumOff val="3505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Times New Roman" panose="02020603050405020304" pitchFamily="18" charset="0"/>
              <a:cs typeface="Times New Roman" panose="02020603050405020304" pitchFamily="18" charset="0"/>
            </a:rPr>
            <a:t>Emerging Best Practice</a:t>
          </a:r>
          <a:endParaRPr lang="en-US" sz="500" kern="1200">
            <a:latin typeface="Times New Roman" panose="02020603050405020304" pitchFamily="18" charset="0"/>
            <a:cs typeface="Times New Roman" panose="02020603050405020304" pitchFamily="18" charset="0"/>
          </a:endParaRPr>
        </a:p>
      </dsp:txBody>
      <dsp:txXfrm>
        <a:off x="938328" y="1842537"/>
        <a:ext cx="427227" cy="427227"/>
      </dsp:txXfrm>
    </dsp:sp>
    <dsp:sp modelId="{865A57BD-0404-40D3-BC04-A7EC5960FAB7}">
      <dsp:nvSpPr>
        <dsp:cNvPr id="0" name=""/>
        <dsp:cNvSpPr/>
      </dsp:nvSpPr>
      <dsp:spPr>
        <a:xfrm rot="10800000">
          <a:off x="1153431" y="1315943"/>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353949" y="1319869"/>
        <a:ext cx="21107" cy="21107"/>
      </dsp:txXfrm>
    </dsp:sp>
    <dsp:sp modelId="{34C3F8C7-AD4F-4BF7-90CA-6F3638C1459C}">
      <dsp:nvSpPr>
        <dsp:cNvPr id="0" name=""/>
        <dsp:cNvSpPr/>
      </dsp:nvSpPr>
      <dsp:spPr>
        <a:xfrm>
          <a:off x="549239" y="1028327"/>
          <a:ext cx="604191" cy="604191"/>
        </a:xfrm>
        <a:prstGeom prst="ellipse">
          <a:avLst/>
        </a:prstGeom>
        <a:gradFill rotWithShape="0">
          <a:gsLst>
            <a:gs pos="0">
              <a:schemeClr val="accent2">
                <a:shade val="50000"/>
                <a:hueOff val="-274425"/>
                <a:satOff val="2186"/>
                <a:lumOff val="23372"/>
                <a:alphaOff val="0"/>
                <a:satMod val="103000"/>
                <a:lumMod val="102000"/>
                <a:tint val="94000"/>
              </a:schemeClr>
            </a:gs>
            <a:gs pos="50000">
              <a:schemeClr val="accent2">
                <a:shade val="50000"/>
                <a:hueOff val="-274425"/>
                <a:satOff val="2186"/>
                <a:lumOff val="23372"/>
                <a:alphaOff val="0"/>
                <a:satMod val="110000"/>
                <a:lumMod val="100000"/>
                <a:shade val="100000"/>
              </a:schemeClr>
            </a:gs>
            <a:gs pos="100000">
              <a:schemeClr val="accent2">
                <a:shade val="50000"/>
                <a:hueOff val="-274425"/>
                <a:satOff val="2186"/>
                <a:lumOff val="2337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Limitations and Future Risks</a:t>
          </a:r>
          <a:endParaRPr lang="en-US" sz="500" kern="1200">
            <a:latin typeface="Times New Roman" panose="02020603050405020304" pitchFamily="18" charset="0"/>
            <a:cs typeface="Times New Roman" panose="02020603050405020304" pitchFamily="18" charset="0"/>
          </a:endParaRPr>
        </a:p>
      </dsp:txBody>
      <dsp:txXfrm>
        <a:off x="637721" y="1116809"/>
        <a:ext cx="427227" cy="427227"/>
      </dsp:txXfrm>
    </dsp:sp>
    <dsp:sp modelId="{4910744B-8841-45AF-8BFD-801AEC2ADE36}">
      <dsp:nvSpPr>
        <dsp:cNvPr id="0" name=""/>
        <dsp:cNvSpPr/>
      </dsp:nvSpPr>
      <dsp:spPr>
        <a:xfrm rot="13500000">
          <a:off x="1303734" y="953078"/>
          <a:ext cx="422143" cy="28959"/>
        </a:xfrm>
        <a:custGeom>
          <a:avLst/>
          <a:gdLst/>
          <a:ahLst/>
          <a:cxnLst/>
          <a:rect l="0" t="0" r="0" b="0"/>
          <a:pathLst>
            <a:path>
              <a:moveTo>
                <a:pt x="0" y="14479"/>
              </a:moveTo>
              <a:lnTo>
                <a:pt x="422143" y="14479"/>
              </a:lnTo>
            </a:path>
          </a:pathLst>
        </a:custGeom>
        <a:noFill/>
        <a:ln w="19050" cap="flat" cmpd="sng" algn="ctr">
          <a:solidFill>
            <a:schemeClr val="accent2">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504252" y="957005"/>
        <a:ext cx="21107" cy="21107"/>
      </dsp:txXfrm>
    </dsp:sp>
    <dsp:sp modelId="{B95A2012-0E2A-44A0-B0DB-B63ADA853477}">
      <dsp:nvSpPr>
        <dsp:cNvPr id="0" name=""/>
        <dsp:cNvSpPr/>
      </dsp:nvSpPr>
      <dsp:spPr>
        <a:xfrm>
          <a:off x="849846" y="302598"/>
          <a:ext cx="604191" cy="604191"/>
        </a:xfrm>
        <a:prstGeom prst="ellipse">
          <a:avLst/>
        </a:prstGeom>
        <a:gradFill rotWithShape="0">
          <a:gsLst>
            <a:gs pos="0">
              <a:schemeClr val="accent2">
                <a:shade val="50000"/>
                <a:hueOff val="-137212"/>
                <a:satOff val="1093"/>
                <a:lumOff val="11686"/>
                <a:alphaOff val="0"/>
                <a:satMod val="103000"/>
                <a:lumMod val="102000"/>
                <a:tint val="94000"/>
              </a:schemeClr>
            </a:gs>
            <a:gs pos="50000">
              <a:schemeClr val="accent2">
                <a:shade val="50000"/>
                <a:hueOff val="-137212"/>
                <a:satOff val="1093"/>
                <a:lumOff val="11686"/>
                <a:alphaOff val="0"/>
                <a:satMod val="110000"/>
                <a:lumMod val="100000"/>
                <a:shade val="100000"/>
              </a:schemeClr>
            </a:gs>
            <a:gs pos="100000">
              <a:schemeClr val="accent2">
                <a:shade val="50000"/>
                <a:hueOff val="-137212"/>
                <a:satOff val="1093"/>
                <a:lumOff val="1168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Synthesis</a:t>
          </a:r>
          <a:endParaRPr lang="en-US" sz="500" kern="1200">
            <a:latin typeface="Times New Roman" panose="02020603050405020304" pitchFamily="18" charset="0"/>
            <a:cs typeface="Times New Roman" panose="02020603050405020304" pitchFamily="18" charset="0"/>
          </a:endParaRPr>
        </a:p>
      </dsp:txBody>
      <dsp:txXfrm>
        <a:off x="938328" y="391080"/>
        <a:ext cx="427227" cy="4272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734EAD-CAE6-410A-951D-89F0B8B72721}">
      <dsp:nvSpPr>
        <dsp:cNvPr id="0" name=""/>
        <dsp:cNvSpPr/>
      </dsp:nvSpPr>
      <dsp:spPr>
        <a:xfrm>
          <a:off x="1240979" y="548145"/>
          <a:ext cx="1365555" cy="1365555"/>
        </a:xfrm>
        <a:prstGeom prst="ellipse">
          <a:avLst/>
        </a:prstGeom>
        <a:solidFill>
          <a:schemeClr val="accent3">
            <a:shade val="80000"/>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Recommendation</a:t>
          </a:r>
          <a:r>
            <a:rPr lang="en-GB" sz="900" b="0" kern="1200">
              <a:latin typeface="Times New Roman" panose="02020603050405020304" pitchFamily="18" charset="0"/>
              <a:cs typeface="Times New Roman" panose="02020603050405020304" pitchFamily="18" charset="0"/>
            </a:rPr>
            <a:t>s</a:t>
          </a:r>
          <a:endParaRPr lang="en-US" sz="900" kern="1200">
            <a:latin typeface="Times New Roman" panose="02020603050405020304" pitchFamily="18" charset="0"/>
            <a:cs typeface="Times New Roman" panose="02020603050405020304" pitchFamily="18" charset="0"/>
          </a:endParaRPr>
        </a:p>
      </dsp:txBody>
      <dsp:txXfrm>
        <a:off x="1440960" y="748126"/>
        <a:ext cx="965593" cy="965593"/>
      </dsp:txXfrm>
    </dsp:sp>
    <dsp:sp modelId="{33A41493-4293-43B6-820F-B48E4F71769F}">
      <dsp:nvSpPr>
        <dsp:cNvPr id="0" name=""/>
        <dsp:cNvSpPr/>
      </dsp:nvSpPr>
      <dsp:spPr>
        <a:xfrm>
          <a:off x="1582368" y="243"/>
          <a:ext cx="682777" cy="682777"/>
        </a:xfrm>
        <a:prstGeom prst="ellipse">
          <a:avLst/>
        </a:prstGeom>
        <a:solidFill>
          <a:schemeClr val="accent3">
            <a:shade val="80000"/>
            <a:alpha val="50000"/>
            <a:hueOff val="73"/>
            <a:satOff val="-217"/>
            <a:lumOff val="464"/>
            <a:alphaOff val="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Embed Mental Health into Organisational Strategy</a:t>
          </a:r>
          <a:endParaRPr lang="en-US" sz="500" kern="1200">
            <a:latin typeface="Times New Roman" panose="02020603050405020304" pitchFamily="18" charset="0"/>
            <a:cs typeface="Times New Roman" panose="02020603050405020304" pitchFamily="18" charset="0"/>
          </a:endParaRPr>
        </a:p>
      </dsp:txBody>
      <dsp:txXfrm>
        <a:off x="1682358" y="100233"/>
        <a:ext cx="482797" cy="482797"/>
      </dsp:txXfrm>
    </dsp:sp>
    <dsp:sp modelId="{CB4E1AAC-9B00-4B14-8DCD-8EA2252A2587}">
      <dsp:nvSpPr>
        <dsp:cNvPr id="0" name=""/>
        <dsp:cNvSpPr/>
      </dsp:nvSpPr>
      <dsp:spPr>
        <a:xfrm>
          <a:off x="2352516" y="444888"/>
          <a:ext cx="682777" cy="682777"/>
        </a:xfrm>
        <a:prstGeom prst="ellipse">
          <a:avLst/>
        </a:prstGeom>
        <a:solidFill>
          <a:schemeClr val="accent3">
            <a:shade val="80000"/>
            <a:alpha val="50000"/>
            <a:hueOff val="146"/>
            <a:satOff val="-434"/>
            <a:lumOff val="928"/>
            <a:alphaOff val="1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Leadership Education and Mental Health Literacy.</a:t>
          </a:r>
          <a:endParaRPr lang="en-US" sz="500" kern="1200">
            <a:latin typeface="Times New Roman" panose="02020603050405020304" pitchFamily="18" charset="0"/>
            <a:cs typeface="Times New Roman" panose="02020603050405020304" pitchFamily="18" charset="0"/>
          </a:endParaRPr>
        </a:p>
      </dsp:txBody>
      <dsp:txXfrm>
        <a:off x="2452506" y="544878"/>
        <a:ext cx="482797" cy="482797"/>
      </dsp:txXfrm>
    </dsp:sp>
    <dsp:sp modelId="{E284CCE3-907E-4868-A7D3-D4D169A4D334}">
      <dsp:nvSpPr>
        <dsp:cNvPr id="0" name=""/>
        <dsp:cNvSpPr/>
      </dsp:nvSpPr>
      <dsp:spPr>
        <a:xfrm>
          <a:off x="2352516" y="1334179"/>
          <a:ext cx="682777" cy="682777"/>
        </a:xfrm>
        <a:prstGeom prst="ellipse">
          <a:avLst/>
        </a:prstGeom>
        <a:solidFill>
          <a:schemeClr val="accent3">
            <a:shade val="80000"/>
            <a:alpha val="50000"/>
            <a:hueOff val="219"/>
            <a:satOff val="-651"/>
            <a:lumOff val="1393"/>
            <a:alphaOff val="1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Reform of Policies and Structural Adjustments</a:t>
          </a:r>
          <a:endParaRPr lang="en-US" sz="500" kern="1200">
            <a:latin typeface="Times New Roman" panose="02020603050405020304" pitchFamily="18" charset="0"/>
            <a:cs typeface="Times New Roman" panose="02020603050405020304" pitchFamily="18" charset="0"/>
          </a:endParaRPr>
        </a:p>
      </dsp:txBody>
      <dsp:txXfrm>
        <a:off x="2452506" y="1434169"/>
        <a:ext cx="482797" cy="482797"/>
      </dsp:txXfrm>
    </dsp:sp>
    <dsp:sp modelId="{67F383C7-9A68-4539-BBE7-377CEAF14747}">
      <dsp:nvSpPr>
        <dsp:cNvPr id="0" name=""/>
        <dsp:cNvSpPr/>
      </dsp:nvSpPr>
      <dsp:spPr>
        <a:xfrm>
          <a:off x="1582368" y="1778824"/>
          <a:ext cx="682777" cy="682777"/>
        </a:xfrm>
        <a:prstGeom prst="ellipse">
          <a:avLst/>
        </a:prstGeom>
        <a:solidFill>
          <a:schemeClr val="accent3">
            <a:shade val="80000"/>
            <a:alpha val="50000"/>
            <a:hueOff val="292"/>
            <a:satOff val="-868"/>
            <a:lumOff val="1857"/>
            <a:alphaOff val="2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Readily available Employee Support Systems.</a:t>
          </a:r>
          <a:endParaRPr lang="en-US" sz="500" kern="1200">
            <a:latin typeface="Times New Roman" panose="02020603050405020304" pitchFamily="18" charset="0"/>
            <a:cs typeface="Times New Roman" panose="02020603050405020304" pitchFamily="18" charset="0"/>
          </a:endParaRPr>
        </a:p>
      </dsp:txBody>
      <dsp:txXfrm>
        <a:off x="1682358" y="1878814"/>
        <a:ext cx="482797" cy="482797"/>
      </dsp:txXfrm>
    </dsp:sp>
    <dsp:sp modelId="{76D2E518-F94B-4865-B82B-61D2E076EBE8}">
      <dsp:nvSpPr>
        <dsp:cNvPr id="0" name=""/>
        <dsp:cNvSpPr/>
      </dsp:nvSpPr>
      <dsp:spPr>
        <a:xfrm>
          <a:off x="812220" y="1334179"/>
          <a:ext cx="682777" cy="682777"/>
        </a:xfrm>
        <a:prstGeom prst="ellipse">
          <a:avLst/>
        </a:prstGeom>
        <a:solidFill>
          <a:schemeClr val="accent3">
            <a:shade val="80000"/>
            <a:alpha val="50000"/>
            <a:hueOff val="365"/>
            <a:satOff val="-1085"/>
            <a:lumOff val="2321"/>
            <a:alphaOff val="2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Enhance an Open and Inclusion Culture</a:t>
          </a:r>
          <a:r>
            <a:rPr lang="en-GB" sz="500" kern="1200">
              <a:latin typeface="Times New Roman" panose="02020603050405020304" pitchFamily="18" charset="0"/>
              <a:cs typeface="Times New Roman" panose="02020603050405020304" pitchFamily="18" charset="0"/>
            </a:rPr>
            <a:t>.</a:t>
          </a:r>
          <a:endParaRPr lang="en-US" sz="500" kern="1200">
            <a:latin typeface="Times New Roman" panose="02020603050405020304" pitchFamily="18" charset="0"/>
            <a:cs typeface="Times New Roman" panose="02020603050405020304" pitchFamily="18" charset="0"/>
          </a:endParaRPr>
        </a:p>
      </dsp:txBody>
      <dsp:txXfrm>
        <a:off x="912210" y="1434169"/>
        <a:ext cx="482797" cy="482797"/>
      </dsp:txXfrm>
    </dsp:sp>
    <dsp:sp modelId="{59E914C9-E935-44AD-81C2-BE6C92E9A9C2}">
      <dsp:nvSpPr>
        <dsp:cNvPr id="0" name=""/>
        <dsp:cNvSpPr/>
      </dsp:nvSpPr>
      <dsp:spPr>
        <a:xfrm>
          <a:off x="812220" y="444888"/>
          <a:ext cx="682777" cy="682777"/>
        </a:xfrm>
        <a:prstGeom prst="ellipse">
          <a:avLst/>
        </a:prstGeom>
        <a:solidFill>
          <a:schemeClr val="accent3">
            <a:shade val="80000"/>
            <a:alpha val="50000"/>
            <a:hueOff val="438"/>
            <a:satOff val="-1302"/>
            <a:lumOff val="2785"/>
            <a:alphaOff val="3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Continuous Monitoring and Research.</a:t>
          </a:r>
          <a:endParaRPr lang="en-US" sz="500" kern="1200">
            <a:latin typeface="Times New Roman" panose="02020603050405020304" pitchFamily="18" charset="0"/>
            <a:cs typeface="Times New Roman" panose="02020603050405020304" pitchFamily="18" charset="0"/>
          </a:endParaRPr>
        </a:p>
      </dsp:txBody>
      <dsp:txXfrm>
        <a:off x="912210" y="544878"/>
        <a:ext cx="482797" cy="48279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A8503-CBD6-46ED-A574-424165D26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3454</Words>
  <Characters>22811</Characters>
  <Application>Microsoft Office Word</Application>
  <DocSecurity>0</DocSecurity>
  <Lines>190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2025-10-28T05:13:00Z</dcterms:created>
  <dcterms:modified xsi:type="dcterms:W3CDTF">2025-10-30T19:44:00Z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e810cb74-5d09-4a20-ae7e-c31789298695</vt:lpwstr>
  </property>
</Properties>
</file>