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2F88" w:rsidRPr="006B3677" w:rsidRDefault="00472F88" w:rsidP="006B3677">
      <w:pPr>
        <w:spacing w:line="480" w:lineRule="auto"/>
        <w:jc w:val="center"/>
        <w:rPr>
          <w:rStyle w:val="normaltextrun"/>
          <w:rFonts w:ascii="Arial" w:hAnsi="Arial" w:cs="Arial"/>
          <w:b/>
          <w:bCs/>
          <w:color w:val="0070C0"/>
          <w:u w:val="single"/>
          <w:shd w:val="clear" w:color="auto" w:fill="FFFFFF"/>
        </w:rPr>
      </w:pPr>
      <w:r w:rsidRPr="006B3677">
        <w:rPr>
          <w:rStyle w:val="normaltextrun"/>
          <w:rFonts w:ascii="Arial" w:hAnsi="Arial" w:cs="Arial"/>
          <w:b/>
          <w:bCs/>
          <w:color w:val="212121"/>
          <w:u w:val="single"/>
          <w:shd w:val="clear" w:color="auto" w:fill="FFFFFF"/>
        </w:rPr>
        <w:t>Critical reflective evaluation</w:t>
      </w:r>
      <w:r w:rsidRPr="006B3677">
        <w:rPr>
          <w:rStyle w:val="normaltextrun"/>
          <w:rFonts w:ascii="Arial" w:hAnsi="Arial" w:cs="Arial"/>
          <w:b/>
          <w:color w:val="212121"/>
          <w:u w:val="single"/>
          <w:shd w:val="clear" w:color="auto" w:fill="FFFFFF"/>
        </w:rPr>
        <w:t> of the overall Professional Teaching Experience,</w:t>
      </w:r>
    </w:p>
    <w:p w:rsidR="00472F88" w:rsidRDefault="00472F88" w:rsidP="006B3677">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 xml:space="preserve">Reflective practice is a core component of the BA Social Studies and Advocacy programme, as students on the programme often intend to enter a career in social services or similar trusts and organisations upon completion of their degree. For this reason, </w:t>
      </w:r>
      <w:r w:rsidR="00724E59">
        <w:rPr>
          <w:rStyle w:val="normaltextrun"/>
          <w:rFonts w:ascii="Arial" w:hAnsi="Arial" w:cs="Arial"/>
          <w:bCs/>
          <w:shd w:val="clear" w:color="auto" w:fill="FFFFFF"/>
        </w:rPr>
        <w:t>critical reflective evaluation</w:t>
      </w:r>
      <w:r>
        <w:rPr>
          <w:rStyle w:val="normaltextrun"/>
          <w:rFonts w:ascii="Arial" w:hAnsi="Arial" w:cs="Arial"/>
          <w:bCs/>
          <w:shd w:val="clear" w:color="auto" w:fill="FFFFFF"/>
        </w:rPr>
        <w:t xml:space="preserve"> is essential not only for the students so as to develop a better understanding of the maximisation of professional development, but for teaching staff also as agents linking theory to policy and practice. </w:t>
      </w:r>
    </w:p>
    <w:p w:rsidR="00535EC5" w:rsidRPr="00535EC5" w:rsidRDefault="006C78DA" w:rsidP="006B3677">
      <w:pPr>
        <w:spacing w:line="480" w:lineRule="auto"/>
        <w:ind w:firstLine="720"/>
        <w:rPr>
          <w:rFonts w:ascii="Arial" w:hAnsi="Arial" w:cs="Arial"/>
          <w:szCs w:val="24"/>
        </w:rPr>
      </w:pPr>
      <w:r>
        <w:rPr>
          <w:rStyle w:val="normaltextrun"/>
          <w:rFonts w:ascii="Arial" w:hAnsi="Arial" w:cs="Arial"/>
          <w:bCs/>
          <w:shd w:val="clear" w:color="auto" w:fill="FFFFFF"/>
        </w:rPr>
        <w:t xml:space="preserve">The key questions that must inform any reflective </w:t>
      </w:r>
      <w:r w:rsidR="004D2787">
        <w:rPr>
          <w:rStyle w:val="normaltextrun"/>
          <w:rFonts w:ascii="Arial" w:hAnsi="Arial" w:cs="Arial"/>
          <w:bCs/>
          <w:shd w:val="clear" w:color="auto" w:fill="FFFFFF"/>
        </w:rPr>
        <w:t>evaluation</w:t>
      </w:r>
      <w:r>
        <w:rPr>
          <w:rStyle w:val="normaltextrun"/>
          <w:rFonts w:ascii="Arial" w:hAnsi="Arial" w:cs="Arial"/>
          <w:bCs/>
          <w:shd w:val="clear" w:color="auto" w:fill="FFFFFF"/>
        </w:rPr>
        <w:t xml:space="preserve"> must include; what was tried, what went well, what could have been better and what can be done differently in future. Honest introspection, informed by student feedback and peer review, has allowed me to plan lectures based on my current knowledge, evaluate myself and be evaluated in turn by both students and academic staff, engage in dialogue concerning my professional development and performance</w:t>
      </w:r>
      <w:r w:rsidR="00474DEC">
        <w:rPr>
          <w:rStyle w:val="normaltextrun"/>
          <w:rFonts w:ascii="Arial" w:hAnsi="Arial" w:cs="Arial"/>
          <w:bCs/>
          <w:shd w:val="clear" w:color="auto" w:fill="FFFFFF"/>
        </w:rPr>
        <w:t xml:space="preserve"> with my mentor</w:t>
      </w:r>
      <w:r>
        <w:rPr>
          <w:rStyle w:val="normaltextrun"/>
          <w:rFonts w:ascii="Arial" w:hAnsi="Arial" w:cs="Arial"/>
          <w:bCs/>
          <w:shd w:val="clear" w:color="auto" w:fill="FFFFFF"/>
        </w:rPr>
        <w:t xml:space="preserve">, and formulate new approaches and strategies to be used in future lectures. </w:t>
      </w:r>
      <w:r w:rsidR="00535EC5">
        <w:rPr>
          <w:rStyle w:val="normaltextrun"/>
          <w:rFonts w:ascii="Arial" w:hAnsi="Arial" w:cs="Arial"/>
          <w:bCs/>
          <w:shd w:val="clear" w:color="auto" w:fill="FFFFFF"/>
        </w:rPr>
        <w:t xml:space="preserve">This reflective introspection and willingness to alter future sessions in line with received feedback is what </w:t>
      </w:r>
      <w:r w:rsidR="00535EC5" w:rsidRPr="00535EC5">
        <w:rPr>
          <w:rFonts w:ascii="Arial" w:hAnsi="Arial" w:cs="Arial"/>
          <w:szCs w:val="24"/>
        </w:rPr>
        <w:t>Burnett (2002, p.21) describes as leaving the ‘comfort zone’, where he suggests that:</w:t>
      </w:r>
    </w:p>
    <w:p w:rsidR="006C78DA" w:rsidRPr="00535EC5" w:rsidRDefault="00535EC5" w:rsidP="006B3677">
      <w:pPr>
        <w:spacing w:line="480" w:lineRule="auto"/>
        <w:ind w:left="720"/>
        <w:rPr>
          <w:rStyle w:val="normaltextrun"/>
          <w:rFonts w:ascii="Arial" w:hAnsi="Arial" w:cs="Arial"/>
          <w:szCs w:val="24"/>
        </w:rPr>
      </w:pPr>
      <w:r w:rsidRPr="00535EC5">
        <w:rPr>
          <w:rFonts w:ascii="Arial" w:hAnsi="Arial" w:cs="Arial"/>
          <w:szCs w:val="24"/>
        </w:rPr>
        <w:t>Personal change and growth will never take place unless you occasionally step out of your comfort zone. Unless you try something different and allow your mind to grow there is a danger that you will be stuck in time and never change.</w:t>
      </w:r>
    </w:p>
    <w:p w:rsidR="00821E9B" w:rsidRDefault="00690853" w:rsidP="006B3677">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 xml:space="preserve">During my placement acting as a representative for the School of Social Justice and Inclusion, reflective practice has been an essential focal point for enhancing the quality of teaching and learning, evaluating the quality of delivered lecture content, and testing new </w:t>
      </w:r>
      <w:r w:rsidR="00316C5C">
        <w:rPr>
          <w:rStyle w:val="normaltextrun"/>
          <w:rFonts w:ascii="Arial" w:hAnsi="Arial" w:cs="Arial"/>
          <w:bCs/>
          <w:shd w:val="clear" w:color="auto" w:fill="FFFFFF"/>
        </w:rPr>
        <w:t>methods</w:t>
      </w:r>
      <w:r>
        <w:rPr>
          <w:rStyle w:val="normaltextrun"/>
          <w:rFonts w:ascii="Arial" w:hAnsi="Arial" w:cs="Arial"/>
          <w:bCs/>
          <w:shd w:val="clear" w:color="auto" w:fill="FFFFFF"/>
        </w:rPr>
        <w:t xml:space="preserve"> and ideas. In particular, Zwozdiak-Myers’ dimensions of reflective practice have been invaluable as an associate lecturer.</w:t>
      </w:r>
      <w:r w:rsidR="00474DEC">
        <w:rPr>
          <w:rStyle w:val="normaltextrun"/>
          <w:rFonts w:ascii="Arial" w:hAnsi="Arial" w:cs="Arial"/>
          <w:bCs/>
          <w:shd w:val="clear" w:color="auto" w:fill="FFFFFF"/>
        </w:rPr>
        <w:t xml:space="preserve"> In this reflective model, Zwo</w:t>
      </w:r>
      <w:r w:rsidR="0029101A">
        <w:rPr>
          <w:rStyle w:val="normaltextrun"/>
          <w:rFonts w:ascii="Arial" w:hAnsi="Arial" w:cs="Arial"/>
          <w:bCs/>
          <w:shd w:val="clear" w:color="auto" w:fill="FFFFFF"/>
        </w:rPr>
        <w:t>z</w:t>
      </w:r>
      <w:r w:rsidR="00474DEC">
        <w:rPr>
          <w:rStyle w:val="normaltextrun"/>
          <w:rFonts w:ascii="Arial" w:hAnsi="Arial" w:cs="Arial"/>
          <w:bCs/>
          <w:shd w:val="clear" w:color="auto" w:fill="FFFFFF"/>
        </w:rPr>
        <w:t xml:space="preserve">diak-Myers (2012, p.47) highlights how maximising the educational growth of students, enhancing the quality of the organisation’s practice and questioning personal theories and beliefs are essential </w:t>
      </w:r>
      <w:r w:rsidR="00474DEC">
        <w:rPr>
          <w:rStyle w:val="normaltextrun"/>
          <w:rFonts w:ascii="Arial" w:hAnsi="Arial" w:cs="Arial"/>
          <w:bCs/>
          <w:shd w:val="clear" w:color="auto" w:fill="FFFFFF"/>
        </w:rPr>
        <w:lastRenderedPageBreak/>
        <w:t>components for continuing professional development and lifelong learning.</w:t>
      </w:r>
      <w:r>
        <w:rPr>
          <w:rStyle w:val="normaltextrun"/>
          <w:rFonts w:ascii="Arial" w:hAnsi="Arial" w:cs="Arial"/>
          <w:bCs/>
          <w:shd w:val="clear" w:color="auto" w:fill="FFFFFF"/>
        </w:rPr>
        <w:t xml:space="preserve"> For example, in one lecture </w:t>
      </w:r>
      <w:r w:rsidR="0029101A">
        <w:rPr>
          <w:rStyle w:val="normaltextrun"/>
          <w:rFonts w:ascii="Arial" w:hAnsi="Arial" w:cs="Arial"/>
          <w:bCs/>
          <w:shd w:val="clear" w:color="auto" w:fill="FFFFFF"/>
        </w:rPr>
        <w:t xml:space="preserve">that I had the responsibility of delivering, </w:t>
      </w:r>
      <w:r>
        <w:rPr>
          <w:rStyle w:val="normaltextrun"/>
          <w:rFonts w:ascii="Arial" w:hAnsi="Arial" w:cs="Arial"/>
          <w:bCs/>
          <w:shd w:val="clear" w:color="auto" w:fill="FFFFFF"/>
        </w:rPr>
        <w:t>the subject content to be covered was a chron</w:t>
      </w:r>
      <w:r w:rsidR="0029101A">
        <w:rPr>
          <w:rStyle w:val="normaltextrun"/>
          <w:rFonts w:ascii="Arial" w:hAnsi="Arial" w:cs="Arial"/>
          <w:bCs/>
          <w:shd w:val="clear" w:color="auto" w:fill="FFFFFF"/>
        </w:rPr>
        <w:t>ology of safeguarding laws and Legal A</w:t>
      </w:r>
      <w:r>
        <w:rPr>
          <w:rStyle w:val="normaltextrun"/>
          <w:rFonts w:ascii="Arial" w:hAnsi="Arial" w:cs="Arial"/>
          <w:bCs/>
          <w:shd w:val="clear" w:color="auto" w:fill="FFFFFF"/>
        </w:rPr>
        <w:t xml:space="preserve">cts for </w:t>
      </w:r>
      <w:r w:rsidR="00821E9B">
        <w:rPr>
          <w:rStyle w:val="normaltextrun"/>
          <w:rFonts w:ascii="Arial" w:hAnsi="Arial" w:cs="Arial"/>
          <w:bCs/>
          <w:shd w:val="clear" w:color="auto" w:fill="FFFFFF"/>
        </w:rPr>
        <w:t>a 3 hour lecture</w:t>
      </w:r>
      <w:r>
        <w:rPr>
          <w:rStyle w:val="normaltextrun"/>
          <w:rFonts w:ascii="Arial" w:hAnsi="Arial" w:cs="Arial"/>
          <w:bCs/>
          <w:shd w:val="clear" w:color="auto" w:fill="FFFFFF"/>
        </w:rPr>
        <w:t xml:space="preserve">. As a potentially dry </w:t>
      </w:r>
      <w:r w:rsidR="00821E9B">
        <w:rPr>
          <w:rStyle w:val="normaltextrun"/>
          <w:rFonts w:ascii="Arial" w:hAnsi="Arial" w:cs="Arial"/>
          <w:bCs/>
          <w:shd w:val="clear" w:color="auto" w:fill="FFFFFF"/>
        </w:rPr>
        <w:t xml:space="preserve">and information-heavy </w:t>
      </w:r>
      <w:r>
        <w:rPr>
          <w:rStyle w:val="normaltextrun"/>
          <w:rFonts w:ascii="Arial" w:hAnsi="Arial" w:cs="Arial"/>
          <w:bCs/>
          <w:shd w:val="clear" w:color="auto" w:fill="FFFFFF"/>
        </w:rPr>
        <w:t xml:space="preserve">subject for students to be enthused or engaged with, I decided to preface the lesson with a discussion and small student task whereby students would examine a case of child abuse </w:t>
      </w:r>
      <w:r w:rsidR="00821E9B">
        <w:rPr>
          <w:rStyle w:val="normaltextrun"/>
          <w:rFonts w:ascii="Arial" w:hAnsi="Arial" w:cs="Arial"/>
          <w:bCs/>
          <w:shd w:val="clear" w:color="auto" w:fill="FFFFFF"/>
        </w:rPr>
        <w:t xml:space="preserve">so as to emphasise the importance of the content of the lecture, as well as highlight how a disinterested attitude or ignorance of safeguarding laws can result in tragic consequences. While I was extremely careful and selective about the details provided in examining the case, nonetheless some students were visibly upset and distressed during the discussion. This culminated in one student requiring a short break outside of the lecture room to regain composure.  </w:t>
      </w:r>
    </w:p>
    <w:p w:rsidR="00690853" w:rsidRDefault="00821E9B" w:rsidP="006B3677">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In this example, learner welfare was a primary concern as due to the nature of the content delivered on the programme, some topics and issues could be distressing to students. Reflecting upon this experience, and using the Zwozdiak-Myers’</w:t>
      </w:r>
      <w:r w:rsidR="00474DEC">
        <w:rPr>
          <w:rStyle w:val="normaltextrun"/>
          <w:rFonts w:ascii="Arial" w:hAnsi="Arial" w:cs="Arial"/>
          <w:bCs/>
          <w:shd w:val="clear" w:color="auto" w:fill="FFFFFF"/>
        </w:rPr>
        <w:t xml:space="preserve"> (2012, p.47)</w:t>
      </w:r>
      <w:r>
        <w:rPr>
          <w:rStyle w:val="normaltextrun"/>
          <w:rFonts w:ascii="Arial" w:hAnsi="Arial" w:cs="Arial"/>
          <w:bCs/>
          <w:shd w:val="clear" w:color="auto" w:fill="FFFFFF"/>
        </w:rPr>
        <w:t xml:space="preserve"> model of reflective practice, I am able to consider how this section of the lecture could have been altered, not only so as to improve personally as an educator of a specific field, but so as to ensure that students are able maximise their growth and understanding of the issue.</w:t>
      </w:r>
      <w:r w:rsidR="006C78DA">
        <w:rPr>
          <w:rStyle w:val="normaltextrun"/>
          <w:rFonts w:ascii="Arial" w:hAnsi="Arial" w:cs="Arial"/>
          <w:bCs/>
          <w:shd w:val="clear" w:color="auto" w:fill="FFFFFF"/>
        </w:rPr>
        <w:t xml:space="preserve"> In the case provided, it is clear here that a more positive outcome could have been achieved for learners. For example, the activity need not have been implemented at all, or perhaps a greater forewarning that the lecture would introduce some uncomfortable material to some students, or a greater level of omission of details of the case</w:t>
      </w:r>
      <w:r w:rsidR="0029101A">
        <w:rPr>
          <w:rStyle w:val="normaltextrun"/>
          <w:rFonts w:ascii="Arial" w:hAnsi="Arial" w:cs="Arial"/>
          <w:bCs/>
          <w:shd w:val="clear" w:color="auto" w:fill="FFFFFF"/>
        </w:rPr>
        <w:t xml:space="preserve"> could have provided a more desirable outcome</w:t>
      </w:r>
      <w:r w:rsidR="006C78DA">
        <w:rPr>
          <w:rStyle w:val="normaltextrun"/>
          <w:rFonts w:ascii="Arial" w:hAnsi="Arial" w:cs="Arial"/>
          <w:bCs/>
          <w:shd w:val="clear" w:color="auto" w:fill="FFFFFF"/>
        </w:rPr>
        <w:t xml:space="preserve">. </w:t>
      </w:r>
    </w:p>
    <w:p w:rsidR="00316C5C" w:rsidRDefault="00316C5C" w:rsidP="006B3677">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A further example of reflective practice in action was my use of the “truth tub”. Simply put, this was a plastic box with blank paper slips that was handed out to students during random lectures. These blank slips of paper allowed students to write feedback anonymously, so as to ensure learner welfare</w:t>
      </w:r>
      <w:r w:rsidR="0029101A">
        <w:rPr>
          <w:rStyle w:val="normaltextrun"/>
          <w:rFonts w:ascii="Arial" w:hAnsi="Arial" w:cs="Arial"/>
          <w:bCs/>
          <w:shd w:val="clear" w:color="auto" w:fill="FFFFFF"/>
        </w:rPr>
        <w:t xml:space="preserve"> and privacy</w:t>
      </w:r>
      <w:r>
        <w:rPr>
          <w:rStyle w:val="normaltextrun"/>
          <w:rFonts w:ascii="Arial" w:hAnsi="Arial" w:cs="Arial"/>
          <w:bCs/>
          <w:shd w:val="clear" w:color="auto" w:fill="FFFFFF"/>
        </w:rPr>
        <w:t xml:space="preserve">. These comments would then be available for me to read at the end of the lecture so as to better inform me of student </w:t>
      </w:r>
      <w:r>
        <w:rPr>
          <w:rStyle w:val="normaltextrun"/>
          <w:rFonts w:ascii="Arial" w:hAnsi="Arial" w:cs="Arial"/>
          <w:bCs/>
          <w:shd w:val="clear" w:color="auto" w:fill="FFFFFF"/>
        </w:rPr>
        <w:lastRenderedPageBreak/>
        <w:t xml:space="preserve">preferences and opinions on my overall teaching performance without the pressure of face-to-face interaction for students, who may have been too polite or nervous to make their thoughts known. This was incredibly useful, as the “truth tub” allowed me to identify and address a number of issues that students were facing during lecture hours, including distractions from other students, the pace and tone of the lecture content itself, my own personal effectiveness of communication and clarity of voice, and general praise and constructive criticism. </w:t>
      </w:r>
      <w:r w:rsidR="00E213D5">
        <w:rPr>
          <w:rStyle w:val="normaltextrun"/>
          <w:rFonts w:ascii="Arial" w:hAnsi="Arial" w:cs="Arial"/>
          <w:bCs/>
          <w:shd w:val="clear" w:color="auto" w:fill="FFFFFF"/>
        </w:rPr>
        <w:t xml:space="preserve">These feedback slips were essential in shaping how I chose to structure lecture content in future so as to more comfortably meet the needs and desires of student’s educational experiences without sacrificing the information or content of the subjects taught. These slips also played a pivotal role in providing students with more accurate formative feedback, and allowed me to identify problem areas with specific sections of certain modules. </w:t>
      </w:r>
      <w:r w:rsidR="00F63AB1">
        <w:rPr>
          <w:rStyle w:val="normaltextrun"/>
          <w:rFonts w:ascii="Arial" w:hAnsi="Arial" w:cs="Arial"/>
          <w:bCs/>
          <w:shd w:val="clear" w:color="auto" w:fill="FFFFFF"/>
        </w:rPr>
        <w:t xml:space="preserve">Minton (2004, p. 96) suggests that educators should seek to provide feedback at any opportunity, and this is a core focus when teaching and delivering content upon specific modules where students had raised concerns. </w:t>
      </w:r>
    </w:p>
    <w:p w:rsidR="00757C48" w:rsidRPr="00757C48" w:rsidRDefault="00E213D5" w:rsidP="00757C48">
      <w:pPr>
        <w:spacing w:line="480" w:lineRule="auto"/>
        <w:rPr>
          <w:rFonts w:ascii="Arial" w:hAnsi="Arial" w:cs="Arial"/>
          <w:szCs w:val="24"/>
        </w:rPr>
      </w:pPr>
      <w:r>
        <w:rPr>
          <w:rStyle w:val="normaltextrun"/>
          <w:rFonts w:ascii="Arial" w:hAnsi="Arial" w:cs="Arial"/>
          <w:bCs/>
          <w:shd w:val="clear" w:color="auto" w:fill="FFFFFF"/>
        </w:rPr>
        <w:t>The use of the “</w:t>
      </w:r>
      <w:r w:rsidR="0029101A">
        <w:rPr>
          <w:rStyle w:val="normaltextrun"/>
          <w:rFonts w:ascii="Arial" w:hAnsi="Arial" w:cs="Arial"/>
          <w:bCs/>
          <w:shd w:val="clear" w:color="auto" w:fill="FFFFFF"/>
        </w:rPr>
        <w:t>truth t</w:t>
      </w:r>
      <w:r>
        <w:rPr>
          <w:rStyle w:val="normaltextrun"/>
          <w:rFonts w:ascii="Arial" w:hAnsi="Arial" w:cs="Arial"/>
          <w:bCs/>
          <w:shd w:val="clear" w:color="auto" w:fill="FFFFFF"/>
        </w:rPr>
        <w:t xml:space="preserve">ub” also played a double role with regards to reflective practice. As a </w:t>
      </w:r>
      <w:r w:rsidR="0029101A">
        <w:rPr>
          <w:rStyle w:val="normaltextrun"/>
          <w:rFonts w:ascii="Arial" w:hAnsi="Arial" w:cs="Arial"/>
          <w:bCs/>
          <w:shd w:val="clear" w:color="auto" w:fill="FFFFFF"/>
        </w:rPr>
        <w:t>method</w:t>
      </w:r>
      <w:r>
        <w:rPr>
          <w:rStyle w:val="normaltextrun"/>
          <w:rFonts w:ascii="Arial" w:hAnsi="Arial" w:cs="Arial"/>
          <w:bCs/>
          <w:shd w:val="clear" w:color="auto" w:fill="FFFFFF"/>
        </w:rPr>
        <w:t xml:space="preserve"> of anonymous feedback, it was evidently a great source of invaluable insight into the perspectives of the students I was teaching. However, it also provided the students with an opportunity to engage with reflective practice too.</w:t>
      </w:r>
      <w:r w:rsidR="00757C48">
        <w:rPr>
          <w:rStyle w:val="normaltextrun"/>
          <w:rFonts w:ascii="Arial" w:hAnsi="Arial" w:cs="Arial"/>
          <w:bCs/>
          <w:shd w:val="clear" w:color="auto" w:fill="FFFFFF"/>
        </w:rPr>
        <w:t xml:space="preserve"> In particular,</w:t>
      </w:r>
      <w:r w:rsidR="00757C48" w:rsidRPr="00757C48">
        <w:rPr>
          <w:sz w:val="24"/>
          <w:szCs w:val="24"/>
        </w:rPr>
        <w:t xml:space="preserve"> </w:t>
      </w:r>
      <w:proofErr w:type="spellStart"/>
      <w:r w:rsidR="00757C48" w:rsidRPr="00757C48">
        <w:rPr>
          <w:rFonts w:ascii="Arial" w:hAnsi="Arial" w:cs="Arial"/>
          <w:szCs w:val="24"/>
        </w:rPr>
        <w:t>Pitrik</w:t>
      </w:r>
      <w:proofErr w:type="spellEnd"/>
      <w:r w:rsidR="00757C48" w:rsidRPr="00757C48">
        <w:rPr>
          <w:rFonts w:ascii="Arial" w:hAnsi="Arial" w:cs="Arial"/>
          <w:szCs w:val="24"/>
        </w:rPr>
        <w:t xml:space="preserve"> &amp; Santos’ (2006, p.6) assert</w:t>
      </w:r>
      <w:r w:rsidR="00757C48" w:rsidRPr="00757C48">
        <w:rPr>
          <w:rFonts w:ascii="Arial" w:hAnsi="Arial" w:cs="Arial"/>
          <w:szCs w:val="24"/>
        </w:rPr>
        <w:t xml:space="preserve"> that:</w:t>
      </w:r>
    </w:p>
    <w:p w:rsidR="00757C48" w:rsidRPr="00757C48" w:rsidRDefault="00757C48" w:rsidP="00757C48">
      <w:pPr>
        <w:spacing w:line="480" w:lineRule="auto"/>
        <w:ind w:left="720"/>
        <w:rPr>
          <w:rFonts w:ascii="Arial" w:hAnsi="Arial" w:cs="Arial"/>
          <w:szCs w:val="24"/>
        </w:rPr>
      </w:pPr>
      <w:r w:rsidRPr="00757C48">
        <w:rPr>
          <w:rFonts w:ascii="Arial" w:hAnsi="Arial" w:cs="Arial"/>
          <w:szCs w:val="24"/>
        </w:rPr>
        <w:t>In education, key issues have always been that of deep and persistent learning that allows all participants to develop or grow as whole persons rather than just extend their knowledge on some subject matter or practice.</w:t>
      </w:r>
    </w:p>
    <w:p w:rsidR="00E213D5" w:rsidRDefault="00757C48" w:rsidP="00757C48">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Using</w:t>
      </w:r>
      <w:r w:rsidR="00E213D5">
        <w:rPr>
          <w:rStyle w:val="normaltextrun"/>
          <w:rFonts w:ascii="Arial" w:hAnsi="Arial" w:cs="Arial"/>
          <w:bCs/>
          <w:shd w:val="clear" w:color="auto" w:fill="FFFFFF"/>
        </w:rPr>
        <w:t xml:space="preserve"> the Gibbs model of reflection encourages practitioners to understand personal thoughts and </w:t>
      </w:r>
      <w:proofErr w:type="gramStart"/>
      <w:r w:rsidR="00E213D5">
        <w:rPr>
          <w:rStyle w:val="normaltextrun"/>
          <w:rFonts w:ascii="Arial" w:hAnsi="Arial" w:cs="Arial"/>
          <w:bCs/>
          <w:shd w:val="clear" w:color="auto" w:fill="FFFFFF"/>
        </w:rPr>
        <w:t>feelings,</w:t>
      </w:r>
      <w:proofErr w:type="gramEnd"/>
      <w:r w:rsidR="00E213D5">
        <w:rPr>
          <w:rStyle w:val="normaltextrun"/>
          <w:rFonts w:ascii="Arial" w:hAnsi="Arial" w:cs="Arial"/>
          <w:bCs/>
          <w:shd w:val="clear" w:color="auto" w:fill="FFFFFF"/>
        </w:rPr>
        <w:t xml:space="preserve"> evaluate what was good or bad about a learning experience, analyse its effectiveness and make conclusions about how the experience could have been different. </w:t>
      </w:r>
      <w:r w:rsidR="00355E3A">
        <w:rPr>
          <w:rStyle w:val="normaltextrun"/>
          <w:rFonts w:ascii="Arial" w:hAnsi="Arial" w:cs="Arial"/>
          <w:bCs/>
          <w:shd w:val="clear" w:color="auto" w:fill="FFFFFF"/>
        </w:rPr>
        <w:t>For this reason, the “</w:t>
      </w:r>
      <w:r w:rsidR="0029101A">
        <w:rPr>
          <w:rStyle w:val="normaltextrun"/>
          <w:rFonts w:ascii="Arial" w:hAnsi="Arial" w:cs="Arial"/>
          <w:bCs/>
          <w:shd w:val="clear" w:color="auto" w:fill="FFFFFF"/>
        </w:rPr>
        <w:t>truth t</w:t>
      </w:r>
      <w:r w:rsidR="00355E3A">
        <w:rPr>
          <w:rStyle w:val="normaltextrun"/>
          <w:rFonts w:ascii="Arial" w:hAnsi="Arial" w:cs="Arial"/>
          <w:bCs/>
          <w:shd w:val="clear" w:color="auto" w:fill="FFFFFF"/>
        </w:rPr>
        <w:t xml:space="preserve">ub” encouraged students to engage and participate in an </w:t>
      </w:r>
      <w:r w:rsidR="00355E3A">
        <w:rPr>
          <w:rStyle w:val="normaltextrun"/>
          <w:rFonts w:ascii="Arial" w:hAnsi="Arial" w:cs="Arial"/>
          <w:bCs/>
          <w:shd w:val="clear" w:color="auto" w:fill="FFFFFF"/>
        </w:rPr>
        <w:lastRenderedPageBreak/>
        <w:t xml:space="preserve">instantaneous, informal and low-pressure manner, giving them the opportunity to think reflectively in their own right about the lecture content and its delivery. </w:t>
      </w:r>
      <w:r w:rsidR="004B4EC6">
        <w:rPr>
          <w:rStyle w:val="normaltextrun"/>
          <w:rFonts w:ascii="Arial" w:hAnsi="Arial" w:cs="Arial"/>
          <w:bCs/>
          <w:shd w:val="clear" w:color="auto" w:fill="FFFFFF"/>
        </w:rPr>
        <w:t>Via the medium of the “</w:t>
      </w:r>
      <w:r w:rsidR="0029101A">
        <w:rPr>
          <w:rStyle w:val="normaltextrun"/>
          <w:rFonts w:ascii="Arial" w:hAnsi="Arial" w:cs="Arial"/>
          <w:bCs/>
          <w:shd w:val="clear" w:color="auto" w:fill="FFFFFF"/>
        </w:rPr>
        <w:t>truth t</w:t>
      </w:r>
      <w:r w:rsidR="004B4EC6">
        <w:rPr>
          <w:rStyle w:val="normaltextrun"/>
          <w:rFonts w:ascii="Arial" w:hAnsi="Arial" w:cs="Arial"/>
          <w:bCs/>
          <w:shd w:val="clear" w:color="auto" w:fill="FFFFFF"/>
        </w:rPr>
        <w:t xml:space="preserve">ub” and critical appraisal by my peers, I was able to implement new ideas and strategies for teaching. This included the use of a greater level of student activities which helped promote student engagement and enthusiasm, as well as giving potentially more distracting students an opportunity to focus their attention on constructive tasks and provide meaningful input for the module group as a whole. </w:t>
      </w:r>
    </w:p>
    <w:p w:rsidR="00F63AB1" w:rsidRDefault="002E0835" w:rsidP="006B3677">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 xml:space="preserve">One of the key areas that indicates the effectiveness and intellectual honesty of one’s own reflective practice is the use of assessment. It could be argued for example that if one really does reflect upon the teaching experience and utilise constructive feedback to form new strategies and methods, then this should result positively not only in the morale of students, but also in their submitted work. </w:t>
      </w:r>
      <w:r w:rsidR="00021E0F">
        <w:rPr>
          <w:rStyle w:val="normaltextrun"/>
          <w:rFonts w:ascii="Arial" w:hAnsi="Arial" w:cs="Arial"/>
          <w:bCs/>
          <w:shd w:val="clear" w:color="auto" w:fill="FFFFFF"/>
        </w:rPr>
        <w:t>During my professional teaching experience, I was involved in the marking of student assignments. While I did not participate in the formulation of the assessment criteria for the modules that I co-taught upon, I was made aware by teaching staff from the beginning of the placement that each of the assignments for the modules had been designed with the maximisation of student growth in mind. For example, assignments often included the creation of leaflets or pamphlets, informational posters, seminar presentations and video submissions in addition to written papers. This was due to the desire to link theory with policy and practice; as students were likely to enter public service fields upon completion of the degree, the assessments had been designed to give students the opportunity to hone and develop practical skills which would be useful for employability concerns. For example, students who go on to work for a charity or trust may well be asked to assist with the creation of promotional material, and thus the experience of creating leaflets and pamphlets</w:t>
      </w:r>
      <w:r w:rsidR="004B4EC6">
        <w:rPr>
          <w:rStyle w:val="normaltextrun"/>
          <w:rFonts w:ascii="Arial" w:hAnsi="Arial" w:cs="Arial"/>
          <w:bCs/>
          <w:shd w:val="clear" w:color="auto" w:fill="FFFFFF"/>
        </w:rPr>
        <w:t xml:space="preserve"> would be useful and desirable for potential employers. This is a further example of how reflective practice led to changes in the construction of assessments for specific modules so as to provide students with the necessary skills to allow them to develop beyond academia in their professional careers. </w:t>
      </w:r>
    </w:p>
    <w:p w:rsidR="006B3677" w:rsidRPr="006B3677" w:rsidRDefault="004B4EC6" w:rsidP="006B3677">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lastRenderedPageBreak/>
        <w:t>Furthermore, via the “</w:t>
      </w:r>
      <w:r w:rsidR="0029101A">
        <w:rPr>
          <w:rStyle w:val="normaltextrun"/>
          <w:rFonts w:ascii="Arial" w:hAnsi="Arial" w:cs="Arial"/>
          <w:bCs/>
          <w:shd w:val="clear" w:color="auto" w:fill="FFFFFF"/>
        </w:rPr>
        <w:t>truth t</w:t>
      </w:r>
      <w:r>
        <w:rPr>
          <w:rStyle w:val="normaltextrun"/>
          <w:rFonts w:ascii="Arial" w:hAnsi="Arial" w:cs="Arial"/>
          <w:bCs/>
          <w:shd w:val="clear" w:color="auto" w:fill="FFFFFF"/>
        </w:rPr>
        <w:t>ub” I had been made aware of student concerns regarding the perceived vagueness of an assessment for one specific module.</w:t>
      </w:r>
      <w:r w:rsidR="006B3677">
        <w:rPr>
          <w:rStyle w:val="normaltextrun"/>
          <w:rFonts w:ascii="Arial" w:hAnsi="Arial" w:cs="Arial"/>
          <w:bCs/>
          <w:shd w:val="clear" w:color="auto" w:fill="FFFFFF"/>
        </w:rPr>
        <w:t xml:space="preserve"> </w:t>
      </w:r>
      <w:r w:rsidR="006B3677" w:rsidRPr="006B3677">
        <w:rPr>
          <w:rStyle w:val="normaltextrun"/>
          <w:rFonts w:ascii="Arial" w:hAnsi="Arial" w:cs="Arial"/>
          <w:bCs/>
          <w:shd w:val="clear" w:color="auto" w:fill="FFFFFF"/>
        </w:rPr>
        <w:t xml:space="preserve">These issues </w:t>
      </w:r>
      <w:r w:rsidR="006B3677">
        <w:rPr>
          <w:rStyle w:val="normaltextrun"/>
          <w:rFonts w:ascii="Arial" w:hAnsi="Arial" w:cs="Arial"/>
          <w:bCs/>
          <w:shd w:val="clear" w:color="auto" w:fill="FFFFFF"/>
        </w:rPr>
        <w:t>stemmed from a lack of understanding of what was required for the assignment, due to the flipped-learning nature of the teaching that had been provided. This issue is discussed in some detail by</w:t>
      </w:r>
      <w:r w:rsidR="006B3677" w:rsidRPr="006B3677">
        <w:rPr>
          <w:rStyle w:val="normaltextrun"/>
          <w:rFonts w:ascii="Arial" w:hAnsi="Arial" w:cs="Arial"/>
          <w:bCs/>
          <w:shd w:val="clear" w:color="auto" w:fill="FFFFFF"/>
        </w:rPr>
        <w:t xml:space="preserve"> </w:t>
      </w:r>
      <w:proofErr w:type="spellStart"/>
      <w:r w:rsidR="006B3677" w:rsidRPr="006B3677">
        <w:rPr>
          <w:rStyle w:val="normaltextrun"/>
          <w:rFonts w:ascii="Arial" w:hAnsi="Arial" w:cs="Arial"/>
          <w:bCs/>
          <w:shd w:val="clear" w:color="auto" w:fill="FFFFFF"/>
        </w:rPr>
        <w:t>Bhagat</w:t>
      </w:r>
      <w:proofErr w:type="spellEnd"/>
      <w:r w:rsidR="006B3677" w:rsidRPr="006B3677">
        <w:rPr>
          <w:rStyle w:val="normaltextrun"/>
          <w:rFonts w:ascii="Arial" w:hAnsi="Arial" w:cs="Arial"/>
          <w:bCs/>
          <w:shd w:val="clear" w:color="auto" w:fill="FFFFFF"/>
        </w:rPr>
        <w:t xml:space="preserve"> &amp; O’Neill (2011, p. 126), who suggest that:</w:t>
      </w:r>
    </w:p>
    <w:p w:rsidR="006B3677" w:rsidRDefault="006B3677" w:rsidP="006B3677">
      <w:pPr>
        <w:spacing w:line="480" w:lineRule="auto"/>
        <w:ind w:left="720"/>
        <w:rPr>
          <w:rStyle w:val="normaltextrun"/>
          <w:rFonts w:ascii="Arial" w:hAnsi="Arial" w:cs="Arial"/>
          <w:bCs/>
          <w:shd w:val="clear" w:color="auto" w:fill="FFFFFF"/>
        </w:rPr>
      </w:pPr>
      <w:r w:rsidRPr="006B3677">
        <w:rPr>
          <w:rStyle w:val="normaltextrun"/>
          <w:rFonts w:ascii="Arial" w:hAnsi="Arial" w:cs="Arial"/>
          <w:bCs/>
          <w:shd w:val="clear" w:color="auto" w:fill="FFFFFF"/>
        </w:rPr>
        <w:t>This cultural shift in emphasis from tutor-led to student-led study and the responsibility of managing one’s own learning, often within a more complex and diverse learning environment, is particularly challenging for non-traditional students.</w:t>
      </w:r>
    </w:p>
    <w:p w:rsidR="00F63AB1" w:rsidRPr="000A28F5" w:rsidRDefault="004B4EC6" w:rsidP="006B3677">
      <w:pPr>
        <w:spacing w:line="480" w:lineRule="auto"/>
        <w:rPr>
          <w:rFonts w:ascii="Arial" w:hAnsi="Arial" w:cs="Arial"/>
        </w:rPr>
      </w:pPr>
      <w:r>
        <w:rPr>
          <w:rStyle w:val="normaltextrun"/>
          <w:rFonts w:ascii="Arial" w:hAnsi="Arial" w:cs="Arial"/>
          <w:bCs/>
          <w:shd w:val="clear" w:color="auto" w:fill="FFFFFF"/>
        </w:rPr>
        <w:t xml:space="preserve">As this module required a video submission from students, it became apparent that student groups struggled with the ICT skills necessary to put together a cohesive unit of work, and the variation between file formats of the submissions meant that there were a confusing number of links that students had to submit to via Moodle. This is a clear opportunity for reflective practice regarding the assessment of students, and as such this particular component of the module will be reformatted for the following academic year. </w:t>
      </w:r>
      <w:r w:rsidR="00F63AB1">
        <w:rPr>
          <w:rStyle w:val="normaltextrun"/>
          <w:rFonts w:ascii="Arial" w:hAnsi="Arial" w:cs="Arial"/>
          <w:bCs/>
          <w:shd w:val="clear" w:color="auto" w:fill="FFFFFF"/>
        </w:rPr>
        <w:t xml:space="preserve">As much of the feedback students received was formative, classroom activities and tasks were designed so as to give clear indications as to the level of student engagement with the topic content. </w:t>
      </w:r>
      <w:r w:rsidR="00F63AB1" w:rsidRPr="000A28F5">
        <w:rPr>
          <w:rFonts w:ascii="Arial" w:hAnsi="Arial" w:cs="Arial"/>
        </w:rPr>
        <w:t>Moll (1993, p. 181-182) states that:</w:t>
      </w:r>
    </w:p>
    <w:p w:rsidR="00F63AB1" w:rsidRPr="000A28F5" w:rsidRDefault="00F63AB1" w:rsidP="006B3677">
      <w:pPr>
        <w:spacing w:line="480" w:lineRule="auto"/>
        <w:ind w:left="720"/>
        <w:rPr>
          <w:rFonts w:ascii="Arial" w:hAnsi="Arial" w:cs="Arial"/>
        </w:rPr>
      </w:pPr>
      <w:r w:rsidRPr="000A28F5">
        <w:rPr>
          <w:rFonts w:ascii="Arial" w:hAnsi="Arial" w:cs="Arial"/>
        </w:rPr>
        <w:t xml:space="preserve">Questioning, in contrast to instructing, provides a distinct and valuable means of assisting performance. Questioning explicitly calls for an active linguistic and cognitive response. It provokes creations by the pupil (…) </w:t>
      </w:r>
      <w:proofErr w:type="gramStart"/>
      <w:r w:rsidRPr="000A28F5">
        <w:rPr>
          <w:rFonts w:ascii="Arial" w:hAnsi="Arial" w:cs="Arial"/>
        </w:rPr>
        <w:t>During</w:t>
      </w:r>
      <w:proofErr w:type="gramEnd"/>
      <w:r w:rsidRPr="000A28F5">
        <w:rPr>
          <w:rFonts w:ascii="Arial" w:hAnsi="Arial" w:cs="Arial"/>
        </w:rPr>
        <w:t xml:space="preserve"> this exercise of the pupils’ speech and thought, the teacher will be able to assist and regulate the students’ assembling of evidence and their use of logic.</w:t>
      </w:r>
    </w:p>
    <w:p w:rsidR="00535EC5" w:rsidRPr="00535EC5" w:rsidRDefault="00F63AB1" w:rsidP="006B3677">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 xml:space="preserve">For this reason, questioning during lectures (in particular, Socratic questioning and student discussion of social issues) was an indispensable tool, and allowed me to not only to direct questions at less engaged students so as to promote participation, but also allowed students the opportunity to reflect critically upon their own beliefs and values, and develop the </w:t>
      </w:r>
      <w:r>
        <w:rPr>
          <w:rStyle w:val="normaltextrun"/>
          <w:rFonts w:ascii="Arial" w:hAnsi="Arial" w:cs="Arial"/>
          <w:bCs/>
          <w:shd w:val="clear" w:color="auto" w:fill="FFFFFF"/>
        </w:rPr>
        <w:lastRenderedPageBreak/>
        <w:t>confidence to be able to assert these observations backed up with relevant theory and policy</w:t>
      </w:r>
      <w:r w:rsidR="00535EC5">
        <w:rPr>
          <w:rStyle w:val="normaltextrun"/>
          <w:rFonts w:ascii="Arial" w:hAnsi="Arial" w:cs="Arial"/>
          <w:bCs/>
          <w:shd w:val="clear" w:color="auto" w:fill="FFFFFF"/>
        </w:rPr>
        <w:t xml:space="preserve">. However, </w:t>
      </w:r>
      <w:r w:rsidR="0029101A">
        <w:rPr>
          <w:rStyle w:val="normaltextrun"/>
          <w:rFonts w:ascii="Arial" w:hAnsi="Arial" w:cs="Arial"/>
          <w:bCs/>
          <w:shd w:val="clear" w:color="auto" w:fill="FFFFFF"/>
        </w:rPr>
        <w:t>However, Wallace (2004, p.69</w:t>
      </w:r>
      <w:r w:rsidR="00535EC5" w:rsidRPr="00535EC5">
        <w:rPr>
          <w:rStyle w:val="normaltextrun"/>
          <w:rFonts w:ascii="Arial" w:hAnsi="Arial" w:cs="Arial"/>
          <w:bCs/>
          <w:shd w:val="clear" w:color="auto" w:fill="FFFFFF"/>
        </w:rPr>
        <w:t>) also acknowledges that:</w:t>
      </w:r>
    </w:p>
    <w:p w:rsidR="002E0835" w:rsidRDefault="00535EC5" w:rsidP="006B3677">
      <w:pPr>
        <w:spacing w:line="480" w:lineRule="auto"/>
        <w:ind w:left="720"/>
        <w:rPr>
          <w:rStyle w:val="normaltextrun"/>
          <w:rFonts w:ascii="Arial" w:hAnsi="Arial" w:cs="Arial"/>
          <w:bCs/>
          <w:shd w:val="clear" w:color="auto" w:fill="FFFFFF"/>
        </w:rPr>
      </w:pPr>
      <w:r w:rsidRPr="00535EC5">
        <w:rPr>
          <w:rStyle w:val="normaltextrun"/>
          <w:rFonts w:ascii="Arial" w:hAnsi="Arial" w:cs="Arial"/>
          <w:bCs/>
          <w:shd w:val="clear" w:color="auto" w:fill="FFFFFF"/>
        </w:rPr>
        <w:t>In some subjects, such as English literature or the fine arts, criteria for assessment are far harder to formulate without losing in the process some essential component, such as critical sensibility, which is difficult to articulate accurately in terms of observable outcomes.</w:t>
      </w:r>
    </w:p>
    <w:p w:rsidR="00535EC5" w:rsidRDefault="00535EC5" w:rsidP="006B3677">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This is a particular concern when assessing student submissions for assignments that are not essays, such as leaflets or pamphlets. However,</w:t>
      </w:r>
      <w:r w:rsidR="006B3677">
        <w:rPr>
          <w:rStyle w:val="normaltextrun"/>
          <w:rFonts w:ascii="Arial" w:hAnsi="Arial" w:cs="Arial"/>
          <w:bCs/>
          <w:shd w:val="clear" w:color="auto" w:fill="FFFFFF"/>
        </w:rPr>
        <w:t xml:space="preserve"> in line with the Schools wider policy of continuing professional </w:t>
      </w:r>
      <w:r w:rsidR="00757C48">
        <w:rPr>
          <w:rStyle w:val="normaltextrun"/>
          <w:rFonts w:ascii="Arial" w:hAnsi="Arial" w:cs="Arial"/>
          <w:bCs/>
          <w:shd w:val="clear" w:color="auto" w:fill="FFFFFF"/>
        </w:rPr>
        <w:t>development</w:t>
      </w:r>
      <w:r w:rsidR="006B3677">
        <w:rPr>
          <w:rStyle w:val="normaltextrun"/>
          <w:rFonts w:ascii="Arial" w:hAnsi="Arial" w:cs="Arial"/>
          <w:bCs/>
          <w:shd w:val="clear" w:color="auto" w:fill="FFFFFF"/>
        </w:rPr>
        <w:t xml:space="preserve"> and improvement of module structure, th</w:t>
      </w:r>
      <w:r w:rsidR="00757C48">
        <w:rPr>
          <w:rStyle w:val="normaltextrun"/>
          <w:rFonts w:ascii="Arial" w:hAnsi="Arial" w:cs="Arial"/>
          <w:bCs/>
          <w:shd w:val="clear" w:color="auto" w:fill="FFFFFF"/>
        </w:rPr>
        <w:t xml:space="preserve">ese </w:t>
      </w:r>
      <w:r w:rsidR="006B3677">
        <w:rPr>
          <w:rStyle w:val="normaltextrun"/>
          <w:rFonts w:ascii="Arial" w:hAnsi="Arial" w:cs="Arial"/>
          <w:bCs/>
          <w:shd w:val="clear" w:color="auto" w:fill="FFFFFF"/>
        </w:rPr>
        <w:t xml:space="preserve">assessments have seen noticeable change over the past academic year. For example, marking for seminar presentations was implemented online directly onto Moodle for the first time this year, as opposed to paper marking in previous years. </w:t>
      </w:r>
    </w:p>
    <w:p w:rsidR="006B3677" w:rsidRDefault="006B3677" w:rsidP="006B3677">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ab/>
        <w:t xml:space="preserve">Overall, the professional teaching experience has provided me </w:t>
      </w:r>
      <w:r w:rsidR="00757C48">
        <w:rPr>
          <w:rStyle w:val="normaltextrun"/>
          <w:rFonts w:ascii="Arial" w:hAnsi="Arial" w:cs="Arial"/>
          <w:bCs/>
          <w:shd w:val="clear" w:color="auto" w:fill="FFFFFF"/>
        </w:rPr>
        <w:t>with high degree opportunities</w:t>
      </w:r>
      <w:r>
        <w:rPr>
          <w:rStyle w:val="normaltextrun"/>
          <w:rFonts w:ascii="Arial" w:hAnsi="Arial" w:cs="Arial"/>
          <w:bCs/>
          <w:shd w:val="clear" w:color="auto" w:fill="FFFFFF"/>
        </w:rPr>
        <w:t xml:space="preserve"> to improve my subject knowledge, critically reflect upon my own abilities as an educator and engage in dialogue with my peers to review teaching strategies and methods. </w:t>
      </w:r>
    </w:p>
    <w:p w:rsidR="000E7CB1" w:rsidRDefault="000E7CB1" w:rsidP="006B3677">
      <w:pPr>
        <w:spacing w:line="480" w:lineRule="auto"/>
        <w:ind w:firstLine="720"/>
        <w:rPr>
          <w:rStyle w:val="normaltextrun"/>
          <w:rFonts w:ascii="Arial" w:hAnsi="Arial" w:cs="Arial"/>
          <w:bCs/>
          <w:shd w:val="clear" w:color="auto" w:fill="FFFFFF"/>
        </w:rPr>
      </w:pPr>
    </w:p>
    <w:p w:rsidR="006C78DA" w:rsidRDefault="006C78DA" w:rsidP="006B3677">
      <w:pPr>
        <w:spacing w:line="480" w:lineRule="auto"/>
        <w:ind w:firstLine="720"/>
        <w:rPr>
          <w:rStyle w:val="normaltextrun"/>
          <w:rFonts w:ascii="Arial" w:hAnsi="Arial" w:cs="Arial"/>
          <w:bCs/>
          <w:shd w:val="clear" w:color="auto" w:fill="FFFFFF"/>
        </w:rPr>
      </w:pPr>
    </w:p>
    <w:p w:rsidR="006C78DA" w:rsidRDefault="006C78DA" w:rsidP="006B3677">
      <w:pPr>
        <w:spacing w:line="480" w:lineRule="auto"/>
        <w:ind w:firstLine="720"/>
        <w:rPr>
          <w:rStyle w:val="normaltextrun"/>
          <w:rFonts w:ascii="Arial" w:hAnsi="Arial" w:cs="Arial"/>
          <w:bCs/>
          <w:shd w:val="clear" w:color="auto" w:fill="FFFFFF"/>
        </w:rPr>
      </w:pPr>
    </w:p>
    <w:p w:rsidR="006C78DA" w:rsidRDefault="006C78DA" w:rsidP="006B3677">
      <w:pPr>
        <w:spacing w:line="480" w:lineRule="auto"/>
        <w:ind w:firstLine="720"/>
      </w:pPr>
    </w:p>
    <w:p w:rsidR="006B3677" w:rsidRDefault="006B3677" w:rsidP="006B3677">
      <w:pPr>
        <w:spacing w:line="480" w:lineRule="auto"/>
        <w:ind w:firstLine="720"/>
      </w:pPr>
    </w:p>
    <w:p w:rsidR="006B3677" w:rsidRDefault="006B3677" w:rsidP="006B3677">
      <w:pPr>
        <w:spacing w:line="480" w:lineRule="auto"/>
        <w:ind w:firstLine="720"/>
      </w:pPr>
    </w:p>
    <w:p w:rsidR="006B3677" w:rsidRDefault="006B3677" w:rsidP="006B3677">
      <w:pPr>
        <w:spacing w:line="480" w:lineRule="auto"/>
        <w:ind w:firstLine="720"/>
      </w:pPr>
    </w:p>
    <w:p w:rsidR="006B3677" w:rsidRDefault="006B3677" w:rsidP="00757C48">
      <w:pPr>
        <w:spacing w:line="480" w:lineRule="auto"/>
      </w:pPr>
    </w:p>
    <w:sdt>
      <w:sdtPr>
        <w:id w:val="797108777"/>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6B3677" w:rsidRPr="00757C48" w:rsidRDefault="006B3677" w:rsidP="00757C48">
          <w:pPr>
            <w:pStyle w:val="Heading1"/>
            <w:spacing w:line="480" w:lineRule="auto"/>
            <w:rPr>
              <w:color w:val="auto"/>
            </w:rPr>
          </w:pPr>
          <w:r w:rsidRPr="00757C48">
            <w:rPr>
              <w:color w:val="auto"/>
            </w:rPr>
            <w:t>Bibliography</w:t>
          </w:r>
        </w:p>
        <w:sdt>
          <w:sdtPr>
            <w:id w:val="111145805"/>
            <w:bibliography/>
          </w:sdtPr>
          <w:sdtContent>
            <w:p w:rsidR="006B3677" w:rsidRDefault="006B3677" w:rsidP="00757C48">
              <w:pPr>
                <w:pStyle w:val="Bibliography"/>
                <w:spacing w:line="480" w:lineRule="auto"/>
                <w:rPr>
                  <w:noProof/>
                  <w:lang w:val="en-US"/>
                </w:rPr>
              </w:pPr>
              <w:r>
                <w:fldChar w:fldCharType="begin"/>
              </w:r>
              <w:r>
                <w:instrText xml:space="preserve"> BIBLIOGRAPHY </w:instrText>
              </w:r>
              <w:r>
                <w:fldChar w:fldCharType="separate"/>
              </w:r>
              <w:r>
                <w:rPr>
                  <w:noProof/>
                  <w:lang w:val="en-US"/>
                </w:rPr>
                <w:t xml:space="preserve">Bhagat, D. &amp; O'Neill, P., 2011. </w:t>
              </w:r>
              <w:r>
                <w:rPr>
                  <w:i/>
                  <w:iCs/>
                  <w:noProof/>
                  <w:lang w:val="en-US"/>
                </w:rPr>
                <w:t xml:space="preserve">Inclusive Practices, Inclusive Pedagogies: Learning from Widening Participation research in Art and Design Higher Education. </w:t>
              </w:r>
              <w:r>
                <w:rPr>
                  <w:noProof/>
                  <w:lang w:val="en-US"/>
                </w:rPr>
                <w:t>Croydon: CPI Group.</w:t>
              </w:r>
            </w:p>
            <w:p w:rsidR="006B3677" w:rsidRDefault="006B3677" w:rsidP="00757C48">
              <w:pPr>
                <w:pStyle w:val="Bibliography"/>
                <w:spacing w:line="480" w:lineRule="auto"/>
                <w:rPr>
                  <w:noProof/>
                  <w:lang w:val="en-US"/>
                </w:rPr>
              </w:pPr>
              <w:r>
                <w:rPr>
                  <w:noProof/>
                  <w:lang w:val="en-US"/>
                </w:rPr>
                <w:t xml:space="preserve">Burnett, G., 2002. </w:t>
              </w:r>
              <w:r>
                <w:rPr>
                  <w:i/>
                  <w:iCs/>
                  <w:noProof/>
                  <w:lang w:val="en-US"/>
                </w:rPr>
                <w:t xml:space="preserve">Learning to Learn: Making Learning Work For All Students. </w:t>
              </w:r>
              <w:r>
                <w:rPr>
                  <w:noProof/>
                  <w:lang w:val="en-US"/>
                </w:rPr>
                <w:t>Glasgow: Crown House Publishing Ltd.</w:t>
              </w:r>
            </w:p>
            <w:p w:rsidR="006B3677" w:rsidRDefault="006B3677" w:rsidP="00757C48">
              <w:pPr>
                <w:pStyle w:val="Bibliography"/>
                <w:spacing w:line="480" w:lineRule="auto"/>
                <w:rPr>
                  <w:noProof/>
                  <w:lang w:val="en-US"/>
                </w:rPr>
              </w:pPr>
              <w:r>
                <w:rPr>
                  <w:noProof/>
                  <w:lang w:val="en-US"/>
                </w:rPr>
                <w:t xml:space="preserve">Minton, D., 2004. </w:t>
              </w:r>
              <w:r>
                <w:rPr>
                  <w:i/>
                  <w:iCs/>
                  <w:noProof/>
                  <w:lang w:val="en-US"/>
                </w:rPr>
                <w:t xml:space="preserve">Teaching Skills in Further &amp; Adult Education. </w:t>
              </w:r>
              <w:r>
                <w:rPr>
                  <w:noProof/>
                  <w:lang w:val="en-US"/>
                </w:rPr>
                <w:t>London: City &amp; Guilds of London Institute.</w:t>
              </w:r>
            </w:p>
            <w:p w:rsidR="00757C48" w:rsidRPr="00757C48" w:rsidRDefault="00757C48" w:rsidP="00757C48">
              <w:pPr>
                <w:pStyle w:val="Bibliography"/>
                <w:spacing w:line="480" w:lineRule="auto"/>
                <w:ind w:left="720" w:hanging="720"/>
                <w:rPr>
                  <w:noProof/>
                  <w:lang w:val="en-US"/>
                </w:rPr>
              </w:pPr>
              <w:r>
                <w:rPr>
                  <w:noProof/>
                  <w:lang w:val="en-US"/>
                </w:rPr>
                <w:t xml:space="preserve">Motschnig-Pitrik, R., &amp; Santos, A. (2006). The Person Centered Approach to Teaching and Learning as Exemplified in a Course in Organizational Development. </w:t>
              </w:r>
              <w:r>
                <w:rPr>
                  <w:i/>
                  <w:iCs/>
                  <w:noProof/>
                  <w:lang w:val="en-US"/>
                </w:rPr>
                <w:t>Zeitschrift für Hochschulentwicklung, 1</w:t>
              </w:r>
              <w:r>
                <w:rPr>
                  <w:noProof/>
                  <w:lang w:val="en-US"/>
                </w:rPr>
                <w:t>(4), 6.</w:t>
              </w:r>
            </w:p>
            <w:p w:rsidR="006B3677" w:rsidRDefault="006B3677" w:rsidP="00757C48">
              <w:pPr>
                <w:pStyle w:val="Bibliography"/>
                <w:spacing w:line="480" w:lineRule="auto"/>
                <w:rPr>
                  <w:noProof/>
                  <w:lang w:val="en-US"/>
                </w:rPr>
              </w:pPr>
              <w:r>
                <w:rPr>
                  <w:noProof/>
                  <w:lang w:val="en-US"/>
                </w:rPr>
                <w:t xml:space="preserve">Wallace, S., 2004. </w:t>
              </w:r>
              <w:r>
                <w:rPr>
                  <w:i/>
                  <w:iCs/>
                  <w:noProof/>
                  <w:lang w:val="en-US"/>
                </w:rPr>
                <w:t xml:space="preserve">Teaching &amp; Supporting Learning in Further Education. </w:t>
              </w:r>
              <w:r>
                <w:rPr>
                  <w:noProof/>
                  <w:lang w:val="en-US"/>
                </w:rPr>
                <w:t>Exeter: Learning Matters Ltd.</w:t>
              </w:r>
            </w:p>
            <w:p w:rsidR="006B3677" w:rsidRDefault="006B3677" w:rsidP="00757C48">
              <w:pPr>
                <w:pStyle w:val="Bibliography"/>
                <w:spacing w:line="480" w:lineRule="auto"/>
                <w:rPr>
                  <w:noProof/>
                  <w:lang w:val="en-US"/>
                </w:rPr>
              </w:pPr>
              <w:r>
                <w:rPr>
                  <w:noProof/>
                  <w:lang w:val="en-US"/>
                </w:rPr>
                <w:t xml:space="preserve">Zwozdiak-Myers, P., 2012. </w:t>
              </w:r>
              <w:r>
                <w:rPr>
                  <w:i/>
                  <w:iCs/>
                  <w:noProof/>
                  <w:lang w:val="en-US"/>
                </w:rPr>
                <w:t xml:space="preserve">The Teacher's Reflective Practice Handbook. </w:t>
              </w:r>
              <w:r>
                <w:rPr>
                  <w:noProof/>
                  <w:lang w:val="en-US"/>
                </w:rPr>
                <w:t>Oxon: Routledge.</w:t>
              </w:r>
            </w:p>
            <w:p w:rsidR="006B3677" w:rsidRDefault="006B3677" w:rsidP="00757C48">
              <w:pPr>
                <w:spacing w:line="480" w:lineRule="auto"/>
              </w:pPr>
              <w:r>
                <w:rPr>
                  <w:b/>
                  <w:bCs/>
                  <w:noProof/>
                </w:rPr>
                <w:fldChar w:fldCharType="end"/>
              </w:r>
            </w:p>
          </w:sdtContent>
        </w:sdt>
      </w:sdtContent>
    </w:sdt>
    <w:p w:rsidR="006B3677" w:rsidRDefault="006B3677" w:rsidP="006B3677">
      <w:pPr>
        <w:spacing w:line="480" w:lineRule="auto"/>
        <w:ind w:firstLine="720"/>
      </w:pPr>
    </w:p>
    <w:p w:rsidR="00205E59" w:rsidRDefault="00205E59" w:rsidP="006B3677">
      <w:pPr>
        <w:spacing w:line="480" w:lineRule="auto"/>
        <w:ind w:firstLine="720"/>
      </w:pPr>
    </w:p>
    <w:p w:rsidR="00205E59" w:rsidRDefault="00205E59" w:rsidP="006B3677">
      <w:pPr>
        <w:spacing w:line="480" w:lineRule="auto"/>
        <w:ind w:firstLine="720"/>
      </w:pPr>
    </w:p>
    <w:p w:rsidR="00205E59" w:rsidRDefault="00205E59" w:rsidP="006B3677">
      <w:pPr>
        <w:spacing w:line="480" w:lineRule="auto"/>
        <w:ind w:firstLine="720"/>
      </w:pPr>
    </w:p>
    <w:p w:rsidR="00205E59" w:rsidRDefault="00205E59" w:rsidP="006B3677">
      <w:pPr>
        <w:spacing w:line="480" w:lineRule="auto"/>
        <w:ind w:firstLine="720"/>
      </w:pPr>
    </w:p>
    <w:p w:rsidR="00205E59" w:rsidRDefault="00205E59" w:rsidP="006B3677">
      <w:pPr>
        <w:spacing w:line="480" w:lineRule="auto"/>
        <w:ind w:firstLine="720"/>
      </w:pPr>
    </w:p>
    <w:p w:rsidR="00205E59" w:rsidRDefault="00205E59" w:rsidP="006B3677">
      <w:pPr>
        <w:spacing w:line="480" w:lineRule="auto"/>
        <w:ind w:firstLine="720"/>
      </w:pPr>
    </w:p>
    <w:p w:rsidR="00205E59" w:rsidRPr="0044236D" w:rsidRDefault="00205E59" w:rsidP="00205E59">
      <w:pPr>
        <w:rPr>
          <w:rStyle w:val="normaltextrun"/>
          <w:rFonts w:ascii="Arial" w:hAnsi="Arial" w:cs="Arial"/>
          <w:b/>
          <w:bCs/>
          <w:color w:val="0070C0"/>
          <w:u w:val="single"/>
          <w:shd w:val="clear" w:color="auto" w:fill="FFFFFF"/>
        </w:rPr>
      </w:pPr>
      <w:proofErr w:type="gramStart"/>
      <w:r w:rsidRPr="0044236D">
        <w:rPr>
          <w:rStyle w:val="normaltextrun"/>
          <w:rFonts w:ascii="Arial" w:hAnsi="Arial" w:cs="Arial"/>
          <w:b/>
          <w:color w:val="212121"/>
          <w:u w:val="single"/>
          <w:shd w:val="clear" w:color="auto" w:fill="FFFFFF"/>
        </w:rPr>
        <w:lastRenderedPageBreak/>
        <w:t>An </w:t>
      </w:r>
      <w:r w:rsidRPr="0044236D">
        <w:rPr>
          <w:rStyle w:val="normaltextrun"/>
          <w:rFonts w:ascii="Arial" w:hAnsi="Arial" w:cs="Arial"/>
          <w:b/>
          <w:bCs/>
          <w:color w:val="212121"/>
          <w:u w:val="single"/>
          <w:shd w:val="clear" w:color="auto" w:fill="FFFFFF"/>
        </w:rPr>
        <w:t>academic critique</w:t>
      </w:r>
      <w:r w:rsidRPr="0044236D">
        <w:rPr>
          <w:rStyle w:val="normaltextrun"/>
          <w:rFonts w:ascii="Arial" w:hAnsi="Arial" w:cs="Arial"/>
          <w:b/>
          <w:color w:val="212121"/>
          <w:u w:val="single"/>
          <w:shd w:val="clear" w:color="auto" w:fill="FFFFFF"/>
        </w:rPr>
        <w:t> of current thinking in relation to the use of reflective practice in teaching and learning.</w:t>
      </w:r>
      <w:proofErr w:type="gramEnd"/>
      <w:r w:rsidRPr="0044236D">
        <w:rPr>
          <w:rStyle w:val="normaltextrun"/>
          <w:rFonts w:ascii="Arial" w:hAnsi="Arial" w:cs="Arial"/>
          <w:b/>
          <w:color w:val="212121"/>
          <w:u w:val="single"/>
          <w:shd w:val="clear" w:color="auto" w:fill="FFFFFF"/>
        </w:rPr>
        <w:t xml:space="preserve"> </w:t>
      </w:r>
    </w:p>
    <w:p w:rsidR="00205E59" w:rsidRDefault="00205E59" w:rsidP="00205E59">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Reflective practice in teaching and learning has several different definitions according to various traditions and disciplines (</w:t>
      </w:r>
      <w:proofErr w:type="spellStart"/>
      <w:r>
        <w:rPr>
          <w:rStyle w:val="normaltextrun"/>
          <w:rFonts w:ascii="Arial" w:hAnsi="Arial" w:cs="Arial"/>
          <w:bCs/>
          <w:shd w:val="clear" w:color="auto" w:fill="FFFFFF"/>
        </w:rPr>
        <w:t>Fook</w:t>
      </w:r>
      <w:proofErr w:type="spellEnd"/>
      <w:r>
        <w:rPr>
          <w:rStyle w:val="normaltextrun"/>
          <w:rFonts w:ascii="Arial" w:hAnsi="Arial" w:cs="Arial"/>
          <w:bCs/>
          <w:shd w:val="clear" w:color="auto" w:fill="FFFFFF"/>
        </w:rPr>
        <w:t xml:space="preserve"> 2006). In general, however, reflective practice is the process by which practitioners increase their levels of self-awareness via introspection, examining assumptions and critically evaluating their performance and progress professionally. Reflective practice has in some ways become one of the primary indicators for professional competency. However, the extent to which practitioners should focus on individualistic experiences of teaching and learning as opposed to the wider context of education and the organisational structure is contentious. What is generally agreed, however, is that the central aim of reflective practice is to consider experience and critically evaluate its implications, strengths and weaknesses so as to formulate a better understanding and improve future </w:t>
      </w:r>
      <w:proofErr w:type="gramStart"/>
      <w:r>
        <w:rPr>
          <w:rStyle w:val="normaltextrun"/>
          <w:rFonts w:ascii="Arial" w:hAnsi="Arial" w:cs="Arial"/>
          <w:bCs/>
          <w:shd w:val="clear" w:color="auto" w:fill="FFFFFF"/>
        </w:rPr>
        <w:t>practice.</w:t>
      </w:r>
      <w:proofErr w:type="gramEnd"/>
      <w:r>
        <w:rPr>
          <w:rStyle w:val="normaltextrun"/>
          <w:rFonts w:ascii="Arial" w:hAnsi="Arial" w:cs="Arial"/>
          <w:bCs/>
          <w:shd w:val="clear" w:color="auto" w:fill="FFFFFF"/>
        </w:rPr>
        <w:t xml:space="preserve"> For this reason, reflective practice is an ongoing process throughout professional development, and synonymous with what is sometimes called life-long learning. </w:t>
      </w:r>
    </w:p>
    <w:p w:rsidR="00205E59" w:rsidRDefault="00205E59" w:rsidP="00205E59">
      <w:pPr>
        <w:autoSpaceDE w:val="0"/>
        <w:autoSpaceDN w:val="0"/>
        <w:adjustRightInd w:val="0"/>
        <w:spacing w:after="0"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 xml:space="preserve">There are several models of reflective practice; namely Kolb’s learning cycle, Gibb’s reflective model and </w:t>
      </w:r>
      <w:proofErr w:type="spellStart"/>
      <w:r>
        <w:rPr>
          <w:rStyle w:val="normaltextrun"/>
          <w:rFonts w:ascii="Arial" w:hAnsi="Arial" w:cs="Arial"/>
          <w:bCs/>
          <w:shd w:val="clear" w:color="auto" w:fill="FFFFFF"/>
        </w:rPr>
        <w:t>Schon’s</w:t>
      </w:r>
      <w:proofErr w:type="spellEnd"/>
      <w:r>
        <w:rPr>
          <w:rStyle w:val="normaltextrun"/>
          <w:rFonts w:ascii="Arial" w:hAnsi="Arial" w:cs="Arial"/>
          <w:bCs/>
          <w:shd w:val="clear" w:color="auto" w:fill="FFFFFF"/>
        </w:rPr>
        <w:t xml:space="preserve"> reflective model, with perhaps Gibbs’ model being the most widely acknowledged in the education sector. Kolb’s learning cycle subdivides reflective practice into 4 key segments; the experience itself, reflecting or observing upon the experience, concluding and abstractly learning from the experience, and active experimentation in testing and trying new ideas. Intrinsically linked to Kolb’s learning cycle of experience, Gibbs’ model has been adopted by many academic institutions as a way of facilitating critical evaluation of professional performance. Gibb’s model allows practitioners to reflect upon experience, evaluate its positive and negative aspects, make critical conclusions, and creatively construct new strategies for if similar situations arise in future. Gibbs’ model expands upon Kolb’s by highlighting the opportunity for practitioners to examine their fundamental assumptions and feelings of the experience, and the use of an action plan in how to improve future experiences. However, </w:t>
      </w:r>
      <w:proofErr w:type="spellStart"/>
      <w:r>
        <w:rPr>
          <w:rStyle w:val="normaltextrun"/>
          <w:rFonts w:ascii="Arial" w:hAnsi="Arial" w:cs="Arial"/>
          <w:bCs/>
          <w:shd w:val="clear" w:color="auto" w:fill="FFFFFF"/>
        </w:rPr>
        <w:t>Zeichner</w:t>
      </w:r>
      <w:proofErr w:type="spellEnd"/>
      <w:r>
        <w:rPr>
          <w:rStyle w:val="normaltextrun"/>
          <w:rFonts w:ascii="Arial" w:hAnsi="Arial" w:cs="Arial"/>
          <w:bCs/>
          <w:shd w:val="clear" w:color="auto" w:fill="FFFFFF"/>
        </w:rPr>
        <w:t xml:space="preserve"> &amp; Liston (1996) </w:t>
      </w:r>
      <w:r>
        <w:rPr>
          <w:rStyle w:val="normaltextrun"/>
          <w:rFonts w:ascii="Arial" w:hAnsi="Arial" w:cs="Arial"/>
          <w:bCs/>
          <w:shd w:val="clear" w:color="auto" w:fill="FFFFFF"/>
        </w:rPr>
        <w:lastRenderedPageBreak/>
        <w:t>criticise Gibbs’ model of reflective practice by suggesting that educators should adopt a broader and critical approach of intrinsically held values, and how to best encourage positive change in the quality of teaching. This includes challenging the assumptions behind what is being taught, and the wider context within which learning is taking place.</w:t>
      </w: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 xml:space="preserve">With regards to teaching and learning, reflective practice is an essential component of academia. In </w:t>
      </w:r>
      <w:proofErr w:type="spellStart"/>
      <w:r>
        <w:rPr>
          <w:rStyle w:val="normaltextrun"/>
          <w:rFonts w:ascii="Arial" w:hAnsi="Arial" w:cs="Arial"/>
          <w:bCs/>
          <w:shd w:val="clear" w:color="auto" w:fill="FFFFFF"/>
        </w:rPr>
        <w:t>Schon’s</w:t>
      </w:r>
      <w:proofErr w:type="spellEnd"/>
      <w:r>
        <w:rPr>
          <w:rStyle w:val="normaltextrun"/>
          <w:rFonts w:ascii="Arial" w:hAnsi="Arial" w:cs="Arial"/>
          <w:bCs/>
          <w:shd w:val="clear" w:color="auto" w:fill="FFFFFF"/>
        </w:rPr>
        <w:t xml:space="preserve"> (1983, p.68) </w:t>
      </w:r>
      <w:r>
        <w:rPr>
          <w:rStyle w:val="normaltextrun"/>
          <w:rFonts w:ascii="Arial" w:hAnsi="Arial" w:cs="Arial"/>
          <w:bCs/>
          <w:i/>
          <w:shd w:val="clear" w:color="auto" w:fill="FFFFFF"/>
        </w:rPr>
        <w:t>Reflective Practitioner: How Professionals Think in Action,</w:t>
      </w:r>
      <w:r>
        <w:rPr>
          <w:rStyle w:val="normaltextrun"/>
          <w:rFonts w:ascii="Arial" w:hAnsi="Arial" w:cs="Arial"/>
          <w:bCs/>
          <w:shd w:val="clear" w:color="auto" w:fill="FFFFFF"/>
        </w:rPr>
        <w:t xml:space="preserve"> </w:t>
      </w:r>
      <w:proofErr w:type="spellStart"/>
      <w:r>
        <w:rPr>
          <w:rStyle w:val="normaltextrun"/>
          <w:rFonts w:ascii="Arial" w:hAnsi="Arial" w:cs="Arial"/>
          <w:bCs/>
          <w:shd w:val="clear" w:color="auto" w:fill="FFFFFF"/>
        </w:rPr>
        <w:t>Schon</w:t>
      </w:r>
      <w:proofErr w:type="spellEnd"/>
      <w:r>
        <w:rPr>
          <w:rStyle w:val="normaltextrun"/>
          <w:rFonts w:ascii="Arial" w:hAnsi="Arial" w:cs="Arial"/>
          <w:bCs/>
          <w:shd w:val="clear" w:color="auto" w:fill="FFFFFF"/>
        </w:rPr>
        <w:t xml:space="preserve"> identifies two distinct areas of reflection: reflection-on-action and reflection-in-action. </w:t>
      </w:r>
      <w:proofErr w:type="spellStart"/>
      <w:r>
        <w:rPr>
          <w:rStyle w:val="normaltextrun"/>
          <w:rFonts w:ascii="Arial" w:hAnsi="Arial" w:cs="Arial"/>
          <w:bCs/>
          <w:shd w:val="clear" w:color="auto" w:fill="FFFFFF"/>
        </w:rPr>
        <w:t>Schon</w:t>
      </w:r>
      <w:proofErr w:type="spellEnd"/>
      <w:r>
        <w:rPr>
          <w:rStyle w:val="normaltextrun"/>
          <w:rFonts w:ascii="Arial" w:hAnsi="Arial" w:cs="Arial"/>
          <w:bCs/>
          <w:shd w:val="clear" w:color="auto" w:fill="FFFFFF"/>
        </w:rPr>
        <w:t xml:space="preserve"> suggests that reflection-on-action allows a practitioner to review and critically evaluate an experience after the event has happened. </w:t>
      </w:r>
      <w:proofErr w:type="gramStart"/>
      <w:r>
        <w:rPr>
          <w:rStyle w:val="normaltextrun"/>
          <w:rFonts w:ascii="Arial" w:hAnsi="Arial" w:cs="Arial"/>
          <w:bCs/>
          <w:shd w:val="clear" w:color="auto" w:fill="FFFFFF"/>
        </w:rPr>
        <w:t>This is particularly relevant with regards to teaching; as professionals, evaluation of the successes of a lecture, of a module, and of an academic year as a whole are</w:t>
      </w:r>
      <w:proofErr w:type="gramEnd"/>
      <w:r>
        <w:rPr>
          <w:rStyle w:val="normaltextrun"/>
          <w:rFonts w:ascii="Arial" w:hAnsi="Arial" w:cs="Arial"/>
          <w:bCs/>
          <w:shd w:val="clear" w:color="auto" w:fill="FFFFFF"/>
        </w:rPr>
        <w:t xml:space="preserve"> focal to continuing development and maximising the potential of a delivered programme. The potential of reflection-on-action is that it allows an educator to analyse the performance of an experience, whether on the micro level (an individual lecture or component of such) or on the macro (a whole module), and formulate strategies for self-improvement and improvement of the student experience as a whole.  However, reflection-in-action cannot be neglected, and is defined by </w:t>
      </w:r>
      <w:proofErr w:type="spellStart"/>
      <w:r>
        <w:rPr>
          <w:rStyle w:val="normaltextrun"/>
          <w:rFonts w:ascii="Arial" w:hAnsi="Arial" w:cs="Arial"/>
          <w:bCs/>
          <w:shd w:val="clear" w:color="auto" w:fill="FFFFFF"/>
        </w:rPr>
        <w:t>Schon</w:t>
      </w:r>
      <w:proofErr w:type="spellEnd"/>
      <w:r>
        <w:rPr>
          <w:rStyle w:val="normaltextrun"/>
          <w:rFonts w:ascii="Arial" w:hAnsi="Arial" w:cs="Arial"/>
          <w:bCs/>
          <w:shd w:val="clear" w:color="auto" w:fill="FFFFFF"/>
        </w:rPr>
        <w:t xml:space="preserve"> as “thinking while doing”. This kind of instantaneous assessment is useful for the educator as, if done correctly, will allow for a degree of flexibility and adaptability during lecturing hours. For example, if one is teaching and is able to see that an activity is not working for a group of students, </w:t>
      </w:r>
      <w:proofErr w:type="spellStart"/>
      <w:r>
        <w:rPr>
          <w:rStyle w:val="normaltextrun"/>
          <w:rFonts w:ascii="Arial" w:hAnsi="Arial" w:cs="Arial"/>
          <w:bCs/>
          <w:shd w:val="clear" w:color="auto" w:fill="FFFFFF"/>
        </w:rPr>
        <w:t>Schon’s</w:t>
      </w:r>
      <w:proofErr w:type="spellEnd"/>
      <w:r>
        <w:rPr>
          <w:rStyle w:val="normaltextrun"/>
          <w:rFonts w:ascii="Arial" w:hAnsi="Arial" w:cs="Arial"/>
          <w:bCs/>
          <w:shd w:val="clear" w:color="auto" w:fill="FFFFFF"/>
        </w:rPr>
        <w:t xml:space="preserve"> reflection-in-action would allow the professional to acknowledge and address the issue in an objective way.</w:t>
      </w:r>
    </w:p>
    <w:p w:rsidR="00205E59" w:rsidRDefault="00205E59" w:rsidP="00205E59">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 xml:space="preserve">Pertaining to teaching, </w:t>
      </w:r>
      <w:proofErr w:type="spellStart"/>
      <w:r>
        <w:rPr>
          <w:rStyle w:val="normaltextrun"/>
          <w:rFonts w:ascii="Arial" w:hAnsi="Arial" w:cs="Arial"/>
          <w:bCs/>
          <w:shd w:val="clear" w:color="auto" w:fill="FFFFFF"/>
        </w:rPr>
        <w:t>Grushka</w:t>
      </w:r>
      <w:proofErr w:type="spellEnd"/>
      <w:r>
        <w:rPr>
          <w:rStyle w:val="normaltextrun"/>
          <w:rFonts w:ascii="Arial" w:hAnsi="Arial" w:cs="Arial"/>
          <w:bCs/>
          <w:shd w:val="clear" w:color="auto" w:fill="FFFFFF"/>
        </w:rPr>
        <w:t xml:space="preserve"> et al (2005) amended </w:t>
      </w:r>
      <w:proofErr w:type="spellStart"/>
      <w:r>
        <w:rPr>
          <w:rStyle w:val="normaltextrun"/>
          <w:rFonts w:ascii="Arial" w:hAnsi="Arial" w:cs="Arial"/>
          <w:bCs/>
          <w:shd w:val="clear" w:color="auto" w:fill="FFFFFF"/>
        </w:rPr>
        <w:t>Schon’s</w:t>
      </w:r>
      <w:proofErr w:type="spellEnd"/>
      <w:r>
        <w:rPr>
          <w:rStyle w:val="normaltextrun"/>
          <w:rFonts w:ascii="Arial" w:hAnsi="Arial" w:cs="Arial"/>
          <w:bCs/>
          <w:shd w:val="clear" w:color="auto" w:fill="FFFFFF"/>
        </w:rPr>
        <w:t xml:space="preserve"> dichotomy to include a third category: reflection-for-action. This reflection-for-action prompts educators to consider additional issues with regards to teaching, such as resources available, the lecture content and its delivery, how long the lecture will continue for, how best to utilise the lecture room </w:t>
      </w:r>
      <w:r>
        <w:rPr>
          <w:rStyle w:val="normaltextrun"/>
          <w:rFonts w:ascii="Arial" w:hAnsi="Arial" w:cs="Arial"/>
          <w:bCs/>
          <w:shd w:val="clear" w:color="auto" w:fill="FFFFFF"/>
        </w:rPr>
        <w:lastRenderedPageBreak/>
        <w:t xml:space="preserve">space, why this particular content is being taught, and so on. As this is a pre-emptive consideration, in some ways it contradicts the principle of reflection in the first place, which by definition must happen after an event. However, reflection-for-action utilises the introspection and feedback from students and peers in previous teaching experiences and allows the educator to consider new strategies and ways of implementing innovative new methods for the benefit of students. The most significant part of reflection-for-action is that it cements the idea of change taking place, rather than just passively observing what was positive or negative about a teaching experience. </w:t>
      </w:r>
    </w:p>
    <w:p w:rsidR="00205E59" w:rsidRDefault="00205E59" w:rsidP="00205E59">
      <w:pPr>
        <w:spacing w:line="480" w:lineRule="auto"/>
        <w:rPr>
          <w:rStyle w:val="normaltextrun"/>
          <w:rFonts w:ascii="Arial" w:hAnsi="Arial" w:cs="Arial"/>
          <w:bCs/>
          <w:shd w:val="clear" w:color="auto" w:fill="FFFFFF"/>
        </w:rPr>
      </w:pPr>
      <w:r>
        <w:rPr>
          <w:rStyle w:val="normaltextrun"/>
          <w:rFonts w:ascii="Arial" w:hAnsi="Arial" w:cs="Arial"/>
          <w:bCs/>
          <w:shd w:val="clear" w:color="auto" w:fill="FFFFFF"/>
        </w:rPr>
        <w:t>A significant area of concern for educators using reflective models must be the topic of introspection. Reynolds &amp; Vince (2004) suggest that introspection allows practitioners to focus on their own thoughts and feelings, and evaluate their professional performance. While the onus is on practitioners to reflect upon and evaluate their own performance, what is neglected is reciprocity of review, or any kind of shared processes. Educational institutions often encourage quality assurance through supervisory sessions, moderation events, and peer review. Therefore, for reflective practice to be at its most effective, it must be a core professional value of not only the individual educator, but also culturally within the academic institution and embedded in the nature of the organisation itself through quality assurance procedures.</w:t>
      </w:r>
    </w:p>
    <w:p w:rsidR="00205E59" w:rsidRDefault="00205E59" w:rsidP="00205E59">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Perhaps one of the neglected aspects of reflective practice is acknowledging barriers that hinder the process from taking place. These can include time restraints (either individually or on a team level), the structure of organisation (</w:t>
      </w:r>
      <w:proofErr w:type="spellStart"/>
      <w:r>
        <w:rPr>
          <w:rStyle w:val="normaltextrun"/>
          <w:rFonts w:ascii="Arial" w:hAnsi="Arial" w:cs="Arial"/>
          <w:bCs/>
          <w:shd w:val="clear" w:color="auto" w:fill="FFFFFF"/>
        </w:rPr>
        <w:t>i.e</w:t>
      </w:r>
      <w:proofErr w:type="spellEnd"/>
      <w:r>
        <w:rPr>
          <w:rStyle w:val="normaltextrun"/>
          <w:rFonts w:ascii="Arial" w:hAnsi="Arial" w:cs="Arial"/>
          <w:bCs/>
          <w:shd w:val="clear" w:color="auto" w:fill="FFFFFF"/>
        </w:rPr>
        <w:t xml:space="preserve"> unchangeable procedures, and cultural or individual attitudes. The spirit of academia at its core is questioning; the educators and the institution as a whole must resist the temptation towards complacency. For reflective practice to be at its most effective, it must be adopted as a value from the micro to the macro; from personal, to cultural, to organisational. The reflective practitioner must also consider that their ability to personally reflect upon a teaching experience may be compromised or not reach its full potential, such as due to time constraints. Therefore, </w:t>
      </w:r>
      <w:r>
        <w:rPr>
          <w:rStyle w:val="normaltextrun"/>
          <w:rFonts w:ascii="Arial" w:hAnsi="Arial" w:cs="Arial"/>
          <w:bCs/>
          <w:shd w:val="clear" w:color="auto" w:fill="FFFFFF"/>
        </w:rPr>
        <w:lastRenderedPageBreak/>
        <w:t xml:space="preserve">reflective practice cannot merely happen in isolation within an academic institution. Moderation events, team meetings and peer review are vital to ensuring a unity of message and cohesion between teaching departments with regards to not only how lecture content is to be taught, but how resources are structured, how student experience of the modules is to be managed, how assignments are created and implemented, and to what criteria these assignments are marked. </w:t>
      </w:r>
    </w:p>
    <w:p w:rsidR="00205E59" w:rsidRDefault="00205E59" w:rsidP="00205E59">
      <w:pPr>
        <w:spacing w:line="480" w:lineRule="auto"/>
        <w:ind w:firstLine="720"/>
        <w:rPr>
          <w:rStyle w:val="normaltextrun"/>
          <w:rFonts w:ascii="Arial" w:hAnsi="Arial" w:cs="Arial"/>
          <w:bCs/>
          <w:shd w:val="clear" w:color="auto" w:fill="FFFFFF"/>
        </w:rPr>
      </w:pPr>
      <w:r>
        <w:rPr>
          <w:rStyle w:val="normaltextrun"/>
          <w:rFonts w:ascii="Arial" w:hAnsi="Arial" w:cs="Arial"/>
          <w:bCs/>
          <w:shd w:val="clear" w:color="auto" w:fill="FFFFFF"/>
        </w:rPr>
        <w:t xml:space="preserve">A vital feature of reflective practice that is emphasised in Kolb’s, Gibbs’ and </w:t>
      </w:r>
      <w:proofErr w:type="spellStart"/>
      <w:r>
        <w:rPr>
          <w:rStyle w:val="normaltextrun"/>
          <w:rFonts w:ascii="Arial" w:hAnsi="Arial" w:cs="Arial"/>
          <w:bCs/>
          <w:shd w:val="clear" w:color="auto" w:fill="FFFFFF"/>
        </w:rPr>
        <w:t>Schon’s</w:t>
      </w:r>
      <w:proofErr w:type="spellEnd"/>
      <w:r>
        <w:rPr>
          <w:rStyle w:val="normaltextrun"/>
          <w:rFonts w:ascii="Arial" w:hAnsi="Arial" w:cs="Arial"/>
          <w:bCs/>
          <w:shd w:val="clear" w:color="auto" w:fill="FFFFFF"/>
        </w:rPr>
        <w:t xml:space="preserve"> models of reflective practice is that reflective cycles must be repeated often enough to become a force of habit and so as to ensure real change is made to avoid stagnation and lack of development. Reflective practice is an ongoing process and therefore a key area for continuing professional development. However, reflective practice is not only limited to utility for the educator or the organisation. Encouraging students to become reflective practitioners in their own right is paramount to progression, growth and professional development. Students will encounter many opportunities throughout their studies for introspection, whether via assessment feedback, tutorials with teaching staff, or from their peers. The continuing challenge for reflective practice is to become more widely adopted by students as well as those teaching in the education sector. </w:t>
      </w: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sdt>
      <w:sdtPr>
        <w:rPr>
          <w:rFonts w:asciiTheme="minorHAnsi" w:eastAsiaTheme="minorHAnsi" w:hAnsiTheme="minorHAnsi" w:cstheme="minorBidi"/>
          <w:b w:val="0"/>
          <w:bCs w:val="0"/>
          <w:color w:val="auto"/>
          <w:sz w:val="22"/>
          <w:szCs w:val="22"/>
          <w:lang w:val="en-GB" w:eastAsia="en-US"/>
        </w:rPr>
        <w:id w:val="234830987"/>
        <w:docPartObj>
          <w:docPartGallery w:val="Bibliographies"/>
          <w:docPartUnique/>
        </w:docPartObj>
      </w:sdtPr>
      <w:sdtContent>
        <w:p w:rsidR="00205E59" w:rsidRPr="00EB7806" w:rsidRDefault="00205E59" w:rsidP="00205E59">
          <w:pPr>
            <w:pStyle w:val="Heading1"/>
            <w:spacing w:line="480" w:lineRule="auto"/>
            <w:rPr>
              <w:color w:val="auto"/>
            </w:rPr>
          </w:pPr>
          <w:r w:rsidRPr="00EB7806">
            <w:rPr>
              <w:color w:val="auto"/>
            </w:rPr>
            <w:t>Bibliography</w:t>
          </w:r>
        </w:p>
        <w:sdt>
          <w:sdtPr>
            <w:id w:val="1595284131"/>
            <w:bibliography/>
          </w:sdtPr>
          <w:sdtContent>
            <w:p w:rsidR="00205E59" w:rsidRDefault="00205E59" w:rsidP="00205E59">
              <w:pPr>
                <w:pStyle w:val="Bibliography"/>
                <w:spacing w:line="480" w:lineRule="auto"/>
                <w:rPr>
                  <w:noProof/>
                  <w:lang w:val="en-US"/>
                </w:rPr>
              </w:pPr>
              <w:r>
                <w:fldChar w:fldCharType="begin"/>
              </w:r>
              <w:r>
                <w:instrText xml:space="preserve"> BIBLIOGRAPHY </w:instrText>
              </w:r>
              <w:r>
                <w:fldChar w:fldCharType="separate"/>
              </w:r>
              <w:r>
                <w:rPr>
                  <w:noProof/>
                  <w:lang w:val="en-US"/>
                </w:rPr>
                <w:t xml:space="preserve">Fook, J., 2006. </w:t>
              </w:r>
              <w:r>
                <w:rPr>
                  <w:i/>
                  <w:iCs/>
                  <w:noProof/>
                  <w:lang w:val="en-US"/>
                </w:rPr>
                <w:t xml:space="preserve">Beyond reflective practice: reworking the “critical” in critical reflection. </w:t>
              </w:r>
              <w:r>
                <w:rPr>
                  <w:noProof/>
                  <w:lang w:val="en-US"/>
                </w:rPr>
                <w:t>New York, Keynote.</w:t>
              </w:r>
            </w:p>
            <w:p w:rsidR="00205E59" w:rsidRDefault="00205E59" w:rsidP="00205E59">
              <w:pPr>
                <w:pStyle w:val="Bibliography"/>
                <w:spacing w:line="480" w:lineRule="auto"/>
                <w:rPr>
                  <w:noProof/>
                  <w:lang w:val="en-US"/>
                </w:rPr>
              </w:pPr>
              <w:r>
                <w:rPr>
                  <w:noProof/>
                  <w:lang w:val="en-US"/>
                </w:rPr>
                <w:t xml:space="preserve">Grushka, K., Hinde-McLeod, J. &amp; Reynolds, R., 2005. Reflecting upon reflection: theory and practice in one Australian university teacher education program. </w:t>
              </w:r>
              <w:r>
                <w:rPr>
                  <w:i/>
                  <w:iCs/>
                  <w:noProof/>
                  <w:lang w:val="en-US"/>
                </w:rPr>
                <w:t xml:space="preserve">Reflective Practice, </w:t>
              </w:r>
              <w:r>
                <w:rPr>
                  <w:noProof/>
                  <w:lang w:val="en-US"/>
                </w:rPr>
                <w:t>6(1), pp. 239-246.</w:t>
              </w:r>
            </w:p>
            <w:p w:rsidR="00205E59" w:rsidRDefault="00205E59" w:rsidP="00205E59">
              <w:pPr>
                <w:pStyle w:val="Bibliography"/>
                <w:spacing w:line="480" w:lineRule="auto"/>
                <w:rPr>
                  <w:noProof/>
                  <w:lang w:val="en-US"/>
                </w:rPr>
              </w:pPr>
              <w:r>
                <w:rPr>
                  <w:noProof/>
                  <w:lang w:val="en-US"/>
                </w:rPr>
                <w:t xml:space="preserve">Reynolds, M. &amp; Vince, R., 2004. </w:t>
              </w:r>
              <w:r>
                <w:rPr>
                  <w:i/>
                  <w:iCs/>
                  <w:noProof/>
                  <w:lang w:val="en-US"/>
                </w:rPr>
                <w:t xml:space="preserve">Organising reflection. </w:t>
              </w:r>
              <w:r>
                <w:rPr>
                  <w:noProof/>
                  <w:lang w:val="en-US"/>
                </w:rPr>
                <w:t>Surrey: Ashgate.</w:t>
              </w:r>
            </w:p>
            <w:p w:rsidR="00205E59" w:rsidRDefault="00205E59" w:rsidP="00205E59">
              <w:pPr>
                <w:pStyle w:val="Bibliography"/>
                <w:spacing w:line="480" w:lineRule="auto"/>
                <w:rPr>
                  <w:noProof/>
                  <w:lang w:val="en-US"/>
                </w:rPr>
              </w:pPr>
              <w:r>
                <w:rPr>
                  <w:noProof/>
                  <w:lang w:val="en-US"/>
                </w:rPr>
                <w:t xml:space="preserve">Schon, D., 1983. </w:t>
              </w:r>
              <w:r>
                <w:rPr>
                  <w:i/>
                  <w:iCs/>
                  <w:noProof/>
                  <w:lang w:val="en-US"/>
                </w:rPr>
                <w:t xml:space="preserve">The Reflective Practitioner: How Professionals Think in Action. </w:t>
              </w:r>
              <w:r>
                <w:rPr>
                  <w:noProof/>
                  <w:lang w:val="en-US"/>
                </w:rPr>
                <w:t>London: Routledge.</w:t>
              </w:r>
            </w:p>
            <w:p w:rsidR="00205E59" w:rsidRDefault="00205E59" w:rsidP="00205E59">
              <w:pPr>
                <w:pStyle w:val="Bibliography"/>
                <w:spacing w:line="480" w:lineRule="auto"/>
                <w:rPr>
                  <w:noProof/>
                  <w:lang w:val="en-US"/>
                </w:rPr>
              </w:pPr>
              <w:r>
                <w:rPr>
                  <w:noProof/>
                  <w:lang w:val="en-US"/>
                </w:rPr>
                <w:t xml:space="preserve">Zeichner, K. M. &amp; Liston, D. P., 1996. </w:t>
              </w:r>
              <w:r>
                <w:rPr>
                  <w:i/>
                  <w:iCs/>
                  <w:noProof/>
                  <w:lang w:val="en-US"/>
                </w:rPr>
                <w:t xml:space="preserve">Reflective Teaching: An Introduction. </w:t>
              </w:r>
              <w:r>
                <w:rPr>
                  <w:noProof/>
                  <w:lang w:val="en-US"/>
                </w:rPr>
                <w:t>London: Lawrence Erlbaum Associates Publishers.</w:t>
              </w:r>
            </w:p>
            <w:p w:rsidR="00205E59" w:rsidRDefault="00205E59" w:rsidP="00205E59">
              <w:pPr>
                <w:spacing w:line="480" w:lineRule="auto"/>
              </w:pPr>
              <w:r>
                <w:rPr>
                  <w:b/>
                  <w:bCs/>
                  <w:noProof/>
                </w:rPr>
                <w:fldChar w:fldCharType="end"/>
              </w:r>
            </w:p>
          </w:sdtContent>
        </w:sdt>
      </w:sdtContent>
    </w:sdt>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autoSpaceDE w:val="0"/>
        <w:autoSpaceDN w:val="0"/>
        <w:adjustRightInd w:val="0"/>
        <w:spacing w:after="0" w:line="480" w:lineRule="auto"/>
        <w:rPr>
          <w:rStyle w:val="normaltextrun"/>
          <w:rFonts w:ascii="Arial" w:hAnsi="Arial" w:cs="Arial"/>
          <w:bCs/>
          <w:shd w:val="clear" w:color="auto" w:fill="FFFFFF"/>
        </w:rPr>
      </w:pPr>
    </w:p>
    <w:p w:rsidR="00205E59" w:rsidRDefault="00205E59" w:rsidP="00205E59">
      <w:pPr>
        <w:rPr>
          <w:rStyle w:val="normaltextrun"/>
          <w:rFonts w:ascii="Arial" w:hAnsi="Arial" w:cs="Arial"/>
          <w:bCs/>
          <w:shd w:val="clear" w:color="auto" w:fill="FFFFFF"/>
        </w:rPr>
      </w:pPr>
    </w:p>
    <w:p w:rsidR="00205E59" w:rsidRDefault="00205E59" w:rsidP="00205E59">
      <w:pPr>
        <w:rPr>
          <w:rStyle w:val="normaltextrun"/>
          <w:rFonts w:ascii="Arial" w:hAnsi="Arial" w:cs="Arial"/>
          <w:bCs/>
          <w:shd w:val="clear" w:color="auto" w:fill="FFFFFF"/>
        </w:rPr>
      </w:pPr>
    </w:p>
    <w:p w:rsidR="00205E59" w:rsidRPr="00852B16" w:rsidRDefault="00205E59" w:rsidP="00205E59"/>
    <w:p w:rsidR="00205E59" w:rsidRPr="00472F88" w:rsidRDefault="00205E59" w:rsidP="006B3677">
      <w:pPr>
        <w:spacing w:line="480" w:lineRule="auto"/>
        <w:ind w:firstLine="720"/>
      </w:pPr>
      <w:bookmarkStart w:id="0" w:name="_GoBack"/>
      <w:bookmarkEnd w:id="0"/>
    </w:p>
    <w:sectPr w:rsidR="00205E59" w:rsidRPr="00472F8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3677" w:rsidRDefault="006B3677" w:rsidP="006B3677">
      <w:pPr>
        <w:spacing w:after="0" w:line="240" w:lineRule="auto"/>
      </w:pPr>
      <w:r>
        <w:separator/>
      </w:r>
    </w:p>
  </w:endnote>
  <w:endnote w:type="continuationSeparator" w:id="0">
    <w:p w:rsidR="006B3677" w:rsidRDefault="006B3677" w:rsidP="006B3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8564368"/>
      <w:docPartObj>
        <w:docPartGallery w:val="Page Numbers (Bottom of Page)"/>
        <w:docPartUnique/>
      </w:docPartObj>
    </w:sdtPr>
    <w:sdtEndPr>
      <w:rPr>
        <w:noProof/>
      </w:rPr>
    </w:sdtEndPr>
    <w:sdtContent>
      <w:p w:rsidR="006B3677" w:rsidRDefault="006B3677">
        <w:pPr>
          <w:pStyle w:val="Footer"/>
        </w:pPr>
        <w:r>
          <w:fldChar w:fldCharType="begin"/>
        </w:r>
        <w:r>
          <w:instrText xml:space="preserve"> PAGE   \* MERGEFORMAT </w:instrText>
        </w:r>
        <w:r>
          <w:fldChar w:fldCharType="separate"/>
        </w:r>
        <w:r w:rsidR="00205E59">
          <w:rPr>
            <w:noProof/>
          </w:rPr>
          <w:t>11</w:t>
        </w:r>
        <w:r>
          <w:rPr>
            <w:noProof/>
          </w:rPr>
          <w:fldChar w:fldCharType="end"/>
        </w:r>
      </w:p>
    </w:sdtContent>
  </w:sdt>
  <w:p w:rsidR="006B3677" w:rsidRDefault="006B36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3677" w:rsidRDefault="006B3677" w:rsidP="006B3677">
      <w:pPr>
        <w:spacing w:after="0" w:line="240" w:lineRule="auto"/>
      </w:pPr>
      <w:r>
        <w:separator/>
      </w:r>
    </w:p>
  </w:footnote>
  <w:footnote w:type="continuationSeparator" w:id="0">
    <w:p w:rsidR="006B3677" w:rsidRDefault="006B3677" w:rsidP="006B36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B3677" w:rsidRDefault="006B3677">
    <w:pPr>
      <w:pStyle w:val="Header"/>
    </w:pPr>
    <w:r>
      <w:t>1703597</w:t>
    </w:r>
  </w:p>
  <w:p w:rsidR="006B3677" w:rsidRDefault="006B36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39647E"/>
    <w:multiLevelType w:val="hybridMultilevel"/>
    <w:tmpl w:val="E0E415A6"/>
    <w:lvl w:ilvl="0" w:tplc="060AE5B4">
      <w:start w:val="1"/>
      <w:numFmt w:val="bullet"/>
      <w:lvlText w:val="•"/>
      <w:lvlJc w:val="left"/>
      <w:pPr>
        <w:tabs>
          <w:tab w:val="num" w:pos="720"/>
        </w:tabs>
        <w:ind w:left="720" w:hanging="360"/>
      </w:pPr>
      <w:rPr>
        <w:rFonts w:ascii="Arial" w:hAnsi="Arial" w:hint="default"/>
      </w:rPr>
    </w:lvl>
    <w:lvl w:ilvl="1" w:tplc="CDDCE670" w:tentative="1">
      <w:start w:val="1"/>
      <w:numFmt w:val="bullet"/>
      <w:lvlText w:val="•"/>
      <w:lvlJc w:val="left"/>
      <w:pPr>
        <w:tabs>
          <w:tab w:val="num" w:pos="1440"/>
        </w:tabs>
        <w:ind w:left="1440" w:hanging="360"/>
      </w:pPr>
      <w:rPr>
        <w:rFonts w:ascii="Arial" w:hAnsi="Arial" w:hint="default"/>
      </w:rPr>
    </w:lvl>
    <w:lvl w:ilvl="2" w:tplc="183C17C6" w:tentative="1">
      <w:start w:val="1"/>
      <w:numFmt w:val="bullet"/>
      <w:lvlText w:val="•"/>
      <w:lvlJc w:val="left"/>
      <w:pPr>
        <w:tabs>
          <w:tab w:val="num" w:pos="2160"/>
        </w:tabs>
        <w:ind w:left="2160" w:hanging="360"/>
      </w:pPr>
      <w:rPr>
        <w:rFonts w:ascii="Arial" w:hAnsi="Arial" w:hint="default"/>
      </w:rPr>
    </w:lvl>
    <w:lvl w:ilvl="3" w:tplc="86C00AE2" w:tentative="1">
      <w:start w:val="1"/>
      <w:numFmt w:val="bullet"/>
      <w:lvlText w:val="•"/>
      <w:lvlJc w:val="left"/>
      <w:pPr>
        <w:tabs>
          <w:tab w:val="num" w:pos="2880"/>
        </w:tabs>
        <w:ind w:left="2880" w:hanging="360"/>
      </w:pPr>
      <w:rPr>
        <w:rFonts w:ascii="Arial" w:hAnsi="Arial" w:hint="default"/>
      </w:rPr>
    </w:lvl>
    <w:lvl w:ilvl="4" w:tplc="BB0E829A" w:tentative="1">
      <w:start w:val="1"/>
      <w:numFmt w:val="bullet"/>
      <w:lvlText w:val="•"/>
      <w:lvlJc w:val="left"/>
      <w:pPr>
        <w:tabs>
          <w:tab w:val="num" w:pos="3600"/>
        </w:tabs>
        <w:ind w:left="3600" w:hanging="360"/>
      </w:pPr>
      <w:rPr>
        <w:rFonts w:ascii="Arial" w:hAnsi="Arial" w:hint="default"/>
      </w:rPr>
    </w:lvl>
    <w:lvl w:ilvl="5" w:tplc="D8DE4C06" w:tentative="1">
      <w:start w:val="1"/>
      <w:numFmt w:val="bullet"/>
      <w:lvlText w:val="•"/>
      <w:lvlJc w:val="left"/>
      <w:pPr>
        <w:tabs>
          <w:tab w:val="num" w:pos="4320"/>
        </w:tabs>
        <w:ind w:left="4320" w:hanging="360"/>
      </w:pPr>
      <w:rPr>
        <w:rFonts w:ascii="Arial" w:hAnsi="Arial" w:hint="default"/>
      </w:rPr>
    </w:lvl>
    <w:lvl w:ilvl="6" w:tplc="0C8CB4C6" w:tentative="1">
      <w:start w:val="1"/>
      <w:numFmt w:val="bullet"/>
      <w:lvlText w:val="•"/>
      <w:lvlJc w:val="left"/>
      <w:pPr>
        <w:tabs>
          <w:tab w:val="num" w:pos="5040"/>
        </w:tabs>
        <w:ind w:left="5040" w:hanging="360"/>
      </w:pPr>
      <w:rPr>
        <w:rFonts w:ascii="Arial" w:hAnsi="Arial" w:hint="default"/>
      </w:rPr>
    </w:lvl>
    <w:lvl w:ilvl="7" w:tplc="B0067A16" w:tentative="1">
      <w:start w:val="1"/>
      <w:numFmt w:val="bullet"/>
      <w:lvlText w:val="•"/>
      <w:lvlJc w:val="left"/>
      <w:pPr>
        <w:tabs>
          <w:tab w:val="num" w:pos="5760"/>
        </w:tabs>
        <w:ind w:left="5760" w:hanging="360"/>
      </w:pPr>
      <w:rPr>
        <w:rFonts w:ascii="Arial" w:hAnsi="Arial" w:hint="default"/>
      </w:rPr>
    </w:lvl>
    <w:lvl w:ilvl="8" w:tplc="FF60A760" w:tentative="1">
      <w:start w:val="1"/>
      <w:numFmt w:val="bullet"/>
      <w:lvlText w:val="•"/>
      <w:lvlJc w:val="left"/>
      <w:pPr>
        <w:tabs>
          <w:tab w:val="num" w:pos="6480"/>
        </w:tabs>
        <w:ind w:left="6480" w:hanging="360"/>
      </w:pPr>
      <w:rPr>
        <w:rFonts w:ascii="Arial" w:hAnsi="Arial" w:hint="default"/>
      </w:rPr>
    </w:lvl>
  </w:abstractNum>
  <w:abstractNum w:abstractNumId="1">
    <w:nsid w:val="4F676A25"/>
    <w:multiLevelType w:val="hybridMultilevel"/>
    <w:tmpl w:val="9946B42C"/>
    <w:lvl w:ilvl="0" w:tplc="965494FA">
      <w:start w:val="1"/>
      <w:numFmt w:val="bullet"/>
      <w:lvlText w:val="•"/>
      <w:lvlJc w:val="left"/>
      <w:pPr>
        <w:tabs>
          <w:tab w:val="num" w:pos="720"/>
        </w:tabs>
        <w:ind w:left="720" w:hanging="360"/>
      </w:pPr>
      <w:rPr>
        <w:rFonts w:ascii="Arial" w:hAnsi="Arial" w:hint="default"/>
      </w:rPr>
    </w:lvl>
    <w:lvl w:ilvl="1" w:tplc="CC86E5A4" w:tentative="1">
      <w:start w:val="1"/>
      <w:numFmt w:val="bullet"/>
      <w:lvlText w:val="•"/>
      <w:lvlJc w:val="left"/>
      <w:pPr>
        <w:tabs>
          <w:tab w:val="num" w:pos="1440"/>
        </w:tabs>
        <w:ind w:left="1440" w:hanging="360"/>
      </w:pPr>
      <w:rPr>
        <w:rFonts w:ascii="Arial" w:hAnsi="Arial" w:hint="default"/>
      </w:rPr>
    </w:lvl>
    <w:lvl w:ilvl="2" w:tplc="7E2A861E" w:tentative="1">
      <w:start w:val="1"/>
      <w:numFmt w:val="bullet"/>
      <w:lvlText w:val="•"/>
      <w:lvlJc w:val="left"/>
      <w:pPr>
        <w:tabs>
          <w:tab w:val="num" w:pos="2160"/>
        </w:tabs>
        <w:ind w:left="2160" w:hanging="360"/>
      </w:pPr>
      <w:rPr>
        <w:rFonts w:ascii="Arial" w:hAnsi="Arial" w:hint="default"/>
      </w:rPr>
    </w:lvl>
    <w:lvl w:ilvl="3" w:tplc="98B6FFB6" w:tentative="1">
      <w:start w:val="1"/>
      <w:numFmt w:val="bullet"/>
      <w:lvlText w:val="•"/>
      <w:lvlJc w:val="left"/>
      <w:pPr>
        <w:tabs>
          <w:tab w:val="num" w:pos="2880"/>
        </w:tabs>
        <w:ind w:left="2880" w:hanging="360"/>
      </w:pPr>
      <w:rPr>
        <w:rFonts w:ascii="Arial" w:hAnsi="Arial" w:hint="default"/>
      </w:rPr>
    </w:lvl>
    <w:lvl w:ilvl="4" w:tplc="AAF88F9C" w:tentative="1">
      <w:start w:val="1"/>
      <w:numFmt w:val="bullet"/>
      <w:lvlText w:val="•"/>
      <w:lvlJc w:val="left"/>
      <w:pPr>
        <w:tabs>
          <w:tab w:val="num" w:pos="3600"/>
        </w:tabs>
        <w:ind w:left="3600" w:hanging="360"/>
      </w:pPr>
      <w:rPr>
        <w:rFonts w:ascii="Arial" w:hAnsi="Arial" w:hint="default"/>
      </w:rPr>
    </w:lvl>
    <w:lvl w:ilvl="5" w:tplc="F6E09FC4" w:tentative="1">
      <w:start w:val="1"/>
      <w:numFmt w:val="bullet"/>
      <w:lvlText w:val="•"/>
      <w:lvlJc w:val="left"/>
      <w:pPr>
        <w:tabs>
          <w:tab w:val="num" w:pos="4320"/>
        </w:tabs>
        <w:ind w:left="4320" w:hanging="360"/>
      </w:pPr>
      <w:rPr>
        <w:rFonts w:ascii="Arial" w:hAnsi="Arial" w:hint="default"/>
      </w:rPr>
    </w:lvl>
    <w:lvl w:ilvl="6" w:tplc="A2201142" w:tentative="1">
      <w:start w:val="1"/>
      <w:numFmt w:val="bullet"/>
      <w:lvlText w:val="•"/>
      <w:lvlJc w:val="left"/>
      <w:pPr>
        <w:tabs>
          <w:tab w:val="num" w:pos="5040"/>
        </w:tabs>
        <w:ind w:left="5040" w:hanging="360"/>
      </w:pPr>
      <w:rPr>
        <w:rFonts w:ascii="Arial" w:hAnsi="Arial" w:hint="default"/>
      </w:rPr>
    </w:lvl>
    <w:lvl w:ilvl="7" w:tplc="7EFE42DA" w:tentative="1">
      <w:start w:val="1"/>
      <w:numFmt w:val="bullet"/>
      <w:lvlText w:val="•"/>
      <w:lvlJc w:val="left"/>
      <w:pPr>
        <w:tabs>
          <w:tab w:val="num" w:pos="5760"/>
        </w:tabs>
        <w:ind w:left="5760" w:hanging="360"/>
      </w:pPr>
      <w:rPr>
        <w:rFonts w:ascii="Arial" w:hAnsi="Arial" w:hint="default"/>
      </w:rPr>
    </w:lvl>
    <w:lvl w:ilvl="8" w:tplc="FCF6F504" w:tentative="1">
      <w:start w:val="1"/>
      <w:numFmt w:val="bullet"/>
      <w:lvlText w:val="•"/>
      <w:lvlJc w:val="left"/>
      <w:pPr>
        <w:tabs>
          <w:tab w:val="num" w:pos="6480"/>
        </w:tabs>
        <w:ind w:left="6480" w:hanging="360"/>
      </w:pPr>
      <w:rPr>
        <w:rFonts w:ascii="Arial" w:hAnsi="Arial" w:hint="default"/>
      </w:rPr>
    </w:lvl>
  </w:abstractNum>
  <w:abstractNum w:abstractNumId="2">
    <w:nsid w:val="76D237E4"/>
    <w:multiLevelType w:val="hybridMultilevel"/>
    <w:tmpl w:val="A734FE06"/>
    <w:lvl w:ilvl="0" w:tplc="B4828396">
      <w:start w:val="1"/>
      <w:numFmt w:val="decimal"/>
      <w:lvlText w:val="%1."/>
      <w:lvlJc w:val="left"/>
      <w:pPr>
        <w:tabs>
          <w:tab w:val="num" w:pos="720"/>
        </w:tabs>
        <w:ind w:left="720" w:hanging="360"/>
      </w:pPr>
    </w:lvl>
    <w:lvl w:ilvl="1" w:tplc="8398BDD6" w:tentative="1">
      <w:start w:val="1"/>
      <w:numFmt w:val="decimal"/>
      <w:lvlText w:val="%2."/>
      <w:lvlJc w:val="left"/>
      <w:pPr>
        <w:tabs>
          <w:tab w:val="num" w:pos="1440"/>
        </w:tabs>
        <w:ind w:left="1440" w:hanging="360"/>
      </w:pPr>
    </w:lvl>
    <w:lvl w:ilvl="2" w:tplc="36A4BC56" w:tentative="1">
      <w:start w:val="1"/>
      <w:numFmt w:val="decimal"/>
      <w:lvlText w:val="%3."/>
      <w:lvlJc w:val="left"/>
      <w:pPr>
        <w:tabs>
          <w:tab w:val="num" w:pos="2160"/>
        </w:tabs>
        <w:ind w:left="2160" w:hanging="360"/>
      </w:pPr>
    </w:lvl>
    <w:lvl w:ilvl="3" w:tplc="C86686FE" w:tentative="1">
      <w:start w:val="1"/>
      <w:numFmt w:val="decimal"/>
      <w:lvlText w:val="%4."/>
      <w:lvlJc w:val="left"/>
      <w:pPr>
        <w:tabs>
          <w:tab w:val="num" w:pos="2880"/>
        </w:tabs>
        <w:ind w:left="2880" w:hanging="360"/>
      </w:pPr>
    </w:lvl>
    <w:lvl w:ilvl="4" w:tplc="3C4802C8" w:tentative="1">
      <w:start w:val="1"/>
      <w:numFmt w:val="decimal"/>
      <w:lvlText w:val="%5."/>
      <w:lvlJc w:val="left"/>
      <w:pPr>
        <w:tabs>
          <w:tab w:val="num" w:pos="3600"/>
        </w:tabs>
        <w:ind w:left="3600" w:hanging="360"/>
      </w:pPr>
    </w:lvl>
    <w:lvl w:ilvl="5" w:tplc="0B504E1A" w:tentative="1">
      <w:start w:val="1"/>
      <w:numFmt w:val="decimal"/>
      <w:lvlText w:val="%6."/>
      <w:lvlJc w:val="left"/>
      <w:pPr>
        <w:tabs>
          <w:tab w:val="num" w:pos="4320"/>
        </w:tabs>
        <w:ind w:left="4320" w:hanging="360"/>
      </w:pPr>
    </w:lvl>
    <w:lvl w:ilvl="6" w:tplc="AD8A1560" w:tentative="1">
      <w:start w:val="1"/>
      <w:numFmt w:val="decimal"/>
      <w:lvlText w:val="%7."/>
      <w:lvlJc w:val="left"/>
      <w:pPr>
        <w:tabs>
          <w:tab w:val="num" w:pos="5040"/>
        </w:tabs>
        <w:ind w:left="5040" w:hanging="360"/>
      </w:pPr>
    </w:lvl>
    <w:lvl w:ilvl="7" w:tplc="5E042A26" w:tentative="1">
      <w:start w:val="1"/>
      <w:numFmt w:val="decimal"/>
      <w:lvlText w:val="%8."/>
      <w:lvlJc w:val="left"/>
      <w:pPr>
        <w:tabs>
          <w:tab w:val="num" w:pos="5760"/>
        </w:tabs>
        <w:ind w:left="5760" w:hanging="360"/>
      </w:pPr>
    </w:lvl>
    <w:lvl w:ilvl="8" w:tplc="66600EB4" w:tentative="1">
      <w:start w:val="1"/>
      <w:numFmt w:val="decimal"/>
      <w:lvlText w:val="%9."/>
      <w:lvlJc w:val="left"/>
      <w:pPr>
        <w:tabs>
          <w:tab w:val="num" w:pos="6480"/>
        </w:tabs>
        <w:ind w:left="6480" w:hanging="360"/>
      </w:pPr>
    </w:lvl>
  </w:abstractNum>
  <w:abstractNum w:abstractNumId="3">
    <w:nsid w:val="778916F6"/>
    <w:multiLevelType w:val="hybridMultilevel"/>
    <w:tmpl w:val="FE443B9C"/>
    <w:lvl w:ilvl="0" w:tplc="3BD82E0C">
      <w:start w:val="1"/>
      <w:numFmt w:val="bullet"/>
      <w:lvlText w:val="•"/>
      <w:lvlJc w:val="left"/>
      <w:pPr>
        <w:tabs>
          <w:tab w:val="num" w:pos="720"/>
        </w:tabs>
        <w:ind w:left="720" w:hanging="360"/>
      </w:pPr>
      <w:rPr>
        <w:rFonts w:ascii="Arial" w:hAnsi="Arial" w:hint="default"/>
      </w:rPr>
    </w:lvl>
    <w:lvl w:ilvl="1" w:tplc="E22A1346" w:tentative="1">
      <w:start w:val="1"/>
      <w:numFmt w:val="bullet"/>
      <w:lvlText w:val="•"/>
      <w:lvlJc w:val="left"/>
      <w:pPr>
        <w:tabs>
          <w:tab w:val="num" w:pos="1440"/>
        </w:tabs>
        <w:ind w:left="1440" w:hanging="360"/>
      </w:pPr>
      <w:rPr>
        <w:rFonts w:ascii="Arial" w:hAnsi="Arial" w:hint="default"/>
      </w:rPr>
    </w:lvl>
    <w:lvl w:ilvl="2" w:tplc="D812EAD2" w:tentative="1">
      <w:start w:val="1"/>
      <w:numFmt w:val="bullet"/>
      <w:lvlText w:val="•"/>
      <w:lvlJc w:val="left"/>
      <w:pPr>
        <w:tabs>
          <w:tab w:val="num" w:pos="2160"/>
        </w:tabs>
        <w:ind w:left="2160" w:hanging="360"/>
      </w:pPr>
      <w:rPr>
        <w:rFonts w:ascii="Arial" w:hAnsi="Arial" w:hint="default"/>
      </w:rPr>
    </w:lvl>
    <w:lvl w:ilvl="3" w:tplc="3D7E5E6A" w:tentative="1">
      <w:start w:val="1"/>
      <w:numFmt w:val="bullet"/>
      <w:lvlText w:val="•"/>
      <w:lvlJc w:val="left"/>
      <w:pPr>
        <w:tabs>
          <w:tab w:val="num" w:pos="2880"/>
        </w:tabs>
        <w:ind w:left="2880" w:hanging="360"/>
      </w:pPr>
      <w:rPr>
        <w:rFonts w:ascii="Arial" w:hAnsi="Arial" w:hint="default"/>
      </w:rPr>
    </w:lvl>
    <w:lvl w:ilvl="4" w:tplc="9E48D734" w:tentative="1">
      <w:start w:val="1"/>
      <w:numFmt w:val="bullet"/>
      <w:lvlText w:val="•"/>
      <w:lvlJc w:val="left"/>
      <w:pPr>
        <w:tabs>
          <w:tab w:val="num" w:pos="3600"/>
        </w:tabs>
        <w:ind w:left="3600" w:hanging="360"/>
      </w:pPr>
      <w:rPr>
        <w:rFonts w:ascii="Arial" w:hAnsi="Arial" w:hint="default"/>
      </w:rPr>
    </w:lvl>
    <w:lvl w:ilvl="5" w:tplc="74DC83D8" w:tentative="1">
      <w:start w:val="1"/>
      <w:numFmt w:val="bullet"/>
      <w:lvlText w:val="•"/>
      <w:lvlJc w:val="left"/>
      <w:pPr>
        <w:tabs>
          <w:tab w:val="num" w:pos="4320"/>
        </w:tabs>
        <w:ind w:left="4320" w:hanging="360"/>
      </w:pPr>
      <w:rPr>
        <w:rFonts w:ascii="Arial" w:hAnsi="Arial" w:hint="default"/>
      </w:rPr>
    </w:lvl>
    <w:lvl w:ilvl="6" w:tplc="5EFECEDE" w:tentative="1">
      <w:start w:val="1"/>
      <w:numFmt w:val="bullet"/>
      <w:lvlText w:val="•"/>
      <w:lvlJc w:val="left"/>
      <w:pPr>
        <w:tabs>
          <w:tab w:val="num" w:pos="5040"/>
        </w:tabs>
        <w:ind w:left="5040" w:hanging="360"/>
      </w:pPr>
      <w:rPr>
        <w:rFonts w:ascii="Arial" w:hAnsi="Arial" w:hint="default"/>
      </w:rPr>
    </w:lvl>
    <w:lvl w:ilvl="7" w:tplc="9F121D06" w:tentative="1">
      <w:start w:val="1"/>
      <w:numFmt w:val="bullet"/>
      <w:lvlText w:val="•"/>
      <w:lvlJc w:val="left"/>
      <w:pPr>
        <w:tabs>
          <w:tab w:val="num" w:pos="5760"/>
        </w:tabs>
        <w:ind w:left="5760" w:hanging="360"/>
      </w:pPr>
      <w:rPr>
        <w:rFonts w:ascii="Arial" w:hAnsi="Arial" w:hint="default"/>
      </w:rPr>
    </w:lvl>
    <w:lvl w:ilvl="8" w:tplc="E544222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2F88"/>
    <w:rsid w:val="00021E0F"/>
    <w:rsid w:val="000E7CB1"/>
    <w:rsid w:val="00205E59"/>
    <w:rsid w:val="0029101A"/>
    <w:rsid w:val="002E0835"/>
    <w:rsid w:val="00316C5C"/>
    <w:rsid w:val="00355E3A"/>
    <w:rsid w:val="003B62BE"/>
    <w:rsid w:val="003E4354"/>
    <w:rsid w:val="00472F88"/>
    <w:rsid w:val="00474DEC"/>
    <w:rsid w:val="004A49CE"/>
    <w:rsid w:val="004B4EC6"/>
    <w:rsid w:val="004D2787"/>
    <w:rsid w:val="00535EC5"/>
    <w:rsid w:val="005D4506"/>
    <w:rsid w:val="00690853"/>
    <w:rsid w:val="006B3677"/>
    <w:rsid w:val="006C78DA"/>
    <w:rsid w:val="00724E59"/>
    <w:rsid w:val="00757C48"/>
    <w:rsid w:val="007A5223"/>
    <w:rsid w:val="00821E9B"/>
    <w:rsid w:val="009A017B"/>
    <w:rsid w:val="00A76005"/>
    <w:rsid w:val="00B87F14"/>
    <w:rsid w:val="00E213D5"/>
    <w:rsid w:val="00F560CB"/>
    <w:rsid w:val="00F63AB1"/>
    <w:rsid w:val="00FA0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367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72F88"/>
  </w:style>
  <w:style w:type="paragraph" w:styleId="BalloonText">
    <w:name w:val="Balloon Text"/>
    <w:basedOn w:val="Normal"/>
    <w:link w:val="BalloonTextChar"/>
    <w:uiPriority w:val="99"/>
    <w:semiHidden/>
    <w:unhideWhenUsed/>
    <w:rsid w:val="00E213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3D5"/>
    <w:rPr>
      <w:rFonts w:ascii="Tahoma" w:hAnsi="Tahoma" w:cs="Tahoma"/>
      <w:sz w:val="16"/>
      <w:szCs w:val="16"/>
    </w:rPr>
  </w:style>
  <w:style w:type="paragraph" w:styleId="Header">
    <w:name w:val="header"/>
    <w:basedOn w:val="Normal"/>
    <w:link w:val="HeaderChar"/>
    <w:uiPriority w:val="99"/>
    <w:unhideWhenUsed/>
    <w:rsid w:val="006B3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77"/>
  </w:style>
  <w:style w:type="paragraph" w:styleId="Footer">
    <w:name w:val="footer"/>
    <w:basedOn w:val="Normal"/>
    <w:link w:val="FooterChar"/>
    <w:uiPriority w:val="99"/>
    <w:unhideWhenUsed/>
    <w:rsid w:val="006B3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77"/>
  </w:style>
  <w:style w:type="character" w:customStyle="1" w:styleId="Heading1Char">
    <w:name w:val="Heading 1 Char"/>
    <w:basedOn w:val="DefaultParagraphFont"/>
    <w:link w:val="Heading1"/>
    <w:uiPriority w:val="9"/>
    <w:rsid w:val="006B367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B367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367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72F88"/>
  </w:style>
  <w:style w:type="paragraph" w:styleId="BalloonText">
    <w:name w:val="Balloon Text"/>
    <w:basedOn w:val="Normal"/>
    <w:link w:val="BalloonTextChar"/>
    <w:uiPriority w:val="99"/>
    <w:semiHidden/>
    <w:unhideWhenUsed/>
    <w:rsid w:val="00E213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3D5"/>
    <w:rPr>
      <w:rFonts w:ascii="Tahoma" w:hAnsi="Tahoma" w:cs="Tahoma"/>
      <w:sz w:val="16"/>
      <w:szCs w:val="16"/>
    </w:rPr>
  </w:style>
  <w:style w:type="paragraph" w:styleId="Header">
    <w:name w:val="header"/>
    <w:basedOn w:val="Normal"/>
    <w:link w:val="HeaderChar"/>
    <w:uiPriority w:val="99"/>
    <w:unhideWhenUsed/>
    <w:rsid w:val="006B3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77"/>
  </w:style>
  <w:style w:type="paragraph" w:styleId="Footer">
    <w:name w:val="footer"/>
    <w:basedOn w:val="Normal"/>
    <w:link w:val="FooterChar"/>
    <w:uiPriority w:val="99"/>
    <w:unhideWhenUsed/>
    <w:rsid w:val="006B3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77"/>
  </w:style>
  <w:style w:type="character" w:customStyle="1" w:styleId="Heading1Char">
    <w:name w:val="Heading 1 Char"/>
    <w:basedOn w:val="DefaultParagraphFont"/>
    <w:link w:val="Heading1"/>
    <w:uiPriority w:val="9"/>
    <w:rsid w:val="006B3677"/>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B3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398128">
      <w:bodyDiv w:val="1"/>
      <w:marLeft w:val="0"/>
      <w:marRight w:val="0"/>
      <w:marTop w:val="0"/>
      <w:marBottom w:val="0"/>
      <w:divBdr>
        <w:top w:val="none" w:sz="0" w:space="0" w:color="auto"/>
        <w:left w:val="none" w:sz="0" w:space="0" w:color="auto"/>
        <w:bottom w:val="none" w:sz="0" w:space="0" w:color="auto"/>
        <w:right w:val="none" w:sz="0" w:space="0" w:color="auto"/>
      </w:divBdr>
      <w:divsChild>
        <w:div w:id="1587038364">
          <w:marLeft w:val="446"/>
          <w:marRight w:val="0"/>
          <w:marTop w:val="106"/>
          <w:marBottom w:val="120"/>
          <w:divBdr>
            <w:top w:val="none" w:sz="0" w:space="0" w:color="auto"/>
            <w:left w:val="none" w:sz="0" w:space="0" w:color="auto"/>
            <w:bottom w:val="none" w:sz="0" w:space="0" w:color="auto"/>
            <w:right w:val="none" w:sz="0" w:space="0" w:color="auto"/>
          </w:divBdr>
        </w:div>
        <w:div w:id="1873495251">
          <w:marLeft w:val="446"/>
          <w:marRight w:val="0"/>
          <w:marTop w:val="106"/>
          <w:marBottom w:val="120"/>
          <w:divBdr>
            <w:top w:val="none" w:sz="0" w:space="0" w:color="auto"/>
            <w:left w:val="none" w:sz="0" w:space="0" w:color="auto"/>
            <w:bottom w:val="none" w:sz="0" w:space="0" w:color="auto"/>
            <w:right w:val="none" w:sz="0" w:space="0" w:color="auto"/>
          </w:divBdr>
        </w:div>
        <w:div w:id="543912162">
          <w:marLeft w:val="446"/>
          <w:marRight w:val="0"/>
          <w:marTop w:val="106"/>
          <w:marBottom w:val="120"/>
          <w:divBdr>
            <w:top w:val="none" w:sz="0" w:space="0" w:color="auto"/>
            <w:left w:val="none" w:sz="0" w:space="0" w:color="auto"/>
            <w:bottom w:val="none" w:sz="0" w:space="0" w:color="auto"/>
            <w:right w:val="none" w:sz="0" w:space="0" w:color="auto"/>
          </w:divBdr>
        </w:div>
        <w:div w:id="1561596031">
          <w:marLeft w:val="446"/>
          <w:marRight w:val="0"/>
          <w:marTop w:val="106"/>
          <w:marBottom w:val="120"/>
          <w:divBdr>
            <w:top w:val="none" w:sz="0" w:space="0" w:color="auto"/>
            <w:left w:val="none" w:sz="0" w:space="0" w:color="auto"/>
            <w:bottom w:val="none" w:sz="0" w:space="0" w:color="auto"/>
            <w:right w:val="none" w:sz="0" w:space="0" w:color="auto"/>
          </w:divBdr>
        </w:div>
        <w:div w:id="763845006">
          <w:marLeft w:val="446"/>
          <w:marRight w:val="0"/>
          <w:marTop w:val="106"/>
          <w:marBottom w:val="120"/>
          <w:divBdr>
            <w:top w:val="none" w:sz="0" w:space="0" w:color="auto"/>
            <w:left w:val="none" w:sz="0" w:space="0" w:color="auto"/>
            <w:bottom w:val="none" w:sz="0" w:space="0" w:color="auto"/>
            <w:right w:val="none" w:sz="0" w:space="0" w:color="auto"/>
          </w:divBdr>
        </w:div>
        <w:div w:id="1713115518">
          <w:marLeft w:val="446"/>
          <w:marRight w:val="0"/>
          <w:marTop w:val="106"/>
          <w:marBottom w:val="120"/>
          <w:divBdr>
            <w:top w:val="none" w:sz="0" w:space="0" w:color="auto"/>
            <w:left w:val="none" w:sz="0" w:space="0" w:color="auto"/>
            <w:bottom w:val="none" w:sz="0" w:space="0" w:color="auto"/>
            <w:right w:val="none" w:sz="0" w:space="0" w:color="auto"/>
          </w:divBdr>
        </w:div>
      </w:divsChild>
    </w:div>
    <w:div w:id="582759832">
      <w:bodyDiv w:val="1"/>
      <w:marLeft w:val="0"/>
      <w:marRight w:val="0"/>
      <w:marTop w:val="0"/>
      <w:marBottom w:val="0"/>
      <w:divBdr>
        <w:top w:val="none" w:sz="0" w:space="0" w:color="auto"/>
        <w:left w:val="none" w:sz="0" w:space="0" w:color="auto"/>
        <w:bottom w:val="none" w:sz="0" w:space="0" w:color="auto"/>
        <w:right w:val="none" w:sz="0" w:space="0" w:color="auto"/>
      </w:divBdr>
      <w:divsChild>
        <w:div w:id="1033535115">
          <w:marLeft w:val="446"/>
          <w:marRight w:val="0"/>
          <w:marTop w:val="115"/>
          <w:marBottom w:val="120"/>
          <w:divBdr>
            <w:top w:val="none" w:sz="0" w:space="0" w:color="auto"/>
            <w:left w:val="none" w:sz="0" w:space="0" w:color="auto"/>
            <w:bottom w:val="none" w:sz="0" w:space="0" w:color="auto"/>
            <w:right w:val="none" w:sz="0" w:space="0" w:color="auto"/>
          </w:divBdr>
        </w:div>
        <w:div w:id="1838182247">
          <w:marLeft w:val="446"/>
          <w:marRight w:val="0"/>
          <w:marTop w:val="115"/>
          <w:marBottom w:val="120"/>
          <w:divBdr>
            <w:top w:val="none" w:sz="0" w:space="0" w:color="auto"/>
            <w:left w:val="none" w:sz="0" w:space="0" w:color="auto"/>
            <w:bottom w:val="none" w:sz="0" w:space="0" w:color="auto"/>
            <w:right w:val="none" w:sz="0" w:space="0" w:color="auto"/>
          </w:divBdr>
        </w:div>
        <w:div w:id="1178928104">
          <w:marLeft w:val="446"/>
          <w:marRight w:val="0"/>
          <w:marTop w:val="115"/>
          <w:marBottom w:val="120"/>
          <w:divBdr>
            <w:top w:val="none" w:sz="0" w:space="0" w:color="auto"/>
            <w:left w:val="none" w:sz="0" w:space="0" w:color="auto"/>
            <w:bottom w:val="none" w:sz="0" w:space="0" w:color="auto"/>
            <w:right w:val="none" w:sz="0" w:space="0" w:color="auto"/>
          </w:divBdr>
        </w:div>
        <w:div w:id="1123842678">
          <w:marLeft w:val="446"/>
          <w:marRight w:val="0"/>
          <w:marTop w:val="115"/>
          <w:marBottom w:val="120"/>
          <w:divBdr>
            <w:top w:val="none" w:sz="0" w:space="0" w:color="auto"/>
            <w:left w:val="none" w:sz="0" w:space="0" w:color="auto"/>
            <w:bottom w:val="none" w:sz="0" w:space="0" w:color="auto"/>
            <w:right w:val="none" w:sz="0" w:space="0" w:color="auto"/>
          </w:divBdr>
        </w:div>
      </w:divsChild>
    </w:div>
    <w:div w:id="737442529">
      <w:bodyDiv w:val="1"/>
      <w:marLeft w:val="0"/>
      <w:marRight w:val="0"/>
      <w:marTop w:val="0"/>
      <w:marBottom w:val="0"/>
      <w:divBdr>
        <w:top w:val="none" w:sz="0" w:space="0" w:color="auto"/>
        <w:left w:val="none" w:sz="0" w:space="0" w:color="auto"/>
        <w:bottom w:val="none" w:sz="0" w:space="0" w:color="auto"/>
        <w:right w:val="none" w:sz="0" w:space="0" w:color="auto"/>
      </w:divBdr>
      <w:divsChild>
        <w:div w:id="971836039">
          <w:marLeft w:val="446"/>
          <w:marRight w:val="0"/>
          <w:marTop w:val="115"/>
          <w:marBottom w:val="120"/>
          <w:divBdr>
            <w:top w:val="none" w:sz="0" w:space="0" w:color="auto"/>
            <w:left w:val="none" w:sz="0" w:space="0" w:color="auto"/>
            <w:bottom w:val="none" w:sz="0" w:space="0" w:color="auto"/>
            <w:right w:val="none" w:sz="0" w:space="0" w:color="auto"/>
          </w:divBdr>
        </w:div>
        <w:div w:id="1197934067">
          <w:marLeft w:val="720"/>
          <w:marRight w:val="0"/>
          <w:marTop w:val="115"/>
          <w:marBottom w:val="120"/>
          <w:divBdr>
            <w:top w:val="none" w:sz="0" w:space="0" w:color="auto"/>
            <w:left w:val="none" w:sz="0" w:space="0" w:color="auto"/>
            <w:bottom w:val="none" w:sz="0" w:space="0" w:color="auto"/>
            <w:right w:val="none" w:sz="0" w:space="0" w:color="auto"/>
          </w:divBdr>
        </w:div>
        <w:div w:id="1530605807">
          <w:marLeft w:val="720"/>
          <w:marRight w:val="0"/>
          <w:marTop w:val="115"/>
          <w:marBottom w:val="120"/>
          <w:divBdr>
            <w:top w:val="none" w:sz="0" w:space="0" w:color="auto"/>
            <w:left w:val="none" w:sz="0" w:space="0" w:color="auto"/>
            <w:bottom w:val="none" w:sz="0" w:space="0" w:color="auto"/>
            <w:right w:val="none" w:sz="0" w:space="0" w:color="auto"/>
          </w:divBdr>
        </w:div>
        <w:div w:id="119110865">
          <w:marLeft w:val="720"/>
          <w:marRight w:val="0"/>
          <w:marTop w:val="115"/>
          <w:marBottom w:val="120"/>
          <w:divBdr>
            <w:top w:val="none" w:sz="0" w:space="0" w:color="auto"/>
            <w:left w:val="none" w:sz="0" w:space="0" w:color="auto"/>
            <w:bottom w:val="none" w:sz="0" w:space="0" w:color="auto"/>
            <w:right w:val="none" w:sz="0" w:space="0" w:color="auto"/>
          </w:divBdr>
        </w:div>
        <w:div w:id="397170268">
          <w:marLeft w:val="720"/>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7181"/>
    <w:rsid w:val="00997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E7680AA2ED49248562A979698BB229">
    <w:name w:val="72E7680AA2ED49248562A979698BB229"/>
    <w:rsid w:val="0099718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E7680AA2ED49248562A979698BB229">
    <w:name w:val="72E7680AA2ED49248562A979698BB229"/>
    <w:rsid w:val="009971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Zwo12</b:Tag>
    <b:SourceType>Book</b:SourceType>
    <b:Guid>{990C1EB0-78E6-43A5-BAEA-DFEBD761029F}</b:Guid>
    <b:Author>
      <b:Author>
        <b:NameList>
          <b:Person>
            <b:Last>Zwozdiak-Myers</b:Last>
            <b:First>P</b:First>
          </b:Person>
        </b:NameList>
      </b:Author>
    </b:Author>
    <b:Title>The Teacher's Reflective Practice Handbook</b:Title>
    <b:Year>2012</b:Year>
    <b:City>Oxon</b:City>
    <b:Publisher>Routledge</b:Publisher>
    <b:RefOrder>1</b:RefOrder>
  </b:Source>
  <b:Source>
    <b:Tag>Min04</b:Tag>
    <b:SourceType>Book</b:SourceType>
    <b:Guid>{1C4CE5EB-9619-4AEC-93B8-0FDFF259B34D}</b:Guid>
    <b:Author>
      <b:Author>
        <b:NameList>
          <b:Person>
            <b:Last>Minton</b:Last>
            <b:First>D</b:First>
          </b:Person>
        </b:NameList>
      </b:Author>
    </b:Author>
    <b:Title>Teaching Skills in Further &amp; Adult Education</b:Title>
    <b:Year>2004</b:Year>
    <b:City>London</b:City>
    <b:Publisher>City &amp; Guilds of London Institute</b:Publisher>
    <b:RefOrder>2</b:RefOrder>
  </b:Source>
  <b:Source>
    <b:Tag>Wal04</b:Tag>
    <b:SourceType>Book</b:SourceType>
    <b:Guid>{FF364DE1-62A4-4F56-B42C-A31E9F6FBA7E}</b:Guid>
    <b:Author>
      <b:Author>
        <b:NameList>
          <b:Person>
            <b:Last>Wallace</b:Last>
            <b:First>S</b:First>
          </b:Person>
        </b:NameList>
      </b:Author>
    </b:Author>
    <b:Title>Teaching &amp; Supporting Learning in Further Education</b:Title>
    <b:Year>2004</b:Year>
    <b:City>Exeter</b:City>
    <b:Publisher>Learning Matters Ltd</b:Publisher>
    <b:RefOrder>3</b:RefOrder>
  </b:Source>
  <b:Source>
    <b:Tag>Bha</b:Tag>
    <b:SourceType>Book</b:SourceType>
    <b:Guid>{48768D12-AB34-47C2-8124-211D8154C6DF}</b:Guid>
    <b:Title>Inclusive Practices, Inclusive Pedagogies: Learning from Widening Participation research in Art and Design Higher Education</b:Title>
    <b:Author>
      <b:Author>
        <b:NameList>
          <b:Person>
            <b:Last>Bhagat</b:Last>
            <b:First>Dipti</b:First>
          </b:Person>
          <b:Person>
            <b:Last>O'Neill</b:Last>
            <b:First>Peter</b:First>
          </b:Person>
        </b:NameList>
      </b:Author>
    </b:Author>
    <b:Year>2011</b:Year>
    <b:City>Croydon</b:City>
    <b:Publisher>CPI Group</b:Publisher>
    <b:RefOrder>4</b:RefOrder>
  </b:Source>
  <b:Source>
    <b:Tag>Placeholder3</b:Tag>
    <b:SourceType>Book</b:SourceType>
    <b:Guid>{5AF72B36-866B-47AE-B91F-CF869351C9D1}</b:Guid>
    <b:Author>
      <b:Author>
        <b:NameList>
          <b:Person>
            <b:Last>Burnett</b:Last>
            <b:First>Garry</b:First>
          </b:Person>
        </b:NameList>
      </b:Author>
    </b:Author>
    <b:Title>Learning to Learn: Making Learning Work For All Students</b:Title>
    <b:Year>2002</b:Year>
    <b:City>Glasgow</b:City>
    <b:Publisher>Crown House Publishing Ltd</b:Publisher>
    <b:RefOrder>5</b:RefOrder>
  </b:Source>
  <b:Source>
    <b:Tag>Mot</b:Tag>
    <b:SourceType>JournalArticle</b:SourceType>
    <b:Guid>{39AB2101-094A-4D1C-9A81-93BE9E5C3986}</b:Guid>
    <b:Author>
      <b:Author>
        <b:NameList>
          <b:Person>
            <b:Last>Motschnig-Pitrik</b:Last>
            <b:First>Renate</b:First>
          </b:Person>
          <b:Person>
            <b:Last>Santos</b:Last>
            <b:First>Antonio</b:First>
          </b:Person>
        </b:NameList>
      </b:Author>
    </b:Author>
    <b:Title>The Person Centered Approach to Teaching and Learning as Exemplified in a Course in Organizational Development</b:Title>
    <b:JournalName>Zeitschrift für Hochschulentwicklung</b:JournalName>
    <b:Pages>6</b:Pages>
    <b:Volume>1</b:Volume>
    <b:Issue>4</b:Issue>
    <b:Year>2006</b:Year>
    <b:RefOrder>6</b:RefOrder>
  </b:Source>
  <b:Source>
    <b:Tag>Smi03</b:Tag>
    <b:SourceType>Book</b:SourceType>
    <b:Guid>{AE2A4AF1-613C-42E6-AE5B-A1C0919A0063}</b:Guid>
    <b:Title>We're Born to Learn</b:Title>
    <b:Year>2003</b:Year>
    <b:City>California</b:City>
    <b:Publisher>Corwin Press</b:Publisher>
    <b:Author>
      <b:Author>
        <b:NameList>
          <b:Person>
            <b:Last>Smilkstein</b:Last>
            <b:First>Rita</b:First>
          </b:Person>
        </b:NameList>
      </b:Author>
    </b:Author>
    <b:RefOrder>7</b:RefOrder>
  </b:Source>
  <b:Source>
    <b:Tag>Nic08</b:Tag>
    <b:SourceType>Report</b:SourceType>
    <b:Guid>{8322C15F-FB92-44ED-908D-08B063580B7F}</b:Guid>
    <b:Title>Quality Enhancement Themes: Transforming Assessment and Feedback</b:Title>
    <b:Year>2008</b:Year>
    <b:City>Strathclyde</b:City>
    <b:Publisher>University of Strathclyde</b:Publisher>
    <b:Author>
      <b:Author>
        <b:NameList>
          <b:Person>
            <b:Last>Nicol</b:Last>
            <b:First>David</b:First>
          </b:Person>
        </b:NameList>
      </b:Author>
    </b:Author>
    <b:Institution>Centre for Academic Practice and Learning Enhancement</b:Institution>
    <b:RefOrder>8</b:RefOrder>
  </b:Source>
  <b:Source>
    <b:Tag>Fre93</b:Tag>
    <b:SourceType>Book</b:SourceType>
    <b:Guid>{A048527F-0F50-4BF2-ACA3-F8191874DC6A}</b:Guid>
    <b:Title>Pedagogy of the Oppressed</b:Title>
    <b:Year>1993</b:Year>
    <b:Publisher>Penguin</b:Publisher>
    <b:City>St. Ives</b:City>
    <b:Author>
      <b:Author>
        <b:NameList>
          <b:Person>
            <b:Last>Freire</b:Last>
            <b:First>Paulo</b:First>
          </b:Person>
        </b:NameList>
      </b:Author>
      <b:Translator>
        <b:NameList>
          <b:Person>
            <b:Last>Ramos</b:Last>
            <b:First>Myra</b:First>
            <b:Middle>Bergman</b:Middle>
          </b:Person>
        </b:NameList>
      </b:Translator>
    </b:Author>
    <b:RefOrder>9</b:RefOrder>
  </b:Source>
  <b:Source>
    <b:Tag>Har17</b:Tag>
    <b:SourceType>Book</b:SourceType>
    <b:Guid>{B6BAC1C2-0632-4595-8A64-8E54A6D31307}</b:Guid>
    <b:Author>
      <b:Author>
        <b:NameList>
          <b:Person>
            <b:Last>Harasim</b:Last>
            <b:First>Linda</b:First>
          </b:Person>
        </b:NameList>
      </b:Author>
    </b:Author>
    <b:Title>Learning Theory and Online Technologies</b:Title>
    <b:Year>2017</b:Year>
    <b:City>New York</b:City>
    <b:Publisher>Routledge</b:Publisher>
    <b:Edition>2nd</b:Edition>
    <b:RefOrder>10</b:RefOrder>
  </b:Source>
  <b:Source>
    <b:Tag>Spi</b:Tag>
    <b:SourceType>Report</b:SourceType>
    <b:Guid>{199116A2-C491-4BB7-ABE8-63082AD5EE97}</b:Guid>
    <b:Title>White Paper on the Need for a Journal of Scholarship of Teaching and Learning in Art History</b:Title>
    <b:Author>
      <b:Author>
        <b:NameList>
          <b:Person>
            <b:Last>Spivey</b:Last>
            <b:First>Virginia</b:First>
            <b:Middle>B.</b:Middle>
          </b:Person>
          <b:Person>
            <b:Last>Giuntini</b:Last>
            <b:First>Parme</b:First>
          </b:Person>
          <b:Person>
            <b:Last>McGarry</b:Last>
            <b:First>Renee</b:First>
          </b:Person>
          <b:Person>
            <b:Last>Fisher</b:Last>
            <b:First>Michelle</b:First>
            <b:Middle>Millar</b:Middle>
          </b:Person>
          <b:Person>
            <b:Last>Shelby</b:Last>
            <b:First>Karen</b:First>
          </b:Person>
          <b:Person>
            <b:Last>Wentrack</b:Last>
            <b:First>Kathleen</b:First>
          </b:Person>
        </b:NameList>
      </b:Author>
    </b:Author>
    <b:Year>2015</b:Year>
    <b:Publisher>Art History teaching Resources</b:Publisher>
    <b:YearAccessed>2017</b:YearAccessed>
    <b:MonthAccessed>November</b:MonthAccessed>
    <b:DayAccessed>20</b:DayAccessed>
    <b:URL>http://arthistoryteachingresources.org/2015/11/ahtr-releases-white-paper/</b:URL>
    <b:RefOrder>11</b:RefOrder>
  </b:Source>
  <b:Source>
    <b:Tag>Bat16</b:Tag>
    <b:SourceType>Book</b:SourceType>
    <b:Guid>{1CB5FCDC-DCB0-4C84-92F0-F08A19C0DB78}</b:Guid>
    <b:Title>Learning Theories Simplified</b:Title>
    <b:Year>2016</b:Year>
    <b:City>London</b:City>
    <b:Publisher>Sage</b:Publisher>
    <b:Author>
      <b:Author>
        <b:NameList>
          <b:Person>
            <b:Last>Bates</b:Last>
            <b:First>Robert</b:First>
          </b:Person>
        </b:NameList>
      </b:Author>
    </b:Author>
    <b:RefOrder>12</b:RefOrder>
  </b:Source>
  <b:Source>
    <b:Tag>Placeholder1</b:Tag>
    <b:SourceType>Book</b:SourceType>
    <b:Guid>{BADEE096-93E7-4F6F-8158-A8EB8467945C}</b:Guid>
    <b:Title>Teaching Skills in Further &amp; Adult Education</b:Title>
    <b:Year>2004</b:Year>
    <b:City>London</b:City>
    <b:Publisher>City &amp; Guilds of London Institute</b:Publisher>
    <b:Author>
      <b:Author>
        <b:NameList>
          <b:Person>
            <b:Last>Minton</b:Last>
            <b:First>David</b:First>
          </b:Person>
        </b:NameList>
      </b:Author>
    </b:Author>
    <b:RefOrder>13</b:RefOrder>
  </b:Source>
  <b:Source>
    <b:Tag>Goo90</b:Tag>
    <b:SourceType>Book</b:SourceType>
    <b:Guid>{66AA05F7-2A56-4978-8846-CB423D246068}</b:Guid>
    <b:Title>Vygotsky and Education: Instructional Implications and Applications of Sociohistorical Psychology</b:Title>
    <b:Year>1990</b:Year>
    <b:Publisher>Cambridge University Press</b:Publisher>
    <b:City>Cambridge</b:City>
    <b:Author>
      <b:Author>
        <b:NameList>
          <b:Person>
            <b:Last>Goodman</b:Last>
            <b:First>Y.M</b:First>
          </b:Person>
          <b:Person>
            <b:Last>Goodman</b:Last>
            <b:First>K.S</b:First>
          </b:Person>
        </b:NameList>
      </b:Author>
      <b:Editor>
        <b:NameList>
          <b:Person>
            <b:Last>Moll</b:Last>
            <b:First>Luis</b:First>
            <b:Middle>C.</b:Middle>
          </b:Person>
        </b:NameList>
      </b:Editor>
    </b:Author>
    <b:RefOrder>14</b:RefOrder>
  </b:Source>
  <b:Source>
    <b:Tag>Dir98</b:Tag>
    <b:SourceType>JournalArticle</b:SourceType>
    <b:Guid>{B1701C75-6159-489C-BB88-F94CC0A4E86A}</b:Guid>
    <b:Title>Transformative Learning Theory in the Practice of Adult Education: An Overview</b:Title>
    <b:Year>1998</b:Year>
    <b:JournalName>PAACE Journal for Lifelong Learning</b:JournalName>
    <b:Pages>1-14</b:Pages>
    <b:Author>
      <b:Author>
        <b:NameList>
          <b:Person>
            <b:Last>Dirkx</b:Last>
            <b:First>John.</b:First>
            <b:Middle>M</b:Middle>
          </b:Person>
        </b:NameList>
      </b:Author>
    </b:Author>
    <b:Volume>7</b:Volume>
    <b:RefOrder>15</b:RefOrder>
  </b:Source>
  <b:Source>
    <b:Tag>Cel17</b:Tag>
    <b:SourceType>JournalArticle</b:SourceType>
    <b:Guid>{785B16F4-8DDC-44BF-AF81-4320DCC8F9F1}</b:Guid>
    <b:Title>Contemporary Pedagogy for the Adult Learning</b:Title>
    <b:JournalName>PUPIL: International Journal of Teaching, Education and Learning</b:JournalName>
    <b:Year>2017</b:Year>
    <b:Pages>67-77</b:Pages>
    <b:Author>
      <b:Author>
        <b:NameList>
          <b:Person>
            <b:Last>Celli</b:Last>
            <b:First>Lynne</b:First>
            <b:Middle>M</b:Middle>
          </b:Person>
          <b:Person>
            <b:Last>Young</b:Last>
            <b:First>Nicholas</b:First>
            <b:Middle>D.</b:Middle>
          </b:Person>
        </b:NameList>
      </b:Author>
    </b:Author>
    <b:Month>September</b:Month>
    <b:Day>4</b:Day>
    <b:Publisher>GRDS Publishing</b:Publisher>
    <b:RefOrder>16</b:RefOrder>
  </b:Source>
  <b:Source>
    <b:Tag>Placeholder2</b:Tag>
    <b:SourceType>Book</b:SourceType>
    <b:Guid>{BA0A4ABC-A1E5-46A1-AE25-BA0DA4B94DE5}</b:Guid>
    <b:Title>Teaching &amp; Supporting Learning in Further Education</b:Title>
    <b:Year>2004</b:Year>
    <b:City>Exeter</b:City>
    <b:Publisher>Learning Matters Ltd</b:Publisher>
    <b:Author>
      <b:Author>
        <b:NameList>
          <b:Person>
            <b:Last>Wallace</b:Last>
            <b:First>Susan</b:First>
          </b:Person>
        </b:NameList>
      </b:Author>
    </b:Author>
    <b:RefOrder>17</b:RefOrder>
  </b:Source>
  <b:Source>
    <b:Tag>Bur02</b:Tag>
    <b:SourceType>Book</b:SourceType>
    <b:Guid>{5AF72B36-866B-47AE-B91F-CF869351C9D1}</b:Guid>
    <b:Author>
      <b:Author>
        <b:NameList>
          <b:Person>
            <b:Last>Burnett</b:Last>
            <b:First>Garry</b:First>
          </b:Person>
        </b:NameList>
      </b:Author>
    </b:Author>
    <b:Title>Learning to Learn: Making Learning Work For All Students</b:Title>
    <b:Year>2002</b:Year>
    <b:City>Glasgow</b:City>
    <b:Publisher>Crown House Publishing Ltd</b:Publisher>
    <b:RefOrder>18</b:RefOrder>
  </b:Source>
  <b:Source>
    <b:Tag>Placeholder4</b:Tag>
    <b:SourceType>Book</b:SourceType>
    <b:Guid>{E7E74098-CFAD-4308-BF1D-7E751812B5FE}</b:Guid>
    <b:Title>The Teacher's Reflective Practice Handbook</b:Title>
    <b:Year>2012</b:Year>
    <b:City>Oxon</b:City>
    <b:Publisher>Routledge</b:Publisher>
    <b:Author>
      <b:Author>
        <b:NameList>
          <b:Person>
            <b:Last>Zwozdiak-Myers</b:Last>
            <b:First>Paula</b:First>
          </b:Person>
        </b:NameList>
      </b:Author>
    </b:Author>
    <b:RefOrder>19</b:RefOrder>
  </b:Source>
  <b:Source>
    <b:Tag>Foo06</b:Tag>
    <b:SourceType>ConferenceProceedings</b:SourceType>
    <b:Guid>{291C61AF-4E6F-49C6-B625-C38420DEBAC0}</b:Guid>
    <b:Title>Beyond reflective practice: reworking the “critical” in critical reflection</b:Title>
    <b:Year>2006</b:Year>
    <b:City>New York</b:City>
    <b:Publisher>Keynote</b:Publisher>
    <b:Author>
      <b:Author>
        <b:NameList>
          <b:Person>
            <b:Last>Fook</b:Last>
            <b:First>J</b:First>
          </b:Person>
        </b:NameList>
      </b:Author>
    </b:Author>
    <b:RefOrder>1</b:RefOrder>
  </b:Source>
  <b:Source>
    <b:Tag>Sch83</b:Tag>
    <b:SourceType>Book</b:SourceType>
    <b:Guid>{E749323C-7495-4E4D-B255-727F58701AED}</b:Guid>
    <b:Author>
      <b:Author>
        <b:NameList>
          <b:Person>
            <b:Last>Schon</b:Last>
            <b:First>D</b:First>
          </b:Person>
        </b:NameList>
      </b:Author>
    </b:Author>
    <b:Title>The Reflective Practitioner: How Professionals Think in Action</b:Title>
    <b:Year>1983</b:Year>
    <b:City>London</b:City>
    <b:Publisher>Routledge</b:Publisher>
    <b:RefOrder>2</b:RefOrder>
  </b:Source>
  <b:Source>
    <b:Tag>Gru05</b:Tag>
    <b:SourceType>JournalArticle</b:SourceType>
    <b:Guid>{70EE73BC-69C9-46AC-9C66-0551D9201ED1}</b:Guid>
    <b:Author>
      <b:Author>
        <b:NameList>
          <b:Person>
            <b:Last>Grushka</b:Last>
            <b:First>K</b:First>
          </b:Person>
          <b:Person>
            <b:Last>Hinde-McLeod</b:Last>
            <b:First>J</b:First>
          </b:Person>
          <b:Person>
            <b:Last>Reynolds</b:Last>
            <b:First>R.</b:First>
          </b:Person>
        </b:NameList>
      </b:Author>
    </b:Author>
    <b:Title>Reflecting upon reflection: theory and practice in one Australian university teacher education program</b:Title>
    <b:Year>2005</b:Year>
    <b:Volume>6</b:Volume>
    <b:Pages>239-246</b:Pages>
    <b:JournalName>Reflective Practice</b:JournalName>
    <b:Issue>1</b:Issue>
    <b:RefOrder>3</b:RefOrder>
  </b:Source>
  <b:Source>
    <b:Tag>Rey04</b:Tag>
    <b:SourceType>Book</b:SourceType>
    <b:Guid>{28EFE201-4D35-45E8-9F53-BDB8B1086B7B}</b:Guid>
    <b:Title>Organising reflection</b:Title>
    <b:Year>2004</b:Year>
    <b:Author>
      <b:Author>
        <b:NameList>
          <b:Person>
            <b:Last>Reynolds</b:Last>
            <b:First>M</b:First>
          </b:Person>
          <b:Person>
            <b:Last>Vince</b:Last>
            <b:First>R.</b:First>
          </b:Person>
        </b:NameList>
      </b:Author>
    </b:Author>
    <b:City>Surrey</b:City>
    <b:Publisher>Ashgate</b:Publisher>
    <b:RefOrder>4</b:RefOrder>
  </b:Source>
  <b:Source>
    <b:Tag>Zei96</b:Tag>
    <b:SourceType>Book</b:SourceType>
    <b:Guid>{722B3A5A-0D62-4403-A4CB-40D84ABF1092}</b:Guid>
    <b:Author>
      <b:Author>
        <b:NameList>
          <b:Person>
            <b:Last>Zeichner</b:Last>
            <b:First>K.</b:First>
            <b:Middle>M</b:Middle>
          </b:Person>
          <b:Person>
            <b:Last>Liston</b:Last>
            <b:First>D.</b:First>
            <b:Middle>P.</b:Middle>
          </b:Person>
        </b:NameList>
      </b:Author>
    </b:Author>
    <b:Title>Reflective Teaching: An Introduction</b:Title>
    <b:Year>1996</b:Year>
    <b:City>London</b:City>
    <b:Publisher>Lawrence Erlbaum Associates Publishers</b:Publisher>
    <b:RefOrder>5</b:RefOrder>
  </b:Source>
</b:Sources>
</file>

<file path=customXml/itemProps1.xml><?xml version="1.0" encoding="utf-8"?>
<ds:datastoreItem xmlns:ds="http://schemas.openxmlformats.org/officeDocument/2006/customXml" ds:itemID="{4A9358FE-8075-4079-AE02-93201B9B9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3313</Words>
  <Characters>18888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Mattie</dc:creator>
  <cp:lastModifiedBy>Mattie</cp:lastModifiedBy>
  <cp:revision>2</cp:revision>
  <dcterms:created xsi:type="dcterms:W3CDTF">2018-05-31T18:10:00Z</dcterms:created>
  <dcterms:modified xsi:type="dcterms:W3CDTF">2018-05-31T18:10:00Z</dcterms:modified>
</cp:coreProperties>
</file>