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12769">
      <w:pPr>
        <w:spacing w:line="480" w:lineRule="auto"/>
        <w:rPr>
          <w:rFonts w:ascii="Arial" w:hAnsi="Arial" w:eastAsia="仿宋" w:cs="Arial"/>
          <w:b/>
          <w:bCs/>
          <w:sz w:val="24"/>
          <w:szCs w:val="24"/>
        </w:rPr>
      </w:pPr>
    </w:p>
    <w:p w14:paraId="632342AB">
      <w:pPr>
        <w:spacing w:line="480" w:lineRule="auto"/>
        <w:rPr>
          <w:rFonts w:ascii="Arial" w:hAnsi="Arial" w:eastAsia="仿宋" w:cs="Arial"/>
          <w:b/>
          <w:bCs/>
          <w:sz w:val="24"/>
          <w:szCs w:val="24"/>
        </w:rPr>
      </w:pPr>
    </w:p>
    <w:p w14:paraId="4E95477B">
      <w:pPr>
        <w:spacing w:line="480" w:lineRule="auto"/>
        <w:rPr>
          <w:rFonts w:ascii="Arial" w:hAnsi="Arial" w:eastAsia="仿宋" w:cs="Arial"/>
          <w:b/>
          <w:bCs/>
          <w:sz w:val="24"/>
          <w:szCs w:val="24"/>
        </w:rPr>
      </w:pPr>
    </w:p>
    <w:p w14:paraId="7D9F7866">
      <w:pPr>
        <w:spacing w:line="480" w:lineRule="auto"/>
        <w:rPr>
          <w:rFonts w:ascii="Arial" w:hAnsi="Arial" w:eastAsia="仿宋" w:cs="Arial"/>
          <w:b/>
          <w:bCs/>
          <w:sz w:val="24"/>
          <w:szCs w:val="24"/>
        </w:rPr>
      </w:pPr>
    </w:p>
    <w:p w14:paraId="491B9A4C">
      <w:pPr>
        <w:spacing w:line="480" w:lineRule="auto"/>
        <w:rPr>
          <w:rFonts w:ascii="Arial" w:hAnsi="Arial" w:eastAsia="仿宋" w:cs="Arial"/>
          <w:b/>
          <w:bCs/>
          <w:sz w:val="24"/>
          <w:szCs w:val="24"/>
        </w:rPr>
      </w:pPr>
    </w:p>
    <w:p w14:paraId="377AF5EB">
      <w:pPr>
        <w:spacing w:line="480" w:lineRule="auto"/>
        <w:rPr>
          <w:rFonts w:ascii="Arial" w:hAnsi="Arial" w:eastAsia="仿宋" w:cs="Arial"/>
          <w:b/>
          <w:bCs/>
          <w:sz w:val="24"/>
          <w:szCs w:val="24"/>
        </w:rPr>
      </w:pPr>
    </w:p>
    <w:p w14:paraId="3E73FF30">
      <w:pPr>
        <w:spacing w:line="480" w:lineRule="auto"/>
        <w:rPr>
          <w:rFonts w:ascii="Arial" w:hAnsi="Arial" w:eastAsia="仿宋" w:cs="Arial"/>
          <w:b/>
          <w:bCs/>
          <w:sz w:val="24"/>
          <w:szCs w:val="24"/>
        </w:rPr>
      </w:pPr>
    </w:p>
    <w:p w14:paraId="02432F2E">
      <w:pPr>
        <w:spacing w:line="480" w:lineRule="auto"/>
        <w:rPr>
          <w:rFonts w:ascii="Arial" w:hAnsi="Arial" w:eastAsia="仿宋" w:cs="Arial"/>
          <w:b/>
          <w:bCs/>
          <w:sz w:val="24"/>
          <w:szCs w:val="24"/>
        </w:rPr>
      </w:pPr>
      <w:r>
        <w:rPr>
          <w:rFonts w:ascii="Arial" w:hAnsi="Arial" w:eastAsia="仿宋" w:cs="Arial"/>
          <w:b/>
          <w:bCs/>
          <w:sz w:val="24"/>
          <w:szCs w:val="24"/>
        </w:rPr>
        <w:t>Formulation of low-carbon sustainable development strategies for international cross-border e-commerce enterprises</w:t>
      </w:r>
    </w:p>
    <w:p w14:paraId="32EE73A0">
      <w:pPr>
        <w:spacing w:line="480" w:lineRule="auto"/>
        <w:rPr>
          <w:rFonts w:ascii="Arial" w:hAnsi="Arial" w:eastAsia="仿宋" w:cs="Arial"/>
          <w:b/>
          <w:bCs/>
          <w:sz w:val="24"/>
          <w:szCs w:val="24"/>
        </w:rPr>
      </w:pPr>
    </w:p>
    <w:p w14:paraId="44658301">
      <w:pPr>
        <w:spacing w:line="480" w:lineRule="auto"/>
        <w:rPr>
          <w:rFonts w:ascii="Arial" w:hAnsi="Arial" w:eastAsia="仿宋" w:cs="Arial"/>
          <w:b/>
          <w:bCs/>
          <w:sz w:val="24"/>
          <w:szCs w:val="24"/>
        </w:rPr>
      </w:pPr>
    </w:p>
    <w:p w14:paraId="239F8E97">
      <w:pPr>
        <w:spacing w:line="480" w:lineRule="auto"/>
        <w:rPr>
          <w:rFonts w:ascii="Arial" w:hAnsi="Arial" w:eastAsia="仿宋" w:cs="Arial"/>
          <w:b/>
          <w:bCs/>
          <w:sz w:val="24"/>
          <w:szCs w:val="24"/>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titlePg/>
          <w:docGrid w:type="lines" w:linePitch="312" w:charSpace="0"/>
        </w:sectPr>
      </w:pPr>
    </w:p>
    <w:p w14:paraId="1688059F">
      <w:pPr>
        <w:spacing w:line="480" w:lineRule="auto"/>
        <w:rPr>
          <w:rFonts w:ascii="Arial" w:hAnsi="Arial" w:eastAsia="仿宋" w:cs="Arial"/>
          <w:b/>
          <w:bCs/>
          <w:sz w:val="24"/>
          <w:szCs w:val="24"/>
        </w:rPr>
      </w:pPr>
      <w:r>
        <w:rPr>
          <w:rFonts w:ascii="Arial" w:hAnsi="Arial" w:eastAsia="仿宋" w:cs="Arial"/>
          <w:b/>
          <w:bCs/>
          <w:sz w:val="24"/>
          <w:szCs w:val="24"/>
        </w:rPr>
        <w:t>Executive Summary</w:t>
      </w:r>
    </w:p>
    <w:p w14:paraId="657C1263">
      <w:pPr>
        <w:spacing w:line="480" w:lineRule="auto"/>
        <w:rPr>
          <w:rFonts w:ascii="Arial" w:hAnsi="Arial" w:eastAsia="Arial Unicode MS" w:cs="Arial"/>
          <w:color w:val="000000" w:themeColor="text1"/>
          <w:sz w:val="24"/>
          <w:szCs w:val="24"/>
          <w14:textFill>
            <w14:solidFill>
              <w14:schemeClr w14:val="tx1"/>
            </w14:solidFill>
          </w14:textFill>
        </w:rPr>
      </w:pPr>
      <w:r>
        <w:rPr>
          <w:rFonts w:ascii="Arial" w:hAnsi="Arial" w:eastAsia="Arial Unicode MS" w:cs="Arial"/>
          <w:color w:val="000000" w:themeColor="text1"/>
          <w:sz w:val="24"/>
          <w:szCs w:val="24"/>
          <w14:textFill>
            <w14:solidFill>
              <w14:schemeClr w14:val="tx1"/>
            </w14:solidFill>
          </w14:textFill>
        </w:rPr>
        <w:t>Severe climate and energy issues make low-carbon economy a global hot spot, and countries have joined the battle for low-carbon economy. As an important part of foreign trade, cross-border e-commerce faces some challenges under the low-carbon economy, including the urgent need for low-carbon logistics, and carbon indicators becoming trade barriers. In response to these challenges, this paper selects Anker Innovation, a representative enterprise in the field of cross-border e-commerce in China, as a case enterprise, analyzes and summarizes its sustainable development strategies from the four aspects of green products, research and development innovation, efficient logistics, and digital intelligence upgrading. It also integrates ethical and theoretical perspectives, including teleology, deontology, Friedman’s shareholder theory, and Carroll’s CSR pyramid, to generate countermeasures and suggestions for the sustainable development of cross-border e-commerce enterprises under the low-carbon economy. These include focusing on environmental protection and safety of products, enhancing low-carbon technology innovation and talent training, constructing a green logistics system, and promoting the digital transformation of enterprises.</w:t>
      </w:r>
    </w:p>
    <w:p w14:paraId="1F0A9FBE">
      <w:pPr>
        <w:spacing w:line="480" w:lineRule="auto"/>
        <w:ind w:firstLine="480" w:firstLineChars="200"/>
        <w:rPr>
          <w:rFonts w:ascii="Arial" w:hAnsi="Arial" w:eastAsia="Arial Unicode MS" w:cs="Arial"/>
          <w:sz w:val="24"/>
          <w:szCs w:val="24"/>
        </w:rPr>
        <w:sectPr>
          <w:pgSz w:w="11906" w:h="16838"/>
          <w:pgMar w:top="1440" w:right="1800" w:bottom="1440" w:left="1800" w:header="851" w:footer="992" w:gutter="0"/>
          <w:cols w:space="425" w:num="1"/>
          <w:docGrid w:type="lines" w:linePitch="312" w:charSpace="0"/>
        </w:sectPr>
      </w:pPr>
    </w:p>
    <w:sdt>
      <w:sdtPr>
        <w:rPr>
          <w:rFonts w:ascii="Arial" w:hAnsi="Arial" w:cs="Arial" w:eastAsiaTheme="minorEastAsia"/>
          <w:color w:val="auto"/>
          <w:kern w:val="2"/>
          <w:sz w:val="24"/>
          <w:szCs w:val="24"/>
          <w:lang w:val="zh-CN"/>
        </w:rPr>
        <w:id w:val="347909591"/>
        <w:docPartObj>
          <w:docPartGallery w:val="Table of Contents"/>
          <w:docPartUnique/>
        </w:docPartObj>
      </w:sdtPr>
      <w:sdtEndPr>
        <w:rPr>
          <w:rFonts w:ascii="Arial" w:hAnsi="Arial" w:cs="Arial" w:eastAsiaTheme="minorEastAsia"/>
          <w:b/>
          <w:bCs/>
          <w:color w:val="auto"/>
          <w:kern w:val="2"/>
          <w:sz w:val="24"/>
          <w:szCs w:val="24"/>
          <w:lang w:val="zh-CN"/>
        </w:rPr>
      </w:sdtEndPr>
      <w:sdtContent>
        <w:p w14:paraId="46F9D434">
          <w:pPr>
            <w:pStyle w:val="16"/>
            <w:spacing w:line="480" w:lineRule="auto"/>
            <w:jc w:val="both"/>
            <w:rPr>
              <w:rFonts w:ascii="Arial" w:hAnsi="Arial" w:eastAsia="Arial Unicode MS" w:cs="Arial"/>
              <w:color w:val="auto"/>
              <w:sz w:val="24"/>
              <w:szCs w:val="24"/>
            </w:rPr>
          </w:pPr>
          <w:r>
            <w:rPr>
              <w:rFonts w:ascii="Arial" w:hAnsi="Arial" w:eastAsia="Arial Unicode MS" w:cs="Arial"/>
              <w:color w:val="auto"/>
              <w:sz w:val="24"/>
              <w:szCs w:val="24"/>
              <w:lang w:val="zh-CN"/>
            </w:rPr>
            <w:t>Content</w:t>
          </w:r>
        </w:p>
        <w:p w14:paraId="5F186811">
          <w:pPr>
            <w:pStyle w:val="6"/>
            <w:spacing w:line="480" w:lineRule="auto"/>
            <w:rPr>
              <w:rFonts w:ascii="Arial" w:hAnsi="Arial" w:cs="Arial"/>
              <w:sz w:val="24"/>
              <w:szCs w:val="24"/>
              <w14:ligatures w14:val="standardContextual"/>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rPr>
              <w:sz w:val="24"/>
              <w:szCs w:val="24"/>
            </w:rPr>
            <w:fldChar w:fldCharType="begin"/>
          </w:r>
          <w:r>
            <w:rPr>
              <w:sz w:val="24"/>
              <w:szCs w:val="24"/>
            </w:rPr>
            <w:instrText xml:space="preserve"> HYPERLINK \l "_Toc184591677" </w:instrText>
          </w:r>
          <w:r>
            <w:rPr>
              <w:sz w:val="24"/>
              <w:szCs w:val="24"/>
            </w:rPr>
            <w:fldChar w:fldCharType="separate"/>
          </w:r>
          <w:r>
            <w:rPr>
              <w:rStyle w:val="10"/>
              <w:rFonts w:ascii="Arial" w:hAnsi="Arial" w:cs="Arial"/>
              <w:sz w:val="24"/>
              <w:szCs w:val="24"/>
            </w:rPr>
            <w:t>1. 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_Toc184591677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465D2AF1">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"_Toc184591678" </w:instrText>
          </w:r>
          <w:r>
            <w:rPr>
              <w:sz w:val="24"/>
              <w:szCs w:val="24"/>
            </w:rPr>
            <w:fldChar w:fldCharType="separate"/>
          </w:r>
          <w:r>
            <w:rPr>
              <w:rStyle w:val="10"/>
              <w:rFonts w:ascii="Arial" w:hAnsi="Arial" w:eastAsia="Arial Unicode MS" w:cs="Arial"/>
              <w:sz w:val="24"/>
              <w:szCs w:val="24"/>
            </w:rPr>
            <w:t>1.1 Low-carbon development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_Toc184591678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7F45466C">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"_Toc184591679" </w:instrText>
          </w:r>
          <w:r>
            <w:rPr>
              <w:sz w:val="24"/>
              <w:szCs w:val="24"/>
            </w:rPr>
            <w:fldChar w:fldCharType="separate"/>
          </w:r>
          <w:r>
            <w:rPr>
              <w:rStyle w:val="10"/>
              <w:rFonts w:ascii="Arial" w:hAnsi="Arial" w:eastAsia="Arial Unicode MS" w:cs="Arial"/>
              <w:sz w:val="24"/>
              <w:szCs w:val="24"/>
            </w:rPr>
            <w:t>1.2 International cross-border e-commerce enterprises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_Toc184591679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1FABAC80">
          <w:pPr>
            <w:pStyle w:val="6"/>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"_Toc184591680" </w:instrText>
          </w:r>
          <w:r>
            <w:rPr>
              <w:sz w:val="24"/>
              <w:szCs w:val="24"/>
            </w:rPr>
            <w:fldChar w:fldCharType="separate"/>
          </w:r>
          <w:r>
            <w:rPr>
              <w:rStyle w:val="10"/>
              <w:rFonts w:ascii="Arial" w:hAnsi="Arial" w:cs="Arial"/>
              <w:sz w:val="24"/>
              <w:szCs w:val="24"/>
            </w:rPr>
            <w:t>2. Challenges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_Toc184591680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1805695E">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"_Toc184591681" </w:instrText>
          </w:r>
          <w:r>
            <w:rPr>
              <w:sz w:val="24"/>
              <w:szCs w:val="24"/>
            </w:rPr>
            <w:fldChar w:fldCharType="separate"/>
          </w:r>
          <w:r>
            <w:rPr>
              <w:rStyle w:val="10"/>
              <w:rFonts w:ascii="Arial" w:hAnsi="Arial" w:eastAsia="Arial Unicode MS" w:cs="Arial"/>
              <w:sz w:val="24"/>
              <w:szCs w:val="24"/>
            </w:rPr>
            <w:t>2.1 Urgent need for low-carbon logistics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_Toc184591681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22A7FDD6">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"_Toc184591682" </w:instrText>
          </w:r>
          <w:r>
            <w:rPr>
              <w:sz w:val="24"/>
              <w:szCs w:val="24"/>
            </w:rPr>
            <w:fldChar w:fldCharType="separate"/>
          </w:r>
          <w:r>
            <w:rPr>
              <w:rStyle w:val="10"/>
              <w:rFonts w:ascii="Arial" w:hAnsi="Arial" w:eastAsia="Arial Unicode MS" w:cs="Arial"/>
              <w:sz w:val="24"/>
              <w:szCs w:val="24"/>
            </w:rPr>
            <w:t>2.2 Carbon index becomes a trade barrier</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_Toc184591682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21C1C78C">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"_Toc184591683" </w:instrText>
          </w:r>
          <w:r>
            <w:rPr>
              <w:sz w:val="24"/>
              <w:szCs w:val="24"/>
            </w:rPr>
            <w:fldChar w:fldCharType="separate"/>
          </w:r>
          <w:r>
            <w:rPr>
              <w:rStyle w:val="10"/>
              <w:rFonts w:ascii="Arial" w:hAnsi="Arial" w:eastAsia="Arial Unicode MS" w:cs="Arial"/>
              <w:sz w:val="24"/>
              <w:szCs w:val="24"/>
            </w:rPr>
            <w:t>2.3 Constraints on supporting services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_Toc184591683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14:paraId="2211004E">
          <w:pPr>
            <w:pStyle w:val="6"/>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"_Toc184591684" </w:instrText>
          </w:r>
          <w:r>
            <w:rPr>
              <w:sz w:val="24"/>
              <w:szCs w:val="24"/>
            </w:rPr>
            <w:fldChar w:fldCharType="separate"/>
          </w:r>
          <w:r>
            <w:rPr>
              <w:rStyle w:val="10"/>
              <w:rFonts w:ascii="Arial" w:hAnsi="Arial" w:cs="Arial"/>
              <w:sz w:val="24"/>
              <w:szCs w:val="24"/>
            </w:rPr>
            <w:t>3. Practice of cross-border e-commerce enterprises: from case observations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_Toc184591684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14:paraId="01457DE4">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"_Toc184591685" </w:instrText>
          </w:r>
          <w:r>
            <w:rPr>
              <w:sz w:val="24"/>
              <w:szCs w:val="24"/>
            </w:rPr>
            <w:fldChar w:fldCharType="separate"/>
          </w:r>
          <w:r>
            <w:rPr>
              <w:rStyle w:val="10"/>
              <w:rFonts w:ascii="Arial" w:hAnsi="Arial" w:eastAsia="Arial Unicode MS" w:cs="Arial"/>
              <w:sz w:val="24"/>
              <w:szCs w:val="24"/>
            </w:rPr>
            <w:t>3.1 Green product 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_Toc184591685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14:paraId="61FB473A">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"_Toc184591686" </w:instrText>
          </w:r>
          <w:r>
            <w:rPr>
              <w:sz w:val="24"/>
              <w:szCs w:val="24"/>
            </w:rPr>
            <w:fldChar w:fldCharType="separate"/>
          </w:r>
          <w:r>
            <w:rPr>
              <w:rStyle w:val="10"/>
              <w:rFonts w:ascii="Arial" w:hAnsi="Arial" w:eastAsia="Arial Unicode MS" w:cs="Arial"/>
              <w:sz w:val="24"/>
              <w:szCs w:val="24"/>
            </w:rPr>
            <w:t>3.2 R&amp;D innovation 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_Toc184591686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7FE86D22">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"_Toc184591687" </w:instrText>
          </w:r>
          <w:r>
            <w:rPr>
              <w:sz w:val="24"/>
              <w:szCs w:val="24"/>
            </w:rPr>
            <w:fldChar w:fldCharType="separate"/>
          </w:r>
          <w:r>
            <w:rPr>
              <w:rStyle w:val="10"/>
              <w:rFonts w:ascii="Arial" w:hAnsi="Arial" w:eastAsia="Arial Unicode MS" w:cs="Arial"/>
              <w:sz w:val="24"/>
              <w:szCs w:val="24"/>
            </w:rPr>
            <w:t>3.3 Efficient logistics 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_Toc184591687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14:paraId="12AFC0B1">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"_Toc184591688" </w:instrText>
          </w:r>
          <w:r>
            <w:rPr>
              <w:sz w:val="24"/>
              <w:szCs w:val="24"/>
            </w:rPr>
            <w:fldChar w:fldCharType="separate"/>
          </w:r>
          <w:r>
            <w:rPr>
              <w:rStyle w:val="10"/>
              <w:rFonts w:ascii="Arial" w:hAnsi="Arial" w:eastAsia="Arial Unicode MS" w:cs="Arial"/>
              <w:sz w:val="24"/>
              <w:szCs w:val="24"/>
            </w:rPr>
            <w:t>3.4 Digital Intelligent Upgrade Policy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_Toc184591688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14:paraId="7B800C35">
          <w:pPr>
            <w:pStyle w:val="6"/>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"_Toc184591689" </w:instrText>
          </w:r>
          <w:r>
            <w:rPr>
              <w:sz w:val="24"/>
              <w:szCs w:val="24"/>
            </w:rPr>
            <w:fldChar w:fldCharType="separate"/>
          </w:r>
          <w:r>
            <w:rPr>
              <w:rStyle w:val="10"/>
              <w:rFonts w:ascii="Arial" w:hAnsi="Arial" w:cs="Arial"/>
              <w:sz w:val="24"/>
              <w:szCs w:val="24"/>
            </w:rPr>
            <w:t>4. Strategy construction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_Toc184591689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7A613926">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"_Toc184591690" </w:instrText>
          </w:r>
          <w:r>
            <w:rPr>
              <w:sz w:val="24"/>
              <w:szCs w:val="24"/>
            </w:rPr>
            <w:fldChar w:fldCharType="separate"/>
          </w:r>
          <w:r>
            <w:rPr>
              <w:rStyle w:val="10"/>
              <w:rFonts w:ascii="Arial" w:hAnsi="Arial" w:eastAsia="Arial Unicode MS" w:cs="Arial"/>
              <w:sz w:val="24"/>
              <w:szCs w:val="24"/>
            </w:rPr>
            <w:t>4.1 Attach importance to the environmental protection and safety of products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_Toc184591690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7EDA5638">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"_Toc184591691" </w:instrText>
          </w:r>
          <w:r>
            <w:rPr>
              <w:sz w:val="24"/>
              <w:szCs w:val="24"/>
            </w:rPr>
            <w:fldChar w:fldCharType="separate"/>
          </w:r>
          <w:r>
            <w:rPr>
              <w:rStyle w:val="10"/>
              <w:rFonts w:ascii="Arial" w:hAnsi="Arial" w:eastAsia="Arial Unicode MS" w:cs="Arial"/>
              <w:sz w:val="24"/>
              <w:szCs w:val="24"/>
            </w:rPr>
            <w:t>4.2 Strengthen low-carbon technology innovation and personnel training</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_Toc184591691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14:paraId="192AA672">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"_Toc184591692" </w:instrText>
          </w:r>
          <w:r>
            <w:rPr>
              <w:sz w:val="24"/>
              <w:szCs w:val="24"/>
            </w:rPr>
            <w:fldChar w:fldCharType="separate"/>
          </w:r>
          <w:r>
            <w:rPr>
              <w:rStyle w:val="10"/>
              <w:rFonts w:ascii="Arial" w:hAnsi="Arial" w:eastAsia="Arial Unicode MS" w:cs="Arial"/>
              <w:sz w:val="24"/>
              <w:szCs w:val="24"/>
            </w:rPr>
            <w:t>4.3 Build a green logistics system</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_Toc184591692 \h </w:instrText>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r>
            <w:rPr>
              <w:rFonts w:ascii="Arial" w:hAnsi="Arial" w:cs="Arial"/>
              <w:sz w:val="24"/>
              <w:szCs w:val="24"/>
            </w:rPr>
            <w:fldChar w:fldCharType="end"/>
          </w:r>
        </w:p>
        <w:p w14:paraId="14401FE2">
          <w:pPr>
            <w:pStyle w:val="7"/>
            <w:tabs>
              <w:tab w:val="right" w:leader="dot" w:pos="8296"/>
            </w:tabs>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"_Toc184591693" </w:instrText>
          </w:r>
          <w:r>
            <w:rPr>
              <w:sz w:val="24"/>
              <w:szCs w:val="24"/>
            </w:rPr>
            <w:fldChar w:fldCharType="separate"/>
          </w:r>
          <w:r>
            <w:rPr>
              <w:rStyle w:val="10"/>
              <w:rFonts w:ascii="Arial" w:hAnsi="Arial" w:eastAsia="Arial Unicode MS" w:cs="Arial"/>
              <w:sz w:val="24"/>
              <w:szCs w:val="24"/>
            </w:rPr>
            <w:t>4.4 Promote digital transformation of enterprises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_Toc184591693 \h </w:instrText>
          </w:r>
          <w:r>
            <w:rPr>
              <w:rFonts w:ascii="Arial" w:hAnsi="Arial" w:cs="Arial"/>
              <w:sz w:val="24"/>
              <w:szCs w:val="24"/>
            </w:rPr>
            <w:fldChar w:fldCharType="separate"/>
          </w:r>
          <w:r>
            <w:rPr>
              <w:rFonts w:ascii="Arial" w:hAnsi="Arial" w:cs="Arial"/>
              <w:sz w:val="24"/>
              <w:szCs w:val="24"/>
            </w:rPr>
            <w:t>14</w:t>
          </w:r>
          <w:r>
            <w:rPr>
              <w:rFonts w:ascii="Arial" w:hAnsi="Arial" w:cs="Arial"/>
              <w:sz w:val="24"/>
              <w:szCs w:val="24"/>
            </w:rPr>
            <w:fldChar w:fldCharType="end"/>
          </w:r>
          <w:r>
            <w:rPr>
              <w:rFonts w:ascii="Arial" w:hAnsi="Arial" w:cs="Arial"/>
              <w:sz w:val="24"/>
              <w:szCs w:val="24"/>
            </w:rPr>
            <w:fldChar w:fldCharType="end"/>
          </w:r>
        </w:p>
        <w:p w14:paraId="7B13EAFA">
          <w:pPr>
            <w:pStyle w:val="6"/>
            <w:spacing w:line="480" w:lineRule="auto"/>
            <w:rPr>
              <w:rFonts w:ascii="Arial" w:hAnsi="Arial" w:cs="Arial"/>
              <w:sz w:val="24"/>
              <w:szCs w:val="24"/>
              <w14:ligatures w14:val="standardContextual"/>
            </w:rPr>
          </w:pPr>
          <w:r>
            <w:rPr>
              <w:sz w:val="24"/>
              <w:szCs w:val="24"/>
            </w:rPr>
            <w:fldChar w:fldCharType="begin"/>
          </w:r>
          <w:r>
            <w:rPr>
              <w:sz w:val="24"/>
              <w:szCs w:val="24"/>
            </w:rPr>
            <w:instrText xml:space="preserve"> HYPERLINK \l "_Toc184591694" </w:instrText>
          </w:r>
          <w:r>
            <w:rPr>
              <w:sz w:val="24"/>
              <w:szCs w:val="24"/>
            </w:rPr>
            <w:fldChar w:fldCharType="separate"/>
          </w:r>
          <w:r>
            <w:rPr>
              <w:rStyle w:val="10"/>
              <w:rFonts w:ascii="Arial" w:hAnsi="Arial" w:cs="Arial"/>
              <w:sz w:val="24"/>
              <w:szCs w:val="24"/>
            </w:rPr>
            <w:t>5.Conclusions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_Toc184591694 \h </w:instrText>
          </w:r>
          <w:r>
            <w:rPr>
              <w:rFonts w:ascii="Arial" w:hAnsi="Arial" w:cs="Arial"/>
              <w:sz w:val="24"/>
              <w:szCs w:val="24"/>
            </w:rPr>
            <w:fldChar w:fldCharType="separate"/>
          </w:r>
          <w:r>
            <w:rPr>
              <w:rFonts w:ascii="Arial" w:hAnsi="Arial" w:cs="Arial"/>
              <w:sz w:val="24"/>
              <w:szCs w:val="24"/>
            </w:rPr>
            <w:t>15</w:t>
          </w:r>
          <w:r>
            <w:rPr>
              <w:rFonts w:ascii="Arial" w:hAnsi="Arial" w:cs="Arial"/>
              <w:sz w:val="24"/>
              <w:szCs w:val="24"/>
            </w:rPr>
            <w:fldChar w:fldCharType="end"/>
          </w:r>
          <w:r>
            <w:rPr>
              <w:rFonts w:ascii="Arial" w:hAnsi="Arial" w:cs="Arial"/>
              <w:sz w:val="24"/>
              <w:szCs w:val="24"/>
            </w:rPr>
            <w:fldChar w:fldCharType="end"/>
          </w:r>
        </w:p>
        <w:p w14:paraId="794EA189">
          <w:pPr>
            <w:spacing w:line="480" w:lineRule="auto"/>
            <w:rPr>
              <w:rFonts w:ascii="Arial" w:hAnsi="Arial" w:cs="Arial"/>
              <w:sz w:val="24"/>
              <w:szCs w:val="24"/>
            </w:rPr>
          </w:pPr>
          <w:r>
            <w:rPr>
              <w:rFonts w:ascii="Arial" w:hAnsi="Arial" w:eastAsia="Arial Unicode MS" w:cs="Arial"/>
              <w:b/>
              <w:bCs/>
              <w:sz w:val="24"/>
              <w:szCs w:val="24"/>
              <w:lang w:val="zh-CN"/>
            </w:rPr>
            <w:fldChar w:fldCharType="end"/>
          </w:r>
        </w:p>
      </w:sdtContent>
    </w:sdt>
    <w:p w14:paraId="0C463A6F">
      <w:pPr>
        <w:spacing w:line="480" w:lineRule="auto"/>
        <w:rPr>
          <w:rFonts w:ascii="Arial" w:hAnsi="Arial" w:eastAsia="仿宋" w:cs="Arial"/>
          <w:b/>
          <w:bCs/>
          <w:sz w:val="24"/>
          <w:szCs w:val="24"/>
        </w:rPr>
        <w:sectPr>
          <w:pgSz w:w="11906" w:h="16838"/>
          <w:pgMar w:top="1440" w:right="1800" w:bottom="1440" w:left="1800" w:header="851" w:footer="992" w:gutter="0"/>
          <w:cols w:space="425" w:num="1"/>
          <w:docGrid w:type="lines" w:linePitch="312" w:charSpace="0"/>
        </w:sectPr>
      </w:pPr>
    </w:p>
    <w:p w14:paraId="6AF16F2E">
      <w:pPr>
        <w:pStyle w:val="2"/>
        <w:spacing w:before="0" w:after="0" w:line="480" w:lineRule="auto"/>
        <w:rPr>
          <w:rFonts w:ascii="Arial" w:hAnsi="Arial" w:eastAsia="Arial Unicode MS" w:cs="Arial"/>
          <w:b w:val="0"/>
          <w:bCs w:val="0"/>
          <w:sz w:val="24"/>
          <w:szCs w:val="24"/>
        </w:rPr>
      </w:pPr>
      <w:bookmarkStart w:id="0" w:name="_Toc184591677"/>
      <w:r>
        <w:rPr>
          <w:rFonts w:ascii="Arial" w:hAnsi="Arial" w:eastAsia="Arial Unicode MS" w:cs="Arial"/>
          <w:sz w:val="24"/>
          <w:szCs w:val="24"/>
        </w:rPr>
        <w:t>1. Introduction</w:t>
      </w:r>
      <w:bookmarkEnd w:id="0"/>
    </w:p>
    <w:p w14:paraId="49D90757">
      <w:pPr>
        <w:pStyle w:val="3"/>
        <w:spacing w:before="0" w:after="0" w:line="480" w:lineRule="auto"/>
        <w:rPr>
          <w:rFonts w:ascii="Arial" w:hAnsi="Arial" w:eastAsia="Arial Unicode MS" w:cs="Arial"/>
          <w:sz w:val="24"/>
          <w:szCs w:val="24"/>
        </w:rPr>
      </w:pPr>
      <w:bookmarkStart w:id="1" w:name="_Toc184591678"/>
      <w:r>
        <w:rPr>
          <w:rFonts w:ascii="Arial" w:hAnsi="Arial" w:eastAsia="Arial Unicode MS" w:cs="Arial"/>
          <w:sz w:val="24"/>
          <w:szCs w:val="24"/>
        </w:rPr>
        <w:t>1.1 Low-carbon development</w:t>
      </w:r>
      <w:bookmarkEnd w:id="1"/>
      <w:bookmarkStart w:id="2" w:name="_Toc184591679"/>
    </w:p>
    <w:p w14:paraId="5CFCA940">
      <w:pPr>
        <w:spacing w:line="480" w:lineRule="auto"/>
        <w:rPr>
          <w:rFonts w:ascii="Arial" w:hAnsi="Arial" w:cs="Arial"/>
          <w:sz w:val="24"/>
          <w:szCs w:val="24"/>
        </w:rPr>
      </w:pPr>
      <w:r>
        <w:rPr>
          <w:rFonts w:ascii="Arial" w:hAnsi="Arial" w:cs="Arial"/>
          <w:sz w:val="24"/>
          <w:szCs w:val="24"/>
        </w:rPr>
        <w:t>Since the late 20th century, serious climate and energy problems have emerged (Yuan et al., 2011). According to reports, the total amount of global greenhouse gas emissions has been rising year after year, with fossil carbon emissions accounting for a considerable proportion (Zhang et al., 2022). In 2003, the UK's Energy White Paper first put forward the concept of "low-carbon economy," aiming to explore a way of civilized development that does not cost environmental pollution (Wang et al., 2017). Many countries are strengthening national ownership by setting "carbon neutral" targets. For example, the Chinese government has issued a series of important policy documents to improve energy efficiency (Wang et al., 2021). In 2020, it proposed a "two-carbon" goal, guiding all industries to pursue green and low-carbon development (Chen et al., 2016).</w:t>
      </w:r>
    </w:p>
    <w:p w14:paraId="60CBBC58">
      <w:pPr>
        <w:pStyle w:val="3"/>
        <w:spacing w:before="0" w:after="0" w:line="480" w:lineRule="auto"/>
        <w:rPr>
          <w:rFonts w:ascii="Arial" w:hAnsi="Arial" w:eastAsia="Arial Unicode MS" w:cs="Arial"/>
          <w:b w:val="0"/>
          <w:bCs w:val="0"/>
          <w:sz w:val="24"/>
          <w:szCs w:val="24"/>
        </w:rPr>
      </w:pPr>
      <w:r>
        <w:rPr>
          <w:rFonts w:ascii="Arial" w:hAnsi="Arial" w:eastAsia="Arial Unicode MS" w:cs="Arial"/>
          <w:sz w:val="24"/>
          <w:szCs w:val="24"/>
        </w:rPr>
        <w:t>1.2 International cross-border e-commerce enterprises</w:t>
      </w:r>
      <w:bookmarkEnd w:id="2"/>
    </w:p>
    <w:p w14:paraId="24AC3F3B">
      <w:pPr>
        <w:spacing w:line="480" w:lineRule="auto"/>
        <w:rPr>
          <w:rFonts w:ascii="Arial" w:hAnsi="Arial" w:eastAsia="Arial Unicode MS" w:cs="Arial"/>
          <w:color w:val="000000" w:themeColor="text1"/>
          <w:sz w:val="24"/>
          <w:szCs w:val="24"/>
          <w14:textFill>
            <w14:solidFill>
              <w14:schemeClr w14:val="tx1"/>
            </w14:solidFill>
          </w14:textFill>
        </w:rPr>
      </w:pPr>
      <w:r>
        <w:rPr>
          <w:rFonts w:ascii="Arial" w:hAnsi="Arial" w:eastAsia="Arial Unicode MS" w:cs="Arial"/>
          <w:color w:val="000000" w:themeColor="text1"/>
          <w:sz w:val="24"/>
          <w:szCs w:val="24"/>
          <w14:textFill>
            <w14:solidFill>
              <w14:schemeClr w14:val="tx1"/>
            </w14:solidFill>
          </w14:textFill>
        </w:rPr>
        <w:t>Due to the large number of competitors in the field of cross-border e-commerce, the supply and demand sides have greater freedom in the selection process. Enterprises must pay attention to brand image while considering economic benefits (Chen et al., 2023). As consumer awareness of environmental protection rises, cross-border e-commerce enterprises establishing a green brand image and assuming corporate social responsibility is not only a policy requirement but also the key to complying with market trends and enhancing market competitiveness (Wang et al., 2017; Cassia and Magno, 2022). This dual focus reflects teleological perspectives, prioritizing outcomes like environmental sustainability, and deontological obligations to adhere to ethical standards and policies.</w:t>
      </w:r>
    </w:p>
    <w:p w14:paraId="32698DB2">
      <w:pPr>
        <w:pStyle w:val="2"/>
        <w:spacing w:before="0" w:after="0" w:line="480" w:lineRule="auto"/>
        <w:rPr>
          <w:rFonts w:ascii="Arial" w:hAnsi="Arial" w:eastAsia="Arial Unicode MS" w:cs="Arial"/>
          <w:b w:val="0"/>
          <w:bCs w:val="0"/>
          <w:sz w:val="24"/>
          <w:szCs w:val="24"/>
        </w:rPr>
      </w:pPr>
      <w:bookmarkStart w:id="3" w:name="_Toc184591680"/>
      <w:r>
        <w:rPr>
          <w:rFonts w:ascii="Arial" w:hAnsi="Arial" w:eastAsia="Arial Unicode MS" w:cs="Arial"/>
          <w:sz w:val="24"/>
          <w:szCs w:val="24"/>
        </w:rPr>
        <w:t>2. Challenges</w:t>
      </w:r>
      <w:bookmarkEnd w:id="3"/>
      <w:r>
        <w:rPr>
          <w:rFonts w:ascii="Arial" w:hAnsi="Arial" w:eastAsia="Arial Unicode MS" w:cs="Arial"/>
          <w:sz w:val="24"/>
          <w:szCs w:val="24"/>
        </w:rPr>
        <w:t xml:space="preserve"> </w:t>
      </w:r>
    </w:p>
    <w:p w14:paraId="0B4D0A0E">
      <w:pPr>
        <w:pStyle w:val="3"/>
        <w:spacing w:before="0" w:after="0" w:line="480" w:lineRule="auto"/>
        <w:rPr>
          <w:rFonts w:ascii="Arial" w:hAnsi="Arial" w:eastAsia="Arial Unicode MS" w:cs="Arial"/>
          <w:b w:val="0"/>
          <w:bCs w:val="0"/>
          <w:sz w:val="24"/>
          <w:szCs w:val="24"/>
        </w:rPr>
      </w:pPr>
      <w:bookmarkStart w:id="4" w:name="_Toc184591681"/>
      <w:r>
        <w:rPr>
          <w:rFonts w:ascii="Arial" w:hAnsi="Arial" w:eastAsia="Arial Unicode MS" w:cs="Arial"/>
          <w:sz w:val="24"/>
          <w:szCs w:val="24"/>
        </w:rPr>
        <w:t>2.1 Urgent need for low-carbon logistics</w:t>
      </w:r>
      <w:bookmarkEnd w:id="4"/>
    </w:p>
    <w:p w14:paraId="08E6DCA1">
      <w:pPr>
        <w:pStyle w:val="3"/>
        <w:spacing w:before="0" w:after="0" w:line="480" w:lineRule="auto"/>
        <w:rPr>
          <w:rFonts w:hint="eastAsia" w:ascii="Arial" w:hAnsi="Arial" w:eastAsia="Arial Unicode MS" w:cs="Arial"/>
          <w:b w:val="0"/>
          <w:bCs w:val="0"/>
          <w:sz w:val="24"/>
          <w:szCs w:val="24"/>
        </w:rPr>
      </w:pPr>
      <w:bookmarkStart w:id="5" w:name="_Toc184591682"/>
      <w:r>
        <w:rPr>
          <w:rFonts w:hint="eastAsia" w:ascii="Arial" w:hAnsi="Arial" w:eastAsia="Arial Unicode MS" w:cs="Arial"/>
          <w:b w:val="0"/>
          <w:bCs w:val="0"/>
          <w:sz w:val="24"/>
          <w:szCs w:val="24"/>
        </w:rPr>
        <w:t>The logistics industry is a high-carbon industry, which is subject to the low level of technology research and development and application, and the carbon emissions of transportation, warehousing and distribution are high (He et al., 2024). In addition, quite a few countries in the world lack the level of intelligent logistics, and there is a lot of room for development in route planning, unmanned driving and constant temperature. On the one hand, the loss and mismatch of goods will reduce the efficiency of commodity transportation of cross-border e-commerce enterprises, and on the other hand, the proportion of cross-border logistics costs in the total cost of cross-border e-commerce will remain high. The above problems give cross-border e-commerce enterprises a long way to go in terms of low consumption, low emissions and high efficiency required for logistics and transportation and low-carbon economy (He et al., 2024).</w:t>
      </w:r>
    </w:p>
    <w:p w14:paraId="250293A8">
      <w:pPr>
        <w:pStyle w:val="3"/>
        <w:spacing w:before="0" w:after="0" w:line="480" w:lineRule="auto"/>
        <w:rPr>
          <w:rFonts w:hint="eastAsia" w:ascii="Arial" w:hAnsi="Arial" w:eastAsia="Arial Unicode MS" w:cs="Arial"/>
          <w:sz w:val="24"/>
          <w:szCs w:val="24"/>
        </w:rPr>
      </w:pPr>
    </w:p>
    <w:p w14:paraId="185B16FC">
      <w:pPr>
        <w:pStyle w:val="3"/>
        <w:spacing w:before="0" w:after="0" w:line="480" w:lineRule="auto"/>
        <w:rPr>
          <w:rFonts w:ascii="Arial" w:hAnsi="Arial" w:eastAsia="Arial Unicode MS" w:cs="Arial"/>
          <w:b w:val="0"/>
          <w:bCs w:val="0"/>
          <w:sz w:val="24"/>
          <w:szCs w:val="24"/>
        </w:rPr>
      </w:pPr>
      <w:r>
        <w:rPr>
          <w:rFonts w:ascii="Arial" w:hAnsi="Arial" w:eastAsia="Arial Unicode MS" w:cs="Arial"/>
          <w:sz w:val="24"/>
          <w:szCs w:val="24"/>
        </w:rPr>
        <w:t>2.2 Carbon index becomes a trade barrier</w:t>
      </w:r>
      <w:bookmarkEnd w:id="5"/>
    </w:p>
    <w:p w14:paraId="53D02EF4">
      <w:pPr>
        <w:pStyle w:val="3"/>
        <w:spacing w:before="0" w:after="0" w:line="480" w:lineRule="auto"/>
        <w:rPr>
          <w:rFonts w:hint="eastAsia" w:ascii="Arial" w:hAnsi="Arial" w:eastAsia="Arial Unicode MS" w:cs="Arial"/>
          <w:b w:val="0"/>
          <w:bCs w:val="0"/>
          <w:sz w:val="24"/>
          <w:szCs w:val="24"/>
        </w:rPr>
      </w:pPr>
      <w:bookmarkStart w:id="6" w:name="_Toc184591683"/>
      <w:r>
        <w:rPr>
          <w:rFonts w:hint="eastAsia" w:ascii="Arial" w:hAnsi="Arial" w:eastAsia="Arial Unicode MS" w:cs="Arial"/>
          <w:b w:val="0"/>
          <w:bCs w:val="0"/>
          <w:sz w:val="24"/>
          <w:szCs w:val="24"/>
        </w:rPr>
        <w:t>The development of low-carbon economy has made many countries regard carbon emissions generated in the production and export of products or services as standards, forming new trade barriers. In order to make domestic goods more competitive in sales, some countries have adopted carbon tariffs, which also almost increases the cost of cross-border e-commerce enterprises selling goods and creates obstacles to the smooth export of goods. Take the EU's carbon emission reduction policy as an example, the EU's expanded producer responsibility (EPR) policy requires sellers to pay environmental taxes in order to assume the responsibility and obligation to manage the waste generated by the consumption of its products (Li et al., 2024). Amazon has issued a notice requiring electrical and electronic equipment sellers to comply with EPR obligations by the end of 2022 to complete the registration of the Waste Electronic and Electrical Equipment Directive (WEEE) and will be removed from products that do not meet the standards in 2023 (Dong et al., 2023). Under the pressure of policies and regulations, cross-border e-commerce enterprises need to follow up the constantly updated carbon emission reduction rules of various countries in a timely manner, and reasonably balance economic costs and environmental protection responsibilities (Ji and Sun, 2017).</w:t>
      </w:r>
    </w:p>
    <w:p w14:paraId="02ADEFCF">
      <w:pPr>
        <w:pStyle w:val="3"/>
        <w:spacing w:before="0" w:after="0" w:line="480" w:lineRule="auto"/>
        <w:rPr>
          <w:rFonts w:ascii="Arial" w:hAnsi="Arial" w:eastAsia="Arial Unicode MS" w:cs="Arial"/>
          <w:b w:val="0"/>
          <w:bCs w:val="0"/>
          <w:sz w:val="24"/>
          <w:szCs w:val="24"/>
        </w:rPr>
      </w:pPr>
      <w:r>
        <w:rPr>
          <w:rFonts w:ascii="Arial" w:hAnsi="Arial" w:eastAsia="Arial Unicode MS" w:cs="Arial"/>
          <w:sz w:val="24"/>
          <w:szCs w:val="24"/>
        </w:rPr>
        <w:t>2.3 Constraints on supporting services</w:t>
      </w:r>
      <w:bookmarkEnd w:id="6"/>
    </w:p>
    <w:p w14:paraId="2BD8B85C">
      <w:pPr>
        <w:spacing w:line="480" w:lineRule="auto"/>
        <w:rPr>
          <w:rFonts w:ascii="Arial" w:hAnsi="Arial" w:eastAsia="Arial Unicode MS" w:cs="Arial"/>
          <w:sz w:val="24"/>
          <w:szCs w:val="24"/>
        </w:rPr>
      </w:pPr>
      <w:r>
        <w:rPr>
          <w:rFonts w:ascii="Arial" w:hAnsi="Arial" w:eastAsia="Arial Unicode MS" w:cs="Arial"/>
          <w:sz w:val="24"/>
          <w:szCs w:val="24"/>
        </w:rPr>
        <w:t>In order to achieve the goal of low-carbon sustainability, whether cross-border e-commerce enterprises provide services independently or connect with other external institutions or platforms, they need to establish an organic and unified coordination mechanism, integrate various supporting services, establish a comprehensive supporting service system and operate reasonably (Yang et al., 2023).This approach reflects Carroll’s CSR pyramid by addressing legal responsibilities through compliance with policies, ethical responsibilities through sustainable practices, and philanthropic responsibilities by fostering innovation that benefits society.</w:t>
      </w:r>
    </w:p>
    <w:p w14:paraId="032D3590">
      <w:pPr>
        <w:spacing w:line="480" w:lineRule="auto"/>
        <w:ind w:firstLine="480" w:firstLineChars="200"/>
        <w:rPr>
          <w:rFonts w:ascii="Arial" w:hAnsi="Arial" w:eastAsia="Arial Unicode MS" w:cs="Arial"/>
          <w:sz w:val="24"/>
          <w:szCs w:val="24"/>
        </w:rPr>
      </w:pPr>
    </w:p>
    <w:p w14:paraId="1F7DF008">
      <w:pPr>
        <w:pStyle w:val="2"/>
        <w:spacing w:before="0" w:after="0" w:line="480" w:lineRule="auto"/>
        <w:rPr>
          <w:rFonts w:ascii="Arial" w:hAnsi="Arial" w:eastAsia="Arial Unicode MS" w:cs="Arial"/>
          <w:b w:val="0"/>
          <w:bCs w:val="0"/>
          <w:sz w:val="24"/>
          <w:szCs w:val="24"/>
        </w:rPr>
      </w:pPr>
      <w:bookmarkStart w:id="7" w:name="_Toc184591684"/>
      <w:r>
        <w:rPr>
          <w:rFonts w:ascii="Arial" w:hAnsi="Arial" w:eastAsia="Arial Unicode MS" w:cs="Arial"/>
          <w:sz w:val="24"/>
          <w:szCs w:val="24"/>
        </w:rPr>
        <w:t>3. Practice of cross-border e-commerce enterprises: from case observations</w:t>
      </w:r>
      <w:bookmarkEnd w:id="7"/>
    </w:p>
    <w:p w14:paraId="4EF0AE33">
      <w:pPr>
        <w:spacing w:line="480" w:lineRule="auto"/>
        <w:rPr>
          <w:rFonts w:ascii="Arial" w:hAnsi="Arial" w:eastAsia="Arial Unicode MS" w:cs="Arial"/>
          <w:sz w:val="24"/>
          <w:szCs w:val="24"/>
        </w:rPr>
      </w:pPr>
      <w:r>
        <w:rPr>
          <w:rFonts w:ascii="Arial" w:hAnsi="Arial" w:eastAsia="Arial Unicode MS" w:cs="Arial"/>
          <w:sz w:val="24"/>
          <w:szCs w:val="24"/>
        </w:rPr>
        <w:t>In the situation of coexistence of opportunities and challenges, many leading cross-border e-commerce enterprises began to focus on high-end, intelligent, green, Anke innovation is one of them. Under the influence of unfavorable factors such as the new coronavirus epidemic and Amazon's title ban, Anker Innovation still shows good growth resilience, and its independent Brand Anker has ranked among the top 10 of "Brand Z China's overseas brands" for three consecutive years. In terms of corporate sustainable development, Anker Innovation has built its unique layout around environmental protection, social responsibility and corporate governance, carried out in-depth exploration and practice, and was selected as Forbes China ESG Innovative Enterprise in 2023, WAVE Global Leader ESG Enterprise of the Year, and the 13th Annual ESG Pioneer Enterprise Award of the Public Welfare Festival. Its sustainable development strategy has a certain value of discussion. Anker Innovation Technology Co., LTD., founded in 2011, takes smart hardware and smart accessories for consumer electronics as its main products, and sells its products to more than 140 countries and regions around the world through online sales channels such as Amazon, E-Bay, and offline chain stores such as Walmart and BestBuy. It is committed to building a global consumer electronics brand "made in China". At present, Anker Innovation has in-depth layout in many intelligent hardware fields such as charging accessories, headphones and speakers, and the number of users purchased globally has reached 150 million.</w:t>
      </w:r>
    </w:p>
    <w:p w14:paraId="3D6E18EE">
      <w:pPr>
        <w:spacing w:line="480" w:lineRule="auto"/>
        <w:rPr>
          <w:rFonts w:ascii="Arial" w:hAnsi="Arial" w:eastAsia="Arial Unicode MS" w:cs="Arial"/>
          <w:sz w:val="24"/>
          <w:szCs w:val="24"/>
        </w:rPr>
      </w:pPr>
      <w:r>
        <w:rPr>
          <w:rFonts w:ascii="Arial" w:hAnsi="Arial" w:eastAsia="Arial Unicode MS" w:cs="Arial"/>
          <w:sz w:val="24"/>
          <w:szCs w:val="24"/>
        </w:rPr>
        <w:t>In the situation of coexistence of opportunities and challenges, many leading cross-border e-commerce enterprises began to focus on high-end, intelligent, green, Anke innovation is one of them. Under the influence of unfavorable factors such as the new coronavirus epidemic and Amazon's title ban, Anker Innovation still shows good growth resilience, and its independent Brand Anker has ranked among the top 10 of "Brand Z China's overseas brands" for three consecutive years. In terms of corporate sustainable development, Anker Innovation has built its unique layout around environmental protection, social responsibility and corporate governance, carried out in-depth exploration and practice, and was selected as Forbes China ESG Innovative Enterprise in 2023, WAVE Global Leader ESG Enterprise of the Year, and the 13th Annual ESG Pioneer Enterprise Award of the Public Welfare Festival. Its sustainable development strategy has a certain value of discussion.</w:t>
      </w:r>
    </w:p>
    <w:p w14:paraId="62EEA669">
      <w:pPr>
        <w:spacing w:line="480" w:lineRule="auto"/>
        <w:rPr>
          <w:rFonts w:ascii="Arial" w:hAnsi="Arial" w:eastAsia="Arial Unicode MS" w:cs="Arial"/>
          <w:sz w:val="24"/>
          <w:szCs w:val="24"/>
        </w:rPr>
      </w:pPr>
      <w:r>
        <w:rPr>
          <w:rFonts w:ascii="Arial" w:hAnsi="Arial" w:eastAsia="Arial Unicode MS" w:cs="Arial"/>
          <w:sz w:val="24"/>
          <w:szCs w:val="24"/>
        </w:rPr>
        <w:t>Anker Innovation Technology Co., LTD., founded in 2011, takes smart hardware and smart accessories for consumer electronics as its main products, and sells its products to more than 140 countries and regions around the world through online sales channels such as Amazon, E-Bay, and offline chain stores such as Walmart and BestBuy. It is committed to building a global consumer electronics brand "made in China". At present, Anker Innovation has in-depth layout in many intelligent hardware fields such as charging accessories, headphones and speakers, and the number of users purchased globally has reached 150 million.</w:t>
      </w:r>
    </w:p>
    <w:p w14:paraId="1A428A1B">
      <w:pPr>
        <w:pStyle w:val="3"/>
        <w:spacing w:before="0" w:after="0" w:line="480" w:lineRule="auto"/>
        <w:rPr>
          <w:rFonts w:ascii="Arial" w:hAnsi="Arial" w:eastAsia="Arial Unicode MS" w:cs="Arial"/>
          <w:b w:val="0"/>
          <w:bCs w:val="0"/>
          <w:sz w:val="24"/>
          <w:szCs w:val="24"/>
        </w:rPr>
      </w:pPr>
      <w:bookmarkStart w:id="8" w:name="_Toc184591685"/>
      <w:r>
        <w:rPr>
          <w:rFonts w:ascii="Arial" w:hAnsi="Arial" w:eastAsia="Arial Unicode MS" w:cs="Arial"/>
          <w:sz w:val="24"/>
          <w:szCs w:val="24"/>
        </w:rPr>
        <w:t>3.1 Green product strategy</w:t>
      </w:r>
      <w:bookmarkEnd w:id="8"/>
    </w:p>
    <w:p w14:paraId="42A92C40">
      <w:pPr>
        <w:spacing w:line="480" w:lineRule="auto"/>
        <w:rPr>
          <w:rFonts w:ascii="Arial" w:hAnsi="Arial" w:eastAsia="Arial Unicode MS" w:cs="Arial"/>
          <w:color w:val="000000" w:themeColor="text1"/>
          <w:sz w:val="24"/>
          <w:szCs w:val="24"/>
          <w14:textFill>
            <w14:solidFill>
              <w14:schemeClr w14:val="tx1"/>
            </w14:solidFill>
          </w14:textFill>
        </w:rPr>
      </w:pPr>
      <w:r>
        <w:rPr>
          <w:rFonts w:ascii="Arial" w:hAnsi="Arial" w:eastAsia="Arial Unicode MS" w:cs="Arial"/>
          <w:color w:val="000000" w:themeColor="text1"/>
          <w:sz w:val="24"/>
          <w:szCs w:val="24"/>
          <w14:textFill>
            <w14:solidFill>
              <w14:schemeClr w14:val="tx1"/>
            </w14:solidFill>
          </w14:textFill>
        </w:rPr>
        <w:t>Anker innovates precise positioning products and focuses on reliable quality rather than low-price marketing. Green products are a core aspect of Anker’s sustainable development. At the design stage, the company prioritizes minimizing environmental impacts. For instance, its Apple fast charge data cable has a bending life of 35,000 times, significantly surpassing the 5,000 times of ordinary cables.</w:t>
      </w:r>
    </w:p>
    <w:p w14:paraId="6F137853">
      <w:pPr>
        <w:spacing w:line="480" w:lineRule="auto"/>
        <w:rPr>
          <w:rFonts w:ascii="Arial" w:hAnsi="Arial" w:eastAsia="Arial Unicode MS" w:cs="Arial"/>
          <w:color w:val="000000" w:themeColor="text1"/>
          <w:sz w:val="24"/>
          <w:szCs w:val="24"/>
          <w14:textFill>
            <w14:solidFill>
              <w14:schemeClr w14:val="tx1"/>
            </w14:solidFill>
          </w14:textFill>
        </w:rPr>
      </w:pPr>
      <w:r>
        <w:rPr>
          <w:rFonts w:ascii="Arial" w:hAnsi="Arial" w:eastAsia="Arial Unicode MS" w:cs="Arial"/>
          <w:color w:val="000000" w:themeColor="text1"/>
          <w:sz w:val="24"/>
          <w:szCs w:val="24"/>
          <w14:textFill>
            <w14:solidFill>
              <w14:schemeClr w14:val="tx1"/>
            </w14:solidFill>
          </w14:textFill>
        </w:rPr>
        <w:t>Anker calculates the carbon footprint of its products across their life cycles and has issued carbon reduction labels for 91 products through the Carbon Trust in 2023. The company develops environmentally friendly materials, emphasizing renewable, recyclable, lightweight, and degradable options. By optimizing packaging, Anker reduced plastic content from 25% in 2022 to 19% in 2023. Additionally, its "Instruction Manual Paperless" initiative, launched in late 2023, is expected to cut paper usage by 60%, saving approximately 240 tons of materials by 2024.</w:t>
      </w:r>
    </w:p>
    <w:p w14:paraId="5B4CF879">
      <w:pPr>
        <w:spacing w:line="480" w:lineRule="auto"/>
        <w:rPr>
          <w:rFonts w:ascii="Arial" w:hAnsi="Arial" w:eastAsia="Arial Unicode MS" w:cs="Arial"/>
          <w:color w:val="000000" w:themeColor="text1"/>
          <w:sz w:val="24"/>
          <w:szCs w:val="24"/>
          <w14:textFill>
            <w14:solidFill>
              <w14:schemeClr w14:val="tx1"/>
            </w14:solidFill>
          </w14:textFill>
        </w:rPr>
      </w:pPr>
      <w:r>
        <w:rPr>
          <w:rFonts w:ascii="Arial" w:hAnsi="Arial" w:eastAsia="Arial Unicode MS" w:cs="Arial"/>
          <w:color w:val="000000" w:themeColor="text1"/>
          <w:sz w:val="24"/>
          <w:szCs w:val="24"/>
          <w14:textFill>
            <w14:solidFill>
              <w14:schemeClr w14:val="tx1"/>
            </w14:solidFill>
          </w14:textFill>
        </w:rPr>
        <w:t>Additionally, this strategy fulfills Carroll’s CSR pyramid at multiple levels, addressing economic (cost-efficient production), legal (compliance with regulations), and ethical (green design practices) responsibilities.</w:t>
      </w:r>
    </w:p>
    <w:p w14:paraId="183FA6B0">
      <w:pPr>
        <w:spacing w:line="480" w:lineRule="auto"/>
        <w:ind w:firstLine="480" w:firstLineChars="200"/>
        <w:rPr>
          <w:rFonts w:ascii="Arial" w:hAnsi="Arial" w:eastAsia="Arial Unicode MS" w:cs="Arial"/>
          <w:sz w:val="24"/>
          <w:szCs w:val="24"/>
        </w:rPr>
      </w:pPr>
    </w:p>
    <w:p w14:paraId="4AE7888D">
      <w:pPr>
        <w:pStyle w:val="3"/>
        <w:spacing w:before="0" w:after="0" w:line="480" w:lineRule="auto"/>
        <w:rPr>
          <w:rFonts w:ascii="Arial" w:hAnsi="Arial" w:eastAsia="Arial Unicode MS" w:cs="Arial"/>
          <w:b w:val="0"/>
          <w:bCs w:val="0"/>
          <w:sz w:val="24"/>
          <w:szCs w:val="24"/>
        </w:rPr>
      </w:pPr>
      <w:bookmarkStart w:id="9" w:name="_Toc184591686"/>
      <w:r>
        <w:rPr>
          <w:rFonts w:ascii="Arial" w:hAnsi="Arial" w:eastAsia="Arial Unicode MS" w:cs="Arial"/>
          <w:sz w:val="24"/>
          <w:szCs w:val="24"/>
        </w:rPr>
        <w:t>3.2 R&amp;D innovation strategy</w:t>
      </w:r>
      <w:bookmarkEnd w:id="9"/>
    </w:p>
    <w:p w14:paraId="55A6B9BE">
      <w:pPr>
        <w:spacing w:line="480" w:lineRule="auto"/>
        <w:rPr>
          <w:rFonts w:ascii="Arial" w:hAnsi="Arial" w:eastAsia="Arial Unicode MS" w:cs="Arial"/>
          <w:color w:val="000000" w:themeColor="text1"/>
          <w:sz w:val="24"/>
          <w:szCs w:val="24"/>
          <w14:textFill>
            <w14:solidFill>
              <w14:schemeClr w14:val="tx1"/>
            </w14:solidFill>
          </w14:textFill>
        </w:rPr>
      </w:pPr>
      <w:r>
        <w:rPr>
          <w:rFonts w:ascii="Arial" w:hAnsi="Arial" w:eastAsia="Arial Unicode MS" w:cs="Arial"/>
          <w:sz w:val="24"/>
          <w:szCs w:val="24"/>
        </w:rPr>
        <w:t xml:space="preserve">In the process of transforming to a manufacturing enterprise driven by independent research and development, Anker Innovation has always been committed to playing a leading role in the industry, vigorously advocating the green transformation of the industry, and advocating the energy efficiency revolution through technological development. Since its listing, Anker Innovation has continued to invest a high proportion of funds in research and development, which adopts the model of "independent research and development + external production". In the total staff of the enterprise, the proportion of R&amp;D personnel is about 48%. In 2023, Anker Innovation will invest 1.414 billion yuan in research and development. The advantage of this model is that continuous tracking of consumer needs not only fills market gaps through research and innovation, but also allows Anker to pay close attention to the environmental impact of products at the design stage. Its Navitas chips reduce carbon emissions by 30% in the manufacturing process. While saving energy and reducing emissions, Anker innovation also actively contributes to the popularization of clean energy. It starts with the use scenario of consumer products and launches photovoltaic systems. Each system can provide up to 892 KWH of green electricity per year, reduce carbon emissions by up to 899 kg, and have a service life of up to 30 years. </w:t>
      </w:r>
      <w:r>
        <w:rPr>
          <w:rFonts w:ascii="Arial" w:hAnsi="Arial" w:eastAsia="Arial Unicode MS" w:cs="Arial"/>
          <w:color w:val="000000" w:themeColor="text1"/>
          <w:sz w:val="24"/>
          <w:szCs w:val="24"/>
          <w14:textFill>
            <w14:solidFill>
              <w14:schemeClr w14:val="tx1"/>
            </w14:solidFill>
          </w14:textFill>
        </w:rPr>
        <w:t>By promoting energy efficiency and launching photovoltaic systems, the company adheres to teleological ethics, ensuring that its innovations contribute to long-term environmental goals. Friedman’s shareholder theory is also evident, as these innovations reduce costs and increase competitiveness, directly benefiting shareholders. Meanwhile, deontology underscores the ethical duty to advance green technologies and advocate for clean energy</w:t>
      </w:r>
    </w:p>
    <w:p w14:paraId="37A17F79">
      <w:pPr>
        <w:spacing w:line="480" w:lineRule="auto"/>
        <w:ind w:firstLine="480" w:firstLineChars="200"/>
        <w:rPr>
          <w:rFonts w:ascii="Arial" w:hAnsi="Arial" w:eastAsia="Arial Unicode MS" w:cs="Arial"/>
          <w:sz w:val="24"/>
          <w:szCs w:val="24"/>
        </w:rPr>
      </w:pPr>
    </w:p>
    <w:p w14:paraId="37F538D5">
      <w:pPr>
        <w:pStyle w:val="3"/>
        <w:spacing w:before="0" w:after="0" w:line="480" w:lineRule="auto"/>
        <w:rPr>
          <w:rFonts w:ascii="Arial" w:hAnsi="Arial" w:eastAsia="Arial Unicode MS" w:cs="Arial"/>
          <w:b w:val="0"/>
          <w:bCs w:val="0"/>
          <w:sz w:val="24"/>
          <w:szCs w:val="24"/>
        </w:rPr>
      </w:pPr>
      <w:bookmarkStart w:id="10" w:name="_Toc184591687"/>
      <w:r>
        <w:rPr>
          <w:rFonts w:ascii="Arial" w:hAnsi="Arial" w:eastAsia="Arial Unicode MS" w:cs="Arial"/>
          <w:sz w:val="24"/>
          <w:szCs w:val="24"/>
        </w:rPr>
        <w:t>3.3 Efficient logistics strategy</w:t>
      </w:r>
      <w:bookmarkEnd w:id="10"/>
    </w:p>
    <w:p w14:paraId="55920D2F">
      <w:pPr>
        <w:spacing w:line="480" w:lineRule="auto"/>
        <w:rPr>
          <w:rFonts w:ascii="Arial" w:hAnsi="Arial" w:eastAsia="Arial Unicode MS" w:cs="Arial"/>
          <w:sz w:val="24"/>
          <w:szCs w:val="24"/>
        </w:rPr>
      </w:pPr>
      <w:r>
        <w:rPr>
          <w:rFonts w:ascii="Arial" w:hAnsi="Arial" w:eastAsia="Arial Unicode MS" w:cs="Arial"/>
          <w:sz w:val="24"/>
          <w:szCs w:val="24"/>
        </w:rPr>
        <w:t>In order to achieve the greening of the logistics operation process, reduce the consumption of resources and environmental pollution, improve logistics efficiency, and reduce the loss and backlog of goods have become a topic that cross-border e-commerce enterprises are difficult to skip. Anker's innovative logistics strategy is to transport products from the country to Amazon's warehouse, using Amazon FBA logistics services to ensure that goods are quickly sent to customers. Anker innovation avoids personnel redundancy in the logistics system as much as possible, and greatly reduces logistics costs while ensuring the smooth completion of logistics work. In addition, Anker Innovation has also set up its own overseas warehouses in some of its major markets, and selects qualified companies as its logistics providers to store and distribute goods efficiently by reviewing the sustainability and business capabilities of third-party distribution companies. At the same time, Anker innovation is reducing its dependence on Amazon FBA year by year and increasing the inventory proportion of self-built warehouses. The self-established overseas warehouse provides convenient conditions for Anker innovation's localization services in the target market, and also significantly reduces costs and increases efficiency for the development of business. In addition to the role of bringing business benefits, the nearby distribution of goods reduces many external risks, accelerates the flow of goods, avoids inventory overstocking, and also has a positive significance in avoiding resource loss and waste.</w:t>
      </w:r>
    </w:p>
    <w:p w14:paraId="5F109AB1">
      <w:pPr>
        <w:pStyle w:val="3"/>
        <w:spacing w:before="0" w:after="0" w:line="480" w:lineRule="auto"/>
        <w:rPr>
          <w:rFonts w:ascii="Arial" w:hAnsi="Arial" w:eastAsia="Arial Unicode MS" w:cs="Arial"/>
          <w:b w:val="0"/>
          <w:bCs w:val="0"/>
          <w:sz w:val="24"/>
          <w:szCs w:val="24"/>
        </w:rPr>
      </w:pPr>
      <w:bookmarkStart w:id="11" w:name="_Toc184591688"/>
      <w:r>
        <w:rPr>
          <w:rFonts w:ascii="Arial" w:hAnsi="Arial" w:eastAsia="Arial Unicode MS" w:cs="Arial"/>
          <w:sz w:val="24"/>
          <w:szCs w:val="24"/>
        </w:rPr>
        <w:t>3.4 Digital Intelligent Upgrade Policy</w:t>
      </w:r>
      <w:bookmarkEnd w:id="11"/>
    </w:p>
    <w:p w14:paraId="4FE50A90">
      <w:pPr>
        <w:spacing w:line="480" w:lineRule="auto"/>
        <w:rPr>
          <w:rFonts w:ascii="Arial" w:hAnsi="Arial" w:eastAsia="Arial Unicode MS" w:cs="Arial"/>
          <w:color w:val="000000" w:themeColor="text1"/>
          <w:sz w:val="24"/>
          <w:szCs w:val="24"/>
          <w14:textFill>
            <w14:solidFill>
              <w14:schemeClr w14:val="tx1"/>
            </w14:solidFill>
          </w14:textFill>
        </w:rPr>
      </w:pPr>
      <w:r>
        <w:rPr>
          <w:rFonts w:ascii="Arial" w:hAnsi="Arial" w:eastAsia="Arial Unicode MS" w:cs="Arial"/>
          <w:sz w:val="24"/>
          <w:szCs w:val="24"/>
        </w:rPr>
        <w:t xml:space="preserve">Intelligent data and technology are key elements for cross-border e-commerce enterprises to closely connect with the market and consumers. Anker Innovation has always attached importance to the research and development of digital technology and scene application, accelerated the process of digital and intelligent upgrading with the tide of The Times, and helped the low-carbon development with digital transformation. In addition to the application of machine learning, voice recognition and other technologies in product development, Anker innovation uses a large number of database products to build a powerful data analysis system, so that the system of each department is interconnected, and the cross-domain automatic collection of data effectively improves business efficiency. In addition, Anker Innovation also integrates core operating indicators such as market share, click-through rate, repeat purchase rate, turnover rate and cost per order into the plan and control through detailed data-based operation management, so as to continuously optimize single product operation [6]. Under the accelerating pace of digital intelligent transformation and upgrading, the revenue of Anke innovation has climbed rapidly, soaring from 5.232 billion yuan in 2018 to 17.507 billion yuan in 2023, according to the financial report, the company's revenue of Anke Innovation in 2023 increased by 22.85%, and the net profit growth rate reached 41.22%.The company’s integration of data-driven systems and AI technologies ensures enhanced operational capabilities, meeting shareholder expectations as per Friedman’s theory. </w:t>
      </w:r>
      <w:r>
        <w:rPr>
          <w:rFonts w:ascii="Arial" w:hAnsi="Arial" w:eastAsia="Arial Unicode MS" w:cs="Arial"/>
          <w:color w:val="000000" w:themeColor="text1"/>
          <w:sz w:val="24"/>
          <w:szCs w:val="24"/>
          <w14:textFill>
            <w14:solidFill>
              <w14:schemeClr w14:val="tx1"/>
            </w14:solidFill>
          </w14:textFill>
        </w:rPr>
        <w:t>Moreover, these advancements highlight Carroll’s ethical and philanthropic responsibilities by driving industry-wide innovation and contributing to global sustainability</w:t>
      </w:r>
    </w:p>
    <w:p w14:paraId="39D7F766">
      <w:pPr>
        <w:spacing w:line="480" w:lineRule="auto"/>
        <w:ind w:firstLine="480" w:firstLineChars="200"/>
        <w:rPr>
          <w:rFonts w:ascii="Arial" w:hAnsi="Arial" w:eastAsia="Arial Unicode MS" w:cs="Arial"/>
          <w:sz w:val="24"/>
          <w:szCs w:val="24"/>
        </w:rPr>
      </w:pPr>
    </w:p>
    <w:p w14:paraId="493102AD">
      <w:pPr>
        <w:pStyle w:val="2"/>
        <w:spacing w:before="0" w:after="0" w:line="480" w:lineRule="auto"/>
        <w:rPr>
          <w:rFonts w:ascii="Arial" w:hAnsi="Arial" w:eastAsia="Arial Unicode MS" w:cs="Arial"/>
          <w:b w:val="0"/>
          <w:bCs w:val="0"/>
          <w:sz w:val="24"/>
          <w:szCs w:val="24"/>
        </w:rPr>
      </w:pPr>
      <w:bookmarkStart w:id="12" w:name="_Toc184591689"/>
      <w:r>
        <w:rPr>
          <w:rFonts w:ascii="Arial" w:hAnsi="Arial" w:eastAsia="Arial Unicode MS" w:cs="Arial"/>
          <w:sz w:val="24"/>
          <w:szCs w:val="24"/>
        </w:rPr>
        <w:t>4. Strategy construction</w:t>
      </w:r>
      <w:bookmarkEnd w:id="12"/>
    </w:p>
    <w:p w14:paraId="784095BD">
      <w:pPr>
        <w:pStyle w:val="3"/>
        <w:spacing w:before="0" w:after="0" w:line="480" w:lineRule="auto"/>
        <w:rPr>
          <w:rFonts w:ascii="Arial" w:hAnsi="Arial" w:eastAsia="Arial Unicode MS" w:cs="Arial"/>
          <w:b w:val="0"/>
          <w:bCs w:val="0"/>
          <w:sz w:val="24"/>
          <w:szCs w:val="24"/>
        </w:rPr>
      </w:pPr>
      <w:bookmarkStart w:id="13" w:name="_Toc184591690"/>
      <w:r>
        <w:rPr>
          <w:rFonts w:ascii="Arial" w:hAnsi="Arial" w:eastAsia="Arial Unicode MS" w:cs="Arial"/>
          <w:sz w:val="24"/>
          <w:szCs w:val="24"/>
        </w:rPr>
        <w:t>4.1 Attach importance to the environmental protection and safety of products</w:t>
      </w:r>
      <w:bookmarkEnd w:id="13"/>
    </w:p>
    <w:p w14:paraId="63E961F5">
      <w:pPr>
        <w:pStyle w:val="3"/>
        <w:spacing w:before="0" w:after="0" w:line="480" w:lineRule="auto"/>
        <w:rPr>
          <w:rFonts w:hint="eastAsia" w:ascii="Arial" w:hAnsi="Arial" w:eastAsia="Arial Unicode MS" w:cs="Arial"/>
          <w:sz w:val="24"/>
          <w:szCs w:val="24"/>
        </w:rPr>
      </w:pPr>
      <w:bookmarkStart w:id="14" w:name="_Toc184591691"/>
      <w:r>
        <w:rPr>
          <w:rFonts w:hint="eastAsia" w:ascii="Arial" w:hAnsi="Arial" w:eastAsia="Arial Unicode MS" w:cs="Arial"/>
          <w:sz w:val="24"/>
          <w:szCs w:val="24"/>
        </w:rPr>
        <w:t>With the continuous development of the low-carbon economy, green products will dominate the industrial market in the future (Sadik et al., 2004). Therefore, when designing and producing products, cross-border e-commerce enterprises must pay attention to environmental protection and safety, take environmental protection investment as part of enterprise costs, and strive to reduce waste generation and improve resource utilization (Mancini et al., 2017). In the product design stage, the enterprise's product design scheme should consider four aspects: material selection, low-carbon design, easy-to-disassemble design and recyclable design. In the production process, enterprises should also strictly control the content of toxic and harmful chemicals in products, and reduce carbon emissions generated in the process of product processing, transportation and export as much as possible (Hao et al., 2019). At the same time, cross-border e-commerce enterprises can also cooperate with relevant service platforms to establish a carbon footprint management system to scientifically quantify the carbon emissions of products and reduce the cost of low-carbon transformation in a targeted manner (Hao et al., 2019). This will help enterprises break through green barriers and open up a wider market.</w:t>
      </w:r>
    </w:p>
    <w:p w14:paraId="5E15C269">
      <w:pPr>
        <w:pStyle w:val="3"/>
        <w:spacing w:before="0" w:after="0" w:line="480" w:lineRule="auto"/>
        <w:rPr>
          <w:rFonts w:ascii="Arial" w:hAnsi="Arial" w:eastAsia="Arial Unicode MS" w:cs="Arial"/>
          <w:b w:val="0"/>
          <w:bCs w:val="0"/>
          <w:sz w:val="24"/>
          <w:szCs w:val="24"/>
        </w:rPr>
      </w:pPr>
      <w:r>
        <w:rPr>
          <w:rFonts w:ascii="Arial" w:hAnsi="Arial" w:eastAsia="Arial Unicode MS" w:cs="Arial"/>
          <w:sz w:val="24"/>
          <w:szCs w:val="24"/>
        </w:rPr>
        <w:t>4.2 Strengthen low-carbon technology innovation and personnel training</w:t>
      </w:r>
      <w:bookmarkEnd w:id="14"/>
    </w:p>
    <w:p w14:paraId="6C1844F1">
      <w:pPr>
        <w:spacing w:line="480" w:lineRule="auto"/>
        <w:rPr>
          <w:rFonts w:ascii="Arial" w:hAnsi="Arial" w:eastAsia="Arial Unicode MS" w:cs="Arial"/>
          <w:sz w:val="24"/>
          <w:szCs w:val="24"/>
        </w:rPr>
      </w:pPr>
      <w:r>
        <w:rPr>
          <w:rFonts w:ascii="Arial" w:hAnsi="Arial" w:eastAsia="Arial Unicode MS" w:cs="Arial"/>
          <w:sz w:val="24"/>
          <w:szCs w:val="24"/>
        </w:rPr>
        <w:t xml:space="preserve">Any cross-border e-commerce company wants to establish itself in the market for a long time, technology is the most important element (Lai et al., 2017). The investment of cross-border e-commerce enterprises in low-carbon technology innovation is not only a requirement of corporate social responsibility, but also an effective way for enterprises to improve business efficiency and win in market competition. Enterprises should actively upgrade and transform equipment, optimize process flow, and promote the development of clean production technology and green chemical process (Zhu and Lee, 2022). The improvement of the existing technology level, the development of new technologies, the use of clean energy, etc., will help enterprises in product design, manufacturing and other aspects of energy saving and efficiency, carbon reduction and emission reduction (Li et al., 2021). </w:t>
      </w:r>
      <w:bookmarkStart w:id="15" w:name="_Toc184591692"/>
    </w:p>
    <w:p w14:paraId="1054FAB0">
      <w:pPr>
        <w:spacing w:line="480" w:lineRule="auto"/>
        <w:rPr>
          <w:rFonts w:ascii="Arial" w:hAnsi="Arial" w:eastAsia="Arial Unicode MS" w:cs="Arial"/>
          <w:sz w:val="24"/>
          <w:szCs w:val="24"/>
        </w:rPr>
      </w:pPr>
    </w:p>
    <w:p w14:paraId="349F7E12">
      <w:pPr>
        <w:spacing w:line="480" w:lineRule="auto"/>
        <w:rPr>
          <w:rFonts w:ascii="Arial" w:hAnsi="Arial" w:eastAsia="Arial Unicode MS" w:cs="Arial"/>
          <w:sz w:val="24"/>
          <w:szCs w:val="24"/>
        </w:rPr>
      </w:pPr>
      <w:r>
        <w:rPr>
          <w:rFonts w:ascii="Arial" w:hAnsi="Arial" w:eastAsia="Arial Unicode MS" w:cs="Arial"/>
          <w:sz w:val="24"/>
          <w:szCs w:val="24"/>
        </w:rPr>
        <w:t>4.3 Build a green logistics system</w:t>
      </w:r>
      <w:bookmarkEnd w:id="15"/>
      <w:bookmarkStart w:id="16" w:name="_Toc184591693"/>
    </w:p>
    <w:p w14:paraId="78EF5FB4">
      <w:pPr>
        <w:spacing w:line="480" w:lineRule="auto"/>
        <w:rPr>
          <w:rFonts w:hint="eastAsia" w:ascii="Arial" w:hAnsi="Arial" w:eastAsia="Arial Unicode MS" w:cs="Arial"/>
          <w:b w:val="0"/>
          <w:bCs w:val="0"/>
          <w:sz w:val="24"/>
          <w:szCs w:val="24"/>
        </w:rPr>
      </w:pPr>
      <w:bookmarkStart w:id="18" w:name="_GoBack"/>
      <w:bookmarkEnd w:id="18"/>
      <w:r>
        <w:rPr>
          <w:rFonts w:hint="eastAsia" w:ascii="Arial" w:hAnsi="Arial" w:eastAsia="Arial Unicode MS" w:cs="Arial"/>
          <w:b w:val="0"/>
          <w:bCs w:val="0"/>
          <w:sz w:val="24"/>
          <w:szCs w:val="24"/>
        </w:rPr>
        <w:t>Cross-border e-commerce enterprises should actively respond to the call of low-carbon logistics, innovate logistics management mechanisms, rationally use data technology to integrate geographical information, establish a close and fast green logistics network, and improve the requirements for the quality delivery of goods and services (Dzwigo et al., 2021; Wang et al., 20 20 years; Kwak and others, 2020). In addition to the one-stop service of the platform, cross-border multi-party cooperation with advanced logistics companies is also an effective way. Enterprises can use the automation and intelligent operation and distribution technology of logistics suppliers to achieve efficient, high-quality, low-cost and low-pollution cargo distribution.</w:t>
      </w:r>
    </w:p>
    <w:p w14:paraId="0E865C35">
      <w:pPr>
        <w:pStyle w:val="3"/>
        <w:spacing w:before="0" w:after="0" w:line="480" w:lineRule="auto"/>
        <w:rPr>
          <w:rFonts w:ascii="Arial" w:hAnsi="Arial" w:eastAsia="Arial Unicode MS" w:cs="Arial"/>
          <w:b w:val="0"/>
          <w:bCs w:val="0"/>
          <w:sz w:val="24"/>
          <w:szCs w:val="24"/>
        </w:rPr>
      </w:pPr>
      <w:r>
        <w:rPr>
          <w:rFonts w:ascii="Arial" w:hAnsi="Arial" w:eastAsia="Arial Unicode MS" w:cs="Arial"/>
          <w:sz w:val="24"/>
          <w:szCs w:val="24"/>
        </w:rPr>
        <w:t>4.4 Promote digital transformation of enterprises</w:t>
      </w:r>
      <w:bookmarkEnd w:id="16"/>
    </w:p>
    <w:p w14:paraId="538C1E24">
      <w:pPr>
        <w:spacing w:line="480" w:lineRule="auto"/>
        <w:rPr>
          <w:rFonts w:ascii="Arial" w:hAnsi="Arial" w:eastAsia="Arial Unicode MS" w:cs="Arial"/>
          <w:sz w:val="24"/>
          <w:szCs w:val="24"/>
        </w:rPr>
      </w:pPr>
      <w:r>
        <w:rPr>
          <w:rFonts w:ascii="Arial" w:hAnsi="Arial" w:eastAsia="Arial Unicode MS" w:cs="Arial"/>
          <w:sz w:val="24"/>
          <w:szCs w:val="24"/>
        </w:rPr>
        <w:t>New resources such as data and algorithms are powering economic growth and determining new directions for businesses to compete in the future. Under the background of low-carbon economy, digital popularization is an irreversible trend (Zaoui and Souissi, 2020). Cross-border e-commerce enterprises absorb the advantages of digital development, and explore new management models and operation models while improving existing products, which can not only improve revenue capacity, but also contribute to the rapid development of enterprises (Kraus et al., 2021). The future international competition is digital competition, through digital technology to complete consumer personalized demand and user feedback data capture, will enable cross-border e-commerce enterprises to more accurately grasp the market preferences, effectively improve consumer brand loyalty. Digital enterprise management and brand operation are more conducive to improving the operation efficiency of enterprises and helping to improve the industrial value chain (Matt et al., 2015).</w:t>
      </w:r>
    </w:p>
    <w:p w14:paraId="39AAE200">
      <w:pPr>
        <w:spacing w:line="480" w:lineRule="auto"/>
        <w:outlineLvl w:val="0"/>
        <w:rPr>
          <w:rFonts w:ascii="Arial" w:hAnsi="Arial" w:eastAsia="Arial Unicode MS" w:cs="Arial"/>
          <w:b/>
          <w:bCs/>
          <w:sz w:val="24"/>
          <w:szCs w:val="24"/>
        </w:rPr>
      </w:pPr>
      <w:bookmarkStart w:id="17" w:name="_Toc184591694"/>
      <w:r>
        <w:rPr>
          <w:rFonts w:ascii="Arial" w:hAnsi="Arial" w:eastAsia="Arial Unicode MS" w:cs="Arial"/>
          <w:b/>
          <w:bCs/>
          <w:sz w:val="24"/>
          <w:szCs w:val="24"/>
        </w:rPr>
        <w:t>5.Conclusions</w:t>
      </w:r>
      <w:bookmarkEnd w:id="17"/>
    </w:p>
    <w:p w14:paraId="4685808D">
      <w:pPr>
        <w:widowControl/>
        <w:spacing w:line="480" w:lineRule="auto"/>
        <w:rPr>
          <w:rFonts w:ascii="Arial" w:hAnsi="Arial" w:eastAsia="Arial Unicode MS" w:cs="Arial"/>
          <w:sz w:val="24"/>
          <w:szCs w:val="24"/>
        </w:rPr>
      </w:pPr>
      <w:r>
        <w:rPr>
          <w:rFonts w:ascii="Arial" w:hAnsi="Arial" w:eastAsia="Arial Unicode MS" w:cs="Arial"/>
          <w:sz w:val="24"/>
          <w:szCs w:val="24"/>
        </w:rPr>
        <w:t>This paper integrates teleological and deontological ethics, Friedman’s shareholder theory, and Carroll’s CSR pyramid into the analysis of sustainable strategies for cross-border e-commerce enterprises. By focusing on green products, R&amp;D innovation, efficient logistics, and digital transformation, companies like Anker Innovation demonstrate how aligning ethical principles with business goals can drive low-carbon development and long-term competitiveness.</w:t>
      </w:r>
    </w:p>
    <w:p w14:paraId="628C8DE0">
      <w:pPr>
        <w:widowControl/>
        <w:spacing w:line="480" w:lineRule="auto"/>
        <w:rPr>
          <w:rFonts w:ascii="Arial" w:hAnsi="Arial" w:eastAsia="Arial Unicode MS" w:cs="Arial"/>
          <w:sz w:val="24"/>
          <w:szCs w:val="24"/>
        </w:rPr>
      </w:pPr>
      <w:r>
        <w:rPr>
          <w:rFonts w:ascii="Arial" w:hAnsi="Arial" w:eastAsia="Arial Unicode MS" w:cs="Arial"/>
          <w:sz w:val="24"/>
          <w:szCs w:val="24"/>
        </w:rPr>
        <w:br w:type="page"/>
      </w:r>
    </w:p>
    <w:p w14:paraId="06F3B6CA">
      <w:pPr>
        <w:spacing w:line="480" w:lineRule="auto"/>
        <w:ind w:firstLine="480" w:firstLineChars="200"/>
        <w:rPr>
          <w:rFonts w:ascii="Arial" w:hAnsi="Arial" w:eastAsia="Arial Unicode MS" w:cs="Arial"/>
          <w:sz w:val="24"/>
          <w:szCs w:val="24"/>
        </w:rPr>
      </w:pPr>
    </w:p>
    <w:p w14:paraId="031CBC92">
      <w:pPr>
        <w:spacing w:line="480" w:lineRule="auto"/>
        <w:outlineLvl w:val="0"/>
        <w:rPr>
          <w:rFonts w:ascii="Arial" w:hAnsi="Arial" w:eastAsia="Arial Unicode MS" w:cs="Arial"/>
          <w:b/>
          <w:bCs/>
          <w:sz w:val="24"/>
          <w:szCs w:val="24"/>
        </w:rPr>
      </w:pPr>
      <w:r>
        <w:rPr>
          <w:rFonts w:ascii="Arial" w:hAnsi="Arial" w:eastAsia="Arial Unicode MS" w:cs="Arial"/>
          <w:b/>
          <w:bCs/>
          <w:sz w:val="24"/>
          <w:szCs w:val="24"/>
        </w:rPr>
        <w:t>Reference</w:t>
      </w:r>
    </w:p>
    <w:p w14:paraId="7D6D9427">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Cassia, F., and Magno, F. (2022). 'Cross-border e-commerce as a foreign market entry mode among SMEs: the relationship between export capabilities and performance', </w:t>
      </w:r>
      <w:r>
        <w:rPr>
          <w:rFonts w:ascii="Arial" w:hAnsi="Arial" w:eastAsia="Arial Unicode MS" w:cs="Arial"/>
          <w:i/>
          <w:iCs/>
          <w:sz w:val="24"/>
          <w:szCs w:val="24"/>
        </w:rPr>
        <w:t>Review of International Business and Strategy</w:t>
      </w:r>
      <w:r>
        <w:rPr>
          <w:rFonts w:ascii="Arial" w:hAnsi="Arial" w:eastAsia="Arial Unicode MS" w:cs="Arial"/>
          <w:sz w:val="24"/>
          <w:szCs w:val="24"/>
        </w:rPr>
        <w:t>, 32(2), pp. 267-283.</w:t>
      </w:r>
    </w:p>
    <w:p w14:paraId="6FD9A55C">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Chen, W. H., Lin, Y. C., Bag, A., and Chen, C. L. (2023). 'Influence factors of small and medium-sized enterprises and micro-enterprises in the cross-border e-commerce platforms', </w:t>
      </w:r>
      <w:r>
        <w:rPr>
          <w:rFonts w:ascii="Arial" w:hAnsi="Arial" w:eastAsia="Arial Unicode MS" w:cs="Arial"/>
          <w:i/>
          <w:iCs/>
          <w:sz w:val="24"/>
          <w:szCs w:val="24"/>
        </w:rPr>
        <w:t>Journal of Theoretical and Applied Electronic Commerce Research</w:t>
      </w:r>
      <w:r>
        <w:rPr>
          <w:rFonts w:ascii="Arial" w:hAnsi="Arial" w:eastAsia="Arial Unicode MS" w:cs="Arial"/>
          <w:sz w:val="24"/>
          <w:szCs w:val="24"/>
        </w:rPr>
        <w:t>, 18(1), pp. 416-440.</w:t>
      </w:r>
    </w:p>
    <w:p w14:paraId="0BA9AABE">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Chen, W., Yin, X., and Zhang, H. (2016). 'Towards low carbon development in China: a comparison of national and global models', </w:t>
      </w:r>
      <w:r>
        <w:rPr>
          <w:rFonts w:ascii="Arial" w:hAnsi="Arial" w:eastAsia="Arial Unicode MS" w:cs="Arial"/>
          <w:i/>
          <w:iCs/>
          <w:sz w:val="24"/>
          <w:szCs w:val="24"/>
        </w:rPr>
        <w:t>Climatic Change</w:t>
      </w:r>
      <w:r>
        <w:rPr>
          <w:rFonts w:ascii="Arial" w:hAnsi="Arial" w:eastAsia="Arial Unicode MS" w:cs="Arial"/>
          <w:sz w:val="24"/>
          <w:szCs w:val="24"/>
        </w:rPr>
        <w:t>, 136, pp. 95-108.</w:t>
      </w:r>
    </w:p>
    <w:p w14:paraId="0707F94B">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Dong, K., Yang, S., and Wang, J. (2023). 'How digital economy lead to low-carbon development in China? The case of e-commerce city pilot reform', </w:t>
      </w:r>
      <w:r>
        <w:rPr>
          <w:rFonts w:ascii="Arial" w:hAnsi="Arial" w:eastAsia="Arial Unicode MS" w:cs="Arial"/>
          <w:i/>
          <w:iCs/>
          <w:sz w:val="24"/>
          <w:szCs w:val="24"/>
        </w:rPr>
        <w:t>Journal of Cleaner Production</w:t>
      </w:r>
      <w:r>
        <w:rPr>
          <w:rFonts w:ascii="Arial" w:hAnsi="Arial" w:eastAsia="Arial Unicode MS" w:cs="Arial"/>
          <w:sz w:val="24"/>
          <w:szCs w:val="24"/>
        </w:rPr>
        <w:t>, 391, 136177.</w:t>
      </w:r>
    </w:p>
    <w:p w14:paraId="57F3638C">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Dzwigol, H., Trushkina, N., and Kwilinski, A. (2021). 'The organizational and economic mechanism of implementing the concept of green logistics'. (No publication details provided)</w:t>
      </w:r>
    </w:p>
    <w:p w14:paraId="2F3EDFA1">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Hao, Y., Liu, H., Chen, H., Sha, Y., Ji, H., and Fan, J. (2019). 'What affect consumers’ willingness to pay for green packaging? Evidence from China', </w:t>
      </w:r>
      <w:r>
        <w:rPr>
          <w:rFonts w:ascii="Arial" w:hAnsi="Arial" w:eastAsia="Arial Unicode MS" w:cs="Arial"/>
          <w:i/>
          <w:iCs/>
          <w:sz w:val="24"/>
          <w:szCs w:val="24"/>
        </w:rPr>
        <w:t>Resources, Conservation and Recycling</w:t>
      </w:r>
      <w:r>
        <w:rPr>
          <w:rFonts w:ascii="Arial" w:hAnsi="Arial" w:eastAsia="Arial Unicode MS" w:cs="Arial"/>
          <w:sz w:val="24"/>
          <w:szCs w:val="24"/>
        </w:rPr>
        <w:t>, 141, pp. 21-29.</w:t>
      </w:r>
    </w:p>
    <w:p w14:paraId="1A16014D">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He, Y., Wang, Z., Liu, S., and Du, X. (2024). 'Construction and implementation of cross-border e-commerce supply chain system under the background of green and low-carbon', </w:t>
      </w:r>
      <w:r>
        <w:rPr>
          <w:rFonts w:ascii="Arial" w:hAnsi="Arial" w:eastAsia="Arial Unicode MS" w:cs="Arial"/>
          <w:i/>
          <w:iCs/>
          <w:sz w:val="24"/>
          <w:szCs w:val="24"/>
        </w:rPr>
        <w:t>Journal of Internet and Digital Economics</w:t>
      </w:r>
      <w:r>
        <w:rPr>
          <w:rFonts w:ascii="Arial" w:hAnsi="Arial" w:eastAsia="Arial Unicode MS" w:cs="Arial"/>
          <w:sz w:val="24"/>
          <w:szCs w:val="24"/>
        </w:rPr>
        <w:t>, 4(1), pp. 1-11.</w:t>
      </w:r>
    </w:p>
    <w:p w14:paraId="593CAA55">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Ji, S., and Sun, Q. (2017). 'Low-carbon planning and design in B&amp;R logistics service: a case study of an e-commerce big data platform in China', </w:t>
      </w:r>
      <w:r>
        <w:rPr>
          <w:rFonts w:ascii="Arial" w:hAnsi="Arial" w:eastAsia="Arial Unicode MS" w:cs="Arial"/>
          <w:i/>
          <w:iCs/>
          <w:sz w:val="24"/>
          <w:szCs w:val="24"/>
        </w:rPr>
        <w:t>Sustainability</w:t>
      </w:r>
      <w:r>
        <w:rPr>
          <w:rFonts w:ascii="Arial" w:hAnsi="Arial" w:eastAsia="Arial Unicode MS" w:cs="Arial"/>
          <w:sz w:val="24"/>
          <w:szCs w:val="24"/>
        </w:rPr>
        <w:t>, 9(11), 2052.</w:t>
      </w:r>
    </w:p>
    <w:p w14:paraId="075F6409">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Kraus, S., Jones, P., Kailer, N., Weinmann, A., Chaparro-Banegas, N., and Roig-Tierno, N. (2021). 'Digital transformation: An overview of the current state of the art of research', </w:t>
      </w:r>
      <w:r>
        <w:rPr>
          <w:rFonts w:ascii="Arial" w:hAnsi="Arial" w:eastAsia="Arial Unicode MS" w:cs="Arial"/>
          <w:i/>
          <w:iCs/>
          <w:sz w:val="24"/>
          <w:szCs w:val="24"/>
        </w:rPr>
        <w:t>Sage Open</w:t>
      </w:r>
      <w:r>
        <w:rPr>
          <w:rFonts w:ascii="Arial" w:hAnsi="Arial" w:eastAsia="Arial Unicode MS" w:cs="Arial"/>
          <w:sz w:val="24"/>
          <w:szCs w:val="24"/>
        </w:rPr>
        <w:t>, 11(3), 21582440211047576.</w:t>
      </w:r>
    </w:p>
    <w:p w14:paraId="718D68FC">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Kwak, S. Y., Cho, W. S., Seok, G. A., and Yoo, S. G. (2020). 'Intention to use sustainable green logistics platforms', </w:t>
      </w:r>
      <w:r>
        <w:rPr>
          <w:rFonts w:ascii="Arial" w:hAnsi="Arial" w:eastAsia="Arial Unicode MS" w:cs="Arial"/>
          <w:i/>
          <w:iCs/>
          <w:sz w:val="24"/>
          <w:szCs w:val="24"/>
        </w:rPr>
        <w:t>Sustainability</w:t>
      </w:r>
      <w:r>
        <w:rPr>
          <w:rFonts w:ascii="Arial" w:hAnsi="Arial" w:eastAsia="Arial Unicode MS" w:cs="Arial"/>
          <w:sz w:val="24"/>
          <w:szCs w:val="24"/>
        </w:rPr>
        <w:t>, 12(8), 3502.</w:t>
      </w:r>
    </w:p>
    <w:p w14:paraId="590182D5">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Lai, X., Liu, J., Shi, Q., Georgiev, G., and Wu, G. (2017). 'Driving forces for low carbon technology innovation in the building industry: A critical review', </w:t>
      </w:r>
      <w:r>
        <w:rPr>
          <w:rFonts w:ascii="Arial" w:hAnsi="Arial" w:eastAsia="Arial Unicode MS" w:cs="Arial"/>
          <w:i/>
          <w:iCs/>
          <w:sz w:val="24"/>
          <w:szCs w:val="24"/>
        </w:rPr>
        <w:t>Renewable and Sustainable Energy Reviews</w:t>
      </w:r>
      <w:r>
        <w:rPr>
          <w:rFonts w:ascii="Arial" w:hAnsi="Arial" w:eastAsia="Arial Unicode MS" w:cs="Arial"/>
          <w:sz w:val="24"/>
          <w:szCs w:val="24"/>
        </w:rPr>
        <w:t>, 74, pp. 299-315.</w:t>
      </w:r>
    </w:p>
    <w:p w14:paraId="2A0505D0">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Li, F., Xu, X., Li, Z., Du, P., and Ye, J. (2021). 'Can low-carbon technological innovation truly improve enterprise performance? The case of Chinese manufacturing companies', </w:t>
      </w:r>
      <w:r>
        <w:rPr>
          <w:rFonts w:ascii="Arial" w:hAnsi="Arial" w:eastAsia="Arial Unicode MS" w:cs="Arial"/>
          <w:i/>
          <w:iCs/>
          <w:sz w:val="24"/>
          <w:szCs w:val="24"/>
        </w:rPr>
        <w:t>Journal of Cleaner Production</w:t>
      </w:r>
      <w:r>
        <w:rPr>
          <w:rFonts w:ascii="Arial" w:hAnsi="Arial" w:eastAsia="Arial Unicode MS" w:cs="Arial"/>
          <w:sz w:val="24"/>
          <w:szCs w:val="24"/>
        </w:rPr>
        <w:t>, 293, 125949.</w:t>
      </w:r>
    </w:p>
    <w:p w14:paraId="1DBCCDA3">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Li, Y., Zheng, Z., Zhao, M., and Liu, Z. (2024). 'How does digital trade impact urban carbon emissions efficiency? Evidence from China's cross-border e-commerce pilot zones', </w:t>
      </w:r>
      <w:r>
        <w:rPr>
          <w:rFonts w:ascii="Arial" w:hAnsi="Arial" w:eastAsia="Arial Unicode MS" w:cs="Arial"/>
          <w:i/>
          <w:iCs/>
          <w:sz w:val="24"/>
          <w:szCs w:val="24"/>
        </w:rPr>
        <w:t>Journal of Cleaner Production</w:t>
      </w:r>
      <w:r>
        <w:rPr>
          <w:rFonts w:ascii="Arial" w:hAnsi="Arial" w:eastAsia="Arial Unicode MS" w:cs="Arial"/>
          <w:sz w:val="24"/>
          <w:szCs w:val="24"/>
        </w:rPr>
        <w:t>, 456, 142363.</w:t>
      </w:r>
    </w:p>
    <w:p w14:paraId="6F29AE38">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Mancini, P., Marchini, A., and Simeone, M. (2017). 'Which are the sustainable attributes affecting the real consumption behaviour? Consumer understanding and choices', </w:t>
      </w:r>
      <w:r>
        <w:rPr>
          <w:rFonts w:ascii="Arial" w:hAnsi="Arial" w:eastAsia="Arial Unicode MS" w:cs="Arial"/>
          <w:i/>
          <w:iCs/>
          <w:sz w:val="24"/>
          <w:szCs w:val="24"/>
        </w:rPr>
        <w:t>British Food Journal</w:t>
      </w:r>
      <w:r>
        <w:rPr>
          <w:rFonts w:ascii="Arial" w:hAnsi="Arial" w:eastAsia="Arial Unicode MS" w:cs="Arial"/>
          <w:sz w:val="24"/>
          <w:szCs w:val="24"/>
        </w:rPr>
        <w:t>, 119(8), pp. 1839-1853.</w:t>
      </w:r>
    </w:p>
    <w:p w14:paraId="2D0D898A">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Matt, C., Hess, T., and Benlian, A. (2015). 'Digital transformation strategies', </w:t>
      </w:r>
      <w:r>
        <w:rPr>
          <w:rFonts w:ascii="Arial" w:hAnsi="Arial" w:eastAsia="Arial Unicode MS" w:cs="Arial"/>
          <w:i/>
          <w:iCs/>
          <w:sz w:val="24"/>
          <w:szCs w:val="24"/>
        </w:rPr>
        <w:t>Business &amp; information systems engineering</w:t>
      </w:r>
      <w:r>
        <w:rPr>
          <w:rFonts w:ascii="Arial" w:hAnsi="Arial" w:eastAsia="Arial Unicode MS" w:cs="Arial"/>
          <w:sz w:val="24"/>
          <w:szCs w:val="24"/>
        </w:rPr>
        <w:t>, 57, pp. 339-343.</w:t>
      </w:r>
    </w:p>
    <w:p w14:paraId="7B623BE3">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Sadik, O. A., Wanekaya, A. K., and Andreescu, S. (2004). 'Advances in analytical technologies for environmental protection and public safety', </w:t>
      </w:r>
      <w:r>
        <w:rPr>
          <w:rFonts w:ascii="Arial" w:hAnsi="Arial" w:eastAsia="Arial Unicode MS" w:cs="Arial"/>
          <w:i/>
          <w:iCs/>
          <w:sz w:val="24"/>
          <w:szCs w:val="24"/>
        </w:rPr>
        <w:t>Journal of Environmental Monitoring</w:t>
      </w:r>
      <w:r>
        <w:rPr>
          <w:rFonts w:ascii="Arial" w:hAnsi="Arial" w:eastAsia="Arial Unicode MS" w:cs="Arial"/>
          <w:sz w:val="24"/>
          <w:szCs w:val="24"/>
        </w:rPr>
        <w:t>, 6(6), pp. 513-522.</w:t>
      </w:r>
    </w:p>
    <w:p w14:paraId="02A05B9F">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Wang, L., Zhao, L., Mao, G., Zuo, J., and Du, H. (2017). 'Way to accomplish low carbon development transformation: A bibliometric analysis during 1995–2014', </w:t>
      </w:r>
      <w:r>
        <w:rPr>
          <w:rFonts w:ascii="Arial" w:hAnsi="Arial" w:eastAsia="Arial Unicode MS" w:cs="Arial"/>
          <w:i/>
          <w:iCs/>
          <w:sz w:val="24"/>
          <w:szCs w:val="24"/>
        </w:rPr>
        <w:t>Renewable and Sustainable Energy Reviews</w:t>
      </w:r>
      <w:r>
        <w:rPr>
          <w:rFonts w:ascii="Arial" w:hAnsi="Arial" w:eastAsia="Arial Unicode MS" w:cs="Arial"/>
          <w:sz w:val="24"/>
          <w:szCs w:val="24"/>
        </w:rPr>
        <w:t>, 68, pp. 57-69.</w:t>
      </w:r>
    </w:p>
    <w:p w14:paraId="5CE78274">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Wang, Y., Fang, X., Yin, S., and Chen, W. (2021). 'Low-carbon development quality of cities in China: Evaluation and obstacle analysis', </w:t>
      </w:r>
      <w:r>
        <w:rPr>
          <w:rFonts w:ascii="Arial" w:hAnsi="Arial" w:eastAsia="Arial Unicode MS" w:cs="Arial"/>
          <w:i/>
          <w:iCs/>
          <w:sz w:val="24"/>
          <w:szCs w:val="24"/>
        </w:rPr>
        <w:t>Sustainable Cities and Society</w:t>
      </w:r>
      <w:r>
        <w:rPr>
          <w:rFonts w:ascii="Arial" w:hAnsi="Arial" w:eastAsia="Arial Unicode MS" w:cs="Arial"/>
          <w:sz w:val="24"/>
          <w:szCs w:val="24"/>
        </w:rPr>
        <w:t>, 64, 102553.</w:t>
      </w:r>
    </w:p>
    <w:p w14:paraId="388495FA">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Wang, Y., Peng, S., Zhou, X., Mahmoudi, M., and Zhen, L. (2020). 'Green logistics location-routing problem with eco-packages', </w:t>
      </w:r>
      <w:r>
        <w:rPr>
          <w:rFonts w:ascii="Arial" w:hAnsi="Arial" w:eastAsia="Arial Unicode MS" w:cs="Arial"/>
          <w:i/>
          <w:iCs/>
          <w:sz w:val="24"/>
          <w:szCs w:val="24"/>
        </w:rPr>
        <w:t>Transportation Research Part E: Logistics and Transportation Review</w:t>
      </w:r>
      <w:r>
        <w:rPr>
          <w:rFonts w:ascii="Arial" w:hAnsi="Arial" w:eastAsia="Arial Unicode MS" w:cs="Arial"/>
          <w:sz w:val="24"/>
          <w:szCs w:val="24"/>
        </w:rPr>
        <w:t>, 143, 102118.</w:t>
      </w:r>
    </w:p>
    <w:p w14:paraId="517A6FA3">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Wang, Y., Wang, Y., and Lee, S. H. (2017). 'The effect of cross-border e-commerce on China’s international trade: An empirical study based on transaction cost analysis', </w:t>
      </w:r>
      <w:r>
        <w:rPr>
          <w:rFonts w:ascii="Arial" w:hAnsi="Arial" w:eastAsia="Arial Unicode MS" w:cs="Arial"/>
          <w:i/>
          <w:iCs/>
          <w:sz w:val="24"/>
          <w:szCs w:val="24"/>
        </w:rPr>
        <w:t>Sustainability</w:t>
      </w:r>
      <w:r>
        <w:rPr>
          <w:rFonts w:ascii="Arial" w:hAnsi="Arial" w:eastAsia="Arial Unicode MS" w:cs="Arial"/>
          <w:sz w:val="24"/>
          <w:szCs w:val="24"/>
        </w:rPr>
        <w:t>, 9(11), 2028.</w:t>
      </w:r>
    </w:p>
    <w:p w14:paraId="6119958E">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Yang, L., Liu, J., and Yang, W. (2023). 'Impacts of the sustainable development of cross-border e-commerce pilot zones on regional economic growth', </w:t>
      </w:r>
      <w:r>
        <w:rPr>
          <w:rFonts w:ascii="Arial" w:hAnsi="Arial" w:eastAsia="Arial Unicode MS" w:cs="Arial"/>
          <w:i/>
          <w:iCs/>
          <w:sz w:val="24"/>
          <w:szCs w:val="24"/>
        </w:rPr>
        <w:t>Sustainability</w:t>
      </w:r>
      <w:r>
        <w:rPr>
          <w:rFonts w:ascii="Arial" w:hAnsi="Arial" w:eastAsia="Arial Unicode MS" w:cs="Arial"/>
          <w:sz w:val="24"/>
          <w:szCs w:val="24"/>
        </w:rPr>
        <w:t>, 15(18), 13876.</w:t>
      </w:r>
    </w:p>
    <w:p w14:paraId="2D8B6485">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Yuan, H., Zhou, P., and Zhou, D. (2011). 'What is low-carbon development? A conceptual analysis', </w:t>
      </w:r>
      <w:r>
        <w:rPr>
          <w:rFonts w:ascii="Arial" w:hAnsi="Arial" w:eastAsia="Arial Unicode MS" w:cs="Arial"/>
          <w:i/>
          <w:iCs/>
          <w:sz w:val="24"/>
          <w:szCs w:val="24"/>
        </w:rPr>
        <w:t>Energy Procedia</w:t>
      </w:r>
      <w:r>
        <w:rPr>
          <w:rFonts w:ascii="Arial" w:hAnsi="Arial" w:eastAsia="Arial Unicode MS" w:cs="Arial"/>
          <w:sz w:val="24"/>
          <w:szCs w:val="24"/>
        </w:rPr>
        <w:t>, 5, pp. 1706-1712.</w:t>
      </w:r>
    </w:p>
    <w:p w14:paraId="579C066D">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Zaoui, F., and Souissi, N. (2020). 'Roadmap for digital transformation: A literature review', </w:t>
      </w:r>
      <w:r>
        <w:rPr>
          <w:rFonts w:ascii="Arial" w:hAnsi="Arial" w:eastAsia="Arial Unicode MS" w:cs="Arial"/>
          <w:i/>
          <w:iCs/>
          <w:sz w:val="24"/>
          <w:szCs w:val="24"/>
        </w:rPr>
        <w:t>Procedia Computer Science</w:t>
      </w:r>
      <w:r>
        <w:rPr>
          <w:rFonts w:ascii="Arial" w:hAnsi="Arial" w:eastAsia="Arial Unicode MS" w:cs="Arial"/>
          <w:sz w:val="24"/>
          <w:szCs w:val="24"/>
        </w:rPr>
        <w:t>, 175, pp. 621-628.</w:t>
      </w:r>
    </w:p>
    <w:p w14:paraId="17AF61B6">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Zhang, J., Lyu, Y., Li, Y., and Geng, Y. (2022). 'Digital economy: An innovation driving factor for low-carbon development', </w:t>
      </w:r>
      <w:r>
        <w:rPr>
          <w:rFonts w:ascii="Arial" w:hAnsi="Arial" w:eastAsia="Arial Unicode MS" w:cs="Arial"/>
          <w:i/>
          <w:iCs/>
          <w:sz w:val="24"/>
          <w:szCs w:val="24"/>
        </w:rPr>
        <w:t>Environmental Impact Assessment Review</w:t>
      </w:r>
      <w:r>
        <w:rPr>
          <w:rFonts w:ascii="Arial" w:hAnsi="Arial" w:eastAsia="Arial Unicode MS" w:cs="Arial"/>
          <w:sz w:val="24"/>
          <w:szCs w:val="24"/>
        </w:rPr>
        <w:t>, 96, 106821.</w:t>
      </w:r>
    </w:p>
    <w:p w14:paraId="3E443BFD">
      <w:pPr>
        <w:pStyle w:val="13"/>
        <w:numPr>
          <w:ilvl w:val="0"/>
          <w:numId w:val="1"/>
        </w:numPr>
        <w:spacing w:line="480" w:lineRule="auto"/>
        <w:ind w:firstLineChars="0"/>
        <w:rPr>
          <w:rFonts w:ascii="Arial" w:hAnsi="Arial" w:eastAsia="Arial Unicode MS" w:cs="Arial"/>
          <w:sz w:val="24"/>
          <w:szCs w:val="24"/>
        </w:rPr>
      </w:pPr>
      <w:r>
        <w:rPr>
          <w:rFonts w:ascii="Arial" w:hAnsi="Arial" w:eastAsia="Arial Unicode MS" w:cs="Arial"/>
          <w:sz w:val="24"/>
          <w:szCs w:val="24"/>
        </w:rPr>
        <w:t>Zhu, C., and Lee, C. C. (2022). 'The effects of low-carbon pilot policy on technological innovation: Evidence from prefecture-level data in China', </w:t>
      </w:r>
      <w:r>
        <w:rPr>
          <w:rFonts w:ascii="Arial" w:hAnsi="Arial" w:eastAsia="Arial Unicode MS" w:cs="Arial"/>
          <w:i/>
          <w:iCs/>
          <w:sz w:val="24"/>
          <w:szCs w:val="24"/>
        </w:rPr>
        <w:t>Technological Forecasting and Social Change</w:t>
      </w:r>
      <w:r>
        <w:rPr>
          <w:rFonts w:ascii="Arial" w:hAnsi="Arial" w:eastAsia="Arial Unicode MS" w:cs="Arial"/>
          <w:sz w:val="24"/>
          <w:szCs w:val="24"/>
        </w:rPr>
        <w:t>, 183, 121955.</w:t>
      </w:r>
    </w:p>
    <w:p w14:paraId="1885AACE">
      <w:pPr>
        <w:spacing w:line="480" w:lineRule="auto"/>
        <w:ind w:firstLine="480" w:firstLineChars="200"/>
        <w:rPr>
          <w:rFonts w:ascii="Arial" w:hAnsi="Arial" w:eastAsia="Arial Unicode MS" w:cs="Arial"/>
          <w:sz w:val="24"/>
          <w:szCs w:val="24"/>
        </w:rPr>
      </w:pPr>
    </w:p>
    <w:p w14:paraId="5D0D259F">
      <w:pPr>
        <w:spacing w:line="480" w:lineRule="auto"/>
        <w:ind w:firstLine="480" w:firstLineChars="200"/>
        <w:rPr>
          <w:rFonts w:ascii="Arial" w:hAnsi="Arial" w:eastAsia="仿宋" w:cs="Arial"/>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Arial">
    <w:panose1 w:val="020B0604020202090204"/>
    <w:charset w:val="00"/>
    <w:family w:val="swiss"/>
    <w:pitch w:val="default"/>
    <w:sig w:usb0="E0000AFF" w:usb1="00007843" w:usb2="00000001" w:usb3="00000000" w:csb0="400001BF" w:csb1="DFF70000"/>
  </w:font>
  <w:font w:name="仿宋">
    <w:altName w:val="方正仿宋_GBK"/>
    <w:panose1 w:val="02010609060101010101"/>
    <w:charset w:val="86"/>
    <w:family w:val="modern"/>
    <w:pitch w:val="default"/>
    <w:sig w:usb0="00000000" w:usb1="00000000" w:usb2="00000016" w:usb3="00000000" w:csb0="00040001" w:csb1="00000000"/>
  </w:font>
  <w:font w:name="微软雅黑">
    <w:altName w:val="汉仪旗黑"/>
    <w:panose1 w:val="020B0503020204020204"/>
    <w:charset w:val="86"/>
    <w:family w:val="swiss"/>
    <w:pitch w:val="default"/>
    <w:sig w:usb0="00000000" w:usb1="00000000" w:usb2="00000016" w:usb3="00000000" w:csb0="0004001F" w:csb1="00000000"/>
  </w:font>
  <w:font w:name="Malgun Gothic Semilight">
    <w:altName w:val="苹方-简"/>
    <w:panose1 w:val="020B0502040204020203"/>
    <w:charset w:val="86"/>
    <w:family w:val="swiss"/>
    <w:pitch w:val="default"/>
    <w:sig w:usb0="00000000" w:usb1="00000000" w:usb2="00000012" w:usb3="00000000" w:csb0="003E01BD"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方正仿宋_GBK">
    <w:panose1 w:val="02000000000000000000"/>
    <w:charset w:val="86"/>
    <w:family w:val="auto"/>
    <w:pitch w:val="default"/>
    <w:sig w:usb0="A00002BF" w:usb1="38CF7CFA" w:usb2="00082016" w:usb3="00000000" w:csb0="00040001" w:csb1="00000000"/>
  </w:font>
  <w:font w:name="苹方-简">
    <w:panose1 w:val="020B0400000000000000"/>
    <w:charset w:val="86"/>
    <w:family w:val="auto"/>
    <w:pitch w:val="default"/>
    <w:sig w:usb0="A00002FF" w:usb1="7ACFFDFB" w:usb2="00000017" w:usb3="00000000" w:csb0="00040001" w:csb1="00000000"/>
  </w:font>
  <w:font w:name="汉仪旗黑">
    <w:panose1 w:val="00020600040101010101"/>
    <w:charset w:val="86"/>
    <w:family w:val="auto"/>
    <w:pitch w:val="default"/>
    <w:sig w:usb0="A00002BF" w:usb1="1ACF7CFA" w:usb2="00000016" w:usb3="00000000" w:csb0="0004009F" w:csb1="DFD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等线 Light">
    <w:altName w:val="汉仪中等线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0B88FF71">
        <w:pPr>
          <w:pStyle w:val="4"/>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774CBE67">
    <w:pPr>
      <w:pStyle w:val="4"/>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AB5A6">
    <w:pPr>
      <w:pStyle w:val="4"/>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C403B">
    <w:pPr>
      <w:pStyle w:val="4"/>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B0722">
    <w:pPr>
      <w:pStyle w:val="5"/>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B7BC2">
    <w:pPr>
      <w:pStyle w:val="5"/>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FC0E4">
    <w:pPr>
      <w:pStyle w:val="5"/>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F7608A"/>
    <w:multiLevelType w:val="multilevel"/>
    <w:tmpl w:val="75F7608A"/>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wYTFjZDBiZGJmMzE2N2U1NTg2MjdmYjBjMzAyYTAifQ=="/>
  </w:docVars>
  <w:rsids>
    <w:rsidRoot w:val="00961ED4"/>
    <w:rsid w:val="000703FF"/>
    <w:rsid w:val="0008179C"/>
    <w:rsid w:val="000C5068"/>
    <w:rsid w:val="000E5B27"/>
    <w:rsid w:val="00125BD4"/>
    <w:rsid w:val="001A0E30"/>
    <w:rsid w:val="001A16A5"/>
    <w:rsid w:val="001B2A4A"/>
    <w:rsid w:val="001B3AE9"/>
    <w:rsid w:val="002459BF"/>
    <w:rsid w:val="00316983"/>
    <w:rsid w:val="00347529"/>
    <w:rsid w:val="00374F4B"/>
    <w:rsid w:val="003B2F47"/>
    <w:rsid w:val="00400541"/>
    <w:rsid w:val="0044465F"/>
    <w:rsid w:val="004A196D"/>
    <w:rsid w:val="004A5A5E"/>
    <w:rsid w:val="004C7393"/>
    <w:rsid w:val="004D5527"/>
    <w:rsid w:val="004F3B21"/>
    <w:rsid w:val="00544D8F"/>
    <w:rsid w:val="00547C80"/>
    <w:rsid w:val="005E7779"/>
    <w:rsid w:val="00600148"/>
    <w:rsid w:val="006300CD"/>
    <w:rsid w:val="006C210E"/>
    <w:rsid w:val="00752982"/>
    <w:rsid w:val="0076247B"/>
    <w:rsid w:val="007B2578"/>
    <w:rsid w:val="007D6928"/>
    <w:rsid w:val="007E75A1"/>
    <w:rsid w:val="00894686"/>
    <w:rsid w:val="008C5ECC"/>
    <w:rsid w:val="00957545"/>
    <w:rsid w:val="00961A19"/>
    <w:rsid w:val="00961ED4"/>
    <w:rsid w:val="00971D38"/>
    <w:rsid w:val="0099593D"/>
    <w:rsid w:val="009E4BC2"/>
    <w:rsid w:val="00A20B7A"/>
    <w:rsid w:val="00A96877"/>
    <w:rsid w:val="00AA41DE"/>
    <w:rsid w:val="00AD21A3"/>
    <w:rsid w:val="00AD6111"/>
    <w:rsid w:val="00AD6D86"/>
    <w:rsid w:val="00B20C6F"/>
    <w:rsid w:val="00B46816"/>
    <w:rsid w:val="00B850E7"/>
    <w:rsid w:val="00BA73B6"/>
    <w:rsid w:val="00C073E1"/>
    <w:rsid w:val="00CF39C2"/>
    <w:rsid w:val="00D47A4F"/>
    <w:rsid w:val="00D67A6E"/>
    <w:rsid w:val="00D70392"/>
    <w:rsid w:val="00DC40D9"/>
    <w:rsid w:val="00DF0508"/>
    <w:rsid w:val="00E11005"/>
    <w:rsid w:val="00E4466B"/>
    <w:rsid w:val="00E90679"/>
    <w:rsid w:val="00EA03C9"/>
    <w:rsid w:val="00EE704D"/>
    <w:rsid w:val="00EF1F72"/>
    <w:rsid w:val="00EF213B"/>
    <w:rsid w:val="00F865C2"/>
    <w:rsid w:val="00FA6F44"/>
    <w:rsid w:val="00FB27B8"/>
    <w:rsid w:val="00FC6824"/>
    <w:rsid w:val="00FE6BDB"/>
    <w:rsid w:val="7BFF6E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tabs>
        <w:tab w:val="center" w:pos="4153"/>
        <w:tab w:val="right" w:pos="8306"/>
      </w:tabs>
      <w:snapToGrid w:val="0"/>
      <w:jc w:val="center"/>
    </w:pPr>
    <w:rPr>
      <w:sz w:val="18"/>
      <w:szCs w:val="18"/>
    </w:rPr>
  </w:style>
  <w:style w:type="paragraph" w:styleId="6">
    <w:name w:val="toc 1"/>
    <w:basedOn w:val="1"/>
    <w:next w:val="1"/>
    <w:autoRedefine/>
    <w:unhideWhenUsed/>
    <w:uiPriority w:val="39"/>
    <w:pPr>
      <w:tabs>
        <w:tab w:val="right" w:leader="dot" w:pos="8296"/>
      </w:tabs>
    </w:pPr>
    <w:rPr>
      <w:rFonts w:ascii="Arial Unicode MS" w:hAnsi="Arial Unicode MS" w:eastAsia="Arial Unicode MS" w:cs="Arial Unicode MS"/>
    </w:rPr>
  </w:style>
  <w:style w:type="paragraph" w:styleId="7">
    <w:name w:val="toc 2"/>
    <w:basedOn w:val="1"/>
    <w:next w:val="1"/>
    <w:autoRedefine/>
    <w:unhideWhenUsed/>
    <w:uiPriority w:val="39"/>
    <w:pPr>
      <w:ind w:left="420" w:leftChars="200"/>
    </w:pPr>
  </w:style>
  <w:style w:type="character" w:styleId="10">
    <w:name w:val="Hyperlink"/>
    <w:basedOn w:val="9"/>
    <w:unhideWhenUsed/>
    <w:uiPriority w:val="99"/>
    <w:rPr>
      <w:color w:val="467886" w:themeColor="hyperlink"/>
      <w:u w:val="single"/>
      <w14:textFill>
        <w14:solidFill>
          <w14:schemeClr w14:val="hlink"/>
        </w14:solidFill>
      </w14:textFill>
    </w:rPr>
  </w:style>
  <w:style w:type="character" w:customStyle="1" w:styleId="11">
    <w:name w:val="页眉 字符"/>
    <w:basedOn w:val="9"/>
    <w:link w:val="5"/>
    <w:uiPriority w:val="99"/>
    <w:rPr>
      <w:sz w:val="18"/>
      <w:szCs w:val="18"/>
    </w:rPr>
  </w:style>
  <w:style w:type="character" w:customStyle="1" w:styleId="12">
    <w:name w:val="页脚 字符"/>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标题 1 字符"/>
    <w:basedOn w:val="9"/>
    <w:link w:val="2"/>
    <w:uiPriority w:val="9"/>
    <w:rPr>
      <w:b/>
      <w:bCs/>
      <w:kern w:val="44"/>
      <w:sz w:val="44"/>
      <w:szCs w:val="44"/>
    </w:rPr>
  </w:style>
  <w:style w:type="character" w:customStyle="1" w:styleId="15">
    <w:name w:val="标题 2 字符"/>
    <w:basedOn w:val="9"/>
    <w:link w:val="3"/>
    <w:uiPriority w:val="9"/>
    <w:rPr>
      <w:rFonts w:asciiTheme="majorHAnsi" w:hAnsiTheme="majorHAnsi" w:eastAsiaTheme="majorEastAsia" w:cstheme="majorBidi"/>
      <w:b/>
      <w:bCs/>
      <w:sz w:val="32"/>
      <w:szCs w:val="32"/>
    </w:rPr>
  </w:style>
  <w:style w:type="paragraph" w:customStyle="1" w:styleId="16">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104862"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4343</Words>
  <Characters>24758</Characters>
  <Lines>206</Lines>
  <Paragraphs>58</Paragraphs>
  <TotalTime>44</TotalTime>
  <ScaleCrop>false</ScaleCrop>
  <LinksUpToDate>false</LinksUpToDate>
  <CharactersWithSpaces>29043</CharactersWithSpaces>
  <Application>WPS Office_6.12.0.8899_F1E327BC-269C-435d-A152-05C5408002CA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2024-12-14T00:42:00Z</dcterms:created>
  <dc:creator>超伦 袁</dc:creator>
  <cp:lastModifiedBy>。</cp:lastModifiedBy>
  <dcterms:modified xsi:type="dcterms:W3CDTF">2024-12-14T22:13:51Z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2052-6.12.0.8899</vt:lpwstr>
  </property>
  <property fmtid="{D5CDD505-2E9C-101B-9397-08002B2CF9AE}" pid="3" name="ICV">
    <vt:lpwstr>F35B951FD4ED13989F925D67774AE724_42</vt:lpwstr>
  </property>
</Properties>
</file>