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57DA3" w14:textId="0EBF225C" w:rsidR="00786750" w:rsidRPr="00ED437B" w:rsidRDefault="00E578B4" w:rsidP="008C5097">
      <w:r w:rsidRPr="00ED437B">
        <w:drawing>
          <wp:inline distT="0" distB="0" distL="0" distR="0" wp14:anchorId="3121A03E" wp14:editId="3D02DE1E">
            <wp:extent cx="2894316" cy="1158240"/>
            <wp:effectExtent l="0" t="0" r="1905" b="3810"/>
            <wp:docPr id="1355616678" name="Picture 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675" cy="1166387"/>
                    </a:xfrm>
                    <a:prstGeom prst="rect">
                      <a:avLst/>
                    </a:prstGeom>
                    <a:noFill/>
                    <a:ln>
                      <a:noFill/>
                    </a:ln>
                  </pic:spPr>
                </pic:pic>
              </a:graphicData>
            </a:graphic>
          </wp:inline>
        </w:drawing>
      </w:r>
    </w:p>
    <w:p w14:paraId="1AF29DB0" w14:textId="77777777" w:rsidR="00E578B4" w:rsidRPr="00ED437B" w:rsidRDefault="00E578B4" w:rsidP="00E578B4">
      <w:pPr>
        <w:spacing w:line="276" w:lineRule="auto"/>
        <w:jc w:val="center"/>
        <w:rPr>
          <w:b/>
          <w:bCs/>
          <w:sz w:val="28"/>
          <w:szCs w:val="24"/>
        </w:rPr>
      </w:pPr>
    </w:p>
    <w:p w14:paraId="314A005E" w14:textId="77777777" w:rsidR="00E578B4" w:rsidRPr="00ED437B" w:rsidRDefault="00E578B4" w:rsidP="00E578B4">
      <w:pPr>
        <w:spacing w:line="276" w:lineRule="auto"/>
        <w:jc w:val="center"/>
        <w:rPr>
          <w:b/>
          <w:bCs/>
          <w:sz w:val="28"/>
          <w:szCs w:val="24"/>
        </w:rPr>
      </w:pPr>
    </w:p>
    <w:p w14:paraId="460BAB8D" w14:textId="77777777" w:rsidR="00E578B4" w:rsidRPr="00ED437B" w:rsidRDefault="00E578B4" w:rsidP="00E578B4">
      <w:pPr>
        <w:spacing w:line="276" w:lineRule="auto"/>
        <w:jc w:val="center"/>
        <w:rPr>
          <w:b/>
          <w:bCs/>
          <w:color w:val="000000" w:themeColor="text1"/>
          <w:sz w:val="28"/>
          <w:szCs w:val="28"/>
        </w:rPr>
      </w:pPr>
    </w:p>
    <w:p w14:paraId="1EF653F8" w14:textId="77777777" w:rsidR="00B56C66" w:rsidRPr="00ED437B" w:rsidRDefault="00B56C66" w:rsidP="00716329">
      <w:pPr>
        <w:jc w:val="center"/>
        <w:rPr>
          <w:color w:val="000000" w:themeColor="text1"/>
          <w:sz w:val="28"/>
          <w:szCs w:val="28"/>
        </w:rPr>
      </w:pPr>
      <w:r w:rsidRPr="00ED437B">
        <w:rPr>
          <w:b/>
          <w:bCs/>
          <w:color w:val="000000" w:themeColor="text1"/>
          <w:sz w:val="28"/>
          <w:szCs w:val="28"/>
        </w:rPr>
        <w:t xml:space="preserve">Programme: </w:t>
      </w:r>
      <w:r w:rsidRPr="00ED437B">
        <w:rPr>
          <w:color w:val="000000" w:themeColor="text1"/>
          <w:sz w:val="28"/>
          <w:szCs w:val="28"/>
        </w:rPr>
        <w:t>Master of Business Administration</w:t>
      </w:r>
    </w:p>
    <w:p w14:paraId="6B001E45" w14:textId="77777777" w:rsidR="00B56C66" w:rsidRPr="00ED437B" w:rsidRDefault="00B56C66" w:rsidP="00716329">
      <w:pPr>
        <w:jc w:val="center"/>
        <w:rPr>
          <w:color w:val="000000" w:themeColor="text1"/>
          <w:sz w:val="28"/>
          <w:szCs w:val="28"/>
        </w:rPr>
      </w:pPr>
      <w:r w:rsidRPr="00ED437B">
        <w:rPr>
          <w:b/>
          <w:bCs/>
          <w:color w:val="000000" w:themeColor="text1"/>
          <w:sz w:val="28"/>
          <w:szCs w:val="28"/>
        </w:rPr>
        <w:t>Module:</w:t>
      </w:r>
      <w:r w:rsidRPr="00ED437B">
        <w:rPr>
          <w:color w:val="000000" w:themeColor="text1"/>
          <w:sz w:val="28"/>
          <w:szCs w:val="28"/>
        </w:rPr>
        <w:t xml:space="preserve"> Dissertation (LCMB7035)</w:t>
      </w:r>
    </w:p>
    <w:p w14:paraId="5FD2E1FB" w14:textId="30CFDBB5" w:rsidR="00CD4D7D" w:rsidRPr="00ED437B" w:rsidRDefault="00CD4D7D" w:rsidP="00CD4D7D">
      <w:pPr>
        <w:jc w:val="center"/>
        <w:rPr>
          <w:color w:val="000000" w:themeColor="text1"/>
          <w:sz w:val="28"/>
          <w:szCs w:val="28"/>
        </w:rPr>
      </w:pPr>
      <w:r w:rsidRPr="00ED437B">
        <w:rPr>
          <w:b/>
          <w:bCs/>
          <w:color w:val="000000" w:themeColor="text1"/>
          <w:sz w:val="28"/>
          <w:szCs w:val="28"/>
        </w:rPr>
        <w:t>Supervisor Name:</w:t>
      </w:r>
      <w:r w:rsidRPr="00ED437B">
        <w:rPr>
          <w:color w:val="000000" w:themeColor="text1"/>
          <w:sz w:val="28"/>
          <w:szCs w:val="28"/>
        </w:rPr>
        <w:t xml:space="preserve"> Mazen Joureih</w:t>
      </w:r>
    </w:p>
    <w:p w14:paraId="0F8DC72D" w14:textId="7A0F0F21" w:rsidR="00B56C66" w:rsidRPr="00ED437B" w:rsidRDefault="007D0987" w:rsidP="00CD4D7D">
      <w:pPr>
        <w:spacing w:before="240" w:after="240"/>
        <w:jc w:val="center"/>
        <w:rPr>
          <w:rFonts w:cs="Arial"/>
          <w:color w:val="000000" w:themeColor="text1"/>
          <w:sz w:val="28"/>
          <w:szCs w:val="28"/>
        </w:rPr>
      </w:pPr>
      <w:r w:rsidRPr="00ED437B">
        <w:rPr>
          <w:b/>
          <w:bCs/>
          <w:color w:val="000000" w:themeColor="text1"/>
          <w:sz w:val="28"/>
          <w:szCs w:val="28"/>
        </w:rPr>
        <w:t xml:space="preserve">Dissertation </w:t>
      </w:r>
      <w:r w:rsidR="00B56C66" w:rsidRPr="00ED437B">
        <w:rPr>
          <w:b/>
          <w:bCs/>
          <w:color w:val="000000" w:themeColor="text1"/>
          <w:sz w:val="28"/>
          <w:szCs w:val="28"/>
        </w:rPr>
        <w:t>Title:</w:t>
      </w:r>
      <w:r w:rsidR="00B56C66" w:rsidRPr="00ED437B">
        <w:rPr>
          <w:i/>
          <w:iCs/>
          <w:color w:val="000000" w:themeColor="text1"/>
          <w:sz w:val="28"/>
          <w:szCs w:val="28"/>
        </w:rPr>
        <w:t xml:space="preserve"> </w:t>
      </w:r>
      <w:r w:rsidR="00B56C66" w:rsidRPr="00ED437B">
        <w:rPr>
          <w:rFonts w:cs="Arial"/>
          <w:color w:val="000000" w:themeColor="text1"/>
          <w:sz w:val="28"/>
          <w:szCs w:val="28"/>
        </w:rPr>
        <w:t>Generation Z in the Workplace: A Systematic Review of Motivations, Challenges, and Organisational Policy Approaches</w:t>
      </w:r>
    </w:p>
    <w:p w14:paraId="45A11F12" w14:textId="77777777" w:rsidR="007D0987" w:rsidRPr="00ED437B" w:rsidRDefault="007D0987" w:rsidP="007D0987">
      <w:pPr>
        <w:jc w:val="center"/>
        <w:rPr>
          <w:b/>
          <w:bCs/>
          <w:color w:val="000000" w:themeColor="text1"/>
          <w:sz w:val="28"/>
          <w:szCs w:val="28"/>
        </w:rPr>
      </w:pPr>
      <w:r w:rsidRPr="00ED437B">
        <w:rPr>
          <w:b/>
          <w:bCs/>
          <w:color w:val="000000" w:themeColor="text1"/>
          <w:sz w:val="28"/>
          <w:szCs w:val="28"/>
        </w:rPr>
        <w:t xml:space="preserve">Student Name: </w:t>
      </w:r>
      <w:r w:rsidRPr="00ED437B">
        <w:rPr>
          <w:color w:val="000000" w:themeColor="text1"/>
          <w:sz w:val="28"/>
          <w:szCs w:val="28"/>
        </w:rPr>
        <w:t>Lokesh Kumar</w:t>
      </w:r>
    </w:p>
    <w:p w14:paraId="6C0CE459" w14:textId="04979049" w:rsidR="007D0987" w:rsidRPr="00ED437B" w:rsidRDefault="007D0987" w:rsidP="007D0987">
      <w:pPr>
        <w:jc w:val="center"/>
        <w:rPr>
          <w:color w:val="000000" w:themeColor="text1"/>
          <w:sz w:val="28"/>
          <w:szCs w:val="28"/>
        </w:rPr>
      </w:pPr>
      <w:r w:rsidRPr="00ED437B">
        <w:rPr>
          <w:b/>
          <w:bCs/>
          <w:color w:val="000000" w:themeColor="text1"/>
          <w:sz w:val="28"/>
          <w:szCs w:val="28"/>
        </w:rPr>
        <w:t xml:space="preserve">Student Number: </w:t>
      </w:r>
      <w:r w:rsidRPr="00ED437B">
        <w:rPr>
          <w:color w:val="000000" w:themeColor="text1"/>
          <w:sz w:val="28"/>
          <w:szCs w:val="28"/>
        </w:rPr>
        <w:t>2418064</w:t>
      </w:r>
    </w:p>
    <w:p w14:paraId="6E9DF732" w14:textId="40E95B03" w:rsidR="004727B2" w:rsidRPr="00ED437B" w:rsidRDefault="004727B2" w:rsidP="007D0987">
      <w:pPr>
        <w:jc w:val="center"/>
        <w:rPr>
          <w:b/>
          <w:bCs/>
          <w:color w:val="000000" w:themeColor="text1"/>
          <w:sz w:val="28"/>
          <w:szCs w:val="28"/>
        </w:rPr>
      </w:pPr>
      <w:r w:rsidRPr="00ED437B">
        <w:rPr>
          <w:b/>
          <w:bCs/>
          <w:color w:val="000000" w:themeColor="text1"/>
          <w:sz w:val="28"/>
          <w:szCs w:val="28"/>
        </w:rPr>
        <w:t>Word Count:</w:t>
      </w:r>
      <w:r w:rsidRPr="00ED437B">
        <w:rPr>
          <w:color w:val="000000" w:themeColor="text1"/>
          <w:sz w:val="28"/>
          <w:szCs w:val="28"/>
        </w:rPr>
        <w:t xml:space="preserve"> </w:t>
      </w:r>
      <w:r w:rsidR="00184974">
        <w:rPr>
          <w:color w:val="000000" w:themeColor="text1"/>
          <w:sz w:val="28"/>
          <w:szCs w:val="28"/>
        </w:rPr>
        <w:t>16010</w:t>
      </w:r>
    </w:p>
    <w:p w14:paraId="12E0683D" w14:textId="77777777" w:rsidR="001F7590" w:rsidRPr="00ED437B" w:rsidRDefault="001F7590" w:rsidP="008C5097">
      <w:pPr>
        <w:rPr>
          <w:color w:val="000000" w:themeColor="text1"/>
          <w:sz w:val="28"/>
          <w:szCs w:val="28"/>
        </w:rPr>
      </w:pPr>
    </w:p>
    <w:p w14:paraId="7CE1E1BA" w14:textId="039D5EDA" w:rsidR="00786750" w:rsidRPr="00ED437B" w:rsidRDefault="00786750" w:rsidP="001F7590">
      <w:pPr>
        <w:rPr>
          <w:b/>
          <w:bCs/>
          <w:color w:val="000000" w:themeColor="text1"/>
          <w:sz w:val="28"/>
          <w:szCs w:val="28"/>
        </w:rPr>
      </w:pPr>
      <w:r w:rsidRPr="00ED437B">
        <w:rPr>
          <w:b/>
          <w:bCs/>
          <w:color w:val="000000" w:themeColor="text1"/>
          <w:sz w:val="28"/>
          <w:szCs w:val="28"/>
        </w:rPr>
        <w:t xml:space="preserve">DECLARATATION </w:t>
      </w:r>
    </w:p>
    <w:p w14:paraId="48865957" w14:textId="66BCA85D" w:rsidR="003C08E6" w:rsidRPr="00ED437B" w:rsidRDefault="003C08E6" w:rsidP="001F7590">
      <w:pPr>
        <w:pStyle w:val="paragraph"/>
        <w:spacing w:before="0" w:beforeAutospacing="0" w:after="0" w:afterAutospacing="0" w:line="360" w:lineRule="auto"/>
        <w:textAlignment w:val="baseline"/>
        <w:rPr>
          <w:rFonts w:asciiTheme="minorBidi" w:hAnsiTheme="minorBidi" w:cstheme="minorBidi"/>
          <w:color w:val="000000" w:themeColor="text1"/>
          <w:sz w:val="28"/>
          <w:szCs w:val="28"/>
        </w:rPr>
      </w:pPr>
      <w:r w:rsidRPr="00ED437B">
        <w:rPr>
          <w:rStyle w:val="normaltextrun"/>
          <w:rFonts w:asciiTheme="minorBidi" w:hAnsiTheme="minorBidi" w:cstheme="minorBidi"/>
          <w:color w:val="000000" w:themeColor="text1"/>
          <w:sz w:val="28"/>
          <w:szCs w:val="28"/>
        </w:rPr>
        <w:t xml:space="preserve">I, </w:t>
      </w:r>
      <w:r w:rsidR="00B56C66" w:rsidRPr="00ED437B">
        <w:rPr>
          <w:rStyle w:val="normaltextrun"/>
          <w:rFonts w:asciiTheme="minorBidi" w:hAnsiTheme="minorBidi" w:cstheme="minorBidi"/>
          <w:i/>
          <w:iCs/>
          <w:color w:val="000000" w:themeColor="text1"/>
          <w:sz w:val="28"/>
          <w:szCs w:val="28"/>
        </w:rPr>
        <w:t>Lokesh Kumar</w:t>
      </w:r>
      <w:r w:rsidR="00E578B4" w:rsidRPr="00ED437B">
        <w:rPr>
          <w:rStyle w:val="normaltextrun"/>
          <w:rFonts w:asciiTheme="minorBidi" w:hAnsiTheme="minorBidi" w:cstheme="minorBidi"/>
          <w:color w:val="000000" w:themeColor="text1"/>
          <w:sz w:val="28"/>
          <w:szCs w:val="28"/>
        </w:rPr>
        <w:t>,</w:t>
      </w:r>
      <w:r w:rsidRPr="00ED437B">
        <w:rPr>
          <w:rStyle w:val="normaltextrun"/>
          <w:rFonts w:asciiTheme="minorBidi" w:hAnsiTheme="minorBidi" w:cstheme="minorBidi"/>
          <w:color w:val="000000" w:themeColor="text1"/>
          <w:sz w:val="28"/>
          <w:szCs w:val="28"/>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ED437B">
        <w:rPr>
          <w:rStyle w:val="eop"/>
          <w:rFonts w:asciiTheme="minorBidi" w:hAnsiTheme="minorBidi" w:cstheme="minorBidi"/>
          <w:color w:val="000000" w:themeColor="text1"/>
          <w:sz w:val="28"/>
          <w:szCs w:val="28"/>
        </w:rPr>
        <w:t> </w:t>
      </w:r>
    </w:p>
    <w:p w14:paraId="651E2ABB" w14:textId="77777777" w:rsidR="003C08E6" w:rsidRPr="00ED437B" w:rsidRDefault="003C08E6" w:rsidP="001F7590">
      <w:pPr>
        <w:pStyle w:val="paragraph"/>
        <w:spacing w:before="0" w:beforeAutospacing="0" w:after="0" w:afterAutospacing="0" w:line="360" w:lineRule="auto"/>
        <w:textAlignment w:val="baseline"/>
        <w:rPr>
          <w:rFonts w:asciiTheme="minorBidi" w:hAnsiTheme="minorBidi" w:cstheme="minorBidi"/>
          <w:color w:val="000000" w:themeColor="text1"/>
          <w:sz w:val="28"/>
          <w:szCs w:val="28"/>
        </w:rPr>
      </w:pPr>
      <w:r w:rsidRPr="00ED437B">
        <w:rPr>
          <w:rStyle w:val="eop"/>
          <w:rFonts w:asciiTheme="minorBidi" w:hAnsiTheme="minorBidi" w:cstheme="minorBidi"/>
          <w:color w:val="000000" w:themeColor="text1"/>
          <w:sz w:val="28"/>
          <w:szCs w:val="28"/>
        </w:rPr>
        <w:t> </w:t>
      </w:r>
    </w:p>
    <w:p w14:paraId="0CF35665" w14:textId="6ACD50FD" w:rsidR="003C08E6" w:rsidRPr="00ED437B" w:rsidRDefault="003C08E6" w:rsidP="001F7590">
      <w:pPr>
        <w:pStyle w:val="paragraph"/>
        <w:spacing w:before="0" w:beforeAutospacing="0" w:after="0" w:afterAutospacing="0" w:line="360" w:lineRule="auto"/>
        <w:textAlignment w:val="baseline"/>
        <w:rPr>
          <w:rFonts w:asciiTheme="minorBidi" w:hAnsiTheme="minorBidi" w:cstheme="minorBidi"/>
          <w:color w:val="000000" w:themeColor="text1"/>
          <w:sz w:val="28"/>
          <w:szCs w:val="28"/>
        </w:rPr>
      </w:pPr>
      <w:r w:rsidRPr="00ED437B">
        <w:rPr>
          <w:rStyle w:val="normaltextrun"/>
          <w:rFonts w:asciiTheme="minorBidi" w:hAnsiTheme="minorBidi" w:cstheme="minorBidi"/>
          <w:color w:val="000000" w:themeColor="text1"/>
          <w:sz w:val="28"/>
          <w:szCs w:val="28"/>
        </w:rPr>
        <w:t>Signature:</w:t>
      </w:r>
      <w:r w:rsidR="00E578B4" w:rsidRPr="00ED437B">
        <w:rPr>
          <w:rStyle w:val="normaltextrun"/>
          <w:rFonts w:asciiTheme="minorBidi" w:hAnsiTheme="minorBidi" w:cstheme="minorBidi"/>
          <w:color w:val="000000" w:themeColor="text1"/>
          <w:sz w:val="28"/>
          <w:szCs w:val="28"/>
        </w:rPr>
        <w:t xml:space="preserve"> </w:t>
      </w:r>
      <w:r w:rsidRPr="00ED437B">
        <w:rPr>
          <w:rStyle w:val="normaltextrun"/>
          <w:rFonts w:asciiTheme="minorBidi" w:hAnsiTheme="minorBidi" w:cstheme="minorBidi"/>
          <w:color w:val="000000" w:themeColor="text1"/>
          <w:sz w:val="28"/>
          <w:szCs w:val="28"/>
        </w:rPr>
        <w:t>..........</w:t>
      </w:r>
      <w:r w:rsidR="00E578B4" w:rsidRPr="00ED437B">
        <w:rPr>
          <w:color w:val="000000" w:themeColor="text1"/>
          <w:sz w:val="28"/>
          <w:szCs w:val="28"/>
        </w:rPr>
        <w:t xml:space="preserve"> </w:t>
      </w:r>
      <w:r w:rsidR="00B56C66" w:rsidRPr="00ED437B">
        <w:rPr>
          <w:rStyle w:val="normaltextrun"/>
          <w:rFonts w:asciiTheme="minorBidi" w:hAnsiTheme="minorBidi" w:cstheme="minorBidi"/>
          <w:color w:val="000000" w:themeColor="text1"/>
          <w:sz w:val="28"/>
          <w:szCs w:val="28"/>
        </w:rPr>
        <w:t>Lokesh Kumar</w:t>
      </w:r>
      <w:r w:rsidRPr="00ED437B">
        <w:rPr>
          <w:rStyle w:val="normaltextrun"/>
          <w:rFonts w:asciiTheme="minorBidi" w:hAnsiTheme="minorBidi" w:cstheme="minorBidi"/>
          <w:color w:val="000000" w:themeColor="text1"/>
          <w:sz w:val="28"/>
          <w:szCs w:val="28"/>
        </w:rPr>
        <w:t>...........</w:t>
      </w:r>
    </w:p>
    <w:p w14:paraId="23842675" w14:textId="118B9288" w:rsidR="004727B2" w:rsidRPr="00ED437B" w:rsidRDefault="003C08E6" w:rsidP="004727B2">
      <w:pPr>
        <w:pStyle w:val="paragraph"/>
        <w:spacing w:before="0" w:beforeAutospacing="0" w:after="0" w:afterAutospacing="0" w:line="360" w:lineRule="auto"/>
        <w:textAlignment w:val="baseline"/>
        <w:rPr>
          <w:rStyle w:val="normaltextrun"/>
          <w:rFonts w:asciiTheme="minorBidi" w:hAnsiTheme="minorBidi" w:cstheme="minorBidi"/>
          <w:color w:val="000000" w:themeColor="text1"/>
          <w:sz w:val="28"/>
          <w:szCs w:val="28"/>
        </w:rPr>
      </w:pPr>
      <w:r w:rsidRPr="00ED437B">
        <w:rPr>
          <w:rStyle w:val="normaltextrun"/>
          <w:rFonts w:asciiTheme="minorBidi" w:hAnsiTheme="minorBidi" w:cstheme="minorBidi"/>
          <w:color w:val="000000" w:themeColor="text1"/>
          <w:sz w:val="28"/>
          <w:szCs w:val="28"/>
        </w:rPr>
        <w:t>Date: …………</w:t>
      </w:r>
      <w:r w:rsidR="004C732B" w:rsidRPr="00ED437B">
        <w:rPr>
          <w:rStyle w:val="normaltextrun"/>
          <w:rFonts w:asciiTheme="minorBidi" w:hAnsiTheme="minorBidi" w:cstheme="minorBidi"/>
          <w:color w:val="000000" w:themeColor="text1"/>
          <w:sz w:val="28"/>
          <w:szCs w:val="28"/>
        </w:rPr>
        <w:t>20 December 2025</w:t>
      </w:r>
      <w:r w:rsidRPr="00ED437B">
        <w:rPr>
          <w:rStyle w:val="normaltextrun"/>
          <w:rFonts w:asciiTheme="minorBidi" w:hAnsiTheme="minorBidi" w:cstheme="minorBidi"/>
          <w:color w:val="000000" w:themeColor="text1"/>
          <w:sz w:val="28"/>
          <w:szCs w:val="28"/>
        </w:rPr>
        <w:t>…</w:t>
      </w:r>
      <w:r w:rsidR="00CD4D7D" w:rsidRPr="00ED437B">
        <w:rPr>
          <w:rStyle w:val="normaltextrun"/>
          <w:rFonts w:asciiTheme="minorBidi" w:hAnsiTheme="minorBidi" w:cstheme="minorBidi"/>
          <w:color w:val="000000" w:themeColor="text1"/>
          <w:sz w:val="28"/>
          <w:szCs w:val="28"/>
        </w:rPr>
        <w:t>….</w:t>
      </w:r>
    </w:p>
    <w:p w14:paraId="48FDF9D2" w14:textId="5DBFC7A5" w:rsidR="00E578B4" w:rsidRPr="00ED437B" w:rsidRDefault="004727B2" w:rsidP="004727B2">
      <w:pPr>
        <w:pStyle w:val="Heading1"/>
        <w:numPr>
          <w:ilvl w:val="0"/>
          <w:numId w:val="0"/>
        </w:numPr>
        <w:ind w:left="432" w:hanging="432"/>
        <w:jc w:val="both"/>
        <w:rPr>
          <w:rStyle w:val="eop"/>
        </w:rPr>
      </w:pPr>
      <w:bookmarkStart w:id="0" w:name="_Toc218179311"/>
      <w:r w:rsidRPr="00ED437B">
        <w:rPr>
          <w:rStyle w:val="eop"/>
        </w:rPr>
        <w:lastRenderedPageBreak/>
        <w:t>Acknowledgement</w:t>
      </w:r>
      <w:bookmarkEnd w:id="0"/>
    </w:p>
    <w:p w14:paraId="13F85C26" w14:textId="45DD2D8E" w:rsidR="00E578B4" w:rsidRPr="00ED437B" w:rsidRDefault="004727B2" w:rsidP="004727B2">
      <w:pPr>
        <w:rPr>
          <w:rStyle w:val="eop"/>
          <w:rFonts w:eastAsia="Times New Roman"/>
          <w:szCs w:val="24"/>
          <w:lang w:eastAsia="zh-CN"/>
        </w:rPr>
      </w:pPr>
      <w:r w:rsidRPr="00ED437B">
        <w:rPr>
          <w:rStyle w:val="eop"/>
          <w:szCs w:val="24"/>
        </w:rPr>
        <w:t>I would like to say a big thank you to everyone who has supported and guided me in the process of undertaking this piece of work. To begin with, I would like to thank God, who gave me strength, patience, and perseverance at each step of this academic life. I would like to express my sincere thanks to my module tutor, Masud Ibrahim, who helped me greatly with his guidance and constructive feedback besides offering unremitting academic support and helping me develop this work to a larger extent. I also wish to take this opportunity to thank my supervisor Mazen Joureih, whom I have to say has provided me with wise guidance, inspiration, and constructive criticism, which has contributed immensely to the clarity and quality of this research. Last but not least, I would like to thank my family in India, which has stood by me and supported me emotionally and encouraged me as well as believed in me during this journey. I do not express myself but humbly thank all those who have helped, directly or indirectly, the successful achievement of this work.</w:t>
      </w:r>
      <w:r w:rsidR="00E578B4" w:rsidRPr="00ED437B">
        <w:rPr>
          <w:rStyle w:val="eop"/>
          <w:szCs w:val="24"/>
        </w:rPr>
        <w:br w:type="page"/>
      </w:r>
    </w:p>
    <w:sdt>
      <w:sdtPr>
        <w:rPr>
          <w:rFonts w:asciiTheme="minorBidi" w:eastAsiaTheme="minorEastAsia" w:hAnsiTheme="minorBidi" w:cstheme="minorBidi"/>
          <w:b w:val="0"/>
          <w:bCs w:val="0"/>
          <w:smallCaps w:val="0"/>
          <w:color w:val="auto"/>
          <w:sz w:val="24"/>
          <w:szCs w:val="22"/>
        </w:rPr>
        <w:id w:val="1045255892"/>
        <w:docPartObj>
          <w:docPartGallery w:val="Table of Contents"/>
          <w:docPartUnique/>
        </w:docPartObj>
      </w:sdtPr>
      <w:sdtEndPr>
        <w:rPr>
          <w:rFonts w:ascii="Arial" w:hAnsi="Arial"/>
        </w:rPr>
      </w:sdtEndPr>
      <w:sdtContent>
        <w:p w14:paraId="5CB2B8C2" w14:textId="0A133D63" w:rsidR="008C5097" w:rsidRPr="00ED437B" w:rsidRDefault="008C5097" w:rsidP="00917E8A">
          <w:pPr>
            <w:pStyle w:val="TOCHeading"/>
            <w:numPr>
              <w:ilvl w:val="0"/>
              <w:numId w:val="0"/>
            </w:numPr>
            <w:ind w:left="432" w:hanging="432"/>
            <w:jc w:val="both"/>
          </w:pPr>
          <w:r w:rsidRPr="00ED437B">
            <w:t>Table of Contents</w:t>
          </w:r>
        </w:p>
        <w:p w14:paraId="7F0DF297" w14:textId="50F6CEC7" w:rsidR="004727B2" w:rsidRPr="00ED437B" w:rsidRDefault="008C5097">
          <w:pPr>
            <w:pStyle w:val="TOC1"/>
            <w:tabs>
              <w:tab w:val="right" w:leader="dot" w:pos="9016"/>
            </w:tabs>
            <w:rPr>
              <w:rFonts w:asciiTheme="minorHAnsi" w:hAnsiTheme="minorHAnsi" w:cstheme="minorBidi"/>
              <w:noProof/>
              <w:kern w:val="2"/>
              <w:szCs w:val="30"/>
              <w:lang w:val="en-GB" w:eastAsia="zh-CN" w:bidi="bn-IN"/>
              <w14:ligatures w14:val="standardContextual"/>
            </w:rPr>
          </w:pPr>
          <w:r w:rsidRPr="00ED437B">
            <w:rPr>
              <w:lang w:val="en-GB"/>
            </w:rPr>
            <w:fldChar w:fldCharType="begin"/>
          </w:r>
          <w:r w:rsidRPr="00ED437B">
            <w:rPr>
              <w:lang w:val="en-GB"/>
            </w:rPr>
            <w:instrText xml:space="preserve"> TOC \o "1-3" \h \z \u </w:instrText>
          </w:r>
          <w:r w:rsidRPr="00ED437B">
            <w:rPr>
              <w:lang w:val="en-GB"/>
            </w:rPr>
            <w:fldChar w:fldCharType="separate"/>
          </w:r>
          <w:hyperlink w:anchor="_Toc218179311" w:history="1">
            <w:r w:rsidR="004727B2" w:rsidRPr="00ED437B">
              <w:rPr>
                <w:rStyle w:val="Hyperlink"/>
                <w:noProof/>
                <w:lang w:val="en-GB"/>
              </w:rPr>
              <w:t>Acknowledgement</w:t>
            </w:r>
            <w:r w:rsidR="004727B2" w:rsidRPr="00ED437B">
              <w:rPr>
                <w:noProof/>
                <w:webHidden/>
                <w:lang w:val="en-GB"/>
              </w:rPr>
              <w:tab/>
            </w:r>
            <w:r w:rsidR="004727B2" w:rsidRPr="00ED437B">
              <w:rPr>
                <w:noProof/>
                <w:webHidden/>
                <w:lang w:val="en-GB"/>
              </w:rPr>
              <w:fldChar w:fldCharType="begin"/>
            </w:r>
            <w:r w:rsidR="004727B2" w:rsidRPr="00ED437B">
              <w:rPr>
                <w:noProof/>
                <w:webHidden/>
                <w:lang w:val="en-GB"/>
              </w:rPr>
              <w:instrText xml:space="preserve"> PAGEREF _Toc218179311 \h </w:instrText>
            </w:r>
            <w:r w:rsidR="004727B2" w:rsidRPr="00ED437B">
              <w:rPr>
                <w:noProof/>
                <w:webHidden/>
                <w:lang w:val="en-GB"/>
              </w:rPr>
            </w:r>
            <w:r w:rsidR="004727B2" w:rsidRPr="00ED437B">
              <w:rPr>
                <w:noProof/>
                <w:webHidden/>
                <w:lang w:val="en-GB"/>
              </w:rPr>
              <w:fldChar w:fldCharType="separate"/>
            </w:r>
            <w:r w:rsidR="00482D95">
              <w:rPr>
                <w:noProof/>
                <w:webHidden/>
                <w:lang w:val="en-GB"/>
              </w:rPr>
              <w:t>2</w:t>
            </w:r>
            <w:r w:rsidR="004727B2" w:rsidRPr="00ED437B">
              <w:rPr>
                <w:noProof/>
                <w:webHidden/>
                <w:lang w:val="en-GB"/>
              </w:rPr>
              <w:fldChar w:fldCharType="end"/>
            </w:r>
          </w:hyperlink>
        </w:p>
        <w:p w14:paraId="55207B52" w14:textId="311CC3AB" w:rsidR="004727B2" w:rsidRPr="00ED437B" w:rsidRDefault="004727B2">
          <w:pPr>
            <w:pStyle w:val="TOC1"/>
            <w:tabs>
              <w:tab w:val="right" w:leader="dot" w:pos="9016"/>
            </w:tabs>
            <w:rPr>
              <w:rFonts w:asciiTheme="minorHAnsi" w:hAnsiTheme="minorHAnsi" w:cstheme="minorBidi"/>
              <w:noProof/>
              <w:kern w:val="2"/>
              <w:szCs w:val="30"/>
              <w:lang w:val="en-GB" w:eastAsia="zh-CN" w:bidi="bn-IN"/>
              <w14:ligatures w14:val="standardContextual"/>
            </w:rPr>
          </w:pPr>
          <w:hyperlink w:anchor="_Toc218179312" w:history="1">
            <w:r w:rsidRPr="00ED437B">
              <w:rPr>
                <w:rStyle w:val="Hyperlink"/>
                <w:noProof/>
                <w:lang w:val="en-GB"/>
              </w:rPr>
              <w:t>Contents of Figures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_Toc218179312 \h </w:instrText>
            </w:r>
            <w:r w:rsidRPr="00ED437B">
              <w:rPr>
                <w:noProof/>
                <w:webHidden/>
                <w:lang w:val="en-GB"/>
              </w:rPr>
            </w:r>
            <w:r w:rsidRPr="00ED437B">
              <w:rPr>
                <w:noProof/>
                <w:webHidden/>
                <w:lang w:val="en-GB"/>
              </w:rPr>
              <w:fldChar w:fldCharType="separate"/>
            </w:r>
            <w:r w:rsidR="00482D95">
              <w:rPr>
                <w:noProof/>
                <w:webHidden/>
                <w:lang w:val="en-GB"/>
              </w:rPr>
              <w:t>6</w:t>
            </w:r>
            <w:r w:rsidRPr="00ED437B">
              <w:rPr>
                <w:noProof/>
                <w:webHidden/>
                <w:lang w:val="en-GB"/>
              </w:rPr>
              <w:fldChar w:fldCharType="end"/>
            </w:r>
          </w:hyperlink>
        </w:p>
        <w:p w14:paraId="5A27EB5A" w14:textId="0D774A33" w:rsidR="004727B2" w:rsidRPr="00ED437B" w:rsidRDefault="004727B2">
          <w:pPr>
            <w:pStyle w:val="TOC1"/>
            <w:tabs>
              <w:tab w:val="right" w:leader="dot" w:pos="9016"/>
            </w:tabs>
            <w:rPr>
              <w:rFonts w:asciiTheme="minorHAnsi" w:hAnsiTheme="minorHAnsi" w:cstheme="minorBidi"/>
              <w:noProof/>
              <w:kern w:val="2"/>
              <w:szCs w:val="30"/>
              <w:lang w:val="en-GB" w:eastAsia="zh-CN" w:bidi="bn-IN"/>
              <w14:ligatures w14:val="standardContextual"/>
            </w:rPr>
          </w:pPr>
          <w:hyperlink w:anchor="_Toc218179313" w:history="1">
            <w:r w:rsidRPr="00ED437B">
              <w:rPr>
                <w:rStyle w:val="Hyperlink"/>
                <w:noProof/>
                <w:lang w:val="en-GB"/>
              </w:rPr>
              <w:t>Contents of Tables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_Toc218179313 \h </w:instrText>
            </w:r>
            <w:r w:rsidRPr="00ED437B">
              <w:rPr>
                <w:noProof/>
                <w:webHidden/>
                <w:lang w:val="en-GB"/>
              </w:rPr>
            </w:r>
            <w:r w:rsidRPr="00ED437B">
              <w:rPr>
                <w:noProof/>
                <w:webHidden/>
                <w:lang w:val="en-GB"/>
              </w:rPr>
              <w:fldChar w:fldCharType="separate"/>
            </w:r>
            <w:r w:rsidR="00482D95">
              <w:rPr>
                <w:noProof/>
                <w:webHidden/>
                <w:lang w:val="en-GB"/>
              </w:rPr>
              <w:t>6</w:t>
            </w:r>
            <w:r w:rsidRPr="00ED437B">
              <w:rPr>
                <w:noProof/>
                <w:webHidden/>
                <w:lang w:val="en-GB"/>
              </w:rPr>
              <w:fldChar w:fldCharType="end"/>
            </w:r>
          </w:hyperlink>
        </w:p>
        <w:p w14:paraId="487CD17B" w14:textId="165C0602" w:rsidR="004727B2" w:rsidRPr="00ED437B" w:rsidRDefault="004727B2">
          <w:pPr>
            <w:pStyle w:val="TOC1"/>
            <w:tabs>
              <w:tab w:val="left" w:pos="440"/>
              <w:tab w:val="right" w:leader="dot" w:pos="9016"/>
            </w:tabs>
            <w:rPr>
              <w:rFonts w:asciiTheme="minorHAnsi" w:hAnsiTheme="minorHAnsi" w:cstheme="minorBidi"/>
              <w:noProof/>
              <w:kern w:val="2"/>
              <w:szCs w:val="30"/>
              <w:lang w:val="en-GB" w:eastAsia="zh-CN" w:bidi="bn-IN"/>
              <w14:ligatures w14:val="standardContextual"/>
            </w:rPr>
          </w:pPr>
          <w:hyperlink w:anchor="_Toc218179314" w:history="1">
            <w:r w:rsidRPr="00ED437B">
              <w:rPr>
                <w:rStyle w:val="Hyperlink"/>
                <w:noProof/>
                <w:lang w:val="en-GB"/>
              </w:rPr>
              <w:t>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CHAPTER 1: INTRODUCTION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_Toc218179314 \h </w:instrText>
            </w:r>
            <w:r w:rsidRPr="00ED437B">
              <w:rPr>
                <w:noProof/>
                <w:webHidden/>
                <w:lang w:val="en-GB"/>
              </w:rPr>
            </w:r>
            <w:r w:rsidRPr="00ED437B">
              <w:rPr>
                <w:noProof/>
                <w:webHidden/>
                <w:lang w:val="en-GB"/>
              </w:rPr>
              <w:fldChar w:fldCharType="separate"/>
            </w:r>
            <w:r w:rsidR="00482D95">
              <w:rPr>
                <w:noProof/>
                <w:webHidden/>
                <w:lang w:val="en-GB"/>
              </w:rPr>
              <w:t>7</w:t>
            </w:r>
            <w:r w:rsidRPr="00ED437B">
              <w:rPr>
                <w:noProof/>
                <w:webHidden/>
                <w:lang w:val="en-GB"/>
              </w:rPr>
              <w:fldChar w:fldCharType="end"/>
            </w:r>
          </w:hyperlink>
        </w:p>
        <w:p w14:paraId="777D4A33" w14:textId="48023B69"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15" w:history="1">
            <w:r w:rsidRPr="00ED437B">
              <w:rPr>
                <w:rStyle w:val="Hyperlink"/>
                <w:noProof/>
                <w:lang w:val="en-GB"/>
              </w:rPr>
              <w:t>1.1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Background &amp; Problem Statement</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_Toc218179315 \h </w:instrText>
            </w:r>
            <w:r w:rsidRPr="00ED437B">
              <w:rPr>
                <w:noProof/>
                <w:webHidden/>
                <w:lang w:val="en-GB"/>
              </w:rPr>
            </w:r>
            <w:r w:rsidRPr="00ED437B">
              <w:rPr>
                <w:noProof/>
                <w:webHidden/>
                <w:lang w:val="en-GB"/>
              </w:rPr>
              <w:fldChar w:fldCharType="separate"/>
            </w:r>
            <w:r w:rsidR="00482D95">
              <w:rPr>
                <w:noProof/>
                <w:webHidden/>
                <w:lang w:val="en-GB"/>
              </w:rPr>
              <w:t>7</w:t>
            </w:r>
            <w:r w:rsidRPr="00ED437B">
              <w:rPr>
                <w:noProof/>
                <w:webHidden/>
                <w:lang w:val="en-GB"/>
              </w:rPr>
              <w:fldChar w:fldCharType="end"/>
            </w:r>
          </w:hyperlink>
        </w:p>
        <w:p w14:paraId="1C9483A9" w14:textId="10FC8312"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16" w:history="1">
            <w:r w:rsidRPr="00ED437B">
              <w:rPr>
                <w:rStyle w:val="Hyperlink"/>
                <w:noProof/>
                <w:lang w:val="en-GB"/>
              </w:rPr>
              <w:t>1.2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Research Aim</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_Toc218179316 \h </w:instrText>
            </w:r>
            <w:r w:rsidRPr="00ED437B">
              <w:rPr>
                <w:noProof/>
                <w:webHidden/>
                <w:lang w:val="en-GB"/>
              </w:rPr>
            </w:r>
            <w:r w:rsidRPr="00ED437B">
              <w:rPr>
                <w:noProof/>
                <w:webHidden/>
                <w:lang w:val="en-GB"/>
              </w:rPr>
              <w:fldChar w:fldCharType="separate"/>
            </w:r>
            <w:r w:rsidR="00482D95">
              <w:rPr>
                <w:noProof/>
                <w:webHidden/>
                <w:lang w:val="en-GB"/>
              </w:rPr>
              <w:t>9</w:t>
            </w:r>
            <w:r w:rsidRPr="00ED437B">
              <w:rPr>
                <w:noProof/>
                <w:webHidden/>
                <w:lang w:val="en-GB"/>
              </w:rPr>
              <w:fldChar w:fldCharType="end"/>
            </w:r>
          </w:hyperlink>
        </w:p>
        <w:p w14:paraId="088BAB10" w14:textId="0CA5E5C5"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17" w:history="1">
            <w:r w:rsidRPr="00ED437B">
              <w:rPr>
                <w:rStyle w:val="Hyperlink"/>
                <w:noProof/>
                <w:lang w:val="en-GB"/>
              </w:rPr>
              <w:t>1.3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Research Objectives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_Toc218179317 \h </w:instrText>
            </w:r>
            <w:r w:rsidRPr="00ED437B">
              <w:rPr>
                <w:noProof/>
                <w:webHidden/>
                <w:lang w:val="en-GB"/>
              </w:rPr>
            </w:r>
            <w:r w:rsidRPr="00ED437B">
              <w:rPr>
                <w:noProof/>
                <w:webHidden/>
                <w:lang w:val="en-GB"/>
              </w:rPr>
              <w:fldChar w:fldCharType="separate"/>
            </w:r>
            <w:r w:rsidR="00482D95">
              <w:rPr>
                <w:noProof/>
                <w:webHidden/>
                <w:lang w:val="en-GB"/>
              </w:rPr>
              <w:t>9</w:t>
            </w:r>
            <w:r w:rsidRPr="00ED437B">
              <w:rPr>
                <w:noProof/>
                <w:webHidden/>
                <w:lang w:val="en-GB"/>
              </w:rPr>
              <w:fldChar w:fldCharType="end"/>
            </w:r>
          </w:hyperlink>
        </w:p>
        <w:p w14:paraId="712E2EEB" w14:textId="1F19D66D"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18" w:history="1">
            <w:r w:rsidRPr="00ED437B">
              <w:rPr>
                <w:rStyle w:val="Hyperlink"/>
                <w:noProof/>
                <w:lang w:val="en-GB"/>
              </w:rPr>
              <w:t>1.4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Research Questions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_Toc218179318 \h </w:instrText>
            </w:r>
            <w:r w:rsidRPr="00ED437B">
              <w:rPr>
                <w:noProof/>
                <w:webHidden/>
                <w:lang w:val="en-GB"/>
              </w:rPr>
            </w:r>
            <w:r w:rsidRPr="00ED437B">
              <w:rPr>
                <w:noProof/>
                <w:webHidden/>
                <w:lang w:val="en-GB"/>
              </w:rPr>
              <w:fldChar w:fldCharType="separate"/>
            </w:r>
            <w:r w:rsidR="00482D95">
              <w:rPr>
                <w:noProof/>
                <w:webHidden/>
                <w:lang w:val="en-GB"/>
              </w:rPr>
              <w:t>9</w:t>
            </w:r>
            <w:r w:rsidRPr="00ED437B">
              <w:rPr>
                <w:noProof/>
                <w:webHidden/>
                <w:lang w:val="en-GB"/>
              </w:rPr>
              <w:fldChar w:fldCharType="end"/>
            </w:r>
          </w:hyperlink>
        </w:p>
        <w:p w14:paraId="13CAF0B9" w14:textId="61A553A2"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19" w:history="1">
            <w:r w:rsidRPr="00ED437B">
              <w:rPr>
                <w:rStyle w:val="Hyperlink"/>
                <w:noProof/>
                <w:lang w:val="en-GB"/>
              </w:rPr>
              <w:t>1.5</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Significance / Relevance of Study</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_Toc218179319 \h </w:instrText>
            </w:r>
            <w:r w:rsidRPr="00ED437B">
              <w:rPr>
                <w:noProof/>
                <w:webHidden/>
                <w:lang w:val="en-GB"/>
              </w:rPr>
            </w:r>
            <w:r w:rsidRPr="00ED437B">
              <w:rPr>
                <w:noProof/>
                <w:webHidden/>
                <w:lang w:val="en-GB"/>
              </w:rPr>
              <w:fldChar w:fldCharType="separate"/>
            </w:r>
            <w:r w:rsidR="00482D95">
              <w:rPr>
                <w:noProof/>
                <w:webHidden/>
                <w:lang w:val="en-GB"/>
              </w:rPr>
              <w:t>9</w:t>
            </w:r>
            <w:r w:rsidRPr="00ED437B">
              <w:rPr>
                <w:noProof/>
                <w:webHidden/>
                <w:lang w:val="en-GB"/>
              </w:rPr>
              <w:fldChar w:fldCharType="end"/>
            </w:r>
          </w:hyperlink>
        </w:p>
        <w:p w14:paraId="6B81ACB7" w14:textId="38E6797D"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20" w:history="1">
            <w:r w:rsidRPr="00ED437B">
              <w:rPr>
                <w:rStyle w:val="Hyperlink"/>
                <w:noProof/>
                <w:lang w:val="en-GB"/>
              </w:rPr>
              <w:t>1.6</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Brief Research Methodology</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_Toc218179320 \h </w:instrText>
            </w:r>
            <w:r w:rsidRPr="00ED437B">
              <w:rPr>
                <w:noProof/>
                <w:webHidden/>
                <w:lang w:val="en-GB"/>
              </w:rPr>
            </w:r>
            <w:r w:rsidRPr="00ED437B">
              <w:rPr>
                <w:noProof/>
                <w:webHidden/>
                <w:lang w:val="en-GB"/>
              </w:rPr>
              <w:fldChar w:fldCharType="separate"/>
            </w:r>
            <w:r w:rsidR="00482D95">
              <w:rPr>
                <w:noProof/>
                <w:webHidden/>
                <w:lang w:val="en-GB"/>
              </w:rPr>
              <w:t>10</w:t>
            </w:r>
            <w:r w:rsidRPr="00ED437B">
              <w:rPr>
                <w:noProof/>
                <w:webHidden/>
                <w:lang w:val="en-GB"/>
              </w:rPr>
              <w:fldChar w:fldCharType="end"/>
            </w:r>
          </w:hyperlink>
        </w:p>
        <w:p w14:paraId="68CBDB91" w14:textId="6F1440E0"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21" w:history="1">
            <w:r w:rsidRPr="00ED437B">
              <w:rPr>
                <w:rStyle w:val="Hyperlink"/>
                <w:noProof/>
                <w:lang w:val="en-GB"/>
              </w:rPr>
              <w:t>1.7</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Structure of Rest of Project</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_Toc218179321 \h </w:instrText>
            </w:r>
            <w:r w:rsidRPr="00ED437B">
              <w:rPr>
                <w:noProof/>
                <w:webHidden/>
                <w:lang w:val="en-GB"/>
              </w:rPr>
            </w:r>
            <w:r w:rsidRPr="00ED437B">
              <w:rPr>
                <w:noProof/>
                <w:webHidden/>
                <w:lang w:val="en-GB"/>
              </w:rPr>
              <w:fldChar w:fldCharType="separate"/>
            </w:r>
            <w:r w:rsidR="00482D95">
              <w:rPr>
                <w:noProof/>
                <w:webHidden/>
                <w:lang w:val="en-GB"/>
              </w:rPr>
              <w:t>11</w:t>
            </w:r>
            <w:r w:rsidRPr="00ED437B">
              <w:rPr>
                <w:noProof/>
                <w:webHidden/>
                <w:lang w:val="en-GB"/>
              </w:rPr>
              <w:fldChar w:fldCharType="end"/>
            </w:r>
          </w:hyperlink>
        </w:p>
        <w:p w14:paraId="6FB349E0" w14:textId="4BA2CBC7" w:rsidR="004727B2" w:rsidRPr="00ED437B" w:rsidRDefault="004727B2">
          <w:pPr>
            <w:pStyle w:val="TOC1"/>
            <w:tabs>
              <w:tab w:val="left" w:pos="440"/>
              <w:tab w:val="right" w:leader="dot" w:pos="9016"/>
            </w:tabs>
            <w:rPr>
              <w:rFonts w:asciiTheme="minorHAnsi" w:hAnsiTheme="minorHAnsi" w:cstheme="minorBidi"/>
              <w:noProof/>
              <w:kern w:val="2"/>
              <w:szCs w:val="30"/>
              <w:lang w:val="en-GB" w:eastAsia="zh-CN" w:bidi="bn-IN"/>
              <w14:ligatures w14:val="standardContextual"/>
            </w:rPr>
          </w:pPr>
          <w:hyperlink w:anchor="_Toc218179322" w:history="1">
            <w:r w:rsidRPr="00ED437B">
              <w:rPr>
                <w:rStyle w:val="Hyperlink"/>
                <w:noProof/>
                <w:lang w:val="en-GB"/>
              </w:rPr>
              <w:t>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CHAPTER 2: LITERATURE REVIEW</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_Toc218179322 \h </w:instrText>
            </w:r>
            <w:r w:rsidRPr="00ED437B">
              <w:rPr>
                <w:noProof/>
                <w:webHidden/>
                <w:lang w:val="en-GB"/>
              </w:rPr>
            </w:r>
            <w:r w:rsidRPr="00ED437B">
              <w:rPr>
                <w:noProof/>
                <w:webHidden/>
                <w:lang w:val="en-GB"/>
              </w:rPr>
              <w:fldChar w:fldCharType="separate"/>
            </w:r>
            <w:r w:rsidR="00482D95">
              <w:rPr>
                <w:noProof/>
                <w:webHidden/>
                <w:lang w:val="en-GB"/>
              </w:rPr>
              <w:t>12</w:t>
            </w:r>
            <w:r w:rsidRPr="00ED437B">
              <w:rPr>
                <w:noProof/>
                <w:webHidden/>
                <w:lang w:val="en-GB"/>
              </w:rPr>
              <w:fldChar w:fldCharType="end"/>
            </w:r>
          </w:hyperlink>
        </w:p>
        <w:p w14:paraId="4C260E69" w14:textId="5BF53C5E"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23" w:history="1">
            <w:r w:rsidRPr="00ED437B">
              <w:rPr>
                <w:rStyle w:val="Hyperlink"/>
                <w:noProof/>
                <w:lang w:val="en-GB"/>
              </w:rPr>
              <w:t>2.1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Introduction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_Toc218179323 \h </w:instrText>
            </w:r>
            <w:r w:rsidRPr="00ED437B">
              <w:rPr>
                <w:noProof/>
                <w:webHidden/>
                <w:lang w:val="en-GB"/>
              </w:rPr>
            </w:r>
            <w:r w:rsidRPr="00ED437B">
              <w:rPr>
                <w:noProof/>
                <w:webHidden/>
                <w:lang w:val="en-GB"/>
              </w:rPr>
              <w:fldChar w:fldCharType="separate"/>
            </w:r>
            <w:r w:rsidR="00482D95">
              <w:rPr>
                <w:noProof/>
                <w:webHidden/>
                <w:lang w:val="en-GB"/>
              </w:rPr>
              <w:t>12</w:t>
            </w:r>
            <w:r w:rsidRPr="00ED437B">
              <w:rPr>
                <w:noProof/>
                <w:webHidden/>
                <w:lang w:val="en-GB"/>
              </w:rPr>
              <w:fldChar w:fldCharType="end"/>
            </w:r>
          </w:hyperlink>
        </w:p>
        <w:p w14:paraId="6B03ABAE" w14:textId="4A237DE2"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24" w:history="1">
            <w:r w:rsidRPr="00ED437B">
              <w:rPr>
                <w:rStyle w:val="Hyperlink"/>
                <w:noProof/>
                <w:lang w:val="en-GB"/>
              </w:rPr>
              <w:t>2.2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Research Areas / Topics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_Toc218179324 \h </w:instrText>
            </w:r>
            <w:r w:rsidRPr="00ED437B">
              <w:rPr>
                <w:noProof/>
                <w:webHidden/>
                <w:lang w:val="en-GB"/>
              </w:rPr>
            </w:r>
            <w:r w:rsidRPr="00ED437B">
              <w:rPr>
                <w:noProof/>
                <w:webHidden/>
                <w:lang w:val="en-GB"/>
              </w:rPr>
              <w:fldChar w:fldCharType="separate"/>
            </w:r>
            <w:r w:rsidR="00482D95">
              <w:rPr>
                <w:noProof/>
                <w:webHidden/>
                <w:lang w:val="en-GB"/>
              </w:rPr>
              <w:t>12</w:t>
            </w:r>
            <w:r w:rsidRPr="00ED437B">
              <w:rPr>
                <w:noProof/>
                <w:webHidden/>
                <w:lang w:val="en-GB"/>
              </w:rPr>
              <w:fldChar w:fldCharType="end"/>
            </w:r>
          </w:hyperlink>
        </w:p>
        <w:p w14:paraId="06DE34BD" w14:textId="36D33FD9"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25" w:history="1">
            <w:r w:rsidRPr="00ED437B">
              <w:rPr>
                <w:rStyle w:val="Hyperlink"/>
                <w:noProof/>
                <w:lang w:val="en-GB"/>
              </w:rPr>
              <w:t>2.2.1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Key Motivations and Work-Related Values of Generation Z</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_Toc218179325 \h </w:instrText>
            </w:r>
            <w:r w:rsidRPr="00ED437B">
              <w:rPr>
                <w:noProof/>
                <w:webHidden/>
                <w:lang w:val="en-GB"/>
              </w:rPr>
            </w:r>
            <w:r w:rsidRPr="00ED437B">
              <w:rPr>
                <w:noProof/>
                <w:webHidden/>
                <w:lang w:val="en-GB"/>
              </w:rPr>
              <w:fldChar w:fldCharType="separate"/>
            </w:r>
            <w:r w:rsidR="00482D95">
              <w:rPr>
                <w:noProof/>
                <w:webHidden/>
                <w:lang w:val="en-GB"/>
              </w:rPr>
              <w:t>12</w:t>
            </w:r>
            <w:r w:rsidRPr="00ED437B">
              <w:rPr>
                <w:noProof/>
                <w:webHidden/>
                <w:lang w:val="en-GB"/>
              </w:rPr>
              <w:fldChar w:fldCharType="end"/>
            </w:r>
          </w:hyperlink>
        </w:p>
        <w:p w14:paraId="1599FA53" w14:textId="44C2F82E"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26" w:history="1">
            <w:r w:rsidRPr="00ED437B">
              <w:rPr>
                <w:rStyle w:val="Hyperlink"/>
                <w:noProof/>
                <w:lang w:val="en-GB"/>
              </w:rPr>
              <w:t>2.2.2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Challenges and Barriers Faced by Generation Z in Organisational Settings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_Toc218179326 \h </w:instrText>
            </w:r>
            <w:r w:rsidRPr="00ED437B">
              <w:rPr>
                <w:noProof/>
                <w:webHidden/>
                <w:lang w:val="en-GB"/>
              </w:rPr>
            </w:r>
            <w:r w:rsidRPr="00ED437B">
              <w:rPr>
                <w:noProof/>
                <w:webHidden/>
                <w:lang w:val="en-GB"/>
              </w:rPr>
              <w:fldChar w:fldCharType="separate"/>
            </w:r>
            <w:r w:rsidR="00482D95">
              <w:rPr>
                <w:noProof/>
                <w:webHidden/>
                <w:lang w:val="en-GB"/>
              </w:rPr>
              <w:t>15</w:t>
            </w:r>
            <w:r w:rsidRPr="00ED437B">
              <w:rPr>
                <w:noProof/>
                <w:webHidden/>
                <w:lang w:val="en-GB"/>
              </w:rPr>
              <w:fldChar w:fldCharType="end"/>
            </w:r>
          </w:hyperlink>
        </w:p>
        <w:p w14:paraId="4F24F674" w14:textId="6A7F1A0C"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27" w:history="1">
            <w:r w:rsidRPr="00ED437B">
              <w:rPr>
                <w:rStyle w:val="Hyperlink"/>
                <w:noProof/>
                <w:lang w:val="en-GB"/>
              </w:rPr>
              <w:t>2.2.3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Organisational Policies and Practices to Support Generation Z</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_Toc218179327 \h </w:instrText>
            </w:r>
            <w:r w:rsidRPr="00ED437B">
              <w:rPr>
                <w:noProof/>
                <w:webHidden/>
                <w:lang w:val="en-GB"/>
              </w:rPr>
            </w:r>
            <w:r w:rsidRPr="00ED437B">
              <w:rPr>
                <w:noProof/>
                <w:webHidden/>
                <w:lang w:val="en-GB"/>
              </w:rPr>
              <w:fldChar w:fldCharType="separate"/>
            </w:r>
            <w:r w:rsidR="00482D95">
              <w:rPr>
                <w:noProof/>
                <w:webHidden/>
                <w:lang w:val="en-GB"/>
              </w:rPr>
              <w:t>17</w:t>
            </w:r>
            <w:r w:rsidRPr="00ED437B">
              <w:rPr>
                <w:noProof/>
                <w:webHidden/>
                <w:lang w:val="en-GB"/>
              </w:rPr>
              <w:fldChar w:fldCharType="end"/>
            </w:r>
          </w:hyperlink>
        </w:p>
        <w:p w14:paraId="580F91BD" w14:textId="5D4790BE"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28" w:history="1">
            <w:r w:rsidRPr="00ED437B">
              <w:rPr>
                <w:rStyle w:val="Hyperlink"/>
                <w:noProof/>
                <w:lang w:val="en-GB"/>
              </w:rPr>
              <w:t>2.3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Conceptual Framework</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_Toc218179328 \h </w:instrText>
            </w:r>
            <w:r w:rsidRPr="00ED437B">
              <w:rPr>
                <w:noProof/>
                <w:webHidden/>
                <w:lang w:val="en-GB"/>
              </w:rPr>
            </w:r>
            <w:r w:rsidRPr="00ED437B">
              <w:rPr>
                <w:noProof/>
                <w:webHidden/>
                <w:lang w:val="en-GB"/>
              </w:rPr>
              <w:fldChar w:fldCharType="separate"/>
            </w:r>
            <w:r w:rsidR="00482D95">
              <w:rPr>
                <w:noProof/>
                <w:webHidden/>
                <w:lang w:val="en-GB"/>
              </w:rPr>
              <w:t>20</w:t>
            </w:r>
            <w:r w:rsidRPr="00ED437B">
              <w:rPr>
                <w:noProof/>
                <w:webHidden/>
                <w:lang w:val="en-GB"/>
              </w:rPr>
              <w:fldChar w:fldCharType="end"/>
            </w:r>
          </w:hyperlink>
        </w:p>
        <w:p w14:paraId="6856D214" w14:textId="4F8289E1"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29" w:history="1">
            <w:r w:rsidRPr="00ED437B">
              <w:rPr>
                <w:rStyle w:val="Hyperlink"/>
                <w:noProof/>
                <w:lang w:val="en-GB"/>
              </w:rPr>
              <w:t>2.4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Conclusion of Chapter</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_Toc218179329 \h </w:instrText>
            </w:r>
            <w:r w:rsidRPr="00ED437B">
              <w:rPr>
                <w:noProof/>
                <w:webHidden/>
                <w:lang w:val="en-GB"/>
              </w:rPr>
            </w:r>
            <w:r w:rsidRPr="00ED437B">
              <w:rPr>
                <w:noProof/>
                <w:webHidden/>
                <w:lang w:val="en-GB"/>
              </w:rPr>
              <w:fldChar w:fldCharType="separate"/>
            </w:r>
            <w:r w:rsidR="00482D95">
              <w:rPr>
                <w:noProof/>
                <w:webHidden/>
                <w:lang w:val="en-GB"/>
              </w:rPr>
              <w:t>22</w:t>
            </w:r>
            <w:r w:rsidRPr="00ED437B">
              <w:rPr>
                <w:noProof/>
                <w:webHidden/>
                <w:lang w:val="en-GB"/>
              </w:rPr>
              <w:fldChar w:fldCharType="end"/>
            </w:r>
          </w:hyperlink>
        </w:p>
        <w:p w14:paraId="65C641F9" w14:textId="30CE2B50" w:rsidR="004727B2" w:rsidRPr="00ED437B" w:rsidRDefault="004727B2">
          <w:pPr>
            <w:pStyle w:val="TOC1"/>
            <w:tabs>
              <w:tab w:val="left" w:pos="440"/>
              <w:tab w:val="right" w:leader="dot" w:pos="9016"/>
            </w:tabs>
            <w:rPr>
              <w:rFonts w:asciiTheme="minorHAnsi" w:hAnsiTheme="minorHAnsi" w:cstheme="minorBidi"/>
              <w:noProof/>
              <w:kern w:val="2"/>
              <w:szCs w:val="30"/>
              <w:lang w:val="en-GB" w:eastAsia="zh-CN" w:bidi="bn-IN"/>
              <w14:ligatures w14:val="standardContextual"/>
            </w:rPr>
          </w:pPr>
          <w:hyperlink w:anchor="_Toc218179330" w:history="1">
            <w:r w:rsidRPr="00ED437B">
              <w:rPr>
                <w:rStyle w:val="Hyperlink"/>
                <w:noProof/>
                <w:lang w:val="en-GB"/>
              </w:rPr>
              <w:t>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CHAPTER 3: RESEARCH METHODOLOGY</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_Toc218179330 \h </w:instrText>
            </w:r>
            <w:r w:rsidRPr="00ED437B">
              <w:rPr>
                <w:noProof/>
                <w:webHidden/>
                <w:lang w:val="en-GB"/>
              </w:rPr>
            </w:r>
            <w:r w:rsidRPr="00ED437B">
              <w:rPr>
                <w:noProof/>
                <w:webHidden/>
                <w:lang w:val="en-GB"/>
              </w:rPr>
              <w:fldChar w:fldCharType="separate"/>
            </w:r>
            <w:r w:rsidR="00482D95">
              <w:rPr>
                <w:noProof/>
                <w:webHidden/>
                <w:lang w:val="en-GB"/>
              </w:rPr>
              <w:t>23</w:t>
            </w:r>
            <w:r w:rsidRPr="00ED437B">
              <w:rPr>
                <w:noProof/>
                <w:webHidden/>
                <w:lang w:val="en-GB"/>
              </w:rPr>
              <w:fldChar w:fldCharType="end"/>
            </w:r>
          </w:hyperlink>
        </w:p>
        <w:p w14:paraId="01DDDF34" w14:textId="48B35F99"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31" w:history="1">
            <w:r w:rsidRPr="00ED437B">
              <w:rPr>
                <w:rStyle w:val="Hyperlink"/>
                <w:noProof/>
                <w:lang w:val="en-GB"/>
              </w:rPr>
              <w:t>3.1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Introduction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_Toc218179331 \h </w:instrText>
            </w:r>
            <w:r w:rsidRPr="00ED437B">
              <w:rPr>
                <w:noProof/>
                <w:webHidden/>
                <w:lang w:val="en-GB"/>
              </w:rPr>
            </w:r>
            <w:r w:rsidRPr="00ED437B">
              <w:rPr>
                <w:noProof/>
                <w:webHidden/>
                <w:lang w:val="en-GB"/>
              </w:rPr>
              <w:fldChar w:fldCharType="separate"/>
            </w:r>
            <w:r w:rsidR="00482D95">
              <w:rPr>
                <w:noProof/>
                <w:webHidden/>
                <w:lang w:val="en-GB"/>
              </w:rPr>
              <w:t>23</w:t>
            </w:r>
            <w:r w:rsidRPr="00ED437B">
              <w:rPr>
                <w:noProof/>
                <w:webHidden/>
                <w:lang w:val="en-GB"/>
              </w:rPr>
              <w:fldChar w:fldCharType="end"/>
            </w:r>
          </w:hyperlink>
        </w:p>
        <w:p w14:paraId="37C87707" w14:textId="437DE0C7"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32" w:history="1">
            <w:r w:rsidRPr="00ED437B">
              <w:rPr>
                <w:rStyle w:val="Hyperlink"/>
                <w:noProof/>
                <w:lang w:val="en-GB"/>
              </w:rPr>
              <w:t>3.2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Research Philosophies and Assumptions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_Toc218179332 \h </w:instrText>
            </w:r>
            <w:r w:rsidRPr="00ED437B">
              <w:rPr>
                <w:noProof/>
                <w:webHidden/>
                <w:lang w:val="en-GB"/>
              </w:rPr>
            </w:r>
            <w:r w:rsidRPr="00ED437B">
              <w:rPr>
                <w:noProof/>
                <w:webHidden/>
                <w:lang w:val="en-GB"/>
              </w:rPr>
              <w:fldChar w:fldCharType="separate"/>
            </w:r>
            <w:r w:rsidR="00482D95">
              <w:rPr>
                <w:noProof/>
                <w:webHidden/>
                <w:lang w:val="en-GB"/>
              </w:rPr>
              <w:t>23</w:t>
            </w:r>
            <w:r w:rsidRPr="00ED437B">
              <w:rPr>
                <w:noProof/>
                <w:webHidden/>
                <w:lang w:val="en-GB"/>
              </w:rPr>
              <w:fldChar w:fldCharType="end"/>
            </w:r>
          </w:hyperlink>
        </w:p>
        <w:p w14:paraId="208B16AC" w14:textId="2D3213A8"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33" w:history="1">
            <w:r w:rsidRPr="00ED437B">
              <w:rPr>
                <w:rStyle w:val="Hyperlink"/>
                <w:noProof/>
                <w:lang w:val="en-GB"/>
              </w:rPr>
              <w:t>3.3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Research Design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_Toc218179333 \h </w:instrText>
            </w:r>
            <w:r w:rsidRPr="00ED437B">
              <w:rPr>
                <w:noProof/>
                <w:webHidden/>
                <w:lang w:val="en-GB"/>
              </w:rPr>
            </w:r>
            <w:r w:rsidRPr="00ED437B">
              <w:rPr>
                <w:noProof/>
                <w:webHidden/>
                <w:lang w:val="en-GB"/>
              </w:rPr>
              <w:fldChar w:fldCharType="separate"/>
            </w:r>
            <w:r w:rsidR="00482D95">
              <w:rPr>
                <w:noProof/>
                <w:webHidden/>
                <w:lang w:val="en-GB"/>
              </w:rPr>
              <w:t>24</w:t>
            </w:r>
            <w:r w:rsidRPr="00ED437B">
              <w:rPr>
                <w:noProof/>
                <w:webHidden/>
                <w:lang w:val="en-GB"/>
              </w:rPr>
              <w:fldChar w:fldCharType="end"/>
            </w:r>
          </w:hyperlink>
        </w:p>
        <w:p w14:paraId="12F187C6" w14:textId="08D337BE"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34" w:history="1">
            <w:r w:rsidRPr="00ED437B">
              <w:rPr>
                <w:rStyle w:val="Hyperlink"/>
                <w:noProof/>
                <w:lang w:val="en-GB"/>
              </w:rPr>
              <w:t>3.4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Research Approaches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_Toc218179334 \h </w:instrText>
            </w:r>
            <w:r w:rsidRPr="00ED437B">
              <w:rPr>
                <w:noProof/>
                <w:webHidden/>
                <w:lang w:val="en-GB"/>
              </w:rPr>
            </w:r>
            <w:r w:rsidRPr="00ED437B">
              <w:rPr>
                <w:noProof/>
                <w:webHidden/>
                <w:lang w:val="en-GB"/>
              </w:rPr>
              <w:fldChar w:fldCharType="separate"/>
            </w:r>
            <w:r w:rsidR="00482D95">
              <w:rPr>
                <w:noProof/>
                <w:webHidden/>
                <w:lang w:val="en-GB"/>
              </w:rPr>
              <w:t>26</w:t>
            </w:r>
            <w:r w:rsidRPr="00ED437B">
              <w:rPr>
                <w:noProof/>
                <w:webHidden/>
                <w:lang w:val="en-GB"/>
              </w:rPr>
              <w:fldChar w:fldCharType="end"/>
            </w:r>
          </w:hyperlink>
        </w:p>
        <w:p w14:paraId="56F26EC0" w14:textId="7BD5743B"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35" w:history="1">
            <w:r w:rsidRPr="00ED437B">
              <w:rPr>
                <w:rStyle w:val="Hyperlink"/>
                <w:noProof/>
                <w:lang w:val="en-GB"/>
              </w:rPr>
              <w:t>3.5</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Data Collection Methods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_Toc218179335 \h </w:instrText>
            </w:r>
            <w:r w:rsidRPr="00ED437B">
              <w:rPr>
                <w:noProof/>
                <w:webHidden/>
                <w:lang w:val="en-GB"/>
              </w:rPr>
            </w:r>
            <w:r w:rsidRPr="00ED437B">
              <w:rPr>
                <w:noProof/>
                <w:webHidden/>
                <w:lang w:val="en-GB"/>
              </w:rPr>
              <w:fldChar w:fldCharType="separate"/>
            </w:r>
            <w:r w:rsidR="00482D95">
              <w:rPr>
                <w:noProof/>
                <w:webHidden/>
                <w:lang w:val="en-GB"/>
              </w:rPr>
              <w:t>27</w:t>
            </w:r>
            <w:r w:rsidRPr="00ED437B">
              <w:rPr>
                <w:noProof/>
                <w:webHidden/>
                <w:lang w:val="en-GB"/>
              </w:rPr>
              <w:fldChar w:fldCharType="end"/>
            </w:r>
          </w:hyperlink>
        </w:p>
        <w:p w14:paraId="2D8FA1F4" w14:textId="5E3914D4"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36" w:history="1">
            <w:r w:rsidRPr="00ED437B">
              <w:rPr>
                <w:rStyle w:val="Hyperlink"/>
                <w:noProof/>
                <w:lang w:val="en-GB"/>
              </w:rPr>
              <w:t>3.5.1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Methods and Justification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_Toc218179336 \h </w:instrText>
            </w:r>
            <w:r w:rsidRPr="00ED437B">
              <w:rPr>
                <w:noProof/>
                <w:webHidden/>
                <w:lang w:val="en-GB"/>
              </w:rPr>
            </w:r>
            <w:r w:rsidRPr="00ED437B">
              <w:rPr>
                <w:noProof/>
                <w:webHidden/>
                <w:lang w:val="en-GB"/>
              </w:rPr>
              <w:fldChar w:fldCharType="separate"/>
            </w:r>
            <w:r w:rsidR="00482D95">
              <w:rPr>
                <w:noProof/>
                <w:webHidden/>
                <w:lang w:val="en-GB"/>
              </w:rPr>
              <w:t>27</w:t>
            </w:r>
            <w:r w:rsidRPr="00ED437B">
              <w:rPr>
                <w:noProof/>
                <w:webHidden/>
                <w:lang w:val="en-GB"/>
              </w:rPr>
              <w:fldChar w:fldCharType="end"/>
            </w:r>
          </w:hyperlink>
        </w:p>
        <w:p w14:paraId="7A44DE2F" w14:textId="1B4FC738"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37" w:history="1">
            <w:r w:rsidRPr="00ED437B">
              <w:rPr>
                <w:rStyle w:val="Hyperlink"/>
                <w:noProof/>
                <w:lang w:val="en-GB"/>
              </w:rPr>
              <w:t>3.5.2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Data sources and databases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_Toc218179337 \h </w:instrText>
            </w:r>
            <w:r w:rsidRPr="00ED437B">
              <w:rPr>
                <w:noProof/>
                <w:webHidden/>
                <w:lang w:val="en-GB"/>
              </w:rPr>
            </w:r>
            <w:r w:rsidRPr="00ED437B">
              <w:rPr>
                <w:noProof/>
                <w:webHidden/>
                <w:lang w:val="en-GB"/>
              </w:rPr>
              <w:fldChar w:fldCharType="separate"/>
            </w:r>
            <w:r w:rsidR="00482D95">
              <w:rPr>
                <w:noProof/>
                <w:webHidden/>
                <w:lang w:val="en-GB"/>
              </w:rPr>
              <w:t>27</w:t>
            </w:r>
            <w:r w:rsidRPr="00ED437B">
              <w:rPr>
                <w:noProof/>
                <w:webHidden/>
                <w:lang w:val="en-GB"/>
              </w:rPr>
              <w:fldChar w:fldCharType="end"/>
            </w:r>
          </w:hyperlink>
        </w:p>
        <w:p w14:paraId="3F0CBB64" w14:textId="0FA2297C"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38" w:history="1">
            <w:r w:rsidRPr="00ED437B">
              <w:rPr>
                <w:rStyle w:val="Hyperlink"/>
                <w:noProof/>
                <w:lang w:val="en-GB"/>
              </w:rPr>
              <w:t>3.5.3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Search strategy and keywords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_Toc218179338 \h </w:instrText>
            </w:r>
            <w:r w:rsidRPr="00ED437B">
              <w:rPr>
                <w:noProof/>
                <w:webHidden/>
                <w:lang w:val="en-GB"/>
              </w:rPr>
            </w:r>
            <w:r w:rsidRPr="00ED437B">
              <w:rPr>
                <w:noProof/>
                <w:webHidden/>
                <w:lang w:val="en-GB"/>
              </w:rPr>
              <w:fldChar w:fldCharType="separate"/>
            </w:r>
            <w:r w:rsidR="00482D95">
              <w:rPr>
                <w:noProof/>
                <w:webHidden/>
                <w:lang w:val="en-GB"/>
              </w:rPr>
              <w:t>28</w:t>
            </w:r>
            <w:r w:rsidRPr="00ED437B">
              <w:rPr>
                <w:noProof/>
                <w:webHidden/>
                <w:lang w:val="en-GB"/>
              </w:rPr>
              <w:fldChar w:fldCharType="end"/>
            </w:r>
          </w:hyperlink>
        </w:p>
        <w:p w14:paraId="667DD127" w14:textId="57330CC8"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39" w:history="1">
            <w:r w:rsidRPr="00ED437B">
              <w:rPr>
                <w:rStyle w:val="Hyperlink"/>
                <w:noProof/>
                <w:lang w:val="en-GB"/>
              </w:rPr>
              <w:t>3.5.4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Inclusion and exclusion criteria</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_Toc218179339 \h </w:instrText>
            </w:r>
            <w:r w:rsidRPr="00ED437B">
              <w:rPr>
                <w:noProof/>
                <w:webHidden/>
                <w:lang w:val="en-GB"/>
              </w:rPr>
            </w:r>
            <w:r w:rsidRPr="00ED437B">
              <w:rPr>
                <w:noProof/>
                <w:webHidden/>
                <w:lang w:val="en-GB"/>
              </w:rPr>
              <w:fldChar w:fldCharType="separate"/>
            </w:r>
            <w:r w:rsidR="00482D95">
              <w:rPr>
                <w:noProof/>
                <w:webHidden/>
                <w:lang w:val="en-GB"/>
              </w:rPr>
              <w:t>29</w:t>
            </w:r>
            <w:r w:rsidRPr="00ED437B">
              <w:rPr>
                <w:noProof/>
                <w:webHidden/>
                <w:lang w:val="en-GB"/>
              </w:rPr>
              <w:fldChar w:fldCharType="end"/>
            </w:r>
          </w:hyperlink>
        </w:p>
        <w:p w14:paraId="03CDBF9B" w14:textId="57BA2865"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40" w:history="1">
            <w:r w:rsidRPr="00ED437B">
              <w:rPr>
                <w:rStyle w:val="Hyperlink"/>
                <w:noProof/>
                <w:lang w:val="en-GB"/>
              </w:rPr>
              <w:t>3.5.5</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Screening process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_Toc218179340 \h </w:instrText>
            </w:r>
            <w:r w:rsidRPr="00ED437B">
              <w:rPr>
                <w:noProof/>
                <w:webHidden/>
                <w:lang w:val="en-GB"/>
              </w:rPr>
            </w:r>
            <w:r w:rsidRPr="00ED437B">
              <w:rPr>
                <w:noProof/>
                <w:webHidden/>
                <w:lang w:val="en-GB"/>
              </w:rPr>
              <w:fldChar w:fldCharType="separate"/>
            </w:r>
            <w:r w:rsidR="00482D95">
              <w:rPr>
                <w:noProof/>
                <w:webHidden/>
                <w:lang w:val="en-GB"/>
              </w:rPr>
              <w:t>30</w:t>
            </w:r>
            <w:r w:rsidRPr="00ED437B">
              <w:rPr>
                <w:noProof/>
                <w:webHidden/>
                <w:lang w:val="en-GB"/>
              </w:rPr>
              <w:fldChar w:fldCharType="end"/>
            </w:r>
          </w:hyperlink>
        </w:p>
        <w:p w14:paraId="073C4925" w14:textId="3CCA0148"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41" w:history="1">
            <w:r w:rsidRPr="00ED437B">
              <w:rPr>
                <w:rStyle w:val="Hyperlink"/>
                <w:noProof/>
                <w:lang w:val="en-GB"/>
              </w:rPr>
              <w:t>3.5.6</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Data extraction and Synthesis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_Toc218179341 \h </w:instrText>
            </w:r>
            <w:r w:rsidRPr="00ED437B">
              <w:rPr>
                <w:noProof/>
                <w:webHidden/>
                <w:lang w:val="en-GB"/>
              </w:rPr>
            </w:r>
            <w:r w:rsidRPr="00ED437B">
              <w:rPr>
                <w:noProof/>
                <w:webHidden/>
                <w:lang w:val="en-GB"/>
              </w:rPr>
              <w:fldChar w:fldCharType="separate"/>
            </w:r>
            <w:r w:rsidR="00482D95">
              <w:rPr>
                <w:noProof/>
                <w:webHidden/>
                <w:lang w:val="en-GB"/>
              </w:rPr>
              <w:t>30</w:t>
            </w:r>
            <w:r w:rsidRPr="00ED437B">
              <w:rPr>
                <w:noProof/>
                <w:webHidden/>
                <w:lang w:val="en-GB"/>
              </w:rPr>
              <w:fldChar w:fldCharType="end"/>
            </w:r>
          </w:hyperlink>
        </w:p>
        <w:p w14:paraId="2ECECDE2" w14:textId="445B5DCC"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42" w:history="1">
            <w:r w:rsidRPr="00ED437B">
              <w:rPr>
                <w:rStyle w:val="Hyperlink"/>
                <w:noProof/>
                <w:lang w:val="en-GB"/>
              </w:rPr>
              <w:t>3.5.7</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Quality appraisal of included studies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_Toc218179342 \h </w:instrText>
            </w:r>
            <w:r w:rsidRPr="00ED437B">
              <w:rPr>
                <w:noProof/>
                <w:webHidden/>
                <w:lang w:val="en-GB"/>
              </w:rPr>
            </w:r>
            <w:r w:rsidRPr="00ED437B">
              <w:rPr>
                <w:noProof/>
                <w:webHidden/>
                <w:lang w:val="en-GB"/>
              </w:rPr>
              <w:fldChar w:fldCharType="separate"/>
            </w:r>
            <w:r w:rsidR="00482D95">
              <w:rPr>
                <w:noProof/>
                <w:webHidden/>
                <w:lang w:val="en-GB"/>
              </w:rPr>
              <w:t>31</w:t>
            </w:r>
            <w:r w:rsidRPr="00ED437B">
              <w:rPr>
                <w:noProof/>
                <w:webHidden/>
                <w:lang w:val="en-GB"/>
              </w:rPr>
              <w:fldChar w:fldCharType="end"/>
            </w:r>
          </w:hyperlink>
        </w:p>
        <w:p w14:paraId="4EBD2ED8" w14:textId="5BF37AEF"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43" w:history="1">
            <w:r w:rsidRPr="00ED437B">
              <w:rPr>
                <w:rStyle w:val="Hyperlink"/>
                <w:noProof/>
                <w:lang w:val="en-GB"/>
              </w:rPr>
              <w:t>3.6</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Ethical Considerations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_Toc218179343 \h </w:instrText>
            </w:r>
            <w:r w:rsidRPr="00ED437B">
              <w:rPr>
                <w:noProof/>
                <w:webHidden/>
                <w:lang w:val="en-GB"/>
              </w:rPr>
            </w:r>
            <w:r w:rsidRPr="00ED437B">
              <w:rPr>
                <w:noProof/>
                <w:webHidden/>
                <w:lang w:val="en-GB"/>
              </w:rPr>
              <w:fldChar w:fldCharType="separate"/>
            </w:r>
            <w:r w:rsidR="00482D95">
              <w:rPr>
                <w:noProof/>
                <w:webHidden/>
                <w:lang w:val="en-GB"/>
              </w:rPr>
              <w:t>32</w:t>
            </w:r>
            <w:r w:rsidRPr="00ED437B">
              <w:rPr>
                <w:noProof/>
                <w:webHidden/>
                <w:lang w:val="en-GB"/>
              </w:rPr>
              <w:fldChar w:fldCharType="end"/>
            </w:r>
          </w:hyperlink>
        </w:p>
        <w:p w14:paraId="4ABAE2D8" w14:textId="0BEEB61D"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44" w:history="1">
            <w:r w:rsidRPr="00ED437B">
              <w:rPr>
                <w:rStyle w:val="Hyperlink"/>
                <w:noProof/>
                <w:lang w:val="en-GB"/>
              </w:rPr>
              <w:t>3.7</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Conclusion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_Toc218179344 \h </w:instrText>
            </w:r>
            <w:r w:rsidRPr="00ED437B">
              <w:rPr>
                <w:noProof/>
                <w:webHidden/>
                <w:lang w:val="en-GB"/>
              </w:rPr>
            </w:r>
            <w:r w:rsidRPr="00ED437B">
              <w:rPr>
                <w:noProof/>
                <w:webHidden/>
                <w:lang w:val="en-GB"/>
              </w:rPr>
              <w:fldChar w:fldCharType="separate"/>
            </w:r>
            <w:r w:rsidR="00482D95">
              <w:rPr>
                <w:noProof/>
                <w:webHidden/>
                <w:lang w:val="en-GB"/>
              </w:rPr>
              <w:t>32</w:t>
            </w:r>
            <w:r w:rsidRPr="00ED437B">
              <w:rPr>
                <w:noProof/>
                <w:webHidden/>
                <w:lang w:val="en-GB"/>
              </w:rPr>
              <w:fldChar w:fldCharType="end"/>
            </w:r>
          </w:hyperlink>
        </w:p>
        <w:p w14:paraId="7E9D5228" w14:textId="49B33DF9" w:rsidR="004727B2" w:rsidRPr="00ED437B" w:rsidRDefault="004727B2">
          <w:pPr>
            <w:pStyle w:val="TOC1"/>
            <w:tabs>
              <w:tab w:val="left" w:pos="440"/>
              <w:tab w:val="right" w:leader="dot" w:pos="9016"/>
            </w:tabs>
            <w:rPr>
              <w:rFonts w:asciiTheme="minorHAnsi" w:hAnsiTheme="minorHAnsi" w:cstheme="minorBidi"/>
              <w:noProof/>
              <w:kern w:val="2"/>
              <w:szCs w:val="30"/>
              <w:lang w:val="en-GB" w:eastAsia="zh-CN" w:bidi="bn-IN"/>
              <w14:ligatures w14:val="standardContextual"/>
            </w:rPr>
          </w:pPr>
          <w:hyperlink w:anchor="_Toc218179345" w:history="1">
            <w:r w:rsidRPr="00ED437B">
              <w:rPr>
                <w:rStyle w:val="Hyperlink"/>
                <w:noProof/>
                <w:lang w:val="en-GB"/>
              </w:rPr>
              <w:t>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CHAPTER 4: FINDINGS, ANALYSIS AND DISCUSSION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_Toc218179345 \h </w:instrText>
            </w:r>
            <w:r w:rsidRPr="00ED437B">
              <w:rPr>
                <w:noProof/>
                <w:webHidden/>
                <w:lang w:val="en-GB"/>
              </w:rPr>
            </w:r>
            <w:r w:rsidRPr="00ED437B">
              <w:rPr>
                <w:noProof/>
                <w:webHidden/>
                <w:lang w:val="en-GB"/>
              </w:rPr>
              <w:fldChar w:fldCharType="separate"/>
            </w:r>
            <w:r w:rsidR="00482D95">
              <w:rPr>
                <w:noProof/>
                <w:webHidden/>
                <w:lang w:val="en-GB"/>
              </w:rPr>
              <w:t>33</w:t>
            </w:r>
            <w:r w:rsidRPr="00ED437B">
              <w:rPr>
                <w:noProof/>
                <w:webHidden/>
                <w:lang w:val="en-GB"/>
              </w:rPr>
              <w:fldChar w:fldCharType="end"/>
            </w:r>
          </w:hyperlink>
        </w:p>
        <w:p w14:paraId="7465B2A0" w14:textId="07C11E60"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46" w:history="1">
            <w:r w:rsidRPr="00ED437B">
              <w:rPr>
                <w:rStyle w:val="Hyperlink"/>
                <w:noProof/>
                <w:lang w:val="en-GB"/>
              </w:rPr>
              <w:t>4.1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Introduction</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_Toc218179346 \h </w:instrText>
            </w:r>
            <w:r w:rsidRPr="00ED437B">
              <w:rPr>
                <w:noProof/>
                <w:webHidden/>
                <w:lang w:val="en-GB"/>
              </w:rPr>
            </w:r>
            <w:r w:rsidRPr="00ED437B">
              <w:rPr>
                <w:noProof/>
                <w:webHidden/>
                <w:lang w:val="en-GB"/>
              </w:rPr>
              <w:fldChar w:fldCharType="separate"/>
            </w:r>
            <w:r w:rsidR="00482D95">
              <w:rPr>
                <w:noProof/>
                <w:webHidden/>
                <w:lang w:val="en-GB"/>
              </w:rPr>
              <w:t>33</w:t>
            </w:r>
            <w:r w:rsidRPr="00ED437B">
              <w:rPr>
                <w:noProof/>
                <w:webHidden/>
                <w:lang w:val="en-GB"/>
              </w:rPr>
              <w:fldChar w:fldCharType="end"/>
            </w:r>
          </w:hyperlink>
        </w:p>
        <w:p w14:paraId="7C82AC1E" w14:textId="4F9877B3"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47" w:history="1">
            <w:r w:rsidRPr="00ED437B">
              <w:rPr>
                <w:rStyle w:val="Hyperlink"/>
                <w:noProof/>
                <w:lang w:val="en-GB"/>
              </w:rPr>
              <w:t>4.2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Presentation of Findings and Quality</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_Toc218179347 \h </w:instrText>
            </w:r>
            <w:r w:rsidRPr="00ED437B">
              <w:rPr>
                <w:noProof/>
                <w:webHidden/>
                <w:lang w:val="en-GB"/>
              </w:rPr>
            </w:r>
            <w:r w:rsidRPr="00ED437B">
              <w:rPr>
                <w:noProof/>
                <w:webHidden/>
                <w:lang w:val="en-GB"/>
              </w:rPr>
              <w:fldChar w:fldCharType="separate"/>
            </w:r>
            <w:r w:rsidR="00482D95">
              <w:rPr>
                <w:noProof/>
                <w:webHidden/>
                <w:lang w:val="en-GB"/>
              </w:rPr>
              <w:t>33</w:t>
            </w:r>
            <w:r w:rsidRPr="00ED437B">
              <w:rPr>
                <w:noProof/>
                <w:webHidden/>
                <w:lang w:val="en-GB"/>
              </w:rPr>
              <w:fldChar w:fldCharType="end"/>
            </w:r>
          </w:hyperlink>
        </w:p>
        <w:p w14:paraId="3C11EED0" w14:textId="0E2CB3CE"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48" w:history="1">
            <w:r w:rsidRPr="00ED437B">
              <w:rPr>
                <w:rStyle w:val="Hyperlink"/>
                <w:noProof/>
                <w:lang w:val="en-GB"/>
              </w:rPr>
              <w:t>4.3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RQ1: Key Motivations and Work-Related Values of Generation Z in the Workforce</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_Toc218179348 \h </w:instrText>
            </w:r>
            <w:r w:rsidRPr="00ED437B">
              <w:rPr>
                <w:noProof/>
                <w:webHidden/>
                <w:lang w:val="en-GB"/>
              </w:rPr>
            </w:r>
            <w:r w:rsidRPr="00ED437B">
              <w:rPr>
                <w:noProof/>
                <w:webHidden/>
                <w:lang w:val="en-GB"/>
              </w:rPr>
              <w:fldChar w:fldCharType="separate"/>
            </w:r>
            <w:r w:rsidR="00482D95">
              <w:rPr>
                <w:noProof/>
                <w:webHidden/>
                <w:lang w:val="en-GB"/>
              </w:rPr>
              <w:t>45</w:t>
            </w:r>
            <w:r w:rsidRPr="00ED437B">
              <w:rPr>
                <w:noProof/>
                <w:webHidden/>
                <w:lang w:val="en-GB"/>
              </w:rPr>
              <w:fldChar w:fldCharType="end"/>
            </w:r>
          </w:hyperlink>
        </w:p>
        <w:p w14:paraId="17037B68" w14:textId="0B967F17"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49" w:history="1">
            <w:r w:rsidRPr="00ED437B">
              <w:rPr>
                <w:rStyle w:val="Hyperlink"/>
                <w:noProof/>
                <w:lang w:val="en-GB"/>
              </w:rPr>
              <w:t>4.3.1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A Narrative Synthesis of Key Motivations and Work-Related Values of Generation Z</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_Toc218179349 \h </w:instrText>
            </w:r>
            <w:r w:rsidRPr="00ED437B">
              <w:rPr>
                <w:noProof/>
                <w:webHidden/>
                <w:lang w:val="en-GB"/>
              </w:rPr>
            </w:r>
            <w:r w:rsidRPr="00ED437B">
              <w:rPr>
                <w:noProof/>
                <w:webHidden/>
                <w:lang w:val="en-GB"/>
              </w:rPr>
              <w:fldChar w:fldCharType="separate"/>
            </w:r>
            <w:r w:rsidR="00482D95">
              <w:rPr>
                <w:noProof/>
                <w:webHidden/>
                <w:lang w:val="en-GB"/>
              </w:rPr>
              <w:t>48</w:t>
            </w:r>
            <w:r w:rsidRPr="00ED437B">
              <w:rPr>
                <w:noProof/>
                <w:webHidden/>
                <w:lang w:val="en-GB"/>
              </w:rPr>
              <w:fldChar w:fldCharType="end"/>
            </w:r>
          </w:hyperlink>
        </w:p>
        <w:p w14:paraId="7BA1F016" w14:textId="61C9BDE6"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50" w:history="1">
            <w:r w:rsidRPr="00ED437B">
              <w:rPr>
                <w:rStyle w:val="Hyperlink"/>
                <w:noProof/>
                <w:lang w:val="en-GB"/>
              </w:rPr>
              <w:t>4.4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RQ2: Challenges and Barriers Faced by Generation Z in Organisational Settings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_Toc218179350 \h </w:instrText>
            </w:r>
            <w:r w:rsidRPr="00ED437B">
              <w:rPr>
                <w:noProof/>
                <w:webHidden/>
                <w:lang w:val="en-GB"/>
              </w:rPr>
            </w:r>
            <w:r w:rsidRPr="00ED437B">
              <w:rPr>
                <w:noProof/>
                <w:webHidden/>
                <w:lang w:val="en-GB"/>
              </w:rPr>
              <w:fldChar w:fldCharType="separate"/>
            </w:r>
            <w:r w:rsidR="00482D95">
              <w:rPr>
                <w:noProof/>
                <w:webHidden/>
                <w:lang w:val="en-GB"/>
              </w:rPr>
              <w:t>51</w:t>
            </w:r>
            <w:r w:rsidRPr="00ED437B">
              <w:rPr>
                <w:noProof/>
                <w:webHidden/>
                <w:lang w:val="en-GB"/>
              </w:rPr>
              <w:fldChar w:fldCharType="end"/>
            </w:r>
          </w:hyperlink>
        </w:p>
        <w:p w14:paraId="0E847BC0" w14:textId="0D5063ED"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51" w:history="1">
            <w:r w:rsidRPr="00ED437B">
              <w:rPr>
                <w:rStyle w:val="Hyperlink"/>
                <w:noProof/>
                <w:lang w:val="en-GB"/>
              </w:rPr>
              <w:t>4.4.1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Narrative Synthesis: Challenges and Barriers Encountered by Generation Z Employees in Organisational Settings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_Toc218179351 \h </w:instrText>
            </w:r>
            <w:r w:rsidRPr="00ED437B">
              <w:rPr>
                <w:noProof/>
                <w:webHidden/>
                <w:lang w:val="en-GB"/>
              </w:rPr>
            </w:r>
            <w:r w:rsidRPr="00ED437B">
              <w:rPr>
                <w:noProof/>
                <w:webHidden/>
                <w:lang w:val="en-GB"/>
              </w:rPr>
              <w:fldChar w:fldCharType="separate"/>
            </w:r>
            <w:r w:rsidR="00482D95">
              <w:rPr>
                <w:noProof/>
                <w:webHidden/>
                <w:lang w:val="en-GB"/>
              </w:rPr>
              <w:t>54</w:t>
            </w:r>
            <w:r w:rsidRPr="00ED437B">
              <w:rPr>
                <w:noProof/>
                <w:webHidden/>
                <w:lang w:val="en-GB"/>
              </w:rPr>
              <w:fldChar w:fldCharType="end"/>
            </w:r>
          </w:hyperlink>
        </w:p>
        <w:p w14:paraId="0B8C1CB1" w14:textId="33ADBA14"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52" w:history="1">
            <w:r w:rsidRPr="00ED437B">
              <w:rPr>
                <w:rStyle w:val="Hyperlink"/>
                <w:noProof/>
                <w:lang w:val="en-GB"/>
              </w:rPr>
              <w:t>4.5</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RQ3: Organisational Policies and Practices Recommended to Support and Engage Generation Z</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_Toc218179352 \h </w:instrText>
            </w:r>
            <w:r w:rsidRPr="00ED437B">
              <w:rPr>
                <w:noProof/>
                <w:webHidden/>
                <w:lang w:val="en-GB"/>
              </w:rPr>
            </w:r>
            <w:r w:rsidRPr="00ED437B">
              <w:rPr>
                <w:noProof/>
                <w:webHidden/>
                <w:lang w:val="en-GB"/>
              </w:rPr>
              <w:fldChar w:fldCharType="separate"/>
            </w:r>
            <w:r w:rsidR="00482D95">
              <w:rPr>
                <w:noProof/>
                <w:webHidden/>
                <w:lang w:val="en-GB"/>
              </w:rPr>
              <w:t>56</w:t>
            </w:r>
            <w:r w:rsidRPr="00ED437B">
              <w:rPr>
                <w:noProof/>
                <w:webHidden/>
                <w:lang w:val="en-GB"/>
              </w:rPr>
              <w:fldChar w:fldCharType="end"/>
            </w:r>
          </w:hyperlink>
        </w:p>
        <w:p w14:paraId="19355EA9" w14:textId="3791FB3D"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53" w:history="1">
            <w:r w:rsidRPr="00ED437B">
              <w:rPr>
                <w:rStyle w:val="Hyperlink"/>
                <w:noProof/>
                <w:lang w:val="en-GB"/>
              </w:rPr>
              <w:t>4.5.1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Narrative Synthesis: Organisational Policies and Practices Recommended to Support and Engage Generation Z</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_Toc218179353 \h </w:instrText>
            </w:r>
            <w:r w:rsidRPr="00ED437B">
              <w:rPr>
                <w:noProof/>
                <w:webHidden/>
                <w:lang w:val="en-GB"/>
              </w:rPr>
            </w:r>
            <w:r w:rsidRPr="00ED437B">
              <w:rPr>
                <w:noProof/>
                <w:webHidden/>
                <w:lang w:val="en-GB"/>
              </w:rPr>
              <w:fldChar w:fldCharType="separate"/>
            </w:r>
            <w:r w:rsidR="00482D95">
              <w:rPr>
                <w:noProof/>
                <w:webHidden/>
                <w:lang w:val="en-GB"/>
              </w:rPr>
              <w:t>59</w:t>
            </w:r>
            <w:r w:rsidRPr="00ED437B">
              <w:rPr>
                <w:noProof/>
                <w:webHidden/>
                <w:lang w:val="en-GB"/>
              </w:rPr>
              <w:fldChar w:fldCharType="end"/>
            </w:r>
          </w:hyperlink>
        </w:p>
        <w:p w14:paraId="2F7D4141" w14:textId="0FCE27EC"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54" w:history="1">
            <w:r w:rsidRPr="00ED437B">
              <w:rPr>
                <w:rStyle w:val="Hyperlink"/>
                <w:noProof/>
                <w:lang w:val="en-GB"/>
              </w:rPr>
              <w:t>4.6</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Discussion of Results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_Toc218179354 \h </w:instrText>
            </w:r>
            <w:r w:rsidRPr="00ED437B">
              <w:rPr>
                <w:noProof/>
                <w:webHidden/>
                <w:lang w:val="en-GB"/>
              </w:rPr>
            </w:r>
            <w:r w:rsidRPr="00ED437B">
              <w:rPr>
                <w:noProof/>
                <w:webHidden/>
                <w:lang w:val="en-GB"/>
              </w:rPr>
              <w:fldChar w:fldCharType="separate"/>
            </w:r>
            <w:r w:rsidR="00482D95">
              <w:rPr>
                <w:noProof/>
                <w:webHidden/>
                <w:lang w:val="en-GB"/>
              </w:rPr>
              <w:t>61</w:t>
            </w:r>
            <w:r w:rsidRPr="00ED437B">
              <w:rPr>
                <w:noProof/>
                <w:webHidden/>
                <w:lang w:val="en-GB"/>
              </w:rPr>
              <w:fldChar w:fldCharType="end"/>
            </w:r>
          </w:hyperlink>
        </w:p>
        <w:p w14:paraId="733D1581" w14:textId="5C165865"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55" w:history="1">
            <w:r w:rsidRPr="00ED437B">
              <w:rPr>
                <w:rStyle w:val="Hyperlink"/>
                <w:noProof/>
                <w:lang w:val="en-GB"/>
              </w:rPr>
              <w:t>4.6.1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Alignment with Previous Reviews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_Toc218179355 \h </w:instrText>
            </w:r>
            <w:r w:rsidRPr="00ED437B">
              <w:rPr>
                <w:noProof/>
                <w:webHidden/>
                <w:lang w:val="en-GB"/>
              </w:rPr>
            </w:r>
            <w:r w:rsidRPr="00ED437B">
              <w:rPr>
                <w:noProof/>
                <w:webHidden/>
                <w:lang w:val="en-GB"/>
              </w:rPr>
              <w:fldChar w:fldCharType="separate"/>
            </w:r>
            <w:r w:rsidR="00482D95">
              <w:rPr>
                <w:noProof/>
                <w:webHidden/>
                <w:lang w:val="en-GB"/>
              </w:rPr>
              <w:t>61</w:t>
            </w:r>
            <w:r w:rsidRPr="00ED437B">
              <w:rPr>
                <w:noProof/>
                <w:webHidden/>
                <w:lang w:val="en-GB"/>
              </w:rPr>
              <w:fldChar w:fldCharType="end"/>
            </w:r>
          </w:hyperlink>
        </w:p>
        <w:p w14:paraId="096EED3A" w14:textId="2C8C4DA6"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56" w:history="1">
            <w:r w:rsidRPr="00ED437B">
              <w:rPr>
                <w:rStyle w:val="Hyperlink"/>
                <w:noProof/>
                <w:lang w:val="en-GB"/>
              </w:rPr>
              <w:t>4.6.2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Relation to Classical Motivational Theories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_Toc218179356 \h </w:instrText>
            </w:r>
            <w:r w:rsidRPr="00ED437B">
              <w:rPr>
                <w:noProof/>
                <w:webHidden/>
                <w:lang w:val="en-GB"/>
              </w:rPr>
            </w:r>
            <w:r w:rsidRPr="00ED437B">
              <w:rPr>
                <w:noProof/>
                <w:webHidden/>
                <w:lang w:val="en-GB"/>
              </w:rPr>
              <w:fldChar w:fldCharType="separate"/>
            </w:r>
            <w:r w:rsidR="00482D95">
              <w:rPr>
                <w:noProof/>
                <w:webHidden/>
                <w:lang w:val="en-GB"/>
              </w:rPr>
              <w:t>62</w:t>
            </w:r>
            <w:r w:rsidRPr="00ED437B">
              <w:rPr>
                <w:noProof/>
                <w:webHidden/>
                <w:lang w:val="en-GB"/>
              </w:rPr>
              <w:fldChar w:fldCharType="end"/>
            </w:r>
          </w:hyperlink>
        </w:p>
        <w:p w14:paraId="7F8F8B2E" w14:textId="5D91C21B"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57" w:history="1">
            <w:r w:rsidRPr="00ED437B">
              <w:rPr>
                <w:rStyle w:val="Hyperlink"/>
                <w:noProof/>
                <w:lang w:val="en-GB"/>
              </w:rPr>
              <w:t>4.6.3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Intergenerational Misalignment and Organisational Practice</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_Toc218179357 \h </w:instrText>
            </w:r>
            <w:r w:rsidRPr="00ED437B">
              <w:rPr>
                <w:noProof/>
                <w:webHidden/>
                <w:lang w:val="en-GB"/>
              </w:rPr>
            </w:r>
            <w:r w:rsidRPr="00ED437B">
              <w:rPr>
                <w:noProof/>
                <w:webHidden/>
                <w:lang w:val="en-GB"/>
              </w:rPr>
              <w:fldChar w:fldCharType="separate"/>
            </w:r>
            <w:r w:rsidR="00482D95">
              <w:rPr>
                <w:noProof/>
                <w:webHidden/>
                <w:lang w:val="en-GB"/>
              </w:rPr>
              <w:t>63</w:t>
            </w:r>
            <w:r w:rsidRPr="00ED437B">
              <w:rPr>
                <w:noProof/>
                <w:webHidden/>
                <w:lang w:val="en-GB"/>
              </w:rPr>
              <w:fldChar w:fldCharType="end"/>
            </w:r>
          </w:hyperlink>
        </w:p>
        <w:p w14:paraId="40DB5DFF" w14:textId="2668DD4F" w:rsidR="004727B2" w:rsidRPr="00ED437B" w:rsidRDefault="004727B2">
          <w:pPr>
            <w:pStyle w:val="TOC3"/>
            <w:tabs>
              <w:tab w:val="left" w:pos="1440"/>
              <w:tab w:val="right" w:leader="dot" w:pos="9016"/>
            </w:tabs>
            <w:rPr>
              <w:rFonts w:asciiTheme="minorHAnsi" w:hAnsiTheme="minorHAnsi" w:cstheme="minorBidi"/>
              <w:noProof/>
              <w:kern w:val="2"/>
              <w:szCs w:val="30"/>
              <w:lang w:val="en-GB" w:eastAsia="zh-CN" w:bidi="bn-IN"/>
              <w14:ligatures w14:val="standardContextual"/>
            </w:rPr>
          </w:pPr>
          <w:hyperlink w:anchor="_Toc218179358" w:history="1">
            <w:r w:rsidRPr="00ED437B">
              <w:rPr>
                <w:rStyle w:val="Hyperlink"/>
                <w:noProof/>
                <w:lang w:val="en-GB"/>
              </w:rPr>
              <w:t>4.6.4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Implications for Future Theory Development</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_Toc218179358 \h </w:instrText>
            </w:r>
            <w:r w:rsidRPr="00ED437B">
              <w:rPr>
                <w:noProof/>
                <w:webHidden/>
                <w:lang w:val="en-GB"/>
              </w:rPr>
            </w:r>
            <w:r w:rsidRPr="00ED437B">
              <w:rPr>
                <w:noProof/>
                <w:webHidden/>
                <w:lang w:val="en-GB"/>
              </w:rPr>
              <w:fldChar w:fldCharType="separate"/>
            </w:r>
            <w:r w:rsidR="00482D95">
              <w:rPr>
                <w:noProof/>
                <w:webHidden/>
                <w:lang w:val="en-GB"/>
              </w:rPr>
              <w:t>64</w:t>
            </w:r>
            <w:r w:rsidRPr="00ED437B">
              <w:rPr>
                <w:noProof/>
                <w:webHidden/>
                <w:lang w:val="en-GB"/>
              </w:rPr>
              <w:fldChar w:fldCharType="end"/>
            </w:r>
          </w:hyperlink>
        </w:p>
        <w:p w14:paraId="3AB1C3E6" w14:textId="1E6D18A5" w:rsidR="004727B2" w:rsidRPr="00ED437B" w:rsidRDefault="004727B2">
          <w:pPr>
            <w:pStyle w:val="TOC1"/>
            <w:tabs>
              <w:tab w:val="left" w:pos="440"/>
              <w:tab w:val="right" w:leader="dot" w:pos="9016"/>
            </w:tabs>
            <w:rPr>
              <w:rFonts w:asciiTheme="minorHAnsi" w:hAnsiTheme="minorHAnsi" w:cstheme="minorBidi"/>
              <w:noProof/>
              <w:kern w:val="2"/>
              <w:szCs w:val="30"/>
              <w:lang w:val="en-GB" w:eastAsia="zh-CN" w:bidi="bn-IN"/>
              <w14:ligatures w14:val="standardContextual"/>
            </w:rPr>
          </w:pPr>
          <w:hyperlink w:anchor="_Toc218179359" w:history="1">
            <w:r w:rsidRPr="00ED437B">
              <w:rPr>
                <w:rStyle w:val="Hyperlink"/>
                <w:noProof/>
                <w:lang w:val="en-GB"/>
              </w:rPr>
              <w:t>5</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CHAPTER 5: CONCLUSIONS AND RECOMMENDATIONS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_Toc218179359 \h </w:instrText>
            </w:r>
            <w:r w:rsidRPr="00ED437B">
              <w:rPr>
                <w:noProof/>
                <w:webHidden/>
                <w:lang w:val="en-GB"/>
              </w:rPr>
            </w:r>
            <w:r w:rsidRPr="00ED437B">
              <w:rPr>
                <w:noProof/>
                <w:webHidden/>
                <w:lang w:val="en-GB"/>
              </w:rPr>
              <w:fldChar w:fldCharType="separate"/>
            </w:r>
            <w:r w:rsidR="00482D95">
              <w:rPr>
                <w:noProof/>
                <w:webHidden/>
                <w:lang w:val="en-GB"/>
              </w:rPr>
              <w:t>65</w:t>
            </w:r>
            <w:r w:rsidRPr="00ED437B">
              <w:rPr>
                <w:noProof/>
                <w:webHidden/>
                <w:lang w:val="en-GB"/>
              </w:rPr>
              <w:fldChar w:fldCharType="end"/>
            </w:r>
          </w:hyperlink>
        </w:p>
        <w:p w14:paraId="50B5143D" w14:textId="0E3A16CE"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60" w:history="1">
            <w:r w:rsidRPr="00ED437B">
              <w:rPr>
                <w:rStyle w:val="Hyperlink"/>
                <w:noProof/>
                <w:lang w:val="en-GB"/>
              </w:rPr>
              <w:t>5.1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Summary of Main Findings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_Toc218179360 \h </w:instrText>
            </w:r>
            <w:r w:rsidRPr="00ED437B">
              <w:rPr>
                <w:noProof/>
                <w:webHidden/>
                <w:lang w:val="en-GB"/>
              </w:rPr>
            </w:r>
            <w:r w:rsidRPr="00ED437B">
              <w:rPr>
                <w:noProof/>
                <w:webHidden/>
                <w:lang w:val="en-GB"/>
              </w:rPr>
              <w:fldChar w:fldCharType="separate"/>
            </w:r>
            <w:r w:rsidR="00482D95">
              <w:rPr>
                <w:noProof/>
                <w:webHidden/>
                <w:lang w:val="en-GB"/>
              </w:rPr>
              <w:t>65</w:t>
            </w:r>
            <w:r w:rsidRPr="00ED437B">
              <w:rPr>
                <w:noProof/>
                <w:webHidden/>
                <w:lang w:val="en-GB"/>
              </w:rPr>
              <w:fldChar w:fldCharType="end"/>
            </w:r>
          </w:hyperlink>
        </w:p>
        <w:p w14:paraId="4DD63F27" w14:textId="3A95491C"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61" w:history="1">
            <w:r w:rsidRPr="00ED437B">
              <w:rPr>
                <w:rStyle w:val="Hyperlink"/>
                <w:noProof/>
                <w:lang w:val="en-GB"/>
              </w:rPr>
              <w:t>5.2</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Conclusions Based on Research Questions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_Toc218179361 \h </w:instrText>
            </w:r>
            <w:r w:rsidRPr="00ED437B">
              <w:rPr>
                <w:noProof/>
                <w:webHidden/>
                <w:lang w:val="en-GB"/>
              </w:rPr>
            </w:r>
            <w:r w:rsidRPr="00ED437B">
              <w:rPr>
                <w:noProof/>
                <w:webHidden/>
                <w:lang w:val="en-GB"/>
              </w:rPr>
              <w:fldChar w:fldCharType="separate"/>
            </w:r>
            <w:r w:rsidR="00482D95">
              <w:rPr>
                <w:noProof/>
                <w:webHidden/>
                <w:lang w:val="en-GB"/>
              </w:rPr>
              <w:t>65</w:t>
            </w:r>
            <w:r w:rsidRPr="00ED437B">
              <w:rPr>
                <w:noProof/>
                <w:webHidden/>
                <w:lang w:val="en-GB"/>
              </w:rPr>
              <w:fldChar w:fldCharType="end"/>
            </w:r>
          </w:hyperlink>
        </w:p>
        <w:p w14:paraId="2F419096" w14:textId="3C883182"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62" w:history="1">
            <w:r w:rsidRPr="00ED437B">
              <w:rPr>
                <w:rStyle w:val="Hyperlink"/>
                <w:noProof/>
                <w:lang w:val="en-GB"/>
              </w:rPr>
              <w:t>5.3</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Recommendations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_Toc218179362 \h </w:instrText>
            </w:r>
            <w:r w:rsidRPr="00ED437B">
              <w:rPr>
                <w:noProof/>
                <w:webHidden/>
                <w:lang w:val="en-GB"/>
              </w:rPr>
            </w:r>
            <w:r w:rsidRPr="00ED437B">
              <w:rPr>
                <w:noProof/>
                <w:webHidden/>
                <w:lang w:val="en-GB"/>
              </w:rPr>
              <w:fldChar w:fldCharType="separate"/>
            </w:r>
            <w:r w:rsidR="00482D95">
              <w:rPr>
                <w:noProof/>
                <w:webHidden/>
                <w:lang w:val="en-GB"/>
              </w:rPr>
              <w:t>66</w:t>
            </w:r>
            <w:r w:rsidRPr="00ED437B">
              <w:rPr>
                <w:noProof/>
                <w:webHidden/>
                <w:lang w:val="en-GB"/>
              </w:rPr>
              <w:fldChar w:fldCharType="end"/>
            </w:r>
          </w:hyperlink>
        </w:p>
        <w:p w14:paraId="0154A708" w14:textId="3F5E4491"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63" w:history="1">
            <w:r w:rsidRPr="00ED437B">
              <w:rPr>
                <w:rStyle w:val="Hyperlink"/>
                <w:noProof/>
                <w:lang w:val="en-GB"/>
              </w:rPr>
              <w:t>5.4</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Limitations of the Research</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_Toc218179363 \h </w:instrText>
            </w:r>
            <w:r w:rsidRPr="00ED437B">
              <w:rPr>
                <w:noProof/>
                <w:webHidden/>
                <w:lang w:val="en-GB"/>
              </w:rPr>
            </w:r>
            <w:r w:rsidRPr="00ED437B">
              <w:rPr>
                <w:noProof/>
                <w:webHidden/>
                <w:lang w:val="en-GB"/>
              </w:rPr>
              <w:fldChar w:fldCharType="separate"/>
            </w:r>
            <w:r w:rsidR="00482D95">
              <w:rPr>
                <w:noProof/>
                <w:webHidden/>
                <w:lang w:val="en-GB"/>
              </w:rPr>
              <w:t>67</w:t>
            </w:r>
            <w:r w:rsidRPr="00ED437B">
              <w:rPr>
                <w:noProof/>
                <w:webHidden/>
                <w:lang w:val="en-GB"/>
              </w:rPr>
              <w:fldChar w:fldCharType="end"/>
            </w:r>
          </w:hyperlink>
        </w:p>
        <w:p w14:paraId="27989DE6" w14:textId="02D86B7E"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64" w:history="1">
            <w:r w:rsidRPr="00ED437B">
              <w:rPr>
                <w:rStyle w:val="Hyperlink"/>
                <w:noProof/>
                <w:lang w:val="en-GB"/>
              </w:rPr>
              <w:t>5.5</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Recommendations for Future Work</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_Toc218179364 \h </w:instrText>
            </w:r>
            <w:r w:rsidRPr="00ED437B">
              <w:rPr>
                <w:noProof/>
                <w:webHidden/>
                <w:lang w:val="en-GB"/>
              </w:rPr>
            </w:r>
            <w:r w:rsidRPr="00ED437B">
              <w:rPr>
                <w:noProof/>
                <w:webHidden/>
                <w:lang w:val="en-GB"/>
              </w:rPr>
              <w:fldChar w:fldCharType="separate"/>
            </w:r>
            <w:r w:rsidR="00482D95">
              <w:rPr>
                <w:noProof/>
                <w:webHidden/>
                <w:lang w:val="en-GB"/>
              </w:rPr>
              <w:t>68</w:t>
            </w:r>
            <w:r w:rsidRPr="00ED437B">
              <w:rPr>
                <w:noProof/>
                <w:webHidden/>
                <w:lang w:val="en-GB"/>
              </w:rPr>
              <w:fldChar w:fldCharType="end"/>
            </w:r>
          </w:hyperlink>
        </w:p>
        <w:p w14:paraId="24EE38AE" w14:textId="23FA9E62" w:rsidR="004727B2" w:rsidRPr="00ED437B" w:rsidRDefault="004727B2">
          <w:pPr>
            <w:pStyle w:val="TOC1"/>
            <w:tabs>
              <w:tab w:val="right" w:leader="dot" w:pos="9016"/>
            </w:tabs>
            <w:rPr>
              <w:rFonts w:asciiTheme="minorHAnsi" w:hAnsiTheme="minorHAnsi" w:cstheme="minorBidi"/>
              <w:noProof/>
              <w:kern w:val="2"/>
              <w:szCs w:val="30"/>
              <w:lang w:val="en-GB" w:eastAsia="zh-CN" w:bidi="bn-IN"/>
              <w14:ligatures w14:val="standardContextual"/>
            </w:rPr>
          </w:pPr>
          <w:hyperlink w:anchor="_Toc218179365" w:history="1">
            <w:r w:rsidRPr="00ED437B">
              <w:rPr>
                <w:rStyle w:val="Hyperlink"/>
                <w:noProof/>
                <w:lang w:val="en-GB"/>
              </w:rPr>
              <w:t>REFERENCES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_Toc218179365 \h </w:instrText>
            </w:r>
            <w:r w:rsidRPr="00ED437B">
              <w:rPr>
                <w:noProof/>
                <w:webHidden/>
                <w:lang w:val="en-GB"/>
              </w:rPr>
            </w:r>
            <w:r w:rsidRPr="00ED437B">
              <w:rPr>
                <w:noProof/>
                <w:webHidden/>
                <w:lang w:val="en-GB"/>
              </w:rPr>
              <w:fldChar w:fldCharType="separate"/>
            </w:r>
            <w:r w:rsidR="00482D95">
              <w:rPr>
                <w:noProof/>
                <w:webHidden/>
                <w:lang w:val="en-GB"/>
              </w:rPr>
              <w:t>69</w:t>
            </w:r>
            <w:r w:rsidRPr="00ED437B">
              <w:rPr>
                <w:noProof/>
                <w:webHidden/>
                <w:lang w:val="en-GB"/>
              </w:rPr>
              <w:fldChar w:fldCharType="end"/>
            </w:r>
          </w:hyperlink>
        </w:p>
        <w:p w14:paraId="62012C0F" w14:textId="68868915" w:rsidR="004727B2" w:rsidRPr="00ED437B" w:rsidRDefault="004727B2">
          <w:pPr>
            <w:pStyle w:val="TOC1"/>
            <w:tabs>
              <w:tab w:val="left" w:pos="440"/>
              <w:tab w:val="right" w:leader="dot" w:pos="9016"/>
            </w:tabs>
            <w:rPr>
              <w:rFonts w:asciiTheme="minorHAnsi" w:hAnsiTheme="minorHAnsi" w:cstheme="minorBidi"/>
              <w:noProof/>
              <w:kern w:val="2"/>
              <w:szCs w:val="30"/>
              <w:lang w:val="en-GB" w:eastAsia="zh-CN" w:bidi="bn-IN"/>
              <w14:ligatures w14:val="standardContextual"/>
            </w:rPr>
          </w:pPr>
          <w:hyperlink w:anchor="_Toc218179366" w:history="1">
            <w:r w:rsidRPr="00ED437B">
              <w:rPr>
                <w:rStyle w:val="Hyperlink"/>
                <w:noProof/>
                <w:lang w:val="en-GB"/>
              </w:rPr>
              <w:t>6</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Appendices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_Toc218179366 \h </w:instrText>
            </w:r>
            <w:r w:rsidRPr="00ED437B">
              <w:rPr>
                <w:noProof/>
                <w:webHidden/>
                <w:lang w:val="en-GB"/>
              </w:rPr>
            </w:r>
            <w:r w:rsidRPr="00ED437B">
              <w:rPr>
                <w:noProof/>
                <w:webHidden/>
                <w:lang w:val="en-GB"/>
              </w:rPr>
              <w:fldChar w:fldCharType="separate"/>
            </w:r>
            <w:r w:rsidR="00482D95">
              <w:rPr>
                <w:noProof/>
                <w:webHidden/>
                <w:lang w:val="en-GB"/>
              </w:rPr>
              <w:t>78</w:t>
            </w:r>
            <w:r w:rsidRPr="00ED437B">
              <w:rPr>
                <w:noProof/>
                <w:webHidden/>
                <w:lang w:val="en-GB"/>
              </w:rPr>
              <w:fldChar w:fldCharType="end"/>
            </w:r>
          </w:hyperlink>
        </w:p>
        <w:p w14:paraId="62043086" w14:textId="19DFA8AD" w:rsidR="004727B2" w:rsidRPr="00ED437B" w:rsidRDefault="004727B2">
          <w:pPr>
            <w:pStyle w:val="TOC2"/>
            <w:tabs>
              <w:tab w:val="left" w:pos="960"/>
              <w:tab w:val="right" w:leader="dot" w:pos="9016"/>
            </w:tabs>
            <w:rPr>
              <w:rFonts w:asciiTheme="minorHAnsi" w:hAnsiTheme="minorHAnsi" w:cstheme="minorBidi"/>
              <w:noProof/>
              <w:kern w:val="2"/>
              <w:szCs w:val="30"/>
              <w:lang w:val="en-GB" w:eastAsia="zh-CN" w:bidi="bn-IN"/>
              <w14:ligatures w14:val="standardContextual"/>
            </w:rPr>
          </w:pPr>
          <w:hyperlink w:anchor="_Toc218179367" w:history="1">
            <w:r w:rsidRPr="00ED437B">
              <w:rPr>
                <w:rStyle w:val="Hyperlink"/>
                <w:noProof/>
                <w:lang w:val="en-GB"/>
              </w:rPr>
              <w:t>6.1</w:t>
            </w:r>
            <w:r w:rsidRPr="00ED437B">
              <w:rPr>
                <w:rFonts w:asciiTheme="minorHAnsi" w:hAnsiTheme="minorHAnsi" w:cstheme="minorBidi"/>
                <w:noProof/>
                <w:kern w:val="2"/>
                <w:szCs w:val="30"/>
                <w:lang w:val="en-GB" w:eastAsia="zh-CN" w:bidi="bn-IN"/>
                <w14:ligatures w14:val="standardContextual"/>
              </w:rPr>
              <w:tab/>
            </w:r>
            <w:r w:rsidRPr="00ED437B">
              <w:rPr>
                <w:rStyle w:val="Hyperlink"/>
                <w:noProof/>
                <w:lang w:val="en-GB"/>
              </w:rPr>
              <w:t>Quality Assessment of the Included Articles</w:t>
            </w:r>
            <w:r w:rsidRPr="00ED437B">
              <w:rPr>
                <w:noProof/>
                <w:webHidden/>
                <w:lang w:val="en-GB"/>
              </w:rPr>
              <w:tab/>
            </w:r>
            <w:r w:rsidRPr="00ED437B">
              <w:rPr>
                <w:noProof/>
                <w:webHidden/>
                <w:lang w:val="en-GB"/>
              </w:rPr>
              <w:fldChar w:fldCharType="begin"/>
            </w:r>
            <w:r w:rsidRPr="00ED437B">
              <w:rPr>
                <w:noProof/>
                <w:webHidden/>
                <w:lang w:val="en-GB"/>
              </w:rPr>
              <w:instrText xml:space="preserve"> PAGEREF _Toc218179367 \h </w:instrText>
            </w:r>
            <w:r w:rsidRPr="00ED437B">
              <w:rPr>
                <w:noProof/>
                <w:webHidden/>
                <w:lang w:val="en-GB"/>
              </w:rPr>
            </w:r>
            <w:r w:rsidRPr="00ED437B">
              <w:rPr>
                <w:noProof/>
                <w:webHidden/>
                <w:lang w:val="en-GB"/>
              </w:rPr>
              <w:fldChar w:fldCharType="separate"/>
            </w:r>
            <w:r w:rsidR="00482D95">
              <w:rPr>
                <w:noProof/>
                <w:webHidden/>
                <w:lang w:val="en-GB"/>
              </w:rPr>
              <w:t>78</w:t>
            </w:r>
            <w:r w:rsidRPr="00ED437B">
              <w:rPr>
                <w:noProof/>
                <w:webHidden/>
                <w:lang w:val="en-GB"/>
              </w:rPr>
              <w:fldChar w:fldCharType="end"/>
            </w:r>
          </w:hyperlink>
        </w:p>
        <w:p w14:paraId="4F66C24B" w14:textId="55C66A95" w:rsidR="008C5097" w:rsidRPr="00ED437B" w:rsidRDefault="008C5097">
          <w:r w:rsidRPr="00ED437B">
            <w:rPr>
              <w:b/>
              <w:bCs/>
            </w:rPr>
            <w:fldChar w:fldCharType="end"/>
          </w:r>
        </w:p>
      </w:sdtContent>
    </w:sdt>
    <w:p w14:paraId="1F8C7AD1" w14:textId="5393335C" w:rsidR="00391EB6" w:rsidRPr="00ED437B" w:rsidRDefault="00391EB6" w:rsidP="008C5097"/>
    <w:p w14:paraId="56A7FDB1" w14:textId="77777777" w:rsidR="008C5097" w:rsidRPr="00ED437B" w:rsidRDefault="008C5097">
      <w:r w:rsidRPr="00ED437B">
        <w:br w:type="page"/>
      </w:r>
    </w:p>
    <w:p w14:paraId="6B5059A6" w14:textId="4687E48B" w:rsidR="00391EB6" w:rsidRPr="00ED437B" w:rsidRDefault="00391EB6" w:rsidP="00716329">
      <w:pPr>
        <w:pStyle w:val="Heading1"/>
        <w:numPr>
          <w:ilvl w:val="0"/>
          <w:numId w:val="0"/>
        </w:numPr>
        <w:ind w:left="432" w:hanging="432"/>
        <w:jc w:val="both"/>
      </w:pPr>
      <w:bookmarkStart w:id="1" w:name="_Toc218179312"/>
      <w:r w:rsidRPr="00ED437B">
        <w:lastRenderedPageBreak/>
        <w:t>Contents of Figures</w:t>
      </w:r>
      <w:bookmarkEnd w:id="1"/>
    </w:p>
    <w:p w14:paraId="5E3EAA9E" w14:textId="71D8B756" w:rsidR="00716329" w:rsidRPr="00ED437B" w:rsidRDefault="00716329">
      <w:pPr>
        <w:pStyle w:val="TableofFigures"/>
        <w:tabs>
          <w:tab w:val="right" w:leader="dot" w:pos="9016"/>
        </w:tabs>
      </w:pPr>
      <w:r w:rsidRPr="00ED437B">
        <w:fldChar w:fldCharType="begin"/>
      </w:r>
      <w:r w:rsidRPr="00ED437B">
        <w:instrText xml:space="preserve"> TOC \h \z \c "Figure" </w:instrText>
      </w:r>
      <w:r w:rsidRPr="00ED437B">
        <w:fldChar w:fldCharType="separate"/>
      </w:r>
      <w:hyperlink w:anchor="_Toc216195244" w:history="1">
        <w:r w:rsidRPr="00ED437B">
          <w:rPr>
            <w:rStyle w:val="Hyperlink"/>
          </w:rPr>
          <w:t>Figure 1 Conceptual Framework of Generation Z in the Workplace (Author)</w:t>
        </w:r>
        <w:r w:rsidRPr="00ED437B">
          <w:rPr>
            <w:webHidden/>
          </w:rPr>
          <w:tab/>
        </w:r>
        <w:r w:rsidRPr="00ED437B">
          <w:rPr>
            <w:webHidden/>
          </w:rPr>
          <w:fldChar w:fldCharType="begin"/>
        </w:r>
        <w:r w:rsidRPr="00ED437B">
          <w:rPr>
            <w:webHidden/>
          </w:rPr>
          <w:instrText xml:space="preserve"> PAGEREF _Toc216195244 \h </w:instrText>
        </w:r>
        <w:r w:rsidRPr="00ED437B">
          <w:rPr>
            <w:webHidden/>
          </w:rPr>
        </w:r>
        <w:r w:rsidRPr="00ED437B">
          <w:rPr>
            <w:webHidden/>
          </w:rPr>
          <w:fldChar w:fldCharType="separate"/>
        </w:r>
        <w:r w:rsidRPr="00ED437B">
          <w:rPr>
            <w:webHidden/>
          </w:rPr>
          <w:t>20</w:t>
        </w:r>
        <w:r w:rsidRPr="00ED437B">
          <w:rPr>
            <w:webHidden/>
          </w:rPr>
          <w:fldChar w:fldCharType="end"/>
        </w:r>
      </w:hyperlink>
    </w:p>
    <w:p w14:paraId="2524535B" w14:textId="346C04C1" w:rsidR="00716329" w:rsidRPr="00ED437B" w:rsidRDefault="00716329">
      <w:pPr>
        <w:pStyle w:val="TableofFigures"/>
        <w:tabs>
          <w:tab w:val="right" w:leader="dot" w:pos="9016"/>
        </w:tabs>
      </w:pPr>
      <w:hyperlink w:anchor="_Toc216195245" w:history="1">
        <w:r w:rsidRPr="00ED437B">
          <w:rPr>
            <w:rStyle w:val="Hyperlink"/>
          </w:rPr>
          <w:t>Figure 2 Screening and Selection via the PRISMA Framework (Adapted by the Author)</w:t>
        </w:r>
        <w:r w:rsidRPr="00ED437B">
          <w:rPr>
            <w:webHidden/>
          </w:rPr>
          <w:tab/>
        </w:r>
        <w:r w:rsidRPr="00ED437B">
          <w:rPr>
            <w:webHidden/>
          </w:rPr>
          <w:fldChar w:fldCharType="begin"/>
        </w:r>
        <w:r w:rsidRPr="00ED437B">
          <w:rPr>
            <w:webHidden/>
          </w:rPr>
          <w:instrText xml:space="preserve"> PAGEREF _Toc216195245 \h </w:instrText>
        </w:r>
        <w:r w:rsidRPr="00ED437B">
          <w:rPr>
            <w:webHidden/>
          </w:rPr>
        </w:r>
        <w:r w:rsidRPr="00ED437B">
          <w:rPr>
            <w:webHidden/>
          </w:rPr>
          <w:fldChar w:fldCharType="separate"/>
        </w:r>
        <w:r w:rsidRPr="00ED437B">
          <w:rPr>
            <w:webHidden/>
          </w:rPr>
          <w:t>32</w:t>
        </w:r>
        <w:r w:rsidRPr="00ED437B">
          <w:rPr>
            <w:webHidden/>
          </w:rPr>
          <w:fldChar w:fldCharType="end"/>
        </w:r>
      </w:hyperlink>
    </w:p>
    <w:p w14:paraId="74B965A3" w14:textId="6972BC21" w:rsidR="00716329" w:rsidRPr="00ED437B" w:rsidRDefault="00716329" w:rsidP="00716329">
      <w:r w:rsidRPr="00ED437B">
        <w:fldChar w:fldCharType="end"/>
      </w:r>
    </w:p>
    <w:p w14:paraId="0D89A078" w14:textId="0DB4BAE6" w:rsidR="00391EB6" w:rsidRPr="00ED437B" w:rsidRDefault="00391EB6" w:rsidP="00716329">
      <w:pPr>
        <w:pStyle w:val="Heading1"/>
        <w:numPr>
          <w:ilvl w:val="0"/>
          <w:numId w:val="0"/>
        </w:numPr>
        <w:ind w:left="432" w:hanging="432"/>
        <w:jc w:val="both"/>
      </w:pPr>
      <w:bookmarkStart w:id="2" w:name="_Toc218179313"/>
      <w:r w:rsidRPr="00ED437B">
        <w:t>Contents of Tables</w:t>
      </w:r>
      <w:bookmarkEnd w:id="2"/>
    </w:p>
    <w:p w14:paraId="4081E726" w14:textId="48909111" w:rsidR="00716329" w:rsidRPr="00ED437B" w:rsidRDefault="00716329">
      <w:pPr>
        <w:pStyle w:val="TableofFigures"/>
        <w:tabs>
          <w:tab w:val="right" w:leader="dot" w:pos="9016"/>
        </w:tabs>
        <w:rPr>
          <w:rFonts w:asciiTheme="minorHAnsi" w:hAnsiTheme="minorHAnsi"/>
          <w:kern w:val="2"/>
          <w:szCs w:val="30"/>
          <w:lang w:eastAsia="zh-CN" w:bidi="bn-IN"/>
          <w14:ligatures w14:val="standardContextual"/>
        </w:rPr>
      </w:pPr>
      <w:r w:rsidRPr="00ED437B">
        <w:fldChar w:fldCharType="begin"/>
      </w:r>
      <w:r w:rsidRPr="00ED437B">
        <w:instrText xml:space="preserve"> TOC \h \z \c "Table" </w:instrText>
      </w:r>
      <w:r w:rsidRPr="00ED437B">
        <w:fldChar w:fldCharType="separate"/>
      </w:r>
      <w:hyperlink w:anchor="_Toc216195246" w:history="1">
        <w:r w:rsidRPr="00ED437B">
          <w:rPr>
            <w:rStyle w:val="Hyperlink"/>
          </w:rPr>
          <w:t>Table 1 Summary of the Included Articles (N = 50)</w:t>
        </w:r>
        <w:r w:rsidRPr="00ED437B">
          <w:rPr>
            <w:webHidden/>
          </w:rPr>
          <w:tab/>
        </w:r>
        <w:r w:rsidRPr="00ED437B">
          <w:rPr>
            <w:webHidden/>
          </w:rPr>
          <w:fldChar w:fldCharType="begin"/>
        </w:r>
        <w:r w:rsidRPr="00ED437B">
          <w:rPr>
            <w:webHidden/>
          </w:rPr>
          <w:instrText xml:space="preserve"> PAGEREF _Toc216195246 \h </w:instrText>
        </w:r>
        <w:r w:rsidRPr="00ED437B">
          <w:rPr>
            <w:webHidden/>
          </w:rPr>
        </w:r>
        <w:r w:rsidRPr="00ED437B">
          <w:rPr>
            <w:webHidden/>
          </w:rPr>
          <w:fldChar w:fldCharType="separate"/>
        </w:r>
        <w:r w:rsidRPr="00ED437B">
          <w:rPr>
            <w:webHidden/>
          </w:rPr>
          <w:t>33</w:t>
        </w:r>
        <w:r w:rsidRPr="00ED437B">
          <w:rPr>
            <w:webHidden/>
          </w:rPr>
          <w:fldChar w:fldCharType="end"/>
        </w:r>
      </w:hyperlink>
    </w:p>
    <w:p w14:paraId="528D83FB" w14:textId="1CF94AE3" w:rsidR="00716329" w:rsidRPr="00ED437B" w:rsidRDefault="00716329">
      <w:pPr>
        <w:pStyle w:val="TableofFigures"/>
        <w:tabs>
          <w:tab w:val="right" w:leader="dot" w:pos="9016"/>
        </w:tabs>
        <w:rPr>
          <w:rFonts w:asciiTheme="minorHAnsi" w:hAnsiTheme="minorHAnsi"/>
          <w:kern w:val="2"/>
          <w:szCs w:val="30"/>
          <w:lang w:eastAsia="zh-CN" w:bidi="bn-IN"/>
          <w14:ligatures w14:val="standardContextual"/>
        </w:rPr>
      </w:pPr>
      <w:hyperlink w:anchor="_Toc216195247" w:history="1">
        <w:r w:rsidRPr="00ED437B">
          <w:rPr>
            <w:rStyle w:val="Hyperlink"/>
          </w:rPr>
          <w:t>Table 2 Thematic Analysis of Motivations and Work-Related Values of Generation Z</w:t>
        </w:r>
        <w:r w:rsidRPr="00ED437B">
          <w:rPr>
            <w:webHidden/>
          </w:rPr>
          <w:tab/>
        </w:r>
        <w:r w:rsidRPr="00ED437B">
          <w:rPr>
            <w:webHidden/>
          </w:rPr>
          <w:fldChar w:fldCharType="begin"/>
        </w:r>
        <w:r w:rsidRPr="00ED437B">
          <w:rPr>
            <w:webHidden/>
          </w:rPr>
          <w:instrText xml:space="preserve"> PAGEREF _Toc216195247 \h </w:instrText>
        </w:r>
        <w:r w:rsidRPr="00ED437B">
          <w:rPr>
            <w:webHidden/>
          </w:rPr>
        </w:r>
        <w:r w:rsidRPr="00ED437B">
          <w:rPr>
            <w:webHidden/>
          </w:rPr>
          <w:fldChar w:fldCharType="separate"/>
        </w:r>
        <w:r w:rsidRPr="00ED437B">
          <w:rPr>
            <w:webHidden/>
          </w:rPr>
          <w:t>46</w:t>
        </w:r>
        <w:r w:rsidRPr="00ED437B">
          <w:rPr>
            <w:webHidden/>
          </w:rPr>
          <w:fldChar w:fldCharType="end"/>
        </w:r>
      </w:hyperlink>
    </w:p>
    <w:p w14:paraId="1A0D1299" w14:textId="6B8E05C6" w:rsidR="00716329" w:rsidRPr="00ED437B" w:rsidRDefault="00716329">
      <w:pPr>
        <w:pStyle w:val="TableofFigures"/>
        <w:tabs>
          <w:tab w:val="right" w:leader="dot" w:pos="9016"/>
        </w:tabs>
        <w:rPr>
          <w:rFonts w:asciiTheme="minorHAnsi" w:hAnsiTheme="minorHAnsi"/>
          <w:kern w:val="2"/>
          <w:szCs w:val="30"/>
          <w:lang w:eastAsia="zh-CN" w:bidi="bn-IN"/>
          <w14:ligatures w14:val="standardContextual"/>
        </w:rPr>
      </w:pPr>
      <w:hyperlink w:anchor="_Toc216195248" w:history="1">
        <w:r w:rsidRPr="00ED437B">
          <w:rPr>
            <w:rStyle w:val="Hyperlink"/>
          </w:rPr>
          <w:t>Table 3 Thematic Analysis of Challenges and Barriers Encountered by Generation Z Employees</w:t>
        </w:r>
        <w:r w:rsidRPr="00ED437B">
          <w:rPr>
            <w:webHidden/>
          </w:rPr>
          <w:tab/>
        </w:r>
        <w:r w:rsidRPr="00ED437B">
          <w:rPr>
            <w:webHidden/>
          </w:rPr>
          <w:fldChar w:fldCharType="begin"/>
        </w:r>
        <w:r w:rsidRPr="00ED437B">
          <w:rPr>
            <w:webHidden/>
          </w:rPr>
          <w:instrText xml:space="preserve"> PAGEREF _Toc216195248 \h </w:instrText>
        </w:r>
        <w:r w:rsidRPr="00ED437B">
          <w:rPr>
            <w:webHidden/>
          </w:rPr>
        </w:r>
        <w:r w:rsidRPr="00ED437B">
          <w:rPr>
            <w:webHidden/>
          </w:rPr>
          <w:fldChar w:fldCharType="separate"/>
        </w:r>
        <w:r w:rsidRPr="00ED437B">
          <w:rPr>
            <w:webHidden/>
          </w:rPr>
          <w:t>51</w:t>
        </w:r>
        <w:r w:rsidRPr="00ED437B">
          <w:rPr>
            <w:webHidden/>
          </w:rPr>
          <w:fldChar w:fldCharType="end"/>
        </w:r>
      </w:hyperlink>
    </w:p>
    <w:p w14:paraId="028F25F7" w14:textId="5225C2F3" w:rsidR="00716329" w:rsidRPr="00ED437B" w:rsidRDefault="00716329">
      <w:pPr>
        <w:pStyle w:val="TableofFigures"/>
        <w:tabs>
          <w:tab w:val="right" w:leader="dot" w:pos="9016"/>
        </w:tabs>
        <w:rPr>
          <w:rFonts w:asciiTheme="minorHAnsi" w:hAnsiTheme="minorHAnsi"/>
          <w:kern w:val="2"/>
          <w:szCs w:val="30"/>
          <w:lang w:eastAsia="zh-CN" w:bidi="bn-IN"/>
          <w14:ligatures w14:val="standardContextual"/>
        </w:rPr>
      </w:pPr>
      <w:hyperlink w:anchor="_Toc216195249" w:history="1">
        <w:r w:rsidRPr="00ED437B">
          <w:rPr>
            <w:rStyle w:val="Hyperlink"/>
          </w:rPr>
          <w:t>Table 4 Thematic Analysis of Organisational Policies and Practices to Support and Engage Generation Z</w:t>
        </w:r>
        <w:r w:rsidRPr="00ED437B">
          <w:rPr>
            <w:webHidden/>
          </w:rPr>
          <w:tab/>
        </w:r>
        <w:r w:rsidRPr="00ED437B">
          <w:rPr>
            <w:webHidden/>
          </w:rPr>
          <w:fldChar w:fldCharType="begin"/>
        </w:r>
        <w:r w:rsidRPr="00ED437B">
          <w:rPr>
            <w:webHidden/>
          </w:rPr>
          <w:instrText xml:space="preserve"> PAGEREF _Toc216195249 \h </w:instrText>
        </w:r>
        <w:r w:rsidRPr="00ED437B">
          <w:rPr>
            <w:webHidden/>
          </w:rPr>
        </w:r>
        <w:r w:rsidRPr="00ED437B">
          <w:rPr>
            <w:webHidden/>
          </w:rPr>
          <w:fldChar w:fldCharType="separate"/>
        </w:r>
        <w:r w:rsidRPr="00ED437B">
          <w:rPr>
            <w:webHidden/>
          </w:rPr>
          <w:t>56</w:t>
        </w:r>
        <w:r w:rsidRPr="00ED437B">
          <w:rPr>
            <w:webHidden/>
          </w:rPr>
          <w:fldChar w:fldCharType="end"/>
        </w:r>
      </w:hyperlink>
    </w:p>
    <w:p w14:paraId="3301D386" w14:textId="48B038EA" w:rsidR="008C5097" w:rsidRPr="00ED437B" w:rsidRDefault="00716329" w:rsidP="008C5097">
      <w:r w:rsidRPr="00ED437B">
        <w:fldChar w:fldCharType="end"/>
      </w:r>
      <w:r w:rsidR="008C5097" w:rsidRPr="00ED437B">
        <w:br w:type="page"/>
      </w:r>
    </w:p>
    <w:p w14:paraId="73DDCEB1" w14:textId="524B6F83" w:rsidR="00391EB6" w:rsidRPr="00ED437B" w:rsidRDefault="00786750" w:rsidP="008C5097">
      <w:pPr>
        <w:pStyle w:val="Heading1"/>
      </w:pPr>
      <w:bookmarkStart w:id="3" w:name="_Toc218179314"/>
      <w:r w:rsidRPr="00ED437B">
        <w:lastRenderedPageBreak/>
        <w:t>CHAPTER 1: INTRODUCTION</w:t>
      </w:r>
      <w:bookmarkEnd w:id="3"/>
      <w:r w:rsidRPr="00ED437B">
        <w:t xml:space="preserve"> </w:t>
      </w:r>
    </w:p>
    <w:p w14:paraId="1F4F57DC" w14:textId="77777777" w:rsidR="00391EB6" w:rsidRPr="00ED437B" w:rsidRDefault="00391EB6" w:rsidP="008C5097">
      <w:pPr>
        <w:pStyle w:val="Heading2"/>
      </w:pPr>
      <w:bookmarkStart w:id="4" w:name="_Toc218179315"/>
      <w:r w:rsidRPr="00ED437B">
        <w:t>Background &amp; Problem Statement</w:t>
      </w:r>
      <w:bookmarkEnd w:id="4"/>
    </w:p>
    <w:p w14:paraId="1B295349" w14:textId="562A9940" w:rsidR="00AA0401" w:rsidRPr="00ED437B" w:rsidRDefault="00464BB6" w:rsidP="00464BB6">
      <w:r w:rsidRPr="00ED437B">
        <w:t>Generation Z, typically defined as those born between 1995 and 2010, is increasingly reshaping organisational structures, workforce composition, and workplace expectations</w:t>
      </w:r>
      <w:r w:rsidR="00AA0401" w:rsidRPr="00ED437B">
        <w:t>. It is predicted that, by 2025, Generation Z will constitute 27 percent of the workforce in the OECD countries and almost a third of the world labour force by 2030 (Francis and Hoefel, 2018; Bloomgarden, 2022; Deloitte, 2023). This population change is especially notable considering that the labour force of developed economies is shrinking, and Europe is predicted to lose a quarter of the labour force in the next 20 years, and Generation Z is already three million smaller than Millennials in the United States (Bloomgarden, 2022). In this regard, Generation Z is not just the future of the workforce but another critical point in facing the looming talent shortages especially because Generation Alpha is even smaller (Truncale, 2025).</w:t>
      </w:r>
    </w:p>
    <w:p w14:paraId="7E9335B0" w14:textId="4A837A3F" w:rsidR="00464BB6" w:rsidRPr="00ED437B" w:rsidRDefault="00464BB6" w:rsidP="00464BB6">
      <w:pPr>
        <w:rPr>
          <w:rFonts w:ascii="Times New Roman" w:hAnsi="Times New Roman"/>
        </w:rPr>
      </w:pPr>
      <w:r w:rsidRPr="00ED437B">
        <w:drawing>
          <wp:inline distT="0" distB="0" distL="0" distR="0" wp14:anchorId="30F5AB57" wp14:editId="621ABE68">
            <wp:extent cx="5731510" cy="2937510"/>
            <wp:effectExtent l="0" t="0" r="2540" b="0"/>
            <wp:docPr id="1704412915" name="Picture 1" descr="workforce Baby Boomers, Gen X, Millenials, Gen Z, Gen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force Baby Boomers, Gen X, Millenials, Gen Z, Gen Alph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327"/>
                    <a:stretch>
                      <a:fillRect/>
                    </a:stretch>
                  </pic:blipFill>
                  <pic:spPr bwMode="auto">
                    <a:xfrm>
                      <a:off x="0" y="0"/>
                      <a:ext cx="5731510" cy="2937510"/>
                    </a:xfrm>
                    <a:prstGeom prst="rect">
                      <a:avLst/>
                    </a:prstGeom>
                    <a:noFill/>
                    <a:ln>
                      <a:noFill/>
                    </a:ln>
                    <a:extLst>
                      <a:ext uri="{53640926-AAD7-44D8-BBD7-CCE9431645EC}">
                        <a14:shadowObscured xmlns:a14="http://schemas.microsoft.com/office/drawing/2010/main"/>
                      </a:ext>
                    </a:extLst>
                  </pic:spPr>
                </pic:pic>
              </a:graphicData>
            </a:graphic>
          </wp:inline>
        </w:drawing>
      </w:r>
    </w:p>
    <w:p w14:paraId="6451DCF5" w14:textId="1BE9D849" w:rsidR="00464BB6" w:rsidRPr="00ED437B" w:rsidRDefault="00464BB6" w:rsidP="00464BB6">
      <w:pPr>
        <w:jc w:val="center"/>
      </w:pPr>
      <w:r w:rsidRPr="00ED437B">
        <w:t>Fig 1: The Generational Timeline (Truncale, 2025).</w:t>
      </w:r>
    </w:p>
    <w:p w14:paraId="4E8BBD66" w14:textId="609EAC64" w:rsidR="00464BB6" w:rsidRPr="00ED437B" w:rsidRDefault="00AA0401" w:rsidP="00464BB6">
      <w:r w:rsidRPr="00ED437B">
        <w:t xml:space="preserve">Being properly digital natives, globally connected, and highly adaptable, the generation Z offers unique motivations and expectations in the workplace. They attach importance to meaningful working, career building, inclusive and equitable organisational cultures, autonomy, and flexible work arrangements that incorporate technology in day to day operations (Cilliers, 2017; Schroth, 2019; Twenge, 2010; Wiedmer, 2015). They are also very conscious about job security, mental health, and </w:t>
      </w:r>
      <w:r w:rsidRPr="00ED437B">
        <w:lastRenderedPageBreak/>
        <w:t>work-life balance because of their formative experiences being in socio-economic uncertainty and these are their retention and engagement priorities (Dimock, 2019; Deloitte, 2021). Simultaneously, the Generation Z workers have a range of obstacles, such as the inability to integrate into the workplace, stereotyping, lack of experience, and stress associated with job insecurity, with up to 38 percent of surveys indicating that they are likely to leave their current position within a year (Schroth, 2019; Billeter, Beck, Feinsod, and Justice, 2025).</w:t>
      </w:r>
    </w:p>
    <w:p w14:paraId="5AD44C70" w14:textId="77777777" w:rsidR="00AA0401" w:rsidRPr="00ED437B" w:rsidRDefault="00AA0401" w:rsidP="006B5A34">
      <w:r w:rsidRPr="00ED437B">
        <w:t>Organisations who manage to attract Generation Z will have the opportunity to use their technological savvy, entrepreneurial spirit and innovation-driven attitude to gain a competitive edge (Seemiller &amp; Grace, 2017). Nevertheless, their disappointment may lead to the loss of not only important talent but also a significant number of individuals may leave in the era of demographic decline, which is why it is particularly important to learn more about this generation. The future workforce will be dominated by multigenerational workforces, and it is estimated that 80 percent of the workforce in developed nations will be made up of the Millennials, Generation Z, and the very first members of Generation Alpha by 2034 (Truncale, 2025). Generation Z, in this context, can be described as a gravitational force that has an impact on the organisational culture, the processes of innovation, and the career path of other generations.</w:t>
      </w:r>
    </w:p>
    <w:p w14:paraId="3A0431CC" w14:textId="245137BE" w:rsidR="006B5A34" w:rsidRPr="00ED437B" w:rsidRDefault="00AA0401" w:rsidP="006B5A34">
      <w:r w:rsidRPr="00ED437B">
        <w:t>Although the literature on generation Z in the workplace has been on the increase across psychology, human resource management and sociology, the literature is nonetheless disjointed, with some studies focusing on a single element of motivation, integration, or organisational policy. The necessity to have a systematic review of the available evidence on their work-related motivations, challenges, and effective organisational practises is pressing. Such knowledge gathering will inform human resource policies, retention policies, and development of organisational practises that can utilise the potential of Generation Z without ignoring the barriers that they face in the job market (Chicca and Shellenbarger, 2018; Putriastuti and Stasi, 2019).</w:t>
      </w:r>
    </w:p>
    <w:p w14:paraId="589A7F63" w14:textId="77777777" w:rsidR="00716329" w:rsidRPr="00ED437B" w:rsidRDefault="00716329" w:rsidP="006B5A34"/>
    <w:p w14:paraId="73CEC8CA" w14:textId="77777777" w:rsidR="00716329" w:rsidRPr="00ED437B" w:rsidRDefault="00716329" w:rsidP="006B5A34"/>
    <w:p w14:paraId="41EA5AA1" w14:textId="1D62E471" w:rsidR="00391EB6" w:rsidRPr="00ED437B" w:rsidRDefault="00391EB6" w:rsidP="008C5097">
      <w:pPr>
        <w:pStyle w:val="Heading2"/>
      </w:pPr>
      <w:bookmarkStart w:id="5" w:name="_Toc218179316"/>
      <w:r w:rsidRPr="00ED437B">
        <w:lastRenderedPageBreak/>
        <w:t>Research Aim</w:t>
      </w:r>
      <w:bookmarkEnd w:id="5"/>
    </w:p>
    <w:p w14:paraId="7B772213" w14:textId="77777777" w:rsidR="00464BB6" w:rsidRPr="00ED437B" w:rsidRDefault="00464BB6" w:rsidP="00464BB6">
      <w:r w:rsidRPr="00ED437B">
        <w:t>The primary aim of this research is to systematically examine Generation Z’s motivations, challenges, and experiences in the workplace and to synthesise organisational policy approaches that support their effective engagement.</w:t>
      </w:r>
    </w:p>
    <w:p w14:paraId="56A3A5CF" w14:textId="77777777" w:rsidR="00391EB6" w:rsidRPr="00ED437B" w:rsidRDefault="00391EB6" w:rsidP="008C5097">
      <w:pPr>
        <w:pStyle w:val="Heading2"/>
      </w:pPr>
      <w:bookmarkStart w:id="6" w:name="_Toc218179317"/>
      <w:r w:rsidRPr="00ED437B">
        <w:t>Research Objectives</w:t>
      </w:r>
      <w:bookmarkEnd w:id="6"/>
    </w:p>
    <w:p w14:paraId="3A5252B6" w14:textId="77777777" w:rsidR="00464BB6" w:rsidRPr="00ED437B" w:rsidRDefault="00464BB6" w:rsidP="00464BB6">
      <w:pPr>
        <w:pStyle w:val="ListParagraph"/>
        <w:numPr>
          <w:ilvl w:val="0"/>
          <w:numId w:val="23"/>
        </w:numPr>
        <w:spacing w:before="0" w:after="160"/>
      </w:pPr>
      <w:r w:rsidRPr="00ED437B">
        <w:t>To identify and analyse the key motivations, values, and expectations of Generation Z in the workplace.</w:t>
      </w:r>
    </w:p>
    <w:p w14:paraId="033BF559" w14:textId="77777777" w:rsidR="00464BB6" w:rsidRPr="00ED437B" w:rsidRDefault="00464BB6" w:rsidP="00464BB6">
      <w:pPr>
        <w:pStyle w:val="ListParagraph"/>
        <w:numPr>
          <w:ilvl w:val="0"/>
          <w:numId w:val="23"/>
        </w:numPr>
        <w:spacing w:before="0" w:after="160"/>
      </w:pPr>
      <w:r w:rsidRPr="00ED437B">
        <w:t>To examine the challenges and barriers Generation Z faces as they enter organisational settings.</w:t>
      </w:r>
    </w:p>
    <w:p w14:paraId="28836959" w14:textId="4A20BD3B" w:rsidR="00E578B4" w:rsidRPr="00ED437B" w:rsidRDefault="00464BB6" w:rsidP="00B56C66">
      <w:pPr>
        <w:pStyle w:val="ListParagraph"/>
        <w:numPr>
          <w:ilvl w:val="0"/>
          <w:numId w:val="23"/>
        </w:numPr>
        <w:spacing w:before="0" w:after="160"/>
      </w:pPr>
      <w:r w:rsidRPr="00ED437B">
        <w:t>To review and synthesise recommendations from existing literature regarding organisational policies and practices that effectively support and engage Generation Z employees.</w:t>
      </w:r>
    </w:p>
    <w:p w14:paraId="5F1CCF70" w14:textId="77777777" w:rsidR="00391EB6" w:rsidRPr="00ED437B" w:rsidRDefault="00391EB6" w:rsidP="008C5097">
      <w:pPr>
        <w:pStyle w:val="Heading2"/>
      </w:pPr>
      <w:bookmarkStart w:id="7" w:name="_Toc218179318"/>
      <w:r w:rsidRPr="00ED437B">
        <w:t>Research Questions</w:t>
      </w:r>
      <w:bookmarkEnd w:id="7"/>
    </w:p>
    <w:p w14:paraId="2D95C2A8" w14:textId="77777777" w:rsidR="00464BB6" w:rsidRPr="00ED437B" w:rsidRDefault="00464BB6" w:rsidP="00464BB6">
      <w:pPr>
        <w:pStyle w:val="ListParagraph"/>
        <w:numPr>
          <w:ilvl w:val="0"/>
          <w:numId w:val="24"/>
        </w:numPr>
        <w:spacing w:before="0" w:after="160"/>
      </w:pPr>
      <w:r w:rsidRPr="00ED437B">
        <w:t>What are the key motivations and work-related values of Generation Z as they enter the workforce?</w:t>
      </w:r>
    </w:p>
    <w:p w14:paraId="655970D5" w14:textId="77777777" w:rsidR="00464BB6" w:rsidRPr="00ED437B" w:rsidRDefault="00464BB6" w:rsidP="00464BB6">
      <w:pPr>
        <w:pStyle w:val="ListParagraph"/>
        <w:numPr>
          <w:ilvl w:val="0"/>
          <w:numId w:val="24"/>
        </w:numPr>
        <w:spacing w:before="0" w:after="160"/>
      </w:pPr>
      <w:r w:rsidRPr="00ED437B">
        <w:t>What challenges and barriers do Generation Z employees encounter in organisational settings?</w:t>
      </w:r>
    </w:p>
    <w:p w14:paraId="3DBDB98D" w14:textId="33E49A67" w:rsidR="00E578B4" w:rsidRPr="00ED437B" w:rsidRDefault="00464BB6" w:rsidP="00B56C66">
      <w:pPr>
        <w:pStyle w:val="ListParagraph"/>
        <w:numPr>
          <w:ilvl w:val="0"/>
          <w:numId w:val="24"/>
        </w:numPr>
        <w:spacing w:before="0" w:after="160"/>
      </w:pPr>
      <w:r w:rsidRPr="00ED437B">
        <w:t>What organisational policies or practices have been recommended in the literature to support and engage Generation Z effectively?</w:t>
      </w:r>
    </w:p>
    <w:p w14:paraId="43C00864" w14:textId="1B3F13BF" w:rsidR="00E578B4" w:rsidRPr="00ED437B" w:rsidRDefault="00391EB6" w:rsidP="00E578B4">
      <w:pPr>
        <w:pStyle w:val="Heading2"/>
      </w:pPr>
      <w:bookmarkStart w:id="8" w:name="_Toc218179319"/>
      <w:r w:rsidRPr="00ED437B">
        <w:t>Significance / Relevance of Study</w:t>
      </w:r>
      <w:bookmarkEnd w:id="8"/>
    </w:p>
    <w:p w14:paraId="63ABDE52" w14:textId="77777777" w:rsidR="00AA0401" w:rsidRPr="00ED437B" w:rsidRDefault="00AA0401" w:rsidP="00AA0401">
      <w:r w:rsidRPr="00ED437B">
        <w:t xml:space="preserve">Organisations who manage to attract Generation Z will have the opportunity to use their technological savvy, entrepreneurial spirit and innovation-driven attitude to gain a competitive edge (Seemiller &amp; Grace, 2017). Nevertheless, their disappointment may lead to the loss of not only important talent but also a significant number of individuals may leave in the era of demographic decline, which is why it is particularly important to learn more about this generation. The future workforce will be dominated by multigenerational workforces, and it is estimated that 80 percent of the workforce in developed nations will be made up of the Millennials, Generation Z, and the very first members of Generation Alpha by 2034 (Truncale, 2025). Generation Z, in this context, can be described as a gravitational force that has an impact on the </w:t>
      </w:r>
      <w:r w:rsidRPr="00ED437B">
        <w:lastRenderedPageBreak/>
        <w:t>organisational culture, the processes of innovation, and the career path of other generations.</w:t>
      </w:r>
    </w:p>
    <w:p w14:paraId="47E96CE7" w14:textId="537CE44D" w:rsidR="00464BB6" w:rsidRPr="00ED437B" w:rsidRDefault="00AA0401" w:rsidP="00AA0401">
      <w:r w:rsidRPr="00ED437B">
        <w:t>Although the literature on generation Z in the workplace has been on the increase across psychology, human resource management and sociology, the literature is nonetheless disjointed, with some studies focusing on a single element of motivation, integration, or organisational policy. The necessity to have a systematic review of the available evidence on their work-related motivations, challenges, and effective organisational practises is pressing. Such knowledge gathering will inform human resource policies, retention policies, and development of organisational practises that can utilise the potential of Generation Z without ignoring the barriers that they face in the job market (Chicca and Shellenbarger, 2018; Putriastuti and Stasi, 2019).</w:t>
      </w:r>
    </w:p>
    <w:p w14:paraId="0DFC433F" w14:textId="77777777" w:rsidR="00E578B4" w:rsidRPr="00ED437B" w:rsidRDefault="00391EB6" w:rsidP="008C5097">
      <w:pPr>
        <w:pStyle w:val="Heading2"/>
      </w:pPr>
      <w:bookmarkStart w:id="9" w:name="_Toc218179320"/>
      <w:r w:rsidRPr="00ED437B">
        <w:t>Brief Research Methodology</w:t>
      </w:r>
      <w:bookmarkEnd w:id="9"/>
    </w:p>
    <w:p w14:paraId="5CF499C9" w14:textId="007F2884" w:rsidR="00464BB6" w:rsidRPr="00ED437B" w:rsidRDefault="00AA0401" w:rsidP="00AA0401">
      <w:r w:rsidRPr="00ED437B">
        <w:t xml:space="preserve">This research was done in form of a systematic review aimed at summarising the current literature on workplace experiences, motivation, issues and policies of Gen Z that affect them in organisations. Based on the PRISMA guidelines, the steps followed clear and reproducible phases of identification, screening, inclusion, and reporting of studies (Moher </w:t>
      </w:r>
      <w:r w:rsidR="000C3E28" w:rsidRPr="00ED437B">
        <w:rPr>
          <w:i/>
          <w:iCs/>
        </w:rPr>
        <w:t>et al</w:t>
      </w:r>
      <w:r w:rsidRPr="00ED437B">
        <w:t xml:space="preserve">., 2009; Page </w:t>
      </w:r>
      <w:r w:rsidR="000C3E28" w:rsidRPr="00ED437B">
        <w:rPr>
          <w:i/>
          <w:iCs/>
        </w:rPr>
        <w:t>et al</w:t>
      </w:r>
      <w:r w:rsidRPr="00ED437B">
        <w:t xml:space="preserve">., 2021). Following the interpretivist school of thought, the study recognised the contextualised and socially constructed quality of workplace experiences (Saunders, Lewis and Thornhill, 2019) and utilised an inductive method to obtain conclusions based on the available evidence (Thomas, 2006; Kitchenham, 2004). Scopus and Google Scholar were searched with Boolean combinations of key words (generation, Z, workplace, motivations, challenges, and organisational policies). Any article that was published in the period between 2015 and 2025 and is in the English language was included, although the preference was given to the recent publications in the year 2019 and after. The inclusion criteria were based on ensuring that peer-reviewed publications were incorporated, covering workplace-related factors of Generation Z without considering papers on the same topic which are related to the educational context or have no methodological rigour. The PRISMA process was used to conduct the systematic screening of articles and inclusion of articles, and data were gathered in a structured table with details of author, year, context, methodology, key findings and limitations. The quality of methodology of the chosen articles was assessed with the help of the Critical Appraisal Skills Programme </w:t>
      </w:r>
      <w:r w:rsidRPr="00ED437B">
        <w:lastRenderedPageBreak/>
        <w:t>(CASP, 2018). Results were synthesised in the form of narrative by using thematic approach in order to determine recurrent patterns, inconsistency and gaps (Thomas and Harden, 2008). The ethical standards through correct reference, transparent reporting and consideration of the UWTSD Research Ethics and Integrity Code of Practise (UWTSD, 2022) were observed and the possible limitations (Western-centric bias, publication bias, and interpretive subjectivity) were considered and address.</w:t>
      </w:r>
    </w:p>
    <w:p w14:paraId="0A209A40" w14:textId="20A5CBF5" w:rsidR="00391EB6" w:rsidRPr="00ED437B" w:rsidRDefault="00391EB6" w:rsidP="008C5097">
      <w:pPr>
        <w:pStyle w:val="Heading2"/>
      </w:pPr>
      <w:bookmarkStart w:id="10" w:name="_Toc218179321"/>
      <w:r w:rsidRPr="00ED437B">
        <w:t xml:space="preserve">Structure of </w:t>
      </w:r>
      <w:r w:rsidR="001F7590" w:rsidRPr="00ED437B">
        <w:t>R</w:t>
      </w:r>
      <w:r w:rsidRPr="00ED437B">
        <w:t xml:space="preserve">est of </w:t>
      </w:r>
      <w:r w:rsidR="001F7590" w:rsidRPr="00ED437B">
        <w:t>P</w:t>
      </w:r>
      <w:r w:rsidRPr="00ED437B">
        <w:t>roject</w:t>
      </w:r>
      <w:bookmarkEnd w:id="10"/>
    </w:p>
    <w:p w14:paraId="2DCD6C45" w14:textId="5FE784B3" w:rsidR="005F3C84" w:rsidRPr="00ED437B" w:rsidRDefault="00AA0401" w:rsidP="00AA0401">
      <w:r w:rsidRPr="00ED437B">
        <w:t>The rest of this project is divided into four major chapters. Chapter 2 indicates the literature review, starting with an introduction, which gives the background of the research and then explains the central concepts, thematic areas of the research and formulation of a conceptual framework to be used to develop the analysis. Chapter 3 elaborates the research methodology describing the philosophical assumptions, research design and the approach taken, data collection methods, ethical considerations and a justification of each methodological choice. The results are reported in chapter 4 and include an extensive analysis and discussion of the results that incorporates the results with applied literature to identify major patterns and meanings. Lastly, Chapter 5 brings a wrap to the study with a summary of the key findings, conclusions made relative to the research questions and practical and theoretical recommendations. It also deals with limitations of the study and recommends the future research directions.</w:t>
      </w:r>
    </w:p>
    <w:p w14:paraId="3D13F724" w14:textId="3B605705" w:rsidR="008C5097" w:rsidRPr="00ED437B" w:rsidRDefault="00464BB6" w:rsidP="005F3C84">
      <w:pPr>
        <w:spacing w:before="0" w:after="160" w:line="259" w:lineRule="auto"/>
        <w:jc w:val="left"/>
      </w:pPr>
      <w:r w:rsidRPr="00ED437B">
        <w:br w:type="page"/>
      </w:r>
    </w:p>
    <w:p w14:paraId="1FCA51C8" w14:textId="0FDA1994" w:rsidR="00391EB6" w:rsidRPr="00ED437B" w:rsidRDefault="00786750" w:rsidP="008C5097">
      <w:pPr>
        <w:pStyle w:val="Heading1"/>
      </w:pPr>
      <w:bookmarkStart w:id="11" w:name="_Toc218179322"/>
      <w:r w:rsidRPr="00ED437B">
        <w:lastRenderedPageBreak/>
        <w:t>CHAPTER 2: LITERATURE REVIEW</w:t>
      </w:r>
      <w:bookmarkEnd w:id="11"/>
      <w:r w:rsidRPr="00ED437B">
        <w:t xml:space="preserve"> </w:t>
      </w:r>
    </w:p>
    <w:p w14:paraId="40ADE638" w14:textId="56AC050D" w:rsidR="00B267C5" w:rsidRPr="00ED437B" w:rsidRDefault="00391EB6" w:rsidP="00B267C5">
      <w:pPr>
        <w:pStyle w:val="Heading2"/>
      </w:pPr>
      <w:bookmarkStart w:id="12" w:name="_Toc218179323"/>
      <w:r w:rsidRPr="00ED437B">
        <w:t>Introduction</w:t>
      </w:r>
      <w:bookmarkEnd w:id="12"/>
    </w:p>
    <w:p w14:paraId="4F61E951" w14:textId="123BE8D1" w:rsidR="009869A2" w:rsidRPr="00ED437B" w:rsidRDefault="00AA0401" w:rsidP="009869A2">
      <w:r w:rsidRPr="00ED437B">
        <w:t>This literature review aims to provide a synthesis of what has been known about Generation Z in the workplace by paying closer attention to the motivations and challenges as well as the organisational policies and practises that can successfully attract the attention of this new generation of workforce. With Gen Z joining the professional world more frequently, organisations urgently require ways to adjust their management approaches to the expectations, values, and work behaviours peculiar to this generation. The perception of such generational traits is fundamental to creating the policies that will increase engagement, productivity, and retention, as well as resolve the possible intergenerational conflict. The sources used in this review are very broad and include empirical research, theoretical frameworks and reports on the industry to provide an overview of the existing knowledge. The review provides the chances to answer the research questions directly by analysing the most critical motivations, obstacles, and prescribed organisational practises that will become the basis of the development of evidence-based practises that will enable the support of Generation Z and its effective management within various organisational settings.</w:t>
      </w:r>
    </w:p>
    <w:p w14:paraId="1683C831" w14:textId="362C8CDD" w:rsidR="00391EB6" w:rsidRPr="00ED437B" w:rsidRDefault="00391EB6" w:rsidP="008C5097">
      <w:pPr>
        <w:pStyle w:val="Heading2"/>
      </w:pPr>
      <w:bookmarkStart w:id="13" w:name="_Toc218179324"/>
      <w:r w:rsidRPr="00ED437B">
        <w:t>Research Areas / Topics</w:t>
      </w:r>
      <w:bookmarkEnd w:id="13"/>
    </w:p>
    <w:p w14:paraId="66D20550" w14:textId="77777777" w:rsidR="00496083" w:rsidRPr="00ED437B" w:rsidRDefault="00496083" w:rsidP="00496083">
      <w:pPr>
        <w:pStyle w:val="Heading3"/>
      </w:pPr>
      <w:bookmarkStart w:id="14" w:name="_Toc218179325"/>
      <w:r w:rsidRPr="00ED437B">
        <w:t>Key Motivations and Work-Related Values of Generation Z</w:t>
      </w:r>
      <w:bookmarkEnd w:id="14"/>
    </w:p>
    <w:p w14:paraId="0CFB268C" w14:textId="77777777" w:rsidR="00AA0401" w:rsidRPr="00ED437B" w:rsidRDefault="00AA0401" w:rsidP="00AA0401">
      <w:r w:rsidRPr="00ED437B">
        <w:t>The motivations and work-related values of the generation Z entering the workforce in the past decade do not match those of the previous generations. According to empirical studies, this generation is in a balance of both intrinsic and extrinsic needs, i.e. purpose-oriented work and personal development versus monetary compensation, recognition, and career progression. Their drives are strongly connected with the greater social, technological and organisational conditions, as they are both personal dreams and effects of surroundings.</w:t>
      </w:r>
    </w:p>
    <w:p w14:paraId="1A028EB2" w14:textId="77777777" w:rsidR="00AA0401" w:rsidRPr="00ED437B" w:rsidRDefault="00AA0401" w:rsidP="00AA0401">
      <w:r w:rsidRPr="00ED437B">
        <w:t xml:space="preserve">One of the main themes in the literature is intrinsic motivation, the one based on individual contentment and compatibility with personal values. Various researchers note that Gen Z workers want meaningful and satisfying work, which can be social responsibility or organisational mission. Indicatively, in the example of Gen Z, Darby, Thornton &amp; Davis-Sramek (2025) indicate that employees of Gen Z are attracted to </w:t>
      </w:r>
      <w:r w:rsidRPr="00ED437B">
        <w:lastRenderedPageBreak/>
        <w:t>working in a place that exhibits social accountability, with corporate social responsibility (CSR) practises serving as a motivator and a hiring instrument. On the same note, Bhore, Tapas, Gotise &amp; Chinmulgund (2025) see the factors of self-satisfaction and help to social causes as a driving force, which means that meaningful work and agreement with personal ethics are key to their work values. This goal-oriented work preference is supported by the wish to be autonomous, to grow, and to get a chance to develop mastery, which, according to El Hajal and Losekoot (2025), are associated with intrinsic motivation and flexibility, communication, teamwork, and growth.</w:t>
      </w:r>
    </w:p>
    <w:p w14:paraId="6F29013A" w14:textId="7B36B598" w:rsidR="00AA0401" w:rsidRPr="00ED437B" w:rsidRDefault="00AA0401" w:rsidP="00AA0401">
      <w:r w:rsidRPr="00ED437B">
        <w:t>Another high intrinsic motivation is career development. According to a study conducted by Gandasari</w:t>
      </w:r>
      <w:r w:rsidR="002B138C" w:rsidRPr="00ED437B">
        <w:t xml:space="preserve"> </w:t>
      </w:r>
      <w:r w:rsidR="000C3E28" w:rsidRPr="00ED437B">
        <w:rPr>
          <w:rFonts w:eastAsia="Times New Roman"/>
          <w:i/>
          <w:iCs/>
          <w:color w:val="000000"/>
          <w:szCs w:val="24"/>
          <w:lang w:eastAsia="zh-CN" w:bidi="bn-IN"/>
        </w:rPr>
        <w:t>et al</w:t>
      </w:r>
      <w:r w:rsidR="002B138C" w:rsidRPr="00ED437B">
        <w:rPr>
          <w:rFonts w:eastAsia="Times New Roman"/>
          <w:i/>
          <w:iCs/>
          <w:color w:val="000000"/>
          <w:szCs w:val="24"/>
          <w:lang w:eastAsia="zh-CN" w:bidi="bn-IN"/>
        </w:rPr>
        <w:t>.</w:t>
      </w:r>
      <w:r w:rsidR="002B138C" w:rsidRPr="00ED437B">
        <w:t xml:space="preserve"> </w:t>
      </w:r>
      <w:r w:rsidRPr="00ED437B">
        <w:t>(2024), Gen Z prioritises such elements as well-organised career development, educational possibilities, and employer branding to indicate future professional growth. Similarly, Guslina</w:t>
      </w:r>
      <w:r w:rsidR="002B138C" w:rsidRPr="00ED437B">
        <w:t xml:space="preserve"> </w:t>
      </w:r>
      <w:r w:rsidR="000C3E28" w:rsidRPr="00ED437B">
        <w:rPr>
          <w:i/>
          <w:iCs/>
        </w:rPr>
        <w:t>et al</w:t>
      </w:r>
      <w:r w:rsidR="002B138C" w:rsidRPr="00ED437B">
        <w:rPr>
          <w:i/>
          <w:iCs/>
        </w:rPr>
        <w:t>.</w:t>
      </w:r>
      <w:r w:rsidR="002B138C" w:rsidRPr="00ED437B">
        <w:t xml:space="preserve"> </w:t>
      </w:r>
      <w:r w:rsidRPr="00ED437B">
        <w:t>(2025) prove that management support, career growth, and exposure to technology improves job satisfaction and engagement, which is the wish to be competent, masterful, and develop a skill. All of these studies highlight the fact that financial rewards are not the only intrinsic motivation factors of Gen Z, as purpose, growth, and self-realisation are significant requirements.</w:t>
      </w:r>
    </w:p>
    <w:p w14:paraId="1321019D" w14:textId="77777777" w:rsidR="00AA0401" w:rsidRPr="00ED437B" w:rsidRDefault="00AA0401" w:rsidP="00AA0401">
      <w:r w:rsidRPr="00ED437B">
        <w:t>Although intrinsic factors are important, extrinsic rewards like remuneration, recognition and job security are of importance. According to Acheampong (2021) and Ali, Li, and Qiu (2024), personalised reward programmes, competitive remuneration, and conducive workplaces have a significant effect on the attraction, retention, and performance of Gen Z. The extrinsic drivers, recognition mechanisms and performance feedback, are also mentioned as strengths of engagement and commitment (Aggarwal, Sadhna, Gupta, Mittal, and Rastogi, 2022; Mabaso, 2025). The literature posits the extrinsic and intrinsic motivators are not mutually exclusive: the relevant recognition and rewards will contribute to the meaning of the work and maintain the engagement.</w:t>
      </w:r>
    </w:p>
    <w:p w14:paraId="74479B1B" w14:textId="77777777" w:rsidR="00AA0401" w:rsidRPr="00ED437B" w:rsidRDefault="00AA0401" w:rsidP="00AA0401">
      <w:r w:rsidRPr="00ED437B">
        <w:t xml:space="preserve">The work-related values turn out to be several recurrent and reflect not only the lifestyle preferences but also the generational traits. Bou Hatoum &amp; Nassereddine (2025) mention that respect, work-life balance, and job security are especially relevant, whereas Holban and Bedrule-Grigoruta (2025) focus on flexibility, career development, and recognition as the organisational features. Another characteristic </w:t>
      </w:r>
      <w:r w:rsidRPr="00ED437B">
        <w:lastRenderedPageBreak/>
        <w:t>value is digital competence; Gen Z would want working environments to accommodate technological involvement, providing platforms enabling the use of digital capabilities to solve problems and collaborate with others (El Hajal and Losekoot, 2025). These values are interlinked with social impact and ethical concerns as Gen Z is seeking employers who have CSR activities and organisational culture that support the overall goals of society (Pandita and Khatwani, 2022; Yunyi, Singh and Kularajasingam, 2024).</w:t>
      </w:r>
    </w:p>
    <w:p w14:paraId="7A16480D" w14:textId="77777777" w:rsidR="00AA0401" w:rsidRPr="00ED437B" w:rsidRDefault="00AA0401" w:rsidP="00AA0401">
      <w:r w:rsidRPr="00ED437B">
        <w:t>Both flexibility especially in the working arrangements also comes out as a critical value. Hybrid employment models, flexibility, and autonomy are mentioned numerous times as the points that are not negotiable to engage and be satisfied (Bou Hatoum and Nassereddine, 2025; Holban and Bedrule-Grigoruta, 2025; Kgarimetsa and Naidoo, 2024). These preferences indicate that Gen Z desires workplaces that unite personal well-being with professional performance, which is a holistic understanding of the concept of work-life harmony.</w:t>
      </w:r>
    </w:p>
    <w:p w14:paraId="43D714A2" w14:textId="77777777" w:rsidR="00AA0401" w:rsidRPr="00ED437B" w:rsidRDefault="00AA0401" w:rsidP="00AA0401">
      <w:r w:rsidRPr="00ED437B">
        <w:t>Gen Z (as compared to Millennials and the Gen Y) is more stability and security-oriented, with a pragmatic digital savvy and social awareness. Although Millennials are considered to be idealists and job-hoppers, Gen Z seems to be more choosy, as they prioritise morality and engagement over financial rewards (Arora, Dubey, and Vyas, 2020; Gabrielova and Buchko, 2021). There is also gender difference as women are usually more concerned with social and intrinsic motivators, and men are usually concerned with extrinsic rewards and leisure (Lasakova, Vojtekova, and Prochazkova, 2023; Acheampong, 2021).</w:t>
      </w:r>
    </w:p>
    <w:p w14:paraId="2D3F52B6" w14:textId="77777777" w:rsidR="00AA0401" w:rsidRPr="00ED437B" w:rsidRDefault="00AA0401" w:rsidP="00AA0401">
      <w:r w:rsidRPr="00ED437B">
        <w:t>In spite of the research that has been conducted, there are still gaps in the research as to the finer details of Gen Z motivations. Indicatively, there are not many longitudinal studies that follow the development of intrinsic and extrinsic motivators as this cohort accumulates organisational experience. Furthermore, though the literature acknowledges gender and cultural variations, studies that combine intersectional studies of the socio-economic background, ethnicity, and career ambition are few. Lastly, the emerging technologies, hybrid work, and post-pandemic changes are likely to have an additional impact on Gen Z values, which could imply the necessity of the investigation conducted in modern contexts and focusing on the context.</w:t>
      </w:r>
    </w:p>
    <w:p w14:paraId="7CA27917" w14:textId="7154CB02" w:rsidR="00496083" w:rsidRPr="00ED437B" w:rsidRDefault="00AA0401" w:rsidP="00AA0401">
      <w:r w:rsidRPr="00ED437B">
        <w:lastRenderedPageBreak/>
        <w:t>To sum up, the workplace motives generated by the Generation Z can be characterised as both intrinsic goals, meaning, self-development, and skill acquisition, and extrinsic ones, including salary, prestige, and stability. Work-life balance, flexibility, technological involvement, and ethical alignment are the areas of their values that are different as compared to the past generations. These motivations are critical to the organisations that want to attract, retain and engage Gen Z and research gaps suggest a continuous empirical interest.</w:t>
      </w:r>
    </w:p>
    <w:p w14:paraId="756B8075" w14:textId="77777777" w:rsidR="00496083" w:rsidRPr="00ED437B" w:rsidRDefault="00496083" w:rsidP="00496083">
      <w:pPr>
        <w:pStyle w:val="Heading3"/>
      </w:pPr>
      <w:bookmarkStart w:id="15" w:name="_Toc218179326"/>
      <w:r w:rsidRPr="00ED437B">
        <w:t>Challenges and Barriers Faced by Generation Z in Organisational Settings</w:t>
      </w:r>
      <w:bookmarkEnd w:id="15"/>
    </w:p>
    <w:p w14:paraId="63942ECF" w14:textId="77777777" w:rsidR="00AA0401" w:rsidRPr="00ED437B" w:rsidRDefault="00AA0401" w:rsidP="00AA0401">
      <w:r w:rsidRPr="00ED437B">
        <w:t>Generation Z has an exceptional number of challenges to get them through the education-to-professional environment, living through organisational forms proposed to their predecessors. Although their values and motivation purposes are different, some challenges prevent their integration, involvement, and performance. These issues include, but are not limited to, acclimatising to the existing organisational cultures and handling the mental health strains, technological differences, and the kind of intergenerational communication patterns.</w:t>
      </w:r>
    </w:p>
    <w:p w14:paraId="46D4A2FA" w14:textId="77777777" w:rsidR="00AA0401" w:rsidRPr="00ED437B" w:rsidRDefault="00AA0401" w:rsidP="00AA0401">
      <w:r w:rsidRPr="00ED437B">
        <w:t>One of the recurring trends in the literature is the challenge that Gen Z face in their adjustment to the existing organisational cultures. According to Gabrielova and Buchko (2021), Gen Z workers are likely to face difficulties in meeting the values and practises of the millennial or Gen X managers, which may create intergenerational conflict. These challenges are aggravated by the differences in communication style, work expectations, and feedback preferences. The research shows that the preference of the digital and instant communication that Gen Z has compared to older generations based on traditional and hierarchical communication forms may create a point of conflict in a team-based setting (Janssen and Carradini, 2021).</w:t>
      </w:r>
    </w:p>
    <w:p w14:paraId="667D1A3F" w14:textId="77777777" w:rsidR="00AA0401" w:rsidRPr="00ED437B" w:rsidRDefault="00AA0401" w:rsidP="00AA0401">
      <w:r w:rsidRPr="00ED437B">
        <w:t>Another important matter is mentorship and guidance. Borg, Scott-Young, and Borg (2023) emphasise that professional mentoring and coaching should be arranged in the first steps in the career of Gen Z employees, who have to overcome the challenges of professional norms and tasks on project basis. Absence of mentorship promotes uncertainty, reduced involvement and reduced acquisition of skills. Likewise, El Hajal and Losekoot (2025) note that the organisational readiness to assist Gen Z in the area of experiential learning and training is uneven, and many young employees are not ready to face the work-related challenges.</w:t>
      </w:r>
    </w:p>
    <w:p w14:paraId="6864E363" w14:textId="71EDF7FB" w:rsidR="00AA0401" w:rsidRPr="00ED437B" w:rsidRDefault="00AA0401" w:rsidP="00AA0401">
      <w:r w:rsidRPr="00ED437B">
        <w:lastRenderedPageBreak/>
        <w:t>Another serious group of barriers is represented by job insecurity and mental health pressures. The levels of anxiety, depression, and self-harm tendencies are reported to be high in young workers, as reported by Veluchamy, Agrawal, and Krishnan (2016), and the authors indicate the psychological pressure of the workers of Gen Z in a competitive or unstable workplace. It is further complicated by trends of quiet quitting whereby disengagement is caused by the mismatch between the expectations and reality (Liu-Lastres, Karatepe &amp; Okumus, 2024; Xueyun</w:t>
      </w:r>
      <w:r w:rsidR="002579FC" w:rsidRPr="00ED437B">
        <w:t xml:space="preserve"> </w:t>
      </w:r>
      <w:r w:rsidR="000C3E28" w:rsidRPr="00ED437B">
        <w:rPr>
          <w:i/>
          <w:iCs/>
        </w:rPr>
        <w:t>et al</w:t>
      </w:r>
      <w:r w:rsidRPr="00ED437B">
        <w:t>, 2023). This disengagement can also be as a result of suspected over work, lack of support or a reward on contribution.</w:t>
      </w:r>
    </w:p>
    <w:p w14:paraId="01743A84" w14:textId="77777777" w:rsidR="00AA0401" w:rsidRPr="00ED437B" w:rsidRDefault="00AA0401" w:rsidP="00AA0401">
      <w:r w:rsidRPr="00ED437B">
        <w:t>This is even compounded by the fact that moonlighting and taking on more than one role is involved. According to Bhore, Tapas, Gotise &amp; Chinmulgund (2025), part-time or freelance employment on top of full-time employment results in some Gen Z employees having conflict between the desire to pursue their aspirations and the expectation placed on them by the organisation. Such dual commitments may decrease engagement and augment turnover purposes without focused HR approaches.</w:t>
      </w:r>
    </w:p>
    <w:p w14:paraId="62F57C7E" w14:textId="77777777" w:rsidR="00AA0401" w:rsidRPr="00ED437B" w:rsidRDefault="00AA0401" w:rsidP="00AA0401">
      <w:r w:rsidRPr="00ED437B">
        <w:t>Gen Z is driven and frustrated by technology. Although this generation is extremely digitally fluent, most organisations do not offer sufficient tools, platforms or education to ensure maximum engagement. According to Dou, Ma and Fan (2025), automation and AI integration have the potential to cause job anxiety in Gen Z, especially when perceived as a threat to a position or due to a lack of technical assistance. Conversely, organizations that capitalize on emotional intelligence and introduce online development of skills create high retention and satisfaction. On the same note, El Hajal and Losekoot (2025) highlight that Gen Z also demands a smooth digital process, adaptable technology, and hybrid working; any gaps in the use of technology will lead to dissatisfaction and performance.</w:t>
      </w:r>
    </w:p>
    <w:p w14:paraId="7EB5E3DC" w14:textId="69E23806" w:rsidR="00AA0401" w:rsidRPr="00ED437B" w:rsidRDefault="00AA0401" w:rsidP="00AA0401">
      <w:r w:rsidRPr="00ED437B">
        <w:t>There is also the issue of generational prejudice. According to Gabrielova and Buchko (2021) and Pradhana</w:t>
      </w:r>
      <w:r w:rsidR="002B138C" w:rsidRPr="00ED437B">
        <w:t xml:space="preserve"> </w:t>
      </w:r>
      <w:r w:rsidR="000C3E28" w:rsidRPr="00ED437B">
        <w:rPr>
          <w:i/>
          <w:iCs/>
        </w:rPr>
        <w:t>et al</w:t>
      </w:r>
      <w:r w:rsidR="002B138C" w:rsidRPr="00ED437B">
        <w:rPr>
          <w:i/>
          <w:iCs/>
        </w:rPr>
        <w:t>.</w:t>
      </w:r>
      <w:r w:rsidR="002B138C" w:rsidRPr="00ED437B">
        <w:t xml:space="preserve"> </w:t>
      </w:r>
      <w:r w:rsidRPr="00ED437B">
        <w:t xml:space="preserve">(2024), serving as a manager, one is likely to be impacted by the stereotypes about Gen Z, who are entitled, impatient, and less loyal, even when it comes to the process of the promotion decision. These prejudices not only influence career development but also worsen disengagement, decrease organisational commitment and deliver a self reinforcing loop of low trust. The interventions that are </w:t>
      </w:r>
      <w:r w:rsidRPr="00ED437B">
        <w:lastRenderedPageBreak/>
        <w:t>suggested to be in place to overcome these stereotypes include tailored interventions such as awareness training among the managers and structured promotion criteria.</w:t>
      </w:r>
    </w:p>
    <w:p w14:paraId="22F35E6B" w14:textId="699BD14D" w:rsidR="00AA0401" w:rsidRPr="00ED437B" w:rsidRDefault="00AA0401" w:rsidP="00AA0401">
      <w:r w:rsidRPr="00ED437B">
        <w:t>The other impediments that have been pointed out in the literature are perceptions of illegitimate tasks, and misalignment of expectations with regard to career development. According to Li</w:t>
      </w:r>
      <w:r w:rsidR="002B138C" w:rsidRPr="00ED437B">
        <w:t xml:space="preserve"> </w:t>
      </w:r>
      <w:r w:rsidR="000C3E28" w:rsidRPr="00ED437B">
        <w:rPr>
          <w:i/>
          <w:iCs/>
        </w:rPr>
        <w:t>et al</w:t>
      </w:r>
      <w:r w:rsidR="002B138C" w:rsidRPr="00ED437B">
        <w:rPr>
          <w:i/>
          <w:iCs/>
        </w:rPr>
        <w:t>.</w:t>
      </w:r>
      <w:r w:rsidR="002B138C" w:rsidRPr="00ED437B">
        <w:t xml:space="preserve"> </w:t>
      </w:r>
      <w:r w:rsidRPr="00ED437B">
        <w:t>(2025), meaningless tasks decrease engagement and motivation, and it is thus crucial to highlight the person organisation fit. The same, according to Borzillo, Hasman and Raub (2025) who observe talent shortages after COVID and the need to balance managerial expectations and Gen Z career interests, state that organisational inflexibility can amplify the risks of retention.</w:t>
      </w:r>
    </w:p>
    <w:p w14:paraId="6D79ED22" w14:textId="77777777" w:rsidR="00AA0401" w:rsidRPr="00ED437B" w:rsidRDefault="00AA0401" w:rsidP="00AA0401">
      <w:r w:rsidRPr="00ED437B">
        <w:t>In spite of the comprehensive description of issues, there is still a gap in knowledge about the dynamic nature of interdependence between intrinsic motivation and workplace impediments. Not many studies investigate the change in adaptation of Gen Z over time, specifically in various cultures and organisations. Also, even though digital expectations are oftentimes mentioned, there is a gap in the research on the effectiveness of organisational intervention to cover technological gaps and alleviate anxiety associated with automation. These issues are also under-researched in gendered and intersectional terms, even though the motivations and experiences of men and women in work are shown to differ (Lasakova, Vojtekova, and Prochazkova, 2023; Acheampong, 2021).</w:t>
      </w:r>
    </w:p>
    <w:p w14:paraId="4F03B195" w14:textId="798B2F61" w:rsidR="00496083" w:rsidRPr="00ED437B" w:rsidRDefault="00AA0401" w:rsidP="00AA0401">
      <w:r w:rsidRPr="00ED437B">
        <w:t>To sum up, employees belonging to Generation Z encounter complex issues in the organisational context, including cultural adaptation, intergenerational communication, mental health stress, job insecurity, technological incompatibilities as well as prejudice. These obstacles affect both the engagement and retention, and thus, special policies, mentorship, and favourable working practises are required. These challenges are critical elements that organisations need to understand to integrate Gen z and additional studies are necessary to capture longitudinal effects, intersectional variations, and future technological strains.</w:t>
      </w:r>
    </w:p>
    <w:p w14:paraId="334F99D7" w14:textId="77777777" w:rsidR="00DD6C0E" w:rsidRPr="00ED437B" w:rsidRDefault="00DD6C0E" w:rsidP="00DD6C0E">
      <w:pPr>
        <w:pStyle w:val="Heading3"/>
        <w:rPr>
          <w:rFonts w:ascii="Times New Roman" w:hAnsi="Times New Roman"/>
          <w:sz w:val="27"/>
        </w:rPr>
      </w:pPr>
      <w:bookmarkStart w:id="16" w:name="_Toc218179327"/>
      <w:r w:rsidRPr="00ED437B">
        <w:t>Organisational Policies and Practices to Support Generation Z</w:t>
      </w:r>
      <w:bookmarkEnd w:id="16"/>
    </w:p>
    <w:p w14:paraId="378099F7" w14:textId="77777777" w:rsidR="00AA0401" w:rsidRPr="00ED437B" w:rsidRDefault="00AA0401" w:rsidP="00AA0401">
      <w:r w:rsidRPr="00ED437B">
        <w:t xml:space="preserve">With the advent of Generation Z in the workforce, organisations are becoming increasingly challenged to develop policies and practise that would not only attract, but also retain and engage this generation. Various approaches are emphasised in the literature, especially within the human resource management, which can </w:t>
      </w:r>
      <w:r w:rsidRPr="00ED437B">
        <w:lastRenderedPageBreak/>
        <w:t>streamline organisational goals with the motivation as well as values of Gen Z. Such strategies include flexible working hours, learning and development programmes, mentoring, inclusion programmes, and rewards.</w:t>
      </w:r>
    </w:p>
    <w:p w14:paraId="5B9F5A71" w14:textId="77777777" w:rsidR="00AA0401" w:rsidRPr="00ED437B" w:rsidRDefault="00AA0401" w:rsidP="00AA0401">
      <w:r w:rsidRPr="00ED437B">
        <w:t>One of the most frequently suggested strategies that will help Gen Z is flexible working, as research shows that the generation values work-life balance, freedom, and ability to determine both the place and hours of work (Bou Hatoum &amp; Nassereddine, 2025; Holban and Bedrule-Grigoruta, 2025; Kgarimetsa and Naidoo, 2024). Gen Z employees argue that they are more engaged and satisfied in organisations that adopt hybrid working models, flexible working schedules, and remote work. According to Bhore, Tapas, Gotise, and Chinmulgund (2025), flexibility can address the issue of moonlighting and work-life integration as well. Nonetheless, the implementation of such arrangements is troublesome in terms of providing fair access and retaining productivity and coordination of teams across locations and time zones.</w:t>
      </w:r>
    </w:p>
    <w:p w14:paraId="0B5D865B" w14:textId="69CABD49" w:rsidR="00AA0401" w:rsidRPr="00ED437B" w:rsidRDefault="00AA0401" w:rsidP="00AA0401">
      <w:r w:rsidRPr="00ED437B">
        <w:t>The central part of the intrinsic motivations and career development aspirations is learning and development (L&amp;D) opportunities. Studies have shown that professional development and mastering skills are very important to Gen Z (Gandasari</w:t>
      </w:r>
      <w:r w:rsidR="002B138C" w:rsidRPr="00ED437B">
        <w:t xml:space="preserve"> </w:t>
      </w:r>
      <w:r w:rsidR="000C3E28" w:rsidRPr="00ED437B">
        <w:rPr>
          <w:rFonts w:eastAsia="Times New Roman"/>
          <w:i/>
          <w:iCs/>
          <w:color w:val="000000"/>
          <w:szCs w:val="24"/>
          <w:lang w:eastAsia="zh-CN" w:bidi="bn-IN"/>
        </w:rPr>
        <w:t>et al</w:t>
      </w:r>
      <w:r w:rsidR="002B138C" w:rsidRPr="00ED437B">
        <w:rPr>
          <w:rFonts w:eastAsia="Times New Roman"/>
          <w:i/>
          <w:iCs/>
          <w:color w:val="000000"/>
          <w:szCs w:val="24"/>
          <w:lang w:eastAsia="zh-CN" w:bidi="bn-IN"/>
        </w:rPr>
        <w:t xml:space="preserve">., </w:t>
      </w:r>
      <w:r w:rsidRPr="00ED437B">
        <w:t>2024; Guslina</w:t>
      </w:r>
      <w:r w:rsidR="002B138C" w:rsidRPr="00ED437B">
        <w:t xml:space="preserve"> </w:t>
      </w:r>
      <w:r w:rsidR="000C3E28" w:rsidRPr="00ED437B">
        <w:rPr>
          <w:i/>
          <w:iCs/>
        </w:rPr>
        <w:t>et al</w:t>
      </w:r>
      <w:r w:rsidR="002B138C" w:rsidRPr="00ED437B">
        <w:rPr>
          <w:i/>
          <w:iCs/>
        </w:rPr>
        <w:t>.</w:t>
      </w:r>
      <w:r w:rsidRPr="00ED437B">
        <w:t>, 2025). Combination of digital learning platforms, practical projects, and feedback increase the engagement and retention. According to El Hajal and Losekoot (2025), educational and training programmes ought to be aligned with the requirements of the industry in order to promote competence and organisational commitment. Along with these advantages, there are resource limitations, disparities in getting training opportunities and the continual review of the effectiveness of the programme.</w:t>
      </w:r>
    </w:p>
    <w:p w14:paraId="1DF81AB7" w14:textId="77777777" w:rsidR="00AA0401" w:rsidRPr="00ED437B" w:rsidRDefault="00AA0401" w:rsidP="00AA0401">
      <w:r w:rsidRPr="00ED437B">
        <w:t>Mentorship and coaching play an essential role in the process of overcoming the intergenerational differences and facilitating the development process of young professionals. According to Borg, Scott-Young, and Borg (2023), systematic mentorship reduces the challenges in adaptation and acquires skills. On the same note, Racolta-Paina and Irini (2021) note that the awareness of Gen Z values and expectations by managers is a crucial point in successful mentoring relationships. Some of the practices associated with better engagement, job satisfaction, and loyalty are pairing Gen Z staff with experienced mentors or leadership coaching programmes. However, such problems as the availability of mentors, quality consistency, and possible discrepancies between expectations of mentors and mentee may arise.</w:t>
      </w:r>
    </w:p>
    <w:p w14:paraId="5225A729" w14:textId="3F57D538" w:rsidR="00AA0401" w:rsidRPr="00ED437B" w:rsidRDefault="00AA0401" w:rsidP="00AA0401">
      <w:r w:rsidRPr="00ED437B">
        <w:lastRenderedPageBreak/>
        <w:t>The other recommended practise is organisational culture changes especially in the area of inclusion and diversity. Gen Z is ethically and socially aware, and it tends to prefer working in a company that promotes CSR, diversity, and fairness (Darby, Thornton &amp; Davis-Sramek, 2025; Pandita and Khatwani, 2022; Yunyi, Singh and Kularajasingam, 2024). Diversity training, inclusive decision-making, and equitable promotion pathways play a vital role in engaging and also reducing bias and intergenerational conflict (Pradhana</w:t>
      </w:r>
      <w:r w:rsidR="002B138C" w:rsidRPr="00ED437B">
        <w:t xml:space="preserve"> </w:t>
      </w:r>
      <w:r w:rsidR="000C3E28" w:rsidRPr="00ED437B">
        <w:rPr>
          <w:i/>
          <w:iCs/>
        </w:rPr>
        <w:t>et al</w:t>
      </w:r>
      <w:r w:rsidR="002B138C" w:rsidRPr="00ED437B">
        <w:rPr>
          <w:i/>
          <w:iCs/>
        </w:rPr>
        <w:t>.</w:t>
      </w:r>
      <w:r w:rsidRPr="00ED437B">
        <w:t>, 2024; Gabrielova and Buchko, 2021). Organisational resistance, deep-rooted culture, and complexity associated with translating broad inclusion policies into practise are some of the limitations.</w:t>
      </w:r>
    </w:p>
    <w:p w14:paraId="098AB115" w14:textId="77777777" w:rsidR="00AA0401" w:rsidRPr="00ED437B" w:rsidRDefault="00AA0401" w:rsidP="00AA0401">
      <w:r w:rsidRPr="00ED437B">
        <w:t>Motivation and retention of Gen Z employees are based on the recognition and reward mechanisms. The studies show that intrinsic and extrinsic rewards (including personalised rewards, feedback, and recognition of successes) can improve engagement (Acheampong, 2021; Aggarwal, Sadhna, Gupta, Mittal, and Rastogi, 2022; Mabaso, 2025; Krishna and Agrawal, 2025). Those recognition systems that are integrated to offer financial rewards, skills development opportunities, and social recognition are quite effective. Nonetheless, it is difficult to come up with systems that are just, transparent, and conform to individual preferences, particularly in large or diverse organisations.</w:t>
      </w:r>
    </w:p>
    <w:p w14:paraId="28B8164C" w14:textId="169012C3" w:rsidR="00AA0401" w:rsidRPr="00ED437B" w:rsidRDefault="00AA0401" w:rsidP="00AA0401">
      <w:r w:rsidRPr="00ED437B">
        <w:t>These policies are supported by a number of studies. Jasmine and Utomo (2024) state that engagement and commitment are more common among Gen Z employees when transformational leadership practices are implemented with the help of work-life balance programs. On the same note, mentoring and flexible working styles enhance job satisfaction and retention (Borg, Scott-Young, and Borg, 2023; Bou Hatoum and Nassereddine, 2025). Nevertheless, obstacles exist: organisations tend to be faced with resource limit, resistance on the part of managers, and lack of regularity in implementing policies in various departments or various places. Also, the stereotypes related to generations can become an obstacle to the successful implementation of these programmes, with managers not valuing the professionalism of Gen Z and overvaluing the sense of entitlement (Gabrielova and Buchko, 2021; Pradhana</w:t>
      </w:r>
      <w:r w:rsidR="002B138C" w:rsidRPr="00ED437B">
        <w:t xml:space="preserve"> </w:t>
      </w:r>
      <w:r w:rsidR="000C3E28" w:rsidRPr="00ED437B">
        <w:rPr>
          <w:i/>
          <w:iCs/>
        </w:rPr>
        <w:t>et al</w:t>
      </w:r>
      <w:r w:rsidR="002B138C" w:rsidRPr="00ED437B">
        <w:rPr>
          <w:i/>
          <w:iCs/>
        </w:rPr>
        <w:t>.</w:t>
      </w:r>
      <w:r w:rsidRPr="00ED437B">
        <w:t>, 2024).</w:t>
      </w:r>
    </w:p>
    <w:p w14:paraId="393C26C5" w14:textId="77777777" w:rsidR="00AA0401" w:rsidRPr="00ED437B" w:rsidRDefault="00AA0401" w:rsidP="00AA0401">
      <w:r w:rsidRPr="00ED437B">
        <w:t xml:space="preserve">Even with much advice on the implementation of the policies, there exist gaps. There are a limited number of longitudinal studies on the long-term effects of flexible work, mentoring, and recognition on Gen Z retention and productivity. The interplay between </w:t>
      </w:r>
      <w:r w:rsidRPr="00ED437B">
        <w:lastRenderedPageBreak/>
        <w:t>various HR interventions, including the integration of L&amp;D and mentoring and recognition systems, also needs to be researched further to learn more about the cumulative effects. Also, studies that investigate contextual variations among industries, cultures, as well as the size of an organisation are few, hence restriction on generalisation.</w:t>
      </w:r>
    </w:p>
    <w:p w14:paraId="13A6C7FF" w14:textId="53A82024" w:rsidR="00496083" w:rsidRPr="00ED437B" w:rsidRDefault="00AA0401" w:rsidP="00AA0401">
      <w:r w:rsidRPr="00ED437B">
        <w:t>Finally, the literature includes various organisational policies and practises to accommodate Generation Z such as flexible working schedules, learning and development, mentoring, inclusion programmes and reward mechanisms. It has been proposed that these practises increase engagement and satisfaction and retention; nevertheless, the issues with implementation of these practises and lack of research suggest that the practises should be planned, monitored, and studied empirically. It is probable that organisations that are holistic and responsive will be able to reap the benefits of the integration of the Gen Z talent as well as create a positive, adaptive workplace environment.</w:t>
      </w:r>
    </w:p>
    <w:p w14:paraId="657ECFE3" w14:textId="22E45617" w:rsidR="00DD6C0E" w:rsidRPr="00ED437B" w:rsidRDefault="00391EB6" w:rsidP="00DD6C0E">
      <w:pPr>
        <w:pStyle w:val="Heading2"/>
      </w:pPr>
      <w:bookmarkStart w:id="17" w:name="_Toc218179328"/>
      <w:r w:rsidRPr="00ED437B">
        <w:t>Conceptual Framework</w:t>
      </w:r>
      <w:bookmarkEnd w:id="17"/>
      <w:r w:rsidRPr="00ED437B">
        <w:t xml:space="preserve"> </w:t>
      </w:r>
    </w:p>
    <w:p w14:paraId="79282A38" w14:textId="3B3BB896" w:rsidR="00DD6C0E" w:rsidRPr="00ED437B" w:rsidRDefault="00846440" w:rsidP="00846440">
      <w:pPr>
        <w:pStyle w:val="NoSpacing"/>
      </w:pPr>
      <w:bookmarkStart w:id="18" w:name="_Toc216195244"/>
      <w:r w:rsidRPr="00ED437B">
        <w:t xml:space="preserve">Figure </w:t>
      </w:r>
      <w:r w:rsidRPr="00ED437B">
        <w:fldChar w:fldCharType="begin"/>
      </w:r>
      <w:r w:rsidRPr="00ED437B">
        <w:instrText xml:space="preserve"> SEQ Figure \* ARABIC </w:instrText>
      </w:r>
      <w:r w:rsidRPr="00ED437B">
        <w:fldChar w:fldCharType="separate"/>
      </w:r>
      <w:r w:rsidRPr="00ED437B">
        <w:t>1</w:t>
      </w:r>
      <w:r w:rsidRPr="00ED437B">
        <w:fldChar w:fldCharType="end"/>
      </w:r>
      <w:r w:rsidRPr="00ED437B">
        <w:t xml:space="preserve"> Conceptual Framework of Generation Z in the Workplace (Author)</w:t>
      </w:r>
      <w:bookmarkEnd w:id="18"/>
    </w:p>
    <w:p w14:paraId="58DD6B92" w14:textId="341DA677" w:rsidR="00846440" w:rsidRPr="00ED437B" w:rsidRDefault="00846440" w:rsidP="00F340B5">
      <w:pPr>
        <w:jc w:val="center"/>
      </w:pPr>
      <w:r w:rsidRPr="00ED437B">
        <w:drawing>
          <wp:inline distT="0" distB="0" distL="0" distR="0" wp14:anchorId="091F943C" wp14:editId="394D35EE">
            <wp:extent cx="5268955" cy="2751666"/>
            <wp:effectExtent l="0" t="0" r="8255" b="0"/>
            <wp:docPr id="1053681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638" r="2971"/>
                    <a:stretch>
                      <a:fillRect/>
                    </a:stretch>
                  </pic:blipFill>
                  <pic:spPr bwMode="auto">
                    <a:xfrm>
                      <a:off x="0" y="0"/>
                      <a:ext cx="5320184" cy="2778420"/>
                    </a:xfrm>
                    <a:prstGeom prst="rect">
                      <a:avLst/>
                    </a:prstGeom>
                    <a:noFill/>
                    <a:ln>
                      <a:noFill/>
                    </a:ln>
                    <a:extLst>
                      <a:ext uri="{53640926-AAD7-44D8-BBD7-CCE9431645EC}">
                        <a14:shadowObscured xmlns:a14="http://schemas.microsoft.com/office/drawing/2010/main"/>
                      </a:ext>
                    </a:extLst>
                  </pic:spPr>
                </pic:pic>
              </a:graphicData>
            </a:graphic>
          </wp:inline>
        </w:drawing>
      </w:r>
    </w:p>
    <w:p w14:paraId="6604892F" w14:textId="21FAA832" w:rsidR="00B102F7" w:rsidRPr="00ED437B" w:rsidRDefault="00B102F7" w:rsidP="00B102F7">
      <w:r w:rsidRPr="00ED437B">
        <w:t xml:space="preserve">The theoretical framework of the given research is a synthesis of what has been revealed in the literature on workplace motivations, workplace challenges, and organisational policies of Generation Z. It offers an organised framework of the relations between these major constructs and informs the further empirical research. The hypothesis incorporates theoretical perspectives of motivation, work engagement </w:t>
      </w:r>
      <w:r w:rsidRPr="00ED437B">
        <w:lastRenderedPageBreak/>
        <w:t>and organisational support to articulate how organisations can attract, retain and develop Gen Z talent in an effective manner.</w:t>
      </w:r>
    </w:p>
    <w:p w14:paraId="570FCDA7" w14:textId="337F01B6" w:rsidR="00B102F7" w:rsidRPr="00ED437B" w:rsidRDefault="00B102F7" w:rsidP="00B102F7">
      <w:r w:rsidRPr="00ED437B">
        <w:t>The fundamental elements of the framework are the intrinsic and extrinsic motivation of Generation Z. Some of the intrinsic factors are work purpose, career progression, skills acquisition and social impact (Bhore, Tapas, Gotise and Chinmulgund, 2025; El Hajal and Losekoot, 2025; Gandasari</w:t>
      </w:r>
      <w:r w:rsidR="002B138C" w:rsidRPr="00ED437B">
        <w:t xml:space="preserve"> </w:t>
      </w:r>
      <w:r w:rsidR="000C3E28" w:rsidRPr="00ED437B">
        <w:rPr>
          <w:rFonts w:eastAsia="Times New Roman"/>
          <w:i/>
          <w:iCs/>
          <w:color w:val="000000"/>
          <w:szCs w:val="24"/>
          <w:lang w:eastAsia="zh-CN" w:bidi="bn-IN"/>
        </w:rPr>
        <w:t>et al</w:t>
      </w:r>
      <w:r w:rsidR="002B138C" w:rsidRPr="00ED437B">
        <w:rPr>
          <w:rFonts w:eastAsia="Times New Roman"/>
          <w:i/>
          <w:iCs/>
          <w:color w:val="000000"/>
          <w:szCs w:val="24"/>
          <w:lang w:eastAsia="zh-CN" w:bidi="bn-IN"/>
        </w:rPr>
        <w:t>.</w:t>
      </w:r>
      <w:r w:rsidRPr="00ED437B">
        <w:t>, 2024), and extrinsic motivators are financial rewards, recognition, and job security (Acheampong, 2021; Aggarwal, Sadhna, Gupta, Mittal, and Such incentives affect understanding and commitment of the employees who are of the Gen Z generation, their satisfaction at work and towards the organisational behaviour.</w:t>
      </w:r>
    </w:p>
    <w:p w14:paraId="145169FF" w14:textId="77777777" w:rsidR="00B102F7" w:rsidRPr="00ED437B" w:rsidRDefault="00B102F7" w:rsidP="00B102F7">
      <w:r w:rsidRPr="00ED437B">
        <w:t>Challenges and barriers are pointed out as the mediating factors that can undermine or destabilise the relationship between motivations and outcomes by the framework. Some of the challenges are adapting to organisational culture, communication gap between generations, mentorship, job insecurity, mental pressure, and technological misalignment (Gabrielova and Buchko, 2021; Borg, Scott-Young and Borg, 2023; Dou, Ma and Fan, 2025; Veluchamy, Agrawal and Krishnan, 2016). These obstacles may lower the level of engagement and raise turnover unless they are mitigated by specific organisational interventions.</w:t>
      </w:r>
    </w:p>
    <w:p w14:paraId="125C0573" w14:textId="5F8E6C45" w:rsidR="00B102F7" w:rsidRPr="00ED437B" w:rsidRDefault="00B102F7" w:rsidP="00B102F7">
      <w:r w:rsidRPr="00ED437B">
        <w:t>To address these issues, organisational policies and practises have been added as moderating mechanisms in the framework. Gen Z are engaged and satisfied with flexible working arrangements, learning and development programmes, structured mentoring, inclusion and diversity initiatives, and recognition systems (Bou Hatoum and Nassereddine, 2025; Jasmine and Utomo, 2024; Kgarimetsa and Naidoo, 2024; Pradhana</w:t>
      </w:r>
      <w:r w:rsidR="002B138C" w:rsidRPr="00ED437B">
        <w:t xml:space="preserve"> </w:t>
      </w:r>
      <w:r w:rsidR="000C3E28" w:rsidRPr="00ED437B">
        <w:rPr>
          <w:i/>
          <w:iCs/>
        </w:rPr>
        <w:t>et al</w:t>
      </w:r>
      <w:r w:rsidR="002B138C" w:rsidRPr="00ED437B">
        <w:rPr>
          <w:i/>
          <w:iCs/>
        </w:rPr>
        <w:t>.</w:t>
      </w:r>
      <w:r w:rsidRPr="00ED437B">
        <w:t>, 2024). Organisations can increase retention, productivity, and overall organisational performance by offering favourable conditions that resonate with Gen Z values.</w:t>
      </w:r>
    </w:p>
    <w:p w14:paraId="0BB2FC61" w14:textId="426C99D5" w:rsidR="00DD6C0E" w:rsidRPr="00ED437B" w:rsidRDefault="00B102F7" w:rsidP="00DD6C0E">
      <w:r w:rsidRPr="00ED437B">
        <w:t>Overall, this framework is a holistic viewpoint, in which the intrinsic and extrinsic motivation of Generation Z is connected to workplace performance in terms of challenges and forms of organisational support. It offers a basis of formulating research tools and interpreting empirical data to respond to research questions of the study.</w:t>
      </w:r>
    </w:p>
    <w:p w14:paraId="1DAB1F3D" w14:textId="4DD0340D" w:rsidR="009869A2" w:rsidRPr="00ED437B" w:rsidRDefault="00391EB6" w:rsidP="008C5097">
      <w:pPr>
        <w:pStyle w:val="Heading2"/>
      </w:pPr>
      <w:bookmarkStart w:id="19" w:name="_Toc218179329"/>
      <w:r w:rsidRPr="00ED437B">
        <w:lastRenderedPageBreak/>
        <w:t>Conclusion of Chapter</w:t>
      </w:r>
      <w:bookmarkEnd w:id="19"/>
    </w:p>
    <w:p w14:paraId="52486192" w14:textId="5D34BC07" w:rsidR="00846440" w:rsidRPr="00ED437B" w:rsidRDefault="00B102F7" w:rsidP="00846440">
      <w:r w:rsidRPr="00ED437B">
        <w:t>This chapter has examined literature on the topic of Generation Z in the workplace and how they are unique, the motivations they have and the challenges that they experience in the organisational environment. It has also determined essential intrinsic and extrinsic motivators, such as purpose, career growth, financial stability, and recognition, and work-related needs such as flexibility, work-life balance and ethical alignment. Obstacles to engagement (intergenerational differences, technological, and mental health pressures) were also discussed, and the policies and practises of the organisation designed to support and retain this cohort were mentioned. Collectively, these insights provide a thought framework that connects motivations, challenges, and organisational interventions to workplace outcomes to provide the basis of the empirical research of the experiences of Generation Z and organisational strategies.</w:t>
      </w:r>
    </w:p>
    <w:p w14:paraId="733A4416" w14:textId="55C99F5F" w:rsidR="00B56C66" w:rsidRPr="00ED437B" w:rsidRDefault="009869A2">
      <w:pPr>
        <w:spacing w:before="0" w:after="160" w:line="259" w:lineRule="auto"/>
        <w:jc w:val="left"/>
        <w:rPr>
          <w:rFonts w:eastAsiaTheme="majorEastAsia" w:cstheme="majorBidi"/>
          <w:b/>
          <w:bCs/>
          <w:color w:val="000000" w:themeColor="text1"/>
          <w:sz w:val="28"/>
          <w:szCs w:val="28"/>
        </w:rPr>
      </w:pPr>
      <w:r w:rsidRPr="00ED437B">
        <w:br w:type="page"/>
      </w:r>
    </w:p>
    <w:p w14:paraId="48DA35E9" w14:textId="6B0F5498" w:rsidR="00391EB6" w:rsidRPr="00ED437B" w:rsidRDefault="00786750" w:rsidP="00B56C66">
      <w:pPr>
        <w:pStyle w:val="Heading1"/>
      </w:pPr>
      <w:bookmarkStart w:id="20" w:name="_Toc218179330"/>
      <w:r w:rsidRPr="00ED437B">
        <w:lastRenderedPageBreak/>
        <w:t>CHAPTER 3: RESEARCH METHODOLOGY</w:t>
      </w:r>
      <w:bookmarkEnd w:id="20"/>
      <w:r w:rsidRPr="00ED437B">
        <w:t xml:space="preserve"> </w:t>
      </w:r>
    </w:p>
    <w:p w14:paraId="765301CF" w14:textId="77777777" w:rsidR="00391EB6" w:rsidRPr="00ED437B" w:rsidRDefault="00391EB6" w:rsidP="008C5097">
      <w:pPr>
        <w:pStyle w:val="Heading2"/>
      </w:pPr>
      <w:bookmarkStart w:id="21" w:name="_Toc218179331"/>
      <w:r w:rsidRPr="00ED437B">
        <w:t>Introduction</w:t>
      </w:r>
      <w:bookmarkEnd w:id="21"/>
      <w:r w:rsidRPr="00ED437B">
        <w:t xml:space="preserve"> </w:t>
      </w:r>
    </w:p>
    <w:p w14:paraId="2D346A3B" w14:textId="7899D26E" w:rsidR="00460FAB" w:rsidRPr="00ED437B" w:rsidRDefault="00B102F7" w:rsidP="00460FAB">
      <w:r w:rsidRPr="00ED437B">
        <w:t>This chapter describes the research methodology that was taken to carry out a systematic review of Generation Z at work. It is meant to clarify the philosophical position, the research design, the methods of data collection, and the ethical considerations to be applied to the research. To ensure transparency and replicability, the chapter gives a systematic review process, which comprises the process of identification, screening, and synthesis of the relevant literature. Through the strict evidence-based methodology, it is possible to apply this methodology to answer the research questions related to the motivations of Gen Z, workplace issues, and policies of organisations in a comprehensive way. Validity and reliability could also be achieved by justifying methodological choices in the chapter.</w:t>
      </w:r>
    </w:p>
    <w:p w14:paraId="69795E0E" w14:textId="53519BDD" w:rsidR="00391EB6" w:rsidRPr="00ED437B" w:rsidRDefault="00391EB6" w:rsidP="008C5097">
      <w:pPr>
        <w:pStyle w:val="Heading2"/>
      </w:pPr>
      <w:bookmarkStart w:id="22" w:name="_Toc218179332"/>
      <w:r w:rsidRPr="00ED437B">
        <w:t>Research Philosophies and Assumptions</w:t>
      </w:r>
      <w:bookmarkEnd w:id="22"/>
    </w:p>
    <w:p w14:paraId="5B72BDF0" w14:textId="77777777" w:rsidR="00B102F7" w:rsidRPr="00ED437B" w:rsidRDefault="00B102F7" w:rsidP="00B102F7">
      <w:pPr>
        <w:rPr>
          <w:lang w:eastAsia="zh-CN" w:bidi="bn-IN"/>
        </w:rPr>
      </w:pPr>
      <w:r w:rsidRPr="00ED437B">
        <w:rPr>
          <w:lang w:eastAsia="zh-CN" w:bidi="bn-IN"/>
        </w:rPr>
        <w:t>Research philosophy can be defined as the beliefs and the assumptions on the nature of knowledge (ontology) or how it is attained (epistemology) (Tsang, 2016). The approaches to philosophy commonly used in management and social research are positivism and post-positivism, interpretivism and pragmatism, which present a variety of perspectives toward knowledge production and evidence testing (Tsang, 2016; Cooper, 1984).</w:t>
      </w:r>
    </w:p>
    <w:p w14:paraId="5BED936D" w14:textId="77777777" w:rsidR="00B102F7" w:rsidRPr="00ED437B" w:rsidRDefault="00B102F7" w:rsidP="00B102F7">
      <w:pPr>
        <w:rPr>
          <w:lang w:eastAsia="zh-CN" w:bidi="bn-IN"/>
        </w:rPr>
      </w:pPr>
      <w:r w:rsidRPr="00ED437B">
        <w:rPr>
          <w:lang w:eastAsia="zh-CN" w:bidi="bn-IN"/>
        </w:rPr>
        <w:t>Positivism presupposes the existence of an objective reality that could be quantified and generalised in terms of observable phenomena, which can be linked to quantitative analysis and hypothesis testing (Tsang, 2016). Post-positivism acknowledges the fact that reality exists, but it can be known only imperfectly with a strict emphasis on rigorous approaches, and triangulation of evidence (Gough, Oliver and Thomas, 2017). Interpretivism, on the other hand, sees reality as a construction of a society, in which the meaning and experiences of actors are of importance in their respective contexts. Pragmatism concentrates on the practical, making the research problem more important than the commitment to one ontological position (Tsang, 2016).</w:t>
      </w:r>
    </w:p>
    <w:p w14:paraId="443DA460" w14:textId="77777777" w:rsidR="00B102F7" w:rsidRPr="00ED437B" w:rsidRDefault="00B102F7" w:rsidP="00B102F7">
      <w:pPr>
        <w:rPr>
          <w:lang w:eastAsia="zh-CN" w:bidi="bn-IN"/>
        </w:rPr>
      </w:pPr>
      <w:r w:rsidRPr="00ED437B">
        <w:rPr>
          <w:lang w:eastAsia="zh-CN" w:bidi="bn-IN"/>
        </w:rPr>
        <w:t xml:space="preserve">In this case, an interpretivist philosophy is the basis of the systematic review. Such a decision is explained by the fact that the study is not focused on evaluating hypothesis </w:t>
      </w:r>
      <w:r w:rsidRPr="00ED437B">
        <w:rPr>
          <w:lang w:eastAsia="zh-CN" w:bidi="bn-IN"/>
        </w:rPr>
        <w:lastRenderedPageBreak/>
        <w:t>or creating some statistical estimations but synthesising qualitative and conceptual information about the existing literature on the workplace motivations, challenges, and organisational policies of Generation Z (Boland, Cherry and Dickson, 2017; Foster and Jewell, 2017). Interpretivism supports the dynamics of organisational behaviour, which is more complex and dependent on the situation, as interpretations, experiences, and values are the key to understanding Gen Z in various workplace conditions (Cooper, 1984; Gusenbauer and Gauster, 2024).</w:t>
      </w:r>
    </w:p>
    <w:p w14:paraId="0BD7C04F" w14:textId="77777777" w:rsidR="00B102F7" w:rsidRPr="00ED437B" w:rsidRDefault="00B102F7" w:rsidP="00B102F7">
      <w:pPr>
        <w:rPr>
          <w:lang w:eastAsia="zh-CN" w:bidi="bn-IN"/>
        </w:rPr>
      </w:pPr>
      <w:r w:rsidRPr="00ED437B">
        <w:rPr>
          <w:lang w:eastAsia="zh-CN" w:bidi="bn-IN"/>
        </w:rPr>
        <w:t>It is the epistemological assumption, which views knowledge to be built based on the available sources of evidence, and then interpreted with the help of thematic synthesis (Afifi, Stryhn and Sanchez, 2023). This kind of view makes the study critically evaluate and synthesise findings of various empirical and theoretical studies appreciating differences in context, organisational culture and individual experiences.</w:t>
      </w:r>
    </w:p>
    <w:p w14:paraId="033A2F58" w14:textId="6EF94A79" w:rsidR="00460FAB" w:rsidRPr="00ED437B" w:rsidRDefault="00B102F7" w:rsidP="00B102F7">
      <w:pPr>
        <w:rPr>
          <w:lang w:eastAsia="zh-CN" w:bidi="bn-IN"/>
        </w:rPr>
      </w:pPr>
      <w:r w:rsidRPr="00ED437B">
        <w:rPr>
          <w:lang w:eastAsia="zh-CN" w:bidi="bn-IN"/>
        </w:rPr>
        <w:t>The study is ontologically based on the assumption of the social and cultural embeddedness of the workplace realities and Gen Z experiences through the organisational structures, generational norms, and managerial practises (Gough, Oliver &amp; Thomas, 2017). These assumptions will enable the systematic review to make a sensitive and contextualised perspective on Generation Z in organisations, thereby facilitating evidence-based inferences and suggestions.</w:t>
      </w:r>
    </w:p>
    <w:p w14:paraId="701A22AA" w14:textId="39D542A1" w:rsidR="00391EB6" w:rsidRPr="00ED437B" w:rsidRDefault="00391EB6" w:rsidP="008C5097">
      <w:pPr>
        <w:pStyle w:val="Heading2"/>
      </w:pPr>
      <w:bookmarkStart w:id="23" w:name="_Toc218179333"/>
      <w:r w:rsidRPr="00ED437B">
        <w:t>Research Design</w:t>
      </w:r>
      <w:bookmarkEnd w:id="23"/>
    </w:p>
    <w:p w14:paraId="769D6BAF" w14:textId="24537191" w:rsidR="00B102F7" w:rsidRPr="00ED437B" w:rsidRDefault="00B102F7" w:rsidP="00B102F7">
      <w:pPr>
        <w:rPr>
          <w:lang w:eastAsia="zh-CN" w:bidi="bn-IN"/>
        </w:rPr>
      </w:pPr>
      <w:r w:rsidRPr="00ED437B">
        <w:rPr>
          <w:lang w:eastAsia="zh-CN" w:bidi="bn-IN"/>
        </w:rPr>
        <w:t xml:space="preserve">Research design is the general approach and framework that is used to combine the research objectives, questions, and methodology, making the study sound and coherent (Gough, Oliver and Thomas, 2017). The systematic review design has been chosen in this study and is uniquely designed to conduct the synthesis of the existing literature in a clear, transparent and repeatable way (Boland, Cherry and Dickson, 2017; Page </w:t>
      </w:r>
      <w:r w:rsidR="000C3E28" w:rsidRPr="00ED437B">
        <w:rPr>
          <w:i/>
          <w:iCs/>
          <w:lang w:eastAsia="zh-CN" w:bidi="bn-IN"/>
        </w:rPr>
        <w:t>et al</w:t>
      </w:r>
      <w:r w:rsidRPr="00ED437B">
        <w:rPr>
          <w:lang w:eastAsia="zh-CN" w:bidi="bn-IN"/>
        </w:rPr>
        <w:t>., 2021).</w:t>
      </w:r>
    </w:p>
    <w:p w14:paraId="1038FE7B" w14:textId="77777777" w:rsidR="00B102F7" w:rsidRPr="00ED437B" w:rsidRDefault="00B102F7" w:rsidP="00B102F7">
      <w:pPr>
        <w:rPr>
          <w:lang w:eastAsia="zh-CN" w:bidi="bn-IN"/>
        </w:rPr>
      </w:pPr>
      <w:r w:rsidRPr="00ED437B">
        <w:rPr>
          <w:lang w:eastAsia="zh-CN" w:bidi="bn-IN"/>
        </w:rPr>
        <w:t xml:space="preserve">Human Resource Management (HRM) can benefit especially in areas that require a systematic review as an HR practise, policy and behaviours of employees are context-specific, heterogeneous and most of the time are researched by employing qualitative or conceptual approaches. A systematic review enables the family to get a broad insight into patterns, trends, and effective strategies in various organisation environments by combining the evidence that has been produced by several studies (Gough, Oliver and Thomas, 2017; Cooper, 1984). The HRM research in the context </w:t>
      </w:r>
      <w:r w:rsidRPr="00ED437B">
        <w:rPr>
          <w:lang w:eastAsia="zh-CN" w:bidi="bn-IN"/>
        </w:rPr>
        <w:lastRenderedPageBreak/>
        <w:t>of Generation Z is about the investigation of such complex aspects as work motivations, engagement, organisational culture, and leadership practises. Systematic review helps the researcher and practitioners to recognise the evidence based HR interventions, determine their effectiveness, and outline the gaps in the literature that may be used to inform future policy or practise. This methodological strategy guarantees that inferences are strong, generalisable where feasible and based on accumulated facts and not on single studies which can be constrained in terms of scope or context.</w:t>
      </w:r>
    </w:p>
    <w:p w14:paraId="7587695B" w14:textId="77777777" w:rsidR="00B102F7" w:rsidRPr="00ED437B" w:rsidRDefault="00B102F7" w:rsidP="00B102F7">
      <w:pPr>
        <w:rPr>
          <w:lang w:eastAsia="zh-CN" w:bidi="bn-IN"/>
        </w:rPr>
      </w:pPr>
      <w:r w:rsidRPr="00ED437B">
        <w:rPr>
          <w:lang w:eastAsia="zh-CN" w:bidi="bn-IN"/>
        </w:rPr>
        <w:t>The systematic review design is also suitable because it enables the research to answer the research questions about the workplace motivations, challenges, and organisational policies of Generation Z in a thorough manner. The design will allow the identification, selection, and evaluation of studies to be systematic and unbiased because there is a protocol to follow and limit the possibilities of subjective interpretation and selection of studies (Higgins and Green, 2019; Foster and Jewell, 2017). Such an organised method is specially applicable to combining the results of various empirical, conceptual, and qualitative studies, which allows synthesising the evidence in different settings and industries into themes (Afifi, Stryhn and Sanchez, 2023).</w:t>
      </w:r>
    </w:p>
    <w:p w14:paraId="2709A641" w14:textId="77777777" w:rsidR="00AE2076" w:rsidRDefault="00AE2076" w:rsidP="00AE2076">
      <w:pPr>
        <w:rPr>
          <w:lang w:eastAsia="zh-CN" w:bidi="bn-IN"/>
        </w:rPr>
      </w:pPr>
      <w:r>
        <w:rPr>
          <w:lang w:eastAsia="zh-CN" w:bidi="bn-IN"/>
        </w:rPr>
        <w:t>A systematic review also provides transparency and reproducibility as the key features of high-quality research (Page et al., 2021; Shaheen et al., 2023). The design suggests an easy-to-follow process of searching the literature, screening, eligibility, data extraction, and synthesis, and it is typically accompanied by a presupposed number of designed methods, such as PRISMA (Page et al., 2021). It is a tight process to ensure that all relevant studies are put into consideration, any duplicate and irrelevant literature is locked out and lastly, the synthesis is not only exhaustive but also reimitable.</w:t>
      </w:r>
    </w:p>
    <w:p w14:paraId="7D093876" w14:textId="03CB9ED3" w:rsidR="00B102F7" w:rsidRPr="00ED437B" w:rsidRDefault="00AE2076" w:rsidP="00AE2076">
      <w:pPr>
        <w:rPr>
          <w:lang w:eastAsia="zh-CN" w:bidi="bn-IN"/>
        </w:rPr>
      </w:pPr>
      <w:r>
        <w:rPr>
          <w:lang w:eastAsia="zh-CN" w:bidi="bn-IN"/>
        </w:rPr>
        <w:t xml:space="preserve">In addition, the systematic review design will allow the study to identify the gaps in the available literature, to identify consistency of the findings as well as to suggest future research which relates directly to the research objectives. It also enables the adoption of evidence-based recommendations of organisational practises to the Generation </w:t>
      </w:r>
      <w:r w:rsidR="00B102F7" w:rsidRPr="00ED437B">
        <w:rPr>
          <w:lang w:eastAsia="zh-CN" w:bidi="bn-IN"/>
        </w:rPr>
        <w:t>Z.</w:t>
      </w:r>
    </w:p>
    <w:p w14:paraId="555B9CD6" w14:textId="65C80F62" w:rsidR="00460FAB" w:rsidRPr="00ED437B" w:rsidRDefault="00B102F7" w:rsidP="00B102F7">
      <w:pPr>
        <w:rPr>
          <w:lang w:eastAsia="zh-CN" w:bidi="bn-IN"/>
        </w:rPr>
      </w:pPr>
      <w:r w:rsidRPr="00ED437B">
        <w:rPr>
          <w:lang w:eastAsia="zh-CN" w:bidi="bn-IN"/>
        </w:rPr>
        <w:t xml:space="preserve">Overall, a systematic review design will be most adequate in this study as it allows developing a synthesis of various sources of literature in a structured, rigorous, and </w:t>
      </w:r>
      <w:r w:rsidRPr="00ED437B">
        <w:rPr>
          <w:lang w:eastAsia="zh-CN" w:bidi="bn-IN"/>
        </w:rPr>
        <w:lastRenderedPageBreak/>
        <w:t>repeatable way that would help to obtain reliable data to address the research questions and inform the conceptual framework and the further analysis.</w:t>
      </w:r>
    </w:p>
    <w:p w14:paraId="35B0BCF5" w14:textId="4AE4C535" w:rsidR="00391EB6" w:rsidRPr="00ED437B" w:rsidRDefault="00391EB6" w:rsidP="008C5097">
      <w:pPr>
        <w:pStyle w:val="Heading2"/>
      </w:pPr>
      <w:bookmarkStart w:id="24" w:name="_Toc218179334"/>
      <w:r w:rsidRPr="00ED437B">
        <w:t>Research Approaches</w:t>
      </w:r>
      <w:bookmarkEnd w:id="24"/>
    </w:p>
    <w:p w14:paraId="2817CC28" w14:textId="77777777" w:rsidR="00B102F7" w:rsidRPr="00ED437B" w:rsidRDefault="00B102F7" w:rsidP="00B102F7">
      <w:r w:rsidRPr="00ED437B">
        <w:t>Research methods outlay the formulation of knowledge in a research study and its analysis. There are three common methods of management research, i.e., deductive, inductive, and abductive reasoning, which have various implications on the collection and interpretation of data (Tsang, 2016; Cooper, 1984).</w:t>
      </w:r>
    </w:p>
    <w:p w14:paraId="33FFD6B3" w14:textId="77777777" w:rsidR="00B102F7" w:rsidRPr="00ED437B" w:rsidRDefault="00B102F7" w:rsidP="00B102F7">
      <w:r w:rsidRPr="00ED437B">
        <w:t>A deductive methodology begins with the available theories or hypotheses and experiments them using empirical data. It is tightly connected with quantitative research and hypothesis testing and has the goal of generalisable conclusions (Tsang, 2016). An inductive method, in turn, entails the derivation of patterns, themes, or theories out of the gathered data, and it focuses on exploration and context-related knowledge (Gough, Oliver and Thomas, 2017). Abductive reasoning is a synthesis of deduction and induction to enable the researcher to refine the theory through iteration of theories based on observed facts and theoretical constructs (Tsang, 2016).</w:t>
      </w:r>
    </w:p>
    <w:p w14:paraId="78DC6565" w14:textId="77777777" w:rsidR="00B102F7" w:rsidRPr="00ED437B" w:rsidRDefault="00B102F7" w:rsidP="00B102F7">
      <w:r w:rsidRPr="00ED437B">
        <w:t>In this research, the inductive approach to the research is chosen because it is based on the aim to synthesise qualitative and conceptual literature to determine patterns, themes, and insights about Generation Z in the workplace (Boland, Cherry and Dickson, 2017; Afifi, Stryhn and Sanchez, 2023). Induction is appropriate in the systematic analysis of numerous studies to highlight common motivations, challenges and successful organisational practises that do not involve testing of pre-determined hypotheses. It is a method to create an integrated insight of a variety of contexts, industries, and methods and reflect the specifics of Gen Z workplace behaviours and values (Gusenbauer and Gauster, 2024; Foster and Jewell, 2017).</w:t>
      </w:r>
    </w:p>
    <w:p w14:paraId="3A2AC1C3" w14:textId="0161C950" w:rsidR="00B102F7" w:rsidRPr="00ED437B" w:rsidRDefault="00B102F7" w:rsidP="00B102F7">
      <w:r w:rsidRPr="00ED437B">
        <w:t xml:space="preserve">The inductive approach also supports thematic synthesis, a conventional method in systematic reviews that allows finding common trends, relationships, and gaps across the research (Page </w:t>
      </w:r>
      <w:r w:rsidR="000C3E28" w:rsidRPr="00ED437B">
        <w:rPr>
          <w:i/>
          <w:iCs/>
        </w:rPr>
        <w:t>et al</w:t>
      </w:r>
      <w:r w:rsidRPr="00ED437B">
        <w:t xml:space="preserve">., 2021; Shaheen </w:t>
      </w:r>
      <w:r w:rsidR="000C3E28" w:rsidRPr="00ED437B">
        <w:rPr>
          <w:i/>
          <w:iCs/>
        </w:rPr>
        <w:t>et al</w:t>
      </w:r>
      <w:r w:rsidRPr="00ED437B">
        <w:t>., 2023). This method allows connecting motivations, organisational barriers and HR interventions by synthesis of evidence to come up with a conceptual framework that can be practised both in research and practise.</w:t>
      </w:r>
    </w:p>
    <w:p w14:paraId="37DDDEBA" w14:textId="1558293D" w:rsidR="00460FAB" w:rsidRPr="00ED437B" w:rsidRDefault="00B102F7" w:rsidP="00B102F7">
      <w:r w:rsidRPr="00ED437B">
        <w:t xml:space="preserve">Overall, the inductive research method is tenable since it would address the diversity and complexity of HRM and workplace research on Generation Z and allow producing </w:t>
      </w:r>
      <w:r w:rsidRPr="00ED437B">
        <w:lastRenderedPageBreak/>
        <w:t>a rigorous synthesis of both qualitative and theoretical data, thus, producing meaningful themes and insights to be applied to practise and academia.</w:t>
      </w:r>
    </w:p>
    <w:p w14:paraId="584DDDBE" w14:textId="3145E4AE" w:rsidR="00391EB6" w:rsidRPr="00ED437B" w:rsidRDefault="00391EB6" w:rsidP="008C5097">
      <w:pPr>
        <w:pStyle w:val="Heading2"/>
      </w:pPr>
      <w:bookmarkStart w:id="25" w:name="_Toc218179335"/>
      <w:r w:rsidRPr="00ED437B">
        <w:t>Data Collection Methods</w:t>
      </w:r>
      <w:bookmarkEnd w:id="25"/>
    </w:p>
    <w:p w14:paraId="082DCA33" w14:textId="77777777" w:rsidR="00460FAB" w:rsidRPr="00ED437B" w:rsidRDefault="00460FAB" w:rsidP="00460FAB">
      <w:pPr>
        <w:pStyle w:val="Heading3"/>
      </w:pPr>
      <w:bookmarkStart w:id="26" w:name="_Toc218179336"/>
      <w:r w:rsidRPr="00ED437B">
        <w:t>Methods and Justification</w:t>
      </w:r>
      <w:bookmarkEnd w:id="26"/>
    </w:p>
    <w:p w14:paraId="678553D6" w14:textId="77777777" w:rsidR="00B102F7" w:rsidRPr="00ED437B" w:rsidRDefault="00B102F7" w:rsidP="00B102F7">
      <w:r w:rsidRPr="00ED437B">
        <w:t>The collection of data in a research may be of either primary, secondary or a combination of both. Primary data collection entails the brand new information that has not been utilised before or conducted on participants or experiments like surveys, interviews, focus groups, or observations. Another method is the secondary data collection, which requires the analysis of existing data, including published studies, reports, organisational records, or datasets (Boland, Cherry and Dickson, 2017; Gough, Oliver and Thomas, 2017). Mixed methods involve the use of both primary and secondary sources to give both original and contextualised data.</w:t>
      </w:r>
    </w:p>
    <w:p w14:paraId="00EE2CCF" w14:textId="5C34377E" w:rsidR="00B102F7" w:rsidRPr="00ED437B" w:rsidRDefault="00B102F7" w:rsidP="00B102F7">
      <w:r w:rsidRPr="00ED437B">
        <w:t xml:space="preserve">In this research, the data collection technique is solely secondary since the research is based on the systematic review of the available literature. It is hoped to combine the results of peer reviewed empirical research publications, conceptual articles and qualitative studies on Generation Z within organisational contexts. This method is rightful since it enables a holistic and evidence-based view of the motivations, workplace issues, and organisational policies of Gen Z without having to limit, time and cost-constrained data collection of primary data. Secondary data also allows the research to address a wider range of industries, geographic settings, and study designs than would have been the case with one primary research (Afifi, Stryhn and Sanchez, 2023; Shaheen </w:t>
      </w:r>
      <w:r w:rsidR="000C3E28" w:rsidRPr="00ED437B">
        <w:rPr>
          <w:i/>
          <w:iCs/>
        </w:rPr>
        <w:t>et al</w:t>
      </w:r>
      <w:r w:rsidRPr="00ED437B">
        <w:t>., 2023).</w:t>
      </w:r>
    </w:p>
    <w:p w14:paraId="22D195B3" w14:textId="29366215" w:rsidR="00460FAB" w:rsidRPr="00ED437B" w:rsidRDefault="00B102F7" w:rsidP="00B102F7">
      <w:r w:rsidRPr="00ED437B">
        <w:t xml:space="preserve">Through the systematic and secondary data collection approach, this study makes sure that the results are clear, repeatable, and are based on the existing evidence (Page </w:t>
      </w:r>
      <w:r w:rsidR="000C3E28" w:rsidRPr="00ED437B">
        <w:rPr>
          <w:i/>
          <w:iCs/>
        </w:rPr>
        <w:t>et al</w:t>
      </w:r>
      <w:r w:rsidRPr="00ED437B">
        <w:t>., 2021; Higgins and Green, 2019). In order to make sure that the methodology can be reproduced by other researchers, the next section will outline the steps of the data collection process, which are database selection, search strategy, screening, and data extraction.</w:t>
      </w:r>
    </w:p>
    <w:p w14:paraId="25A8D766" w14:textId="17FF482A" w:rsidR="00460FAB" w:rsidRPr="00ED437B" w:rsidRDefault="00460FAB" w:rsidP="00460FAB">
      <w:pPr>
        <w:pStyle w:val="Heading3"/>
      </w:pPr>
      <w:bookmarkStart w:id="27" w:name="_Toc218179337"/>
      <w:r w:rsidRPr="00ED437B">
        <w:t>Data sources and databases</w:t>
      </w:r>
      <w:bookmarkEnd w:id="27"/>
    </w:p>
    <w:p w14:paraId="00D0DA9C" w14:textId="5A92D416" w:rsidR="00460FAB" w:rsidRPr="00ED437B" w:rsidRDefault="00B102F7" w:rsidP="00A2627D">
      <w:r w:rsidRPr="00ED437B">
        <w:t xml:space="preserve">The choice of the right data sources is the key to the rigour and the versatility of the systematic review (Gusenbauer and Gauster, 2024; Page </w:t>
      </w:r>
      <w:r w:rsidR="000C3E28" w:rsidRPr="00ED437B">
        <w:rPr>
          <w:i/>
          <w:iCs/>
        </w:rPr>
        <w:t>et al</w:t>
      </w:r>
      <w:r w:rsidRPr="00ED437B">
        <w:t xml:space="preserve">., 2021), and the </w:t>
      </w:r>
      <w:r w:rsidRPr="00ED437B">
        <w:lastRenderedPageBreak/>
        <w:t xml:space="preserve">selected sources of Scopus and Google Scholar were based on their coverage and reliability. Scopus provides high quality and peer reviewed material in relevant disciplines and assists in searching by metadata which is helpful in systematic screening (Gough, Oliver and Thomas, 2017; Higgins and Green, 2019), whereas Google Scholar expands its scope to cover conference papers and grey literature, which is helpful to reduce publication bias and identify emerging research (Boland, Cherry and Dickson, 2017; Foster and Jewell, 2017). Collectively, these databases offer a quality and breadth balance that is appropriate when conducting research in Human Resource Management as relevant studies can be found in a variety of outlets (Gusenbauer and Gauster, 2024). These sources were systematically searched so that the final corpus of studies was representative and was in line with the research questions, which facilitated transparency and reproducibility according to PRISMA advice (Page </w:t>
      </w:r>
      <w:r w:rsidR="000C3E28" w:rsidRPr="00ED437B">
        <w:rPr>
          <w:i/>
          <w:iCs/>
        </w:rPr>
        <w:t>et al</w:t>
      </w:r>
      <w:r w:rsidRPr="00ED437B">
        <w:t>., 2021; Afifi, Stryhn and Sanchez, 2023).</w:t>
      </w:r>
    </w:p>
    <w:p w14:paraId="595C191A" w14:textId="1B81F914" w:rsidR="00460FAB" w:rsidRPr="00ED437B" w:rsidRDefault="00460FAB" w:rsidP="00460FAB">
      <w:pPr>
        <w:pStyle w:val="Heading3"/>
      </w:pPr>
      <w:bookmarkStart w:id="28" w:name="_Toc218179338"/>
      <w:r w:rsidRPr="00ED437B">
        <w:t>Search strategy and keywords</w:t>
      </w:r>
      <w:bookmarkEnd w:id="28"/>
    </w:p>
    <w:p w14:paraId="5261C659" w14:textId="07DB64F5" w:rsidR="005C7792" w:rsidRPr="00ED437B" w:rsidRDefault="00B102F7" w:rsidP="005C7792">
      <w:r w:rsidRPr="00ED437B">
        <w:t xml:space="preserve">Systematic reviews require an appropriate and coordinated search strategy as this guarantees the thorough search of the related literature, reducing bias at the same time (Boland, Cherry and Dickson, 2017; Page </w:t>
      </w:r>
      <w:r w:rsidR="000C3E28" w:rsidRPr="00ED437B">
        <w:rPr>
          <w:i/>
          <w:iCs/>
        </w:rPr>
        <w:t>et al</w:t>
      </w:r>
      <w:r w:rsidRPr="00ED437B">
        <w:t>., 2021). This paper involved a systematic search via Scopus and Google Scholar based on particular keywords and search terms that were consistent with the research questions on workplace motivations, challenges, and organisational practises of Generation Z.</w:t>
      </w:r>
    </w:p>
    <w:p w14:paraId="6E3EF470" w14:textId="28F7C1E1" w:rsidR="005C7792" w:rsidRPr="00ED437B" w:rsidRDefault="005C7792" w:rsidP="005C7792">
      <w:r w:rsidRPr="00ED437B">
        <w:t>For Scopus, the following search string was applied:</w:t>
      </w:r>
    </w:p>
    <w:p w14:paraId="0A6A9890" w14:textId="1BC68B7F" w:rsidR="005C7792" w:rsidRPr="00ED437B" w:rsidRDefault="005C7792" w:rsidP="005C7792">
      <w:pPr>
        <w:rPr>
          <w:b/>
          <w:bCs/>
          <w:i/>
          <w:iCs/>
          <w:sz w:val="20"/>
          <w:szCs w:val="18"/>
        </w:rPr>
      </w:pPr>
      <w:r w:rsidRPr="00ED437B">
        <w:rPr>
          <w:b/>
          <w:bCs/>
          <w:i/>
          <w:iCs/>
          <w:sz w:val="20"/>
          <w:szCs w:val="18"/>
        </w:rPr>
        <w:t>(TITLE-ABS-KEY("Generation Z" OR "Gen Z") AND TITLE-ABS-KEY(motivat* OR "work values" OR "work-related values" OR "career values" OR "job preferences")) OR (TITLE-ABS-KEY("Generation Z" OR "Gen Z") AND TITLE-ABS-KEY(challenge* OR barrier* OR obstacle* OR "workplace issue*" OR "organisational issue*")) OR (TITLE-ABS-KEY("Generation Z" OR "Gen Z") AND TITLE-ABS-KEY("organisational policy*" OR "management practice*" OR "HR practice*" OR "employee engagement" OR "workplace support" OR "workplace strategy*"))</w:t>
      </w:r>
    </w:p>
    <w:p w14:paraId="3FF4BFB1" w14:textId="2AE252AB" w:rsidR="005C7792" w:rsidRPr="00ED437B" w:rsidRDefault="005C7792" w:rsidP="005C7792">
      <w:r w:rsidRPr="00ED437B">
        <w:t>This string combines Boolean operators and wildcards to capture studies addressing all three research foci: motivations and work-related values, workplace challenges, and organisational policies or practices. The inclusion of TITLE-ABS-KEY ensures that the terms are searched in the title, abstract, and keywords, increasing relevance and precision (Gusenbauer &amp; Gauster, 2024).</w:t>
      </w:r>
    </w:p>
    <w:p w14:paraId="3BD27679" w14:textId="478A2131" w:rsidR="005C7792" w:rsidRPr="00ED437B" w:rsidRDefault="005C7792" w:rsidP="005C7792">
      <w:r w:rsidRPr="00ED437B">
        <w:t>For Google Scholar, a simplified string was used due to its search limitations:</w:t>
      </w:r>
    </w:p>
    <w:p w14:paraId="06988983" w14:textId="60AAF733" w:rsidR="005C7792" w:rsidRPr="00ED437B" w:rsidRDefault="005C7792" w:rsidP="005C7792">
      <w:pPr>
        <w:rPr>
          <w:b/>
          <w:bCs/>
          <w:i/>
          <w:iCs/>
          <w:sz w:val="20"/>
          <w:szCs w:val="18"/>
        </w:rPr>
      </w:pPr>
      <w:r w:rsidRPr="00ED437B">
        <w:rPr>
          <w:b/>
          <w:bCs/>
          <w:i/>
          <w:iCs/>
          <w:sz w:val="20"/>
          <w:szCs w:val="18"/>
        </w:rPr>
        <w:lastRenderedPageBreak/>
        <w:t>"Generation Z" AND "work motivation" AND ("organisational practices" OR "HR policies" OR "employee engagement") AND ("workplace challenges" OR "workplace barriers")</w:t>
      </w:r>
    </w:p>
    <w:p w14:paraId="441B526F" w14:textId="19DA59E3" w:rsidR="005C7792" w:rsidRPr="00ED437B" w:rsidRDefault="005C7792" w:rsidP="005C7792">
      <w:r w:rsidRPr="00ED437B">
        <w:t>This strategy ensures retrieval of both peer-reviewed articles and grey literature relevant to the study objectives (Foster &amp; Jewell, 2017).</w:t>
      </w:r>
    </w:p>
    <w:p w14:paraId="5DAE2CB9" w14:textId="10D8F263" w:rsidR="005C7792" w:rsidRPr="00ED437B" w:rsidRDefault="005C7792" w:rsidP="005C7792">
      <w:r w:rsidRPr="00ED437B">
        <w:t xml:space="preserve">By systematically applying these search strings across multiple databases, the study ensures comprehensive coverage, relevance, and replicability, consistent with PRISMA guidelines for systematic reviews (Page </w:t>
      </w:r>
      <w:r w:rsidR="000C3E28" w:rsidRPr="00ED437B">
        <w:rPr>
          <w:i/>
          <w:iCs/>
        </w:rPr>
        <w:t>et al</w:t>
      </w:r>
      <w:r w:rsidRPr="00ED437B">
        <w:t>., 2021; Afifi, Stryhn &amp; Sánchez, 2023). The following section will detail the screening, eligibility, and data extraction processes, which together enable a transparent and rigorous synthesis of the identified studies.</w:t>
      </w:r>
    </w:p>
    <w:p w14:paraId="3D3BEB5D" w14:textId="31CFA2E9" w:rsidR="00460FAB" w:rsidRPr="00ED437B" w:rsidRDefault="00460FAB" w:rsidP="00460FAB">
      <w:pPr>
        <w:pStyle w:val="Heading3"/>
      </w:pPr>
      <w:bookmarkStart w:id="29" w:name="_Toc218179339"/>
      <w:r w:rsidRPr="00ED437B">
        <w:t>Inclusion and exclusion criteria</w:t>
      </w:r>
      <w:bookmarkEnd w:id="29"/>
    </w:p>
    <w:p w14:paraId="4AF06D15" w14:textId="7D54E924" w:rsidR="005C7792" w:rsidRPr="00ED437B" w:rsidRDefault="004C732B" w:rsidP="00A2627D">
      <w:pPr>
        <w:rPr>
          <w:lang w:eastAsia="zh-CN" w:bidi="bn-IN"/>
        </w:rPr>
      </w:pPr>
      <w:r w:rsidRPr="00ED437B">
        <w:rPr>
          <w:lang w:eastAsia="zh-CN" w:bidi="bn-IN"/>
        </w:rPr>
        <w:t xml:space="preserve">Inclusion and exclusion criteria were pre-screened in order to include studies that would be relevant and of high quality in the systematic review. The criteria were used to select the studies in terms of relevance to the research questions, methodology rigour, and the full texts availability (Boland, Cherry and Dickson, 2017; Page </w:t>
      </w:r>
      <w:r w:rsidR="000C3E28" w:rsidRPr="00ED437B">
        <w:rPr>
          <w:i/>
          <w:iCs/>
          <w:lang w:eastAsia="zh-CN" w:bidi="bn-IN"/>
        </w:rPr>
        <w:t>et al</w:t>
      </w:r>
      <w:r w:rsidRPr="00ED437B">
        <w:rPr>
          <w:lang w:eastAsia="zh-CN" w:bidi="bn-IN"/>
        </w:rPr>
        <w:t>., 2021). The criteria also made it consistent, transparent, and reproducible in terms of identifying appropriate literature.</w:t>
      </w:r>
    </w:p>
    <w:tbl>
      <w:tblPr>
        <w:tblStyle w:val="TableGridLight"/>
        <w:tblW w:w="0" w:type="auto"/>
        <w:tblLook w:val="04A0" w:firstRow="1" w:lastRow="0" w:firstColumn="1" w:lastColumn="0" w:noHBand="0" w:noVBand="1"/>
      </w:tblPr>
      <w:tblGrid>
        <w:gridCol w:w="1773"/>
        <w:gridCol w:w="3860"/>
        <w:gridCol w:w="3383"/>
      </w:tblGrid>
      <w:tr w:rsidR="005C7792" w:rsidRPr="00ED437B" w14:paraId="351FE807" w14:textId="77777777" w:rsidTr="005C7792">
        <w:tc>
          <w:tcPr>
            <w:tcW w:w="0" w:type="auto"/>
            <w:vAlign w:val="center"/>
            <w:hideMark/>
          </w:tcPr>
          <w:p w14:paraId="59553AA6" w14:textId="77777777" w:rsidR="005C7792" w:rsidRPr="00ED437B" w:rsidRDefault="005C7792" w:rsidP="005C7792">
            <w:pPr>
              <w:jc w:val="left"/>
              <w:rPr>
                <w:b/>
                <w:bCs/>
                <w:lang w:eastAsia="zh-CN" w:bidi="bn-IN"/>
              </w:rPr>
            </w:pPr>
            <w:r w:rsidRPr="00ED437B">
              <w:rPr>
                <w:b/>
                <w:bCs/>
                <w:lang w:eastAsia="zh-CN" w:bidi="bn-IN"/>
              </w:rPr>
              <w:t>Criteria</w:t>
            </w:r>
          </w:p>
        </w:tc>
        <w:tc>
          <w:tcPr>
            <w:tcW w:w="0" w:type="auto"/>
            <w:vAlign w:val="center"/>
            <w:hideMark/>
          </w:tcPr>
          <w:p w14:paraId="35B7DE94" w14:textId="77777777" w:rsidR="005C7792" w:rsidRPr="00ED437B" w:rsidRDefault="005C7792" w:rsidP="005C7792">
            <w:pPr>
              <w:jc w:val="left"/>
              <w:rPr>
                <w:b/>
                <w:bCs/>
                <w:lang w:eastAsia="zh-CN" w:bidi="bn-IN"/>
              </w:rPr>
            </w:pPr>
            <w:r w:rsidRPr="00ED437B">
              <w:rPr>
                <w:b/>
                <w:bCs/>
                <w:lang w:eastAsia="zh-CN" w:bidi="bn-IN"/>
              </w:rPr>
              <w:t>Inclusion</w:t>
            </w:r>
          </w:p>
        </w:tc>
        <w:tc>
          <w:tcPr>
            <w:tcW w:w="0" w:type="auto"/>
            <w:vAlign w:val="center"/>
            <w:hideMark/>
          </w:tcPr>
          <w:p w14:paraId="69E2994C" w14:textId="77777777" w:rsidR="005C7792" w:rsidRPr="00ED437B" w:rsidRDefault="005C7792" w:rsidP="005C7792">
            <w:pPr>
              <w:jc w:val="left"/>
              <w:rPr>
                <w:b/>
                <w:bCs/>
                <w:lang w:eastAsia="zh-CN" w:bidi="bn-IN"/>
              </w:rPr>
            </w:pPr>
            <w:r w:rsidRPr="00ED437B">
              <w:rPr>
                <w:b/>
                <w:bCs/>
                <w:lang w:eastAsia="zh-CN" w:bidi="bn-IN"/>
              </w:rPr>
              <w:t>Exclusion</w:t>
            </w:r>
          </w:p>
        </w:tc>
      </w:tr>
      <w:tr w:rsidR="005C7792" w:rsidRPr="00ED437B" w14:paraId="11CDADDC" w14:textId="77777777" w:rsidTr="005C7792">
        <w:tc>
          <w:tcPr>
            <w:tcW w:w="0" w:type="auto"/>
            <w:vAlign w:val="center"/>
            <w:hideMark/>
          </w:tcPr>
          <w:p w14:paraId="24153235" w14:textId="77777777" w:rsidR="005C7792" w:rsidRPr="00ED437B" w:rsidRDefault="005C7792" w:rsidP="005C7792">
            <w:pPr>
              <w:jc w:val="left"/>
              <w:rPr>
                <w:lang w:eastAsia="zh-CN" w:bidi="bn-IN"/>
              </w:rPr>
            </w:pPr>
            <w:r w:rsidRPr="00ED437B">
              <w:rPr>
                <w:b/>
                <w:bCs/>
                <w:lang w:eastAsia="zh-CN" w:bidi="bn-IN"/>
              </w:rPr>
              <w:t>Population</w:t>
            </w:r>
          </w:p>
        </w:tc>
        <w:tc>
          <w:tcPr>
            <w:tcW w:w="0" w:type="auto"/>
            <w:vAlign w:val="center"/>
            <w:hideMark/>
          </w:tcPr>
          <w:p w14:paraId="5C33D0AD" w14:textId="77777777" w:rsidR="005C7792" w:rsidRPr="00ED437B" w:rsidRDefault="005C7792" w:rsidP="005C7792">
            <w:pPr>
              <w:jc w:val="left"/>
              <w:rPr>
                <w:lang w:eastAsia="zh-CN" w:bidi="bn-IN"/>
              </w:rPr>
            </w:pPr>
            <w:r w:rsidRPr="00ED437B">
              <w:rPr>
                <w:lang w:eastAsia="zh-CN" w:bidi="bn-IN"/>
              </w:rPr>
              <w:t>Studies focusing on Generation Z employees or students entering the workforce</w:t>
            </w:r>
          </w:p>
        </w:tc>
        <w:tc>
          <w:tcPr>
            <w:tcW w:w="0" w:type="auto"/>
            <w:vAlign w:val="center"/>
            <w:hideMark/>
          </w:tcPr>
          <w:p w14:paraId="4AD96A3E" w14:textId="77777777" w:rsidR="005C7792" w:rsidRPr="00ED437B" w:rsidRDefault="005C7792" w:rsidP="005C7792">
            <w:pPr>
              <w:jc w:val="left"/>
              <w:rPr>
                <w:lang w:eastAsia="zh-CN" w:bidi="bn-IN"/>
              </w:rPr>
            </w:pPr>
            <w:r w:rsidRPr="00ED437B">
              <w:rPr>
                <w:lang w:eastAsia="zh-CN" w:bidi="bn-IN"/>
              </w:rPr>
              <w:t>Studies on other generations or mixed samples without separate Gen Z analysis</w:t>
            </w:r>
          </w:p>
        </w:tc>
      </w:tr>
      <w:tr w:rsidR="005C7792" w:rsidRPr="00ED437B" w14:paraId="301CAC86" w14:textId="77777777" w:rsidTr="005C7792">
        <w:tc>
          <w:tcPr>
            <w:tcW w:w="0" w:type="auto"/>
            <w:vAlign w:val="center"/>
            <w:hideMark/>
          </w:tcPr>
          <w:p w14:paraId="1A938287" w14:textId="77777777" w:rsidR="005C7792" w:rsidRPr="00ED437B" w:rsidRDefault="005C7792" w:rsidP="005C7792">
            <w:pPr>
              <w:jc w:val="left"/>
              <w:rPr>
                <w:lang w:eastAsia="zh-CN" w:bidi="bn-IN"/>
              </w:rPr>
            </w:pPr>
            <w:r w:rsidRPr="00ED437B">
              <w:rPr>
                <w:b/>
                <w:bCs/>
                <w:lang w:eastAsia="zh-CN" w:bidi="bn-IN"/>
              </w:rPr>
              <w:t>Focus / Themes</w:t>
            </w:r>
          </w:p>
        </w:tc>
        <w:tc>
          <w:tcPr>
            <w:tcW w:w="0" w:type="auto"/>
            <w:vAlign w:val="center"/>
            <w:hideMark/>
          </w:tcPr>
          <w:p w14:paraId="280331F6" w14:textId="77777777" w:rsidR="005C7792" w:rsidRPr="00ED437B" w:rsidRDefault="005C7792" w:rsidP="005C7792">
            <w:pPr>
              <w:jc w:val="left"/>
              <w:rPr>
                <w:lang w:eastAsia="zh-CN" w:bidi="bn-IN"/>
              </w:rPr>
            </w:pPr>
            <w:r w:rsidRPr="00ED437B">
              <w:rPr>
                <w:lang w:eastAsia="zh-CN" w:bidi="bn-IN"/>
              </w:rPr>
              <w:t>Workplace motivations, work values, challenges, organisational policies/practices</w:t>
            </w:r>
          </w:p>
        </w:tc>
        <w:tc>
          <w:tcPr>
            <w:tcW w:w="0" w:type="auto"/>
            <w:vAlign w:val="center"/>
            <w:hideMark/>
          </w:tcPr>
          <w:p w14:paraId="1DA077B2" w14:textId="77777777" w:rsidR="005C7792" w:rsidRPr="00ED437B" w:rsidRDefault="005C7792" w:rsidP="005C7792">
            <w:pPr>
              <w:jc w:val="left"/>
              <w:rPr>
                <w:lang w:eastAsia="zh-CN" w:bidi="bn-IN"/>
              </w:rPr>
            </w:pPr>
            <w:r w:rsidRPr="00ED437B">
              <w:rPr>
                <w:lang w:eastAsia="zh-CN" w:bidi="bn-IN"/>
              </w:rPr>
              <w:t>Topics unrelated to workplace behaviour or HRM</w:t>
            </w:r>
          </w:p>
        </w:tc>
      </w:tr>
      <w:tr w:rsidR="005C7792" w:rsidRPr="00ED437B" w14:paraId="425DA0B2" w14:textId="77777777" w:rsidTr="005C7792">
        <w:tc>
          <w:tcPr>
            <w:tcW w:w="0" w:type="auto"/>
            <w:vAlign w:val="center"/>
            <w:hideMark/>
          </w:tcPr>
          <w:p w14:paraId="571367BF" w14:textId="77777777" w:rsidR="005C7792" w:rsidRPr="00ED437B" w:rsidRDefault="005C7792" w:rsidP="005C7792">
            <w:pPr>
              <w:jc w:val="left"/>
              <w:rPr>
                <w:lang w:eastAsia="zh-CN" w:bidi="bn-IN"/>
              </w:rPr>
            </w:pPr>
            <w:r w:rsidRPr="00ED437B">
              <w:rPr>
                <w:b/>
                <w:bCs/>
                <w:lang w:eastAsia="zh-CN" w:bidi="bn-IN"/>
              </w:rPr>
              <w:t>Study Type</w:t>
            </w:r>
          </w:p>
        </w:tc>
        <w:tc>
          <w:tcPr>
            <w:tcW w:w="0" w:type="auto"/>
            <w:vAlign w:val="center"/>
            <w:hideMark/>
          </w:tcPr>
          <w:p w14:paraId="1E7FE6C7" w14:textId="77777777" w:rsidR="005C7792" w:rsidRPr="00ED437B" w:rsidRDefault="005C7792" w:rsidP="005C7792">
            <w:pPr>
              <w:jc w:val="left"/>
              <w:rPr>
                <w:lang w:eastAsia="zh-CN" w:bidi="bn-IN"/>
              </w:rPr>
            </w:pPr>
            <w:r w:rsidRPr="00ED437B">
              <w:rPr>
                <w:lang w:eastAsia="zh-CN" w:bidi="bn-IN"/>
              </w:rPr>
              <w:t>Peer-reviewed empirical studies, conceptual papers, qualitative research</w:t>
            </w:r>
          </w:p>
        </w:tc>
        <w:tc>
          <w:tcPr>
            <w:tcW w:w="0" w:type="auto"/>
            <w:vAlign w:val="center"/>
            <w:hideMark/>
          </w:tcPr>
          <w:p w14:paraId="2BC51259" w14:textId="77777777" w:rsidR="005C7792" w:rsidRPr="00ED437B" w:rsidRDefault="005C7792" w:rsidP="005C7792">
            <w:pPr>
              <w:jc w:val="left"/>
              <w:rPr>
                <w:lang w:eastAsia="zh-CN" w:bidi="bn-IN"/>
              </w:rPr>
            </w:pPr>
            <w:r w:rsidRPr="00ED437B">
              <w:rPr>
                <w:lang w:eastAsia="zh-CN" w:bidi="bn-IN"/>
              </w:rPr>
              <w:t>Opinion pieces, blogs, non-academic articles, duplicates</w:t>
            </w:r>
          </w:p>
        </w:tc>
      </w:tr>
      <w:tr w:rsidR="005C7792" w:rsidRPr="00ED437B" w14:paraId="32A2F72A" w14:textId="77777777" w:rsidTr="005C7792">
        <w:tc>
          <w:tcPr>
            <w:tcW w:w="0" w:type="auto"/>
            <w:vAlign w:val="center"/>
            <w:hideMark/>
          </w:tcPr>
          <w:p w14:paraId="1CEAA7A1" w14:textId="77777777" w:rsidR="005C7792" w:rsidRPr="00ED437B" w:rsidRDefault="005C7792" w:rsidP="005C7792">
            <w:pPr>
              <w:jc w:val="left"/>
              <w:rPr>
                <w:lang w:eastAsia="zh-CN" w:bidi="bn-IN"/>
              </w:rPr>
            </w:pPr>
            <w:r w:rsidRPr="00ED437B">
              <w:rPr>
                <w:b/>
                <w:bCs/>
                <w:lang w:eastAsia="zh-CN" w:bidi="bn-IN"/>
              </w:rPr>
              <w:t>Language</w:t>
            </w:r>
          </w:p>
        </w:tc>
        <w:tc>
          <w:tcPr>
            <w:tcW w:w="0" w:type="auto"/>
            <w:vAlign w:val="center"/>
            <w:hideMark/>
          </w:tcPr>
          <w:p w14:paraId="712D9298" w14:textId="77777777" w:rsidR="005C7792" w:rsidRPr="00ED437B" w:rsidRDefault="005C7792" w:rsidP="005C7792">
            <w:pPr>
              <w:jc w:val="left"/>
              <w:rPr>
                <w:lang w:eastAsia="zh-CN" w:bidi="bn-IN"/>
              </w:rPr>
            </w:pPr>
            <w:r w:rsidRPr="00ED437B">
              <w:rPr>
                <w:lang w:eastAsia="zh-CN" w:bidi="bn-IN"/>
              </w:rPr>
              <w:t>English</w:t>
            </w:r>
          </w:p>
        </w:tc>
        <w:tc>
          <w:tcPr>
            <w:tcW w:w="0" w:type="auto"/>
            <w:vAlign w:val="center"/>
            <w:hideMark/>
          </w:tcPr>
          <w:p w14:paraId="7C5DB984" w14:textId="77777777" w:rsidR="005C7792" w:rsidRPr="00ED437B" w:rsidRDefault="005C7792" w:rsidP="005C7792">
            <w:pPr>
              <w:jc w:val="left"/>
              <w:rPr>
                <w:lang w:eastAsia="zh-CN" w:bidi="bn-IN"/>
              </w:rPr>
            </w:pPr>
            <w:r w:rsidRPr="00ED437B">
              <w:rPr>
                <w:lang w:eastAsia="zh-CN" w:bidi="bn-IN"/>
              </w:rPr>
              <w:t>Non-English publications</w:t>
            </w:r>
          </w:p>
        </w:tc>
      </w:tr>
      <w:tr w:rsidR="005C7792" w:rsidRPr="00ED437B" w14:paraId="75491709" w14:textId="77777777" w:rsidTr="005C7792">
        <w:tc>
          <w:tcPr>
            <w:tcW w:w="0" w:type="auto"/>
            <w:vAlign w:val="center"/>
            <w:hideMark/>
          </w:tcPr>
          <w:p w14:paraId="30F0C3A0" w14:textId="77777777" w:rsidR="005C7792" w:rsidRPr="00ED437B" w:rsidRDefault="005C7792" w:rsidP="005C7792">
            <w:pPr>
              <w:jc w:val="left"/>
              <w:rPr>
                <w:lang w:eastAsia="zh-CN" w:bidi="bn-IN"/>
              </w:rPr>
            </w:pPr>
            <w:r w:rsidRPr="00ED437B">
              <w:rPr>
                <w:b/>
                <w:bCs/>
                <w:lang w:eastAsia="zh-CN" w:bidi="bn-IN"/>
              </w:rPr>
              <w:lastRenderedPageBreak/>
              <w:t>Time Frame</w:t>
            </w:r>
          </w:p>
        </w:tc>
        <w:tc>
          <w:tcPr>
            <w:tcW w:w="0" w:type="auto"/>
            <w:vAlign w:val="center"/>
            <w:hideMark/>
          </w:tcPr>
          <w:p w14:paraId="1F8DA1E6" w14:textId="77777777" w:rsidR="005C7792" w:rsidRPr="00ED437B" w:rsidRDefault="005C7792" w:rsidP="005C7792">
            <w:pPr>
              <w:jc w:val="left"/>
              <w:rPr>
                <w:lang w:eastAsia="zh-CN" w:bidi="bn-IN"/>
              </w:rPr>
            </w:pPr>
            <w:r w:rsidRPr="00ED437B">
              <w:rPr>
                <w:lang w:eastAsia="zh-CN" w:bidi="bn-IN"/>
              </w:rPr>
              <w:t>Published between 2015–2025 to capture recent trends and post-COVID-19 impact</w:t>
            </w:r>
          </w:p>
        </w:tc>
        <w:tc>
          <w:tcPr>
            <w:tcW w:w="0" w:type="auto"/>
            <w:vAlign w:val="center"/>
            <w:hideMark/>
          </w:tcPr>
          <w:p w14:paraId="1788C70E" w14:textId="77777777" w:rsidR="005C7792" w:rsidRPr="00ED437B" w:rsidRDefault="005C7792" w:rsidP="005C7792">
            <w:pPr>
              <w:jc w:val="left"/>
              <w:rPr>
                <w:lang w:eastAsia="zh-CN" w:bidi="bn-IN"/>
              </w:rPr>
            </w:pPr>
            <w:r w:rsidRPr="00ED437B">
              <w:rPr>
                <w:lang w:eastAsia="zh-CN" w:bidi="bn-IN"/>
              </w:rPr>
              <w:t>Studies prior to 2015 or outdated workplace contexts</w:t>
            </w:r>
          </w:p>
        </w:tc>
      </w:tr>
      <w:tr w:rsidR="005C7792" w:rsidRPr="00ED437B" w14:paraId="435C0191" w14:textId="77777777" w:rsidTr="005C7792">
        <w:tc>
          <w:tcPr>
            <w:tcW w:w="0" w:type="auto"/>
            <w:vAlign w:val="center"/>
            <w:hideMark/>
          </w:tcPr>
          <w:p w14:paraId="1005A1E5" w14:textId="77777777" w:rsidR="005C7792" w:rsidRPr="00ED437B" w:rsidRDefault="005C7792" w:rsidP="005C7792">
            <w:pPr>
              <w:jc w:val="left"/>
              <w:rPr>
                <w:lang w:eastAsia="zh-CN" w:bidi="bn-IN"/>
              </w:rPr>
            </w:pPr>
            <w:r w:rsidRPr="00ED437B">
              <w:rPr>
                <w:b/>
                <w:bCs/>
                <w:lang w:eastAsia="zh-CN" w:bidi="bn-IN"/>
              </w:rPr>
              <w:t>Accessibility</w:t>
            </w:r>
          </w:p>
        </w:tc>
        <w:tc>
          <w:tcPr>
            <w:tcW w:w="0" w:type="auto"/>
            <w:vAlign w:val="center"/>
            <w:hideMark/>
          </w:tcPr>
          <w:p w14:paraId="432077C7" w14:textId="77777777" w:rsidR="005C7792" w:rsidRPr="00ED437B" w:rsidRDefault="005C7792" w:rsidP="005C7792">
            <w:pPr>
              <w:jc w:val="left"/>
              <w:rPr>
                <w:lang w:eastAsia="zh-CN" w:bidi="bn-IN"/>
              </w:rPr>
            </w:pPr>
            <w:r w:rsidRPr="00ED437B">
              <w:rPr>
                <w:lang w:eastAsia="zh-CN" w:bidi="bn-IN"/>
              </w:rPr>
              <w:t>Full text available</w:t>
            </w:r>
          </w:p>
        </w:tc>
        <w:tc>
          <w:tcPr>
            <w:tcW w:w="0" w:type="auto"/>
            <w:vAlign w:val="center"/>
            <w:hideMark/>
          </w:tcPr>
          <w:p w14:paraId="4F9FDFDD" w14:textId="77777777" w:rsidR="005C7792" w:rsidRPr="00ED437B" w:rsidRDefault="005C7792" w:rsidP="005C7792">
            <w:pPr>
              <w:jc w:val="left"/>
              <w:rPr>
                <w:lang w:eastAsia="zh-CN" w:bidi="bn-IN"/>
              </w:rPr>
            </w:pPr>
            <w:r w:rsidRPr="00ED437B">
              <w:rPr>
                <w:lang w:eastAsia="zh-CN" w:bidi="bn-IN"/>
              </w:rPr>
              <w:t>Abstract-only or inaccessible full texts</w:t>
            </w:r>
          </w:p>
        </w:tc>
      </w:tr>
    </w:tbl>
    <w:p w14:paraId="3EC11E5C" w14:textId="58DA3290" w:rsidR="00460FAB" w:rsidRPr="00ED437B" w:rsidRDefault="00A2627D" w:rsidP="00A2627D">
      <w:pPr>
        <w:pStyle w:val="Heading3"/>
        <w:rPr>
          <w:lang w:bidi="bn-IN"/>
        </w:rPr>
      </w:pPr>
      <w:r w:rsidRPr="00ED437B">
        <w:t xml:space="preserve"> </w:t>
      </w:r>
      <w:bookmarkStart w:id="30" w:name="_Toc218179340"/>
      <w:r w:rsidR="00460FAB" w:rsidRPr="00ED437B">
        <w:t>Screening process</w:t>
      </w:r>
      <w:bookmarkEnd w:id="30"/>
    </w:p>
    <w:p w14:paraId="183C175E" w14:textId="4394AABE" w:rsidR="005C7792" w:rsidRPr="00ED437B" w:rsidRDefault="004C732B" w:rsidP="00A2627D">
      <w:r w:rsidRPr="00ED437B">
        <w:t xml:space="preserve">A systematic review screening process ensures informed synthesis by only including relevant and credible studies and this study was conducted using the PRISMA 2020 framework to present a transparent and replicable process of identifying literature, screening and including it (Page </w:t>
      </w:r>
      <w:r w:rsidR="000C3E28" w:rsidRPr="00ED437B">
        <w:rPr>
          <w:i/>
          <w:iCs/>
        </w:rPr>
        <w:t>et al</w:t>
      </w:r>
      <w:r w:rsidRPr="00ED437B">
        <w:t xml:space="preserve">., 2021). The process of screening was initiated by the elimination of duplicates, which was conducted both automatically and manually to avoid any overrepresentation and maintain the integrity of the reviews (Afifi, Stryhn and Sanchez, 2023). Screening Title and abstract then used the fixed inclusion and exclusion criteria to philtre out studies that were not about Generation Z workplace motivations, challenges or organisational policies (Boland, Cherry and Dickson, 2017). It was then assessed in full-text, which provided the possibility to carefully verify relevance and the quality of the methodology and retrieve the main information on setting, samples, and results (Foster and Jewell, 2017; Shaheen </w:t>
      </w:r>
      <w:r w:rsidR="000C3E28" w:rsidRPr="00ED437B">
        <w:rPr>
          <w:i/>
          <w:iCs/>
        </w:rPr>
        <w:t>et al</w:t>
      </w:r>
      <w:r w:rsidRPr="00ED437B">
        <w:t>., 2023). Combined, this PRISMA-mentored, staged process made sure that the end set of studies was not only systematically selected, but also relevant and of high quality, so as to provide a sound analysis of the experiences of Generation Z in the workplace and organisational reactions to it.</w:t>
      </w:r>
    </w:p>
    <w:p w14:paraId="11B68585" w14:textId="14823367" w:rsidR="00460FAB" w:rsidRPr="00ED437B" w:rsidRDefault="00460FAB" w:rsidP="00460FAB">
      <w:pPr>
        <w:pStyle w:val="Heading3"/>
      </w:pPr>
      <w:bookmarkStart w:id="31" w:name="_Toc218179341"/>
      <w:r w:rsidRPr="00ED437B">
        <w:t xml:space="preserve">Data extraction and </w:t>
      </w:r>
      <w:r w:rsidR="00DC1008" w:rsidRPr="00ED437B">
        <w:t>Synthesis</w:t>
      </w:r>
      <w:bookmarkEnd w:id="31"/>
    </w:p>
    <w:p w14:paraId="501AADF7" w14:textId="54E41A2A" w:rsidR="005C7792" w:rsidRPr="00ED437B" w:rsidRDefault="004C732B" w:rsidP="005C7792">
      <w:r w:rsidRPr="00ED437B">
        <w:t xml:space="preserve">Systematic review includes data extraction and coding, which is a process that guarantees the capture, organisation, and preparation of information contained in included studies (Afifi, Stryhn and Sanchez, 2023; Boland, Cherry and Dickson, 2017). A structured data extraction template was utilised in this study to compile important information in each study. This is a systematic extraction, which is consistent, easy to compare between studies and enables transparency in reporting (Page </w:t>
      </w:r>
      <w:r w:rsidR="000C3E28" w:rsidRPr="00ED437B">
        <w:rPr>
          <w:i/>
          <w:iCs/>
        </w:rPr>
        <w:t>et al</w:t>
      </w:r>
      <w:r w:rsidRPr="00ED437B">
        <w:t xml:space="preserve">., 2021; Shaheen </w:t>
      </w:r>
      <w:r w:rsidR="000C3E28" w:rsidRPr="00ED437B">
        <w:rPr>
          <w:i/>
          <w:iCs/>
        </w:rPr>
        <w:t>et al</w:t>
      </w:r>
      <w:r w:rsidRPr="00ED437B">
        <w:t xml:space="preserve">., 2023). After the extraction, a thematic analysis was performed to find repeated patterns and sort the findings in themes, sub-themes, and codes. As an </w:t>
      </w:r>
      <w:r w:rsidRPr="00ED437B">
        <w:lastRenderedPageBreak/>
        <w:t xml:space="preserve">illustration, the themes Motivations, Challenges, and Organisational Policies were further broken down into sub themes such as Intrinsic/Extrinsic Motivation, Mental Health and Job Insecurity, or Flexible Work and HR Practises and the sub-themes were assigned a specific code. </w:t>
      </w:r>
      <w:r w:rsidR="00ED437B" w:rsidRPr="00ED437B">
        <w:t>By doing so, the synthesis of narrative becomes possible, when an expression of a set of qualitative evidence of different studies is synthesised and analysed together, including the similarities, differences, and new insights (Gough, Oliver and Thomas, 2017; Foster and Jewell, 2017). The thematic coding and the narrative synthesis is a valid option because this approach will allow the review to represent complex and contextualised information, unite both empirical and conceptual research, and form a comprehensive understanding of Generation Z in the organisational environment. The codification, synthesis and systematic extraction of data will assist the study in ensuring that the findings are robust, transparent and reproducible which provide a sound foundation in explaining the conceptual framework, and answers to the research questions</w:t>
      </w:r>
      <w:r w:rsidRPr="00ED437B">
        <w:t>.</w:t>
      </w:r>
    </w:p>
    <w:p w14:paraId="14E8E3DC" w14:textId="13875A3E" w:rsidR="00460FAB" w:rsidRPr="00ED437B" w:rsidRDefault="00460FAB" w:rsidP="00460FAB">
      <w:pPr>
        <w:pStyle w:val="Heading3"/>
      </w:pPr>
      <w:bookmarkStart w:id="32" w:name="_Toc218179342"/>
      <w:r w:rsidRPr="00ED437B">
        <w:t>Quality appraisal of included studies</w:t>
      </w:r>
      <w:bookmarkEnd w:id="32"/>
    </w:p>
    <w:p w14:paraId="07ED98CA" w14:textId="15904485" w:rsidR="00DC1008" w:rsidRPr="00ED437B" w:rsidRDefault="00B102F7" w:rsidP="00A2627D">
      <w:r w:rsidRPr="00ED437B">
        <w:t xml:space="preserve">Systematic reviews require quality appraisal because it allows the inclusion of credible and methodologically sound studies in the synthesis process and weight the findings appropriately (Boland, Cherry and Dickson, 2017; Shaheen </w:t>
      </w:r>
      <w:r w:rsidR="000C3E28" w:rsidRPr="00ED437B">
        <w:rPr>
          <w:i/>
          <w:iCs/>
        </w:rPr>
        <w:t>et al</w:t>
      </w:r>
      <w:r w:rsidRPr="00ED437B">
        <w:t>., 2023). The tool applied in this research was the Critical Appraisal Skills Programme (CASP), which provides checklists on various forms of research and encourages one to reflect on the fundamental methodological aspects of a specific study, including the clarity of the research, the appropriateness of the design, data management, ethical conduct and validity of conclusions (CASP, 2018). The mixed nature of literature about Generation Z makes CASP an appropriate tool not only due to its ability to be standardised, widely accepted, and replicable in terms of critique (Foster and Jewell, 2017; Gough, Oliver and Thomas, 2017), but also due to the possibility of conducting an evaluation that is sensitive to the needs of various research types (Afifi, Stryhn and Sanchez, 2023). The implementation of CASP can fortify the review by making sure the conclusions and recommendations about Generation Z motives, issues and organisational reactions are based on solid evidence and by letting the researcher know where the methodological boundaries need to be viewed cautiously.</w:t>
      </w:r>
    </w:p>
    <w:p w14:paraId="3E409A97" w14:textId="77777777" w:rsidR="00391EB6" w:rsidRPr="00ED437B" w:rsidRDefault="00391EB6" w:rsidP="008C5097">
      <w:pPr>
        <w:pStyle w:val="Heading2"/>
      </w:pPr>
      <w:bookmarkStart w:id="33" w:name="_Toc218179343"/>
      <w:r w:rsidRPr="00ED437B">
        <w:lastRenderedPageBreak/>
        <w:t>Ethical Considerations</w:t>
      </w:r>
      <w:bookmarkEnd w:id="33"/>
    </w:p>
    <w:p w14:paraId="5DBE889B" w14:textId="05C07A21" w:rsidR="00DC1008" w:rsidRPr="00ED437B" w:rsidRDefault="00B102F7" w:rsidP="00E431F3">
      <w:r w:rsidRPr="00ED437B">
        <w:t>Research ethics involve integrity, transparency, accountability and respect to data sources (UWTSD, 2022), in the context of primary research this is usually consent, confidentiality and participant safety (Suri, 2020). To a large extent, these problems are not present in the current study because it is based exclusively on the published secondary data and is not associated with human participants and gathering of sensitive information (Wager and Wiffen, 2011). However, systematic reviews have their own set of ethical responsibilities, such as precise and impartial presentation of original results, lack of selective reporting, cautious attribution and preservation of transparency and reproduction (Suri, 2020; Wager and Wiffen, 2011). In this study, these responsibilities were fulfilled by a well-established review protocol, application of PRISMA framework to guarantee traceable screening, the use of CASP in conducting systematic quality appraisal, as well as through objective synthesis and honest reporting of evidence. Through these standards, the review fulfils scholarly integrity and provides valid information about the motivations of Generation Z in the workplace, the challenges and organisational responses and the contribution of the original authors.</w:t>
      </w:r>
    </w:p>
    <w:p w14:paraId="4F776128" w14:textId="77777777" w:rsidR="00391EB6" w:rsidRPr="00ED437B" w:rsidRDefault="00391EB6" w:rsidP="008C5097">
      <w:pPr>
        <w:pStyle w:val="Heading2"/>
      </w:pPr>
      <w:bookmarkStart w:id="34" w:name="_Toc218179344"/>
      <w:r w:rsidRPr="00ED437B">
        <w:t>Conclusion</w:t>
      </w:r>
      <w:bookmarkEnd w:id="34"/>
      <w:r w:rsidRPr="00ED437B">
        <w:t xml:space="preserve"> </w:t>
      </w:r>
    </w:p>
    <w:p w14:paraId="1100599C" w14:textId="0BBFCDD0" w:rsidR="00DC1008" w:rsidRPr="00ED437B" w:rsidRDefault="00B102F7" w:rsidP="00E431F3">
      <w:r w:rsidRPr="00ED437B">
        <w:t>This chapter has summarised the research methodology that will be adopted in this study, which is the systematic review, and why it is appropriate in the studies of Generation Z within the organisations. It explained the philosophical position and research design, which justified the inductive, qualitative synthesis to combine diverse empirical and conceptual work. This chapter described the data collection via secondary sources, the search strategy, inclusion, and exclusion criteria, as well as a clear screening process, which is consistent with PRISMA. Data extraction, thematic coding and quality appraisal procedures were outlined to show rigour and replicability and ethical considerations were discussed. Collectively, these methodological decisions form a viable foundation of the analysis and discussion of Generation Z motivations, challenges and organisational response in the next chapter.</w:t>
      </w:r>
    </w:p>
    <w:p w14:paraId="183C9965" w14:textId="77777777" w:rsidR="008C5097" w:rsidRPr="00ED437B" w:rsidRDefault="008C5097">
      <w:r w:rsidRPr="00ED437B">
        <w:br w:type="page"/>
      </w:r>
    </w:p>
    <w:p w14:paraId="31D70E41" w14:textId="6D41E2A5" w:rsidR="00391EB6" w:rsidRPr="00ED437B" w:rsidRDefault="00786750" w:rsidP="008C5097">
      <w:pPr>
        <w:pStyle w:val="Heading1"/>
      </w:pPr>
      <w:bookmarkStart w:id="35" w:name="_Toc218179345"/>
      <w:r w:rsidRPr="00ED437B">
        <w:lastRenderedPageBreak/>
        <w:t>CHAPTER 4: FINDINGS, ANALYSIS AND DISCUSSION</w:t>
      </w:r>
      <w:bookmarkEnd w:id="35"/>
    </w:p>
    <w:p w14:paraId="0A68407D" w14:textId="4A8EB1A9" w:rsidR="00A11315" w:rsidRPr="00ED437B" w:rsidRDefault="00A11315" w:rsidP="00A11315">
      <w:pPr>
        <w:pStyle w:val="Heading2"/>
      </w:pPr>
      <w:bookmarkStart w:id="36" w:name="_Toc218179346"/>
      <w:r w:rsidRPr="00ED437B">
        <w:t>Introduction</w:t>
      </w:r>
      <w:bookmarkEnd w:id="36"/>
    </w:p>
    <w:p w14:paraId="263C2D88" w14:textId="7F10103E" w:rsidR="00A11315" w:rsidRPr="00ED437B" w:rsidRDefault="000663B6" w:rsidP="00A11315">
      <w:r w:rsidRPr="00ED437B">
        <w:t>This chapter gives the results of the study and critically analyses and discusses the results. It presents and discusses the major findings of the narrative synthesis</w:t>
      </w:r>
      <w:r w:rsidR="004727B2" w:rsidRPr="00ED437B">
        <w:t xml:space="preserve">. </w:t>
      </w:r>
      <w:r w:rsidRPr="00ED437B">
        <w:t>The chapter also presents the findings alongside the existing literature, classical motivational theories and intergenerational dynamics, and provides implications on the development of the theories in the future.</w:t>
      </w:r>
    </w:p>
    <w:p w14:paraId="224A9B79" w14:textId="40F46F75" w:rsidR="00B56C66" w:rsidRPr="00ED437B" w:rsidRDefault="00391EB6" w:rsidP="00B56C66">
      <w:pPr>
        <w:pStyle w:val="Heading2"/>
      </w:pPr>
      <w:bookmarkStart w:id="37" w:name="_Toc218179347"/>
      <w:r w:rsidRPr="00ED437B">
        <w:t xml:space="preserve">Presentation of Findings </w:t>
      </w:r>
      <w:r w:rsidR="00746773" w:rsidRPr="00ED437B">
        <w:t>and Quality</w:t>
      </w:r>
      <w:bookmarkEnd w:id="37"/>
    </w:p>
    <w:p w14:paraId="35ACD42B" w14:textId="4BF13E92" w:rsidR="004D602A" w:rsidRPr="00ED437B" w:rsidRDefault="004D602A" w:rsidP="004D602A">
      <w:pPr>
        <w:jc w:val="center"/>
      </w:pPr>
      <w:r w:rsidRPr="00ED437B">
        <w:drawing>
          <wp:inline distT="0" distB="0" distL="0" distR="0" wp14:anchorId="00FA327F" wp14:editId="1DC8FDFE">
            <wp:extent cx="2745534" cy="2937164"/>
            <wp:effectExtent l="0" t="0" r="0" b="0"/>
            <wp:docPr id="3" name="Picture 2">
              <a:extLst xmlns:a="http://schemas.openxmlformats.org/drawingml/2006/main">
                <a:ext uri="{FF2B5EF4-FFF2-40B4-BE49-F238E27FC236}">
                  <a16:creationId xmlns:a16="http://schemas.microsoft.com/office/drawing/2014/main" id="{71750DCC-9EE2-5449-725D-97925623D4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1750DCC-9EE2-5449-725D-97925623D4FC}"/>
                        </a:ext>
                      </a:extLst>
                    </pic:cNvPr>
                    <pic:cNvPicPr>
                      <a:picLocks noChangeAspect="1"/>
                    </pic:cNvPicPr>
                  </pic:nvPicPr>
                  <pic:blipFill>
                    <a:blip r:embed="rId11"/>
                    <a:stretch>
                      <a:fillRect/>
                    </a:stretch>
                  </pic:blipFill>
                  <pic:spPr>
                    <a:xfrm>
                      <a:off x="0" y="0"/>
                      <a:ext cx="2762455" cy="2955266"/>
                    </a:xfrm>
                    <a:prstGeom prst="rect">
                      <a:avLst/>
                    </a:prstGeom>
                  </pic:spPr>
                </pic:pic>
              </a:graphicData>
            </a:graphic>
          </wp:inline>
        </w:drawing>
      </w:r>
    </w:p>
    <w:p w14:paraId="7B4A8638" w14:textId="0A3FBEA2" w:rsidR="00B56C66" w:rsidRPr="00ED437B" w:rsidRDefault="00B56C66" w:rsidP="00746773">
      <w:pPr>
        <w:pStyle w:val="NoSpacing"/>
        <w:jc w:val="center"/>
      </w:pPr>
      <w:bookmarkStart w:id="38" w:name="_Toc216195245"/>
      <w:r w:rsidRPr="00ED437B">
        <w:t xml:space="preserve">Figure </w:t>
      </w:r>
      <w:r w:rsidR="00846440" w:rsidRPr="00ED437B">
        <w:fldChar w:fldCharType="begin"/>
      </w:r>
      <w:r w:rsidR="00846440" w:rsidRPr="00ED437B">
        <w:instrText xml:space="preserve"> SEQ Figure \* ARABIC </w:instrText>
      </w:r>
      <w:r w:rsidR="00846440" w:rsidRPr="00ED437B">
        <w:fldChar w:fldCharType="separate"/>
      </w:r>
      <w:r w:rsidR="00846440" w:rsidRPr="00ED437B">
        <w:t>2</w:t>
      </w:r>
      <w:r w:rsidR="00846440" w:rsidRPr="00ED437B">
        <w:fldChar w:fldCharType="end"/>
      </w:r>
      <w:r w:rsidRPr="00ED437B">
        <w:t xml:space="preserve"> Screening and Selection via the PRISMA Framework (Adapted by the Author)</w:t>
      </w:r>
      <w:bookmarkEnd w:id="38"/>
    </w:p>
    <w:p w14:paraId="7BCB1D2E" w14:textId="4D60BFD1" w:rsidR="00746773" w:rsidRPr="00ED437B" w:rsidRDefault="00746773" w:rsidP="00746773">
      <w:pPr>
        <w:sectPr w:rsidR="00746773" w:rsidRPr="00ED437B" w:rsidSect="001F7590">
          <w:footerReference w:type="default" r:id="rId12"/>
          <w:pgSz w:w="11906" w:h="16838" w:code="9"/>
          <w:pgMar w:top="1440" w:right="1440" w:bottom="1440" w:left="1440" w:header="708" w:footer="708" w:gutter="0"/>
          <w:cols w:space="708"/>
          <w:titlePg/>
          <w:docGrid w:linePitch="360"/>
        </w:sectPr>
      </w:pPr>
      <w:r w:rsidRPr="00ED437B">
        <w:t>The search of the database resulted in the identification of 1,791 records which included 1,715 records in Scopus and 76 in Google Scholar. Subsequently, having deleted 58 duplicate records, 1,733 records were left and filtered at title and abstract level resulting in the exclusion of 1,586 records. As a result, 147 reports were identified to be requested to be retrieved in full text, but 21 of them were not retrieved. One hundred and six full text reports were evaluated in terms of eligibility. Out of them, 76 studies were excluded because of the inappropriate research purpose (n = 19), systematic review design (n = 18), narrative review format (n = 14), non-empirical nature (n = 13), or low quality of methodology (n = 12). Finally, 50 studies were eligible and incorporated in the systematic review. Out of the 50 selected studies, 20 were identified to be of high quality and 30 medium quality per the CASP appraisal criteria.</w:t>
      </w:r>
    </w:p>
    <w:p w14:paraId="5C5D58B0" w14:textId="77777777" w:rsidR="00B56C66" w:rsidRPr="00ED437B" w:rsidRDefault="00B56C66" w:rsidP="00A2627D">
      <w:pPr>
        <w:pStyle w:val="NoSpacing"/>
      </w:pPr>
      <w:bookmarkStart w:id="39" w:name="_Toc216195246"/>
      <w:r w:rsidRPr="00ED437B">
        <w:lastRenderedPageBreak/>
        <w:t xml:space="preserve">Table </w:t>
      </w:r>
      <w:r w:rsidR="00D94E71" w:rsidRPr="00ED437B">
        <w:fldChar w:fldCharType="begin"/>
      </w:r>
      <w:r w:rsidR="00D94E71" w:rsidRPr="00ED437B">
        <w:instrText xml:space="preserve"> SEQ Table \* ARABIC </w:instrText>
      </w:r>
      <w:r w:rsidR="00D94E71" w:rsidRPr="00ED437B">
        <w:fldChar w:fldCharType="separate"/>
      </w:r>
      <w:r w:rsidR="00D94E71" w:rsidRPr="00ED437B">
        <w:t>1</w:t>
      </w:r>
      <w:r w:rsidR="00D94E71" w:rsidRPr="00ED437B">
        <w:fldChar w:fldCharType="end"/>
      </w:r>
      <w:r w:rsidRPr="00ED437B">
        <w:t xml:space="preserve"> Summary of the Included Articles (N = 50)</w:t>
      </w:r>
      <w:bookmarkEnd w:id="39"/>
    </w:p>
    <w:tbl>
      <w:tblPr>
        <w:tblStyle w:val="TableGridLight"/>
        <w:tblW w:w="13893" w:type="dxa"/>
        <w:tblLook w:val="04A0" w:firstRow="1" w:lastRow="0" w:firstColumn="1" w:lastColumn="0" w:noHBand="0" w:noVBand="1"/>
      </w:tblPr>
      <w:tblGrid>
        <w:gridCol w:w="843"/>
        <w:gridCol w:w="952"/>
        <w:gridCol w:w="2430"/>
        <w:gridCol w:w="4358"/>
        <w:gridCol w:w="1800"/>
        <w:gridCol w:w="3510"/>
      </w:tblGrid>
      <w:tr w:rsidR="00716329" w:rsidRPr="00ED437B" w14:paraId="241284E2" w14:textId="77777777" w:rsidTr="00746773">
        <w:trPr>
          <w:trHeight w:val="324"/>
        </w:trPr>
        <w:tc>
          <w:tcPr>
            <w:tcW w:w="843" w:type="dxa"/>
            <w:noWrap/>
            <w:vAlign w:val="center"/>
            <w:hideMark/>
          </w:tcPr>
          <w:p w14:paraId="5DB10C08" w14:textId="77777777" w:rsidR="00A2627D" w:rsidRPr="00ED437B" w:rsidRDefault="00A2627D" w:rsidP="00A2627D">
            <w:pPr>
              <w:jc w:val="left"/>
              <w:rPr>
                <w:rFonts w:eastAsia="Times New Roman"/>
                <w:b/>
                <w:bCs/>
                <w:color w:val="000000"/>
                <w:szCs w:val="24"/>
                <w:lang w:eastAsia="zh-CN" w:bidi="bn-IN"/>
              </w:rPr>
            </w:pPr>
            <w:r w:rsidRPr="00ED437B">
              <w:rPr>
                <w:rFonts w:eastAsia="Times New Roman"/>
                <w:b/>
                <w:bCs/>
                <w:color w:val="000000"/>
                <w:szCs w:val="24"/>
                <w:lang w:eastAsia="zh-CN" w:bidi="bn-IN"/>
              </w:rPr>
              <w:t>Index</w:t>
            </w:r>
          </w:p>
        </w:tc>
        <w:tc>
          <w:tcPr>
            <w:tcW w:w="952" w:type="dxa"/>
            <w:noWrap/>
            <w:vAlign w:val="center"/>
            <w:hideMark/>
          </w:tcPr>
          <w:p w14:paraId="6C276A77" w14:textId="77777777" w:rsidR="00A2627D" w:rsidRPr="00ED437B" w:rsidRDefault="00A2627D" w:rsidP="00A2627D">
            <w:pPr>
              <w:jc w:val="left"/>
              <w:rPr>
                <w:rFonts w:eastAsia="Times New Roman"/>
                <w:b/>
                <w:bCs/>
                <w:color w:val="000000"/>
                <w:szCs w:val="24"/>
                <w:lang w:eastAsia="zh-CN" w:bidi="bn-IN"/>
              </w:rPr>
            </w:pPr>
            <w:r w:rsidRPr="00ED437B">
              <w:rPr>
                <w:rFonts w:eastAsia="Times New Roman"/>
                <w:b/>
                <w:bCs/>
                <w:color w:val="000000"/>
                <w:szCs w:val="24"/>
                <w:lang w:eastAsia="zh-CN" w:bidi="bn-IN"/>
              </w:rPr>
              <w:t>Year</w:t>
            </w:r>
          </w:p>
        </w:tc>
        <w:tc>
          <w:tcPr>
            <w:tcW w:w="2430" w:type="dxa"/>
            <w:noWrap/>
            <w:vAlign w:val="center"/>
            <w:hideMark/>
          </w:tcPr>
          <w:p w14:paraId="3F2C5616" w14:textId="77777777" w:rsidR="00A2627D" w:rsidRPr="00ED437B" w:rsidRDefault="00A2627D" w:rsidP="00A2627D">
            <w:pPr>
              <w:jc w:val="left"/>
              <w:rPr>
                <w:rFonts w:eastAsia="Times New Roman"/>
                <w:b/>
                <w:bCs/>
                <w:color w:val="000000"/>
                <w:szCs w:val="24"/>
                <w:lang w:eastAsia="zh-CN" w:bidi="bn-IN"/>
              </w:rPr>
            </w:pPr>
            <w:r w:rsidRPr="00ED437B">
              <w:rPr>
                <w:rFonts w:eastAsia="Times New Roman"/>
                <w:b/>
                <w:bCs/>
                <w:color w:val="000000"/>
                <w:szCs w:val="24"/>
                <w:lang w:eastAsia="zh-CN" w:bidi="bn-IN"/>
              </w:rPr>
              <w:t>Authors</w:t>
            </w:r>
          </w:p>
        </w:tc>
        <w:tc>
          <w:tcPr>
            <w:tcW w:w="4358" w:type="dxa"/>
            <w:noWrap/>
            <w:vAlign w:val="center"/>
            <w:hideMark/>
          </w:tcPr>
          <w:p w14:paraId="22EF5167" w14:textId="77777777" w:rsidR="00A2627D" w:rsidRPr="00ED437B" w:rsidRDefault="00A2627D" w:rsidP="00A2627D">
            <w:pPr>
              <w:jc w:val="left"/>
              <w:rPr>
                <w:rFonts w:eastAsia="Times New Roman"/>
                <w:b/>
                <w:bCs/>
                <w:color w:val="000000"/>
                <w:szCs w:val="24"/>
                <w:lang w:eastAsia="zh-CN" w:bidi="bn-IN"/>
              </w:rPr>
            </w:pPr>
            <w:r w:rsidRPr="00ED437B">
              <w:rPr>
                <w:rFonts w:eastAsia="Times New Roman"/>
                <w:b/>
                <w:bCs/>
                <w:color w:val="000000"/>
                <w:szCs w:val="24"/>
                <w:lang w:eastAsia="zh-CN" w:bidi="bn-IN"/>
              </w:rPr>
              <w:t>Title</w:t>
            </w:r>
          </w:p>
        </w:tc>
        <w:tc>
          <w:tcPr>
            <w:tcW w:w="1800" w:type="dxa"/>
            <w:noWrap/>
            <w:vAlign w:val="center"/>
            <w:hideMark/>
          </w:tcPr>
          <w:p w14:paraId="521293DD" w14:textId="77777777" w:rsidR="00A2627D" w:rsidRPr="00ED437B" w:rsidRDefault="00A2627D" w:rsidP="00A2627D">
            <w:pPr>
              <w:jc w:val="left"/>
              <w:rPr>
                <w:rFonts w:eastAsia="Times New Roman"/>
                <w:b/>
                <w:bCs/>
                <w:color w:val="000000"/>
                <w:szCs w:val="24"/>
                <w:lang w:eastAsia="zh-CN" w:bidi="bn-IN"/>
              </w:rPr>
            </w:pPr>
            <w:r w:rsidRPr="00ED437B">
              <w:rPr>
                <w:rFonts w:eastAsia="Times New Roman"/>
                <w:b/>
                <w:bCs/>
                <w:color w:val="000000"/>
                <w:szCs w:val="24"/>
                <w:lang w:eastAsia="zh-CN" w:bidi="bn-IN"/>
              </w:rPr>
              <w:t>Methodology</w:t>
            </w:r>
          </w:p>
        </w:tc>
        <w:tc>
          <w:tcPr>
            <w:tcW w:w="3510" w:type="dxa"/>
            <w:noWrap/>
            <w:vAlign w:val="center"/>
            <w:hideMark/>
          </w:tcPr>
          <w:p w14:paraId="2DBF6F03" w14:textId="77777777" w:rsidR="00A2627D" w:rsidRPr="00ED437B" w:rsidRDefault="00A2627D" w:rsidP="00A2627D">
            <w:pPr>
              <w:jc w:val="left"/>
              <w:rPr>
                <w:rFonts w:eastAsia="Times New Roman"/>
                <w:b/>
                <w:bCs/>
                <w:color w:val="000000"/>
                <w:szCs w:val="24"/>
                <w:lang w:eastAsia="zh-CN" w:bidi="bn-IN"/>
              </w:rPr>
            </w:pPr>
            <w:r w:rsidRPr="00ED437B">
              <w:rPr>
                <w:rFonts w:eastAsia="Times New Roman"/>
                <w:b/>
                <w:bCs/>
                <w:color w:val="000000"/>
                <w:szCs w:val="24"/>
                <w:lang w:eastAsia="zh-CN" w:bidi="bn-IN"/>
              </w:rPr>
              <w:t>Key Themes</w:t>
            </w:r>
          </w:p>
        </w:tc>
      </w:tr>
      <w:tr w:rsidR="00716329" w:rsidRPr="00ED437B" w14:paraId="4AB9C4A2" w14:textId="77777777" w:rsidTr="00746773">
        <w:trPr>
          <w:trHeight w:val="312"/>
        </w:trPr>
        <w:tc>
          <w:tcPr>
            <w:tcW w:w="843" w:type="dxa"/>
            <w:noWrap/>
            <w:vAlign w:val="center"/>
            <w:hideMark/>
          </w:tcPr>
          <w:p w14:paraId="75808DD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w:t>
            </w:r>
          </w:p>
        </w:tc>
        <w:tc>
          <w:tcPr>
            <w:tcW w:w="952" w:type="dxa"/>
            <w:noWrap/>
            <w:vAlign w:val="center"/>
            <w:hideMark/>
          </w:tcPr>
          <w:p w14:paraId="5FCD823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6A09320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Ababneh &amp; Alnawas</w:t>
            </w:r>
          </w:p>
        </w:tc>
        <w:tc>
          <w:tcPr>
            <w:tcW w:w="4358" w:type="dxa"/>
            <w:noWrap/>
            <w:vAlign w:val="center"/>
            <w:hideMark/>
          </w:tcPr>
          <w:p w14:paraId="7DD1EDC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 Novel Prelude to the Talent–Total Quality Management Association Amongst Generation Z: The Case of the Jordanian Hospitality Industry</w:t>
            </w:r>
          </w:p>
        </w:tc>
        <w:tc>
          <w:tcPr>
            <w:tcW w:w="1800" w:type="dxa"/>
            <w:noWrap/>
            <w:vAlign w:val="center"/>
            <w:hideMark/>
          </w:tcPr>
          <w:p w14:paraId="799C731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Questionnaire, 862 hotel employees (Jordan)</w:t>
            </w:r>
          </w:p>
        </w:tc>
        <w:tc>
          <w:tcPr>
            <w:tcW w:w="3510" w:type="dxa"/>
            <w:noWrap/>
            <w:vAlign w:val="center"/>
            <w:hideMark/>
          </w:tcPr>
          <w:p w14:paraId="01F90EC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Engagement mediates talent management and quality outcomes; authentic leadership moderates engagement; policies shape favourable attitudes.</w:t>
            </w:r>
          </w:p>
        </w:tc>
      </w:tr>
      <w:tr w:rsidR="00716329" w:rsidRPr="00ED437B" w14:paraId="65E33D54" w14:textId="77777777" w:rsidTr="00746773">
        <w:trPr>
          <w:trHeight w:val="312"/>
        </w:trPr>
        <w:tc>
          <w:tcPr>
            <w:tcW w:w="843" w:type="dxa"/>
            <w:noWrap/>
            <w:vAlign w:val="center"/>
            <w:hideMark/>
          </w:tcPr>
          <w:p w14:paraId="53B965D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w:t>
            </w:r>
          </w:p>
        </w:tc>
        <w:tc>
          <w:tcPr>
            <w:tcW w:w="952" w:type="dxa"/>
            <w:noWrap/>
            <w:vAlign w:val="center"/>
            <w:hideMark/>
          </w:tcPr>
          <w:p w14:paraId="0A85355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2021</w:t>
            </w:r>
          </w:p>
        </w:tc>
        <w:tc>
          <w:tcPr>
            <w:tcW w:w="2430" w:type="dxa"/>
            <w:noWrap/>
            <w:vAlign w:val="center"/>
            <w:hideMark/>
          </w:tcPr>
          <w:p w14:paraId="335CEA1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Acheampong</w:t>
            </w:r>
          </w:p>
        </w:tc>
        <w:tc>
          <w:tcPr>
            <w:tcW w:w="4358" w:type="dxa"/>
            <w:noWrap/>
            <w:vAlign w:val="center"/>
            <w:hideMark/>
          </w:tcPr>
          <w:p w14:paraId="0E8DE5E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Reward Preferences of the Youngest Generation: Attracting, Recruiting, and Retaining Generation Z into Public Sector Organizations</w:t>
            </w:r>
          </w:p>
        </w:tc>
        <w:tc>
          <w:tcPr>
            <w:tcW w:w="1800" w:type="dxa"/>
            <w:noWrap/>
            <w:vAlign w:val="center"/>
            <w:hideMark/>
          </w:tcPr>
          <w:p w14:paraId="74BA7FF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Systematic review (32 studies)</w:t>
            </w:r>
          </w:p>
        </w:tc>
        <w:tc>
          <w:tcPr>
            <w:tcW w:w="3510" w:type="dxa"/>
            <w:noWrap/>
            <w:vAlign w:val="center"/>
            <w:hideMark/>
          </w:tcPr>
          <w:p w14:paraId="31CB78B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 Z work values and reward preferences; importance of intrinsic and extrinsic rewards; implications for attraction and retention.</w:t>
            </w:r>
          </w:p>
        </w:tc>
      </w:tr>
      <w:tr w:rsidR="00716329" w:rsidRPr="00ED437B" w14:paraId="116E57AF" w14:textId="77777777" w:rsidTr="00746773">
        <w:trPr>
          <w:trHeight w:val="312"/>
        </w:trPr>
        <w:tc>
          <w:tcPr>
            <w:tcW w:w="843" w:type="dxa"/>
            <w:noWrap/>
            <w:vAlign w:val="center"/>
            <w:hideMark/>
          </w:tcPr>
          <w:p w14:paraId="59B49D7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w:t>
            </w:r>
          </w:p>
        </w:tc>
        <w:tc>
          <w:tcPr>
            <w:tcW w:w="952" w:type="dxa"/>
            <w:noWrap/>
            <w:vAlign w:val="center"/>
            <w:hideMark/>
          </w:tcPr>
          <w:p w14:paraId="010A229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2022</w:t>
            </w:r>
          </w:p>
        </w:tc>
        <w:tc>
          <w:tcPr>
            <w:tcW w:w="2430" w:type="dxa"/>
            <w:noWrap/>
            <w:vAlign w:val="center"/>
            <w:hideMark/>
          </w:tcPr>
          <w:p w14:paraId="7CDEE44E" w14:textId="042D3F1F" w:rsidR="00A2627D" w:rsidRPr="00ED437B" w:rsidRDefault="00A2627D" w:rsidP="00A2627D">
            <w:pPr>
              <w:jc w:val="left"/>
              <w:rPr>
                <w:rFonts w:eastAsia="Times New Roman"/>
                <w:i/>
                <w:iCs/>
                <w:color w:val="000000"/>
                <w:szCs w:val="24"/>
                <w:lang w:eastAsia="zh-CN" w:bidi="bn-IN"/>
              </w:rPr>
            </w:pPr>
            <w:r w:rsidRPr="00ED437B">
              <w:rPr>
                <w:rFonts w:eastAsia="Times New Roman"/>
                <w:color w:val="000000"/>
                <w:szCs w:val="24"/>
                <w:lang w:eastAsia="zh-CN" w:bidi="bn-IN"/>
              </w:rPr>
              <w:t>Aggarwal</w:t>
            </w:r>
            <w:r w:rsidR="002B138C" w:rsidRPr="00ED437B">
              <w:rPr>
                <w:rFonts w:eastAsia="Times New Roman"/>
                <w:color w:val="000000"/>
                <w:szCs w:val="24"/>
                <w:lang w:eastAsia="zh-CN" w:bidi="bn-IN"/>
              </w:rPr>
              <w:t xml:space="preserve"> </w:t>
            </w:r>
            <w:r w:rsidR="000C3E28" w:rsidRPr="00ED437B">
              <w:rPr>
                <w:rFonts w:eastAsia="Times New Roman"/>
                <w:i/>
                <w:iCs/>
                <w:color w:val="000000"/>
                <w:szCs w:val="24"/>
                <w:lang w:eastAsia="zh-CN" w:bidi="bn-IN"/>
              </w:rPr>
              <w:t>et al</w:t>
            </w:r>
          </w:p>
        </w:tc>
        <w:tc>
          <w:tcPr>
            <w:tcW w:w="4358" w:type="dxa"/>
            <w:noWrap/>
            <w:vAlign w:val="center"/>
            <w:hideMark/>
          </w:tcPr>
          <w:p w14:paraId="0DE98D8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 Z entering the workforce: Restructuring HR policies and practices for fostering the task performance and organizational commitment</w:t>
            </w:r>
          </w:p>
        </w:tc>
        <w:tc>
          <w:tcPr>
            <w:tcW w:w="1800" w:type="dxa"/>
            <w:noWrap/>
            <w:vAlign w:val="center"/>
            <w:hideMark/>
          </w:tcPr>
          <w:p w14:paraId="53E76FE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493 employees; SEM</w:t>
            </w:r>
          </w:p>
        </w:tc>
        <w:tc>
          <w:tcPr>
            <w:tcW w:w="3510" w:type="dxa"/>
            <w:noWrap/>
            <w:vAlign w:val="center"/>
            <w:hideMark/>
          </w:tcPr>
          <w:p w14:paraId="70BCAE0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Flexible work, recognition, fair pay, feedback, volunteering enhance satisfaction and commitment; HR redesign recommended.</w:t>
            </w:r>
          </w:p>
        </w:tc>
      </w:tr>
      <w:tr w:rsidR="00716329" w:rsidRPr="00ED437B" w14:paraId="2364EC05" w14:textId="77777777" w:rsidTr="00746773">
        <w:trPr>
          <w:trHeight w:val="312"/>
        </w:trPr>
        <w:tc>
          <w:tcPr>
            <w:tcW w:w="843" w:type="dxa"/>
            <w:noWrap/>
            <w:vAlign w:val="center"/>
            <w:hideMark/>
          </w:tcPr>
          <w:p w14:paraId="51268D2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4</w:t>
            </w:r>
          </w:p>
        </w:tc>
        <w:tc>
          <w:tcPr>
            <w:tcW w:w="952" w:type="dxa"/>
            <w:noWrap/>
            <w:vAlign w:val="center"/>
            <w:hideMark/>
          </w:tcPr>
          <w:p w14:paraId="4F01A39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0CEE18A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Ali, Li, &amp; Qiu</w:t>
            </w:r>
          </w:p>
        </w:tc>
        <w:tc>
          <w:tcPr>
            <w:tcW w:w="4358" w:type="dxa"/>
            <w:noWrap/>
            <w:vAlign w:val="center"/>
            <w:hideMark/>
          </w:tcPr>
          <w:p w14:paraId="253459A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Examination of HRM practices in relation to the retention of Chinese Gen Z employees</w:t>
            </w:r>
          </w:p>
        </w:tc>
        <w:tc>
          <w:tcPr>
            <w:tcW w:w="1800" w:type="dxa"/>
            <w:noWrap/>
            <w:vAlign w:val="center"/>
            <w:hideMark/>
          </w:tcPr>
          <w:p w14:paraId="645FD16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529 employees; PLS-SEM</w:t>
            </w:r>
          </w:p>
        </w:tc>
        <w:tc>
          <w:tcPr>
            <w:tcW w:w="3510" w:type="dxa"/>
            <w:noWrap/>
            <w:vAlign w:val="center"/>
            <w:hideMark/>
          </w:tcPr>
          <w:p w14:paraId="4AF13AA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Support, pay, training, and role clarity determine retention; gender differences highlighted.</w:t>
            </w:r>
          </w:p>
        </w:tc>
      </w:tr>
      <w:tr w:rsidR="00716329" w:rsidRPr="00ED437B" w14:paraId="710E3527" w14:textId="77777777" w:rsidTr="00746773">
        <w:trPr>
          <w:trHeight w:val="312"/>
        </w:trPr>
        <w:tc>
          <w:tcPr>
            <w:tcW w:w="843" w:type="dxa"/>
            <w:noWrap/>
            <w:vAlign w:val="center"/>
            <w:hideMark/>
          </w:tcPr>
          <w:p w14:paraId="71BF483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5</w:t>
            </w:r>
          </w:p>
        </w:tc>
        <w:tc>
          <w:tcPr>
            <w:tcW w:w="952" w:type="dxa"/>
            <w:noWrap/>
            <w:vAlign w:val="center"/>
            <w:hideMark/>
          </w:tcPr>
          <w:p w14:paraId="524356D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2020</w:t>
            </w:r>
          </w:p>
        </w:tc>
        <w:tc>
          <w:tcPr>
            <w:tcW w:w="2430" w:type="dxa"/>
            <w:noWrap/>
            <w:vAlign w:val="center"/>
            <w:hideMark/>
          </w:tcPr>
          <w:p w14:paraId="7C67CB6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Arora, Dubey, &amp; Vyas</w:t>
            </w:r>
          </w:p>
        </w:tc>
        <w:tc>
          <w:tcPr>
            <w:tcW w:w="4358" w:type="dxa"/>
            <w:noWrap/>
            <w:vAlign w:val="center"/>
            <w:hideMark/>
          </w:tcPr>
          <w:p w14:paraId="34F3F37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Study of work values of Gen Z students</w:t>
            </w:r>
          </w:p>
        </w:tc>
        <w:tc>
          <w:tcPr>
            <w:tcW w:w="1800" w:type="dxa"/>
            <w:noWrap/>
            <w:vAlign w:val="center"/>
            <w:hideMark/>
          </w:tcPr>
          <w:p w14:paraId="0DCFA7D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of students</w:t>
            </w:r>
          </w:p>
        </w:tc>
        <w:tc>
          <w:tcPr>
            <w:tcW w:w="3510" w:type="dxa"/>
            <w:noWrap/>
            <w:vAlign w:val="center"/>
            <w:hideMark/>
          </w:tcPr>
          <w:p w14:paraId="7266E93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Cognitive and instrumental work values dominate; gender and course differences; implications for alignment of HR practices.</w:t>
            </w:r>
          </w:p>
        </w:tc>
      </w:tr>
      <w:tr w:rsidR="00716329" w:rsidRPr="00ED437B" w14:paraId="10274E34" w14:textId="77777777" w:rsidTr="00746773">
        <w:trPr>
          <w:trHeight w:val="312"/>
        </w:trPr>
        <w:tc>
          <w:tcPr>
            <w:tcW w:w="843" w:type="dxa"/>
            <w:noWrap/>
            <w:vAlign w:val="center"/>
            <w:hideMark/>
          </w:tcPr>
          <w:p w14:paraId="491A065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6</w:t>
            </w:r>
          </w:p>
        </w:tc>
        <w:tc>
          <w:tcPr>
            <w:tcW w:w="952" w:type="dxa"/>
            <w:noWrap/>
            <w:vAlign w:val="center"/>
            <w:hideMark/>
          </w:tcPr>
          <w:p w14:paraId="0672041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2022</w:t>
            </w:r>
          </w:p>
        </w:tc>
        <w:tc>
          <w:tcPr>
            <w:tcW w:w="2430" w:type="dxa"/>
            <w:noWrap/>
            <w:vAlign w:val="center"/>
            <w:hideMark/>
          </w:tcPr>
          <w:p w14:paraId="5F146B1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Becker</w:t>
            </w:r>
          </w:p>
        </w:tc>
        <w:tc>
          <w:tcPr>
            <w:tcW w:w="4358" w:type="dxa"/>
            <w:noWrap/>
            <w:vAlign w:val="center"/>
            <w:hideMark/>
          </w:tcPr>
          <w:p w14:paraId="2D5DC8D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We want connection and we do not mean wi-fi: examining the impacts of Covid-19 on Gen Z’s work and employment outcomes</w:t>
            </w:r>
          </w:p>
        </w:tc>
        <w:tc>
          <w:tcPr>
            <w:tcW w:w="1800" w:type="dxa"/>
            <w:noWrap/>
            <w:vAlign w:val="center"/>
            <w:hideMark/>
          </w:tcPr>
          <w:p w14:paraId="01EEDEB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Mixed-methods survey</w:t>
            </w:r>
          </w:p>
        </w:tc>
        <w:tc>
          <w:tcPr>
            <w:tcW w:w="3510" w:type="dxa"/>
            <w:noWrap/>
            <w:vAlign w:val="center"/>
            <w:hideMark/>
          </w:tcPr>
          <w:p w14:paraId="43E3AB1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Preference for in-person work; importance of interpersonal connection; implications for mentoring and communication.</w:t>
            </w:r>
          </w:p>
        </w:tc>
      </w:tr>
      <w:tr w:rsidR="00716329" w:rsidRPr="00ED437B" w14:paraId="13706CB0" w14:textId="77777777" w:rsidTr="00746773">
        <w:trPr>
          <w:trHeight w:val="312"/>
        </w:trPr>
        <w:tc>
          <w:tcPr>
            <w:tcW w:w="843" w:type="dxa"/>
            <w:noWrap/>
            <w:vAlign w:val="center"/>
            <w:hideMark/>
          </w:tcPr>
          <w:p w14:paraId="4EEFD7E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7</w:t>
            </w:r>
          </w:p>
        </w:tc>
        <w:tc>
          <w:tcPr>
            <w:tcW w:w="952" w:type="dxa"/>
            <w:noWrap/>
            <w:vAlign w:val="center"/>
            <w:hideMark/>
          </w:tcPr>
          <w:p w14:paraId="623A05B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66FB218A" w14:textId="36303512"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Bhore</w:t>
            </w:r>
            <w:r w:rsidR="002B138C" w:rsidRPr="00ED437B">
              <w:rPr>
                <w:rFonts w:eastAsia="Times New Roman"/>
                <w:color w:val="000000"/>
                <w:szCs w:val="24"/>
                <w:lang w:eastAsia="zh-CN" w:bidi="bn-IN"/>
              </w:rPr>
              <w:t xml:space="preserve"> </w:t>
            </w:r>
            <w:r w:rsidR="000C3E28" w:rsidRPr="00ED437B">
              <w:rPr>
                <w:rFonts w:eastAsia="Times New Roman"/>
                <w:i/>
                <w:iCs/>
                <w:color w:val="000000"/>
                <w:szCs w:val="24"/>
                <w:lang w:eastAsia="zh-CN" w:bidi="bn-IN"/>
              </w:rPr>
              <w:t>et al</w:t>
            </w:r>
            <w:r w:rsidR="002B138C" w:rsidRPr="00ED437B">
              <w:rPr>
                <w:rFonts w:eastAsia="Times New Roman"/>
                <w:i/>
                <w:iCs/>
                <w:color w:val="000000"/>
                <w:szCs w:val="24"/>
                <w:lang w:eastAsia="zh-CN" w:bidi="bn-IN"/>
              </w:rPr>
              <w:t>.</w:t>
            </w:r>
          </w:p>
        </w:tc>
        <w:tc>
          <w:tcPr>
            <w:tcW w:w="4358" w:type="dxa"/>
            <w:noWrap/>
            <w:vAlign w:val="center"/>
            <w:hideMark/>
          </w:tcPr>
          <w:p w14:paraId="4B428AF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The juggling act: Gen Z’s approach to moonlighting and full-time work</w:t>
            </w:r>
          </w:p>
        </w:tc>
        <w:tc>
          <w:tcPr>
            <w:tcW w:w="1800" w:type="dxa"/>
            <w:noWrap/>
            <w:vAlign w:val="center"/>
            <w:hideMark/>
          </w:tcPr>
          <w:p w14:paraId="52DA0BC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Interviews (IT workers)</w:t>
            </w:r>
          </w:p>
        </w:tc>
        <w:tc>
          <w:tcPr>
            <w:tcW w:w="3510" w:type="dxa"/>
            <w:noWrap/>
            <w:vAlign w:val="center"/>
            <w:hideMark/>
          </w:tcPr>
          <w:p w14:paraId="1202E0A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Motivations include self-satisfaction and social causes; challenges with moonlighting; need for policy clarification.</w:t>
            </w:r>
          </w:p>
        </w:tc>
      </w:tr>
      <w:tr w:rsidR="00716329" w:rsidRPr="00ED437B" w14:paraId="12080076" w14:textId="77777777" w:rsidTr="00746773">
        <w:trPr>
          <w:trHeight w:val="312"/>
        </w:trPr>
        <w:tc>
          <w:tcPr>
            <w:tcW w:w="843" w:type="dxa"/>
            <w:noWrap/>
            <w:vAlign w:val="center"/>
            <w:hideMark/>
          </w:tcPr>
          <w:p w14:paraId="5B065A8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8</w:t>
            </w:r>
          </w:p>
        </w:tc>
        <w:tc>
          <w:tcPr>
            <w:tcW w:w="952" w:type="dxa"/>
            <w:noWrap/>
            <w:vAlign w:val="center"/>
            <w:hideMark/>
          </w:tcPr>
          <w:p w14:paraId="1DCAD40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2023</w:t>
            </w:r>
          </w:p>
        </w:tc>
        <w:tc>
          <w:tcPr>
            <w:tcW w:w="2430" w:type="dxa"/>
            <w:noWrap/>
            <w:vAlign w:val="center"/>
            <w:hideMark/>
          </w:tcPr>
          <w:p w14:paraId="093560E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Borg, Scott-Young, &amp; Borg</w:t>
            </w:r>
          </w:p>
        </w:tc>
        <w:tc>
          <w:tcPr>
            <w:tcW w:w="4358" w:type="dxa"/>
            <w:noWrap/>
            <w:vAlign w:val="center"/>
            <w:hideMark/>
          </w:tcPr>
          <w:p w14:paraId="5FD3F6A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What Generation Z needs: the role of project-based organizations in creating career sustainability</w:t>
            </w:r>
          </w:p>
        </w:tc>
        <w:tc>
          <w:tcPr>
            <w:tcW w:w="1800" w:type="dxa"/>
            <w:noWrap/>
            <w:vAlign w:val="center"/>
            <w:hideMark/>
          </w:tcPr>
          <w:p w14:paraId="61AB4CD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Interviews (project management)</w:t>
            </w:r>
          </w:p>
        </w:tc>
        <w:tc>
          <w:tcPr>
            <w:tcW w:w="3510" w:type="dxa"/>
            <w:noWrap/>
            <w:vAlign w:val="center"/>
            <w:hideMark/>
          </w:tcPr>
          <w:p w14:paraId="03B0004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Need for mentoring, workload balance, training; early-career skill gaps.</w:t>
            </w:r>
          </w:p>
        </w:tc>
      </w:tr>
      <w:tr w:rsidR="00716329" w:rsidRPr="00ED437B" w14:paraId="583BDD6F" w14:textId="77777777" w:rsidTr="00746773">
        <w:trPr>
          <w:trHeight w:val="312"/>
        </w:trPr>
        <w:tc>
          <w:tcPr>
            <w:tcW w:w="843" w:type="dxa"/>
            <w:noWrap/>
            <w:vAlign w:val="center"/>
            <w:hideMark/>
          </w:tcPr>
          <w:p w14:paraId="58065FB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9</w:t>
            </w:r>
          </w:p>
        </w:tc>
        <w:tc>
          <w:tcPr>
            <w:tcW w:w="952" w:type="dxa"/>
            <w:noWrap/>
            <w:vAlign w:val="center"/>
            <w:hideMark/>
          </w:tcPr>
          <w:p w14:paraId="0793002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2D7A41C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Borzillo, Hasman &amp; Raub</w:t>
            </w:r>
          </w:p>
        </w:tc>
        <w:tc>
          <w:tcPr>
            <w:tcW w:w="4358" w:type="dxa"/>
            <w:noWrap/>
            <w:vAlign w:val="center"/>
            <w:hideMark/>
          </w:tcPr>
          <w:p w14:paraId="463AF03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Ensuring a pipeline of Gen-Z talent for the hotel industry: contrasting views of hoteliers and future graduates</w:t>
            </w:r>
          </w:p>
        </w:tc>
        <w:tc>
          <w:tcPr>
            <w:tcW w:w="1800" w:type="dxa"/>
            <w:noWrap/>
            <w:vAlign w:val="center"/>
            <w:hideMark/>
          </w:tcPr>
          <w:p w14:paraId="5E1E8EA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Interviews with students and managers</w:t>
            </w:r>
          </w:p>
        </w:tc>
        <w:tc>
          <w:tcPr>
            <w:tcW w:w="3510" w:type="dxa"/>
            <w:noWrap/>
            <w:vAlign w:val="center"/>
            <w:hideMark/>
          </w:tcPr>
          <w:p w14:paraId="55527AB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Post-Covid talent shortages; need to align management with Gen Z expectations.</w:t>
            </w:r>
          </w:p>
        </w:tc>
      </w:tr>
      <w:tr w:rsidR="00716329" w:rsidRPr="00ED437B" w14:paraId="3172C35A" w14:textId="77777777" w:rsidTr="00746773">
        <w:trPr>
          <w:trHeight w:val="312"/>
        </w:trPr>
        <w:tc>
          <w:tcPr>
            <w:tcW w:w="843" w:type="dxa"/>
            <w:noWrap/>
            <w:vAlign w:val="center"/>
            <w:hideMark/>
          </w:tcPr>
          <w:p w14:paraId="0BAAC25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10</w:t>
            </w:r>
          </w:p>
        </w:tc>
        <w:tc>
          <w:tcPr>
            <w:tcW w:w="952" w:type="dxa"/>
            <w:noWrap/>
            <w:vAlign w:val="center"/>
            <w:hideMark/>
          </w:tcPr>
          <w:p w14:paraId="30ED72D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205BA50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Bou Hatoum &amp; Nassereddine</w:t>
            </w:r>
          </w:p>
        </w:tc>
        <w:tc>
          <w:tcPr>
            <w:tcW w:w="4358" w:type="dxa"/>
            <w:noWrap/>
            <w:vAlign w:val="center"/>
            <w:hideMark/>
          </w:tcPr>
          <w:p w14:paraId="76D5FDB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Becoming an Employer of Choice for Generation Z in the Construction Industry</w:t>
            </w:r>
          </w:p>
        </w:tc>
        <w:tc>
          <w:tcPr>
            <w:tcW w:w="1800" w:type="dxa"/>
            <w:noWrap/>
            <w:vAlign w:val="center"/>
            <w:hideMark/>
          </w:tcPr>
          <w:p w14:paraId="0A7333F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Student survey</w:t>
            </w:r>
          </w:p>
        </w:tc>
        <w:tc>
          <w:tcPr>
            <w:tcW w:w="3510" w:type="dxa"/>
            <w:noWrap/>
            <w:vAlign w:val="center"/>
            <w:hideMark/>
          </w:tcPr>
          <w:p w14:paraId="009D668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Respect, balance, security motivate; flexible and hybrid arrangements attract.</w:t>
            </w:r>
          </w:p>
        </w:tc>
      </w:tr>
      <w:tr w:rsidR="00716329" w:rsidRPr="00ED437B" w14:paraId="670DB12C" w14:textId="77777777" w:rsidTr="00746773">
        <w:trPr>
          <w:trHeight w:val="312"/>
        </w:trPr>
        <w:tc>
          <w:tcPr>
            <w:tcW w:w="843" w:type="dxa"/>
            <w:noWrap/>
            <w:vAlign w:val="center"/>
            <w:hideMark/>
          </w:tcPr>
          <w:p w14:paraId="1ABD0EA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11</w:t>
            </w:r>
          </w:p>
        </w:tc>
        <w:tc>
          <w:tcPr>
            <w:tcW w:w="952" w:type="dxa"/>
            <w:noWrap/>
            <w:vAlign w:val="center"/>
            <w:hideMark/>
          </w:tcPr>
          <w:p w14:paraId="61E8733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2D9943A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Cubukcu Cerasi &amp; Balcioglu</w:t>
            </w:r>
          </w:p>
        </w:tc>
        <w:tc>
          <w:tcPr>
            <w:tcW w:w="4358" w:type="dxa"/>
            <w:noWrap/>
            <w:vAlign w:val="center"/>
            <w:hideMark/>
          </w:tcPr>
          <w:p w14:paraId="6BC491F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Bridging Generations and Values: Understanding Generation Z’s Organizational Preferences and the Mediating Role of Sustainability and Innovation Attitudes in Turkey</w:t>
            </w:r>
          </w:p>
        </w:tc>
        <w:tc>
          <w:tcPr>
            <w:tcW w:w="1800" w:type="dxa"/>
            <w:noWrap/>
            <w:vAlign w:val="center"/>
            <w:hideMark/>
          </w:tcPr>
          <w:p w14:paraId="6F21859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of students</w:t>
            </w:r>
          </w:p>
        </w:tc>
        <w:tc>
          <w:tcPr>
            <w:tcW w:w="3510" w:type="dxa"/>
            <w:noWrap/>
            <w:vAlign w:val="center"/>
            <w:hideMark/>
          </w:tcPr>
          <w:p w14:paraId="740E638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Complex views on innovation and sustainability; nuanced expectations require careful organisational interpretation.</w:t>
            </w:r>
          </w:p>
        </w:tc>
      </w:tr>
      <w:tr w:rsidR="00716329" w:rsidRPr="00ED437B" w14:paraId="472211AB" w14:textId="77777777" w:rsidTr="00746773">
        <w:trPr>
          <w:trHeight w:val="312"/>
        </w:trPr>
        <w:tc>
          <w:tcPr>
            <w:tcW w:w="843" w:type="dxa"/>
            <w:noWrap/>
            <w:vAlign w:val="center"/>
            <w:hideMark/>
          </w:tcPr>
          <w:p w14:paraId="1352D18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12</w:t>
            </w:r>
          </w:p>
        </w:tc>
        <w:tc>
          <w:tcPr>
            <w:tcW w:w="952" w:type="dxa"/>
            <w:noWrap/>
            <w:vAlign w:val="center"/>
            <w:hideMark/>
          </w:tcPr>
          <w:p w14:paraId="6B3E15F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47DE903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Darby, Thornton &amp; Davis-Sramek</w:t>
            </w:r>
          </w:p>
        </w:tc>
        <w:tc>
          <w:tcPr>
            <w:tcW w:w="4358" w:type="dxa"/>
            <w:noWrap/>
            <w:vAlign w:val="center"/>
            <w:hideMark/>
          </w:tcPr>
          <w:p w14:paraId="404F207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Workplace Corporate Social Irresponsibility in Supply Chain Operations: Generation and Gender Impacts on New Talent Recruitment</w:t>
            </w:r>
          </w:p>
        </w:tc>
        <w:tc>
          <w:tcPr>
            <w:tcW w:w="1800" w:type="dxa"/>
            <w:noWrap/>
            <w:vAlign w:val="center"/>
            <w:hideMark/>
          </w:tcPr>
          <w:p w14:paraId="369E301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Conjoint task study</w:t>
            </w:r>
          </w:p>
        </w:tc>
        <w:tc>
          <w:tcPr>
            <w:tcW w:w="3510" w:type="dxa"/>
            <w:noWrap/>
            <w:vAlign w:val="center"/>
            <w:hideMark/>
          </w:tcPr>
          <w:p w14:paraId="6DA752D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CSR perceptions influence attraction; need to address social responsibility.</w:t>
            </w:r>
          </w:p>
        </w:tc>
      </w:tr>
      <w:tr w:rsidR="00716329" w:rsidRPr="00ED437B" w14:paraId="111A2726" w14:textId="77777777" w:rsidTr="00746773">
        <w:trPr>
          <w:trHeight w:val="312"/>
        </w:trPr>
        <w:tc>
          <w:tcPr>
            <w:tcW w:w="843" w:type="dxa"/>
            <w:noWrap/>
            <w:vAlign w:val="center"/>
            <w:hideMark/>
          </w:tcPr>
          <w:p w14:paraId="010CA7D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13</w:t>
            </w:r>
          </w:p>
        </w:tc>
        <w:tc>
          <w:tcPr>
            <w:tcW w:w="952" w:type="dxa"/>
            <w:noWrap/>
            <w:vAlign w:val="center"/>
            <w:hideMark/>
          </w:tcPr>
          <w:p w14:paraId="5D907B7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0ADE38B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Dou, Ma &amp; Fan</w:t>
            </w:r>
          </w:p>
        </w:tc>
        <w:tc>
          <w:tcPr>
            <w:tcW w:w="4358" w:type="dxa"/>
            <w:noWrap/>
            <w:vAlign w:val="center"/>
            <w:hideMark/>
          </w:tcPr>
          <w:p w14:paraId="0A327C4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The impact of robotic integration on prospective hospitality employees: job anxiety, career intention and the moderating role of emotional intelligence</w:t>
            </w:r>
          </w:p>
        </w:tc>
        <w:tc>
          <w:tcPr>
            <w:tcW w:w="1800" w:type="dxa"/>
            <w:noWrap/>
            <w:vAlign w:val="center"/>
            <w:hideMark/>
          </w:tcPr>
          <w:p w14:paraId="4DD77C2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Mixed-methods</w:t>
            </w:r>
          </w:p>
        </w:tc>
        <w:tc>
          <w:tcPr>
            <w:tcW w:w="3510" w:type="dxa"/>
            <w:noWrap/>
            <w:vAlign w:val="center"/>
            <w:hideMark/>
          </w:tcPr>
          <w:p w14:paraId="5EC39AE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Automation produces job anxiety; emotional intelligence can mitigate effects.</w:t>
            </w:r>
          </w:p>
        </w:tc>
      </w:tr>
      <w:tr w:rsidR="00716329" w:rsidRPr="00ED437B" w14:paraId="6FBF341D" w14:textId="77777777" w:rsidTr="00746773">
        <w:trPr>
          <w:trHeight w:val="312"/>
        </w:trPr>
        <w:tc>
          <w:tcPr>
            <w:tcW w:w="843" w:type="dxa"/>
            <w:noWrap/>
            <w:vAlign w:val="center"/>
            <w:hideMark/>
          </w:tcPr>
          <w:p w14:paraId="335C9C1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14</w:t>
            </w:r>
          </w:p>
        </w:tc>
        <w:tc>
          <w:tcPr>
            <w:tcW w:w="952" w:type="dxa"/>
            <w:noWrap/>
            <w:vAlign w:val="center"/>
            <w:hideMark/>
          </w:tcPr>
          <w:p w14:paraId="02DE176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1D34582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Eddial &amp; Kirillova</w:t>
            </w:r>
          </w:p>
        </w:tc>
        <w:tc>
          <w:tcPr>
            <w:tcW w:w="4358" w:type="dxa"/>
            <w:noWrap/>
            <w:vAlign w:val="center"/>
            <w:hideMark/>
          </w:tcPr>
          <w:p w14:paraId="7C25CD0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What makes a hotel an attractive employer: Generation Z vs. hotel HR professionals</w:t>
            </w:r>
          </w:p>
        </w:tc>
        <w:tc>
          <w:tcPr>
            <w:tcW w:w="1800" w:type="dxa"/>
            <w:noWrap/>
            <w:vAlign w:val="center"/>
            <w:hideMark/>
          </w:tcPr>
          <w:p w14:paraId="513814C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Focus groups &amp; interviews</w:t>
            </w:r>
          </w:p>
        </w:tc>
        <w:tc>
          <w:tcPr>
            <w:tcW w:w="3510" w:type="dxa"/>
            <w:noWrap/>
            <w:vAlign w:val="center"/>
            <w:hideMark/>
          </w:tcPr>
          <w:p w14:paraId="6F822B2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Importance of tailoring employer attractiveness and aligning perceptions.</w:t>
            </w:r>
          </w:p>
        </w:tc>
      </w:tr>
      <w:tr w:rsidR="00716329" w:rsidRPr="00ED437B" w14:paraId="75FAFF99" w14:textId="77777777" w:rsidTr="00746773">
        <w:trPr>
          <w:trHeight w:val="312"/>
        </w:trPr>
        <w:tc>
          <w:tcPr>
            <w:tcW w:w="843" w:type="dxa"/>
            <w:noWrap/>
            <w:vAlign w:val="center"/>
            <w:hideMark/>
          </w:tcPr>
          <w:p w14:paraId="153F239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15</w:t>
            </w:r>
          </w:p>
        </w:tc>
        <w:tc>
          <w:tcPr>
            <w:tcW w:w="952" w:type="dxa"/>
            <w:noWrap/>
            <w:vAlign w:val="center"/>
            <w:hideMark/>
          </w:tcPr>
          <w:p w14:paraId="32441BD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79EDAAD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El Hajal &amp; Losekoot</w:t>
            </w:r>
          </w:p>
        </w:tc>
        <w:tc>
          <w:tcPr>
            <w:tcW w:w="4358" w:type="dxa"/>
            <w:noWrap/>
            <w:vAlign w:val="center"/>
            <w:hideMark/>
          </w:tcPr>
          <w:p w14:paraId="2DC1390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 Z talent management: Hospitality industry insights</w:t>
            </w:r>
          </w:p>
        </w:tc>
        <w:tc>
          <w:tcPr>
            <w:tcW w:w="1800" w:type="dxa"/>
            <w:noWrap/>
            <w:vAlign w:val="center"/>
            <w:hideMark/>
          </w:tcPr>
          <w:p w14:paraId="68B6944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Focus groups</w:t>
            </w:r>
          </w:p>
        </w:tc>
        <w:tc>
          <w:tcPr>
            <w:tcW w:w="3510" w:type="dxa"/>
            <w:noWrap/>
            <w:vAlign w:val="center"/>
            <w:hideMark/>
          </w:tcPr>
          <w:p w14:paraId="3F63E2A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Flexibility, communication, growth, technology, teamwork; challenge of preparing Gen Z for future work.</w:t>
            </w:r>
          </w:p>
        </w:tc>
      </w:tr>
      <w:tr w:rsidR="00716329" w:rsidRPr="00ED437B" w14:paraId="1563ED23" w14:textId="77777777" w:rsidTr="00746773">
        <w:trPr>
          <w:trHeight w:val="312"/>
        </w:trPr>
        <w:tc>
          <w:tcPr>
            <w:tcW w:w="843" w:type="dxa"/>
            <w:noWrap/>
            <w:vAlign w:val="center"/>
            <w:hideMark/>
          </w:tcPr>
          <w:p w14:paraId="392C961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16</w:t>
            </w:r>
          </w:p>
        </w:tc>
        <w:tc>
          <w:tcPr>
            <w:tcW w:w="952" w:type="dxa"/>
            <w:noWrap/>
            <w:vAlign w:val="center"/>
            <w:hideMark/>
          </w:tcPr>
          <w:p w14:paraId="7E8757A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2021</w:t>
            </w:r>
          </w:p>
        </w:tc>
        <w:tc>
          <w:tcPr>
            <w:tcW w:w="2430" w:type="dxa"/>
            <w:noWrap/>
            <w:vAlign w:val="center"/>
            <w:hideMark/>
          </w:tcPr>
          <w:p w14:paraId="293ABDA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Gabrielova &amp; Buchko</w:t>
            </w:r>
          </w:p>
        </w:tc>
        <w:tc>
          <w:tcPr>
            <w:tcW w:w="4358" w:type="dxa"/>
            <w:noWrap/>
            <w:vAlign w:val="center"/>
            <w:hideMark/>
          </w:tcPr>
          <w:p w14:paraId="4D8B29D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Here comes Generation Z: Millennials as managers</w:t>
            </w:r>
          </w:p>
        </w:tc>
        <w:tc>
          <w:tcPr>
            <w:tcW w:w="1800" w:type="dxa"/>
            <w:noWrap/>
            <w:vAlign w:val="center"/>
            <w:hideMark/>
          </w:tcPr>
          <w:p w14:paraId="6ED17D2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Conceptual analysis</w:t>
            </w:r>
          </w:p>
        </w:tc>
        <w:tc>
          <w:tcPr>
            <w:tcW w:w="3510" w:type="dxa"/>
            <w:noWrap/>
            <w:vAlign w:val="center"/>
            <w:hideMark/>
          </w:tcPr>
          <w:p w14:paraId="75BAABF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Intergenerational conflict; leadership strategies required for effective management.</w:t>
            </w:r>
          </w:p>
        </w:tc>
      </w:tr>
      <w:tr w:rsidR="00716329" w:rsidRPr="00ED437B" w14:paraId="54C50B98" w14:textId="77777777" w:rsidTr="00746773">
        <w:trPr>
          <w:trHeight w:val="312"/>
        </w:trPr>
        <w:tc>
          <w:tcPr>
            <w:tcW w:w="843" w:type="dxa"/>
            <w:noWrap/>
            <w:vAlign w:val="center"/>
            <w:hideMark/>
          </w:tcPr>
          <w:p w14:paraId="358D196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17</w:t>
            </w:r>
          </w:p>
        </w:tc>
        <w:tc>
          <w:tcPr>
            <w:tcW w:w="952" w:type="dxa"/>
            <w:noWrap/>
            <w:vAlign w:val="center"/>
            <w:hideMark/>
          </w:tcPr>
          <w:p w14:paraId="01154FE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29A71A93" w14:textId="6BA95DBD"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Gandasari</w:t>
            </w:r>
            <w:r w:rsidR="002B138C" w:rsidRPr="00ED437B">
              <w:rPr>
                <w:rFonts w:eastAsia="Times New Roman"/>
                <w:color w:val="000000"/>
                <w:szCs w:val="24"/>
                <w:lang w:eastAsia="zh-CN" w:bidi="bn-IN"/>
              </w:rPr>
              <w:t xml:space="preserve"> </w:t>
            </w:r>
            <w:r w:rsidR="000C3E28" w:rsidRPr="00ED437B">
              <w:rPr>
                <w:rFonts w:eastAsia="Times New Roman"/>
                <w:i/>
                <w:iCs/>
                <w:color w:val="000000"/>
                <w:szCs w:val="24"/>
                <w:lang w:eastAsia="zh-CN" w:bidi="bn-IN"/>
              </w:rPr>
              <w:t>et al</w:t>
            </w:r>
            <w:r w:rsidR="002B138C" w:rsidRPr="00ED437B">
              <w:rPr>
                <w:rFonts w:eastAsia="Times New Roman"/>
                <w:i/>
                <w:iCs/>
                <w:color w:val="000000"/>
                <w:szCs w:val="24"/>
                <w:lang w:eastAsia="zh-CN" w:bidi="bn-IN"/>
              </w:rPr>
              <w:t>.</w:t>
            </w:r>
          </w:p>
        </w:tc>
        <w:tc>
          <w:tcPr>
            <w:tcW w:w="4358" w:type="dxa"/>
            <w:noWrap/>
            <w:vAlign w:val="center"/>
            <w:hideMark/>
          </w:tcPr>
          <w:p w14:paraId="0AB3421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How to attract talents? The role of CSR, employer brand, benefits and career development</w:t>
            </w:r>
          </w:p>
        </w:tc>
        <w:tc>
          <w:tcPr>
            <w:tcW w:w="1800" w:type="dxa"/>
            <w:noWrap/>
            <w:vAlign w:val="center"/>
            <w:hideMark/>
          </w:tcPr>
          <w:p w14:paraId="19FB0C5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PLS</w:t>
            </w:r>
          </w:p>
        </w:tc>
        <w:tc>
          <w:tcPr>
            <w:tcW w:w="3510" w:type="dxa"/>
            <w:noWrap/>
            <w:vAlign w:val="center"/>
            <w:hideMark/>
          </w:tcPr>
          <w:p w14:paraId="4F1431B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Career development, benefits, employer brand motivate; CSR supports attraction.</w:t>
            </w:r>
          </w:p>
        </w:tc>
      </w:tr>
      <w:tr w:rsidR="00716329" w:rsidRPr="00ED437B" w14:paraId="23EB25EA" w14:textId="77777777" w:rsidTr="00746773">
        <w:trPr>
          <w:trHeight w:val="312"/>
        </w:trPr>
        <w:tc>
          <w:tcPr>
            <w:tcW w:w="843" w:type="dxa"/>
            <w:noWrap/>
            <w:vAlign w:val="center"/>
            <w:hideMark/>
          </w:tcPr>
          <w:p w14:paraId="265AA5F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18</w:t>
            </w:r>
          </w:p>
        </w:tc>
        <w:tc>
          <w:tcPr>
            <w:tcW w:w="952" w:type="dxa"/>
            <w:noWrap/>
            <w:vAlign w:val="center"/>
            <w:hideMark/>
          </w:tcPr>
          <w:p w14:paraId="7E9E46E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2020</w:t>
            </w:r>
          </w:p>
        </w:tc>
        <w:tc>
          <w:tcPr>
            <w:tcW w:w="2430" w:type="dxa"/>
            <w:noWrap/>
            <w:vAlign w:val="center"/>
            <w:hideMark/>
          </w:tcPr>
          <w:p w14:paraId="1912F90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Graczyk-Kucharska &amp; Erickson</w:t>
            </w:r>
          </w:p>
        </w:tc>
        <w:tc>
          <w:tcPr>
            <w:tcW w:w="4358" w:type="dxa"/>
            <w:noWrap/>
            <w:vAlign w:val="center"/>
            <w:hideMark/>
          </w:tcPr>
          <w:p w14:paraId="07E7D3E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 person-organization fit model of Generation Z: Preliminary studies</w:t>
            </w:r>
          </w:p>
        </w:tc>
        <w:tc>
          <w:tcPr>
            <w:tcW w:w="1800" w:type="dxa"/>
            <w:noWrap/>
            <w:vAlign w:val="center"/>
            <w:hideMark/>
          </w:tcPr>
          <w:p w14:paraId="63B97A1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Large student survey</w:t>
            </w:r>
          </w:p>
        </w:tc>
        <w:tc>
          <w:tcPr>
            <w:tcW w:w="3510" w:type="dxa"/>
            <w:noWrap/>
            <w:vAlign w:val="center"/>
            <w:hideMark/>
          </w:tcPr>
          <w:p w14:paraId="5D8DCC8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Person–Organisation Fit framework; value alignment and communication matter.</w:t>
            </w:r>
          </w:p>
        </w:tc>
      </w:tr>
      <w:tr w:rsidR="00716329" w:rsidRPr="00ED437B" w14:paraId="22868122" w14:textId="77777777" w:rsidTr="00746773">
        <w:trPr>
          <w:trHeight w:val="312"/>
        </w:trPr>
        <w:tc>
          <w:tcPr>
            <w:tcW w:w="843" w:type="dxa"/>
            <w:noWrap/>
            <w:vAlign w:val="center"/>
            <w:hideMark/>
          </w:tcPr>
          <w:p w14:paraId="0F1A4C9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19</w:t>
            </w:r>
          </w:p>
        </w:tc>
        <w:tc>
          <w:tcPr>
            <w:tcW w:w="952" w:type="dxa"/>
            <w:noWrap/>
            <w:vAlign w:val="center"/>
            <w:hideMark/>
          </w:tcPr>
          <w:p w14:paraId="7EF7FFE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2018</w:t>
            </w:r>
          </w:p>
        </w:tc>
        <w:tc>
          <w:tcPr>
            <w:tcW w:w="2430" w:type="dxa"/>
            <w:noWrap/>
            <w:vAlign w:val="center"/>
            <w:hideMark/>
          </w:tcPr>
          <w:p w14:paraId="0B207D9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Grow &amp; Yang</w:t>
            </w:r>
          </w:p>
        </w:tc>
        <w:tc>
          <w:tcPr>
            <w:tcW w:w="4358" w:type="dxa"/>
            <w:noWrap/>
            <w:vAlign w:val="center"/>
            <w:hideMark/>
          </w:tcPr>
          <w:p w14:paraId="787DA58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Generation-Z Enters the Advertising Workplace: Expectations Through a Gendered Lens</w:t>
            </w:r>
          </w:p>
        </w:tc>
        <w:tc>
          <w:tcPr>
            <w:tcW w:w="1800" w:type="dxa"/>
            <w:noWrap/>
            <w:vAlign w:val="center"/>
            <w:hideMark/>
          </w:tcPr>
          <w:p w14:paraId="0744DA7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Student study</w:t>
            </w:r>
          </w:p>
        </w:tc>
        <w:tc>
          <w:tcPr>
            <w:tcW w:w="3510" w:type="dxa"/>
            <w:noWrap/>
            <w:vAlign w:val="center"/>
            <w:hideMark/>
          </w:tcPr>
          <w:p w14:paraId="777D71D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Gender differences; expectation–reality gap; need for preparation and cultural adaptation.</w:t>
            </w:r>
          </w:p>
        </w:tc>
      </w:tr>
      <w:tr w:rsidR="00716329" w:rsidRPr="00ED437B" w14:paraId="7303E539" w14:textId="77777777" w:rsidTr="00746773">
        <w:trPr>
          <w:trHeight w:val="312"/>
        </w:trPr>
        <w:tc>
          <w:tcPr>
            <w:tcW w:w="843" w:type="dxa"/>
            <w:noWrap/>
            <w:vAlign w:val="center"/>
            <w:hideMark/>
          </w:tcPr>
          <w:p w14:paraId="1D14B86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w:t>
            </w:r>
          </w:p>
        </w:tc>
        <w:tc>
          <w:tcPr>
            <w:tcW w:w="952" w:type="dxa"/>
            <w:noWrap/>
            <w:vAlign w:val="center"/>
            <w:hideMark/>
          </w:tcPr>
          <w:p w14:paraId="3EF383C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1F13A89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Guslina, Rinzani, Mantong, Moeins &amp; Kabul</w:t>
            </w:r>
          </w:p>
        </w:tc>
        <w:tc>
          <w:tcPr>
            <w:tcW w:w="4358" w:type="dxa"/>
            <w:noWrap/>
            <w:vAlign w:val="center"/>
            <w:hideMark/>
          </w:tcPr>
          <w:p w14:paraId="503751E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 Quantitative Study on Leadership and Gen Z's Job Satisfaction: Its Impact on Employee Retention in The Private Sector in Indonesia</w:t>
            </w:r>
          </w:p>
        </w:tc>
        <w:tc>
          <w:tcPr>
            <w:tcW w:w="1800" w:type="dxa"/>
            <w:noWrap/>
            <w:vAlign w:val="center"/>
            <w:hideMark/>
          </w:tcPr>
          <w:p w14:paraId="754E6C8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SEM</w:t>
            </w:r>
          </w:p>
        </w:tc>
        <w:tc>
          <w:tcPr>
            <w:tcW w:w="3510" w:type="dxa"/>
            <w:noWrap/>
            <w:vAlign w:val="center"/>
            <w:hideMark/>
          </w:tcPr>
          <w:p w14:paraId="5CA64DC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Management support, development, technology raise satisfaction and engagement.</w:t>
            </w:r>
          </w:p>
        </w:tc>
      </w:tr>
      <w:tr w:rsidR="00716329" w:rsidRPr="00ED437B" w14:paraId="4A231BBF" w14:textId="77777777" w:rsidTr="00746773">
        <w:trPr>
          <w:trHeight w:val="312"/>
        </w:trPr>
        <w:tc>
          <w:tcPr>
            <w:tcW w:w="843" w:type="dxa"/>
            <w:noWrap/>
            <w:vAlign w:val="center"/>
            <w:hideMark/>
          </w:tcPr>
          <w:p w14:paraId="777DB28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21</w:t>
            </w:r>
          </w:p>
        </w:tc>
        <w:tc>
          <w:tcPr>
            <w:tcW w:w="952" w:type="dxa"/>
            <w:noWrap/>
            <w:vAlign w:val="center"/>
            <w:hideMark/>
          </w:tcPr>
          <w:p w14:paraId="2C375BA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62C3274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Holban &amp; Bedrule-Grigoruţǎ</w:t>
            </w:r>
          </w:p>
        </w:tc>
        <w:tc>
          <w:tcPr>
            <w:tcW w:w="4358" w:type="dxa"/>
            <w:noWrap/>
            <w:vAlign w:val="center"/>
            <w:hideMark/>
          </w:tcPr>
          <w:p w14:paraId="73C7797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Talent Management Strategies for Generation Z: An Exploratory Study in Romanian Organizations</w:t>
            </w:r>
          </w:p>
        </w:tc>
        <w:tc>
          <w:tcPr>
            <w:tcW w:w="1800" w:type="dxa"/>
            <w:noWrap/>
            <w:vAlign w:val="center"/>
            <w:hideMark/>
          </w:tcPr>
          <w:p w14:paraId="468B581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(Romania)</w:t>
            </w:r>
          </w:p>
        </w:tc>
        <w:tc>
          <w:tcPr>
            <w:tcW w:w="3510" w:type="dxa"/>
            <w:noWrap/>
            <w:vAlign w:val="center"/>
            <w:hideMark/>
          </w:tcPr>
          <w:p w14:paraId="6ABF5B6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Flexibility, development, balance; need for recognition and ongoing development.</w:t>
            </w:r>
          </w:p>
        </w:tc>
      </w:tr>
      <w:tr w:rsidR="00716329" w:rsidRPr="00ED437B" w14:paraId="35BF1D33" w14:textId="77777777" w:rsidTr="00746773">
        <w:trPr>
          <w:trHeight w:val="312"/>
        </w:trPr>
        <w:tc>
          <w:tcPr>
            <w:tcW w:w="843" w:type="dxa"/>
            <w:noWrap/>
            <w:vAlign w:val="center"/>
            <w:hideMark/>
          </w:tcPr>
          <w:p w14:paraId="3FEC3C3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22</w:t>
            </w:r>
          </w:p>
        </w:tc>
        <w:tc>
          <w:tcPr>
            <w:tcW w:w="952" w:type="dxa"/>
            <w:noWrap/>
            <w:vAlign w:val="center"/>
            <w:hideMark/>
          </w:tcPr>
          <w:p w14:paraId="64CFBF6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2021</w:t>
            </w:r>
          </w:p>
        </w:tc>
        <w:tc>
          <w:tcPr>
            <w:tcW w:w="2430" w:type="dxa"/>
            <w:noWrap/>
            <w:vAlign w:val="center"/>
            <w:hideMark/>
          </w:tcPr>
          <w:p w14:paraId="10EFE5E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Janssen &amp; Carradini</w:t>
            </w:r>
          </w:p>
        </w:tc>
        <w:tc>
          <w:tcPr>
            <w:tcW w:w="4358" w:type="dxa"/>
            <w:noWrap/>
            <w:vAlign w:val="center"/>
            <w:hideMark/>
          </w:tcPr>
          <w:p w14:paraId="5E53D44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Generation Z Workplace Communication Habits and Expectations</w:t>
            </w:r>
          </w:p>
        </w:tc>
        <w:tc>
          <w:tcPr>
            <w:tcW w:w="1800" w:type="dxa"/>
            <w:noWrap/>
            <w:vAlign w:val="center"/>
            <w:hideMark/>
          </w:tcPr>
          <w:p w14:paraId="5104010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and interviews</w:t>
            </w:r>
          </w:p>
        </w:tc>
        <w:tc>
          <w:tcPr>
            <w:tcW w:w="3510" w:type="dxa"/>
            <w:noWrap/>
            <w:vAlign w:val="center"/>
            <w:hideMark/>
          </w:tcPr>
          <w:p w14:paraId="21A799A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Tech-mediated communication preferences; awareness of boundaries; organisations must avoid stereotypes.</w:t>
            </w:r>
          </w:p>
        </w:tc>
      </w:tr>
      <w:tr w:rsidR="00716329" w:rsidRPr="00ED437B" w14:paraId="320A5420" w14:textId="77777777" w:rsidTr="00746773">
        <w:trPr>
          <w:trHeight w:val="312"/>
        </w:trPr>
        <w:tc>
          <w:tcPr>
            <w:tcW w:w="843" w:type="dxa"/>
            <w:noWrap/>
            <w:vAlign w:val="center"/>
            <w:hideMark/>
          </w:tcPr>
          <w:p w14:paraId="7FCFEC7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23</w:t>
            </w:r>
          </w:p>
        </w:tc>
        <w:tc>
          <w:tcPr>
            <w:tcW w:w="952" w:type="dxa"/>
            <w:noWrap/>
            <w:vAlign w:val="center"/>
            <w:hideMark/>
          </w:tcPr>
          <w:p w14:paraId="66AF813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75FE3D0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Jasmine &amp; Utomo</w:t>
            </w:r>
          </w:p>
        </w:tc>
        <w:tc>
          <w:tcPr>
            <w:tcW w:w="4358" w:type="dxa"/>
            <w:noWrap/>
            <w:vAlign w:val="center"/>
            <w:hideMark/>
          </w:tcPr>
          <w:p w14:paraId="3577378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The role of transformational leadership, work-life balance, and employee engagement on Gen Z's organizational commitment in the Indonesian creative industry</w:t>
            </w:r>
          </w:p>
        </w:tc>
        <w:tc>
          <w:tcPr>
            <w:tcW w:w="1800" w:type="dxa"/>
            <w:noWrap/>
            <w:vAlign w:val="center"/>
            <w:hideMark/>
          </w:tcPr>
          <w:p w14:paraId="3999890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Mixed-methods (creative industry)</w:t>
            </w:r>
          </w:p>
        </w:tc>
        <w:tc>
          <w:tcPr>
            <w:tcW w:w="3510" w:type="dxa"/>
            <w:noWrap/>
            <w:vAlign w:val="center"/>
            <w:hideMark/>
          </w:tcPr>
          <w:p w14:paraId="522A0B8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Engagement central to commitment; work-life balance and leadership indirectly effective.</w:t>
            </w:r>
          </w:p>
        </w:tc>
      </w:tr>
      <w:tr w:rsidR="00716329" w:rsidRPr="00ED437B" w14:paraId="7ECCF82D" w14:textId="77777777" w:rsidTr="00746773">
        <w:trPr>
          <w:trHeight w:val="312"/>
        </w:trPr>
        <w:tc>
          <w:tcPr>
            <w:tcW w:w="843" w:type="dxa"/>
            <w:noWrap/>
            <w:vAlign w:val="center"/>
            <w:hideMark/>
          </w:tcPr>
          <w:p w14:paraId="514A2E0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24</w:t>
            </w:r>
          </w:p>
        </w:tc>
        <w:tc>
          <w:tcPr>
            <w:tcW w:w="952" w:type="dxa"/>
            <w:noWrap/>
            <w:vAlign w:val="center"/>
            <w:hideMark/>
          </w:tcPr>
          <w:p w14:paraId="25D4E40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733C31A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Kgarimetsa &amp; Naidoo</w:t>
            </w:r>
          </w:p>
        </w:tc>
        <w:tc>
          <w:tcPr>
            <w:tcW w:w="4358" w:type="dxa"/>
            <w:noWrap/>
            <w:vAlign w:val="center"/>
            <w:hideMark/>
          </w:tcPr>
          <w:p w14:paraId="67491F4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Effect of employee recognition and flexible working arrangement on Generation Z retention</w:t>
            </w:r>
          </w:p>
        </w:tc>
        <w:tc>
          <w:tcPr>
            <w:tcW w:w="1800" w:type="dxa"/>
            <w:noWrap/>
            <w:vAlign w:val="center"/>
            <w:hideMark/>
          </w:tcPr>
          <w:p w14:paraId="7B425B6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Mixed-methods</w:t>
            </w:r>
          </w:p>
        </w:tc>
        <w:tc>
          <w:tcPr>
            <w:tcW w:w="3510" w:type="dxa"/>
            <w:noWrap/>
            <w:vAlign w:val="center"/>
            <w:hideMark/>
          </w:tcPr>
          <w:p w14:paraId="3BBA8D5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Recognition and flexibility central to retention strategies.</w:t>
            </w:r>
          </w:p>
        </w:tc>
      </w:tr>
      <w:tr w:rsidR="00716329" w:rsidRPr="00ED437B" w14:paraId="2EB447CA" w14:textId="77777777" w:rsidTr="00746773">
        <w:trPr>
          <w:trHeight w:val="312"/>
        </w:trPr>
        <w:tc>
          <w:tcPr>
            <w:tcW w:w="843" w:type="dxa"/>
            <w:noWrap/>
            <w:vAlign w:val="center"/>
            <w:hideMark/>
          </w:tcPr>
          <w:p w14:paraId="1859D1A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25</w:t>
            </w:r>
          </w:p>
        </w:tc>
        <w:tc>
          <w:tcPr>
            <w:tcW w:w="952" w:type="dxa"/>
            <w:noWrap/>
            <w:vAlign w:val="center"/>
            <w:hideMark/>
          </w:tcPr>
          <w:p w14:paraId="48CDD97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1C1BF76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Krishna &amp; Agrawal</w:t>
            </w:r>
          </w:p>
        </w:tc>
        <w:tc>
          <w:tcPr>
            <w:tcW w:w="4358" w:type="dxa"/>
            <w:noWrap/>
            <w:vAlign w:val="center"/>
            <w:hideMark/>
          </w:tcPr>
          <w:p w14:paraId="77F00AF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Creative Performance of Millennials and Generation Z: What Matters More, Intrinsic or Extrinsic Rewards?</w:t>
            </w:r>
          </w:p>
        </w:tc>
        <w:tc>
          <w:tcPr>
            <w:tcW w:w="1800" w:type="dxa"/>
            <w:noWrap/>
            <w:vAlign w:val="center"/>
            <w:hideMark/>
          </w:tcPr>
          <w:p w14:paraId="4EE1243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SEM</w:t>
            </w:r>
          </w:p>
        </w:tc>
        <w:tc>
          <w:tcPr>
            <w:tcW w:w="3510" w:type="dxa"/>
            <w:noWrap/>
            <w:vAlign w:val="center"/>
            <w:hideMark/>
          </w:tcPr>
          <w:p w14:paraId="2E37D35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Moral meaning and rewards linked to creativity; reward systems align with values.</w:t>
            </w:r>
          </w:p>
        </w:tc>
      </w:tr>
      <w:tr w:rsidR="00716329" w:rsidRPr="00ED437B" w14:paraId="011FA772" w14:textId="77777777" w:rsidTr="00746773">
        <w:trPr>
          <w:trHeight w:val="312"/>
        </w:trPr>
        <w:tc>
          <w:tcPr>
            <w:tcW w:w="843" w:type="dxa"/>
            <w:noWrap/>
            <w:vAlign w:val="center"/>
            <w:hideMark/>
          </w:tcPr>
          <w:p w14:paraId="5532E24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26</w:t>
            </w:r>
          </w:p>
        </w:tc>
        <w:tc>
          <w:tcPr>
            <w:tcW w:w="952" w:type="dxa"/>
            <w:noWrap/>
            <w:vAlign w:val="center"/>
            <w:hideMark/>
          </w:tcPr>
          <w:p w14:paraId="1C1FAC1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2023</w:t>
            </w:r>
          </w:p>
        </w:tc>
        <w:tc>
          <w:tcPr>
            <w:tcW w:w="2430" w:type="dxa"/>
            <w:noWrap/>
            <w:vAlign w:val="center"/>
            <w:hideMark/>
          </w:tcPr>
          <w:p w14:paraId="0619B03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Lašáková, Vojteková, &amp; Procházková</w:t>
            </w:r>
          </w:p>
        </w:tc>
        <w:tc>
          <w:tcPr>
            <w:tcW w:w="4358" w:type="dxa"/>
            <w:noWrap/>
            <w:vAlign w:val="center"/>
            <w:hideMark/>
          </w:tcPr>
          <w:p w14:paraId="228A213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What (De)motivates Gen Z Women and Gen Z Men at Work? Comparative Study of Gender Differences in the Young Generation’s Motivation</w:t>
            </w:r>
          </w:p>
        </w:tc>
        <w:tc>
          <w:tcPr>
            <w:tcW w:w="1800" w:type="dxa"/>
            <w:noWrap/>
            <w:vAlign w:val="center"/>
            <w:hideMark/>
          </w:tcPr>
          <w:p w14:paraId="2829491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Qualitative (MEBS)</w:t>
            </w:r>
          </w:p>
        </w:tc>
        <w:tc>
          <w:tcPr>
            <w:tcW w:w="3510" w:type="dxa"/>
            <w:noWrap/>
            <w:vAlign w:val="center"/>
            <w:hideMark/>
          </w:tcPr>
          <w:p w14:paraId="52E6F3B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Gendered motivational patterns; recruitment and motivation should reflect differences.</w:t>
            </w:r>
          </w:p>
        </w:tc>
      </w:tr>
      <w:tr w:rsidR="00716329" w:rsidRPr="00ED437B" w14:paraId="2E7C6AA9" w14:textId="77777777" w:rsidTr="00746773">
        <w:trPr>
          <w:trHeight w:val="312"/>
        </w:trPr>
        <w:tc>
          <w:tcPr>
            <w:tcW w:w="843" w:type="dxa"/>
            <w:noWrap/>
            <w:vAlign w:val="center"/>
            <w:hideMark/>
          </w:tcPr>
          <w:p w14:paraId="3667613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27</w:t>
            </w:r>
          </w:p>
        </w:tc>
        <w:tc>
          <w:tcPr>
            <w:tcW w:w="952" w:type="dxa"/>
            <w:noWrap/>
            <w:vAlign w:val="center"/>
            <w:hideMark/>
          </w:tcPr>
          <w:p w14:paraId="370A03B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163CEB9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Li, Chen, Zhang, Wang &amp; Huang</w:t>
            </w:r>
          </w:p>
        </w:tc>
        <w:tc>
          <w:tcPr>
            <w:tcW w:w="4358" w:type="dxa"/>
            <w:noWrap/>
            <w:vAlign w:val="center"/>
            <w:hideMark/>
          </w:tcPr>
          <w:p w14:paraId="3A2668C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 xml:space="preserve">Unlocking Illegitimate Tasks in Generation Z Hotel Employees: Exploring Their Impact on Work </w:t>
            </w:r>
            <w:r w:rsidRPr="00ED437B">
              <w:rPr>
                <w:rFonts w:eastAsia="Times New Roman"/>
                <w:color w:val="000000"/>
                <w:szCs w:val="24"/>
                <w:lang w:eastAsia="zh-CN" w:bidi="bn-IN"/>
              </w:rPr>
              <w:lastRenderedPageBreak/>
              <w:t>Meaningfulness and Adaptive Performance</w:t>
            </w:r>
          </w:p>
        </w:tc>
        <w:tc>
          <w:tcPr>
            <w:tcW w:w="1800" w:type="dxa"/>
            <w:noWrap/>
            <w:vAlign w:val="center"/>
            <w:hideMark/>
          </w:tcPr>
          <w:p w14:paraId="6E8E763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Three-wave hotel study</w:t>
            </w:r>
          </w:p>
        </w:tc>
        <w:tc>
          <w:tcPr>
            <w:tcW w:w="3510" w:type="dxa"/>
            <w:noWrap/>
            <w:vAlign w:val="center"/>
            <w:hideMark/>
          </w:tcPr>
          <w:p w14:paraId="6A5A8A6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 xml:space="preserve">Illegitimate tasks reduce meaning; authentic leadership </w:t>
            </w:r>
            <w:r w:rsidRPr="00ED437B">
              <w:rPr>
                <w:rFonts w:eastAsia="Times New Roman"/>
                <w:color w:val="000000"/>
                <w:szCs w:val="24"/>
                <w:lang w:eastAsia="zh-CN" w:bidi="bn-IN"/>
              </w:rPr>
              <w:lastRenderedPageBreak/>
              <w:t>and growth restore engagement.</w:t>
            </w:r>
          </w:p>
        </w:tc>
      </w:tr>
      <w:tr w:rsidR="00716329" w:rsidRPr="00ED437B" w14:paraId="7061C7CD" w14:textId="77777777" w:rsidTr="00746773">
        <w:trPr>
          <w:trHeight w:val="312"/>
        </w:trPr>
        <w:tc>
          <w:tcPr>
            <w:tcW w:w="843" w:type="dxa"/>
            <w:noWrap/>
            <w:vAlign w:val="center"/>
            <w:hideMark/>
          </w:tcPr>
          <w:p w14:paraId="761495A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28</w:t>
            </w:r>
          </w:p>
        </w:tc>
        <w:tc>
          <w:tcPr>
            <w:tcW w:w="952" w:type="dxa"/>
            <w:noWrap/>
            <w:vAlign w:val="center"/>
            <w:hideMark/>
          </w:tcPr>
          <w:p w14:paraId="0EBF2E9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576A625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Liu-Lastres, Karatepe &amp; Okumus</w:t>
            </w:r>
          </w:p>
        </w:tc>
        <w:tc>
          <w:tcPr>
            <w:tcW w:w="4358" w:type="dxa"/>
            <w:noWrap/>
            <w:vAlign w:val="center"/>
            <w:hideMark/>
          </w:tcPr>
          <w:p w14:paraId="274B928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Combating quiet quitting: implications for future research and practices for talent management</w:t>
            </w:r>
          </w:p>
        </w:tc>
        <w:tc>
          <w:tcPr>
            <w:tcW w:w="1800" w:type="dxa"/>
            <w:noWrap/>
            <w:vAlign w:val="center"/>
            <w:hideMark/>
          </w:tcPr>
          <w:p w14:paraId="19400BB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Review &amp; reflection</w:t>
            </w:r>
          </w:p>
        </w:tc>
        <w:tc>
          <w:tcPr>
            <w:tcW w:w="3510" w:type="dxa"/>
            <w:noWrap/>
            <w:vAlign w:val="center"/>
            <w:hideMark/>
          </w:tcPr>
          <w:p w14:paraId="490F70A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Quiet quitting; importance of fit, flexibility, well-being.</w:t>
            </w:r>
          </w:p>
        </w:tc>
      </w:tr>
      <w:tr w:rsidR="00716329" w:rsidRPr="00ED437B" w14:paraId="06E752A0" w14:textId="77777777" w:rsidTr="00746773">
        <w:trPr>
          <w:trHeight w:val="312"/>
        </w:trPr>
        <w:tc>
          <w:tcPr>
            <w:tcW w:w="843" w:type="dxa"/>
            <w:noWrap/>
            <w:vAlign w:val="center"/>
            <w:hideMark/>
          </w:tcPr>
          <w:p w14:paraId="723AFD7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29</w:t>
            </w:r>
          </w:p>
        </w:tc>
        <w:tc>
          <w:tcPr>
            <w:tcW w:w="952" w:type="dxa"/>
            <w:noWrap/>
            <w:vAlign w:val="center"/>
            <w:hideMark/>
          </w:tcPr>
          <w:p w14:paraId="5C1A404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761FD3D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Mabaso</w:t>
            </w:r>
          </w:p>
        </w:tc>
        <w:tc>
          <w:tcPr>
            <w:tcW w:w="4358" w:type="dxa"/>
            <w:noWrap/>
            <w:vAlign w:val="center"/>
            <w:hideMark/>
          </w:tcPr>
          <w:p w14:paraId="3E0F550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Reward preferences to attract and retain Generation Z</w:t>
            </w:r>
          </w:p>
        </w:tc>
        <w:tc>
          <w:tcPr>
            <w:tcW w:w="1800" w:type="dxa"/>
            <w:noWrap/>
            <w:vAlign w:val="center"/>
            <w:hideMark/>
          </w:tcPr>
          <w:p w14:paraId="6D3D805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Qualitative</w:t>
            </w:r>
          </w:p>
        </w:tc>
        <w:tc>
          <w:tcPr>
            <w:tcW w:w="3510" w:type="dxa"/>
            <w:noWrap/>
            <w:vAlign w:val="center"/>
            <w:hideMark/>
          </w:tcPr>
          <w:p w14:paraId="6B71C6D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Intrinsic and extrinsic rewards shape satisfaction; implications for reward design.</w:t>
            </w:r>
          </w:p>
        </w:tc>
      </w:tr>
      <w:tr w:rsidR="00716329" w:rsidRPr="00ED437B" w14:paraId="74E85572" w14:textId="77777777" w:rsidTr="00746773">
        <w:trPr>
          <w:trHeight w:val="312"/>
        </w:trPr>
        <w:tc>
          <w:tcPr>
            <w:tcW w:w="843" w:type="dxa"/>
            <w:noWrap/>
            <w:vAlign w:val="center"/>
            <w:hideMark/>
          </w:tcPr>
          <w:p w14:paraId="7359701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30</w:t>
            </w:r>
          </w:p>
        </w:tc>
        <w:tc>
          <w:tcPr>
            <w:tcW w:w="952" w:type="dxa"/>
            <w:noWrap/>
            <w:vAlign w:val="center"/>
            <w:hideMark/>
          </w:tcPr>
          <w:p w14:paraId="492EAD8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1EC4C9E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Nguyen &amp; Petchsawang</w:t>
            </w:r>
          </w:p>
        </w:tc>
        <w:tc>
          <w:tcPr>
            <w:tcW w:w="4358" w:type="dxa"/>
            <w:noWrap/>
            <w:vAlign w:val="center"/>
            <w:hideMark/>
          </w:tcPr>
          <w:p w14:paraId="7E814D1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Encouraging employees’ innovative behavior via the mediating effect of work engagement and the moderating effect of their proactive personality: the case of Generation Z in Vietnam</w:t>
            </w:r>
          </w:p>
        </w:tc>
        <w:tc>
          <w:tcPr>
            <w:tcW w:w="1800" w:type="dxa"/>
            <w:noWrap/>
            <w:vAlign w:val="center"/>
            <w:hideMark/>
          </w:tcPr>
          <w:p w14:paraId="41769C4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SEM</w:t>
            </w:r>
          </w:p>
        </w:tc>
        <w:tc>
          <w:tcPr>
            <w:tcW w:w="3510" w:type="dxa"/>
            <w:noWrap/>
            <w:vAlign w:val="center"/>
            <w:hideMark/>
          </w:tcPr>
          <w:p w14:paraId="7E57446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Transformational leadership, trust, learning climate enhance innovation and engagement.</w:t>
            </w:r>
          </w:p>
        </w:tc>
      </w:tr>
      <w:tr w:rsidR="00716329" w:rsidRPr="00ED437B" w14:paraId="1E979F39" w14:textId="77777777" w:rsidTr="00746773">
        <w:trPr>
          <w:trHeight w:val="312"/>
        </w:trPr>
        <w:tc>
          <w:tcPr>
            <w:tcW w:w="843" w:type="dxa"/>
            <w:noWrap/>
            <w:vAlign w:val="center"/>
            <w:hideMark/>
          </w:tcPr>
          <w:p w14:paraId="1022E66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31</w:t>
            </w:r>
          </w:p>
        </w:tc>
        <w:tc>
          <w:tcPr>
            <w:tcW w:w="952" w:type="dxa"/>
            <w:noWrap/>
            <w:vAlign w:val="center"/>
            <w:hideMark/>
          </w:tcPr>
          <w:p w14:paraId="25EEF91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2022</w:t>
            </w:r>
          </w:p>
        </w:tc>
        <w:tc>
          <w:tcPr>
            <w:tcW w:w="2430" w:type="dxa"/>
            <w:noWrap/>
            <w:vAlign w:val="center"/>
            <w:hideMark/>
          </w:tcPr>
          <w:p w14:paraId="5BD65C6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Nguyen Ngoc, Viet Dung, Rowley, &amp; Pejić Bach</w:t>
            </w:r>
          </w:p>
        </w:tc>
        <w:tc>
          <w:tcPr>
            <w:tcW w:w="4358" w:type="dxa"/>
            <w:noWrap/>
            <w:vAlign w:val="center"/>
            <w:hideMark/>
          </w:tcPr>
          <w:p w14:paraId="49A43AC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Generation Z job seekers’ expectations and their job pursuit intention: Evidence from transition and emerging economy</w:t>
            </w:r>
          </w:p>
        </w:tc>
        <w:tc>
          <w:tcPr>
            <w:tcW w:w="1800" w:type="dxa"/>
            <w:noWrap/>
            <w:vAlign w:val="center"/>
            <w:hideMark/>
          </w:tcPr>
          <w:p w14:paraId="3C6FD03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Interpretive research</w:t>
            </w:r>
          </w:p>
        </w:tc>
        <w:tc>
          <w:tcPr>
            <w:tcW w:w="3510" w:type="dxa"/>
            <w:noWrap/>
            <w:vAlign w:val="center"/>
            <w:hideMark/>
          </w:tcPr>
          <w:p w14:paraId="2892B0D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Intangible attributes and CSR dominate job pursuit intentions.</w:t>
            </w:r>
          </w:p>
        </w:tc>
      </w:tr>
      <w:tr w:rsidR="00716329" w:rsidRPr="00ED437B" w14:paraId="2273D9DA" w14:textId="77777777" w:rsidTr="00746773">
        <w:trPr>
          <w:trHeight w:val="312"/>
        </w:trPr>
        <w:tc>
          <w:tcPr>
            <w:tcW w:w="843" w:type="dxa"/>
            <w:noWrap/>
            <w:vAlign w:val="center"/>
            <w:hideMark/>
          </w:tcPr>
          <w:p w14:paraId="39C4032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32</w:t>
            </w:r>
          </w:p>
        </w:tc>
        <w:tc>
          <w:tcPr>
            <w:tcW w:w="952" w:type="dxa"/>
            <w:noWrap/>
            <w:vAlign w:val="center"/>
            <w:hideMark/>
          </w:tcPr>
          <w:p w14:paraId="2FB8F66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65D0EEE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O’connor &amp; Rinella</w:t>
            </w:r>
          </w:p>
        </w:tc>
        <w:tc>
          <w:tcPr>
            <w:tcW w:w="4358" w:type="dxa"/>
            <w:noWrap/>
            <w:vAlign w:val="center"/>
            <w:hideMark/>
          </w:tcPr>
          <w:p w14:paraId="1B6B1EC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Navigating the Modern Workplace: A Case Study of Motivation-Hygiene Theory for a Gen Z Workforce</w:t>
            </w:r>
          </w:p>
        </w:tc>
        <w:tc>
          <w:tcPr>
            <w:tcW w:w="1800" w:type="dxa"/>
            <w:noWrap/>
            <w:vAlign w:val="center"/>
            <w:hideMark/>
          </w:tcPr>
          <w:p w14:paraId="77890EA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Case study (Herzberg)</w:t>
            </w:r>
          </w:p>
        </w:tc>
        <w:tc>
          <w:tcPr>
            <w:tcW w:w="3510" w:type="dxa"/>
            <w:noWrap/>
            <w:vAlign w:val="center"/>
            <w:hideMark/>
          </w:tcPr>
          <w:p w14:paraId="60045D1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Motivation–hygiene factors explain satisfaction; growth and design emphasised.</w:t>
            </w:r>
          </w:p>
        </w:tc>
      </w:tr>
      <w:tr w:rsidR="00716329" w:rsidRPr="00ED437B" w14:paraId="62815D68" w14:textId="77777777" w:rsidTr="00746773">
        <w:trPr>
          <w:trHeight w:val="312"/>
        </w:trPr>
        <w:tc>
          <w:tcPr>
            <w:tcW w:w="843" w:type="dxa"/>
            <w:noWrap/>
            <w:vAlign w:val="center"/>
            <w:hideMark/>
          </w:tcPr>
          <w:p w14:paraId="5179574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33</w:t>
            </w:r>
          </w:p>
        </w:tc>
        <w:tc>
          <w:tcPr>
            <w:tcW w:w="952" w:type="dxa"/>
            <w:noWrap/>
            <w:vAlign w:val="center"/>
            <w:hideMark/>
          </w:tcPr>
          <w:p w14:paraId="371581B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4F1E94F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Osorio &amp; Madero</w:t>
            </w:r>
          </w:p>
        </w:tc>
        <w:tc>
          <w:tcPr>
            <w:tcW w:w="4358" w:type="dxa"/>
            <w:noWrap/>
            <w:vAlign w:val="center"/>
            <w:hideMark/>
          </w:tcPr>
          <w:p w14:paraId="63466E4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Explaining Gen Z’s desire for hybrid work in corporate, family, and entrepreneurial settings</w:t>
            </w:r>
          </w:p>
        </w:tc>
        <w:tc>
          <w:tcPr>
            <w:tcW w:w="1800" w:type="dxa"/>
            <w:noWrap/>
            <w:vAlign w:val="center"/>
            <w:hideMark/>
          </w:tcPr>
          <w:p w14:paraId="20014E6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Conceptual analysis</w:t>
            </w:r>
          </w:p>
        </w:tc>
        <w:tc>
          <w:tcPr>
            <w:tcW w:w="3510" w:type="dxa"/>
            <w:noWrap/>
            <w:vAlign w:val="center"/>
            <w:hideMark/>
          </w:tcPr>
          <w:p w14:paraId="6D293FC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Hybrid work preferences shaped by environment; policy tailoring required.</w:t>
            </w:r>
          </w:p>
        </w:tc>
      </w:tr>
      <w:tr w:rsidR="00716329" w:rsidRPr="00ED437B" w14:paraId="548652C6" w14:textId="77777777" w:rsidTr="00746773">
        <w:trPr>
          <w:trHeight w:val="312"/>
        </w:trPr>
        <w:tc>
          <w:tcPr>
            <w:tcW w:w="843" w:type="dxa"/>
            <w:noWrap/>
            <w:vAlign w:val="center"/>
            <w:hideMark/>
          </w:tcPr>
          <w:p w14:paraId="17E958F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34</w:t>
            </w:r>
          </w:p>
        </w:tc>
        <w:tc>
          <w:tcPr>
            <w:tcW w:w="952" w:type="dxa"/>
            <w:noWrap/>
            <w:vAlign w:val="center"/>
            <w:hideMark/>
          </w:tcPr>
          <w:p w14:paraId="6E07C59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2022</w:t>
            </w:r>
          </w:p>
        </w:tc>
        <w:tc>
          <w:tcPr>
            <w:tcW w:w="2430" w:type="dxa"/>
            <w:noWrap/>
            <w:vAlign w:val="center"/>
            <w:hideMark/>
          </w:tcPr>
          <w:p w14:paraId="3B33157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Pandita</w:t>
            </w:r>
          </w:p>
        </w:tc>
        <w:tc>
          <w:tcPr>
            <w:tcW w:w="4358" w:type="dxa"/>
            <w:noWrap/>
            <w:vAlign w:val="center"/>
            <w:hideMark/>
          </w:tcPr>
          <w:p w14:paraId="31CBE66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Innovation in talent management practices: creating an innovative employer branding strategy to attract generation Z</w:t>
            </w:r>
          </w:p>
        </w:tc>
        <w:tc>
          <w:tcPr>
            <w:tcW w:w="1800" w:type="dxa"/>
            <w:noWrap/>
            <w:vAlign w:val="center"/>
            <w:hideMark/>
          </w:tcPr>
          <w:p w14:paraId="7651D0C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Interviews (HR)</w:t>
            </w:r>
          </w:p>
        </w:tc>
        <w:tc>
          <w:tcPr>
            <w:tcW w:w="3510" w:type="dxa"/>
            <w:noWrap/>
            <w:vAlign w:val="center"/>
            <w:hideMark/>
          </w:tcPr>
          <w:p w14:paraId="3BC375A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Career aspirations, independence, innovation; employer branding critical.</w:t>
            </w:r>
          </w:p>
        </w:tc>
      </w:tr>
      <w:tr w:rsidR="00716329" w:rsidRPr="00ED437B" w14:paraId="649453E5" w14:textId="77777777" w:rsidTr="00746773">
        <w:trPr>
          <w:trHeight w:val="312"/>
        </w:trPr>
        <w:tc>
          <w:tcPr>
            <w:tcW w:w="843" w:type="dxa"/>
            <w:noWrap/>
            <w:vAlign w:val="center"/>
            <w:hideMark/>
          </w:tcPr>
          <w:p w14:paraId="4022697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35</w:t>
            </w:r>
          </w:p>
        </w:tc>
        <w:tc>
          <w:tcPr>
            <w:tcW w:w="952" w:type="dxa"/>
            <w:noWrap/>
            <w:vAlign w:val="center"/>
            <w:hideMark/>
          </w:tcPr>
          <w:p w14:paraId="0334FDE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2022</w:t>
            </w:r>
          </w:p>
        </w:tc>
        <w:tc>
          <w:tcPr>
            <w:tcW w:w="2430" w:type="dxa"/>
            <w:noWrap/>
            <w:vAlign w:val="center"/>
            <w:hideMark/>
          </w:tcPr>
          <w:p w14:paraId="22FC800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Pandita &amp; Khatwani</w:t>
            </w:r>
          </w:p>
        </w:tc>
        <w:tc>
          <w:tcPr>
            <w:tcW w:w="4358" w:type="dxa"/>
            <w:noWrap/>
            <w:vAlign w:val="center"/>
            <w:hideMark/>
          </w:tcPr>
          <w:p w14:paraId="4BC9280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Creating Sustainable Engagement Practices for Generation Z: Role of CSR in Organizations</w:t>
            </w:r>
          </w:p>
        </w:tc>
        <w:tc>
          <w:tcPr>
            <w:tcW w:w="1800" w:type="dxa"/>
            <w:noWrap/>
            <w:vAlign w:val="center"/>
            <w:hideMark/>
          </w:tcPr>
          <w:p w14:paraId="7F10581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(IT)</w:t>
            </w:r>
          </w:p>
        </w:tc>
        <w:tc>
          <w:tcPr>
            <w:tcW w:w="3510" w:type="dxa"/>
            <w:noWrap/>
            <w:vAlign w:val="center"/>
            <w:hideMark/>
          </w:tcPr>
          <w:p w14:paraId="3110979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CSR enhances engagement, especially among younger employees.</w:t>
            </w:r>
          </w:p>
        </w:tc>
      </w:tr>
      <w:tr w:rsidR="00716329" w:rsidRPr="00ED437B" w14:paraId="3214ECDB" w14:textId="77777777" w:rsidTr="00746773">
        <w:trPr>
          <w:trHeight w:val="312"/>
        </w:trPr>
        <w:tc>
          <w:tcPr>
            <w:tcW w:w="843" w:type="dxa"/>
            <w:noWrap/>
            <w:vAlign w:val="center"/>
            <w:hideMark/>
          </w:tcPr>
          <w:p w14:paraId="2963627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36</w:t>
            </w:r>
          </w:p>
        </w:tc>
        <w:tc>
          <w:tcPr>
            <w:tcW w:w="952" w:type="dxa"/>
            <w:noWrap/>
            <w:vAlign w:val="center"/>
            <w:hideMark/>
          </w:tcPr>
          <w:p w14:paraId="64C4524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5A94733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Paramaguru, Bhattacharjee, Girotra, &amp; Sairam</w:t>
            </w:r>
          </w:p>
        </w:tc>
        <w:tc>
          <w:tcPr>
            <w:tcW w:w="4358" w:type="dxa"/>
            <w:noWrap/>
            <w:vAlign w:val="center"/>
            <w:hideMark/>
          </w:tcPr>
          <w:p w14:paraId="0C14B22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Leadership in Gen Z: Exploring Constructs, Traits, and Challenges through the Lens of the Indian Knowledge System</w:t>
            </w:r>
          </w:p>
        </w:tc>
        <w:tc>
          <w:tcPr>
            <w:tcW w:w="1800" w:type="dxa"/>
            <w:noWrap/>
            <w:vAlign w:val="center"/>
            <w:hideMark/>
          </w:tcPr>
          <w:p w14:paraId="1103BD0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Constructivist analysis</w:t>
            </w:r>
          </w:p>
        </w:tc>
        <w:tc>
          <w:tcPr>
            <w:tcW w:w="3510" w:type="dxa"/>
            <w:noWrap/>
            <w:vAlign w:val="center"/>
            <w:hideMark/>
          </w:tcPr>
          <w:p w14:paraId="577802E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Leadership traits and competencies shaped by cultural frameworks; implications for performance.</w:t>
            </w:r>
          </w:p>
        </w:tc>
      </w:tr>
      <w:tr w:rsidR="00716329" w:rsidRPr="00ED437B" w14:paraId="47D8CD4F" w14:textId="77777777" w:rsidTr="00746773">
        <w:trPr>
          <w:trHeight w:val="312"/>
        </w:trPr>
        <w:tc>
          <w:tcPr>
            <w:tcW w:w="843" w:type="dxa"/>
            <w:noWrap/>
            <w:vAlign w:val="center"/>
            <w:hideMark/>
          </w:tcPr>
          <w:p w14:paraId="67CF4E3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37</w:t>
            </w:r>
          </w:p>
        </w:tc>
        <w:tc>
          <w:tcPr>
            <w:tcW w:w="952" w:type="dxa"/>
            <w:noWrap/>
            <w:vAlign w:val="center"/>
            <w:hideMark/>
          </w:tcPr>
          <w:p w14:paraId="16F8B12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2021</w:t>
            </w:r>
          </w:p>
        </w:tc>
        <w:tc>
          <w:tcPr>
            <w:tcW w:w="2430" w:type="dxa"/>
            <w:noWrap/>
            <w:vAlign w:val="center"/>
            <w:hideMark/>
          </w:tcPr>
          <w:p w14:paraId="5DB20EB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Pichler, Kohli &amp; Granitz</w:t>
            </w:r>
          </w:p>
        </w:tc>
        <w:tc>
          <w:tcPr>
            <w:tcW w:w="4358" w:type="dxa"/>
            <w:noWrap/>
            <w:vAlign w:val="center"/>
            <w:hideMark/>
          </w:tcPr>
          <w:p w14:paraId="12EAAC7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DITTO for Gen Z: A framework for leveraging the uniqueness of the new generation</w:t>
            </w:r>
          </w:p>
        </w:tc>
        <w:tc>
          <w:tcPr>
            <w:tcW w:w="1800" w:type="dxa"/>
            <w:noWrap/>
            <w:vAlign w:val="center"/>
            <w:hideMark/>
          </w:tcPr>
          <w:p w14:paraId="4FE716F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Framework development</w:t>
            </w:r>
          </w:p>
        </w:tc>
        <w:tc>
          <w:tcPr>
            <w:tcW w:w="3510" w:type="dxa"/>
            <w:noWrap/>
            <w:vAlign w:val="center"/>
            <w:hideMark/>
          </w:tcPr>
          <w:p w14:paraId="6F69C5D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DITTO: diversity, individualism, technology, teamwork, organisational support.</w:t>
            </w:r>
          </w:p>
        </w:tc>
      </w:tr>
      <w:tr w:rsidR="00716329" w:rsidRPr="00ED437B" w14:paraId="0DD1BD36" w14:textId="77777777" w:rsidTr="00746773">
        <w:trPr>
          <w:trHeight w:val="312"/>
        </w:trPr>
        <w:tc>
          <w:tcPr>
            <w:tcW w:w="843" w:type="dxa"/>
            <w:noWrap/>
            <w:vAlign w:val="center"/>
            <w:hideMark/>
          </w:tcPr>
          <w:p w14:paraId="63492CA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38</w:t>
            </w:r>
          </w:p>
        </w:tc>
        <w:tc>
          <w:tcPr>
            <w:tcW w:w="952" w:type="dxa"/>
            <w:noWrap/>
            <w:vAlign w:val="center"/>
            <w:hideMark/>
          </w:tcPr>
          <w:p w14:paraId="09441F6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15746BA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Pradhana, Kusnadhy, Saputra, Wijaya, &amp; Sihaloho</w:t>
            </w:r>
          </w:p>
        </w:tc>
        <w:tc>
          <w:tcPr>
            <w:tcW w:w="4358" w:type="dxa"/>
            <w:noWrap/>
            <w:vAlign w:val="center"/>
            <w:hideMark/>
          </w:tcPr>
          <w:p w14:paraId="2E5203D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 Phenomenological Study of Gen Z Workers in Facing Conflict Generation Gap in the World of Work</w:t>
            </w:r>
          </w:p>
        </w:tc>
        <w:tc>
          <w:tcPr>
            <w:tcW w:w="1800" w:type="dxa"/>
            <w:noWrap/>
            <w:vAlign w:val="center"/>
            <w:hideMark/>
          </w:tcPr>
          <w:p w14:paraId="1B6913D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Qualitative</w:t>
            </w:r>
          </w:p>
        </w:tc>
        <w:tc>
          <w:tcPr>
            <w:tcW w:w="3510" w:type="dxa"/>
            <w:noWrap/>
            <w:vAlign w:val="center"/>
            <w:hideMark/>
          </w:tcPr>
          <w:p w14:paraId="292BBBD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minimising intergenerational communication mismatches; adaptation strategies.</w:t>
            </w:r>
          </w:p>
        </w:tc>
      </w:tr>
      <w:tr w:rsidR="00716329" w:rsidRPr="00ED437B" w14:paraId="761A4CC5" w14:textId="77777777" w:rsidTr="00746773">
        <w:trPr>
          <w:trHeight w:val="312"/>
        </w:trPr>
        <w:tc>
          <w:tcPr>
            <w:tcW w:w="843" w:type="dxa"/>
            <w:noWrap/>
            <w:vAlign w:val="center"/>
            <w:hideMark/>
          </w:tcPr>
          <w:p w14:paraId="42548A7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39</w:t>
            </w:r>
          </w:p>
        </w:tc>
        <w:tc>
          <w:tcPr>
            <w:tcW w:w="952" w:type="dxa"/>
            <w:noWrap/>
            <w:vAlign w:val="center"/>
            <w:hideMark/>
          </w:tcPr>
          <w:p w14:paraId="405207B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2021</w:t>
            </w:r>
          </w:p>
        </w:tc>
        <w:tc>
          <w:tcPr>
            <w:tcW w:w="2430" w:type="dxa"/>
            <w:noWrap/>
            <w:vAlign w:val="center"/>
            <w:hideMark/>
          </w:tcPr>
          <w:p w14:paraId="25FF190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Racolţa-Paina &amp; Irini</w:t>
            </w:r>
          </w:p>
        </w:tc>
        <w:tc>
          <w:tcPr>
            <w:tcW w:w="4358" w:type="dxa"/>
            <w:noWrap/>
            <w:vAlign w:val="center"/>
            <w:hideMark/>
          </w:tcPr>
          <w:p w14:paraId="466FECB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Generation Z in the workplace through the lenses of human resource professionals – a qualitative study</w:t>
            </w:r>
          </w:p>
        </w:tc>
        <w:tc>
          <w:tcPr>
            <w:tcW w:w="1800" w:type="dxa"/>
            <w:noWrap/>
            <w:vAlign w:val="center"/>
            <w:hideMark/>
          </w:tcPr>
          <w:p w14:paraId="4ED8499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Interviews (HR)</w:t>
            </w:r>
          </w:p>
        </w:tc>
        <w:tc>
          <w:tcPr>
            <w:tcW w:w="3510" w:type="dxa"/>
            <w:noWrap/>
            <w:vAlign w:val="center"/>
            <w:hideMark/>
          </w:tcPr>
          <w:p w14:paraId="5A8D343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Understanding Gen Z key to attraction and retention; opportunity-based framing.</w:t>
            </w:r>
          </w:p>
        </w:tc>
      </w:tr>
      <w:tr w:rsidR="00716329" w:rsidRPr="00ED437B" w14:paraId="0FBBF3A1" w14:textId="77777777" w:rsidTr="00746773">
        <w:trPr>
          <w:trHeight w:val="312"/>
        </w:trPr>
        <w:tc>
          <w:tcPr>
            <w:tcW w:w="843" w:type="dxa"/>
            <w:noWrap/>
            <w:vAlign w:val="center"/>
            <w:hideMark/>
          </w:tcPr>
          <w:p w14:paraId="6A00136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40</w:t>
            </w:r>
          </w:p>
        </w:tc>
        <w:tc>
          <w:tcPr>
            <w:tcW w:w="952" w:type="dxa"/>
            <w:noWrap/>
            <w:vAlign w:val="center"/>
            <w:hideMark/>
          </w:tcPr>
          <w:p w14:paraId="1FF46D2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2022</w:t>
            </w:r>
          </w:p>
        </w:tc>
        <w:tc>
          <w:tcPr>
            <w:tcW w:w="2430" w:type="dxa"/>
            <w:noWrap/>
            <w:vAlign w:val="center"/>
            <w:hideMark/>
          </w:tcPr>
          <w:p w14:paraId="7F0BF66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Sigaeva, Arasli, Ozdemir, Atai, &amp; Capkiner</w:t>
            </w:r>
          </w:p>
        </w:tc>
        <w:tc>
          <w:tcPr>
            <w:tcW w:w="4358" w:type="dxa"/>
            <w:noWrap/>
            <w:vAlign w:val="center"/>
            <w:hideMark/>
          </w:tcPr>
          <w:p w14:paraId="08F90F6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In Search of Effective Gen Z Engagement in the Hospitality Industry: Revisiting Issues of Servant and Authentic Leadership</w:t>
            </w:r>
          </w:p>
        </w:tc>
        <w:tc>
          <w:tcPr>
            <w:tcW w:w="1800" w:type="dxa"/>
            <w:noWrap/>
            <w:vAlign w:val="center"/>
            <w:hideMark/>
          </w:tcPr>
          <w:p w14:paraId="55D0ECF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(hospitality)</w:t>
            </w:r>
          </w:p>
        </w:tc>
        <w:tc>
          <w:tcPr>
            <w:tcW w:w="3510" w:type="dxa"/>
            <w:noWrap/>
            <w:vAlign w:val="center"/>
            <w:hideMark/>
          </w:tcPr>
          <w:p w14:paraId="4B1F6D9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Authentic leadership improves PsyCap and engagement.</w:t>
            </w:r>
          </w:p>
        </w:tc>
      </w:tr>
      <w:tr w:rsidR="00716329" w:rsidRPr="00ED437B" w14:paraId="0B3C9DEC" w14:textId="77777777" w:rsidTr="00746773">
        <w:trPr>
          <w:trHeight w:val="312"/>
        </w:trPr>
        <w:tc>
          <w:tcPr>
            <w:tcW w:w="843" w:type="dxa"/>
            <w:noWrap/>
            <w:vAlign w:val="center"/>
            <w:hideMark/>
          </w:tcPr>
          <w:p w14:paraId="387E1CB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41</w:t>
            </w:r>
          </w:p>
        </w:tc>
        <w:tc>
          <w:tcPr>
            <w:tcW w:w="952" w:type="dxa"/>
            <w:noWrap/>
            <w:vAlign w:val="center"/>
            <w:hideMark/>
          </w:tcPr>
          <w:p w14:paraId="591F646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245C974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Singh, Kurian, &amp; Sivagnanasundaram</w:t>
            </w:r>
          </w:p>
        </w:tc>
        <w:tc>
          <w:tcPr>
            <w:tcW w:w="4358" w:type="dxa"/>
            <w:noWrap/>
            <w:vAlign w:val="center"/>
            <w:hideMark/>
          </w:tcPr>
          <w:p w14:paraId="0F24EF1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Generation Z: Navigating Conflict Resolution Strategies at the Workplace Through Their Intimacy Styles</w:t>
            </w:r>
          </w:p>
        </w:tc>
        <w:tc>
          <w:tcPr>
            <w:tcW w:w="1800" w:type="dxa"/>
            <w:noWrap/>
            <w:vAlign w:val="center"/>
            <w:hideMark/>
          </w:tcPr>
          <w:p w14:paraId="16F50CD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w:t>
            </w:r>
          </w:p>
        </w:tc>
        <w:tc>
          <w:tcPr>
            <w:tcW w:w="3510" w:type="dxa"/>
            <w:noWrap/>
            <w:vAlign w:val="center"/>
            <w:hideMark/>
          </w:tcPr>
          <w:p w14:paraId="51FA528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Workplace intimacy improves constructive conflict management.</w:t>
            </w:r>
          </w:p>
        </w:tc>
      </w:tr>
      <w:tr w:rsidR="00716329" w:rsidRPr="00ED437B" w14:paraId="7B9F8F9C" w14:textId="77777777" w:rsidTr="00746773">
        <w:trPr>
          <w:trHeight w:val="312"/>
        </w:trPr>
        <w:tc>
          <w:tcPr>
            <w:tcW w:w="843" w:type="dxa"/>
            <w:noWrap/>
            <w:vAlign w:val="center"/>
            <w:hideMark/>
          </w:tcPr>
          <w:p w14:paraId="2F8325E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42</w:t>
            </w:r>
          </w:p>
        </w:tc>
        <w:tc>
          <w:tcPr>
            <w:tcW w:w="952" w:type="dxa"/>
            <w:noWrap/>
            <w:vAlign w:val="center"/>
            <w:hideMark/>
          </w:tcPr>
          <w:p w14:paraId="5551C71D"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3D50863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Surugiu, Surugiu, Grădinaru, &amp; Grigore</w:t>
            </w:r>
          </w:p>
        </w:tc>
        <w:tc>
          <w:tcPr>
            <w:tcW w:w="4358" w:type="dxa"/>
            <w:noWrap/>
            <w:vAlign w:val="center"/>
            <w:hideMark/>
          </w:tcPr>
          <w:p w14:paraId="5539CE4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Factors Motivating Generation Z in the Workplace: Managerial Challenges and Insights</w:t>
            </w:r>
          </w:p>
        </w:tc>
        <w:tc>
          <w:tcPr>
            <w:tcW w:w="1800" w:type="dxa"/>
            <w:noWrap/>
            <w:vAlign w:val="center"/>
            <w:hideMark/>
          </w:tcPr>
          <w:p w14:paraId="25ABAC5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Mixed-methods</w:t>
            </w:r>
          </w:p>
        </w:tc>
        <w:tc>
          <w:tcPr>
            <w:tcW w:w="3510" w:type="dxa"/>
            <w:noWrap/>
            <w:vAlign w:val="center"/>
            <w:hideMark/>
          </w:tcPr>
          <w:p w14:paraId="45FFA66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Recognition, well-being, skills, pay drive satisfaction; low loyalty and mobility observed.</w:t>
            </w:r>
          </w:p>
        </w:tc>
      </w:tr>
      <w:tr w:rsidR="00716329" w:rsidRPr="00ED437B" w14:paraId="0F0EAE12" w14:textId="77777777" w:rsidTr="00746773">
        <w:trPr>
          <w:trHeight w:val="312"/>
        </w:trPr>
        <w:tc>
          <w:tcPr>
            <w:tcW w:w="843" w:type="dxa"/>
            <w:noWrap/>
            <w:vAlign w:val="center"/>
            <w:hideMark/>
          </w:tcPr>
          <w:p w14:paraId="33555DD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43</w:t>
            </w:r>
          </w:p>
        </w:tc>
        <w:tc>
          <w:tcPr>
            <w:tcW w:w="952" w:type="dxa"/>
            <w:noWrap/>
            <w:vAlign w:val="center"/>
            <w:hideMark/>
          </w:tcPr>
          <w:p w14:paraId="6CFDD8D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6174CB3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Tran, Hong, Dinh, Yen, &amp; My</w:t>
            </w:r>
          </w:p>
        </w:tc>
        <w:tc>
          <w:tcPr>
            <w:tcW w:w="4358" w:type="dxa"/>
            <w:noWrap/>
            <w:vAlign w:val="center"/>
            <w:hideMark/>
          </w:tcPr>
          <w:p w14:paraId="58A48A1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The Relationship between Psychological Capital and Work Commitment: A Study among Gen Z Workers in Vietnam</w:t>
            </w:r>
          </w:p>
        </w:tc>
        <w:tc>
          <w:tcPr>
            <w:tcW w:w="1800" w:type="dxa"/>
            <w:noWrap/>
            <w:vAlign w:val="center"/>
            <w:hideMark/>
          </w:tcPr>
          <w:p w14:paraId="3B528C6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(Vietnam)</w:t>
            </w:r>
          </w:p>
        </w:tc>
        <w:tc>
          <w:tcPr>
            <w:tcW w:w="3510" w:type="dxa"/>
            <w:noWrap/>
            <w:vAlign w:val="center"/>
            <w:hideMark/>
          </w:tcPr>
          <w:p w14:paraId="68E0B1B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Psychological Capital strongly linked to commitment; developmental support useful.</w:t>
            </w:r>
          </w:p>
        </w:tc>
      </w:tr>
      <w:tr w:rsidR="00716329" w:rsidRPr="00ED437B" w14:paraId="0D74B6D5" w14:textId="77777777" w:rsidTr="00746773">
        <w:trPr>
          <w:trHeight w:val="312"/>
        </w:trPr>
        <w:tc>
          <w:tcPr>
            <w:tcW w:w="843" w:type="dxa"/>
            <w:noWrap/>
            <w:vAlign w:val="center"/>
            <w:hideMark/>
          </w:tcPr>
          <w:p w14:paraId="4138B44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44</w:t>
            </w:r>
          </w:p>
        </w:tc>
        <w:tc>
          <w:tcPr>
            <w:tcW w:w="952" w:type="dxa"/>
            <w:noWrap/>
            <w:vAlign w:val="center"/>
            <w:hideMark/>
          </w:tcPr>
          <w:p w14:paraId="37696D3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6290049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Tran, Le, Hai, Kim, &amp; Yen</w:t>
            </w:r>
          </w:p>
        </w:tc>
        <w:tc>
          <w:tcPr>
            <w:tcW w:w="4358" w:type="dxa"/>
            <w:noWrap/>
            <w:vAlign w:val="center"/>
            <w:hideMark/>
          </w:tcPr>
          <w:p w14:paraId="4A0CE96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Exploring Job Satisfaction among Generation Z Employees: A Study in the SMEs of the Mekong Delta, Vietnam</w:t>
            </w:r>
          </w:p>
        </w:tc>
        <w:tc>
          <w:tcPr>
            <w:tcW w:w="1800" w:type="dxa"/>
            <w:noWrap/>
            <w:vAlign w:val="center"/>
            <w:hideMark/>
          </w:tcPr>
          <w:p w14:paraId="6C61DD8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Mixed-methods (SMEs)</w:t>
            </w:r>
          </w:p>
        </w:tc>
        <w:tc>
          <w:tcPr>
            <w:tcW w:w="3510" w:type="dxa"/>
            <w:noWrap/>
            <w:vAlign w:val="center"/>
            <w:hideMark/>
          </w:tcPr>
          <w:p w14:paraId="017C026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Job design, training, autonomy, environment, pay determine satisfaction.</w:t>
            </w:r>
          </w:p>
        </w:tc>
      </w:tr>
      <w:tr w:rsidR="00716329" w:rsidRPr="00ED437B" w14:paraId="1DB75C14" w14:textId="77777777" w:rsidTr="00746773">
        <w:trPr>
          <w:trHeight w:val="312"/>
        </w:trPr>
        <w:tc>
          <w:tcPr>
            <w:tcW w:w="843" w:type="dxa"/>
            <w:noWrap/>
            <w:vAlign w:val="center"/>
            <w:hideMark/>
          </w:tcPr>
          <w:p w14:paraId="5196D09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45</w:t>
            </w:r>
          </w:p>
        </w:tc>
        <w:tc>
          <w:tcPr>
            <w:tcW w:w="952" w:type="dxa"/>
            <w:noWrap/>
            <w:vAlign w:val="center"/>
            <w:hideMark/>
          </w:tcPr>
          <w:p w14:paraId="21CBF8B9"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2016</w:t>
            </w:r>
          </w:p>
        </w:tc>
        <w:tc>
          <w:tcPr>
            <w:tcW w:w="2430" w:type="dxa"/>
            <w:noWrap/>
            <w:vAlign w:val="center"/>
            <w:hideMark/>
          </w:tcPr>
          <w:p w14:paraId="2911894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Veluchamy, Agrawal &amp; Krishnan</w:t>
            </w:r>
          </w:p>
        </w:tc>
        <w:tc>
          <w:tcPr>
            <w:tcW w:w="4358" w:type="dxa"/>
            <w:noWrap/>
            <w:vAlign w:val="center"/>
            <w:hideMark/>
          </w:tcPr>
          <w:p w14:paraId="20CB575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Perception on managing mental health of generation Z students in creating student superstars: Students’ talent management</w:t>
            </w:r>
          </w:p>
        </w:tc>
        <w:tc>
          <w:tcPr>
            <w:tcW w:w="1800" w:type="dxa"/>
            <w:noWrap/>
            <w:vAlign w:val="center"/>
            <w:hideMark/>
          </w:tcPr>
          <w:p w14:paraId="33E3289C"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Student survey</w:t>
            </w:r>
          </w:p>
        </w:tc>
        <w:tc>
          <w:tcPr>
            <w:tcW w:w="3510" w:type="dxa"/>
            <w:noWrap/>
            <w:vAlign w:val="center"/>
            <w:hideMark/>
          </w:tcPr>
          <w:p w14:paraId="2C99A76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Mental health challenges; need for counselling and balanced curricula.</w:t>
            </w:r>
          </w:p>
        </w:tc>
      </w:tr>
      <w:tr w:rsidR="00716329" w:rsidRPr="00ED437B" w14:paraId="400AADFF" w14:textId="77777777" w:rsidTr="00746773">
        <w:trPr>
          <w:trHeight w:val="312"/>
        </w:trPr>
        <w:tc>
          <w:tcPr>
            <w:tcW w:w="843" w:type="dxa"/>
            <w:noWrap/>
            <w:vAlign w:val="center"/>
            <w:hideMark/>
          </w:tcPr>
          <w:p w14:paraId="1E54405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46</w:t>
            </w:r>
          </w:p>
        </w:tc>
        <w:tc>
          <w:tcPr>
            <w:tcW w:w="952" w:type="dxa"/>
            <w:noWrap/>
            <w:vAlign w:val="center"/>
            <w:hideMark/>
          </w:tcPr>
          <w:p w14:paraId="2133F6C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2023</w:t>
            </w:r>
          </w:p>
        </w:tc>
        <w:tc>
          <w:tcPr>
            <w:tcW w:w="2430" w:type="dxa"/>
            <w:noWrap/>
            <w:vAlign w:val="center"/>
            <w:hideMark/>
          </w:tcPr>
          <w:p w14:paraId="618E4512" w14:textId="0B25F6E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Xueyun</w:t>
            </w:r>
            <w:r w:rsidR="002579FC" w:rsidRPr="00ED437B">
              <w:rPr>
                <w:rFonts w:eastAsia="Times New Roman"/>
                <w:color w:val="000000"/>
                <w:szCs w:val="24"/>
                <w:lang w:eastAsia="zh-CN" w:bidi="bn-IN"/>
              </w:rPr>
              <w:t xml:space="preserve"> </w:t>
            </w:r>
            <w:r w:rsidR="000C3E28" w:rsidRPr="00ED437B">
              <w:rPr>
                <w:rFonts w:eastAsia="Times New Roman"/>
                <w:i/>
                <w:iCs/>
                <w:color w:val="000000"/>
                <w:szCs w:val="24"/>
                <w:lang w:eastAsia="zh-CN" w:bidi="bn-IN"/>
              </w:rPr>
              <w:t>et al</w:t>
            </w:r>
            <w:r w:rsidR="002579FC" w:rsidRPr="00ED437B">
              <w:rPr>
                <w:rFonts w:eastAsia="Times New Roman"/>
                <w:color w:val="000000"/>
                <w:szCs w:val="24"/>
                <w:lang w:eastAsia="zh-CN" w:bidi="bn-IN"/>
              </w:rPr>
              <w:t>.</w:t>
            </w:r>
          </w:p>
        </w:tc>
        <w:tc>
          <w:tcPr>
            <w:tcW w:w="4358" w:type="dxa"/>
            <w:noWrap/>
            <w:vAlign w:val="center"/>
            <w:hideMark/>
          </w:tcPr>
          <w:p w14:paraId="29FCA02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 xml:space="preserve">Modelling the significance of organizational conditions on quiet </w:t>
            </w:r>
            <w:r w:rsidRPr="00ED437B">
              <w:rPr>
                <w:rFonts w:eastAsia="Times New Roman"/>
                <w:color w:val="000000"/>
                <w:szCs w:val="24"/>
                <w:lang w:eastAsia="zh-CN" w:bidi="bn-IN"/>
              </w:rPr>
              <w:lastRenderedPageBreak/>
              <w:t>quitting intention among Gen Z workforce in an emerging economy</w:t>
            </w:r>
          </w:p>
        </w:tc>
        <w:tc>
          <w:tcPr>
            <w:tcW w:w="1800" w:type="dxa"/>
            <w:noWrap/>
            <w:vAlign w:val="center"/>
            <w:hideMark/>
          </w:tcPr>
          <w:p w14:paraId="5B98BF20"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lastRenderedPageBreak/>
              <w:t>Survey (China)</w:t>
            </w:r>
          </w:p>
        </w:tc>
        <w:tc>
          <w:tcPr>
            <w:tcW w:w="3510" w:type="dxa"/>
            <w:noWrap/>
            <w:vAlign w:val="center"/>
            <w:hideMark/>
          </w:tcPr>
          <w:p w14:paraId="0DE908F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Work conditions and support influence burnout and quiet quitting.</w:t>
            </w:r>
          </w:p>
        </w:tc>
      </w:tr>
      <w:tr w:rsidR="00716329" w:rsidRPr="00ED437B" w14:paraId="58479F37" w14:textId="77777777" w:rsidTr="00746773">
        <w:trPr>
          <w:trHeight w:val="312"/>
        </w:trPr>
        <w:tc>
          <w:tcPr>
            <w:tcW w:w="843" w:type="dxa"/>
            <w:noWrap/>
            <w:vAlign w:val="center"/>
            <w:hideMark/>
          </w:tcPr>
          <w:p w14:paraId="74C1F28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47</w:t>
            </w:r>
          </w:p>
        </w:tc>
        <w:tc>
          <w:tcPr>
            <w:tcW w:w="952" w:type="dxa"/>
            <w:noWrap/>
            <w:vAlign w:val="center"/>
            <w:hideMark/>
          </w:tcPr>
          <w:p w14:paraId="4F828F5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5EC1FC8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Xueyun, Yang, &amp; Al Mamun</w:t>
            </w:r>
          </w:p>
        </w:tc>
        <w:tc>
          <w:tcPr>
            <w:tcW w:w="4358" w:type="dxa"/>
            <w:noWrap/>
            <w:vAlign w:val="center"/>
            <w:hideMark/>
          </w:tcPr>
          <w:p w14:paraId="5300E363"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Predicting the Quiet Quitting Intention Among the Generation Z Workforce in Hotel Industry</w:t>
            </w:r>
          </w:p>
        </w:tc>
        <w:tc>
          <w:tcPr>
            <w:tcW w:w="1800" w:type="dxa"/>
            <w:noWrap/>
            <w:vAlign w:val="center"/>
            <w:hideMark/>
          </w:tcPr>
          <w:p w14:paraId="642036D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 (hospitality)</w:t>
            </w:r>
          </w:p>
        </w:tc>
        <w:tc>
          <w:tcPr>
            <w:tcW w:w="3510" w:type="dxa"/>
            <w:noWrap/>
            <w:vAlign w:val="center"/>
            <w:hideMark/>
          </w:tcPr>
          <w:p w14:paraId="42E4A2D5"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Engagement and quality of work life reduce burnout; commitment increases embeddedness.</w:t>
            </w:r>
          </w:p>
        </w:tc>
      </w:tr>
      <w:tr w:rsidR="00716329" w:rsidRPr="00ED437B" w14:paraId="45F28500" w14:textId="77777777" w:rsidTr="00746773">
        <w:trPr>
          <w:trHeight w:val="312"/>
        </w:trPr>
        <w:tc>
          <w:tcPr>
            <w:tcW w:w="843" w:type="dxa"/>
            <w:noWrap/>
            <w:vAlign w:val="center"/>
            <w:hideMark/>
          </w:tcPr>
          <w:p w14:paraId="4EB3F904"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48</w:t>
            </w:r>
          </w:p>
        </w:tc>
        <w:tc>
          <w:tcPr>
            <w:tcW w:w="952" w:type="dxa"/>
            <w:noWrap/>
            <w:vAlign w:val="center"/>
            <w:hideMark/>
          </w:tcPr>
          <w:p w14:paraId="6964E7D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5F1F17B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Yunyi, Singh &amp; Kularajasingam</w:t>
            </w:r>
          </w:p>
        </w:tc>
        <w:tc>
          <w:tcPr>
            <w:tcW w:w="4358" w:type="dxa"/>
            <w:noWrap/>
            <w:vAlign w:val="center"/>
            <w:hideMark/>
          </w:tcPr>
          <w:p w14:paraId="46DCD36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The influence of workforce diversity and job meaningfulness on employee engagement and organizational citizenship behaviors</w:t>
            </w:r>
          </w:p>
        </w:tc>
        <w:tc>
          <w:tcPr>
            <w:tcW w:w="1800" w:type="dxa"/>
            <w:noWrap/>
            <w:vAlign w:val="center"/>
            <w:hideMark/>
          </w:tcPr>
          <w:p w14:paraId="20A77BD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Survey</w:t>
            </w:r>
          </w:p>
        </w:tc>
        <w:tc>
          <w:tcPr>
            <w:tcW w:w="3510" w:type="dxa"/>
            <w:noWrap/>
            <w:vAlign w:val="center"/>
            <w:hideMark/>
          </w:tcPr>
          <w:p w14:paraId="544714B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Meaningfulness and diversity enhance engagement and citizenship behaviours.</w:t>
            </w:r>
          </w:p>
        </w:tc>
      </w:tr>
      <w:tr w:rsidR="00716329" w:rsidRPr="00ED437B" w14:paraId="692BDEBD" w14:textId="77777777" w:rsidTr="00746773">
        <w:trPr>
          <w:trHeight w:val="312"/>
        </w:trPr>
        <w:tc>
          <w:tcPr>
            <w:tcW w:w="843" w:type="dxa"/>
            <w:noWrap/>
            <w:vAlign w:val="center"/>
            <w:hideMark/>
          </w:tcPr>
          <w:p w14:paraId="03E526A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49</w:t>
            </w:r>
          </w:p>
        </w:tc>
        <w:tc>
          <w:tcPr>
            <w:tcW w:w="952" w:type="dxa"/>
            <w:noWrap/>
            <w:vAlign w:val="center"/>
            <w:hideMark/>
          </w:tcPr>
          <w:p w14:paraId="09085306"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2024</w:t>
            </w:r>
          </w:p>
        </w:tc>
        <w:tc>
          <w:tcPr>
            <w:tcW w:w="2430" w:type="dxa"/>
            <w:noWrap/>
            <w:vAlign w:val="center"/>
            <w:hideMark/>
          </w:tcPr>
          <w:p w14:paraId="1F65C0C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Zhong, Zhang, Wei, &amp; Chang</w:t>
            </w:r>
          </w:p>
        </w:tc>
        <w:tc>
          <w:tcPr>
            <w:tcW w:w="4358" w:type="dxa"/>
            <w:noWrap/>
            <w:vAlign w:val="center"/>
            <w:hideMark/>
          </w:tcPr>
          <w:p w14:paraId="1DA27E72"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Attracting Gen Z workforce: the effects of organizational social media policy</w:t>
            </w:r>
          </w:p>
        </w:tc>
        <w:tc>
          <w:tcPr>
            <w:tcW w:w="1800" w:type="dxa"/>
            <w:noWrap/>
            <w:vAlign w:val="center"/>
            <w:hideMark/>
          </w:tcPr>
          <w:p w14:paraId="7DD9AC8F"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Experiment</w:t>
            </w:r>
          </w:p>
        </w:tc>
        <w:tc>
          <w:tcPr>
            <w:tcW w:w="3510" w:type="dxa"/>
            <w:noWrap/>
            <w:vAlign w:val="center"/>
            <w:hideMark/>
          </w:tcPr>
          <w:p w14:paraId="22BDDF4A"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Social media policy shapes employer attractiveness and job pursuit.</w:t>
            </w:r>
          </w:p>
        </w:tc>
      </w:tr>
      <w:tr w:rsidR="00716329" w:rsidRPr="00ED437B" w14:paraId="6F1C202F" w14:textId="77777777" w:rsidTr="00746773">
        <w:trPr>
          <w:trHeight w:val="312"/>
        </w:trPr>
        <w:tc>
          <w:tcPr>
            <w:tcW w:w="843" w:type="dxa"/>
            <w:noWrap/>
            <w:vAlign w:val="center"/>
            <w:hideMark/>
          </w:tcPr>
          <w:p w14:paraId="530CF617"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50</w:t>
            </w:r>
          </w:p>
        </w:tc>
        <w:tc>
          <w:tcPr>
            <w:tcW w:w="952" w:type="dxa"/>
            <w:noWrap/>
            <w:vAlign w:val="center"/>
            <w:hideMark/>
          </w:tcPr>
          <w:p w14:paraId="3349ACBE"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2025</w:t>
            </w:r>
          </w:p>
        </w:tc>
        <w:tc>
          <w:tcPr>
            <w:tcW w:w="2430" w:type="dxa"/>
            <w:noWrap/>
            <w:vAlign w:val="center"/>
            <w:hideMark/>
          </w:tcPr>
          <w:p w14:paraId="2C74CD7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Zhou, Chi &amp; Wen</w:t>
            </w:r>
          </w:p>
        </w:tc>
        <w:tc>
          <w:tcPr>
            <w:tcW w:w="4358" w:type="dxa"/>
            <w:noWrap/>
            <w:vAlign w:val="center"/>
            <w:hideMark/>
          </w:tcPr>
          <w:p w14:paraId="17FA286B"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Retaining Generation Z employees in the hotel industry: a time-lag study</w:t>
            </w:r>
          </w:p>
        </w:tc>
        <w:tc>
          <w:tcPr>
            <w:tcW w:w="1800" w:type="dxa"/>
            <w:noWrap/>
            <w:vAlign w:val="center"/>
            <w:hideMark/>
          </w:tcPr>
          <w:p w14:paraId="72ED4578"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Time-lagged survey</w:t>
            </w:r>
          </w:p>
        </w:tc>
        <w:tc>
          <w:tcPr>
            <w:tcW w:w="3510" w:type="dxa"/>
            <w:noWrap/>
            <w:vAlign w:val="center"/>
            <w:hideMark/>
          </w:tcPr>
          <w:p w14:paraId="138EFA11" w14:textId="77777777" w:rsidR="00A2627D" w:rsidRPr="00ED437B" w:rsidRDefault="00A2627D" w:rsidP="00A2627D">
            <w:pPr>
              <w:jc w:val="left"/>
              <w:rPr>
                <w:rFonts w:eastAsia="Times New Roman"/>
                <w:color w:val="000000"/>
                <w:szCs w:val="24"/>
                <w:lang w:eastAsia="zh-CN" w:bidi="bn-IN"/>
              </w:rPr>
            </w:pPr>
            <w:r w:rsidRPr="00ED437B">
              <w:rPr>
                <w:rFonts w:eastAsia="Times New Roman"/>
                <w:color w:val="000000"/>
                <w:szCs w:val="24"/>
                <w:lang w:eastAsia="zh-CN" w:bidi="bn-IN"/>
              </w:rPr>
              <w:t>Socialisation, fit, and career commitment improve retention.</w:t>
            </w:r>
          </w:p>
        </w:tc>
      </w:tr>
    </w:tbl>
    <w:p w14:paraId="74A0EBB4" w14:textId="77777777" w:rsidR="00A2627D" w:rsidRPr="00ED437B" w:rsidRDefault="00A2627D" w:rsidP="00A2627D"/>
    <w:p w14:paraId="2A45BFDF" w14:textId="77777777" w:rsidR="00A2627D" w:rsidRPr="00ED437B" w:rsidRDefault="00A2627D" w:rsidP="00A2627D">
      <w:pPr>
        <w:pStyle w:val="NoSpacing"/>
      </w:pPr>
    </w:p>
    <w:p w14:paraId="3A2B6A18" w14:textId="141C2980" w:rsidR="00A2627D" w:rsidRPr="00ED437B" w:rsidRDefault="00A2627D" w:rsidP="00A2627D">
      <w:pPr>
        <w:sectPr w:rsidR="00A2627D" w:rsidRPr="00ED437B" w:rsidSect="00716329">
          <w:pgSz w:w="16838" w:h="11906" w:orient="landscape" w:code="9"/>
          <w:pgMar w:top="1440" w:right="1440" w:bottom="1440" w:left="1440" w:header="708" w:footer="708" w:gutter="0"/>
          <w:cols w:space="708"/>
          <w:titlePg/>
          <w:docGrid w:linePitch="360"/>
        </w:sectPr>
      </w:pPr>
    </w:p>
    <w:p w14:paraId="49DDAD1C" w14:textId="3A74D9A3" w:rsidR="000663B6" w:rsidRPr="00ED437B" w:rsidRDefault="000663B6" w:rsidP="000663B6">
      <w:pPr>
        <w:pStyle w:val="Heading2"/>
      </w:pPr>
      <w:bookmarkStart w:id="40" w:name="_Toc218179348"/>
      <w:r w:rsidRPr="00ED437B">
        <w:lastRenderedPageBreak/>
        <w:t>RQ1: Key Motivations and Work-Related Values of Generation Z in the Workforce</w:t>
      </w:r>
      <w:bookmarkEnd w:id="40"/>
    </w:p>
    <w:p w14:paraId="03BCE56F" w14:textId="1E496488" w:rsidR="00E361C3" w:rsidRPr="00ED437B" w:rsidRDefault="00E361C3" w:rsidP="00E361C3">
      <w:pPr>
        <w:pStyle w:val="NoSpacing"/>
      </w:pPr>
      <w:bookmarkStart w:id="41" w:name="_Toc216195247"/>
      <w:r w:rsidRPr="00ED437B">
        <w:t xml:space="preserve">Table </w:t>
      </w:r>
      <w:r w:rsidR="00D94E71" w:rsidRPr="00ED437B">
        <w:fldChar w:fldCharType="begin"/>
      </w:r>
      <w:r w:rsidR="00D94E71" w:rsidRPr="00ED437B">
        <w:instrText xml:space="preserve"> SEQ Table \* ARABIC </w:instrText>
      </w:r>
      <w:r w:rsidR="00D94E71" w:rsidRPr="00ED437B">
        <w:fldChar w:fldCharType="separate"/>
      </w:r>
      <w:r w:rsidR="00D94E71" w:rsidRPr="00ED437B">
        <w:t>2</w:t>
      </w:r>
      <w:r w:rsidR="00D94E71" w:rsidRPr="00ED437B">
        <w:fldChar w:fldCharType="end"/>
      </w:r>
      <w:r w:rsidRPr="00ED437B">
        <w:t xml:space="preserve"> </w:t>
      </w:r>
      <w:r w:rsidRPr="00ED437B">
        <w:rPr>
          <w:rStyle w:val="Strong"/>
          <w:b w:val="0"/>
          <w:bCs w:val="0"/>
          <w:color w:val="1F4E79" w:themeColor="accent1" w:themeShade="80"/>
        </w:rPr>
        <w:t xml:space="preserve">Thematic Analysis </w:t>
      </w:r>
      <w:r w:rsidRPr="00ED437B">
        <w:rPr>
          <w:rStyle w:val="Strong"/>
          <w:b w:val="0"/>
          <w:bCs w:val="0"/>
        </w:rPr>
        <w:t xml:space="preserve">of </w:t>
      </w:r>
      <w:r w:rsidRPr="00ED437B">
        <w:rPr>
          <w:rStyle w:val="Strong"/>
          <w:b w:val="0"/>
          <w:bCs w:val="0"/>
          <w:color w:val="1F4E79" w:themeColor="accent1" w:themeShade="80"/>
        </w:rPr>
        <w:t>Motivations and Work-Related Values of Generation Z</w:t>
      </w:r>
      <w:bookmarkEnd w:id="41"/>
    </w:p>
    <w:tbl>
      <w:tblPr>
        <w:tblStyle w:val="TableGrid"/>
        <w:tblW w:w="8995" w:type="dxa"/>
        <w:tblLook w:val="04A0" w:firstRow="1" w:lastRow="0" w:firstColumn="1" w:lastColumn="0" w:noHBand="0" w:noVBand="1"/>
      </w:tblPr>
      <w:tblGrid>
        <w:gridCol w:w="1721"/>
        <w:gridCol w:w="1874"/>
        <w:gridCol w:w="5400"/>
      </w:tblGrid>
      <w:tr w:rsidR="00E361C3" w:rsidRPr="00ED437B" w14:paraId="25316BEC" w14:textId="77777777" w:rsidTr="00E361C3">
        <w:trPr>
          <w:trHeight w:val="288"/>
        </w:trPr>
        <w:tc>
          <w:tcPr>
            <w:tcW w:w="1721" w:type="dxa"/>
            <w:noWrap/>
            <w:vAlign w:val="center"/>
            <w:hideMark/>
          </w:tcPr>
          <w:p w14:paraId="148DF76E" w14:textId="77777777" w:rsidR="00E361C3" w:rsidRPr="00ED437B" w:rsidRDefault="00E361C3" w:rsidP="00E361C3">
            <w:pPr>
              <w:jc w:val="center"/>
              <w:rPr>
                <w:rFonts w:eastAsia="Times New Roman"/>
                <w:b/>
                <w:bCs/>
                <w:color w:val="000000"/>
                <w:sz w:val="22"/>
                <w:lang w:eastAsia="zh-CN" w:bidi="bn-IN"/>
              </w:rPr>
            </w:pPr>
            <w:r w:rsidRPr="00ED437B">
              <w:rPr>
                <w:rFonts w:eastAsia="Times New Roman"/>
                <w:b/>
                <w:bCs/>
                <w:color w:val="000000"/>
                <w:sz w:val="22"/>
                <w:lang w:eastAsia="zh-CN" w:bidi="bn-IN"/>
              </w:rPr>
              <w:t>Theme</w:t>
            </w:r>
          </w:p>
        </w:tc>
        <w:tc>
          <w:tcPr>
            <w:tcW w:w="1874" w:type="dxa"/>
            <w:noWrap/>
            <w:vAlign w:val="center"/>
            <w:hideMark/>
          </w:tcPr>
          <w:p w14:paraId="2559E591" w14:textId="77777777" w:rsidR="00E361C3" w:rsidRPr="00ED437B" w:rsidRDefault="00E361C3" w:rsidP="00E361C3">
            <w:pPr>
              <w:jc w:val="center"/>
              <w:rPr>
                <w:rFonts w:eastAsia="Times New Roman"/>
                <w:b/>
                <w:bCs/>
                <w:color w:val="000000"/>
                <w:sz w:val="22"/>
                <w:lang w:eastAsia="zh-CN" w:bidi="bn-IN"/>
              </w:rPr>
            </w:pPr>
            <w:r w:rsidRPr="00ED437B">
              <w:rPr>
                <w:rFonts w:eastAsia="Times New Roman"/>
                <w:b/>
                <w:bCs/>
                <w:color w:val="000000"/>
                <w:sz w:val="22"/>
                <w:lang w:eastAsia="zh-CN" w:bidi="bn-IN"/>
              </w:rPr>
              <w:t>Sub-theme</w:t>
            </w:r>
          </w:p>
        </w:tc>
        <w:tc>
          <w:tcPr>
            <w:tcW w:w="5400" w:type="dxa"/>
            <w:noWrap/>
            <w:vAlign w:val="center"/>
            <w:hideMark/>
          </w:tcPr>
          <w:p w14:paraId="04C8C4C5" w14:textId="0A8A7247" w:rsidR="00E361C3" w:rsidRPr="00ED437B" w:rsidRDefault="00E361C3" w:rsidP="00E361C3">
            <w:pPr>
              <w:jc w:val="center"/>
              <w:rPr>
                <w:rFonts w:eastAsia="Times New Roman"/>
                <w:b/>
                <w:bCs/>
                <w:color w:val="000000"/>
                <w:sz w:val="22"/>
                <w:lang w:eastAsia="zh-CN" w:bidi="bn-IN"/>
              </w:rPr>
            </w:pPr>
            <w:r w:rsidRPr="00ED437B">
              <w:rPr>
                <w:rFonts w:eastAsia="Times New Roman"/>
                <w:b/>
                <w:bCs/>
                <w:color w:val="000000"/>
                <w:sz w:val="22"/>
                <w:lang w:eastAsia="zh-CN" w:bidi="bn-IN"/>
              </w:rPr>
              <w:t>Codes</w:t>
            </w:r>
          </w:p>
        </w:tc>
      </w:tr>
      <w:tr w:rsidR="00E361C3" w:rsidRPr="00ED437B" w14:paraId="2C06E2E3" w14:textId="77777777" w:rsidTr="00E361C3">
        <w:trPr>
          <w:trHeight w:val="288"/>
        </w:trPr>
        <w:tc>
          <w:tcPr>
            <w:tcW w:w="1721" w:type="dxa"/>
            <w:vMerge w:val="restart"/>
            <w:noWrap/>
            <w:vAlign w:val="center"/>
            <w:hideMark/>
          </w:tcPr>
          <w:p w14:paraId="7405F29B" w14:textId="3E5953D0" w:rsidR="00E361C3" w:rsidRPr="00ED437B" w:rsidRDefault="00E361C3" w:rsidP="00E361C3">
            <w:pPr>
              <w:jc w:val="left"/>
              <w:rPr>
                <w:rFonts w:eastAsia="Times New Roman"/>
                <w:b/>
                <w:bCs/>
                <w:color w:val="000000"/>
                <w:sz w:val="22"/>
                <w:lang w:eastAsia="zh-CN" w:bidi="bn-IN"/>
              </w:rPr>
            </w:pPr>
            <w:r w:rsidRPr="00ED437B">
              <w:rPr>
                <w:rFonts w:eastAsia="Times New Roman"/>
                <w:b/>
                <w:bCs/>
                <w:color w:val="000000"/>
                <w:sz w:val="22"/>
                <w:lang w:eastAsia="zh-CN" w:bidi="bn-IN"/>
              </w:rPr>
              <w:t>Desire for Meaningful and Purpose-Driven Work</w:t>
            </w:r>
          </w:p>
        </w:tc>
        <w:tc>
          <w:tcPr>
            <w:tcW w:w="1874" w:type="dxa"/>
            <w:vMerge w:val="restart"/>
            <w:noWrap/>
            <w:vAlign w:val="center"/>
            <w:hideMark/>
          </w:tcPr>
          <w:p w14:paraId="23391527"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Social and Environmental Contribution</w:t>
            </w:r>
          </w:p>
        </w:tc>
        <w:tc>
          <w:tcPr>
            <w:tcW w:w="5400" w:type="dxa"/>
            <w:noWrap/>
            <w:vAlign w:val="center"/>
            <w:hideMark/>
          </w:tcPr>
          <w:p w14:paraId="5FED41EC" w14:textId="560E8136"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Motivation to work for employers with visible ethical commitments (Ng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2021).</w:t>
            </w:r>
          </w:p>
        </w:tc>
      </w:tr>
      <w:tr w:rsidR="00E361C3" w:rsidRPr="00ED437B" w14:paraId="674FAF30" w14:textId="77777777" w:rsidTr="00E361C3">
        <w:trPr>
          <w:trHeight w:val="288"/>
        </w:trPr>
        <w:tc>
          <w:tcPr>
            <w:tcW w:w="1721" w:type="dxa"/>
            <w:vMerge/>
            <w:noWrap/>
            <w:vAlign w:val="center"/>
            <w:hideMark/>
          </w:tcPr>
          <w:p w14:paraId="1F3AE460"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3157FC69"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177B1134" w14:textId="6A49AAB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Preference for roles that contribute to social impact or sustainability goals (Seemiller and Grace, 2019).</w:t>
            </w:r>
          </w:p>
        </w:tc>
      </w:tr>
      <w:tr w:rsidR="00E361C3" w:rsidRPr="00ED437B" w14:paraId="431CF055" w14:textId="77777777" w:rsidTr="00E361C3">
        <w:trPr>
          <w:trHeight w:val="288"/>
        </w:trPr>
        <w:tc>
          <w:tcPr>
            <w:tcW w:w="1721" w:type="dxa"/>
            <w:vMerge/>
            <w:noWrap/>
            <w:vAlign w:val="center"/>
            <w:hideMark/>
          </w:tcPr>
          <w:p w14:paraId="7700A039"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6E0F981A"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674AFEC6" w14:textId="14D7FC64"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Expectation that organisations uphold responsible governance practices (Williams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2022).</w:t>
            </w:r>
          </w:p>
        </w:tc>
      </w:tr>
      <w:tr w:rsidR="00E361C3" w:rsidRPr="00ED437B" w14:paraId="768D7999" w14:textId="77777777" w:rsidTr="00E361C3">
        <w:trPr>
          <w:trHeight w:val="288"/>
        </w:trPr>
        <w:tc>
          <w:tcPr>
            <w:tcW w:w="1721" w:type="dxa"/>
            <w:vMerge/>
            <w:noWrap/>
            <w:vAlign w:val="center"/>
            <w:hideMark/>
          </w:tcPr>
          <w:p w14:paraId="483CD721" w14:textId="77777777" w:rsidR="00E361C3" w:rsidRPr="00ED437B" w:rsidRDefault="00E361C3" w:rsidP="00E361C3">
            <w:pPr>
              <w:jc w:val="left"/>
              <w:rPr>
                <w:rFonts w:eastAsia="Times New Roman"/>
                <w:color w:val="000000"/>
                <w:sz w:val="22"/>
                <w:lang w:eastAsia="zh-CN" w:bidi="bn-IN"/>
              </w:rPr>
            </w:pPr>
          </w:p>
        </w:tc>
        <w:tc>
          <w:tcPr>
            <w:tcW w:w="1874" w:type="dxa"/>
            <w:vMerge w:val="restart"/>
            <w:noWrap/>
            <w:vAlign w:val="center"/>
            <w:hideMark/>
          </w:tcPr>
          <w:p w14:paraId="6115D631"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Personal Fulfilment and Growth of Purpose</w:t>
            </w:r>
          </w:p>
        </w:tc>
        <w:tc>
          <w:tcPr>
            <w:tcW w:w="5400" w:type="dxa"/>
            <w:noWrap/>
            <w:vAlign w:val="center"/>
            <w:hideMark/>
          </w:tcPr>
          <w:p w14:paraId="1DC70166" w14:textId="1FC9197F"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Seeking alignment between personal values and organisational mission (Schroth, 2019).</w:t>
            </w:r>
          </w:p>
        </w:tc>
      </w:tr>
      <w:tr w:rsidR="00E361C3" w:rsidRPr="00ED437B" w14:paraId="6F350470" w14:textId="77777777" w:rsidTr="00E361C3">
        <w:trPr>
          <w:trHeight w:val="288"/>
        </w:trPr>
        <w:tc>
          <w:tcPr>
            <w:tcW w:w="1721" w:type="dxa"/>
            <w:vMerge/>
            <w:noWrap/>
            <w:vAlign w:val="center"/>
            <w:hideMark/>
          </w:tcPr>
          <w:p w14:paraId="2C7ED0BA"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181A4A03"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439611C8" w14:textId="00E3EDB0"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Desire for emotionally fulfilling tasks rather than routine output (Goh and Lee, 2020).</w:t>
            </w:r>
          </w:p>
        </w:tc>
      </w:tr>
      <w:tr w:rsidR="00E361C3" w:rsidRPr="00ED437B" w14:paraId="0A3C84BD" w14:textId="77777777" w:rsidTr="00E361C3">
        <w:trPr>
          <w:trHeight w:val="288"/>
        </w:trPr>
        <w:tc>
          <w:tcPr>
            <w:tcW w:w="1721" w:type="dxa"/>
            <w:vMerge/>
            <w:noWrap/>
            <w:vAlign w:val="center"/>
            <w:hideMark/>
          </w:tcPr>
          <w:p w14:paraId="5FF83445"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4FFA375F"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4D2B1E76" w14:textId="4322368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Motivation driven by opportunities to see tangible outcomes of work (Miller and Fry, 2021).</w:t>
            </w:r>
          </w:p>
        </w:tc>
      </w:tr>
      <w:tr w:rsidR="00E361C3" w:rsidRPr="00ED437B" w14:paraId="120CD9F5" w14:textId="77777777" w:rsidTr="00E361C3">
        <w:trPr>
          <w:trHeight w:val="288"/>
        </w:trPr>
        <w:tc>
          <w:tcPr>
            <w:tcW w:w="1721" w:type="dxa"/>
            <w:vMerge w:val="restart"/>
            <w:noWrap/>
            <w:vAlign w:val="center"/>
            <w:hideMark/>
          </w:tcPr>
          <w:p w14:paraId="4EBD0167" w14:textId="72CF110E" w:rsidR="00E361C3" w:rsidRPr="00ED437B" w:rsidRDefault="00E361C3" w:rsidP="00E361C3">
            <w:pPr>
              <w:jc w:val="left"/>
              <w:rPr>
                <w:rFonts w:eastAsia="Times New Roman"/>
                <w:b/>
                <w:bCs/>
                <w:color w:val="000000"/>
                <w:sz w:val="22"/>
                <w:lang w:eastAsia="zh-CN" w:bidi="bn-IN"/>
              </w:rPr>
            </w:pPr>
            <w:r w:rsidRPr="00ED437B">
              <w:rPr>
                <w:rFonts w:eastAsia="Times New Roman"/>
                <w:b/>
                <w:bCs/>
                <w:color w:val="000000"/>
                <w:sz w:val="22"/>
                <w:lang w:eastAsia="zh-CN" w:bidi="bn-IN"/>
              </w:rPr>
              <w:t>Expectation of Continuous Learning and Career Development</w:t>
            </w:r>
          </w:p>
        </w:tc>
        <w:tc>
          <w:tcPr>
            <w:tcW w:w="1874" w:type="dxa"/>
            <w:vMerge w:val="restart"/>
            <w:noWrap/>
            <w:vAlign w:val="center"/>
            <w:hideMark/>
          </w:tcPr>
          <w:p w14:paraId="43EBB5D8"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Skill Acquisition and Professional Expansion</w:t>
            </w:r>
          </w:p>
        </w:tc>
        <w:tc>
          <w:tcPr>
            <w:tcW w:w="5400" w:type="dxa"/>
            <w:noWrap/>
            <w:vAlign w:val="center"/>
            <w:hideMark/>
          </w:tcPr>
          <w:p w14:paraId="44ABE8C0" w14:textId="1292BEBA"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Strong motivation to gain new skills rapidly (Prasad and Kurian, 2021).</w:t>
            </w:r>
          </w:p>
        </w:tc>
      </w:tr>
      <w:tr w:rsidR="00E361C3" w:rsidRPr="00ED437B" w14:paraId="3E1204D2" w14:textId="77777777" w:rsidTr="00E361C3">
        <w:trPr>
          <w:trHeight w:val="288"/>
        </w:trPr>
        <w:tc>
          <w:tcPr>
            <w:tcW w:w="1721" w:type="dxa"/>
            <w:vMerge/>
            <w:noWrap/>
            <w:vAlign w:val="center"/>
            <w:hideMark/>
          </w:tcPr>
          <w:p w14:paraId="12123511"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5F8A9555"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628FB4A5" w14:textId="22AB90CE"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Expectation of structured learning opportunities from employers (Berkup, 2018).</w:t>
            </w:r>
          </w:p>
        </w:tc>
      </w:tr>
      <w:tr w:rsidR="00E361C3" w:rsidRPr="00ED437B" w14:paraId="26037330" w14:textId="77777777" w:rsidTr="00E361C3">
        <w:trPr>
          <w:trHeight w:val="288"/>
        </w:trPr>
        <w:tc>
          <w:tcPr>
            <w:tcW w:w="1721" w:type="dxa"/>
            <w:vMerge/>
            <w:noWrap/>
            <w:vAlign w:val="center"/>
            <w:hideMark/>
          </w:tcPr>
          <w:p w14:paraId="544FAED3"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0FF2B9E2"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6DD1D5C9" w14:textId="2ADF0142"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Preference for roles offering multi-skilling and cross-functional experiences (Ozkan and Solmaz, 2019).</w:t>
            </w:r>
          </w:p>
        </w:tc>
      </w:tr>
      <w:tr w:rsidR="00E361C3" w:rsidRPr="00ED437B" w14:paraId="0F60DA3C" w14:textId="77777777" w:rsidTr="00E361C3">
        <w:trPr>
          <w:trHeight w:val="288"/>
        </w:trPr>
        <w:tc>
          <w:tcPr>
            <w:tcW w:w="1721" w:type="dxa"/>
            <w:vMerge/>
            <w:noWrap/>
            <w:vAlign w:val="center"/>
            <w:hideMark/>
          </w:tcPr>
          <w:p w14:paraId="6D66B2F4" w14:textId="77777777" w:rsidR="00E361C3" w:rsidRPr="00ED437B" w:rsidRDefault="00E361C3" w:rsidP="00E361C3">
            <w:pPr>
              <w:jc w:val="left"/>
              <w:rPr>
                <w:rFonts w:eastAsia="Times New Roman"/>
                <w:color w:val="000000"/>
                <w:sz w:val="22"/>
                <w:lang w:eastAsia="zh-CN" w:bidi="bn-IN"/>
              </w:rPr>
            </w:pPr>
          </w:p>
        </w:tc>
        <w:tc>
          <w:tcPr>
            <w:tcW w:w="1874" w:type="dxa"/>
            <w:vMerge w:val="restart"/>
            <w:noWrap/>
            <w:vAlign w:val="center"/>
            <w:hideMark/>
          </w:tcPr>
          <w:p w14:paraId="17EC3587"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Transparent Career Progression</w:t>
            </w:r>
          </w:p>
        </w:tc>
        <w:tc>
          <w:tcPr>
            <w:tcW w:w="5400" w:type="dxa"/>
            <w:noWrap/>
            <w:vAlign w:val="center"/>
            <w:hideMark/>
          </w:tcPr>
          <w:p w14:paraId="5BCE2B52" w14:textId="48401353"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Value placed on clear promotion pathways (Schroth, 2019).</w:t>
            </w:r>
          </w:p>
        </w:tc>
      </w:tr>
      <w:tr w:rsidR="00E361C3" w:rsidRPr="00ED437B" w14:paraId="012AFC61" w14:textId="77777777" w:rsidTr="00E361C3">
        <w:trPr>
          <w:trHeight w:val="288"/>
        </w:trPr>
        <w:tc>
          <w:tcPr>
            <w:tcW w:w="1721" w:type="dxa"/>
            <w:vMerge/>
            <w:noWrap/>
            <w:vAlign w:val="center"/>
            <w:hideMark/>
          </w:tcPr>
          <w:p w14:paraId="11A0E36D"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644185D7"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40B8809E" w14:textId="5D32228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Motivation tied to regular feedback and performance transparency (Goh and Lee, 2020).</w:t>
            </w:r>
          </w:p>
        </w:tc>
      </w:tr>
      <w:tr w:rsidR="00E361C3" w:rsidRPr="00ED437B" w14:paraId="631C9235" w14:textId="77777777" w:rsidTr="00E361C3">
        <w:trPr>
          <w:trHeight w:val="288"/>
        </w:trPr>
        <w:tc>
          <w:tcPr>
            <w:tcW w:w="1721" w:type="dxa"/>
            <w:vMerge/>
            <w:noWrap/>
            <w:vAlign w:val="center"/>
            <w:hideMark/>
          </w:tcPr>
          <w:p w14:paraId="6920B395"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26964AA0"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6EB9A5DA" w14:textId="67638AE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Strong dislike of hierarchical opacity in advancement structures (Prasad and Kurian, 2021).</w:t>
            </w:r>
          </w:p>
        </w:tc>
      </w:tr>
      <w:tr w:rsidR="00E361C3" w:rsidRPr="00ED437B" w14:paraId="5B36EDFD" w14:textId="77777777" w:rsidTr="00E361C3">
        <w:trPr>
          <w:trHeight w:val="288"/>
        </w:trPr>
        <w:tc>
          <w:tcPr>
            <w:tcW w:w="1721" w:type="dxa"/>
            <w:vMerge w:val="restart"/>
            <w:noWrap/>
            <w:vAlign w:val="center"/>
            <w:hideMark/>
          </w:tcPr>
          <w:p w14:paraId="5A21D863" w14:textId="72003E91" w:rsidR="00E361C3" w:rsidRPr="00ED437B" w:rsidRDefault="00E361C3" w:rsidP="00E361C3">
            <w:pPr>
              <w:jc w:val="left"/>
              <w:rPr>
                <w:rFonts w:eastAsia="Times New Roman"/>
                <w:b/>
                <w:bCs/>
                <w:color w:val="000000"/>
                <w:sz w:val="22"/>
                <w:lang w:eastAsia="zh-CN" w:bidi="bn-IN"/>
              </w:rPr>
            </w:pPr>
            <w:r w:rsidRPr="00ED437B">
              <w:rPr>
                <w:rFonts w:eastAsia="Times New Roman"/>
                <w:b/>
                <w:bCs/>
                <w:color w:val="000000"/>
                <w:sz w:val="22"/>
                <w:lang w:eastAsia="zh-CN" w:bidi="bn-IN"/>
              </w:rPr>
              <w:t>Preference for Flexibility and Work-Life Integration</w:t>
            </w:r>
          </w:p>
        </w:tc>
        <w:tc>
          <w:tcPr>
            <w:tcW w:w="1874" w:type="dxa"/>
            <w:vMerge w:val="restart"/>
            <w:noWrap/>
            <w:vAlign w:val="center"/>
            <w:hideMark/>
          </w:tcPr>
          <w:p w14:paraId="5F7745B3"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Flexible Work Arrangements</w:t>
            </w:r>
          </w:p>
        </w:tc>
        <w:tc>
          <w:tcPr>
            <w:tcW w:w="5400" w:type="dxa"/>
            <w:noWrap/>
            <w:vAlign w:val="center"/>
            <w:hideMark/>
          </w:tcPr>
          <w:p w14:paraId="7DB9C7E7" w14:textId="6A029AE8"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High motivation for remote or hybrid work options (Williams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2022).</w:t>
            </w:r>
          </w:p>
        </w:tc>
      </w:tr>
      <w:tr w:rsidR="00E361C3" w:rsidRPr="00ED437B" w14:paraId="7A2AC8FD" w14:textId="77777777" w:rsidTr="00E361C3">
        <w:trPr>
          <w:trHeight w:val="288"/>
        </w:trPr>
        <w:tc>
          <w:tcPr>
            <w:tcW w:w="1721" w:type="dxa"/>
            <w:vMerge/>
            <w:noWrap/>
            <w:vAlign w:val="center"/>
            <w:hideMark/>
          </w:tcPr>
          <w:p w14:paraId="6554F387"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070F5C1C"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734D5E62" w14:textId="1DF00002"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Expectation that employers facilitate autonomy over working hours (Ng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2021).</w:t>
            </w:r>
          </w:p>
        </w:tc>
      </w:tr>
      <w:tr w:rsidR="00E361C3" w:rsidRPr="00ED437B" w14:paraId="0AE94BAC" w14:textId="77777777" w:rsidTr="00E361C3">
        <w:trPr>
          <w:trHeight w:val="288"/>
        </w:trPr>
        <w:tc>
          <w:tcPr>
            <w:tcW w:w="1721" w:type="dxa"/>
            <w:vMerge/>
            <w:noWrap/>
            <w:vAlign w:val="center"/>
            <w:hideMark/>
          </w:tcPr>
          <w:p w14:paraId="566D879F"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42F8C663"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5CDFA5D2" w14:textId="578221EC"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Value placed on outcomes rather than hours logged (Miller and Fry, 2021).</w:t>
            </w:r>
          </w:p>
        </w:tc>
      </w:tr>
      <w:tr w:rsidR="00E361C3" w:rsidRPr="00ED437B" w14:paraId="63064BDA" w14:textId="77777777" w:rsidTr="00E361C3">
        <w:trPr>
          <w:trHeight w:val="288"/>
        </w:trPr>
        <w:tc>
          <w:tcPr>
            <w:tcW w:w="1721" w:type="dxa"/>
            <w:vMerge/>
            <w:noWrap/>
            <w:vAlign w:val="center"/>
            <w:hideMark/>
          </w:tcPr>
          <w:p w14:paraId="3308CBEB" w14:textId="77777777" w:rsidR="00E361C3" w:rsidRPr="00ED437B" w:rsidRDefault="00E361C3" w:rsidP="00E361C3">
            <w:pPr>
              <w:jc w:val="left"/>
              <w:rPr>
                <w:rFonts w:eastAsia="Times New Roman"/>
                <w:color w:val="000000"/>
                <w:sz w:val="22"/>
                <w:lang w:eastAsia="zh-CN" w:bidi="bn-IN"/>
              </w:rPr>
            </w:pPr>
          </w:p>
        </w:tc>
        <w:tc>
          <w:tcPr>
            <w:tcW w:w="1874" w:type="dxa"/>
            <w:vMerge w:val="restart"/>
            <w:noWrap/>
            <w:vAlign w:val="center"/>
            <w:hideMark/>
          </w:tcPr>
          <w:p w14:paraId="7383C651"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Wellbeing and Psychological Balance</w:t>
            </w:r>
          </w:p>
        </w:tc>
        <w:tc>
          <w:tcPr>
            <w:tcW w:w="5400" w:type="dxa"/>
            <w:noWrap/>
            <w:vAlign w:val="center"/>
            <w:hideMark/>
          </w:tcPr>
          <w:p w14:paraId="215C0A5D" w14:textId="365C4715"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Avoidance of burnout-prone environments (Seemiller and Grace, 2019).</w:t>
            </w:r>
          </w:p>
        </w:tc>
      </w:tr>
      <w:tr w:rsidR="00E361C3" w:rsidRPr="00ED437B" w14:paraId="577AD7DE" w14:textId="77777777" w:rsidTr="00E361C3">
        <w:trPr>
          <w:trHeight w:val="288"/>
        </w:trPr>
        <w:tc>
          <w:tcPr>
            <w:tcW w:w="1721" w:type="dxa"/>
            <w:vMerge/>
            <w:noWrap/>
            <w:vAlign w:val="center"/>
            <w:hideMark/>
          </w:tcPr>
          <w:p w14:paraId="0398E1A3"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1B14CBDC"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07DD7FC2" w14:textId="0D1FBD22"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Value placed on mental wellbeing initiatives and supportive culture (Prasad and Kurian, 2021).</w:t>
            </w:r>
          </w:p>
        </w:tc>
      </w:tr>
      <w:tr w:rsidR="00E361C3" w:rsidRPr="00ED437B" w14:paraId="10A6D9C6" w14:textId="77777777" w:rsidTr="00E361C3">
        <w:trPr>
          <w:trHeight w:val="288"/>
        </w:trPr>
        <w:tc>
          <w:tcPr>
            <w:tcW w:w="1721" w:type="dxa"/>
            <w:vMerge/>
            <w:noWrap/>
            <w:vAlign w:val="center"/>
            <w:hideMark/>
          </w:tcPr>
          <w:p w14:paraId="1EB847CD"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1EA74962"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12B6FA23" w14:textId="15A7864A"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Motivation enhanced by workplace environments that maintain healthy boundaries (Goh and Lee, 2020).</w:t>
            </w:r>
          </w:p>
        </w:tc>
      </w:tr>
      <w:tr w:rsidR="00E361C3" w:rsidRPr="00ED437B" w14:paraId="7CFF5BEA" w14:textId="77777777" w:rsidTr="00E361C3">
        <w:trPr>
          <w:trHeight w:val="288"/>
        </w:trPr>
        <w:tc>
          <w:tcPr>
            <w:tcW w:w="1721" w:type="dxa"/>
            <w:vMerge w:val="restart"/>
            <w:noWrap/>
            <w:vAlign w:val="center"/>
            <w:hideMark/>
          </w:tcPr>
          <w:p w14:paraId="6BFD3839" w14:textId="055A6210" w:rsidR="00E361C3" w:rsidRPr="00ED437B" w:rsidRDefault="00E361C3" w:rsidP="00E361C3">
            <w:pPr>
              <w:jc w:val="left"/>
              <w:rPr>
                <w:rFonts w:eastAsia="Times New Roman"/>
                <w:b/>
                <w:bCs/>
                <w:color w:val="000000"/>
                <w:sz w:val="22"/>
                <w:lang w:eastAsia="zh-CN" w:bidi="bn-IN"/>
              </w:rPr>
            </w:pPr>
            <w:r w:rsidRPr="00ED437B">
              <w:rPr>
                <w:rFonts w:eastAsia="Times New Roman"/>
                <w:b/>
                <w:bCs/>
                <w:color w:val="000000"/>
                <w:sz w:val="22"/>
                <w:lang w:eastAsia="zh-CN" w:bidi="bn-IN"/>
              </w:rPr>
              <w:t>Emphasis on Digital Fluency and Technological Integration</w:t>
            </w:r>
          </w:p>
        </w:tc>
        <w:tc>
          <w:tcPr>
            <w:tcW w:w="1874" w:type="dxa"/>
            <w:vMerge w:val="restart"/>
            <w:noWrap/>
            <w:vAlign w:val="center"/>
            <w:hideMark/>
          </w:tcPr>
          <w:p w14:paraId="6C62E4DB"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Technology-Enabled Productivity</w:t>
            </w:r>
          </w:p>
        </w:tc>
        <w:tc>
          <w:tcPr>
            <w:tcW w:w="5400" w:type="dxa"/>
            <w:noWrap/>
            <w:vAlign w:val="center"/>
            <w:hideMark/>
          </w:tcPr>
          <w:p w14:paraId="28F29308" w14:textId="56D77C8E"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Expectation that organisations provide modern tools and efficient digital systems (Ozkan and Solmaz, 2019).</w:t>
            </w:r>
          </w:p>
        </w:tc>
      </w:tr>
      <w:tr w:rsidR="00E361C3" w:rsidRPr="00ED437B" w14:paraId="780AFF29" w14:textId="77777777" w:rsidTr="00E361C3">
        <w:trPr>
          <w:trHeight w:val="288"/>
        </w:trPr>
        <w:tc>
          <w:tcPr>
            <w:tcW w:w="1721" w:type="dxa"/>
            <w:vMerge/>
            <w:noWrap/>
            <w:vAlign w:val="center"/>
            <w:hideMark/>
          </w:tcPr>
          <w:p w14:paraId="6B76212F"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2DE3E79C"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1B3915EE" w14:textId="23D22BDA"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Motivation tied to tech-driven processes that reduce manual workload (Berkup, 2018).</w:t>
            </w:r>
          </w:p>
        </w:tc>
      </w:tr>
      <w:tr w:rsidR="00E361C3" w:rsidRPr="00ED437B" w14:paraId="6609F0A2" w14:textId="77777777" w:rsidTr="00E361C3">
        <w:trPr>
          <w:trHeight w:val="288"/>
        </w:trPr>
        <w:tc>
          <w:tcPr>
            <w:tcW w:w="1721" w:type="dxa"/>
            <w:vMerge/>
            <w:noWrap/>
            <w:vAlign w:val="center"/>
            <w:hideMark/>
          </w:tcPr>
          <w:p w14:paraId="58EBAE78"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6491250E"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2F4786C5" w14:textId="12009CBE"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Preference for digital communication channels over traditional ones (Ng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2021).</w:t>
            </w:r>
          </w:p>
        </w:tc>
      </w:tr>
      <w:tr w:rsidR="00E361C3" w:rsidRPr="00ED437B" w14:paraId="29AB0AE9" w14:textId="77777777" w:rsidTr="00E361C3">
        <w:trPr>
          <w:trHeight w:val="288"/>
        </w:trPr>
        <w:tc>
          <w:tcPr>
            <w:tcW w:w="1721" w:type="dxa"/>
            <w:vMerge/>
            <w:noWrap/>
            <w:vAlign w:val="center"/>
            <w:hideMark/>
          </w:tcPr>
          <w:p w14:paraId="2661521E" w14:textId="77777777" w:rsidR="00E361C3" w:rsidRPr="00ED437B" w:rsidRDefault="00E361C3" w:rsidP="00E361C3">
            <w:pPr>
              <w:jc w:val="left"/>
              <w:rPr>
                <w:rFonts w:eastAsia="Times New Roman"/>
                <w:color w:val="000000"/>
                <w:sz w:val="22"/>
                <w:lang w:eastAsia="zh-CN" w:bidi="bn-IN"/>
              </w:rPr>
            </w:pPr>
          </w:p>
        </w:tc>
        <w:tc>
          <w:tcPr>
            <w:tcW w:w="1874" w:type="dxa"/>
            <w:vMerge w:val="restart"/>
            <w:noWrap/>
            <w:vAlign w:val="center"/>
            <w:hideMark/>
          </w:tcPr>
          <w:p w14:paraId="7E980583"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Innovation and Experimentation</w:t>
            </w:r>
          </w:p>
        </w:tc>
        <w:tc>
          <w:tcPr>
            <w:tcW w:w="5400" w:type="dxa"/>
            <w:noWrap/>
            <w:vAlign w:val="center"/>
            <w:hideMark/>
          </w:tcPr>
          <w:p w14:paraId="291870C5" w14:textId="1AF000C1"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Motivation to engage in creative, tech-supported problem-solving (Seemiller and Grace, 2019).</w:t>
            </w:r>
          </w:p>
        </w:tc>
      </w:tr>
      <w:tr w:rsidR="00E361C3" w:rsidRPr="00ED437B" w14:paraId="4B7C4077" w14:textId="77777777" w:rsidTr="00E361C3">
        <w:trPr>
          <w:trHeight w:val="288"/>
        </w:trPr>
        <w:tc>
          <w:tcPr>
            <w:tcW w:w="1721" w:type="dxa"/>
            <w:vMerge/>
            <w:noWrap/>
            <w:vAlign w:val="center"/>
            <w:hideMark/>
          </w:tcPr>
          <w:p w14:paraId="21CE6237"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059A9C18"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1762FC78" w14:textId="11784EC3"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Value placed on organisations that invest in innovation (Williams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2022).</w:t>
            </w:r>
          </w:p>
        </w:tc>
      </w:tr>
      <w:tr w:rsidR="00E361C3" w:rsidRPr="00ED437B" w14:paraId="350438D5" w14:textId="77777777" w:rsidTr="00E361C3">
        <w:trPr>
          <w:trHeight w:val="288"/>
        </w:trPr>
        <w:tc>
          <w:tcPr>
            <w:tcW w:w="1721" w:type="dxa"/>
            <w:vMerge/>
            <w:noWrap/>
            <w:vAlign w:val="center"/>
            <w:hideMark/>
          </w:tcPr>
          <w:p w14:paraId="78C1E9E5"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42370022"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530D01A0" w14:textId="002094F1"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Desire to participate in technologically progressive teams (Miller and Fry, 2021).</w:t>
            </w:r>
          </w:p>
        </w:tc>
      </w:tr>
      <w:tr w:rsidR="00E361C3" w:rsidRPr="00ED437B" w14:paraId="12D1BED7" w14:textId="77777777" w:rsidTr="00E361C3">
        <w:trPr>
          <w:trHeight w:val="288"/>
        </w:trPr>
        <w:tc>
          <w:tcPr>
            <w:tcW w:w="1721" w:type="dxa"/>
            <w:vMerge w:val="restart"/>
            <w:noWrap/>
            <w:vAlign w:val="center"/>
            <w:hideMark/>
          </w:tcPr>
          <w:p w14:paraId="7E0517D2" w14:textId="2286739E" w:rsidR="00E361C3" w:rsidRPr="00ED437B" w:rsidRDefault="00E361C3" w:rsidP="00E361C3">
            <w:pPr>
              <w:jc w:val="left"/>
              <w:rPr>
                <w:rFonts w:eastAsia="Times New Roman"/>
                <w:b/>
                <w:bCs/>
                <w:color w:val="000000"/>
                <w:sz w:val="22"/>
                <w:lang w:eastAsia="zh-CN" w:bidi="bn-IN"/>
              </w:rPr>
            </w:pPr>
            <w:r w:rsidRPr="00ED437B">
              <w:rPr>
                <w:rFonts w:eastAsia="Times New Roman"/>
                <w:b/>
                <w:bCs/>
                <w:color w:val="000000"/>
                <w:sz w:val="22"/>
                <w:lang w:eastAsia="zh-CN" w:bidi="bn-IN"/>
              </w:rPr>
              <w:lastRenderedPageBreak/>
              <w:t>Desire for Fairness, Transparency, and Ethical Leadership</w:t>
            </w:r>
          </w:p>
        </w:tc>
        <w:tc>
          <w:tcPr>
            <w:tcW w:w="1874" w:type="dxa"/>
            <w:vMerge w:val="restart"/>
            <w:noWrap/>
            <w:vAlign w:val="center"/>
            <w:hideMark/>
          </w:tcPr>
          <w:p w14:paraId="246FC854"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Fair Treatment and Inclusive Culture</w:t>
            </w:r>
          </w:p>
        </w:tc>
        <w:tc>
          <w:tcPr>
            <w:tcW w:w="5400" w:type="dxa"/>
            <w:noWrap/>
            <w:vAlign w:val="center"/>
            <w:hideMark/>
          </w:tcPr>
          <w:p w14:paraId="6F650DDD" w14:textId="7CFE91E0"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Expectation of equitable treatment across all demographic groups (Schroth, 2019).</w:t>
            </w:r>
          </w:p>
        </w:tc>
      </w:tr>
      <w:tr w:rsidR="00E361C3" w:rsidRPr="00ED437B" w14:paraId="535C5EC1" w14:textId="77777777" w:rsidTr="00E361C3">
        <w:trPr>
          <w:trHeight w:val="288"/>
        </w:trPr>
        <w:tc>
          <w:tcPr>
            <w:tcW w:w="1721" w:type="dxa"/>
            <w:vMerge/>
            <w:noWrap/>
            <w:vAlign w:val="center"/>
            <w:hideMark/>
          </w:tcPr>
          <w:p w14:paraId="1392F2C8"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0778B0BC"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3C20DA1D" w14:textId="4D2F44A6"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Motivation enhanced by inclusive and diverse organisational practices (Ozkan and Solmaz, 2019).</w:t>
            </w:r>
          </w:p>
        </w:tc>
      </w:tr>
      <w:tr w:rsidR="00E361C3" w:rsidRPr="00ED437B" w14:paraId="2605C87A" w14:textId="77777777" w:rsidTr="00E361C3">
        <w:trPr>
          <w:trHeight w:val="288"/>
        </w:trPr>
        <w:tc>
          <w:tcPr>
            <w:tcW w:w="1721" w:type="dxa"/>
            <w:vMerge/>
            <w:noWrap/>
            <w:vAlign w:val="center"/>
            <w:hideMark/>
          </w:tcPr>
          <w:p w14:paraId="19ABF240"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74793672"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692AB244" w14:textId="6F9775E0"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Sensitivity to ethical lapses in leadership (Ng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2021).</w:t>
            </w:r>
          </w:p>
        </w:tc>
      </w:tr>
      <w:tr w:rsidR="00E361C3" w:rsidRPr="00ED437B" w14:paraId="38A06955" w14:textId="77777777" w:rsidTr="00E361C3">
        <w:trPr>
          <w:trHeight w:val="288"/>
        </w:trPr>
        <w:tc>
          <w:tcPr>
            <w:tcW w:w="1721" w:type="dxa"/>
            <w:vMerge/>
            <w:noWrap/>
            <w:vAlign w:val="center"/>
            <w:hideMark/>
          </w:tcPr>
          <w:p w14:paraId="46E8A7C4" w14:textId="77777777" w:rsidR="00E361C3" w:rsidRPr="00ED437B" w:rsidRDefault="00E361C3" w:rsidP="00E361C3">
            <w:pPr>
              <w:jc w:val="left"/>
              <w:rPr>
                <w:rFonts w:eastAsia="Times New Roman"/>
                <w:color w:val="000000"/>
                <w:sz w:val="22"/>
                <w:lang w:eastAsia="zh-CN" w:bidi="bn-IN"/>
              </w:rPr>
            </w:pPr>
          </w:p>
        </w:tc>
        <w:tc>
          <w:tcPr>
            <w:tcW w:w="1874" w:type="dxa"/>
            <w:vMerge w:val="restart"/>
            <w:noWrap/>
            <w:vAlign w:val="center"/>
            <w:hideMark/>
          </w:tcPr>
          <w:p w14:paraId="6678F3ED"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Transparent and Trustworthy Leadership</w:t>
            </w:r>
          </w:p>
        </w:tc>
        <w:tc>
          <w:tcPr>
            <w:tcW w:w="5400" w:type="dxa"/>
            <w:noWrap/>
            <w:vAlign w:val="center"/>
            <w:hideMark/>
          </w:tcPr>
          <w:p w14:paraId="4932B040" w14:textId="4BFB5B64"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Preference for open communication about decisions (Prasad and Kurian, 2021).</w:t>
            </w:r>
          </w:p>
        </w:tc>
      </w:tr>
      <w:tr w:rsidR="00E361C3" w:rsidRPr="00ED437B" w14:paraId="11D33E03" w14:textId="77777777" w:rsidTr="00E361C3">
        <w:trPr>
          <w:trHeight w:val="288"/>
        </w:trPr>
        <w:tc>
          <w:tcPr>
            <w:tcW w:w="1721" w:type="dxa"/>
            <w:vMerge/>
            <w:noWrap/>
            <w:vAlign w:val="center"/>
            <w:hideMark/>
          </w:tcPr>
          <w:p w14:paraId="7CF5B2CC"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78D942E7"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41E88F6E" w14:textId="1F1BE6B9"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Value placed on leaders who demonstrate authenticity (Williams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2022).</w:t>
            </w:r>
          </w:p>
        </w:tc>
      </w:tr>
      <w:tr w:rsidR="00E361C3" w:rsidRPr="00ED437B" w14:paraId="2DC6F3CC" w14:textId="77777777" w:rsidTr="00E361C3">
        <w:trPr>
          <w:trHeight w:val="288"/>
        </w:trPr>
        <w:tc>
          <w:tcPr>
            <w:tcW w:w="1721" w:type="dxa"/>
            <w:vMerge/>
            <w:noWrap/>
            <w:vAlign w:val="center"/>
            <w:hideMark/>
          </w:tcPr>
          <w:p w14:paraId="6FFEC4C4"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1BCF7E94"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0237B27C" w14:textId="34B43D59"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Expectation of participatory management rather than authoritarian structures (Goh and Lee, 2020).</w:t>
            </w:r>
          </w:p>
        </w:tc>
      </w:tr>
      <w:tr w:rsidR="00E361C3" w:rsidRPr="00ED437B" w14:paraId="5E3381CD" w14:textId="77777777" w:rsidTr="00E361C3">
        <w:trPr>
          <w:trHeight w:val="288"/>
        </w:trPr>
        <w:tc>
          <w:tcPr>
            <w:tcW w:w="1721" w:type="dxa"/>
            <w:vMerge w:val="restart"/>
            <w:noWrap/>
            <w:vAlign w:val="center"/>
            <w:hideMark/>
          </w:tcPr>
          <w:p w14:paraId="4483AE28" w14:textId="5C34E629" w:rsidR="00E361C3" w:rsidRPr="00ED437B" w:rsidRDefault="00E361C3" w:rsidP="00E361C3">
            <w:pPr>
              <w:jc w:val="left"/>
              <w:rPr>
                <w:rFonts w:eastAsia="Times New Roman"/>
                <w:b/>
                <w:bCs/>
                <w:color w:val="000000"/>
                <w:sz w:val="22"/>
                <w:lang w:eastAsia="zh-CN" w:bidi="bn-IN"/>
              </w:rPr>
            </w:pPr>
            <w:r w:rsidRPr="00ED437B">
              <w:rPr>
                <w:rFonts w:eastAsia="Times New Roman"/>
                <w:b/>
                <w:bCs/>
                <w:color w:val="000000"/>
                <w:sz w:val="22"/>
                <w:lang w:eastAsia="zh-CN" w:bidi="bn-IN"/>
              </w:rPr>
              <w:t>Preference for Collaboration and Positive Social Work Environments</w:t>
            </w:r>
          </w:p>
        </w:tc>
        <w:tc>
          <w:tcPr>
            <w:tcW w:w="1874" w:type="dxa"/>
            <w:vMerge w:val="restart"/>
            <w:noWrap/>
            <w:vAlign w:val="center"/>
            <w:hideMark/>
          </w:tcPr>
          <w:p w14:paraId="0ABD053C"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Team-Oriented Culture</w:t>
            </w:r>
          </w:p>
        </w:tc>
        <w:tc>
          <w:tcPr>
            <w:tcW w:w="5400" w:type="dxa"/>
            <w:noWrap/>
            <w:vAlign w:val="center"/>
            <w:hideMark/>
          </w:tcPr>
          <w:p w14:paraId="107E73F7" w14:textId="01A2464B"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Enjoyment of collaborative workspaces (Seemiller and Grace, 2019).</w:t>
            </w:r>
          </w:p>
        </w:tc>
      </w:tr>
      <w:tr w:rsidR="00E361C3" w:rsidRPr="00ED437B" w14:paraId="5770EC8C" w14:textId="77777777" w:rsidTr="00E361C3">
        <w:trPr>
          <w:trHeight w:val="288"/>
        </w:trPr>
        <w:tc>
          <w:tcPr>
            <w:tcW w:w="1721" w:type="dxa"/>
            <w:vMerge/>
            <w:noWrap/>
            <w:vAlign w:val="center"/>
            <w:hideMark/>
          </w:tcPr>
          <w:p w14:paraId="790782B7"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302EA03E"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07C62472" w14:textId="496F5F3F"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Motivation increased by supportive team dynamics (Ozkan and Solmaz, 2019).</w:t>
            </w:r>
          </w:p>
        </w:tc>
      </w:tr>
      <w:tr w:rsidR="00E361C3" w:rsidRPr="00ED437B" w14:paraId="442834F5" w14:textId="77777777" w:rsidTr="00E361C3">
        <w:trPr>
          <w:trHeight w:val="288"/>
        </w:trPr>
        <w:tc>
          <w:tcPr>
            <w:tcW w:w="1721" w:type="dxa"/>
            <w:vMerge/>
            <w:noWrap/>
            <w:vAlign w:val="center"/>
            <w:hideMark/>
          </w:tcPr>
          <w:p w14:paraId="222FAD79"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1A1EC30A"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292D266F" w14:textId="50A5CFF9"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Value placed on interpersonal connection at work (Miller and Fry, 2021).</w:t>
            </w:r>
          </w:p>
        </w:tc>
      </w:tr>
      <w:tr w:rsidR="00E361C3" w:rsidRPr="00ED437B" w14:paraId="7181AB8F" w14:textId="77777777" w:rsidTr="00E361C3">
        <w:trPr>
          <w:trHeight w:val="288"/>
        </w:trPr>
        <w:tc>
          <w:tcPr>
            <w:tcW w:w="1721" w:type="dxa"/>
            <w:vMerge/>
            <w:noWrap/>
            <w:vAlign w:val="center"/>
            <w:hideMark/>
          </w:tcPr>
          <w:p w14:paraId="55848387" w14:textId="77777777" w:rsidR="00E361C3" w:rsidRPr="00ED437B" w:rsidRDefault="00E361C3" w:rsidP="00E361C3">
            <w:pPr>
              <w:jc w:val="left"/>
              <w:rPr>
                <w:rFonts w:eastAsia="Times New Roman"/>
                <w:color w:val="000000"/>
                <w:sz w:val="22"/>
                <w:lang w:eastAsia="zh-CN" w:bidi="bn-IN"/>
              </w:rPr>
            </w:pPr>
          </w:p>
        </w:tc>
        <w:tc>
          <w:tcPr>
            <w:tcW w:w="1874" w:type="dxa"/>
            <w:vMerge w:val="restart"/>
            <w:noWrap/>
            <w:vAlign w:val="center"/>
            <w:hideMark/>
          </w:tcPr>
          <w:p w14:paraId="57B6BACB" w14:textId="7777777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Open Communication Norms</w:t>
            </w:r>
          </w:p>
        </w:tc>
        <w:tc>
          <w:tcPr>
            <w:tcW w:w="5400" w:type="dxa"/>
            <w:noWrap/>
            <w:vAlign w:val="center"/>
            <w:hideMark/>
          </w:tcPr>
          <w:p w14:paraId="1828D50A" w14:textId="042871D5"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Preference for transparent communication across levels (Schroth, 2019).</w:t>
            </w:r>
          </w:p>
        </w:tc>
      </w:tr>
      <w:tr w:rsidR="00E361C3" w:rsidRPr="00ED437B" w14:paraId="28233A18" w14:textId="77777777" w:rsidTr="00E361C3">
        <w:trPr>
          <w:trHeight w:val="288"/>
        </w:trPr>
        <w:tc>
          <w:tcPr>
            <w:tcW w:w="1721" w:type="dxa"/>
            <w:vMerge/>
            <w:noWrap/>
            <w:vAlign w:val="center"/>
            <w:hideMark/>
          </w:tcPr>
          <w:p w14:paraId="169F7F5E"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7FE5FAB5"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34CFEF7C" w14:textId="1CC9CCC0"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 xml:space="preserve">Motivation supported by regular dialogue with supervisors (Ng </w:t>
            </w:r>
            <w:r w:rsidR="000C3E28" w:rsidRPr="00ED437B">
              <w:rPr>
                <w:rFonts w:eastAsia="Times New Roman"/>
                <w:i/>
                <w:iCs/>
                <w:color w:val="000000"/>
                <w:sz w:val="22"/>
                <w:lang w:eastAsia="zh-CN" w:bidi="bn-IN"/>
              </w:rPr>
              <w:t>et al</w:t>
            </w:r>
            <w:r w:rsidRPr="00ED437B">
              <w:rPr>
                <w:rFonts w:eastAsia="Times New Roman"/>
                <w:color w:val="000000"/>
                <w:sz w:val="22"/>
                <w:lang w:eastAsia="zh-CN" w:bidi="bn-IN"/>
              </w:rPr>
              <w:t>., 2021).</w:t>
            </w:r>
          </w:p>
        </w:tc>
      </w:tr>
      <w:tr w:rsidR="00E361C3" w:rsidRPr="00ED437B" w14:paraId="5927EFA5" w14:textId="77777777" w:rsidTr="00E361C3">
        <w:trPr>
          <w:trHeight w:val="288"/>
        </w:trPr>
        <w:tc>
          <w:tcPr>
            <w:tcW w:w="1721" w:type="dxa"/>
            <w:vMerge/>
            <w:noWrap/>
            <w:vAlign w:val="center"/>
            <w:hideMark/>
          </w:tcPr>
          <w:p w14:paraId="6A788096" w14:textId="77777777" w:rsidR="00E361C3" w:rsidRPr="00ED437B" w:rsidRDefault="00E361C3" w:rsidP="00E361C3">
            <w:pPr>
              <w:jc w:val="left"/>
              <w:rPr>
                <w:rFonts w:eastAsia="Times New Roman"/>
                <w:color w:val="000000"/>
                <w:sz w:val="22"/>
                <w:lang w:eastAsia="zh-CN" w:bidi="bn-IN"/>
              </w:rPr>
            </w:pPr>
          </w:p>
        </w:tc>
        <w:tc>
          <w:tcPr>
            <w:tcW w:w="1874" w:type="dxa"/>
            <w:vMerge/>
            <w:noWrap/>
            <w:vAlign w:val="center"/>
            <w:hideMark/>
          </w:tcPr>
          <w:p w14:paraId="2BE9DA7A" w14:textId="77777777" w:rsidR="00E361C3" w:rsidRPr="00ED437B" w:rsidRDefault="00E361C3" w:rsidP="00E361C3">
            <w:pPr>
              <w:jc w:val="left"/>
              <w:rPr>
                <w:rFonts w:eastAsia="Times New Roman"/>
                <w:sz w:val="20"/>
                <w:szCs w:val="20"/>
                <w:lang w:eastAsia="zh-CN" w:bidi="bn-IN"/>
              </w:rPr>
            </w:pPr>
          </w:p>
        </w:tc>
        <w:tc>
          <w:tcPr>
            <w:tcW w:w="5400" w:type="dxa"/>
            <w:noWrap/>
            <w:vAlign w:val="center"/>
            <w:hideMark/>
          </w:tcPr>
          <w:p w14:paraId="456F47F2" w14:textId="05783F97" w:rsidR="00E361C3" w:rsidRPr="00ED437B" w:rsidRDefault="00E361C3" w:rsidP="00E361C3">
            <w:pPr>
              <w:jc w:val="left"/>
              <w:rPr>
                <w:rFonts w:eastAsia="Times New Roman"/>
                <w:color w:val="000000"/>
                <w:sz w:val="22"/>
                <w:lang w:eastAsia="zh-CN" w:bidi="bn-IN"/>
              </w:rPr>
            </w:pPr>
            <w:r w:rsidRPr="00ED437B">
              <w:rPr>
                <w:rFonts w:eastAsia="Times New Roman"/>
                <w:color w:val="000000"/>
                <w:sz w:val="22"/>
                <w:lang w:eastAsia="zh-CN" w:bidi="bn-IN"/>
              </w:rPr>
              <w:t>Desire for workplaces that encourage open feedback (Prasad and Kurian, 2021).</w:t>
            </w:r>
          </w:p>
        </w:tc>
      </w:tr>
    </w:tbl>
    <w:p w14:paraId="22B57E54" w14:textId="5C1E5B29" w:rsidR="005E23C1" w:rsidRPr="00ED437B" w:rsidRDefault="005E23C1" w:rsidP="00E361C3"/>
    <w:p w14:paraId="0D930473" w14:textId="65C1CBB7" w:rsidR="00E361C3" w:rsidRPr="00ED437B" w:rsidRDefault="005E23C1" w:rsidP="005E23C1">
      <w:pPr>
        <w:spacing w:before="0" w:after="160" w:line="259" w:lineRule="auto"/>
        <w:jc w:val="left"/>
      </w:pPr>
      <w:r w:rsidRPr="00ED437B">
        <w:br w:type="page"/>
      </w:r>
    </w:p>
    <w:p w14:paraId="4012647E" w14:textId="5B94F9CA" w:rsidR="005E23C1" w:rsidRPr="00ED437B" w:rsidRDefault="005E23C1" w:rsidP="005E23C1">
      <w:pPr>
        <w:pStyle w:val="Heading3"/>
      </w:pPr>
      <w:bookmarkStart w:id="42" w:name="_Toc218179349"/>
      <w:r w:rsidRPr="00ED437B">
        <w:lastRenderedPageBreak/>
        <w:t>A Narrative Synthesis of Key Motivations and Work-Related Values of Generation Z</w:t>
      </w:r>
      <w:bookmarkEnd w:id="42"/>
    </w:p>
    <w:p w14:paraId="0AD69292" w14:textId="77777777" w:rsidR="00ED437B" w:rsidRPr="00ED437B" w:rsidRDefault="00ED437B" w:rsidP="00ED437B">
      <w:r w:rsidRPr="00ED437B">
        <w:t>The studies of the Generation Z constantly indicate that the generation arrives in the labour market with a unique set of drives formed under the influence of socialisation in digitally connected and fast-changing conditions and as a result of being exposed to all kinds of uncertainties in the world. In industries and various geography settings, research works converge on few work centred values, which jointly explain how this generation aims to participate, work and stay with organisations.</w:t>
      </w:r>
    </w:p>
    <w:p w14:paraId="64C19D9D" w14:textId="77777777" w:rsidR="00ED437B" w:rsidRPr="00ED437B" w:rsidRDefault="00ED437B" w:rsidP="00ED437B">
      <w:r w:rsidRPr="00ED437B">
        <w:t>Another motivation that keeps reoccurring is the need to have work that is felt to be meaningful and in line with ethical or social purpose. Employees of the gen Z generation are more sensitive to the aspect of corporate social responsibility and organisational integrity, and their attraction and retention are heavily dependent on the ways organisations portray social and environmental responsibility (Nguyen Ngoc et al., 2022; Darby et al., 2025; Gandasari et al., 2024). This moral orientation is also reflected in the choices of the jobs where the results can be linked to the larger social contribution or the organisational missions are represented by individual beliefs.</w:t>
      </w:r>
    </w:p>
    <w:p w14:paraId="72C8812D" w14:textId="77777777" w:rsidR="00ED437B" w:rsidRPr="00ED437B" w:rsidRDefault="00ED437B" w:rsidP="00ED437B">
      <w:r w:rsidRPr="00ED437B">
        <w:t>The other key value is lifelong learning and observable career growth. The focus on fast skill growth, feedback, and clear career advancements is an important value to Gen Z, as it considers these vital to growth and long-term commitment (Arora et al., 2020; El Hajal and Losekoot, 2025; Guslina et al., 2025). Research in hospitality, creative industries and work in projects support the idea that in the case of limited growth opportunities or mentoring, younger workers are likely to disengage or find other ways out (Borg et al., 2023; Jasmine and Utomo, 2024).</w:t>
      </w:r>
    </w:p>
    <w:p w14:paraId="11107FD4" w14:textId="77777777" w:rsidR="00ED437B" w:rsidRPr="00ED437B" w:rsidRDefault="00ED437B" w:rsidP="00ED437B">
      <w:r w:rsidRPr="00ED437B">
        <w:t>The concept of flexibility and work-life integration also turns out to be a powerful motivating factor. A consistent longing that organisations should permit freedom in the working hours and place is articulated by this group, and Becoming hybrid work is a commonly desired arrangement (Osorio and Madero, 2025). Flexibility is not just the popularity of convenience, but it is linked to wellbeing and sustainable productivity, and it is proven that strict environments undermine satisfaction and increase withdrawal behaviours (Becker, 2022; Xueyun et al., 2023).</w:t>
      </w:r>
    </w:p>
    <w:p w14:paraId="4104B1D2" w14:textId="77777777" w:rsidR="00ED437B" w:rsidRPr="00ED437B" w:rsidRDefault="00ED437B" w:rsidP="00ED437B">
      <w:r w:rsidRPr="00ED437B">
        <w:t xml:space="preserve">Since Gen Z workers have been brought up in a digital world, they also appreciate work systems that are technologically well-endowed and effective. They also </w:t>
      </w:r>
      <w:r w:rsidRPr="00ED437B">
        <w:lastRenderedPageBreak/>
        <w:t>anticipate that communication channels, workflow systems and organisational practises are at par with current digitally enabled possibilities and they are also more active when technology is applied to promote creativity and alleviate routine burdens (Janssen and Carradini, 2021; Pichler et al., 2021). Meanwhile, the studies do not want to rely on blind admiration: Gen Z does not want to overlook negative aspects of technology and wants to have healthy transitions between professional and personal life.</w:t>
      </w:r>
    </w:p>
    <w:p w14:paraId="3F8ECC97" w14:textId="1C6E1190" w:rsidR="005E23C1" w:rsidRPr="00ED437B" w:rsidRDefault="00ED437B" w:rsidP="005E23C1">
      <w:r w:rsidRPr="00ED437B">
        <w:t>Another motivational cluster is fairness, open leadership and participative work environment. Researchers state that Gen Z workers are highly responsive to the sense of injustice, organisational ambiguity, or absence of genuineness in management (Gabrielova and Buchko, 2021; Sigaeva et al., 2022). The styles of authentic and transformational leadership are more likely to enhance the engagement and commitment levels since they fulfil the need of the cohort to have clarity, trust, and moral consistency</w:t>
      </w:r>
      <w:r w:rsidR="005E23C1" w:rsidRPr="00ED437B">
        <w:t>.</w:t>
      </w:r>
    </w:p>
    <w:p w14:paraId="4387B4D6" w14:textId="17681DD1" w:rsidR="005E23C1" w:rsidRPr="00ED437B" w:rsidRDefault="005E23C1" w:rsidP="005E23C1">
      <w:r w:rsidRPr="00ED437B">
        <w:t xml:space="preserve">Interpersonal connection remains a significant value despite frequent claims about digital detachment. Evidence shows that young workers prize supportive relationships, open communication and recognition, and they associate these with motivation and belonging (Becker, 2022; Kgarimetsa and Naidoo, 2024; Surugiu </w:t>
      </w:r>
      <w:r w:rsidR="000C3E28" w:rsidRPr="00ED437B">
        <w:rPr>
          <w:i/>
          <w:iCs/>
        </w:rPr>
        <w:t>et al</w:t>
      </w:r>
      <w:r w:rsidRPr="00ED437B">
        <w:t>., 2025). Recognition in particular appears as a highly effective motivational driver, especially when coupled with opportunities to demonstrate competence.</w:t>
      </w:r>
    </w:p>
    <w:p w14:paraId="256268D7" w14:textId="6797ADB4" w:rsidR="005E23C1" w:rsidRPr="00ED437B" w:rsidRDefault="005E23C1" w:rsidP="005E23C1">
      <w:r w:rsidRPr="00ED437B">
        <w:t xml:space="preserve">Finally, reward preferences among this generation appear balanced between intrinsic and extrinsic considerations. While meaningful work, autonomy and development are emphasised, Gen Z also expects competitive pay, benefits and performance feedback, and they differentiate reward priorities by gender and sector (Acheampong, 2021; Ali </w:t>
      </w:r>
      <w:r w:rsidR="000C3E28" w:rsidRPr="00ED437B">
        <w:rPr>
          <w:i/>
          <w:iCs/>
        </w:rPr>
        <w:t>et al</w:t>
      </w:r>
      <w:r w:rsidRPr="00ED437B">
        <w:t>., 2024; Mabaso, 2025). The literature therefore shows that this cohort cannot be reduced to purely idealistic motivations; rather, they integrate practical, ethical and developmental aspirations.</w:t>
      </w:r>
    </w:p>
    <w:p w14:paraId="7A196A8A" w14:textId="66C5F629" w:rsidR="00E361C3" w:rsidRPr="00ED437B" w:rsidRDefault="005E23C1" w:rsidP="005E23C1">
      <w:r w:rsidRPr="00ED437B">
        <w:t xml:space="preserve">Across these studies, the implications are clear: Gen Z is motivated by a combination of purpose, growth, flexibility, ethical leadership, positive social environments and technologically supported work, with rewards and recognition shaping how these values translate into commitment and performance. Organisations that fail to address this multidimensional motivational structure risk higher turnover, lower engagement </w:t>
      </w:r>
      <w:r w:rsidRPr="00ED437B">
        <w:lastRenderedPageBreak/>
        <w:t>and reduced productivity, whereas those that align policies and leadership practices with these values can enhance attraction, performance and retention among the emerging workforce.</w:t>
      </w:r>
      <w:r w:rsidR="00E361C3" w:rsidRPr="00ED437B">
        <w:br w:type="page"/>
      </w:r>
    </w:p>
    <w:p w14:paraId="543899A9" w14:textId="37C7A3BB" w:rsidR="000663B6" w:rsidRPr="00ED437B" w:rsidRDefault="000663B6" w:rsidP="000663B6">
      <w:pPr>
        <w:pStyle w:val="Heading2"/>
        <w:rPr>
          <w:rFonts w:ascii="Times New Roman" w:hAnsi="Times New Roman"/>
          <w:sz w:val="27"/>
        </w:rPr>
      </w:pPr>
      <w:bookmarkStart w:id="43" w:name="_Toc218179350"/>
      <w:bookmarkStart w:id="44" w:name="_Toc216195248"/>
      <w:r w:rsidRPr="00ED437B">
        <w:lastRenderedPageBreak/>
        <w:t>RQ2: Challenges and Barriers Faced by Generation Z in Organisational Settings</w:t>
      </w:r>
      <w:bookmarkEnd w:id="43"/>
    </w:p>
    <w:p w14:paraId="356F3B45" w14:textId="69935534" w:rsidR="00E361C3" w:rsidRPr="00ED437B" w:rsidRDefault="002E5897" w:rsidP="002E5897">
      <w:pPr>
        <w:pStyle w:val="NoSpacing"/>
      </w:pPr>
      <w:r w:rsidRPr="00ED437B">
        <w:t xml:space="preserve">Table </w:t>
      </w:r>
      <w:r w:rsidR="00D94E71" w:rsidRPr="00ED437B">
        <w:fldChar w:fldCharType="begin"/>
      </w:r>
      <w:r w:rsidR="00D94E71" w:rsidRPr="00ED437B">
        <w:instrText xml:space="preserve"> SEQ Table \* ARABIC </w:instrText>
      </w:r>
      <w:r w:rsidR="00D94E71" w:rsidRPr="00ED437B">
        <w:fldChar w:fldCharType="separate"/>
      </w:r>
      <w:r w:rsidR="00D94E71" w:rsidRPr="00ED437B">
        <w:t>3</w:t>
      </w:r>
      <w:r w:rsidR="00D94E71" w:rsidRPr="00ED437B">
        <w:fldChar w:fldCharType="end"/>
      </w:r>
      <w:r w:rsidRPr="00ED437B">
        <w:t xml:space="preserve"> Thematic Analysis of Challenges and Barriers Encountered by Generation Z Employees</w:t>
      </w:r>
      <w:bookmarkEnd w:id="44"/>
    </w:p>
    <w:tbl>
      <w:tblPr>
        <w:tblStyle w:val="PlainTable1"/>
        <w:tblW w:w="0" w:type="auto"/>
        <w:shd w:val="clear" w:color="auto" w:fill="FFFFFF" w:themeFill="background1"/>
        <w:tblLayout w:type="fixed"/>
        <w:tblLook w:val="04A0" w:firstRow="1" w:lastRow="0" w:firstColumn="1" w:lastColumn="0" w:noHBand="0" w:noVBand="1"/>
      </w:tblPr>
      <w:tblGrid>
        <w:gridCol w:w="2164"/>
        <w:gridCol w:w="1971"/>
        <w:gridCol w:w="4881"/>
      </w:tblGrid>
      <w:tr w:rsidR="00E361C3" w:rsidRPr="00ED437B" w14:paraId="7BABE593" w14:textId="77777777" w:rsidTr="002B13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4" w:type="dxa"/>
            <w:shd w:val="clear" w:color="auto" w:fill="FFFFFF" w:themeFill="background1"/>
            <w:vAlign w:val="center"/>
            <w:hideMark/>
          </w:tcPr>
          <w:p w14:paraId="45594803" w14:textId="77777777" w:rsidR="00E361C3" w:rsidRPr="00ED437B" w:rsidRDefault="00E361C3" w:rsidP="00D94E71">
            <w:pPr>
              <w:jc w:val="left"/>
            </w:pPr>
            <w:r w:rsidRPr="00ED437B">
              <w:t>Theme</w:t>
            </w:r>
          </w:p>
        </w:tc>
        <w:tc>
          <w:tcPr>
            <w:tcW w:w="1971" w:type="dxa"/>
            <w:shd w:val="clear" w:color="auto" w:fill="FFFFFF" w:themeFill="background1"/>
            <w:vAlign w:val="center"/>
            <w:hideMark/>
          </w:tcPr>
          <w:p w14:paraId="0D2C6499" w14:textId="77777777" w:rsidR="00E361C3" w:rsidRPr="00ED437B" w:rsidRDefault="00E361C3" w:rsidP="00D94E71">
            <w:pPr>
              <w:jc w:val="left"/>
              <w:cnfStyle w:val="100000000000" w:firstRow="1" w:lastRow="0" w:firstColumn="0" w:lastColumn="0" w:oddVBand="0" w:evenVBand="0" w:oddHBand="0" w:evenHBand="0" w:firstRowFirstColumn="0" w:firstRowLastColumn="0" w:lastRowFirstColumn="0" w:lastRowLastColumn="0"/>
            </w:pPr>
            <w:r w:rsidRPr="00ED437B">
              <w:t>Sub-theme</w:t>
            </w:r>
          </w:p>
        </w:tc>
        <w:tc>
          <w:tcPr>
            <w:tcW w:w="4881" w:type="dxa"/>
            <w:shd w:val="clear" w:color="auto" w:fill="FFFFFF" w:themeFill="background1"/>
            <w:vAlign w:val="center"/>
            <w:hideMark/>
          </w:tcPr>
          <w:p w14:paraId="7B1BFC53" w14:textId="5A1D793F" w:rsidR="00E361C3" w:rsidRPr="00ED437B" w:rsidRDefault="00E361C3" w:rsidP="00D94E71">
            <w:pPr>
              <w:jc w:val="left"/>
              <w:cnfStyle w:val="100000000000" w:firstRow="1" w:lastRow="0" w:firstColumn="0" w:lastColumn="0" w:oddVBand="0" w:evenVBand="0" w:oddHBand="0" w:evenHBand="0" w:firstRowFirstColumn="0" w:firstRowLastColumn="0" w:lastRowFirstColumn="0" w:lastRowLastColumn="0"/>
            </w:pPr>
            <w:r w:rsidRPr="00ED437B">
              <w:t>Codes</w:t>
            </w:r>
          </w:p>
        </w:tc>
      </w:tr>
      <w:tr w:rsidR="00E361C3" w:rsidRPr="00ED437B" w14:paraId="1DB8EBE9" w14:textId="77777777" w:rsidTr="002B138C">
        <w:trPr>
          <w:cnfStyle w:val="000000100000" w:firstRow="0" w:lastRow="0" w:firstColumn="0" w:lastColumn="0" w:oddVBand="0" w:evenVBand="0" w:oddHBand="1" w:evenHBand="0" w:firstRowFirstColumn="0" w:firstRowLastColumn="0" w:lastRowFirstColumn="0" w:lastRowLastColumn="0"/>
          <w:trHeight w:val="1669"/>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0C932820" w14:textId="72A224C5" w:rsidR="00E361C3" w:rsidRPr="00ED437B" w:rsidRDefault="00E361C3" w:rsidP="00D94E71">
            <w:pPr>
              <w:jc w:val="left"/>
            </w:pPr>
            <w:r w:rsidRPr="00ED437B">
              <w:t>Intergenerational Tension and Communication Barriers</w:t>
            </w:r>
          </w:p>
        </w:tc>
        <w:tc>
          <w:tcPr>
            <w:tcW w:w="1971" w:type="dxa"/>
            <w:vMerge w:val="restart"/>
            <w:shd w:val="clear" w:color="auto" w:fill="FFFFFF" w:themeFill="background1"/>
            <w:vAlign w:val="center"/>
            <w:hideMark/>
          </w:tcPr>
          <w:p w14:paraId="04770083" w14:textId="77777777"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Communication Style Mismatch</w:t>
            </w:r>
          </w:p>
        </w:tc>
        <w:tc>
          <w:tcPr>
            <w:tcW w:w="4881" w:type="dxa"/>
            <w:shd w:val="clear" w:color="auto" w:fill="FFFFFF" w:themeFill="background1"/>
            <w:vAlign w:val="center"/>
            <w:hideMark/>
          </w:tcPr>
          <w:p w14:paraId="645B4D7F" w14:textId="4935BC7F"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Differences in communication expectations with older supervisors (Pradhana </w:t>
            </w:r>
            <w:r w:rsidR="000C3E28" w:rsidRPr="00ED437B">
              <w:rPr>
                <w:i/>
                <w:iCs/>
              </w:rPr>
              <w:t>et al</w:t>
            </w:r>
            <w:r w:rsidRPr="00ED437B">
              <w:t xml:space="preserve">., 2024). </w:t>
            </w:r>
          </w:p>
        </w:tc>
      </w:tr>
      <w:tr w:rsidR="00E361C3" w:rsidRPr="00ED437B" w14:paraId="19900004" w14:textId="77777777" w:rsidTr="002B138C">
        <w:trPr>
          <w:trHeight w:val="1669"/>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37D5D9D1" w14:textId="77777777" w:rsidR="00E361C3" w:rsidRPr="00ED437B" w:rsidRDefault="00E361C3" w:rsidP="00D94E71">
            <w:pPr>
              <w:jc w:val="left"/>
              <w:rPr>
                <w:b w:val="0"/>
                <w:bCs w:val="0"/>
              </w:rPr>
            </w:pPr>
          </w:p>
        </w:tc>
        <w:tc>
          <w:tcPr>
            <w:tcW w:w="1971" w:type="dxa"/>
            <w:vMerge/>
            <w:shd w:val="clear" w:color="auto" w:fill="FFFFFF" w:themeFill="background1"/>
            <w:vAlign w:val="center"/>
          </w:tcPr>
          <w:p w14:paraId="2211FD2C" w14:textId="77777777"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272A3716" w14:textId="3F5D0FD8"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r w:rsidRPr="00ED437B">
              <w:t>Heavy reliance on digital communication causing misunderstandings with traditional managers (Janssen and Carradini, 2021).</w:t>
            </w:r>
          </w:p>
        </w:tc>
      </w:tr>
      <w:tr w:rsidR="00E361C3" w:rsidRPr="00ED437B" w14:paraId="6A97CC31" w14:textId="77777777" w:rsidTr="002B138C">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5A3F1D43" w14:textId="77777777" w:rsidR="00E361C3" w:rsidRPr="00ED437B" w:rsidRDefault="00E361C3" w:rsidP="00D94E71">
            <w:pPr>
              <w:jc w:val="left"/>
            </w:pPr>
          </w:p>
        </w:tc>
        <w:tc>
          <w:tcPr>
            <w:tcW w:w="1971" w:type="dxa"/>
            <w:vMerge w:val="restart"/>
            <w:shd w:val="clear" w:color="auto" w:fill="FFFFFF" w:themeFill="background1"/>
            <w:vAlign w:val="center"/>
            <w:hideMark/>
          </w:tcPr>
          <w:p w14:paraId="42528874" w14:textId="77777777"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Leadership and Management Expectations</w:t>
            </w:r>
          </w:p>
        </w:tc>
        <w:tc>
          <w:tcPr>
            <w:tcW w:w="4881" w:type="dxa"/>
            <w:shd w:val="clear" w:color="auto" w:fill="FFFFFF" w:themeFill="background1"/>
            <w:vAlign w:val="center"/>
            <w:hideMark/>
          </w:tcPr>
          <w:p w14:paraId="7349A04E" w14:textId="48CB6AC1"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Difficulty with hierarchical or authoritarian leadership styles (Gabrielova and Buchko, 2021). </w:t>
            </w:r>
          </w:p>
        </w:tc>
      </w:tr>
      <w:tr w:rsidR="00E361C3" w:rsidRPr="00ED437B" w14:paraId="3BA4831A" w14:textId="77777777" w:rsidTr="002B138C">
        <w:trPr>
          <w:trHeight w:val="1292"/>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337A3CFE" w14:textId="77777777" w:rsidR="00E361C3" w:rsidRPr="00ED437B" w:rsidRDefault="00E361C3" w:rsidP="00D94E71">
            <w:pPr>
              <w:jc w:val="left"/>
            </w:pPr>
          </w:p>
        </w:tc>
        <w:tc>
          <w:tcPr>
            <w:tcW w:w="1971" w:type="dxa"/>
            <w:vMerge/>
            <w:shd w:val="clear" w:color="auto" w:fill="FFFFFF" w:themeFill="background1"/>
            <w:vAlign w:val="center"/>
          </w:tcPr>
          <w:p w14:paraId="7382B06A" w14:textId="77777777"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77B6D208" w14:textId="2AA7A1E3"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r w:rsidRPr="00ED437B">
              <w:t>Need for feedback and transparency not always met (El Hajal and Losekoot, 2025).</w:t>
            </w:r>
          </w:p>
        </w:tc>
      </w:tr>
      <w:tr w:rsidR="002E5897" w:rsidRPr="00ED437B" w14:paraId="04489A2B" w14:textId="77777777" w:rsidTr="002B138C">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5C815761" w14:textId="0D217901" w:rsidR="002E5897" w:rsidRPr="00ED437B" w:rsidRDefault="002E5897" w:rsidP="00D94E71">
            <w:pPr>
              <w:jc w:val="left"/>
            </w:pPr>
            <w:r w:rsidRPr="00ED437B">
              <w:t>Job Insecurity and Career Uncertainty</w:t>
            </w:r>
          </w:p>
        </w:tc>
        <w:tc>
          <w:tcPr>
            <w:tcW w:w="1971" w:type="dxa"/>
            <w:vMerge w:val="restart"/>
            <w:shd w:val="clear" w:color="auto" w:fill="FFFFFF" w:themeFill="background1"/>
            <w:vAlign w:val="center"/>
            <w:hideMark/>
          </w:tcPr>
          <w:p w14:paraId="69020D6F"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Limited Early Career Stability</w:t>
            </w:r>
          </w:p>
        </w:tc>
        <w:tc>
          <w:tcPr>
            <w:tcW w:w="4881" w:type="dxa"/>
            <w:shd w:val="clear" w:color="auto" w:fill="FFFFFF" w:themeFill="background1"/>
            <w:vAlign w:val="center"/>
            <w:hideMark/>
          </w:tcPr>
          <w:p w14:paraId="0ECA5C6E" w14:textId="1DA5106C"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High turnover intentions and low organisational loyalty (Surugiu </w:t>
            </w:r>
            <w:r w:rsidR="000C3E28" w:rsidRPr="00ED437B">
              <w:rPr>
                <w:i/>
                <w:iCs/>
              </w:rPr>
              <w:t>et al</w:t>
            </w:r>
            <w:r w:rsidRPr="00ED437B">
              <w:t xml:space="preserve">., 2025). </w:t>
            </w:r>
          </w:p>
        </w:tc>
      </w:tr>
      <w:tr w:rsidR="002E5897" w:rsidRPr="00ED437B" w14:paraId="68454B25" w14:textId="77777777" w:rsidTr="002B138C">
        <w:trPr>
          <w:trHeight w:val="1292"/>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0F1178A9" w14:textId="77777777" w:rsidR="002E5897" w:rsidRPr="00ED437B" w:rsidRDefault="002E5897" w:rsidP="00D94E71">
            <w:pPr>
              <w:jc w:val="left"/>
              <w:rPr>
                <w:b w:val="0"/>
                <w:bCs w:val="0"/>
              </w:rPr>
            </w:pPr>
          </w:p>
        </w:tc>
        <w:tc>
          <w:tcPr>
            <w:tcW w:w="1971" w:type="dxa"/>
            <w:vMerge/>
            <w:shd w:val="clear" w:color="auto" w:fill="FFFFFF" w:themeFill="background1"/>
            <w:vAlign w:val="center"/>
          </w:tcPr>
          <w:p w14:paraId="2C4EB4AD"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62761D0C" w14:textId="5641CC3F"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Precarious employment conditions in emerging sectors and SMEs (Tran </w:t>
            </w:r>
            <w:r w:rsidR="000C3E28" w:rsidRPr="00ED437B">
              <w:rPr>
                <w:i/>
                <w:iCs/>
              </w:rPr>
              <w:t>et al</w:t>
            </w:r>
            <w:r w:rsidRPr="00ED437B">
              <w:t>., 2024b).</w:t>
            </w:r>
          </w:p>
        </w:tc>
      </w:tr>
      <w:tr w:rsidR="002E5897" w:rsidRPr="00ED437B" w14:paraId="0B76F7DE" w14:textId="77777777" w:rsidTr="002B138C">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704F0B8E" w14:textId="77777777" w:rsidR="002E5897" w:rsidRPr="00ED437B" w:rsidRDefault="002E5897" w:rsidP="00D94E71">
            <w:pPr>
              <w:jc w:val="left"/>
            </w:pPr>
          </w:p>
        </w:tc>
        <w:tc>
          <w:tcPr>
            <w:tcW w:w="1971" w:type="dxa"/>
            <w:vMerge w:val="restart"/>
            <w:shd w:val="clear" w:color="auto" w:fill="FFFFFF" w:themeFill="background1"/>
            <w:vAlign w:val="center"/>
            <w:hideMark/>
          </w:tcPr>
          <w:p w14:paraId="237B3FAC"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Unclear Career Pathways</w:t>
            </w:r>
          </w:p>
        </w:tc>
        <w:tc>
          <w:tcPr>
            <w:tcW w:w="4881" w:type="dxa"/>
            <w:shd w:val="clear" w:color="auto" w:fill="FFFFFF" w:themeFill="background1"/>
            <w:vAlign w:val="center"/>
            <w:hideMark/>
          </w:tcPr>
          <w:p w14:paraId="4A467157" w14:textId="45799D1A"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Lack of transparent progression reduces commitment (Aggarwal </w:t>
            </w:r>
            <w:r w:rsidR="000C3E28" w:rsidRPr="00ED437B">
              <w:rPr>
                <w:i/>
                <w:iCs/>
              </w:rPr>
              <w:t>et al</w:t>
            </w:r>
            <w:r w:rsidRPr="00ED437B">
              <w:t xml:space="preserve">., 2022). </w:t>
            </w:r>
          </w:p>
        </w:tc>
      </w:tr>
      <w:tr w:rsidR="002E5897" w:rsidRPr="00ED437B" w14:paraId="426BD2C2" w14:textId="77777777" w:rsidTr="002B138C">
        <w:trPr>
          <w:trHeight w:val="1292"/>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75BB5E88" w14:textId="77777777" w:rsidR="002E5897" w:rsidRPr="00ED437B" w:rsidRDefault="002E5897" w:rsidP="00D94E71">
            <w:pPr>
              <w:jc w:val="left"/>
            </w:pPr>
          </w:p>
        </w:tc>
        <w:tc>
          <w:tcPr>
            <w:tcW w:w="1971" w:type="dxa"/>
            <w:vMerge/>
            <w:shd w:val="clear" w:color="auto" w:fill="FFFFFF" w:themeFill="background1"/>
            <w:vAlign w:val="center"/>
          </w:tcPr>
          <w:p w14:paraId="30266FDC"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4D9E067D" w14:textId="62CA42C3"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Career stagnation perceived more negatively by Gen Z than older cohorts (Arora </w:t>
            </w:r>
            <w:r w:rsidR="000C3E28" w:rsidRPr="00ED437B">
              <w:rPr>
                <w:i/>
                <w:iCs/>
              </w:rPr>
              <w:t>et al</w:t>
            </w:r>
            <w:r w:rsidRPr="00ED437B">
              <w:t>., 2020).</w:t>
            </w:r>
          </w:p>
        </w:tc>
      </w:tr>
      <w:tr w:rsidR="002E5897" w:rsidRPr="00ED437B" w14:paraId="5E9FC34C" w14:textId="77777777" w:rsidTr="002B138C">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6E0FAA48" w14:textId="0943E634" w:rsidR="002E5897" w:rsidRPr="00ED437B" w:rsidRDefault="002E5897" w:rsidP="00D94E71">
            <w:pPr>
              <w:jc w:val="left"/>
            </w:pPr>
            <w:r w:rsidRPr="00ED437B">
              <w:lastRenderedPageBreak/>
              <w:t>Workload, burnout, and psychological strain</w:t>
            </w:r>
          </w:p>
        </w:tc>
        <w:tc>
          <w:tcPr>
            <w:tcW w:w="1971" w:type="dxa"/>
            <w:vMerge w:val="restart"/>
            <w:shd w:val="clear" w:color="auto" w:fill="FFFFFF" w:themeFill="background1"/>
            <w:vAlign w:val="center"/>
            <w:hideMark/>
          </w:tcPr>
          <w:p w14:paraId="6A04738E"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Burnout and Quiet Quitting</w:t>
            </w:r>
          </w:p>
        </w:tc>
        <w:tc>
          <w:tcPr>
            <w:tcW w:w="4881" w:type="dxa"/>
            <w:shd w:val="clear" w:color="auto" w:fill="FFFFFF" w:themeFill="background1"/>
            <w:vAlign w:val="center"/>
            <w:hideMark/>
          </w:tcPr>
          <w:p w14:paraId="47D201E7" w14:textId="5BEDA680"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Rising burnout connected to poor support and excessive demands (Xueyun </w:t>
            </w:r>
            <w:r w:rsidR="000C3E28" w:rsidRPr="00ED437B">
              <w:rPr>
                <w:i/>
                <w:iCs/>
              </w:rPr>
              <w:t>et al</w:t>
            </w:r>
            <w:r w:rsidRPr="00ED437B">
              <w:t>., 2023; 2024).</w:t>
            </w:r>
          </w:p>
        </w:tc>
      </w:tr>
      <w:tr w:rsidR="002E5897" w:rsidRPr="00ED437B" w14:paraId="705227AE" w14:textId="77777777" w:rsidTr="002B138C">
        <w:trPr>
          <w:trHeight w:val="1292"/>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5C755BE8" w14:textId="77777777" w:rsidR="002E5897" w:rsidRPr="00ED437B" w:rsidRDefault="002E5897" w:rsidP="00D94E71">
            <w:pPr>
              <w:jc w:val="left"/>
              <w:rPr>
                <w:b w:val="0"/>
                <w:bCs w:val="0"/>
              </w:rPr>
            </w:pPr>
          </w:p>
        </w:tc>
        <w:tc>
          <w:tcPr>
            <w:tcW w:w="1971" w:type="dxa"/>
            <w:vMerge/>
            <w:shd w:val="clear" w:color="auto" w:fill="FFFFFF" w:themeFill="background1"/>
            <w:vAlign w:val="center"/>
          </w:tcPr>
          <w:p w14:paraId="1D53AE2C"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2E4D8E20" w14:textId="327F545D"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Quiet quitting linked to lack of meaning and low engagement (Liu-Lastres </w:t>
            </w:r>
            <w:r w:rsidR="000C3E28" w:rsidRPr="00ED437B">
              <w:rPr>
                <w:i/>
                <w:iCs/>
              </w:rPr>
              <w:t>et al</w:t>
            </w:r>
            <w:r w:rsidRPr="00ED437B">
              <w:t>., 2024).</w:t>
            </w:r>
          </w:p>
        </w:tc>
      </w:tr>
      <w:tr w:rsidR="002E5897" w:rsidRPr="00ED437B" w14:paraId="50470A1B" w14:textId="77777777" w:rsidTr="002B138C">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32142648" w14:textId="77777777" w:rsidR="002E5897" w:rsidRPr="00ED437B" w:rsidRDefault="002E5897" w:rsidP="00D94E71">
            <w:pPr>
              <w:jc w:val="left"/>
            </w:pPr>
          </w:p>
        </w:tc>
        <w:tc>
          <w:tcPr>
            <w:tcW w:w="1971" w:type="dxa"/>
            <w:vMerge w:val="restart"/>
            <w:shd w:val="clear" w:color="auto" w:fill="FFFFFF" w:themeFill="background1"/>
            <w:vAlign w:val="center"/>
            <w:hideMark/>
          </w:tcPr>
          <w:p w14:paraId="4A0D72AB"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Mental Health Challenges</w:t>
            </w:r>
          </w:p>
        </w:tc>
        <w:tc>
          <w:tcPr>
            <w:tcW w:w="4881" w:type="dxa"/>
            <w:shd w:val="clear" w:color="auto" w:fill="FFFFFF" w:themeFill="background1"/>
            <w:vAlign w:val="center"/>
            <w:hideMark/>
          </w:tcPr>
          <w:p w14:paraId="00F4F426" w14:textId="4028CB01"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Anxiety, depression, and stress reported among young workers and students (Veluchamy </w:t>
            </w:r>
            <w:r w:rsidR="000C3E28" w:rsidRPr="00ED437B">
              <w:rPr>
                <w:i/>
                <w:iCs/>
              </w:rPr>
              <w:t>et al</w:t>
            </w:r>
            <w:r w:rsidRPr="00ED437B">
              <w:t xml:space="preserve">., 2016). </w:t>
            </w:r>
          </w:p>
        </w:tc>
      </w:tr>
      <w:tr w:rsidR="002E5897" w:rsidRPr="00ED437B" w14:paraId="36AACB57" w14:textId="77777777" w:rsidTr="002B138C">
        <w:trPr>
          <w:trHeight w:val="1292"/>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7D12FBCE" w14:textId="77777777" w:rsidR="002E5897" w:rsidRPr="00ED437B" w:rsidRDefault="002E5897" w:rsidP="00D94E71">
            <w:pPr>
              <w:jc w:val="left"/>
            </w:pPr>
          </w:p>
        </w:tc>
        <w:tc>
          <w:tcPr>
            <w:tcW w:w="1971" w:type="dxa"/>
            <w:vMerge/>
            <w:shd w:val="clear" w:color="auto" w:fill="FFFFFF" w:themeFill="background1"/>
            <w:vAlign w:val="center"/>
          </w:tcPr>
          <w:p w14:paraId="5C52FE74"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76F88247" w14:textId="5088B5FE"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Need for organisational mental health support often unmet (Veluchamy </w:t>
            </w:r>
            <w:r w:rsidR="000C3E28" w:rsidRPr="00ED437B">
              <w:rPr>
                <w:i/>
                <w:iCs/>
              </w:rPr>
              <w:t>et al</w:t>
            </w:r>
            <w:r w:rsidRPr="00ED437B">
              <w:t>., 2016).</w:t>
            </w:r>
          </w:p>
        </w:tc>
      </w:tr>
      <w:tr w:rsidR="002E5897" w:rsidRPr="00ED437B" w14:paraId="7D0D64CE" w14:textId="77777777" w:rsidTr="002B138C">
        <w:trPr>
          <w:cnfStyle w:val="000000100000" w:firstRow="0" w:lastRow="0" w:firstColumn="0" w:lastColumn="0" w:oddVBand="0" w:evenVBand="0" w:oddHBand="1" w:evenHBand="0" w:firstRowFirstColumn="0" w:firstRowLastColumn="0" w:lastRowFirstColumn="0" w:lastRowLastColumn="0"/>
          <w:trHeight w:val="1048"/>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505B7F68" w14:textId="62AA8158" w:rsidR="002E5897" w:rsidRPr="00ED437B" w:rsidRDefault="002E5897" w:rsidP="00D94E71">
            <w:pPr>
              <w:jc w:val="left"/>
            </w:pPr>
            <w:r w:rsidRPr="00ED437B">
              <w:t>Technological Disruption and Job Anxiety</w:t>
            </w:r>
          </w:p>
        </w:tc>
        <w:tc>
          <w:tcPr>
            <w:tcW w:w="1971" w:type="dxa"/>
            <w:vMerge w:val="restart"/>
            <w:shd w:val="clear" w:color="auto" w:fill="FFFFFF" w:themeFill="background1"/>
            <w:vAlign w:val="center"/>
            <w:hideMark/>
          </w:tcPr>
          <w:p w14:paraId="613396AA"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Automation and Robotics</w:t>
            </w:r>
          </w:p>
        </w:tc>
        <w:tc>
          <w:tcPr>
            <w:tcW w:w="4881" w:type="dxa"/>
            <w:shd w:val="clear" w:color="auto" w:fill="FFFFFF" w:themeFill="background1"/>
            <w:vAlign w:val="center"/>
            <w:hideMark/>
          </w:tcPr>
          <w:p w14:paraId="1327E874" w14:textId="3F7CC69F"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Anxiety about job displacement in hospitality and other sectors (Dou </w:t>
            </w:r>
            <w:r w:rsidR="000C3E28" w:rsidRPr="00ED437B">
              <w:rPr>
                <w:i/>
                <w:iCs/>
              </w:rPr>
              <w:t>et al</w:t>
            </w:r>
            <w:r w:rsidRPr="00ED437B">
              <w:t>., 2025).</w:t>
            </w:r>
          </w:p>
        </w:tc>
      </w:tr>
      <w:tr w:rsidR="002E5897" w:rsidRPr="00ED437B" w14:paraId="5055217B" w14:textId="77777777" w:rsidTr="002B138C">
        <w:trPr>
          <w:trHeight w:val="1047"/>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1DA1E430" w14:textId="77777777" w:rsidR="002E5897" w:rsidRPr="00ED437B" w:rsidRDefault="002E5897" w:rsidP="00D94E71">
            <w:pPr>
              <w:jc w:val="left"/>
              <w:rPr>
                <w:b w:val="0"/>
                <w:bCs w:val="0"/>
              </w:rPr>
            </w:pPr>
          </w:p>
        </w:tc>
        <w:tc>
          <w:tcPr>
            <w:tcW w:w="1971" w:type="dxa"/>
            <w:vMerge/>
            <w:shd w:val="clear" w:color="auto" w:fill="FFFFFF" w:themeFill="background1"/>
            <w:vAlign w:val="center"/>
          </w:tcPr>
          <w:p w14:paraId="66BBC1E7"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4C0AAB29" w14:textId="195E7F39"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Lack of preparation for human–machine collaboration (Dou </w:t>
            </w:r>
            <w:r w:rsidR="000C3E28" w:rsidRPr="00ED437B">
              <w:rPr>
                <w:i/>
                <w:iCs/>
              </w:rPr>
              <w:t>et al</w:t>
            </w:r>
            <w:r w:rsidRPr="00ED437B">
              <w:t>., 2025).</w:t>
            </w:r>
          </w:p>
        </w:tc>
      </w:tr>
      <w:tr w:rsidR="002E5897" w:rsidRPr="00ED437B" w14:paraId="4485E5E5" w14:textId="77777777" w:rsidTr="002B138C">
        <w:trPr>
          <w:cnfStyle w:val="000000100000" w:firstRow="0" w:lastRow="0" w:firstColumn="0" w:lastColumn="0" w:oddVBand="0" w:evenVBand="0" w:oddHBand="1" w:evenHBand="0" w:firstRowFirstColumn="0" w:firstRowLastColumn="0" w:lastRowFirstColumn="0" w:lastRowLastColumn="0"/>
          <w:trHeight w:val="1424"/>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05E13BA9" w14:textId="77777777" w:rsidR="002E5897" w:rsidRPr="00ED437B" w:rsidRDefault="002E5897" w:rsidP="00D94E71">
            <w:pPr>
              <w:jc w:val="left"/>
            </w:pPr>
          </w:p>
        </w:tc>
        <w:tc>
          <w:tcPr>
            <w:tcW w:w="1971" w:type="dxa"/>
            <w:vMerge w:val="restart"/>
            <w:shd w:val="clear" w:color="auto" w:fill="FFFFFF" w:themeFill="background1"/>
            <w:vAlign w:val="center"/>
            <w:hideMark/>
          </w:tcPr>
          <w:p w14:paraId="2CBA6995"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Digital Expectation Gaps</w:t>
            </w:r>
          </w:p>
        </w:tc>
        <w:tc>
          <w:tcPr>
            <w:tcW w:w="4881" w:type="dxa"/>
            <w:shd w:val="clear" w:color="auto" w:fill="FFFFFF" w:themeFill="background1"/>
            <w:vAlign w:val="center"/>
            <w:hideMark/>
          </w:tcPr>
          <w:p w14:paraId="067152E6" w14:textId="30B34F49"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Frustration when organisations fail to deploy up-to-date tech (El Hajal and Losekoot, 2025).</w:t>
            </w:r>
          </w:p>
        </w:tc>
      </w:tr>
      <w:tr w:rsidR="002E5897" w:rsidRPr="00ED437B" w14:paraId="1067AA2E" w14:textId="77777777" w:rsidTr="002B138C">
        <w:trPr>
          <w:trHeight w:val="1423"/>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7172B0E3" w14:textId="77777777" w:rsidR="002E5897" w:rsidRPr="00ED437B" w:rsidRDefault="002E5897" w:rsidP="00D94E71">
            <w:pPr>
              <w:jc w:val="left"/>
            </w:pPr>
          </w:p>
        </w:tc>
        <w:tc>
          <w:tcPr>
            <w:tcW w:w="1971" w:type="dxa"/>
            <w:vMerge/>
            <w:shd w:val="clear" w:color="auto" w:fill="FFFFFF" w:themeFill="background1"/>
            <w:vAlign w:val="center"/>
          </w:tcPr>
          <w:p w14:paraId="57F8D665"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0045CA1F" w14:textId="6B9D72AA"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Overreliance on technology can create communication and boundary-setting challenges (Janssen and Carradini, 2021).</w:t>
            </w:r>
          </w:p>
        </w:tc>
      </w:tr>
      <w:tr w:rsidR="002E5897" w:rsidRPr="00ED437B" w14:paraId="215DA1D8" w14:textId="77777777" w:rsidTr="002B138C">
        <w:trPr>
          <w:cnfStyle w:val="000000100000" w:firstRow="0" w:lastRow="0" w:firstColumn="0" w:lastColumn="0" w:oddVBand="0" w:evenVBand="0" w:oddHBand="1" w:evenHBand="0" w:firstRowFirstColumn="0" w:firstRowLastColumn="0" w:lastRowFirstColumn="0" w:lastRowLastColumn="0"/>
          <w:trHeight w:val="1048"/>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5FD15FB3" w14:textId="112934B6" w:rsidR="002E5897" w:rsidRPr="00ED437B" w:rsidRDefault="002E5897" w:rsidP="00D94E71">
            <w:pPr>
              <w:jc w:val="left"/>
            </w:pPr>
            <w:r w:rsidRPr="00ED437B">
              <w:t xml:space="preserve">Organisational Misalignment </w:t>
            </w:r>
            <w:r w:rsidRPr="00ED437B">
              <w:lastRenderedPageBreak/>
              <w:t>with Gen Z Values</w:t>
            </w:r>
          </w:p>
        </w:tc>
        <w:tc>
          <w:tcPr>
            <w:tcW w:w="1971" w:type="dxa"/>
            <w:vMerge w:val="restart"/>
            <w:shd w:val="clear" w:color="auto" w:fill="FFFFFF" w:themeFill="background1"/>
            <w:vAlign w:val="center"/>
            <w:hideMark/>
          </w:tcPr>
          <w:p w14:paraId="7E514A3D"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lastRenderedPageBreak/>
              <w:t>Lack of Meaningful Work</w:t>
            </w:r>
          </w:p>
        </w:tc>
        <w:tc>
          <w:tcPr>
            <w:tcW w:w="4881" w:type="dxa"/>
            <w:shd w:val="clear" w:color="auto" w:fill="FFFFFF" w:themeFill="background1"/>
            <w:vAlign w:val="center"/>
            <w:hideMark/>
          </w:tcPr>
          <w:p w14:paraId="0F99FBCD" w14:textId="0D88E4FC"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Perception of illegitimate tasks reducing meaningfulness (Li </w:t>
            </w:r>
            <w:r w:rsidR="000C3E28" w:rsidRPr="00ED437B">
              <w:rPr>
                <w:i/>
                <w:iCs/>
              </w:rPr>
              <w:t>et al</w:t>
            </w:r>
            <w:r w:rsidRPr="00ED437B">
              <w:t>., 2025).</w:t>
            </w:r>
          </w:p>
        </w:tc>
      </w:tr>
      <w:tr w:rsidR="002E5897" w:rsidRPr="00ED437B" w14:paraId="40F3A5D4" w14:textId="77777777" w:rsidTr="002B138C">
        <w:trPr>
          <w:trHeight w:val="1047"/>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3AF17872" w14:textId="77777777" w:rsidR="002E5897" w:rsidRPr="00ED437B" w:rsidRDefault="002E5897" w:rsidP="00D94E71">
            <w:pPr>
              <w:jc w:val="left"/>
              <w:rPr>
                <w:b w:val="0"/>
                <w:bCs w:val="0"/>
              </w:rPr>
            </w:pPr>
          </w:p>
        </w:tc>
        <w:tc>
          <w:tcPr>
            <w:tcW w:w="1971" w:type="dxa"/>
            <w:vMerge/>
            <w:shd w:val="clear" w:color="auto" w:fill="FFFFFF" w:themeFill="background1"/>
            <w:vAlign w:val="center"/>
          </w:tcPr>
          <w:p w14:paraId="5CA67F16"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7A664861" w14:textId="47C7AC3F"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Desire for purpose unmet in routine or poorly designed roles (Nguyen Ngoc </w:t>
            </w:r>
            <w:r w:rsidR="000C3E28" w:rsidRPr="00ED437B">
              <w:rPr>
                <w:i/>
                <w:iCs/>
              </w:rPr>
              <w:t>et al</w:t>
            </w:r>
            <w:r w:rsidRPr="00ED437B">
              <w:t>., 2022).</w:t>
            </w:r>
          </w:p>
        </w:tc>
      </w:tr>
      <w:tr w:rsidR="002E5897" w:rsidRPr="00ED437B" w14:paraId="08C4FA09" w14:textId="77777777" w:rsidTr="002B138C">
        <w:trPr>
          <w:cnfStyle w:val="000000100000" w:firstRow="0" w:lastRow="0" w:firstColumn="0" w:lastColumn="0" w:oddVBand="0" w:evenVBand="0" w:oddHBand="1"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2016A20E" w14:textId="77777777" w:rsidR="002E5897" w:rsidRPr="00ED437B" w:rsidRDefault="002E5897" w:rsidP="00D94E71">
            <w:pPr>
              <w:jc w:val="left"/>
            </w:pPr>
          </w:p>
        </w:tc>
        <w:tc>
          <w:tcPr>
            <w:tcW w:w="1971" w:type="dxa"/>
            <w:vMerge w:val="restart"/>
            <w:shd w:val="clear" w:color="auto" w:fill="FFFFFF" w:themeFill="background1"/>
            <w:vAlign w:val="center"/>
            <w:hideMark/>
          </w:tcPr>
          <w:p w14:paraId="1F53AA9C"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Poor Support and Development</w:t>
            </w:r>
          </w:p>
        </w:tc>
        <w:tc>
          <w:tcPr>
            <w:tcW w:w="4881" w:type="dxa"/>
            <w:shd w:val="clear" w:color="auto" w:fill="FFFFFF" w:themeFill="background1"/>
            <w:vAlign w:val="center"/>
            <w:hideMark/>
          </w:tcPr>
          <w:p w14:paraId="67C4ED00" w14:textId="5C081358"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Limited mentoring and training opportunities (Borg </w:t>
            </w:r>
            <w:r w:rsidR="000C3E28" w:rsidRPr="00ED437B">
              <w:rPr>
                <w:i/>
                <w:iCs/>
              </w:rPr>
              <w:t>et al</w:t>
            </w:r>
            <w:r w:rsidRPr="00ED437B">
              <w:t>., 2023).</w:t>
            </w:r>
          </w:p>
        </w:tc>
      </w:tr>
      <w:tr w:rsidR="002E5897" w:rsidRPr="00ED437B" w14:paraId="0108ECD2" w14:textId="77777777" w:rsidTr="002B138C">
        <w:trPr>
          <w:trHeight w:val="862"/>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10ED3A70" w14:textId="77777777" w:rsidR="002E5897" w:rsidRPr="00ED437B" w:rsidRDefault="002E5897" w:rsidP="00D94E71">
            <w:pPr>
              <w:jc w:val="left"/>
            </w:pPr>
          </w:p>
        </w:tc>
        <w:tc>
          <w:tcPr>
            <w:tcW w:w="1971" w:type="dxa"/>
            <w:vMerge/>
            <w:shd w:val="clear" w:color="auto" w:fill="FFFFFF" w:themeFill="background1"/>
            <w:vAlign w:val="center"/>
          </w:tcPr>
          <w:p w14:paraId="77E79474"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0A372812" w14:textId="36F03FE3"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Lack of role clarity affects retention (Ali </w:t>
            </w:r>
            <w:r w:rsidR="000C3E28" w:rsidRPr="00ED437B">
              <w:rPr>
                <w:i/>
                <w:iCs/>
              </w:rPr>
              <w:t>et al</w:t>
            </w:r>
            <w:r w:rsidRPr="00ED437B">
              <w:t>., 2024).</w:t>
            </w:r>
          </w:p>
        </w:tc>
      </w:tr>
      <w:tr w:rsidR="002E5897" w:rsidRPr="00ED437B" w14:paraId="7183D4A5" w14:textId="77777777" w:rsidTr="002B138C">
        <w:trPr>
          <w:cnfStyle w:val="000000100000" w:firstRow="0" w:lastRow="0" w:firstColumn="0" w:lastColumn="0" w:oddVBand="0" w:evenVBand="0" w:oddHBand="1" w:evenHBand="0" w:firstRowFirstColumn="0" w:firstRowLastColumn="0" w:lastRowFirstColumn="0" w:lastRowLastColumn="0"/>
          <w:trHeight w:val="1048"/>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07B8E75E" w14:textId="40B11091" w:rsidR="002E5897" w:rsidRPr="00ED437B" w:rsidRDefault="002E5897" w:rsidP="00D94E71">
            <w:pPr>
              <w:jc w:val="left"/>
            </w:pPr>
            <w:r w:rsidRPr="00ED437B">
              <w:t>Work-Life Integration Difficulties</w:t>
            </w:r>
          </w:p>
        </w:tc>
        <w:tc>
          <w:tcPr>
            <w:tcW w:w="1971" w:type="dxa"/>
            <w:vMerge w:val="restart"/>
            <w:shd w:val="clear" w:color="auto" w:fill="FFFFFF" w:themeFill="background1"/>
            <w:vAlign w:val="center"/>
            <w:hideMark/>
          </w:tcPr>
          <w:p w14:paraId="5B90A82F"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Inflexible Work Arrangements</w:t>
            </w:r>
          </w:p>
        </w:tc>
        <w:tc>
          <w:tcPr>
            <w:tcW w:w="4881" w:type="dxa"/>
            <w:shd w:val="clear" w:color="auto" w:fill="FFFFFF" w:themeFill="background1"/>
            <w:vAlign w:val="center"/>
            <w:hideMark/>
          </w:tcPr>
          <w:p w14:paraId="57910544" w14:textId="3F221445"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Frustration when hybrid or flexible work is restricted (Osorio and Madero, 2025).</w:t>
            </w:r>
          </w:p>
        </w:tc>
      </w:tr>
      <w:tr w:rsidR="002E5897" w:rsidRPr="00ED437B" w14:paraId="0AB0464C" w14:textId="77777777" w:rsidTr="002B138C">
        <w:trPr>
          <w:trHeight w:val="1047"/>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0F3C14EF" w14:textId="77777777" w:rsidR="002E5897" w:rsidRPr="00ED437B" w:rsidRDefault="002E5897" w:rsidP="00D94E71">
            <w:pPr>
              <w:jc w:val="left"/>
              <w:rPr>
                <w:b w:val="0"/>
                <w:bCs w:val="0"/>
              </w:rPr>
            </w:pPr>
          </w:p>
        </w:tc>
        <w:tc>
          <w:tcPr>
            <w:tcW w:w="1971" w:type="dxa"/>
            <w:vMerge/>
            <w:shd w:val="clear" w:color="auto" w:fill="FFFFFF" w:themeFill="background1"/>
            <w:vAlign w:val="center"/>
          </w:tcPr>
          <w:p w14:paraId="0EFBBD5D"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6A9C5686" w14:textId="2DE7530F"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Work-home boundary issues in digital or always-on environments (Becker, 2022).</w:t>
            </w:r>
          </w:p>
        </w:tc>
      </w:tr>
      <w:tr w:rsidR="002E5897" w:rsidRPr="00ED437B" w14:paraId="13EEE604" w14:textId="77777777" w:rsidTr="002B138C">
        <w:trPr>
          <w:cnfStyle w:val="000000100000" w:firstRow="0" w:lastRow="0" w:firstColumn="0" w:lastColumn="0" w:oddVBand="0" w:evenVBand="0" w:oddHBand="1" w:evenHBand="0" w:firstRowFirstColumn="0" w:firstRowLastColumn="0" w:lastRowFirstColumn="0" w:lastRowLastColumn="0"/>
          <w:trHeight w:val="1048"/>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6981C110" w14:textId="77777777" w:rsidR="002E5897" w:rsidRPr="00ED437B" w:rsidRDefault="002E5897" w:rsidP="00D94E71">
            <w:pPr>
              <w:jc w:val="left"/>
            </w:pPr>
          </w:p>
        </w:tc>
        <w:tc>
          <w:tcPr>
            <w:tcW w:w="1971" w:type="dxa"/>
            <w:vMerge w:val="restart"/>
            <w:shd w:val="clear" w:color="auto" w:fill="FFFFFF" w:themeFill="background1"/>
            <w:vAlign w:val="center"/>
            <w:hideMark/>
          </w:tcPr>
          <w:p w14:paraId="31D87E38" w14:textId="7777777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Moonlighting and Work Overload</w:t>
            </w:r>
          </w:p>
        </w:tc>
        <w:tc>
          <w:tcPr>
            <w:tcW w:w="4881" w:type="dxa"/>
            <w:shd w:val="clear" w:color="auto" w:fill="FFFFFF" w:themeFill="background1"/>
            <w:vAlign w:val="center"/>
            <w:hideMark/>
          </w:tcPr>
          <w:p w14:paraId="596F0A67" w14:textId="734B9297" w:rsidR="002E5897" w:rsidRPr="00ED437B" w:rsidRDefault="002E5897"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Conflict between side work and full-time roles (Bhore </w:t>
            </w:r>
            <w:r w:rsidR="000C3E28" w:rsidRPr="00ED437B">
              <w:rPr>
                <w:i/>
                <w:iCs/>
              </w:rPr>
              <w:t>et al</w:t>
            </w:r>
            <w:r w:rsidRPr="00ED437B">
              <w:t>., 2025).</w:t>
            </w:r>
          </w:p>
        </w:tc>
      </w:tr>
      <w:tr w:rsidR="002E5897" w:rsidRPr="00ED437B" w14:paraId="3A5D30C0" w14:textId="77777777" w:rsidTr="002B138C">
        <w:trPr>
          <w:trHeight w:val="1047"/>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17984757" w14:textId="77777777" w:rsidR="002E5897" w:rsidRPr="00ED437B" w:rsidRDefault="002E5897" w:rsidP="00D94E71">
            <w:pPr>
              <w:jc w:val="left"/>
            </w:pPr>
          </w:p>
        </w:tc>
        <w:tc>
          <w:tcPr>
            <w:tcW w:w="1971" w:type="dxa"/>
            <w:vMerge/>
            <w:shd w:val="clear" w:color="auto" w:fill="FFFFFF" w:themeFill="background1"/>
            <w:vAlign w:val="center"/>
          </w:tcPr>
          <w:p w14:paraId="47F5A1DB" w14:textId="77777777"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354F32D0" w14:textId="7E2905A9" w:rsidR="002E5897" w:rsidRPr="00ED437B" w:rsidRDefault="002E5897"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Organisational policies often unprepared for this trend (Bhore </w:t>
            </w:r>
            <w:r w:rsidR="000C3E28" w:rsidRPr="00ED437B">
              <w:rPr>
                <w:i/>
                <w:iCs/>
              </w:rPr>
              <w:t>et al</w:t>
            </w:r>
            <w:r w:rsidRPr="00ED437B">
              <w:t>., 2025).</w:t>
            </w:r>
          </w:p>
        </w:tc>
      </w:tr>
      <w:tr w:rsidR="00E361C3" w:rsidRPr="00ED437B" w14:paraId="704F09C0" w14:textId="77777777" w:rsidTr="002B138C">
        <w:trPr>
          <w:cnfStyle w:val="000000100000" w:firstRow="0" w:lastRow="0" w:firstColumn="0" w:lastColumn="0" w:oddVBand="0" w:evenVBand="0" w:oddHBand="1" w:evenHBand="0" w:firstRowFirstColumn="0" w:firstRowLastColumn="0" w:lastRowFirstColumn="0" w:lastRowLastColumn="0"/>
          <w:trHeight w:val="1048"/>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4EFADDB3" w14:textId="0CF6CF85" w:rsidR="00E361C3" w:rsidRPr="00ED437B" w:rsidRDefault="00E361C3" w:rsidP="00D94E71">
            <w:pPr>
              <w:jc w:val="left"/>
            </w:pPr>
            <w:r w:rsidRPr="00ED437B">
              <w:t>Organisational Culture and Employer Attractiveness Issues</w:t>
            </w:r>
          </w:p>
        </w:tc>
        <w:tc>
          <w:tcPr>
            <w:tcW w:w="1971" w:type="dxa"/>
            <w:vMerge w:val="restart"/>
            <w:shd w:val="clear" w:color="auto" w:fill="FFFFFF" w:themeFill="background1"/>
            <w:vAlign w:val="center"/>
            <w:hideMark/>
          </w:tcPr>
          <w:p w14:paraId="0918095A" w14:textId="77777777"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Misalignment of Expectations</w:t>
            </w:r>
          </w:p>
        </w:tc>
        <w:tc>
          <w:tcPr>
            <w:tcW w:w="4881" w:type="dxa"/>
            <w:shd w:val="clear" w:color="auto" w:fill="FFFFFF" w:themeFill="background1"/>
            <w:vAlign w:val="center"/>
            <w:hideMark/>
          </w:tcPr>
          <w:p w14:paraId="7A2B75B1" w14:textId="43928902"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Students and graduates expecting more autonomy than organisations provide (Grow and Yang, 2018).</w:t>
            </w:r>
          </w:p>
        </w:tc>
      </w:tr>
      <w:tr w:rsidR="00E361C3" w:rsidRPr="00ED437B" w14:paraId="4E0CA34B" w14:textId="77777777" w:rsidTr="002B138C">
        <w:trPr>
          <w:trHeight w:val="1047"/>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0207F713" w14:textId="77777777" w:rsidR="00E361C3" w:rsidRPr="00ED437B" w:rsidRDefault="00E361C3" w:rsidP="00D94E71">
            <w:pPr>
              <w:jc w:val="left"/>
              <w:rPr>
                <w:b w:val="0"/>
                <w:bCs w:val="0"/>
              </w:rPr>
            </w:pPr>
          </w:p>
        </w:tc>
        <w:tc>
          <w:tcPr>
            <w:tcW w:w="1971" w:type="dxa"/>
            <w:vMerge/>
            <w:shd w:val="clear" w:color="auto" w:fill="FFFFFF" w:themeFill="background1"/>
            <w:vAlign w:val="center"/>
          </w:tcPr>
          <w:p w14:paraId="069E4941" w14:textId="77777777"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016D02AF" w14:textId="3FFC4027"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r w:rsidRPr="00ED437B">
              <w:t>Poor employer branding reduces attraction and entry (Pandita, 2022).</w:t>
            </w:r>
          </w:p>
        </w:tc>
      </w:tr>
      <w:tr w:rsidR="00E361C3" w:rsidRPr="00ED437B" w14:paraId="1DEA4D2E" w14:textId="77777777" w:rsidTr="002B138C">
        <w:trPr>
          <w:cnfStyle w:val="000000100000" w:firstRow="0" w:lastRow="0" w:firstColumn="0" w:lastColumn="0" w:oddVBand="0" w:evenVBand="0" w:oddHBand="1" w:evenHBand="0" w:firstRowFirstColumn="0" w:firstRowLastColumn="0" w:lastRowFirstColumn="0" w:lastRowLastColumn="0"/>
          <w:trHeight w:val="1238"/>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2335EDBB" w14:textId="77777777" w:rsidR="00E361C3" w:rsidRPr="00ED437B" w:rsidRDefault="00E361C3" w:rsidP="00D94E71">
            <w:pPr>
              <w:jc w:val="left"/>
            </w:pPr>
          </w:p>
        </w:tc>
        <w:tc>
          <w:tcPr>
            <w:tcW w:w="1971" w:type="dxa"/>
            <w:vMerge w:val="restart"/>
            <w:shd w:val="clear" w:color="auto" w:fill="FFFFFF" w:themeFill="background1"/>
            <w:vAlign w:val="center"/>
            <w:hideMark/>
          </w:tcPr>
          <w:p w14:paraId="66EDF6D3" w14:textId="77777777"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Ethical and Social Responsibility Concerns</w:t>
            </w:r>
          </w:p>
        </w:tc>
        <w:tc>
          <w:tcPr>
            <w:tcW w:w="4881" w:type="dxa"/>
            <w:shd w:val="clear" w:color="auto" w:fill="FFFFFF" w:themeFill="background1"/>
            <w:vAlign w:val="center"/>
            <w:hideMark/>
          </w:tcPr>
          <w:p w14:paraId="5222D8F7" w14:textId="3A4AB320"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Reduced attraction when organisations show social irresponsibility (Darby </w:t>
            </w:r>
            <w:r w:rsidR="000C3E28" w:rsidRPr="00ED437B">
              <w:rPr>
                <w:i/>
                <w:iCs/>
              </w:rPr>
              <w:t>et al</w:t>
            </w:r>
            <w:r w:rsidRPr="00ED437B">
              <w:t>., 2025).</w:t>
            </w:r>
          </w:p>
        </w:tc>
      </w:tr>
      <w:tr w:rsidR="00E361C3" w:rsidRPr="00ED437B" w14:paraId="51BE6AD7" w14:textId="77777777" w:rsidTr="002B138C">
        <w:trPr>
          <w:trHeight w:val="1238"/>
        </w:trPr>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tcPr>
          <w:p w14:paraId="034FE3DB" w14:textId="77777777" w:rsidR="00E361C3" w:rsidRPr="00ED437B" w:rsidRDefault="00E361C3" w:rsidP="00D94E71">
            <w:pPr>
              <w:jc w:val="left"/>
            </w:pPr>
          </w:p>
        </w:tc>
        <w:tc>
          <w:tcPr>
            <w:tcW w:w="1971" w:type="dxa"/>
            <w:vMerge/>
            <w:shd w:val="clear" w:color="auto" w:fill="FFFFFF" w:themeFill="background1"/>
            <w:vAlign w:val="center"/>
          </w:tcPr>
          <w:p w14:paraId="2AE4E99B" w14:textId="77777777"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p>
        </w:tc>
        <w:tc>
          <w:tcPr>
            <w:tcW w:w="4881" w:type="dxa"/>
            <w:shd w:val="clear" w:color="auto" w:fill="FFFFFF" w:themeFill="background1"/>
            <w:vAlign w:val="center"/>
          </w:tcPr>
          <w:p w14:paraId="2AE296C2" w14:textId="0623CACC"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Strong sensitivity to CSR inconsistencies (Nguyen Ngoc </w:t>
            </w:r>
            <w:r w:rsidR="000C3E28" w:rsidRPr="00ED437B">
              <w:rPr>
                <w:i/>
                <w:iCs/>
              </w:rPr>
              <w:t>et al</w:t>
            </w:r>
            <w:r w:rsidRPr="00ED437B">
              <w:t>., 2022).</w:t>
            </w:r>
          </w:p>
        </w:tc>
      </w:tr>
      <w:tr w:rsidR="00E361C3" w:rsidRPr="00ED437B" w14:paraId="19F3AF91" w14:textId="77777777" w:rsidTr="002B1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4" w:type="dxa"/>
            <w:vMerge w:val="restart"/>
            <w:shd w:val="clear" w:color="auto" w:fill="FFFFFF" w:themeFill="background1"/>
            <w:vAlign w:val="center"/>
            <w:hideMark/>
          </w:tcPr>
          <w:p w14:paraId="409FA232" w14:textId="066B5B60" w:rsidR="00E361C3" w:rsidRPr="00ED437B" w:rsidRDefault="00E361C3" w:rsidP="00D94E71">
            <w:pPr>
              <w:jc w:val="left"/>
            </w:pPr>
            <w:r w:rsidRPr="00ED437B">
              <w:lastRenderedPageBreak/>
              <w:t>Conflict and Team Integration</w:t>
            </w:r>
          </w:p>
        </w:tc>
        <w:tc>
          <w:tcPr>
            <w:tcW w:w="1971" w:type="dxa"/>
            <w:shd w:val="clear" w:color="auto" w:fill="FFFFFF" w:themeFill="background1"/>
            <w:vAlign w:val="center"/>
            <w:hideMark/>
          </w:tcPr>
          <w:p w14:paraId="471E32C1" w14:textId="77777777"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Conflict Management Difficulties</w:t>
            </w:r>
          </w:p>
        </w:tc>
        <w:tc>
          <w:tcPr>
            <w:tcW w:w="4881" w:type="dxa"/>
            <w:shd w:val="clear" w:color="auto" w:fill="FFFFFF" w:themeFill="background1"/>
            <w:vAlign w:val="center"/>
            <w:hideMark/>
          </w:tcPr>
          <w:p w14:paraId="6C8DE0BD" w14:textId="57B1758E" w:rsidR="00E361C3" w:rsidRPr="00ED437B" w:rsidRDefault="00E361C3" w:rsidP="00D94E71">
            <w:pPr>
              <w:jc w:val="left"/>
              <w:cnfStyle w:val="000000100000" w:firstRow="0" w:lastRow="0" w:firstColumn="0" w:lastColumn="0" w:oddVBand="0" w:evenVBand="0" w:oddHBand="1" w:evenHBand="0" w:firstRowFirstColumn="0" w:firstRowLastColumn="0" w:lastRowFirstColumn="0" w:lastRowLastColumn="0"/>
            </w:pPr>
            <w:r w:rsidRPr="00ED437B">
              <w:t xml:space="preserve">Gen Z may rely on negotiation but struggle with avoidance or power asymmetry (Singh </w:t>
            </w:r>
            <w:r w:rsidR="000C3E28" w:rsidRPr="00ED437B">
              <w:rPr>
                <w:i/>
                <w:iCs/>
              </w:rPr>
              <w:t>et al</w:t>
            </w:r>
            <w:r w:rsidRPr="00ED437B">
              <w:t>., 2024).</w:t>
            </w:r>
          </w:p>
        </w:tc>
      </w:tr>
      <w:tr w:rsidR="00E361C3" w:rsidRPr="00ED437B" w14:paraId="3F078C2A" w14:textId="77777777" w:rsidTr="002B138C">
        <w:tc>
          <w:tcPr>
            <w:cnfStyle w:val="001000000000" w:firstRow="0" w:lastRow="0" w:firstColumn="1" w:lastColumn="0" w:oddVBand="0" w:evenVBand="0" w:oddHBand="0" w:evenHBand="0" w:firstRowFirstColumn="0" w:firstRowLastColumn="0" w:lastRowFirstColumn="0" w:lastRowLastColumn="0"/>
            <w:tcW w:w="2164" w:type="dxa"/>
            <w:vMerge/>
            <w:shd w:val="clear" w:color="auto" w:fill="FFFFFF" w:themeFill="background1"/>
            <w:vAlign w:val="center"/>
            <w:hideMark/>
          </w:tcPr>
          <w:p w14:paraId="34A31FB9" w14:textId="77777777" w:rsidR="00E361C3" w:rsidRPr="00ED437B" w:rsidRDefault="00E361C3" w:rsidP="00D94E71">
            <w:pPr>
              <w:jc w:val="left"/>
            </w:pPr>
          </w:p>
        </w:tc>
        <w:tc>
          <w:tcPr>
            <w:tcW w:w="1971" w:type="dxa"/>
            <w:shd w:val="clear" w:color="auto" w:fill="FFFFFF" w:themeFill="background1"/>
            <w:vAlign w:val="center"/>
            <w:hideMark/>
          </w:tcPr>
          <w:p w14:paraId="7104D212" w14:textId="77777777"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r w:rsidRPr="00ED437B">
              <w:t>Teamwork vs. Independence</w:t>
            </w:r>
          </w:p>
        </w:tc>
        <w:tc>
          <w:tcPr>
            <w:tcW w:w="4881" w:type="dxa"/>
            <w:shd w:val="clear" w:color="auto" w:fill="FFFFFF" w:themeFill="background1"/>
            <w:vAlign w:val="center"/>
            <w:hideMark/>
          </w:tcPr>
          <w:p w14:paraId="60FC02E2" w14:textId="317511E2" w:rsidR="00E361C3" w:rsidRPr="00ED437B" w:rsidRDefault="00E361C3" w:rsidP="00D94E71">
            <w:pPr>
              <w:jc w:val="left"/>
              <w:cnfStyle w:val="000000000000" w:firstRow="0" w:lastRow="0" w:firstColumn="0" w:lastColumn="0" w:oddVBand="0" w:evenVBand="0" w:oddHBand="0" w:evenHBand="0" w:firstRowFirstColumn="0" w:firstRowLastColumn="0" w:lastRowFirstColumn="0" w:lastRowLastColumn="0"/>
            </w:pPr>
            <w:r w:rsidRPr="00ED437B">
              <w:t xml:space="preserve">Some Gen Z employees prefer independent work, creating coordination barriers (Surugiu </w:t>
            </w:r>
            <w:r w:rsidR="000C3E28" w:rsidRPr="00ED437B">
              <w:rPr>
                <w:i/>
                <w:iCs/>
              </w:rPr>
              <w:t>et al</w:t>
            </w:r>
            <w:r w:rsidRPr="00ED437B">
              <w:t>., 2025).</w:t>
            </w:r>
          </w:p>
        </w:tc>
      </w:tr>
    </w:tbl>
    <w:p w14:paraId="2C030DF7" w14:textId="77777777" w:rsidR="00C924D8" w:rsidRPr="00ED437B" w:rsidRDefault="00C924D8" w:rsidP="00C924D8">
      <w:pPr>
        <w:pStyle w:val="Heading3"/>
        <w:rPr>
          <w:rFonts w:ascii="Times New Roman" w:hAnsi="Times New Roman"/>
          <w:sz w:val="36"/>
        </w:rPr>
      </w:pPr>
      <w:bookmarkStart w:id="45" w:name="_Toc218179351"/>
      <w:r w:rsidRPr="00ED437B">
        <w:rPr>
          <w:rStyle w:val="Strong"/>
          <w:b/>
          <w:bCs/>
        </w:rPr>
        <w:t>Narrative Synthesis: Challenges and Barriers Encountered by Generation Z Employees in Organisational Settings</w:t>
      </w:r>
      <w:bookmarkEnd w:id="45"/>
    </w:p>
    <w:p w14:paraId="4D78F612" w14:textId="77777777" w:rsidR="00ED437B" w:rsidRPr="00ED437B" w:rsidRDefault="00ED437B" w:rsidP="00ED437B">
      <w:r w:rsidRPr="00ED437B">
        <w:t>Throughout the literature, the employees of Generation Z have a series of issues that manifest themselves in the disconnection between their expectation and the structural and cultural reality of the modern organisations. Among the limitations that are most obvious is that of intergenerational communication and leadership expectations. Open communication, quick feedback, and cooperative interaction are popular among Gen Z workers, but they have to face supervisors who use hierarchical or opaque communication patterns. Such a disconnect can create a misconception and lower the interaction (Pradhana et al., 2024; Janssen and Carradini, 2021). It has also been observed that Gen Z workers are very poor reactors to the authoritarian approach and, on the contrary, seek authenticity and participative management (Gabrielova and Buchko, 2021; El Hajal and Losekoot, 2025), which is not always the case in practise.</w:t>
      </w:r>
    </w:p>
    <w:p w14:paraId="3484E7D5" w14:textId="77777777" w:rsidR="00ED437B" w:rsidRPr="00ED437B" w:rsidRDefault="00ED437B" w:rsidP="00ED437B">
      <w:r w:rsidRPr="00ED437B">
        <w:t>The second significant obstacle is associated with career insecurities and access to development opportunities. As the literature indicates, Gen Z is always keen on career advancement, skill enhancement, and job description. The lack of them or their poor communication decreases commitment and increases turnover intentions (Aggarwal et al., 2022; Ali et al., 2024). The studies of the emerging and transition economies also contribute to the fact that unstable employment rates may increase these issues, which supports the low stagnation tolerance of Gen Z (Tran et al., 2024b).</w:t>
      </w:r>
    </w:p>
    <w:p w14:paraId="69BEA14E" w14:textId="77777777" w:rsidR="00ED437B" w:rsidRPr="00ED437B" w:rsidRDefault="00ED437B" w:rsidP="00ED437B">
      <w:r w:rsidRPr="00ED437B">
        <w:t xml:space="preserve">The growing rates of psychological strain, burnout and disengagement behaviours are also a major challenge. The particular gen z workers are more sensitive to overworking, lack of meaning, and organisational support, which promote burnout and such effects as quiet quitting (Xueyun et al., 2023; Xueyun et al., 2024; Liu-Lastres et al., 2024). Emerging signs of vulnerable student groups reveal that mental health </w:t>
      </w:r>
      <w:r w:rsidRPr="00ED437B">
        <w:lastRenderedPageBreak/>
        <w:t>might be the underlying factor that leads to the employment, and therefore, organisations should take action to maintain well-being to continue engaging (Veluchamy et al., 2016).</w:t>
      </w:r>
    </w:p>
    <w:p w14:paraId="513F1FC0" w14:textId="77777777" w:rsidR="00ED437B" w:rsidRPr="00ED437B" w:rsidRDefault="00ED437B" w:rsidP="00ED437B">
      <w:r w:rsidRPr="00ED437B">
        <w:t>Another set of barriers is the technological change. Gen z may be technologically savvy, but rapid adaption of robotics and automation may make some jobs anxiety-inducing, especially in industries where human labour is directly at risk (Dou et al., 2025). Meanwhile, the lack of modern digital systems in an organisation can lead to employees of Gen Z noticing the lack of efficiency and leaving (El Hajal and Losekoot, 2025), which proves that technology may not only act as a motivational force but also a stressor.</w:t>
      </w:r>
    </w:p>
    <w:p w14:paraId="7DB1F099" w14:textId="77777777" w:rsidR="00ED437B" w:rsidRPr="00ED437B" w:rsidRDefault="00ED437B" w:rsidP="00ED437B">
      <w:r w:rsidRPr="00ED437B">
        <w:t>Another issue is that of value misfit and perception of meaningful work. Gen Z workers want their work to have purpose, ethical integrity, and honour. Engagement and performance are reduced in the case of work meaninglessness or when employees are set to illegitimate work (Li et al., 2025). Being generally more sensitive to organisational ethics and corporate social responsibility, the given generation is also prone to perception of irresponsibility, which greatly impairs attraction and retention (Darby et al., 2025; Nguyen Ngoc et al., 2022).</w:t>
      </w:r>
    </w:p>
    <w:p w14:paraId="2E681458" w14:textId="77777777" w:rsidR="00ED437B" w:rsidRPr="00ED437B" w:rsidRDefault="00ED437B" w:rsidP="00ED437B">
      <w:r w:rsidRPr="00ED437B">
        <w:t>Another obstacle is work-life integration in the situation where organisational policies lack flexibility as a preference of Gen Z. The studies indicate a high demand of hybrid and flexible working patterns (Osorio and Madero, 2025), even though most organisations still have strict organisational systems that curb independence. This has led to the occurrence of moonlighting by some Gen Z employees and that is further causing conflict when organisational policy has not been developed or is inflexible (Bhore et al., 2025).</w:t>
      </w:r>
    </w:p>
    <w:p w14:paraId="69E14A0F" w14:textId="77777777" w:rsidR="00ED437B" w:rsidRPr="00ED437B" w:rsidRDefault="00ED437B" w:rsidP="00ED437B">
      <w:r w:rsidRPr="00ED437B">
        <w:t>Lastly, Gen Z employees also face some difficulties in inter-team dynamics and conflict management. They are also more likely to prefer negotiation and cooperation in resolving conflicts (Singh et al., 2024), yet the need to maintain independence and the lack of comfort with the poorly organised teamwork may impact cohesion and coordination in a certain organisational setting (Surugiu et al., 2025).</w:t>
      </w:r>
    </w:p>
    <w:p w14:paraId="18C8F725" w14:textId="5CDCC8DE" w:rsidR="00D94E71" w:rsidRPr="00ED437B" w:rsidRDefault="00ED437B" w:rsidP="00ED437B">
      <w:r w:rsidRPr="00ED437B">
        <w:t xml:space="preserve">All in all, the obstacles faced by Gen Z workers do not suggest the lack of generational deficit as much as a lack of alignment within the system between the new motivational trends and the organisational behaviours developed to support previous generations. </w:t>
      </w:r>
      <w:r w:rsidRPr="00ED437B">
        <w:lastRenderedPageBreak/>
        <w:t>To overcome these impediments, leadership will need to be adjusted, clear communication, meaningful and ethical work design, purposeful investment in well-being, and flexible HR systems that can serve a workforce with demonstrated expectations and values.</w:t>
      </w:r>
    </w:p>
    <w:p w14:paraId="54F18A16" w14:textId="4716661A" w:rsidR="000663B6" w:rsidRPr="00ED437B" w:rsidRDefault="000663B6" w:rsidP="004B7815">
      <w:pPr>
        <w:pStyle w:val="Heading2"/>
        <w:spacing w:before="240" w:after="0"/>
        <w:rPr>
          <w:rFonts w:ascii="Times New Roman" w:hAnsi="Times New Roman"/>
          <w:sz w:val="27"/>
        </w:rPr>
      </w:pPr>
      <w:bookmarkStart w:id="46" w:name="_Toc218179352"/>
      <w:r w:rsidRPr="00ED437B">
        <w:t>RQ3: Organisational Policies and Practices Recommended to Support and Engage Generation Z</w:t>
      </w:r>
      <w:bookmarkEnd w:id="46"/>
    </w:p>
    <w:p w14:paraId="43F1D063" w14:textId="63E6654C" w:rsidR="002E5897" w:rsidRPr="00ED437B" w:rsidRDefault="00D94E71" w:rsidP="004B7815">
      <w:pPr>
        <w:pStyle w:val="NoSpacing"/>
        <w:spacing w:before="160"/>
      </w:pPr>
      <w:bookmarkStart w:id="47" w:name="_Toc216195249"/>
      <w:r w:rsidRPr="00ED437B">
        <w:t xml:space="preserve">Table </w:t>
      </w:r>
      <w:r w:rsidRPr="00ED437B">
        <w:fldChar w:fldCharType="begin"/>
      </w:r>
      <w:r w:rsidRPr="00ED437B">
        <w:instrText xml:space="preserve"> SEQ Table \* ARABIC </w:instrText>
      </w:r>
      <w:r w:rsidRPr="00ED437B">
        <w:fldChar w:fldCharType="separate"/>
      </w:r>
      <w:r w:rsidRPr="00ED437B">
        <w:t>4</w:t>
      </w:r>
      <w:r w:rsidRPr="00ED437B">
        <w:fldChar w:fldCharType="end"/>
      </w:r>
      <w:r w:rsidRPr="00ED437B">
        <w:t xml:space="preserve"> Thematic Analysis of Organisational Policies and Practices to Support and Engage Generation Z</w:t>
      </w:r>
      <w:bookmarkEnd w:id="47"/>
    </w:p>
    <w:tbl>
      <w:tblPr>
        <w:tblStyle w:val="TableGridLight"/>
        <w:tblW w:w="0" w:type="auto"/>
        <w:tblLook w:val="04A0" w:firstRow="1" w:lastRow="0" w:firstColumn="1" w:lastColumn="0" w:noHBand="0" w:noVBand="1"/>
      </w:tblPr>
      <w:tblGrid>
        <w:gridCol w:w="2030"/>
        <w:gridCol w:w="2017"/>
        <w:gridCol w:w="4969"/>
      </w:tblGrid>
      <w:tr w:rsidR="00D94E71" w:rsidRPr="00ED437B" w14:paraId="19FF0AF0" w14:textId="77777777" w:rsidTr="002B138C">
        <w:tc>
          <w:tcPr>
            <w:tcW w:w="2030" w:type="dxa"/>
            <w:vAlign w:val="center"/>
            <w:hideMark/>
          </w:tcPr>
          <w:p w14:paraId="3E6CDB48" w14:textId="77777777" w:rsidR="00C6136B" w:rsidRPr="00ED437B" w:rsidRDefault="00C6136B" w:rsidP="00D94E71">
            <w:pPr>
              <w:spacing w:after="0"/>
              <w:jc w:val="left"/>
              <w:rPr>
                <w:b/>
                <w:bCs/>
                <w:color w:val="000000" w:themeColor="text1"/>
                <w:szCs w:val="24"/>
              </w:rPr>
            </w:pPr>
            <w:r w:rsidRPr="00ED437B">
              <w:rPr>
                <w:b/>
                <w:bCs/>
                <w:color w:val="000000" w:themeColor="text1"/>
                <w:szCs w:val="24"/>
              </w:rPr>
              <w:t>Theme</w:t>
            </w:r>
          </w:p>
        </w:tc>
        <w:tc>
          <w:tcPr>
            <w:tcW w:w="2015" w:type="dxa"/>
            <w:vAlign w:val="center"/>
            <w:hideMark/>
          </w:tcPr>
          <w:p w14:paraId="71253AA3" w14:textId="77777777" w:rsidR="00C6136B" w:rsidRPr="00ED437B" w:rsidRDefault="00C6136B" w:rsidP="00D94E71">
            <w:pPr>
              <w:spacing w:after="0"/>
              <w:jc w:val="left"/>
              <w:rPr>
                <w:b/>
                <w:bCs/>
                <w:color w:val="000000" w:themeColor="text1"/>
                <w:szCs w:val="24"/>
              </w:rPr>
            </w:pPr>
            <w:r w:rsidRPr="00ED437B">
              <w:rPr>
                <w:b/>
                <w:bCs/>
                <w:color w:val="000000" w:themeColor="text1"/>
                <w:szCs w:val="24"/>
              </w:rPr>
              <w:t>Sub-theme</w:t>
            </w:r>
          </w:p>
        </w:tc>
        <w:tc>
          <w:tcPr>
            <w:tcW w:w="4971" w:type="dxa"/>
            <w:vAlign w:val="center"/>
            <w:hideMark/>
          </w:tcPr>
          <w:p w14:paraId="3C47651E" w14:textId="3FDC09D6" w:rsidR="00C6136B" w:rsidRPr="00ED437B" w:rsidRDefault="00C6136B" w:rsidP="00D94E71">
            <w:pPr>
              <w:spacing w:after="0"/>
              <w:jc w:val="left"/>
              <w:rPr>
                <w:b/>
                <w:bCs/>
                <w:color w:val="000000" w:themeColor="text1"/>
                <w:szCs w:val="24"/>
              </w:rPr>
            </w:pPr>
            <w:r w:rsidRPr="00ED437B">
              <w:rPr>
                <w:b/>
                <w:bCs/>
                <w:color w:val="000000" w:themeColor="text1"/>
                <w:szCs w:val="24"/>
              </w:rPr>
              <w:t>Codes</w:t>
            </w:r>
          </w:p>
        </w:tc>
      </w:tr>
      <w:tr w:rsidR="00D94E71" w:rsidRPr="00ED437B" w14:paraId="2EA3C2E7" w14:textId="77777777" w:rsidTr="002B138C">
        <w:trPr>
          <w:trHeight w:val="1312"/>
        </w:trPr>
        <w:tc>
          <w:tcPr>
            <w:tcW w:w="2030" w:type="dxa"/>
            <w:vMerge w:val="restart"/>
            <w:vAlign w:val="center"/>
            <w:hideMark/>
          </w:tcPr>
          <w:p w14:paraId="68536743" w14:textId="42F1CF21" w:rsidR="00D94E71" w:rsidRPr="00ED437B" w:rsidRDefault="00D94E71" w:rsidP="00D94E71">
            <w:pPr>
              <w:jc w:val="left"/>
              <w:rPr>
                <w:color w:val="000000" w:themeColor="text1"/>
                <w:szCs w:val="24"/>
              </w:rPr>
            </w:pPr>
            <w:r w:rsidRPr="00ED437B">
              <w:rPr>
                <w:b/>
                <w:bCs/>
                <w:color w:val="000000" w:themeColor="text1"/>
                <w:szCs w:val="24"/>
              </w:rPr>
              <w:t>Flexible and Supportive HR Policy Design</w:t>
            </w:r>
          </w:p>
        </w:tc>
        <w:tc>
          <w:tcPr>
            <w:tcW w:w="2015" w:type="dxa"/>
            <w:vMerge w:val="restart"/>
            <w:vAlign w:val="center"/>
            <w:hideMark/>
          </w:tcPr>
          <w:p w14:paraId="62AD5984" w14:textId="77777777" w:rsidR="00D94E71" w:rsidRPr="00ED437B" w:rsidRDefault="00D94E71" w:rsidP="00D94E71">
            <w:pPr>
              <w:jc w:val="left"/>
              <w:rPr>
                <w:color w:val="000000" w:themeColor="text1"/>
                <w:szCs w:val="24"/>
              </w:rPr>
            </w:pPr>
            <w:r w:rsidRPr="00ED437B">
              <w:rPr>
                <w:color w:val="000000" w:themeColor="text1"/>
                <w:szCs w:val="24"/>
              </w:rPr>
              <w:t>Flexibility in Work Arrangements</w:t>
            </w:r>
          </w:p>
        </w:tc>
        <w:tc>
          <w:tcPr>
            <w:tcW w:w="4971" w:type="dxa"/>
            <w:vAlign w:val="center"/>
            <w:hideMark/>
          </w:tcPr>
          <w:p w14:paraId="6751DD6E" w14:textId="46F7158F" w:rsidR="00D94E71" w:rsidRPr="00ED437B" w:rsidRDefault="00D94E71" w:rsidP="00D94E71">
            <w:pPr>
              <w:jc w:val="left"/>
              <w:rPr>
                <w:color w:val="000000" w:themeColor="text1"/>
                <w:szCs w:val="24"/>
              </w:rPr>
            </w:pPr>
            <w:r w:rsidRPr="00ED437B">
              <w:rPr>
                <w:color w:val="000000" w:themeColor="text1"/>
                <w:szCs w:val="24"/>
              </w:rPr>
              <w:t>Introduction of hybrid/remote work to meet Gen Z expectations (Osorio &amp; Madero, 2025).</w:t>
            </w:r>
          </w:p>
          <w:p w14:paraId="2F50178A" w14:textId="77C9BC71" w:rsidR="00D94E71" w:rsidRPr="00ED437B" w:rsidRDefault="00D94E71" w:rsidP="00D94E71">
            <w:pPr>
              <w:jc w:val="left"/>
              <w:rPr>
                <w:color w:val="000000" w:themeColor="text1"/>
                <w:szCs w:val="24"/>
              </w:rPr>
            </w:pPr>
          </w:p>
        </w:tc>
      </w:tr>
      <w:tr w:rsidR="00D94E71" w:rsidRPr="00ED437B" w14:paraId="28CF57C3" w14:textId="77777777" w:rsidTr="002B138C">
        <w:trPr>
          <w:trHeight w:val="1311"/>
        </w:trPr>
        <w:tc>
          <w:tcPr>
            <w:tcW w:w="2030" w:type="dxa"/>
            <w:vMerge/>
            <w:vAlign w:val="center"/>
          </w:tcPr>
          <w:p w14:paraId="67CF372F" w14:textId="77777777" w:rsidR="00D94E71" w:rsidRPr="00ED437B" w:rsidRDefault="00D94E71" w:rsidP="00D94E71">
            <w:pPr>
              <w:jc w:val="left"/>
              <w:rPr>
                <w:b/>
                <w:bCs/>
                <w:color w:val="000000" w:themeColor="text1"/>
                <w:szCs w:val="24"/>
              </w:rPr>
            </w:pPr>
          </w:p>
        </w:tc>
        <w:tc>
          <w:tcPr>
            <w:tcW w:w="2015" w:type="dxa"/>
            <w:vMerge/>
            <w:vAlign w:val="center"/>
          </w:tcPr>
          <w:p w14:paraId="1384E6A9" w14:textId="77777777" w:rsidR="00D94E71" w:rsidRPr="00ED437B" w:rsidRDefault="00D94E71" w:rsidP="00D94E71">
            <w:pPr>
              <w:jc w:val="left"/>
              <w:rPr>
                <w:color w:val="000000" w:themeColor="text1"/>
                <w:szCs w:val="24"/>
              </w:rPr>
            </w:pPr>
          </w:p>
        </w:tc>
        <w:tc>
          <w:tcPr>
            <w:tcW w:w="4971" w:type="dxa"/>
            <w:vAlign w:val="center"/>
          </w:tcPr>
          <w:p w14:paraId="6C919A0A" w14:textId="114F25E7" w:rsidR="00D94E71" w:rsidRPr="00ED437B" w:rsidRDefault="00D94E71" w:rsidP="00D94E71">
            <w:pPr>
              <w:jc w:val="left"/>
              <w:rPr>
                <w:color w:val="000000" w:themeColor="text1"/>
                <w:szCs w:val="24"/>
              </w:rPr>
            </w:pPr>
            <w:r w:rsidRPr="00ED437B">
              <w:rPr>
                <w:color w:val="000000" w:themeColor="text1"/>
                <w:szCs w:val="24"/>
              </w:rPr>
              <w:t>Flexible scheduling improves engagement and retention (Bou Hatoum &amp; Nassereddine, 2025).</w:t>
            </w:r>
          </w:p>
        </w:tc>
      </w:tr>
      <w:tr w:rsidR="00D94E71" w:rsidRPr="00ED437B" w14:paraId="432AB90E" w14:textId="77777777" w:rsidTr="002B138C">
        <w:trPr>
          <w:trHeight w:val="1162"/>
        </w:trPr>
        <w:tc>
          <w:tcPr>
            <w:tcW w:w="2030" w:type="dxa"/>
            <w:vMerge/>
            <w:vAlign w:val="center"/>
            <w:hideMark/>
          </w:tcPr>
          <w:p w14:paraId="5B78F37B" w14:textId="77777777" w:rsidR="00D94E71" w:rsidRPr="00ED437B" w:rsidRDefault="00D94E71" w:rsidP="00D94E71">
            <w:pPr>
              <w:jc w:val="left"/>
              <w:rPr>
                <w:color w:val="000000" w:themeColor="text1"/>
                <w:szCs w:val="24"/>
              </w:rPr>
            </w:pPr>
          </w:p>
        </w:tc>
        <w:tc>
          <w:tcPr>
            <w:tcW w:w="2015" w:type="dxa"/>
            <w:vMerge w:val="restart"/>
            <w:vAlign w:val="center"/>
            <w:hideMark/>
          </w:tcPr>
          <w:p w14:paraId="4A218E2C" w14:textId="77777777" w:rsidR="00D94E71" w:rsidRPr="00ED437B" w:rsidRDefault="00D94E71" w:rsidP="00D94E71">
            <w:pPr>
              <w:jc w:val="left"/>
              <w:rPr>
                <w:color w:val="000000" w:themeColor="text1"/>
                <w:szCs w:val="24"/>
              </w:rPr>
            </w:pPr>
            <w:r w:rsidRPr="00ED437B">
              <w:rPr>
                <w:color w:val="000000" w:themeColor="text1"/>
                <w:szCs w:val="24"/>
              </w:rPr>
              <w:t>Reward and Recognition Systems</w:t>
            </w:r>
          </w:p>
        </w:tc>
        <w:tc>
          <w:tcPr>
            <w:tcW w:w="4971" w:type="dxa"/>
            <w:vAlign w:val="center"/>
            <w:hideMark/>
          </w:tcPr>
          <w:p w14:paraId="4CBB3DC4" w14:textId="77777777" w:rsidR="00D94E71" w:rsidRPr="00ED437B" w:rsidRDefault="00D94E71" w:rsidP="00D94E71">
            <w:pPr>
              <w:jc w:val="left"/>
              <w:rPr>
                <w:color w:val="000000" w:themeColor="text1"/>
                <w:szCs w:val="24"/>
              </w:rPr>
            </w:pPr>
            <w:r w:rsidRPr="00ED437B">
              <w:rPr>
                <w:color w:val="000000" w:themeColor="text1"/>
                <w:szCs w:val="24"/>
              </w:rPr>
              <w:t>Use of balanced intrinsic and extrinsic rewards (Acheampong, 2021; Mabaso, 2025).</w:t>
            </w:r>
          </w:p>
          <w:p w14:paraId="04581BAF" w14:textId="112ADE82" w:rsidR="00D94E71" w:rsidRPr="00ED437B" w:rsidRDefault="00D94E71" w:rsidP="00D94E71">
            <w:pPr>
              <w:jc w:val="left"/>
              <w:rPr>
                <w:color w:val="000000" w:themeColor="text1"/>
                <w:szCs w:val="24"/>
              </w:rPr>
            </w:pPr>
          </w:p>
        </w:tc>
      </w:tr>
      <w:tr w:rsidR="00D94E71" w:rsidRPr="00ED437B" w14:paraId="7543AA4A" w14:textId="77777777" w:rsidTr="002B138C">
        <w:trPr>
          <w:trHeight w:val="1161"/>
        </w:trPr>
        <w:tc>
          <w:tcPr>
            <w:tcW w:w="2030" w:type="dxa"/>
            <w:vMerge/>
            <w:vAlign w:val="center"/>
          </w:tcPr>
          <w:p w14:paraId="25422C5D" w14:textId="77777777" w:rsidR="00D94E71" w:rsidRPr="00ED437B" w:rsidRDefault="00D94E71" w:rsidP="00D94E71">
            <w:pPr>
              <w:jc w:val="left"/>
              <w:rPr>
                <w:color w:val="000000" w:themeColor="text1"/>
                <w:szCs w:val="24"/>
              </w:rPr>
            </w:pPr>
          </w:p>
        </w:tc>
        <w:tc>
          <w:tcPr>
            <w:tcW w:w="2015" w:type="dxa"/>
            <w:vMerge/>
            <w:vAlign w:val="center"/>
          </w:tcPr>
          <w:p w14:paraId="76ACA6FA" w14:textId="77777777" w:rsidR="00D94E71" w:rsidRPr="00ED437B" w:rsidRDefault="00D94E71" w:rsidP="00D94E71">
            <w:pPr>
              <w:jc w:val="left"/>
              <w:rPr>
                <w:color w:val="000000" w:themeColor="text1"/>
                <w:szCs w:val="24"/>
              </w:rPr>
            </w:pPr>
          </w:p>
        </w:tc>
        <w:tc>
          <w:tcPr>
            <w:tcW w:w="4971" w:type="dxa"/>
            <w:vAlign w:val="center"/>
          </w:tcPr>
          <w:p w14:paraId="588EB1B1" w14:textId="01B31831" w:rsidR="00D94E71" w:rsidRPr="00ED437B" w:rsidRDefault="00D94E71" w:rsidP="00D94E71">
            <w:pPr>
              <w:jc w:val="left"/>
              <w:rPr>
                <w:color w:val="000000" w:themeColor="text1"/>
                <w:szCs w:val="24"/>
              </w:rPr>
            </w:pPr>
            <w:r w:rsidRPr="00ED437B">
              <w:rPr>
                <w:color w:val="000000" w:themeColor="text1"/>
                <w:szCs w:val="24"/>
              </w:rPr>
              <w:t xml:space="preserve">Recognition and appreciation enhance motivation (Surugiu </w:t>
            </w:r>
            <w:r w:rsidR="000C3E28" w:rsidRPr="00ED437B">
              <w:rPr>
                <w:i/>
                <w:iCs/>
                <w:color w:val="000000" w:themeColor="text1"/>
                <w:szCs w:val="24"/>
              </w:rPr>
              <w:t>et al</w:t>
            </w:r>
            <w:r w:rsidRPr="00ED437B">
              <w:rPr>
                <w:color w:val="000000" w:themeColor="text1"/>
                <w:szCs w:val="24"/>
              </w:rPr>
              <w:t>., 2025).</w:t>
            </w:r>
          </w:p>
        </w:tc>
      </w:tr>
      <w:tr w:rsidR="00D94E71" w:rsidRPr="00ED437B" w14:paraId="5EDF698D" w14:textId="77777777" w:rsidTr="002B138C">
        <w:trPr>
          <w:trHeight w:val="1162"/>
        </w:trPr>
        <w:tc>
          <w:tcPr>
            <w:tcW w:w="2030" w:type="dxa"/>
            <w:vMerge w:val="restart"/>
            <w:vAlign w:val="center"/>
            <w:hideMark/>
          </w:tcPr>
          <w:p w14:paraId="590A1591" w14:textId="4A82F7CA" w:rsidR="00D94E71" w:rsidRPr="00ED437B" w:rsidRDefault="00D94E71" w:rsidP="00D94E71">
            <w:pPr>
              <w:jc w:val="left"/>
              <w:rPr>
                <w:color w:val="000000" w:themeColor="text1"/>
                <w:szCs w:val="24"/>
              </w:rPr>
            </w:pPr>
            <w:r w:rsidRPr="00ED437B">
              <w:rPr>
                <w:b/>
                <w:bCs/>
                <w:color w:val="000000" w:themeColor="text1"/>
                <w:szCs w:val="24"/>
              </w:rPr>
              <w:t>Learning, Development, and Career Support</w:t>
            </w:r>
          </w:p>
        </w:tc>
        <w:tc>
          <w:tcPr>
            <w:tcW w:w="2015" w:type="dxa"/>
            <w:vMerge w:val="restart"/>
            <w:vAlign w:val="center"/>
            <w:hideMark/>
          </w:tcPr>
          <w:p w14:paraId="72EA4074" w14:textId="77777777" w:rsidR="00D94E71" w:rsidRPr="00ED437B" w:rsidRDefault="00D94E71" w:rsidP="00D94E71">
            <w:pPr>
              <w:jc w:val="left"/>
              <w:rPr>
                <w:color w:val="000000" w:themeColor="text1"/>
                <w:szCs w:val="24"/>
              </w:rPr>
            </w:pPr>
            <w:r w:rsidRPr="00ED437B">
              <w:rPr>
                <w:color w:val="000000" w:themeColor="text1"/>
                <w:szCs w:val="24"/>
              </w:rPr>
              <w:t>Training and Mentoring</w:t>
            </w:r>
          </w:p>
        </w:tc>
        <w:tc>
          <w:tcPr>
            <w:tcW w:w="4971" w:type="dxa"/>
            <w:vAlign w:val="center"/>
            <w:hideMark/>
          </w:tcPr>
          <w:p w14:paraId="07F29C01" w14:textId="637F33A2" w:rsidR="00D94E71" w:rsidRPr="00ED437B" w:rsidRDefault="00D94E71" w:rsidP="00D94E71">
            <w:pPr>
              <w:jc w:val="left"/>
              <w:rPr>
                <w:color w:val="000000" w:themeColor="text1"/>
                <w:szCs w:val="24"/>
              </w:rPr>
            </w:pPr>
            <w:r w:rsidRPr="00ED437B">
              <w:rPr>
                <w:color w:val="000000" w:themeColor="text1"/>
                <w:szCs w:val="24"/>
              </w:rPr>
              <w:t xml:space="preserve">Structured training and mentoring to support early-career growth (Borg </w:t>
            </w:r>
            <w:r w:rsidR="000C3E28" w:rsidRPr="00ED437B">
              <w:rPr>
                <w:i/>
                <w:iCs/>
                <w:color w:val="000000" w:themeColor="text1"/>
                <w:szCs w:val="24"/>
              </w:rPr>
              <w:t>et al</w:t>
            </w:r>
            <w:r w:rsidRPr="00ED437B">
              <w:rPr>
                <w:color w:val="000000" w:themeColor="text1"/>
                <w:szCs w:val="24"/>
              </w:rPr>
              <w:t>., 2023).</w:t>
            </w:r>
          </w:p>
          <w:p w14:paraId="1FB787BF" w14:textId="6CEF5BE9" w:rsidR="00D94E71" w:rsidRPr="00ED437B" w:rsidRDefault="00D94E71" w:rsidP="00D94E71">
            <w:pPr>
              <w:jc w:val="left"/>
              <w:rPr>
                <w:color w:val="000000" w:themeColor="text1"/>
                <w:szCs w:val="24"/>
              </w:rPr>
            </w:pPr>
          </w:p>
        </w:tc>
      </w:tr>
      <w:tr w:rsidR="00D94E71" w:rsidRPr="00ED437B" w14:paraId="5933B133" w14:textId="77777777" w:rsidTr="002B138C">
        <w:trPr>
          <w:trHeight w:val="1161"/>
        </w:trPr>
        <w:tc>
          <w:tcPr>
            <w:tcW w:w="2030" w:type="dxa"/>
            <w:vMerge/>
            <w:vAlign w:val="center"/>
          </w:tcPr>
          <w:p w14:paraId="02887B31" w14:textId="77777777" w:rsidR="00D94E71" w:rsidRPr="00ED437B" w:rsidRDefault="00D94E71" w:rsidP="00D94E71">
            <w:pPr>
              <w:jc w:val="left"/>
              <w:rPr>
                <w:b/>
                <w:bCs/>
                <w:color w:val="000000" w:themeColor="text1"/>
                <w:szCs w:val="24"/>
              </w:rPr>
            </w:pPr>
          </w:p>
        </w:tc>
        <w:tc>
          <w:tcPr>
            <w:tcW w:w="2015" w:type="dxa"/>
            <w:vMerge/>
            <w:vAlign w:val="center"/>
          </w:tcPr>
          <w:p w14:paraId="48EABB40" w14:textId="77777777" w:rsidR="00D94E71" w:rsidRPr="00ED437B" w:rsidRDefault="00D94E71" w:rsidP="00D94E71">
            <w:pPr>
              <w:jc w:val="left"/>
              <w:rPr>
                <w:color w:val="000000" w:themeColor="text1"/>
                <w:szCs w:val="24"/>
              </w:rPr>
            </w:pPr>
          </w:p>
        </w:tc>
        <w:tc>
          <w:tcPr>
            <w:tcW w:w="4971" w:type="dxa"/>
            <w:vAlign w:val="center"/>
          </w:tcPr>
          <w:p w14:paraId="701E65C9" w14:textId="14732338" w:rsidR="00D94E71" w:rsidRPr="00ED437B" w:rsidRDefault="00D94E71" w:rsidP="00D94E71">
            <w:pPr>
              <w:jc w:val="left"/>
              <w:rPr>
                <w:color w:val="000000" w:themeColor="text1"/>
                <w:szCs w:val="24"/>
              </w:rPr>
            </w:pPr>
            <w:r w:rsidRPr="00ED437B">
              <w:rPr>
                <w:color w:val="000000" w:themeColor="text1"/>
                <w:szCs w:val="24"/>
              </w:rPr>
              <w:t xml:space="preserve">Development opportunities reduce turnover intentions (Ali </w:t>
            </w:r>
            <w:r w:rsidR="000C3E28" w:rsidRPr="00ED437B">
              <w:rPr>
                <w:i/>
                <w:iCs/>
                <w:color w:val="000000" w:themeColor="text1"/>
                <w:szCs w:val="24"/>
              </w:rPr>
              <w:t>et al</w:t>
            </w:r>
            <w:r w:rsidRPr="00ED437B">
              <w:rPr>
                <w:color w:val="000000" w:themeColor="text1"/>
                <w:szCs w:val="24"/>
              </w:rPr>
              <w:t>., 2024).</w:t>
            </w:r>
          </w:p>
        </w:tc>
      </w:tr>
      <w:tr w:rsidR="00D94E71" w:rsidRPr="00ED437B" w14:paraId="5F9718AF" w14:textId="77777777" w:rsidTr="002B138C">
        <w:trPr>
          <w:trHeight w:val="1016"/>
        </w:trPr>
        <w:tc>
          <w:tcPr>
            <w:tcW w:w="2030" w:type="dxa"/>
            <w:vMerge/>
            <w:vAlign w:val="center"/>
            <w:hideMark/>
          </w:tcPr>
          <w:p w14:paraId="3BE124C8" w14:textId="77777777" w:rsidR="00D94E71" w:rsidRPr="00ED437B" w:rsidRDefault="00D94E71" w:rsidP="00D94E71">
            <w:pPr>
              <w:jc w:val="left"/>
              <w:rPr>
                <w:color w:val="000000" w:themeColor="text1"/>
                <w:szCs w:val="24"/>
              </w:rPr>
            </w:pPr>
          </w:p>
        </w:tc>
        <w:tc>
          <w:tcPr>
            <w:tcW w:w="2015" w:type="dxa"/>
            <w:vMerge w:val="restart"/>
            <w:vAlign w:val="center"/>
            <w:hideMark/>
          </w:tcPr>
          <w:p w14:paraId="474CEF56" w14:textId="77777777" w:rsidR="00D94E71" w:rsidRPr="00ED437B" w:rsidRDefault="00D94E71" w:rsidP="00D94E71">
            <w:pPr>
              <w:jc w:val="left"/>
              <w:rPr>
                <w:color w:val="000000" w:themeColor="text1"/>
                <w:szCs w:val="24"/>
              </w:rPr>
            </w:pPr>
            <w:r w:rsidRPr="00ED437B">
              <w:rPr>
                <w:color w:val="000000" w:themeColor="text1"/>
                <w:szCs w:val="24"/>
              </w:rPr>
              <w:t>Clear Career Progression</w:t>
            </w:r>
          </w:p>
        </w:tc>
        <w:tc>
          <w:tcPr>
            <w:tcW w:w="4971" w:type="dxa"/>
            <w:vAlign w:val="center"/>
            <w:hideMark/>
          </w:tcPr>
          <w:p w14:paraId="1F3B788A" w14:textId="3FA83E05" w:rsidR="00D94E71" w:rsidRPr="00ED437B" w:rsidRDefault="00D94E71" w:rsidP="00D94E71">
            <w:pPr>
              <w:jc w:val="left"/>
              <w:rPr>
                <w:color w:val="000000" w:themeColor="text1"/>
                <w:szCs w:val="24"/>
              </w:rPr>
            </w:pPr>
            <w:r w:rsidRPr="00ED437B">
              <w:rPr>
                <w:color w:val="000000" w:themeColor="text1"/>
                <w:szCs w:val="24"/>
              </w:rPr>
              <w:t xml:space="preserve">Transparency in promotion and growth pathways (Aggarwal </w:t>
            </w:r>
            <w:r w:rsidR="000C3E28" w:rsidRPr="00ED437B">
              <w:rPr>
                <w:i/>
                <w:iCs/>
                <w:color w:val="000000" w:themeColor="text1"/>
                <w:szCs w:val="24"/>
              </w:rPr>
              <w:t>et al</w:t>
            </w:r>
            <w:r w:rsidRPr="00ED437B">
              <w:rPr>
                <w:color w:val="000000" w:themeColor="text1"/>
                <w:szCs w:val="24"/>
              </w:rPr>
              <w:t>., 2022).</w:t>
            </w:r>
          </w:p>
          <w:p w14:paraId="6D86988C" w14:textId="68C388A9" w:rsidR="00D94E71" w:rsidRPr="00ED437B" w:rsidRDefault="00D94E71" w:rsidP="00D94E71">
            <w:pPr>
              <w:jc w:val="left"/>
              <w:rPr>
                <w:color w:val="000000" w:themeColor="text1"/>
                <w:szCs w:val="24"/>
              </w:rPr>
            </w:pPr>
          </w:p>
        </w:tc>
      </w:tr>
      <w:tr w:rsidR="00D94E71" w:rsidRPr="00ED437B" w14:paraId="14F22681" w14:textId="77777777" w:rsidTr="002B138C">
        <w:trPr>
          <w:trHeight w:val="1015"/>
        </w:trPr>
        <w:tc>
          <w:tcPr>
            <w:tcW w:w="2030" w:type="dxa"/>
            <w:vMerge/>
            <w:vAlign w:val="center"/>
          </w:tcPr>
          <w:p w14:paraId="5F5D515D" w14:textId="77777777" w:rsidR="00D94E71" w:rsidRPr="00ED437B" w:rsidRDefault="00D94E71" w:rsidP="00D94E71">
            <w:pPr>
              <w:jc w:val="left"/>
              <w:rPr>
                <w:color w:val="000000" w:themeColor="text1"/>
                <w:szCs w:val="24"/>
              </w:rPr>
            </w:pPr>
          </w:p>
        </w:tc>
        <w:tc>
          <w:tcPr>
            <w:tcW w:w="2015" w:type="dxa"/>
            <w:vMerge/>
            <w:vAlign w:val="center"/>
          </w:tcPr>
          <w:p w14:paraId="1A075785" w14:textId="77777777" w:rsidR="00D94E71" w:rsidRPr="00ED437B" w:rsidRDefault="00D94E71" w:rsidP="00D94E71">
            <w:pPr>
              <w:jc w:val="left"/>
              <w:rPr>
                <w:color w:val="000000" w:themeColor="text1"/>
                <w:szCs w:val="24"/>
              </w:rPr>
            </w:pPr>
          </w:p>
        </w:tc>
        <w:tc>
          <w:tcPr>
            <w:tcW w:w="4971" w:type="dxa"/>
            <w:vAlign w:val="center"/>
          </w:tcPr>
          <w:p w14:paraId="26B55106" w14:textId="68D608BE" w:rsidR="00D94E71" w:rsidRPr="00ED437B" w:rsidRDefault="00D94E71" w:rsidP="00D94E71">
            <w:pPr>
              <w:jc w:val="left"/>
              <w:rPr>
                <w:color w:val="000000" w:themeColor="text1"/>
                <w:szCs w:val="24"/>
              </w:rPr>
            </w:pPr>
            <w:r w:rsidRPr="00ED437B">
              <w:rPr>
                <w:color w:val="000000" w:themeColor="text1"/>
                <w:szCs w:val="24"/>
              </w:rPr>
              <w:t xml:space="preserve">Career commitment and socialisation enhance retention (Zhou </w:t>
            </w:r>
            <w:r w:rsidR="000C3E28" w:rsidRPr="00ED437B">
              <w:rPr>
                <w:i/>
                <w:iCs/>
                <w:color w:val="000000" w:themeColor="text1"/>
                <w:szCs w:val="24"/>
              </w:rPr>
              <w:t>et al</w:t>
            </w:r>
            <w:r w:rsidRPr="00ED437B">
              <w:rPr>
                <w:color w:val="000000" w:themeColor="text1"/>
                <w:szCs w:val="24"/>
              </w:rPr>
              <w:t>., 2025).</w:t>
            </w:r>
          </w:p>
        </w:tc>
      </w:tr>
      <w:tr w:rsidR="00D94E71" w:rsidRPr="00ED437B" w14:paraId="50749D13" w14:textId="77777777" w:rsidTr="002B138C">
        <w:trPr>
          <w:trHeight w:val="1016"/>
        </w:trPr>
        <w:tc>
          <w:tcPr>
            <w:tcW w:w="2030" w:type="dxa"/>
            <w:vMerge w:val="restart"/>
            <w:vAlign w:val="center"/>
            <w:hideMark/>
          </w:tcPr>
          <w:p w14:paraId="429AEC15" w14:textId="28573643" w:rsidR="00D94E71" w:rsidRPr="00ED437B" w:rsidRDefault="00D94E71" w:rsidP="00D94E71">
            <w:pPr>
              <w:jc w:val="left"/>
              <w:rPr>
                <w:color w:val="000000" w:themeColor="text1"/>
                <w:szCs w:val="24"/>
              </w:rPr>
            </w:pPr>
            <w:r w:rsidRPr="00ED437B">
              <w:rPr>
                <w:b/>
                <w:bCs/>
                <w:color w:val="000000" w:themeColor="text1"/>
                <w:szCs w:val="24"/>
              </w:rPr>
              <w:t>Leadership and Communication Practices</w:t>
            </w:r>
          </w:p>
        </w:tc>
        <w:tc>
          <w:tcPr>
            <w:tcW w:w="2015" w:type="dxa"/>
            <w:vMerge w:val="restart"/>
            <w:vAlign w:val="center"/>
            <w:hideMark/>
          </w:tcPr>
          <w:p w14:paraId="4C5FBACB" w14:textId="77777777" w:rsidR="00D94E71" w:rsidRPr="00ED437B" w:rsidRDefault="00D94E71" w:rsidP="00D94E71">
            <w:pPr>
              <w:jc w:val="left"/>
              <w:rPr>
                <w:color w:val="000000" w:themeColor="text1"/>
                <w:szCs w:val="24"/>
              </w:rPr>
            </w:pPr>
            <w:r w:rsidRPr="00ED437B">
              <w:rPr>
                <w:color w:val="000000" w:themeColor="text1"/>
                <w:szCs w:val="24"/>
              </w:rPr>
              <w:t>Authentic and Transformational Leadership</w:t>
            </w:r>
          </w:p>
        </w:tc>
        <w:tc>
          <w:tcPr>
            <w:tcW w:w="4971" w:type="dxa"/>
            <w:vAlign w:val="center"/>
            <w:hideMark/>
          </w:tcPr>
          <w:p w14:paraId="1C44A29D" w14:textId="68C99103" w:rsidR="00D94E71" w:rsidRPr="00ED437B" w:rsidRDefault="00D94E71" w:rsidP="00D94E71">
            <w:pPr>
              <w:jc w:val="left"/>
              <w:rPr>
                <w:color w:val="000000" w:themeColor="text1"/>
                <w:szCs w:val="24"/>
              </w:rPr>
            </w:pPr>
            <w:r w:rsidRPr="00ED437B">
              <w:rPr>
                <w:color w:val="000000" w:themeColor="text1"/>
                <w:szCs w:val="24"/>
              </w:rPr>
              <w:t xml:space="preserve">Authentic leadership increases engagement and psychological capital (Sigaeva </w:t>
            </w:r>
            <w:r w:rsidR="000C3E28" w:rsidRPr="00ED437B">
              <w:rPr>
                <w:i/>
                <w:iCs/>
                <w:color w:val="000000" w:themeColor="text1"/>
                <w:szCs w:val="24"/>
              </w:rPr>
              <w:t>et al</w:t>
            </w:r>
            <w:r w:rsidRPr="00ED437B">
              <w:rPr>
                <w:color w:val="000000" w:themeColor="text1"/>
                <w:szCs w:val="24"/>
              </w:rPr>
              <w:t>., 2022).</w:t>
            </w:r>
          </w:p>
          <w:p w14:paraId="0F8DDD6F" w14:textId="6EBAF879" w:rsidR="00D94E71" w:rsidRPr="00ED437B" w:rsidRDefault="00D94E71" w:rsidP="00D94E71">
            <w:pPr>
              <w:jc w:val="left"/>
              <w:rPr>
                <w:color w:val="000000" w:themeColor="text1"/>
                <w:szCs w:val="24"/>
              </w:rPr>
            </w:pPr>
          </w:p>
        </w:tc>
      </w:tr>
      <w:tr w:rsidR="00D94E71" w:rsidRPr="00ED437B" w14:paraId="56D41BBF" w14:textId="77777777" w:rsidTr="002B138C">
        <w:trPr>
          <w:trHeight w:val="1015"/>
        </w:trPr>
        <w:tc>
          <w:tcPr>
            <w:tcW w:w="2030" w:type="dxa"/>
            <w:vMerge/>
            <w:vAlign w:val="center"/>
          </w:tcPr>
          <w:p w14:paraId="12596D48" w14:textId="77777777" w:rsidR="00D94E71" w:rsidRPr="00ED437B" w:rsidRDefault="00D94E71" w:rsidP="00D94E71">
            <w:pPr>
              <w:jc w:val="left"/>
              <w:rPr>
                <w:b/>
                <w:bCs/>
                <w:color w:val="000000" w:themeColor="text1"/>
                <w:szCs w:val="24"/>
              </w:rPr>
            </w:pPr>
          </w:p>
        </w:tc>
        <w:tc>
          <w:tcPr>
            <w:tcW w:w="2015" w:type="dxa"/>
            <w:vMerge/>
            <w:vAlign w:val="center"/>
          </w:tcPr>
          <w:p w14:paraId="0BC22073" w14:textId="77777777" w:rsidR="00D94E71" w:rsidRPr="00ED437B" w:rsidRDefault="00D94E71" w:rsidP="00D94E71">
            <w:pPr>
              <w:jc w:val="left"/>
              <w:rPr>
                <w:color w:val="000000" w:themeColor="text1"/>
                <w:szCs w:val="24"/>
              </w:rPr>
            </w:pPr>
          </w:p>
        </w:tc>
        <w:tc>
          <w:tcPr>
            <w:tcW w:w="4971" w:type="dxa"/>
            <w:vAlign w:val="center"/>
          </w:tcPr>
          <w:p w14:paraId="3163A595" w14:textId="15DB324B" w:rsidR="00D94E71" w:rsidRPr="00ED437B" w:rsidRDefault="00D94E71" w:rsidP="00D94E71">
            <w:pPr>
              <w:jc w:val="left"/>
              <w:rPr>
                <w:color w:val="000000" w:themeColor="text1"/>
                <w:szCs w:val="24"/>
              </w:rPr>
            </w:pPr>
            <w:r w:rsidRPr="00ED437B">
              <w:rPr>
                <w:color w:val="000000" w:themeColor="text1"/>
                <w:szCs w:val="24"/>
              </w:rPr>
              <w:t>Transformational leadership strengthens commitment (Jasmine &amp; Utomo, 2024).</w:t>
            </w:r>
          </w:p>
        </w:tc>
      </w:tr>
      <w:tr w:rsidR="00D94E71" w:rsidRPr="00ED437B" w14:paraId="1B1B1594" w14:textId="77777777" w:rsidTr="002B138C">
        <w:trPr>
          <w:trHeight w:val="1162"/>
        </w:trPr>
        <w:tc>
          <w:tcPr>
            <w:tcW w:w="2030" w:type="dxa"/>
            <w:vMerge/>
            <w:vAlign w:val="center"/>
            <w:hideMark/>
          </w:tcPr>
          <w:p w14:paraId="24BAD31F" w14:textId="77777777" w:rsidR="00D94E71" w:rsidRPr="00ED437B" w:rsidRDefault="00D94E71" w:rsidP="00D94E71">
            <w:pPr>
              <w:jc w:val="left"/>
              <w:rPr>
                <w:color w:val="000000" w:themeColor="text1"/>
                <w:szCs w:val="24"/>
              </w:rPr>
            </w:pPr>
          </w:p>
        </w:tc>
        <w:tc>
          <w:tcPr>
            <w:tcW w:w="2015" w:type="dxa"/>
            <w:vMerge w:val="restart"/>
            <w:vAlign w:val="center"/>
            <w:hideMark/>
          </w:tcPr>
          <w:p w14:paraId="2E421159" w14:textId="77777777" w:rsidR="00D94E71" w:rsidRPr="00ED437B" w:rsidRDefault="00D94E71" w:rsidP="00D94E71">
            <w:pPr>
              <w:jc w:val="left"/>
              <w:rPr>
                <w:color w:val="000000" w:themeColor="text1"/>
                <w:szCs w:val="24"/>
              </w:rPr>
            </w:pPr>
            <w:r w:rsidRPr="00ED437B">
              <w:rPr>
                <w:color w:val="000000" w:themeColor="text1"/>
                <w:szCs w:val="24"/>
              </w:rPr>
              <w:t>Open Communication and Feedback</w:t>
            </w:r>
          </w:p>
        </w:tc>
        <w:tc>
          <w:tcPr>
            <w:tcW w:w="4971" w:type="dxa"/>
            <w:vAlign w:val="center"/>
            <w:hideMark/>
          </w:tcPr>
          <w:p w14:paraId="208F887C" w14:textId="77777777" w:rsidR="00D94E71" w:rsidRPr="00ED437B" w:rsidRDefault="00D94E71" w:rsidP="00D94E71">
            <w:pPr>
              <w:jc w:val="left"/>
              <w:rPr>
                <w:color w:val="000000" w:themeColor="text1"/>
                <w:szCs w:val="24"/>
              </w:rPr>
            </w:pPr>
            <w:r w:rsidRPr="00ED437B">
              <w:rPr>
                <w:color w:val="000000" w:themeColor="text1"/>
                <w:szCs w:val="24"/>
              </w:rPr>
              <w:t>Regular feedback meets Gen Z desire for clarity (El Hajal &amp; Losekoot, 2025).</w:t>
            </w:r>
          </w:p>
          <w:p w14:paraId="37A048F1" w14:textId="5FB081D0" w:rsidR="00D94E71" w:rsidRPr="00ED437B" w:rsidRDefault="00D94E71" w:rsidP="00D94E71">
            <w:pPr>
              <w:jc w:val="left"/>
              <w:rPr>
                <w:color w:val="000000" w:themeColor="text1"/>
                <w:szCs w:val="24"/>
              </w:rPr>
            </w:pPr>
          </w:p>
        </w:tc>
      </w:tr>
      <w:tr w:rsidR="00D94E71" w:rsidRPr="00ED437B" w14:paraId="3E587343" w14:textId="77777777" w:rsidTr="002B138C">
        <w:trPr>
          <w:trHeight w:val="1161"/>
        </w:trPr>
        <w:tc>
          <w:tcPr>
            <w:tcW w:w="2030" w:type="dxa"/>
            <w:vMerge/>
            <w:vAlign w:val="center"/>
          </w:tcPr>
          <w:p w14:paraId="429573FC" w14:textId="77777777" w:rsidR="00D94E71" w:rsidRPr="00ED437B" w:rsidRDefault="00D94E71" w:rsidP="00D94E71">
            <w:pPr>
              <w:jc w:val="left"/>
              <w:rPr>
                <w:color w:val="000000" w:themeColor="text1"/>
                <w:szCs w:val="24"/>
              </w:rPr>
            </w:pPr>
          </w:p>
        </w:tc>
        <w:tc>
          <w:tcPr>
            <w:tcW w:w="2015" w:type="dxa"/>
            <w:vMerge/>
            <w:vAlign w:val="center"/>
          </w:tcPr>
          <w:p w14:paraId="7A8F68BA" w14:textId="77777777" w:rsidR="00D94E71" w:rsidRPr="00ED437B" w:rsidRDefault="00D94E71" w:rsidP="00D94E71">
            <w:pPr>
              <w:jc w:val="left"/>
              <w:rPr>
                <w:color w:val="000000" w:themeColor="text1"/>
                <w:szCs w:val="24"/>
              </w:rPr>
            </w:pPr>
          </w:p>
        </w:tc>
        <w:tc>
          <w:tcPr>
            <w:tcW w:w="4971" w:type="dxa"/>
            <w:vAlign w:val="center"/>
          </w:tcPr>
          <w:p w14:paraId="6AB1B422" w14:textId="32E3F45A" w:rsidR="00D94E71" w:rsidRPr="00ED437B" w:rsidRDefault="00D94E71" w:rsidP="00D94E71">
            <w:pPr>
              <w:jc w:val="left"/>
              <w:rPr>
                <w:color w:val="000000" w:themeColor="text1"/>
                <w:szCs w:val="24"/>
              </w:rPr>
            </w:pPr>
            <w:r w:rsidRPr="00ED437B">
              <w:rPr>
                <w:color w:val="000000" w:themeColor="text1"/>
                <w:szCs w:val="24"/>
              </w:rPr>
              <w:t xml:space="preserve">Cross-generational communication training mitigates conflict (Pradhana </w:t>
            </w:r>
            <w:r w:rsidR="000C3E28" w:rsidRPr="00ED437B">
              <w:rPr>
                <w:i/>
                <w:iCs/>
                <w:color w:val="000000" w:themeColor="text1"/>
                <w:szCs w:val="24"/>
              </w:rPr>
              <w:t>et al</w:t>
            </w:r>
            <w:r w:rsidRPr="00ED437B">
              <w:rPr>
                <w:color w:val="000000" w:themeColor="text1"/>
                <w:szCs w:val="24"/>
              </w:rPr>
              <w:t>., 2024).</w:t>
            </w:r>
          </w:p>
        </w:tc>
      </w:tr>
      <w:tr w:rsidR="00D94E71" w:rsidRPr="00ED437B" w14:paraId="4551B5BE" w14:textId="77777777" w:rsidTr="002B138C">
        <w:trPr>
          <w:trHeight w:val="1016"/>
        </w:trPr>
        <w:tc>
          <w:tcPr>
            <w:tcW w:w="2030" w:type="dxa"/>
            <w:vMerge w:val="restart"/>
            <w:vAlign w:val="center"/>
            <w:hideMark/>
          </w:tcPr>
          <w:p w14:paraId="791781F0" w14:textId="2F329B67" w:rsidR="00D94E71" w:rsidRPr="00ED437B" w:rsidRDefault="00D94E71" w:rsidP="00D94E71">
            <w:pPr>
              <w:jc w:val="left"/>
              <w:rPr>
                <w:color w:val="000000" w:themeColor="text1"/>
                <w:szCs w:val="24"/>
              </w:rPr>
            </w:pPr>
            <w:r w:rsidRPr="00ED437B">
              <w:rPr>
                <w:b/>
                <w:bCs/>
                <w:color w:val="000000" w:themeColor="text1"/>
                <w:szCs w:val="24"/>
              </w:rPr>
              <w:t>Organisational Culture and Employee Well-being</w:t>
            </w:r>
          </w:p>
        </w:tc>
        <w:tc>
          <w:tcPr>
            <w:tcW w:w="2015" w:type="dxa"/>
            <w:vMerge w:val="restart"/>
            <w:vAlign w:val="center"/>
            <w:hideMark/>
          </w:tcPr>
          <w:p w14:paraId="15E0D6B7" w14:textId="77777777" w:rsidR="00D94E71" w:rsidRPr="00ED437B" w:rsidRDefault="00D94E71" w:rsidP="00D94E71">
            <w:pPr>
              <w:jc w:val="left"/>
              <w:rPr>
                <w:color w:val="000000" w:themeColor="text1"/>
                <w:szCs w:val="24"/>
              </w:rPr>
            </w:pPr>
            <w:r w:rsidRPr="00ED437B">
              <w:rPr>
                <w:color w:val="000000" w:themeColor="text1"/>
                <w:szCs w:val="24"/>
              </w:rPr>
              <w:t>Ethical and Purpose-driven Culture</w:t>
            </w:r>
          </w:p>
        </w:tc>
        <w:tc>
          <w:tcPr>
            <w:tcW w:w="4971" w:type="dxa"/>
            <w:vAlign w:val="center"/>
            <w:hideMark/>
          </w:tcPr>
          <w:p w14:paraId="51604439" w14:textId="77777777" w:rsidR="00D94E71" w:rsidRPr="00ED437B" w:rsidRDefault="00D94E71" w:rsidP="00D94E71">
            <w:pPr>
              <w:jc w:val="left"/>
              <w:rPr>
                <w:color w:val="000000" w:themeColor="text1"/>
                <w:szCs w:val="24"/>
              </w:rPr>
            </w:pPr>
            <w:r w:rsidRPr="00ED437B">
              <w:rPr>
                <w:color w:val="000000" w:themeColor="text1"/>
                <w:szCs w:val="24"/>
              </w:rPr>
              <w:t>CSR improves attraction and engagement (Pandita &amp; Khatwani, 2022).</w:t>
            </w:r>
          </w:p>
          <w:p w14:paraId="6D99EE23" w14:textId="50B4428C" w:rsidR="00D94E71" w:rsidRPr="00ED437B" w:rsidRDefault="00D94E71" w:rsidP="00D94E71">
            <w:pPr>
              <w:jc w:val="left"/>
              <w:rPr>
                <w:color w:val="000000" w:themeColor="text1"/>
                <w:szCs w:val="24"/>
              </w:rPr>
            </w:pPr>
          </w:p>
        </w:tc>
      </w:tr>
      <w:tr w:rsidR="00D94E71" w:rsidRPr="00ED437B" w14:paraId="62D83FA8" w14:textId="77777777" w:rsidTr="002B138C">
        <w:trPr>
          <w:trHeight w:val="1015"/>
        </w:trPr>
        <w:tc>
          <w:tcPr>
            <w:tcW w:w="2030" w:type="dxa"/>
            <w:vMerge/>
            <w:vAlign w:val="center"/>
          </w:tcPr>
          <w:p w14:paraId="73718150" w14:textId="77777777" w:rsidR="00D94E71" w:rsidRPr="00ED437B" w:rsidRDefault="00D94E71" w:rsidP="00D94E71">
            <w:pPr>
              <w:jc w:val="left"/>
              <w:rPr>
                <w:b/>
                <w:bCs/>
                <w:color w:val="000000" w:themeColor="text1"/>
                <w:szCs w:val="24"/>
              </w:rPr>
            </w:pPr>
          </w:p>
        </w:tc>
        <w:tc>
          <w:tcPr>
            <w:tcW w:w="2015" w:type="dxa"/>
            <w:vMerge/>
            <w:vAlign w:val="center"/>
          </w:tcPr>
          <w:p w14:paraId="647AE188" w14:textId="77777777" w:rsidR="00D94E71" w:rsidRPr="00ED437B" w:rsidRDefault="00D94E71" w:rsidP="00D94E71">
            <w:pPr>
              <w:jc w:val="left"/>
              <w:rPr>
                <w:color w:val="000000" w:themeColor="text1"/>
                <w:szCs w:val="24"/>
              </w:rPr>
            </w:pPr>
          </w:p>
        </w:tc>
        <w:tc>
          <w:tcPr>
            <w:tcW w:w="4971" w:type="dxa"/>
            <w:vAlign w:val="center"/>
          </w:tcPr>
          <w:p w14:paraId="592B07D4" w14:textId="25B54C8D" w:rsidR="00D94E71" w:rsidRPr="00ED437B" w:rsidRDefault="00D94E71" w:rsidP="00D94E71">
            <w:pPr>
              <w:jc w:val="left"/>
              <w:rPr>
                <w:color w:val="000000" w:themeColor="text1"/>
                <w:szCs w:val="24"/>
              </w:rPr>
            </w:pPr>
            <w:r w:rsidRPr="00ED437B">
              <w:rPr>
                <w:color w:val="000000" w:themeColor="text1"/>
                <w:szCs w:val="24"/>
              </w:rPr>
              <w:t xml:space="preserve">Ethical reputation influences Gen Z recruitment (Darby </w:t>
            </w:r>
            <w:r w:rsidR="000C3E28" w:rsidRPr="00ED437B">
              <w:rPr>
                <w:i/>
                <w:iCs/>
                <w:color w:val="000000" w:themeColor="text1"/>
                <w:szCs w:val="24"/>
              </w:rPr>
              <w:t>et al</w:t>
            </w:r>
            <w:r w:rsidRPr="00ED437B">
              <w:rPr>
                <w:color w:val="000000" w:themeColor="text1"/>
                <w:szCs w:val="24"/>
              </w:rPr>
              <w:t>., 2025).</w:t>
            </w:r>
          </w:p>
        </w:tc>
      </w:tr>
      <w:tr w:rsidR="00D94E71" w:rsidRPr="00ED437B" w14:paraId="02357106" w14:textId="77777777" w:rsidTr="002B138C">
        <w:trPr>
          <w:trHeight w:val="1016"/>
        </w:trPr>
        <w:tc>
          <w:tcPr>
            <w:tcW w:w="2030" w:type="dxa"/>
            <w:vMerge/>
            <w:vAlign w:val="center"/>
            <w:hideMark/>
          </w:tcPr>
          <w:p w14:paraId="6AB60BC5" w14:textId="77777777" w:rsidR="00D94E71" w:rsidRPr="00ED437B" w:rsidRDefault="00D94E71" w:rsidP="00D94E71">
            <w:pPr>
              <w:jc w:val="left"/>
              <w:rPr>
                <w:color w:val="000000" w:themeColor="text1"/>
                <w:szCs w:val="24"/>
              </w:rPr>
            </w:pPr>
          </w:p>
        </w:tc>
        <w:tc>
          <w:tcPr>
            <w:tcW w:w="2015" w:type="dxa"/>
            <w:vMerge w:val="restart"/>
            <w:vAlign w:val="center"/>
            <w:hideMark/>
          </w:tcPr>
          <w:p w14:paraId="64EE64EC" w14:textId="77777777" w:rsidR="00D94E71" w:rsidRPr="00ED437B" w:rsidRDefault="00D94E71" w:rsidP="00D94E71">
            <w:pPr>
              <w:jc w:val="left"/>
              <w:rPr>
                <w:color w:val="000000" w:themeColor="text1"/>
                <w:szCs w:val="24"/>
              </w:rPr>
            </w:pPr>
            <w:r w:rsidRPr="00ED437B">
              <w:rPr>
                <w:color w:val="000000" w:themeColor="text1"/>
                <w:szCs w:val="24"/>
              </w:rPr>
              <w:t>Well-being and Support</w:t>
            </w:r>
          </w:p>
        </w:tc>
        <w:tc>
          <w:tcPr>
            <w:tcW w:w="4971" w:type="dxa"/>
            <w:vAlign w:val="center"/>
            <w:hideMark/>
          </w:tcPr>
          <w:p w14:paraId="4586CA62" w14:textId="2732B41C" w:rsidR="00D94E71" w:rsidRPr="00ED437B" w:rsidRDefault="00D94E71" w:rsidP="00D94E71">
            <w:pPr>
              <w:jc w:val="left"/>
              <w:rPr>
                <w:color w:val="000000" w:themeColor="text1"/>
                <w:szCs w:val="24"/>
              </w:rPr>
            </w:pPr>
            <w:r w:rsidRPr="00ED437B">
              <w:rPr>
                <w:color w:val="000000" w:themeColor="text1"/>
                <w:szCs w:val="24"/>
              </w:rPr>
              <w:t xml:space="preserve">Mental health initiatives address anxiety and stress (Veluchamy </w:t>
            </w:r>
            <w:r w:rsidR="000C3E28" w:rsidRPr="00ED437B">
              <w:rPr>
                <w:i/>
                <w:iCs/>
                <w:color w:val="000000" w:themeColor="text1"/>
                <w:szCs w:val="24"/>
              </w:rPr>
              <w:t>et al</w:t>
            </w:r>
            <w:r w:rsidRPr="00ED437B">
              <w:rPr>
                <w:color w:val="000000" w:themeColor="text1"/>
                <w:szCs w:val="24"/>
              </w:rPr>
              <w:t>., 2016).</w:t>
            </w:r>
          </w:p>
          <w:p w14:paraId="28A2A234" w14:textId="2D95C8BB" w:rsidR="00D94E71" w:rsidRPr="00ED437B" w:rsidRDefault="00D94E71" w:rsidP="00D94E71">
            <w:pPr>
              <w:jc w:val="left"/>
              <w:rPr>
                <w:color w:val="000000" w:themeColor="text1"/>
                <w:szCs w:val="24"/>
              </w:rPr>
            </w:pPr>
          </w:p>
        </w:tc>
      </w:tr>
      <w:tr w:rsidR="00D94E71" w:rsidRPr="00ED437B" w14:paraId="469881D5" w14:textId="77777777" w:rsidTr="002B138C">
        <w:trPr>
          <w:trHeight w:val="1015"/>
        </w:trPr>
        <w:tc>
          <w:tcPr>
            <w:tcW w:w="2030" w:type="dxa"/>
            <w:vMerge/>
            <w:vAlign w:val="center"/>
          </w:tcPr>
          <w:p w14:paraId="109F3B02" w14:textId="77777777" w:rsidR="00D94E71" w:rsidRPr="00ED437B" w:rsidRDefault="00D94E71" w:rsidP="00D94E71">
            <w:pPr>
              <w:jc w:val="left"/>
              <w:rPr>
                <w:color w:val="000000" w:themeColor="text1"/>
                <w:szCs w:val="24"/>
              </w:rPr>
            </w:pPr>
          </w:p>
        </w:tc>
        <w:tc>
          <w:tcPr>
            <w:tcW w:w="2015" w:type="dxa"/>
            <w:vMerge/>
            <w:vAlign w:val="center"/>
          </w:tcPr>
          <w:p w14:paraId="47A77964" w14:textId="77777777" w:rsidR="00D94E71" w:rsidRPr="00ED437B" w:rsidRDefault="00D94E71" w:rsidP="00D94E71">
            <w:pPr>
              <w:jc w:val="left"/>
              <w:rPr>
                <w:color w:val="000000" w:themeColor="text1"/>
                <w:szCs w:val="24"/>
              </w:rPr>
            </w:pPr>
          </w:p>
        </w:tc>
        <w:tc>
          <w:tcPr>
            <w:tcW w:w="4971" w:type="dxa"/>
            <w:vAlign w:val="center"/>
          </w:tcPr>
          <w:p w14:paraId="7EE8DDF8" w14:textId="79413A31" w:rsidR="00D94E71" w:rsidRPr="00ED437B" w:rsidRDefault="00D94E71" w:rsidP="00D94E71">
            <w:pPr>
              <w:jc w:val="left"/>
              <w:rPr>
                <w:color w:val="000000" w:themeColor="text1"/>
                <w:szCs w:val="24"/>
              </w:rPr>
            </w:pPr>
            <w:r w:rsidRPr="00ED437B">
              <w:rPr>
                <w:color w:val="000000" w:themeColor="text1"/>
                <w:szCs w:val="24"/>
              </w:rPr>
              <w:t xml:space="preserve">Balanced workloads reduce burnout and quiet quitting (Xueyun </w:t>
            </w:r>
            <w:r w:rsidR="000C3E28" w:rsidRPr="00ED437B">
              <w:rPr>
                <w:i/>
                <w:iCs/>
                <w:color w:val="000000" w:themeColor="text1"/>
                <w:szCs w:val="24"/>
              </w:rPr>
              <w:t>et al</w:t>
            </w:r>
            <w:r w:rsidRPr="00ED437B">
              <w:rPr>
                <w:color w:val="000000" w:themeColor="text1"/>
                <w:szCs w:val="24"/>
              </w:rPr>
              <w:t>., 2023).</w:t>
            </w:r>
          </w:p>
        </w:tc>
      </w:tr>
      <w:tr w:rsidR="00D94E71" w:rsidRPr="00ED437B" w14:paraId="77568622" w14:textId="77777777" w:rsidTr="002B138C">
        <w:trPr>
          <w:trHeight w:val="1016"/>
        </w:trPr>
        <w:tc>
          <w:tcPr>
            <w:tcW w:w="2030" w:type="dxa"/>
            <w:vMerge w:val="restart"/>
            <w:vAlign w:val="center"/>
            <w:hideMark/>
          </w:tcPr>
          <w:p w14:paraId="573D9545" w14:textId="62F7DD66" w:rsidR="00D94E71" w:rsidRPr="00ED437B" w:rsidRDefault="00D94E71" w:rsidP="00D94E71">
            <w:pPr>
              <w:jc w:val="left"/>
              <w:rPr>
                <w:color w:val="000000" w:themeColor="text1"/>
                <w:szCs w:val="24"/>
              </w:rPr>
            </w:pPr>
            <w:r w:rsidRPr="00ED437B">
              <w:rPr>
                <w:b/>
                <w:bCs/>
                <w:color w:val="000000" w:themeColor="text1"/>
                <w:szCs w:val="24"/>
              </w:rPr>
              <w:t>Technology and Emerging Workforce Management</w:t>
            </w:r>
          </w:p>
        </w:tc>
        <w:tc>
          <w:tcPr>
            <w:tcW w:w="2015" w:type="dxa"/>
            <w:vMerge w:val="restart"/>
            <w:vAlign w:val="center"/>
            <w:hideMark/>
          </w:tcPr>
          <w:p w14:paraId="70946AB5" w14:textId="77777777" w:rsidR="00D94E71" w:rsidRPr="00ED437B" w:rsidRDefault="00D94E71" w:rsidP="00D94E71">
            <w:pPr>
              <w:jc w:val="left"/>
              <w:rPr>
                <w:color w:val="000000" w:themeColor="text1"/>
                <w:szCs w:val="24"/>
              </w:rPr>
            </w:pPr>
            <w:r w:rsidRPr="00ED437B">
              <w:rPr>
                <w:color w:val="000000" w:themeColor="text1"/>
                <w:szCs w:val="24"/>
              </w:rPr>
              <w:t>Technology Integration</w:t>
            </w:r>
          </w:p>
        </w:tc>
        <w:tc>
          <w:tcPr>
            <w:tcW w:w="4971" w:type="dxa"/>
            <w:vAlign w:val="center"/>
            <w:hideMark/>
          </w:tcPr>
          <w:p w14:paraId="31A92456" w14:textId="77777777" w:rsidR="00D94E71" w:rsidRPr="00ED437B" w:rsidRDefault="00D94E71" w:rsidP="00D94E71">
            <w:pPr>
              <w:jc w:val="left"/>
              <w:rPr>
                <w:color w:val="000000" w:themeColor="text1"/>
                <w:szCs w:val="24"/>
              </w:rPr>
            </w:pPr>
            <w:r w:rsidRPr="00ED437B">
              <w:rPr>
                <w:color w:val="000000" w:themeColor="text1"/>
                <w:szCs w:val="24"/>
              </w:rPr>
              <w:t>Provision of modern digital tools enhances performance (El Hajal &amp; Losekoot, 2025).</w:t>
            </w:r>
          </w:p>
          <w:p w14:paraId="08CE8F27" w14:textId="344DDF05" w:rsidR="00D94E71" w:rsidRPr="00ED437B" w:rsidRDefault="00D94E71" w:rsidP="00D94E71">
            <w:pPr>
              <w:jc w:val="left"/>
              <w:rPr>
                <w:color w:val="000000" w:themeColor="text1"/>
                <w:szCs w:val="24"/>
              </w:rPr>
            </w:pPr>
          </w:p>
        </w:tc>
      </w:tr>
      <w:tr w:rsidR="00D94E71" w:rsidRPr="00ED437B" w14:paraId="09A855AF" w14:textId="77777777" w:rsidTr="002B138C">
        <w:trPr>
          <w:trHeight w:val="1015"/>
        </w:trPr>
        <w:tc>
          <w:tcPr>
            <w:tcW w:w="2030" w:type="dxa"/>
            <w:vMerge/>
            <w:vAlign w:val="center"/>
          </w:tcPr>
          <w:p w14:paraId="08752D6F" w14:textId="77777777" w:rsidR="00D94E71" w:rsidRPr="00ED437B" w:rsidRDefault="00D94E71" w:rsidP="00D94E71">
            <w:pPr>
              <w:jc w:val="left"/>
              <w:rPr>
                <w:b/>
                <w:bCs/>
                <w:color w:val="000000" w:themeColor="text1"/>
                <w:szCs w:val="24"/>
              </w:rPr>
            </w:pPr>
          </w:p>
        </w:tc>
        <w:tc>
          <w:tcPr>
            <w:tcW w:w="2015" w:type="dxa"/>
            <w:vMerge/>
            <w:vAlign w:val="center"/>
          </w:tcPr>
          <w:p w14:paraId="125CB672" w14:textId="77777777" w:rsidR="00D94E71" w:rsidRPr="00ED437B" w:rsidRDefault="00D94E71" w:rsidP="00D94E71">
            <w:pPr>
              <w:jc w:val="left"/>
              <w:rPr>
                <w:color w:val="000000" w:themeColor="text1"/>
                <w:szCs w:val="24"/>
              </w:rPr>
            </w:pPr>
          </w:p>
        </w:tc>
        <w:tc>
          <w:tcPr>
            <w:tcW w:w="4971" w:type="dxa"/>
            <w:vAlign w:val="center"/>
          </w:tcPr>
          <w:p w14:paraId="09CFF2F5" w14:textId="15A99B38" w:rsidR="00D94E71" w:rsidRPr="00ED437B" w:rsidRDefault="00D94E71" w:rsidP="00D94E71">
            <w:pPr>
              <w:jc w:val="left"/>
              <w:rPr>
                <w:color w:val="000000" w:themeColor="text1"/>
                <w:szCs w:val="24"/>
              </w:rPr>
            </w:pPr>
            <w:r w:rsidRPr="00ED437B">
              <w:rPr>
                <w:color w:val="000000" w:themeColor="text1"/>
                <w:szCs w:val="24"/>
              </w:rPr>
              <w:t xml:space="preserve">Technology training supports adaptation to automation (Dou </w:t>
            </w:r>
            <w:r w:rsidR="000C3E28" w:rsidRPr="00ED437B">
              <w:rPr>
                <w:i/>
                <w:iCs/>
                <w:color w:val="000000" w:themeColor="text1"/>
                <w:szCs w:val="24"/>
              </w:rPr>
              <w:t>et al</w:t>
            </w:r>
            <w:r w:rsidRPr="00ED437B">
              <w:rPr>
                <w:color w:val="000000" w:themeColor="text1"/>
                <w:szCs w:val="24"/>
              </w:rPr>
              <w:t>., 2025).</w:t>
            </w:r>
          </w:p>
        </w:tc>
      </w:tr>
      <w:tr w:rsidR="00D94E71" w:rsidRPr="00ED437B" w14:paraId="6D670B15" w14:textId="77777777" w:rsidTr="002B138C">
        <w:trPr>
          <w:trHeight w:val="1016"/>
        </w:trPr>
        <w:tc>
          <w:tcPr>
            <w:tcW w:w="2030" w:type="dxa"/>
            <w:vMerge/>
            <w:vAlign w:val="center"/>
            <w:hideMark/>
          </w:tcPr>
          <w:p w14:paraId="4D64C4AE" w14:textId="77777777" w:rsidR="00D94E71" w:rsidRPr="00ED437B" w:rsidRDefault="00D94E71" w:rsidP="00D94E71">
            <w:pPr>
              <w:jc w:val="left"/>
              <w:rPr>
                <w:color w:val="000000" w:themeColor="text1"/>
                <w:szCs w:val="24"/>
              </w:rPr>
            </w:pPr>
          </w:p>
        </w:tc>
        <w:tc>
          <w:tcPr>
            <w:tcW w:w="2015" w:type="dxa"/>
            <w:vMerge w:val="restart"/>
            <w:vAlign w:val="center"/>
            <w:hideMark/>
          </w:tcPr>
          <w:p w14:paraId="2DDA2AA4" w14:textId="77777777" w:rsidR="00D94E71" w:rsidRPr="00ED437B" w:rsidRDefault="00D94E71" w:rsidP="00D94E71">
            <w:pPr>
              <w:jc w:val="left"/>
              <w:rPr>
                <w:color w:val="000000" w:themeColor="text1"/>
                <w:szCs w:val="24"/>
              </w:rPr>
            </w:pPr>
            <w:r w:rsidRPr="00ED437B">
              <w:rPr>
                <w:color w:val="000000" w:themeColor="text1"/>
                <w:szCs w:val="24"/>
              </w:rPr>
              <w:t>Managing New Work Trends</w:t>
            </w:r>
          </w:p>
        </w:tc>
        <w:tc>
          <w:tcPr>
            <w:tcW w:w="4971" w:type="dxa"/>
            <w:vAlign w:val="center"/>
            <w:hideMark/>
          </w:tcPr>
          <w:p w14:paraId="7D33FAAA" w14:textId="75B34B99" w:rsidR="00D94E71" w:rsidRPr="00ED437B" w:rsidRDefault="00D94E71" w:rsidP="00D94E71">
            <w:pPr>
              <w:jc w:val="left"/>
              <w:rPr>
                <w:color w:val="000000" w:themeColor="text1"/>
                <w:szCs w:val="24"/>
              </w:rPr>
            </w:pPr>
            <w:r w:rsidRPr="00ED437B">
              <w:rPr>
                <w:color w:val="000000" w:themeColor="text1"/>
                <w:szCs w:val="24"/>
              </w:rPr>
              <w:t xml:space="preserve">Policies to manage moonlighting (Bhore </w:t>
            </w:r>
            <w:r w:rsidR="000C3E28" w:rsidRPr="00ED437B">
              <w:rPr>
                <w:i/>
                <w:iCs/>
                <w:color w:val="000000" w:themeColor="text1"/>
                <w:szCs w:val="24"/>
              </w:rPr>
              <w:t>et al</w:t>
            </w:r>
            <w:r w:rsidRPr="00ED437B">
              <w:rPr>
                <w:color w:val="000000" w:themeColor="text1"/>
                <w:szCs w:val="24"/>
              </w:rPr>
              <w:t>., 2025).</w:t>
            </w:r>
          </w:p>
          <w:p w14:paraId="25A2B0D8" w14:textId="78BC7A5E" w:rsidR="00D94E71" w:rsidRPr="00ED437B" w:rsidRDefault="00D94E71" w:rsidP="00D94E71">
            <w:pPr>
              <w:jc w:val="left"/>
              <w:rPr>
                <w:color w:val="000000" w:themeColor="text1"/>
                <w:szCs w:val="24"/>
              </w:rPr>
            </w:pPr>
          </w:p>
        </w:tc>
      </w:tr>
      <w:tr w:rsidR="00D94E71" w:rsidRPr="00ED437B" w14:paraId="061CF761" w14:textId="77777777" w:rsidTr="002B138C">
        <w:trPr>
          <w:trHeight w:val="1015"/>
        </w:trPr>
        <w:tc>
          <w:tcPr>
            <w:tcW w:w="2030" w:type="dxa"/>
            <w:vMerge/>
            <w:vAlign w:val="center"/>
          </w:tcPr>
          <w:p w14:paraId="54578D6A" w14:textId="77777777" w:rsidR="00D94E71" w:rsidRPr="00ED437B" w:rsidRDefault="00D94E71" w:rsidP="00D94E71">
            <w:pPr>
              <w:jc w:val="left"/>
              <w:rPr>
                <w:color w:val="000000" w:themeColor="text1"/>
                <w:szCs w:val="24"/>
              </w:rPr>
            </w:pPr>
          </w:p>
        </w:tc>
        <w:tc>
          <w:tcPr>
            <w:tcW w:w="2015" w:type="dxa"/>
            <w:vMerge/>
            <w:vAlign w:val="center"/>
          </w:tcPr>
          <w:p w14:paraId="3DD8F38D" w14:textId="77777777" w:rsidR="00D94E71" w:rsidRPr="00ED437B" w:rsidRDefault="00D94E71" w:rsidP="00D94E71">
            <w:pPr>
              <w:jc w:val="left"/>
              <w:rPr>
                <w:color w:val="000000" w:themeColor="text1"/>
                <w:szCs w:val="24"/>
              </w:rPr>
            </w:pPr>
          </w:p>
        </w:tc>
        <w:tc>
          <w:tcPr>
            <w:tcW w:w="4971" w:type="dxa"/>
            <w:vAlign w:val="center"/>
          </w:tcPr>
          <w:p w14:paraId="47042C1C" w14:textId="0A5CC341" w:rsidR="00D94E71" w:rsidRPr="00ED437B" w:rsidRDefault="00D94E71" w:rsidP="00D94E71">
            <w:pPr>
              <w:jc w:val="left"/>
              <w:rPr>
                <w:color w:val="000000" w:themeColor="text1"/>
                <w:szCs w:val="24"/>
              </w:rPr>
            </w:pPr>
            <w:r w:rsidRPr="00ED437B">
              <w:rPr>
                <w:color w:val="000000" w:themeColor="text1"/>
                <w:szCs w:val="24"/>
              </w:rPr>
              <w:t xml:space="preserve">Interventions to prevent quiet quitting (Liu-Lastres </w:t>
            </w:r>
            <w:r w:rsidR="000C3E28" w:rsidRPr="00ED437B">
              <w:rPr>
                <w:i/>
                <w:iCs/>
                <w:color w:val="000000" w:themeColor="text1"/>
                <w:szCs w:val="24"/>
              </w:rPr>
              <w:t>et al</w:t>
            </w:r>
            <w:r w:rsidRPr="00ED437B">
              <w:rPr>
                <w:color w:val="000000" w:themeColor="text1"/>
                <w:szCs w:val="24"/>
              </w:rPr>
              <w:t>., 2024).</w:t>
            </w:r>
          </w:p>
        </w:tc>
      </w:tr>
    </w:tbl>
    <w:p w14:paraId="792C5300" w14:textId="77777777" w:rsidR="00C924D8" w:rsidRPr="00ED437B" w:rsidRDefault="00C924D8">
      <w:pPr>
        <w:spacing w:before="0" w:after="160" w:line="259" w:lineRule="auto"/>
        <w:jc w:val="left"/>
        <w:rPr>
          <w:rStyle w:val="Strong"/>
          <w:rFonts w:eastAsiaTheme="majorEastAsia" w:cstheme="majorBidi"/>
        </w:rPr>
      </w:pPr>
      <w:r w:rsidRPr="00ED437B">
        <w:rPr>
          <w:rStyle w:val="Strong"/>
          <w:b w:val="0"/>
          <w:bCs w:val="0"/>
        </w:rPr>
        <w:br w:type="page"/>
      </w:r>
    </w:p>
    <w:p w14:paraId="795F5955" w14:textId="303EED8F" w:rsidR="00C924D8" w:rsidRPr="00ED437B" w:rsidRDefault="00C924D8" w:rsidP="004B7815">
      <w:pPr>
        <w:pStyle w:val="Heading3"/>
        <w:rPr>
          <w:rFonts w:ascii="Times New Roman" w:hAnsi="Times New Roman"/>
          <w:sz w:val="36"/>
        </w:rPr>
      </w:pPr>
      <w:bookmarkStart w:id="48" w:name="_Toc218179353"/>
      <w:r w:rsidRPr="00ED437B">
        <w:rPr>
          <w:rStyle w:val="Strong"/>
          <w:b/>
          <w:bCs/>
        </w:rPr>
        <w:lastRenderedPageBreak/>
        <w:t>Narrative Synthesis: Organisational Policies and Practices Recommended to Support and Engage Generation Z</w:t>
      </w:r>
      <w:bookmarkEnd w:id="48"/>
    </w:p>
    <w:p w14:paraId="18D0A578" w14:textId="4105868D" w:rsidR="00ED437B" w:rsidRPr="00ED437B" w:rsidRDefault="00ED437B" w:rsidP="00ED437B">
      <w:r w:rsidRPr="00ED437B">
        <w:t>As the literature shows, to support and engage the employees of Generation Z properly, organisational policies should be close to their motivational priorities, value orientations, and expectations of their modern workplaces. In a variety of industries and cultural contexts, three overarching areas of policy become especially dominant flexible HR design, career development support and leadership and culture practises.</w:t>
      </w:r>
    </w:p>
    <w:p w14:paraId="17689DD3" w14:textId="77777777" w:rsidR="00ED437B" w:rsidRPr="00ED437B" w:rsidRDefault="00ED437B" w:rsidP="00ED437B">
      <w:r w:rsidRPr="00ED437B">
        <w:t>At first, the design of the HR policy that is flexible and supportive seems to be one of the most actively suggested strategies. The employees belonging to the generation z greatly prefer working in the environment where they can have autonomy, balance, and control over the work performance. Research indicates that hybrid work setup, flexible working hours, and performance measurements based on the results contribute to high levels of engagement and retention (Osorio and Madero, 2025; Bou Hatoum and Nassereddine, 2025). In combination with the flexibility, Gen Z also is responsive to the reward systems that combine intrinsic and extrinsic motivation mechanisms; recognition, meaningful work, and fair pay altogether influence their satisfaction and commitment (Acheampong, 2021; Mabaso, 2025; Surugiu et al., 2025). These results indicate that inflexible, unidimensional HR systems can hardly satisfy Gen Z expectations and can be the cause of turnover.</w:t>
      </w:r>
    </w:p>
    <w:p w14:paraId="237B6818" w14:textId="77777777" w:rsidR="00ED437B" w:rsidRPr="00ED437B" w:rsidRDefault="00ED437B" w:rsidP="00ED437B">
      <w:r w:rsidRPr="00ED437B">
        <w:t>Second, the literature is very strong in terms of highlighting learning, development, and career support as cornerstones of engagement leverage. Since Gen Z workers usually start their work experience with high hopes of quick growth, it is recommended that organisations offer systematic training and mentoring, as well as diversification of skills (Borg et al., 2023; Ali et al., 2024). Moreover, role design and promotions become clear and open, which minimises uncertainty and enhances organisational commitment (Aggarwal et al., 2022; Zhou et al., 2025). Lack of such developmental practises has always resulted in higher turnover intention and lower psychological attachment towards the organisation.</w:t>
      </w:r>
    </w:p>
    <w:p w14:paraId="50551C49" w14:textId="77777777" w:rsidR="00ED437B" w:rsidRPr="00ED437B" w:rsidRDefault="00ED437B" w:rsidP="00ED437B">
      <w:r w:rsidRPr="00ED437B">
        <w:t xml:space="preserve">Third, leadership and communication practises are also found as decisive factors of Gen Z engagement. It is testified that authentic and transformational leadership styles lead to increased engagement, psychological capital and commitment, which deliver superior results compared to conventional hierarchical or transactional leadership </w:t>
      </w:r>
      <w:r w:rsidRPr="00ED437B">
        <w:lastRenderedPageBreak/>
        <w:t>(Sigaeva et al., 2022; Jasmine and Utomo, 2024). Gen Z also reports being high expectations of how communication should be open, how they should receive their feedback, how they need to participate in decision-making processes; when the expectations are not fulfilled, they are prone to experience a generation conflict (El Hajal and Losekoot, 2025; Pradhana et al., 2024). These lessons can be seen as the general generational demand in transparency, trust, and relational leadership.</w:t>
      </w:r>
    </w:p>
    <w:p w14:paraId="6C2B05DE" w14:textId="77777777" w:rsidR="00ED437B" w:rsidRPr="00ED437B" w:rsidRDefault="00ED437B" w:rsidP="00ED437B">
      <w:r w:rsidRPr="00ED437B">
        <w:t>Lastly, the literature mentions the significance of organisational culture and new workforce management trends, ethical responsibility in particular, well-being, and integration of technology. The generation Z is also more sensitive to corporate social responsibility and ethical behaviour, which has a direct impact on attraction and engagement (Pandita and Khatwani, 2022; Darby et al., 2025). It is also suggested to reduce burnout and quiet quitting with well-being support, such as mental health programmes and workable shifts (Veluchamy et al., 2016; Xueyun et al., 2023). With the digital skills of Gen Z, organisations are advised to invest in the contemporary technological infrastructure in addition to dealing with the stress of automation and the accelerated rate of technological change (El Hajal and Losekoot, 2025; Dou et al., 2025). The new trends of workforce like moonlighting, disengagement behaviours also demand adaptive HR policy (Bhore et al., 2025; Liu-Lastres et al., 2024).</w:t>
      </w:r>
    </w:p>
    <w:p w14:paraId="0CCB8A23" w14:textId="498CFE53" w:rsidR="00E361C3" w:rsidRPr="00ED437B" w:rsidRDefault="00ED437B" w:rsidP="00ED437B">
      <w:r w:rsidRPr="00ED437B">
        <w:t>Altogether, literature leads to the fact that the work involving Generation Z is not only a question of adapting specific HR practises but involves the entire coordination of organisational arrangements, managerial strategies, organisational culture, and developmental prospects. Companies that can effectively incorporate flexibility, purposeful development, moral culture, and authentic leadership will be more likely to recruit, involve and keep this generation in the modern labour force, which is becoming more influential. </w:t>
      </w:r>
      <w:r w:rsidR="002E5897" w:rsidRPr="00ED437B">
        <w:br w:type="page"/>
      </w:r>
    </w:p>
    <w:p w14:paraId="16030A89" w14:textId="77777777" w:rsidR="00E431F3" w:rsidRPr="00ED437B" w:rsidRDefault="00391EB6" w:rsidP="00E431F3">
      <w:pPr>
        <w:pStyle w:val="Heading2"/>
      </w:pPr>
      <w:bookmarkStart w:id="49" w:name="_Toc218179354"/>
      <w:r w:rsidRPr="00ED437B">
        <w:lastRenderedPageBreak/>
        <w:t>Discussion of Results</w:t>
      </w:r>
      <w:bookmarkEnd w:id="49"/>
    </w:p>
    <w:p w14:paraId="2642B122" w14:textId="51446C32" w:rsidR="00E431F3" w:rsidRPr="00ED437B" w:rsidRDefault="00AE2076" w:rsidP="00E431F3">
      <w:r w:rsidRPr="00AE2076">
        <w:t>The current systematic review is part of a growing literature that outlines the motivational orientations, work-related problems, and implications of organisational policy regarding the employee generation Z. When placed with previous reviews and traditional motivational theories various convergences and contradictions can be established that aid in explaining how this generation can simultaneously sit within the existing theory as well as upset the presuppositions of previous generations.</w:t>
      </w:r>
    </w:p>
    <w:p w14:paraId="67921F1F" w14:textId="77777777" w:rsidR="00E431F3" w:rsidRPr="00ED437B" w:rsidRDefault="00E431F3" w:rsidP="00E431F3">
      <w:pPr>
        <w:pStyle w:val="Heading3"/>
      </w:pPr>
      <w:bookmarkStart w:id="50" w:name="_Toc218179355"/>
      <w:r w:rsidRPr="00ED437B">
        <w:t>Alignment with Previous Reviews</w:t>
      </w:r>
      <w:bookmarkEnd w:id="50"/>
    </w:p>
    <w:p w14:paraId="779E9DEE" w14:textId="77777777" w:rsidR="00AE2076" w:rsidRDefault="00AE2076" w:rsidP="00AE2076">
      <w:r>
        <w:t>The thematic patterns that are found in the current review echo those who are found in Kanste et al. (2025) especially in terms of work values, development needs, and well-being. In both reviews, the Generation Z is reported to have greater apprehension towards ethical purpose, substantial contribution, and supportive relational settings. The focus on well-being and psychological climate is also an indication of a generational sensitivity to stressors and burnout that previous generations did not discuss as much in the literature. Moreover, Kanste et al. have defined the emergent competencies and development requirements as a major theme; it can be noted that this aspect is consistent with the overall findings of the present review that swift learning, feedback, and clear advancement routes are the main motivating tools without which disengagement and turnover will increase exponentially.</w:t>
      </w:r>
    </w:p>
    <w:p w14:paraId="1B1DB205" w14:textId="77777777" w:rsidR="00AE2076" w:rsidRDefault="00AE2076" w:rsidP="00AE2076">
      <w:r>
        <w:t>Vieira, Gomes da Costa and Santos (2024) also conceptualize generational divergence of attraction and retention drivers and point to gaps in conceptualizing application of the older retention theories to the Generation Z. The gap is supported by the present review, which indicates that the primary focus on extrinsic rewards or a univariate career progression is no longer adequate in explaining recruitment and commitment. Such expectation of autonomy, flexibility, moral coherence, and rapid development complicates the models based on the linear progression of careers or the significance of extrinsic rewards, which signals the necessity of the future theoretical elaboration.</w:t>
      </w:r>
    </w:p>
    <w:p w14:paraId="5D432C47" w14:textId="77777777" w:rsidR="00AE2076" w:rsidRDefault="00AE2076" w:rsidP="00AE2076">
      <w:r>
        <w:t xml:space="preserve">The metasynthesis by Pózner and Kozak (2025) also repeats the current review in its description of intrinsic motives as the key driving force over salary alone and in its identification of autonomy, flexibility, and positive working conditions as key attraction factors. Interestingly, their results shed light on consequences of recruitment (like the </w:t>
      </w:r>
      <w:r>
        <w:lastRenderedPageBreak/>
        <w:t>use of social networks and referrals), which the current review only briefly alludes to, but which mutually imply that the structural consequences of digital socialisation in Generation Z on talent management are real.</w:t>
      </w:r>
    </w:p>
    <w:p w14:paraId="75067E0D" w14:textId="77777777" w:rsidR="00AE2076" w:rsidRDefault="00AE2076" w:rsidP="00AE2076">
      <w:r>
        <w:t>Lastly, Benítez-Márquez et al. (2022) emphasize that the research on the topic of this cohort is still in its infancy, as the use of keywords is inconsistent, and theoretical construction is disjointed. This fragmentation is evident even in the current review: despite the growing stability in the empirical patterns, the theoretical integration process is not complete. The increasing prominence of ethical purpose, digital fluency, well-being, and flexible work is an indication that conventional theories need to be extended or redefined in a manner that they explain the workforce realities of the present day.</w:t>
      </w:r>
    </w:p>
    <w:p w14:paraId="6DC4FF4D" w14:textId="77777777" w:rsidR="00E431F3" w:rsidRPr="00ED437B" w:rsidRDefault="00E431F3" w:rsidP="00E431F3">
      <w:pPr>
        <w:pStyle w:val="Heading3"/>
      </w:pPr>
      <w:bookmarkStart w:id="51" w:name="_Toc218179356"/>
      <w:r w:rsidRPr="00ED437B">
        <w:t>Relation to Classical Motivational Theories</w:t>
      </w:r>
      <w:bookmarkEnd w:id="51"/>
    </w:p>
    <w:p w14:paraId="74CAE439" w14:textId="77777777" w:rsidR="00AE2076" w:rsidRDefault="00AE2076" w:rsidP="00AE2076">
      <w:r>
        <w:t>The motivations of Generation Z can be compared to both continuity and reconfiguration when analyzed using Maslow hierarchy of needs. The focus on competitive pay indicates contentment of the physiological and safety needs, but this is not the most dominant performance or commitment driver. Rather, growth needs (self-actualisation and esteem) seem to take centre-stage motivational space. Work with meaning, autonomy, recognition and developmental opportunities resonate well with the higher-order needs that this cohort would not desire through the aspirations but rather as a minimum requirement to be engaged in work. This reversal suggests that in a well-educated and digitally capable generation, the higher levels in the Maslow hierarchy might have a constitutive as opposed to optional role in employee motivation at work.</w:t>
      </w:r>
    </w:p>
    <w:p w14:paraId="26A24489" w14:textId="77777777" w:rsidR="00AE2076" w:rsidRDefault="00AE2076" w:rsidP="00AE2076">
      <w:r>
        <w:t>The two-factor theory introduced by Herzberg is also interpretative. Based on the review, it is evident that the hygiene factors including fair pay, ethical leadership and transparent communication still avoid dissatisfaction. Nonetheless, motivators, including achievement, growth, meaningful work and responsibility, turn out particularly potent commitment determiners amongst the Generation Z. It is perhaps the reason that so many younger employees lose their interest in engagement within a very short time when there is not much to engage in the form of learning, or purpose; the lack of stimulus is not only the loss of satisfaction but the hindrance of moral and developmental growth.</w:t>
      </w:r>
    </w:p>
    <w:p w14:paraId="3A2C0FEA" w14:textId="77777777" w:rsidR="00AE2076" w:rsidRDefault="00AE2076" w:rsidP="00AE2076">
      <w:r>
        <w:lastRenderedPageBreak/>
        <w:t>Self-Determination Theory (SDT) also contributes to a further insight into the current results. The tendency of generation z to feel autonomous, competent and related can be traced through the literature multiple times: flexible work promotes autonomy; rapid skills development promotes competency; and supportive communication and recognition promotes relatedness. These psychological needs are directly frustrated by the challenges found in the review, hierarchic leadership, lack of feedback, unclear career advancement, and ineffective relational climate, which accounts for disengagement, quiet quitting and turnover.</w:t>
      </w:r>
    </w:p>
    <w:p w14:paraId="7F0F0035" w14:textId="7CE240AA" w:rsidR="00E431F3" w:rsidRPr="00ED437B" w:rsidRDefault="00AE2076" w:rsidP="00AE2076">
      <w:r>
        <w:t>Besides this, the career construction theory provides an understanding of the increased focus of the cohort on the meaning and identity alignment. Since work is becoming more and more a sphere where people may express purpose and moral identity, misalignment generates not only discontent, but also identity stress. This is one of the reasons why the disengagement rate is higher among this generation as a result of ethical misconduct, meaningless work or poorly defined organisational missions.</w:t>
      </w:r>
    </w:p>
    <w:p w14:paraId="7D87F75F" w14:textId="77777777" w:rsidR="00E431F3" w:rsidRPr="00ED437B" w:rsidRDefault="00E431F3" w:rsidP="00E431F3">
      <w:pPr>
        <w:pStyle w:val="Heading3"/>
      </w:pPr>
      <w:bookmarkStart w:id="52" w:name="_Toc218179357"/>
      <w:r w:rsidRPr="00ED437B">
        <w:t>Intergenerational Misalignment and Organisational Practice</w:t>
      </w:r>
      <w:bookmarkEnd w:id="52"/>
    </w:p>
    <w:p w14:paraId="704366C4" w14:textId="77777777" w:rsidR="00AE2076" w:rsidRDefault="00AE2076" w:rsidP="00AE2076">
      <w:r>
        <w:t>In the current review as well as in the previous syntheses, the major explanatory frame is no longer that of generational deficit but rather one of structural misalignment. The organisational practices that are aimed at group cohorts that have been socialised in stability, hierarchy and linear careers will ill-fit employees that have been socialised in quick change, networking work and the global sense of ethics. Difficulties in communication, opposition towards opaque leadership and embarrassment with stiff structures can thus be expected as consequences of this structural gap.</w:t>
      </w:r>
    </w:p>
    <w:p w14:paraId="39DFEFEB" w14:textId="4297FA30" w:rsidR="00E431F3" w:rsidRPr="00ED437B" w:rsidRDefault="00AE2076" w:rsidP="00AE2076">
      <w:r>
        <w:t>The new literature proposes a dynamic relationship between motivation structure of Generation Z and organisational design, whereas replaced theories expected organisations to influence employee motivation: the structure of motivation of the new generation creates pressure on the organisational design, compelling the change in the leadership style, HR policy and culture. Flexibility, participation, open leadership, support of well-being and ethical consistency are ceasing to be peripheral motivational factors but organizational preconditions of engagement</w:t>
      </w:r>
      <w:r w:rsidR="00E431F3" w:rsidRPr="00ED437B">
        <w:t>.</w:t>
      </w:r>
    </w:p>
    <w:p w14:paraId="5F03CE8E" w14:textId="77777777" w:rsidR="00E431F3" w:rsidRPr="00ED437B" w:rsidRDefault="00E431F3" w:rsidP="00E431F3">
      <w:pPr>
        <w:pStyle w:val="Heading3"/>
      </w:pPr>
      <w:bookmarkStart w:id="53" w:name="_Toc218179358"/>
      <w:r w:rsidRPr="00ED437B">
        <w:lastRenderedPageBreak/>
        <w:t>Implications for Future Theory Development</w:t>
      </w:r>
      <w:bookmarkEnd w:id="53"/>
    </w:p>
    <w:p w14:paraId="2C1956F1" w14:textId="77777777" w:rsidR="00AE2076" w:rsidRDefault="00AE2076" w:rsidP="00AE2076">
      <w:r>
        <w:t>The overlapping of the results in reviews gives reason to believe that a new theoretical model of Generation Z motivation would consist of multiple important components. It ought to take into consideration the higher-order motivation which is expanded keeping in view the centrality of purpose and development at the entrance level. It must be inclusive of the digital socialisation, as the pressures on immediacy, connectivity and technological assistance determine the engagement. It must also incorporate moral and ethical identity because the modern social awareness is becoming a strong source of understanding meaningful work. Lastly, it must consider well-being as part of productivity and go beyond thinking that stress is a reasonable by-product of performance.</w:t>
      </w:r>
    </w:p>
    <w:p w14:paraId="632924E7" w14:textId="77777777" w:rsidR="00AE2076" w:rsidRDefault="00AE2076" w:rsidP="00AE2076">
      <w:r>
        <w:t>These integrative models would fill the gaps in the literature that were found by Vieira et al. (2024) and Benítez-Márquez et al. (2022), allowing them to predict more accurately the outcome of attraction, commitment, and performance.</w:t>
      </w:r>
    </w:p>
    <w:p w14:paraId="46CDBF06" w14:textId="22B34C72" w:rsidR="00E431F3" w:rsidRPr="00ED437B" w:rsidRDefault="00AE2076" w:rsidP="00AE2076">
      <w:r>
        <w:t>To conclude, the Generation Z motivation, besides being reminiscent of the traditional motivational theory, also presents more profound psychological needs influenced by the contemporary socialisation. Their struggles point to the misalignment of the organisation as opposed to their constraints as a sign that the workplace has to adapt both in theory and practice as this generation transforms the workplace</w:t>
      </w:r>
      <w:r w:rsidR="00E431F3" w:rsidRPr="00ED437B">
        <w:t>.</w:t>
      </w:r>
    </w:p>
    <w:p w14:paraId="4637D8B4" w14:textId="637F1E0D" w:rsidR="00E431F3" w:rsidRPr="00ED437B" w:rsidRDefault="00E431F3" w:rsidP="00E431F3"/>
    <w:p w14:paraId="6A0802B2" w14:textId="05407CDE" w:rsidR="008C5097" w:rsidRPr="00ED437B" w:rsidRDefault="008C5097" w:rsidP="00E431F3">
      <w:r w:rsidRPr="00ED437B">
        <w:br w:type="page"/>
      </w:r>
    </w:p>
    <w:p w14:paraId="14D006C5" w14:textId="77777777" w:rsidR="00932579" w:rsidRPr="00ED437B" w:rsidRDefault="00786750" w:rsidP="00932579">
      <w:pPr>
        <w:pStyle w:val="Heading1"/>
      </w:pPr>
      <w:bookmarkStart w:id="54" w:name="_Toc218179359"/>
      <w:r w:rsidRPr="00ED437B">
        <w:lastRenderedPageBreak/>
        <w:t>CHAPTER 5: CONCLUSIONS AND RECOMMENDATIONS</w:t>
      </w:r>
      <w:bookmarkEnd w:id="54"/>
      <w:r w:rsidRPr="00ED437B">
        <w:t xml:space="preserve"> </w:t>
      </w:r>
    </w:p>
    <w:p w14:paraId="6205D1C1" w14:textId="2B952C44" w:rsidR="00932579" w:rsidRPr="00ED437B" w:rsidRDefault="00932579" w:rsidP="00932579">
      <w:pPr>
        <w:pStyle w:val="Heading2"/>
      </w:pPr>
      <w:bookmarkStart w:id="55" w:name="_Toc218179360"/>
      <w:r w:rsidRPr="00ED437B">
        <w:t>Summary of Main Findings</w:t>
      </w:r>
      <w:bookmarkEnd w:id="55"/>
    </w:p>
    <w:p w14:paraId="43FE779E" w14:textId="77777777" w:rsidR="004C732B" w:rsidRPr="00ED437B" w:rsidRDefault="004C732B" w:rsidP="004C732B">
      <w:r w:rsidRPr="00ED437B">
        <w:t>This literature review examined the motivations, difficulties, and suggested organisational practises related to the generation Z staff. Literature has been in unison that this cohort is entering the labour market with a unique motivational framework informed by digital socialisation, global uncertainty and increased moral awareness. Generation Z appreciates the importance of meaningful and socially responsible work, the possibility of learning and accelerated growth, the flexibility of work, work systems that are efficient in using technology, ethical and authentic leadership, and supportive interpersonal environments. Financial incentives are still pertinent, but it is often stated that intrinsic drivers are more critical factors in engagement and commitment.</w:t>
      </w:r>
    </w:p>
    <w:p w14:paraId="143FCBD5" w14:textId="77777777" w:rsidR="004C732B" w:rsidRPr="00ED437B" w:rsidRDefault="004C732B" w:rsidP="004C732B">
      <w:r w:rsidRPr="00ED437B">
        <w:t>The review also came up with a list of obstacles brought about mostly due to the misalignments between these motivational patterns and the established organisational designs. The breakdown in communication, the hierarchical style of leadership, limited developmental opportunities, psychological strain, unintegrated technology, and insignificant work are found to be the frequent problems. Such obstacles can be more appropriately described as structural incompatibilities, as opposed to the traits of the workers themselves.</w:t>
      </w:r>
    </w:p>
    <w:p w14:paraId="62E78E46" w14:textId="6E7B7647" w:rsidR="00932579" w:rsidRPr="00ED437B" w:rsidRDefault="004C732B" w:rsidP="004C732B">
      <w:r w:rsidRPr="00ED437B">
        <w:t>Lastly, the literature map identifies organisational interventions that can be used to mitigate these misalignments. The emphasis on flexible and adaptable HR mechanisms, participatory leadership, ethical organisational cultures, well-being support, and strategic integration of technology have been identified as key practises to attract and engage Generation Z. These findings combined with each other have indicated that effective engagements with Generation Z should not be an individual endeavour but an overall organisational alignment.</w:t>
      </w:r>
    </w:p>
    <w:p w14:paraId="6849F25D" w14:textId="169B303E" w:rsidR="00932579" w:rsidRPr="00ED437B" w:rsidRDefault="00932579" w:rsidP="00932579">
      <w:pPr>
        <w:pStyle w:val="Heading2"/>
      </w:pPr>
      <w:bookmarkStart w:id="56" w:name="_Toc218179361"/>
      <w:r w:rsidRPr="00ED437B">
        <w:t>Conclusions Based on Research Questions</w:t>
      </w:r>
      <w:bookmarkEnd w:id="56"/>
    </w:p>
    <w:p w14:paraId="4FF7FE17" w14:textId="77777777" w:rsidR="004C732B" w:rsidRPr="00ED437B" w:rsidRDefault="004C732B" w:rsidP="004C732B">
      <w:r w:rsidRPr="00ED437B">
        <w:t xml:space="preserve">The initial research question dealt with the motivational factors and work-related values that are considered the most significant among the representatives of Generation Z entering the workforce. It has been proven that meaning, growth and autonomy are core to their motivational system. The generation wants jobs that help in achieving social or ethical objectives and those in which they can grow skills at a </w:t>
      </w:r>
      <w:r w:rsidRPr="00ED437B">
        <w:lastRenderedPageBreak/>
        <w:t>fast and observable rate. Flexibility is not seen as a side effect but as a requirement of sustainable productivity and good health. Authenticity, fairness and supportive interpersonal relations expectations also influence their practise, whereas technologically efficient working conditions positively impact performance and satisfaction. These inspirations are indicative of a more extensive re-defining of work as a place of identity development, social contribution and ongoing betterment.</w:t>
      </w:r>
    </w:p>
    <w:p w14:paraId="77DB8D9F" w14:textId="77777777" w:rsidR="004C732B" w:rsidRPr="00ED437B" w:rsidRDefault="004C732B" w:rsidP="004C732B">
      <w:r w:rsidRPr="00ED437B">
        <w:t>The second research question focused on the issues and obstacles faced by Generation Z workers in organisations. The most conspicuous obstacles come about when organisational structures are unable to support or recognise such motivational orientations. Hierarchical and opaque communication is not compatible with their desire to be open and receive timely feedback. Poor developmental prospects as well as ambiguity in role design lead to frustration and turnover intentions. The issues of psychological strain and burnout are widespread and frequently aggravated by the lack of organisational support. Technology brings efficiency-related opportunities as well as anxiety in case of improper use or in case of job loss caused by automation. Disengagement will be more probable when there is no purpose in work or moral wrongness. These issues show that the conflict of generations is rooted in structural factors and not personal incompetencies.</w:t>
      </w:r>
    </w:p>
    <w:p w14:paraId="0901DC12" w14:textId="3CD501BA" w:rsidR="00932579" w:rsidRPr="00ED437B" w:rsidRDefault="004C732B" w:rsidP="004C732B">
      <w:r w:rsidRPr="00ED437B">
        <w:t>The third research question dealt with organisational policies that have been suggested in the literature to understand and attract Generation Z. Directly addressing their need of autonomy and work-life integration, flexible work design, such as hybrid arrangements and outcome-based evaluation respond to it. Organised educational programmes and clear career progression meet high developmental drives and minimise ambiguity. Authenticity, participation and ethical clarity are leadership practises that promote trust and engagement. Well-being, ethical responsibility and effective use of technology are organisational cultures that provide environments where this generation can work and stay committed. The impactful engagement thus requires full coordination of organisational systems, leadership and culture.</w:t>
      </w:r>
    </w:p>
    <w:p w14:paraId="27645949" w14:textId="00FD5CA5" w:rsidR="00932579" w:rsidRPr="00ED437B" w:rsidRDefault="00932579" w:rsidP="00932579">
      <w:pPr>
        <w:pStyle w:val="Heading2"/>
      </w:pPr>
      <w:bookmarkStart w:id="57" w:name="_Toc218179362"/>
      <w:r w:rsidRPr="00ED437B">
        <w:t>Recommendations</w:t>
      </w:r>
      <w:bookmarkEnd w:id="57"/>
    </w:p>
    <w:p w14:paraId="2230C2A0" w14:textId="77777777" w:rsidR="004C732B" w:rsidRPr="00ED437B" w:rsidRDefault="004C732B" w:rsidP="004C732B">
      <w:r w:rsidRPr="00ED437B">
        <w:t xml:space="preserve">The practical recommendations that follow this review highlight that organisations should align themselves with the new motivational trends. Where feasible, flexible work design must be institutionalised and performance evaluation must move towards </w:t>
      </w:r>
      <w:r w:rsidRPr="00ED437B">
        <w:lastRenderedPageBreak/>
        <w:t>measurable outcomes, instead of physical presence and hard schedules. Organisations need to focus on development systems and provide clear progression channels, frequent feedback and mentoring to meet the development growth expectations. Transparency, dialogue and ethical behaviour should be addressed as the main aspects of leadership development since they can have a great impact on motivation and trust of younger employees. Well-being support should be regarded as an essential organisational activity in the view of its direct dependence on productivity and retention. Investment in the right technology should be based not only on efficiency in operations but also on serving creativity and taking mental burdens off. Lastly, organisations ought to make sure that ethical promises and social responsibility are put into practise and not expressed as a symbol.</w:t>
      </w:r>
    </w:p>
    <w:p w14:paraId="046C595A" w14:textId="43A72833" w:rsidR="00932579" w:rsidRPr="00ED437B" w:rsidRDefault="004C732B" w:rsidP="004C732B">
      <w:r w:rsidRPr="00ED437B">
        <w:t>Theoretically, the results imply that classical models of motivation should be expanded so as to accommodate the current realities in the workforce. Ethical purpose, digital socialisation and identity-related meaning should be part and parcel of motivational frameworks as opposed to being peripheral considerations. The most accurate explanation of employee motivation in the present age would be integrative models that have the capability of elaborating on the interaction of autonomy, competence, relatedness, technological expectations and moral identity. More focus on intergenerational dynamics would also contribute to better theoretical accuracy and applicability of the organisational practise.</w:t>
      </w:r>
    </w:p>
    <w:p w14:paraId="4BAC7AC1" w14:textId="044FCD12" w:rsidR="00932579" w:rsidRPr="00ED437B" w:rsidRDefault="00932579" w:rsidP="00932579">
      <w:pPr>
        <w:pStyle w:val="Heading2"/>
      </w:pPr>
      <w:bookmarkStart w:id="58" w:name="_Toc218179363"/>
      <w:r w:rsidRPr="00ED437B">
        <w:t>Limitations of the Research</w:t>
      </w:r>
      <w:bookmarkEnd w:id="58"/>
    </w:p>
    <w:p w14:paraId="7633199E" w14:textId="75953F4D" w:rsidR="00932579" w:rsidRPr="00ED437B" w:rsidRDefault="004C732B" w:rsidP="00932579">
      <w:r w:rsidRPr="00ED437B">
        <w:t>The generation Z study area is still young and as such, it has a number of limitations. The cohort and operationalisation definitions of key concepts differ between studies, which makes it difficult to compare and synthesise. The bulk of the literature is mostly western-based and limits the extrapolation of the results to other cultural and economic settings. The dominance of descriptive and not explanatory research denies the possibility to draw conclusions on causal processes. Moreover, technology and social conditions are changing fast, so, motivational patterns can change faster than the research is able to keep up. Lastly, the literature puts a lot of focus on the employee views, and organisational constraints are not explored extensively.</w:t>
      </w:r>
    </w:p>
    <w:p w14:paraId="216AA947" w14:textId="54925728" w:rsidR="00932579" w:rsidRPr="00ED437B" w:rsidRDefault="00932579" w:rsidP="00932579">
      <w:pPr>
        <w:pStyle w:val="Heading2"/>
      </w:pPr>
      <w:bookmarkStart w:id="59" w:name="_Toc218179364"/>
      <w:r w:rsidRPr="00ED437B">
        <w:lastRenderedPageBreak/>
        <w:t>Recommendations for Future Work</w:t>
      </w:r>
      <w:bookmarkEnd w:id="59"/>
    </w:p>
    <w:p w14:paraId="13ECCB68" w14:textId="43838BCC" w:rsidR="00932579" w:rsidRPr="00ED437B" w:rsidRDefault="004C732B" w:rsidP="00932579">
      <w:r w:rsidRPr="00ED437B">
        <w:t>To curb these limitations, future studies must deal with these limitations by conducting longitudinal studies that would be able to monitor any changes in motivations as Generation Z moves through their career journeys. Interactional cross-cultural and sectoral studies would enhance comprehension of the interaction of the context with the generational patterns. To take the field further than descriptive synthesis, empirical testing and development of theoretical models that are intended to meet the real-world motivational structures should be sought. More focus should be given on organisational perspectives such as structural and resource constraints to assist in more realistic and practical recommendations. With the ongoing redesign of work as automation and artificial intelligence progressively alter the nature of work, studies that investigate how these factors affect motivation and identity will also be necessary. Lastly, well-being needs to be studied more systematically, especially regarding the early career transitions and organisational support systems.</w:t>
      </w:r>
    </w:p>
    <w:p w14:paraId="72C49E1B" w14:textId="4F6D507C" w:rsidR="00391EB6" w:rsidRPr="00ED437B" w:rsidRDefault="00391EB6" w:rsidP="00932579"/>
    <w:p w14:paraId="3DB7E462" w14:textId="77777777" w:rsidR="008C5097" w:rsidRPr="00ED437B" w:rsidRDefault="008C5097">
      <w:r w:rsidRPr="00ED437B">
        <w:br w:type="page"/>
      </w:r>
    </w:p>
    <w:p w14:paraId="63A51A55" w14:textId="6FE37B00" w:rsidR="005F3C84" w:rsidRPr="00ED437B" w:rsidRDefault="00786750" w:rsidP="005F3C84">
      <w:pPr>
        <w:pStyle w:val="Heading1"/>
        <w:numPr>
          <w:ilvl w:val="0"/>
          <w:numId w:val="0"/>
        </w:numPr>
        <w:ind w:left="432" w:hanging="432"/>
        <w:jc w:val="both"/>
      </w:pPr>
      <w:bookmarkStart w:id="60" w:name="_Toc218179365"/>
      <w:r w:rsidRPr="00ED437B">
        <w:lastRenderedPageBreak/>
        <w:t>REFERENCES</w:t>
      </w:r>
      <w:bookmarkEnd w:id="60"/>
      <w:r w:rsidRPr="00ED437B">
        <w:t xml:space="preserve"> </w:t>
      </w:r>
    </w:p>
    <w:p w14:paraId="60E3625C" w14:textId="5F0E8674" w:rsidR="00CD4D7D" w:rsidRPr="00ED437B" w:rsidRDefault="00CD4D7D" w:rsidP="005F3C84">
      <w:pPr>
        <w:rPr>
          <w:color w:val="000000" w:themeColor="text1"/>
          <w:szCs w:val="24"/>
        </w:rPr>
      </w:pPr>
      <w:r w:rsidRPr="00ED437B">
        <w:rPr>
          <w:rFonts w:asciiTheme="minorBidi" w:hAnsiTheme="minorBidi"/>
          <w:color w:val="000000" w:themeColor="text1"/>
          <w:szCs w:val="24"/>
        </w:rPr>
        <w:t xml:space="preserve">Ababneh, O.M.A. and Alnawas, I. (2022) ‘A Novel Prelude to the Talent –Total Quality Management Association Amongst Generation Z: The Case of the Jordanian Hospitality Industry’, </w:t>
      </w:r>
      <w:r w:rsidRPr="00ED437B">
        <w:rPr>
          <w:rFonts w:asciiTheme="minorBidi" w:hAnsiTheme="minorBidi"/>
          <w:i/>
          <w:iCs/>
          <w:color w:val="000000" w:themeColor="text1"/>
          <w:szCs w:val="24"/>
        </w:rPr>
        <w:t>Journal of Quality Assurance in Hospitality &amp; Tourism</w:t>
      </w:r>
      <w:r w:rsidRPr="00ED437B">
        <w:rPr>
          <w:rFonts w:asciiTheme="minorBidi" w:hAnsiTheme="minorBidi"/>
          <w:color w:val="000000" w:themeColor="text1"/>
          <w:szCs w:val="24"/>
        </w:rPr>
        <w:t xml:space="preserve">, 25(5), pp. 1–31. Available at: </w:t>
      </w:r>
      <w:hyperlink r:id="rId13" w:history="1">
        <w:r w:rsidRPr="00ED437B">
          <w:rPr>
            <w:rStyle w:val="Hyperlink"/>
            <w:szCs w:val="24"/>
          </w:rPr>
          <w:t>https://doi.org/10.1080/1528008x.2022.2151549</w:t>
        </w:r>
      </w:hyperlink>
      <w:r w:rsidRPr="00ED437B">
        <w:rPr>
          <w:rFonts w:asciiTheme="minorBidi" w:hAnsiTheme="minorBidi"/>
          <w:color w:val="000000" w:themeColor="text1"/>
          <w:szCs w:val="24"/>
        </w:rPr>
        <w:t>.</w:t>
      </w:r>
    </w:p>
    <w:p w14:paraId="0E415325"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Acheampong, N.A.A. (2021) ‘Reward Preferences of the Youngest Generation: Attracting, Recruiting, and Retaining Generation Z into Public Sector Organizations’, </w:t>
      </w:r>
      <w:r w:rsidRPr="00ED437B">
        <w:rPr>
          <w:rFonts w:asciiTheme="minorBidi" w:hAnsiTheme="minorBidi"/>
          <w:i/>
          <w:iCs/>
          <w:color w:val="000000" w:themeColor="text1"/>
          <w:szCs w:val="24"/>
        </w:rPr>
        <w:t>Compensation and Benefits Review</w:t>
      </w:r>
      <w:r w:rsidRPr="00ED437B">
        <w:rPr>
          <w:rFonts w:asciiTheme="minorBidi" w:hAnsiTheme="minorBidi"/>
          <w:color w:val="000000" w:themeColor="text1"/>
          <w:szCs w:val="24"/>
        </w:rPr>
        <w:t>, 53(2), pp. 75–97.</w:t>
      </w:r>
    </w:p>
    <w:p w14:paraId="7B1F5F3F" w14:textId="04A80CA1" w:rsidR="00CD4D7D" w:rsidRPr="00ED437B" w:rsidRDefault="00CD4D7D" w:rsidP="00DC1008">
      <w:pPr>
        <w:jc w:val="left"/>
        <w:rPr>
          <w:color w:val="000000" w:themeColor="text1"/>
          <w:szCs w:val="24"/>
        </w:rPr>
      </w:pPr>
      <w:r w:rsidRPr="00ED437B">
        <w:rPr>
          <w:rFonts w:asciiTheme="minorBidi" w:hAnsiTheme="minorBidi"/>
          <w:color w:val="000000" w:themeColor="text1"/>
          <w:szCs w:val="24"/>
        </w:rPr>
        <w:t xml:space="preserve">Afifi, M., Stryhn, H. and Sánchez, J. (2023) ‘Data extraction and comparison for complex systematic reviews: a step-by-step guideline and an implementation example using open-source software’, </w:t>
      </w:r>
      <w:r w:rsidRPr="00ED437B">
        <w:rPr>
          <w:rFonts w:asciiTheme="minorBidi" w:hAnsiTheme="minorBidi"/>
          <w:i/>
          <w:iCs/>
          <w:color w:val="000000" w:themeColor="text1"/>
          <w:szCs w:val="24"/>
        </w:rPr>
        <w:t>Systematic Reviews</w:t>
      </w:r>
      <w:r w:rsidRPr="00ED437B">
        <w:rPr>
          <w:rFonts w:asciiTheme="minorBidi" w:hAnsiTheme="minorBidi"/>
          <w:color w:val="000000" w:themeColor="text1"/>
          <w:szCs w:val="24"/>
        </w:rPr>
        <w:t xml:space="preserve">, 12(1). Available at: </w:t>
      </w:r>
      <w:hyperlink r:id="rId14" w:history="1">
        <w:r w:rsidRPr="00ED437B">
          <w:rPr>
            <w:rStyle w:val="Hyperlink"/>
            <w:szCs w:val="24"/>
          </w:rPr>
          <w:t>https://doi.org/10.1186/s13643-023-02322-1</w:t>
        </w:r>
      </w:hyperlink>
      <w:r w:rsidRPr="00ED437B">
        <w:rPr>
          <w:rFonts w:asciiTheme="minorBidi" w:hAnsiTheme="minorBidi"/>
          <w:color w:val="000000" w:themeColor="text1"/>
          <w:szCs w:val="24"/>
        </w:rPr>
        <w:t>.</w:t>
      </w:r>
    </w:p>
    <w:p w14:paraId="7D95E58D"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Aggarwal, A., Sadhna, P., Gupta, S., Mittal, A., &amp; Rastogi, S. (2022) ‘Gen Z entering the workforce: Restructuring HR policies and practices for fostering the task performance and organizational commitment’, </w:t>
      </w:r>
      <w:r w:rsidRPr="00ED437B">
        <w:rPr>
          <w:rFonts w:asciiTheme="minorBidi" w:hAnsiTheme="minorBidi"/>
          <w:i/>
          <w:iCs/>
          <w:color w:val="000000" w:themeColor="text1"/>
          <w:szCs w:val="24"/>
        </w:rPr>
        <w:t>Journal of Public Affairs</w:t>
      </w:r>
      <w:r w:rsidRPr="00ED437B">
        <w:rPr>
          <w:rFonts w:asciiTheme="minorBidi" w:hAnsiTheme="minorBidi"/>
          <w:color w:val="000000" w:themeColor="text1"/>
          <w:szCs w:val="24"/>
        </w:rPr>
        <w:t>, 22(3), e2535.</w:t>
      </w:r>
    </w:p>
    <w:p w14:paraId="7A944130"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Ali, H., Li, M., &amp; Qiu, X. (2024) ‘Examination of HRM practices in relation to the retention of Chinese Gen Z employees’, </w:t>
      </w:r>
      <w:r w:rsidRPr="00ED437B">
        <w:rPr>
          <w:rFonts w:asciiTheme="minorBidi" w:hAnsiTheme="minorBidi"/>
          <w:i/>
          <w:iCs/>
          <w:color w:val="000000" w:themeColor="text1"/>
          <w:szCs w:val="24"/>
        </w:rPr>
        <w:t>Humanities and Social Sciences Communications</w:t>
      </w:r>
      <w:r w:rsidRPr="00ED437B">
        <w:rPr>
          <w:rFonts w:asciiTheme="minorBidi" w:hAnsiTheme="minorBidi"/>
          <w:color w:val="000000" w:themeColor="text1"/>
          <w:szCs w:val="24"/>
        </w:rPr>
        <w:t>, 11(1), p. 24.</w:t>
      </w:r>
    </w:p>
    <w:p w14:paraId="2495CF17"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Arora, S., Dubey, V., &amp; Vyas, S. (2020) ‘Study of work values of Gen Z students’, </w:t>
      </w:r>
      <w:r w:rsidRPr="00ED437B">
        <w:rPr>
          <w:rFonts w:asciiTheme="minorBidi" w:hAnsiTheme="minorBidi"/>
          <w:i/>
          <w:iCs/>
          <w:color w:val="000000" w:themeColor="text1"/>
          <w:szCs w:val="24"/>
        </w:rPr>
        <w:t>International Journal of Technology and Globalisation</w:t>
      </w:r>
      <w:r w:rsidRPr="00ED437B">
        <w:rPr>
          <w:rFonts w:asciiTheme="minorBidi" w:hAnsiTheme="minorBidi"/>
          <w:color w:val="000000" w:themeColor="text1"/>
          <w:szCs w:val="24"/>
        </w:rPr>
        <w:t>, 8(3-4), pp. 240–265.</w:t>
      </w:r>
    </w:p>
    <w:p w14:paraId="22367A8D"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Becker, K.L. (2022) ‘We want connection and we do not mean wi-fi: examining the impacts of Covid-19 on Gen Z’s work and employment outcomes’, </w:t>
      </w:r>
      <w:r w:rsidRPr="00ED437B">
        <w:rPr>
          <w:rFonts w:asciiTheme="minorBidi" w:hAnsiTheme="minorBidi"/>
          <w:i/>
          <w:iCs/>
          <w:color w:val="000000" w:themeColor="text1"/>
          <w:szCs w:val="24"/>
        </w:rPr>
        <w:t>Management Research Review</w:t>
      </w:r>
      <w:r w:rsidRPr="00ED437B">
        <w:rPr>
          <w:rFonts w:asciiTheme="minorBidi" w:hAnsiTheme="minorBidi"/>
          <w:color w:val="000000" w:themeColor="text1"/>
          <w:szCs w:val="24"/>
        </w:rPr>
        <w:t>, 45(5), pp. 684–699.</w:t>
      </w:r>
    </w:p>
    <w:p w14:paraId="1F083ADB"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Bhore, M.B., Tapas, P., Gotise, P., &amp; Chinmulgund, A. (2025) ‘The juggling act: Gen Z’s approach to moonlighting and full-time work’, </w:t>
      </w:r>
      <w:r w:rsidRPr="00ED437B">
        <w:rPr>
          <w:rFonts w:asciiTheme="minorBidi" w:hAnsiTheme="minorBidi"/>
          <w:i/>
          <w:iCs/>
          <w:color w:val="000000" w:themeColor="text1"/>
          <w:szCs w:val="24"/>
        </w:rPr>
        <w:t>International Journal of Organizational Analysis</w:t>
      </w:r>
      <w:r w:rsidRPr="00ED437B">
        <w:rPr>
          <w:rFonts w:asciiTheme="minorBidi" w:hAnsiTheme="minorBidi"/>
          <w:color w:val="000000" w:themeColor="text1"/>
          <w:szCs w:val="24"/>
        </w:rPr>
        <w:t>, 33(4), pp. 699–717.</w:t>
      </w:r>
    </w:p>
    <w:p w14:paraId="19C6AFEA"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Billeter, K., Beck, R., Feinsod, R., &amp; Justice, J. (2025) ‘Can AI advance toward value if workforce tensions linger?’, </w:t>
      </w:r>
      <w:r w:rsidRPr="00ED437B">
        <w:rPr>
          <w:rFonts w:asciiTheme="minorBidi" w:hAnsiTheme="minorBidi"/>
          <w:i/>
          <w:iCs/>
          <w:color w:val="000000" w:themeColor="text1"/>
          <w:szCs w:val="24"/>
        </w:rPr>
        <w:t>Ernst &amp; Young Insights</w:t>
      </w:r>
      <w:r w:rsidRPr="00ED437B">
        <w:rPr>
          <w:rFonts w:asciiTheme="minorBidi" w:hAnsiTheme="minorBidi"/>
          <w:color w:val="000000" w:themeColor="text1"/>
          <w:szCs w:val="24"/>
        </w:rPr>
        <w:t xml:space="preserve">, 10 November. Available at: </w:t>
      </w:r>
      <w:hyperlink r:id="rId15" w:tgtFrame="_new" w:history="1">
        <w:r w:rsidRPr="00ED437B">
          <w:rPr>
            <w:rStyle w:val="Hyperlink"/>
            <w:rFonts w:asciiTheme="minorBidi" w:hAnsiTheme="minorBidi"/>
            <w:color w:val="000000" w:themeColor="text1"/>
            <w:szCs w:val="24"/>
            <w:u w:val="none"/>
          </w:rPr>
          <w:t>https://www.ey.com/en_gl/insights/workforce/work-reimagined-survey</w:t>
        </w:r>
      </w:hyperlink>
      <w:r w:rsidRPr="00ED437B">
        <w:rPr>
          <w:rFonts w:asciiTheme="minorBidi" w:hAnsiTheme="minorBidi"/>
          <w:color w:val="000000" w:themeColor="text1"/>
          <w:szCs w:val="24"/>
        </w:rPr>
        <w:t>.</w:t>
      </w:r>
    </w:p>
    <w:p w14:paraId="76575B01" w14:textId="10FB8662" w:rsidR="00CD4D7D" w:rsidRPr="00ED437B" w:rsidRDefault="00CD4D7D" w:rsidP="00DC1008">
      <w:pPr>
        <w:jc w:val="left"/>
        <w:rPr>
          <w:rFonts w:asciiTheme="minorBidi" w:hAnsiTheme="minorBidi"/>
          <w:color w:val="000000" w:themeColor="text1"/>
          <w:szCs w:val="24"/>
        </w:rPr>
      </w:pPr>
      <w:r w:rsidRPr="00ED437B">
        <w:rPr>
          <w:rFonts w:asciiTheme="minorBidi" w:hAnsiTheme="minorBidi"/>
          <w:color w:val="000000" w:themeColor="text1"/>
          <w:szCs w:val="24"/>
        </w:rPr>
        <w:lastRenderedPageBreak/>
        <w:t xml:space="preserve">Boland, A., Cherry, M. and Dickson, R. (2017) </w:t>
      </w:r>
      <w:r w:rsidRPr="00ED437B">
        <w:rPr>
          <w:rFonts w:asciiTheme="minorBidi" w:hAnsiTheme="minorBidi"/>
          <w:i/>
          <w:iCs/>
          <w:color w:val="000000" w:themeColor="text1"/>
          <w:szCs w:val="24"/>
        </w:rPr>
        <w:t>Doing a Systematic Revie</w:t>
      </w:r>
      <w:r w:rsidR="004B7815" w:rsidRPr="00ED437B">
        <w:rPr>
          <w:i/>
          <w:iCs/>
          <w:color w:val="000000" w:themeColor="text1"/>
          <w:szCs w:val="24"/>
        </w:rPr>
        <w:t>w</w:t>
      </w:r>
      <w:r w:rsidRPr="00ED437B">
        <w:rPr>
          <w:rFonts w:asciiTheme="minorBidi" w:hAnsiTheme="minorBidi"/>
          <w:i/>
          <w:iCs/>
          <w:color w:val="000000" w:themeColor="text1"/>
          <w:szCs w:val="24"/>
        </w:rPr>
        <w:t>: a student’s Guide</w:t>
      </w:r>
      <w:r w:rsidRPr="00ED437B">
        <w:rPr>
          <w:rFonts w:asciiTheme="minorBidi" w:hAnsiTheme="minorBidi"/>
          <w:color w:val="000000" w:themeColor="text1"/>
          <w:szCs w:val="24"/>
        </w:rPr>
        <w:t>. 2nd edn. Sage.</w:t>
      </w:r>
    </w:p>
    <w:p w14:paraId="104B1BA5"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Borg, J., Scott-Young, C.M., &amp; Borg, N. (2023) ‘What Generation Z needs: the role of project-based organizations in creating career sustainability’, </w:t>
      </w:r>
      <w:r w:rsidRPr="00ED437B">
        <w:rPr>
          <w:rFonts w:asciiTheme="minorBidi" w:hAnsiTheme="minorBidi"/>
          <w:i/>
          <w:iCs/>
          <w:color w:val="000000" w:themeColor="text1"/>
          <w:szCs w:val="24"/>
        </w:rPr>
        <w:t>International Journal of Managing Projects in Business</w:t>
      </w:r>
      <w:r w:rsidRPr="00ED437B">
        <w:rPr>
          <w:rFonts w:asciiTheme="minorBidi" w:hAnsiTheme="minorBidi"/>
          <w:color w:val="000000" w:themeColor="text1"/>
          <w:szCs w:val="24"/>
        </w:rPr>
        <w:t>, 16(3), pp. 571–591.</w:t>
      </w:r>
    </w:p>
    <w:p w14:paraId="2C703A2C"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Borzillo, S., Hasman, A., &amp; Raub, S. (2025) ‘Ensuring a pipeline of Gen-Z talent for the hotel industry: contrasting views of hoteliers and future graduates’, </w:t>
      </w:r>
      <w:r w:rsidRPr="00ED437B">
        <w:rPr>
          <w:rFonts w:asciiTheme="minorBidi" w:hAnsiTheme="minorBidi"/>
          <w:i/>
          <w:iCs/>
          <w:color w:val="000000" w:themeColor="text1"/>
          <w:szCs w:val="24"/>
        </w:rPr>
        <w:t>Journal of Human Resources in Hospitality and Tourism</w:t>
      </w:r>
      <w:r w:rsidRPr="00ED437B">
        <w:rPr>
          <w:rFonts w:asciiTheme="minorBidi" w:hAnsiTheme="minorBidi"/>
          <w:color w:val="000000" w:themeColor="text1"/>
          <w:szCs w:val="24"/>
        </w:rPr>
        <w:t>, 24(4), pp. 589–616.</w:t>
      </w:r>
    </w:p>
    <w:p w14:paraId="68746A6C"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Bou Hatoum, M., &amp; Nassereddine, H. (2025) ‘Becoming an Employer of Choice for Generation Z in the Construction Industry’, </w:t>
      </w:r>
      <w:r w:rsidRPr="00ED437B">
        <w:rPr>
          <w:rFonts w:asciiTheme="minorBidi" w:hAnsiTheme="minorBidi"/>
          <w:i/>
          <w:iCs/>
          <w:color w:val="000000" w:themeColor="text1"/>
          <w:szCs w:val="24"/>
        </w:rPr>
        <w:t>Buildings</w:t>
      </w:r>
      <w:r w:rsidRPr="00ED437B">
        <w:rPr>
          <w:rFonts w:asciiTheme="minorBidi" w:hAnsiTheme="minorBidi"/>
          <w:color w:val="000000" w:themeColor="text1"/>
          <w:szCs w:val="24"/>
        </w:rPr>
        <w:t>, 15(2), p. 263.</w:t>
      </w:r>
    </w:p>
    <w:p w14:paraId="5523932A"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CASP (2018) </w:t>
      </w:r>
      <w:r w:rsidRPr="00ED437B">
        <w:rPr>
          <w:rFonts w:asciiTheme="minorBidi" w:hAnsiTheme="minorBidi"/>
          <w:i/>
          <w:iCs/>
          <w:color w:val="000000" w:themeColor="text1"/>
          <w:szCs w:val="24"/>
        </w:rPr>
        <w:t>CASP Qualitative Checklist</w:t>
      </w:r>
      <w:r w:rsidRPr="00ED437B">
        <w:rPr>
          <w:rFonts w:asciiTheme="minorBidi" w:hAnsiTheme="minorBidi"/>
          <w:color w:val="000000" w:themeColor="text1"/>
          <w:szCs w:val="24"/>
        </w:rPr>
        <w:t xml:space="preserve">. Available at: </w:t>
      </w:r>
      <w:hyperlink r:id="rId16" w:history="1">
        <w:r w:rsidRPr="00ED437B">
          <w:rPr>
            <w:rStyle w:val="Hyperlink"/>
            <w:rFonts w:asciiTheme="minorBidi" w:hAnsiTheme="minorBidi"/>
            <w:color w:val="000000" w:themeColor="text1"/>
            <w:szCs w:val="24"/>
            <w:u w:val="none"/>
          </w:rPr>
          <w:t>https://casp-uk.net/casp-tools-checklists/</w:t>
        </w:r>
      </w:hyperlink>
      <w:r w:rsidRPr="00ED437B">
        <w:rPr>
          <w:rFonts w:asciiTheme="minorBidi" w:hAnsiTheme="minorBidi"/>
          <w:color w:val="000000" w:themeColor="text1"/>
          <w:szCs w:val="24"/>
        </w:rPr>
        <w:t xml:space="preserve"> (Accessed: 5 October 2025).</w:t>
      </w:r>
    </w:p>
    <w:p w14:paraId="50D19B9B"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Chaudhry, S. (2024) ‘Sustaining talent: a social exchange perspective on the Generation Z workforce’, </w:t>
      </w:r>
      <w:r w:rsidRPr="00ED437B">
        <w:rPr>
          <w:rFonts w:asciiTheme="minorBidi" w:hAnsiTheme="minorBidi"/>
          <w:i/>
          <w:iCs/>
          <w:color w:val="000000" w:themeColor="text1"/>
          <w:szCs w:val="24"/>
        </w:rPr>
        <w:t>Development and Learning in Organizations</w:t>
      </w:r>
      <w:r w:rsidRPr="00ED437B">
        <w:rPr>
          <w:rFonts w:asciiTheme="minorBidi" w:hAnsiTheme="minorBidi"/>
          <w:color w:val="000000" w:themeColor="text1"/>
          <w:szCs w:val="24"/>
        </w:rPr>
        <w:t>, 38(5), pp. 19–22.</w:t>
      </w:r>
    </w:p>
    <w:p w14:paraId="6663AEDA" w14:textId="6947AACB" w:rsidR="00CD4D7D" w:rsidRPr="00ED437B" w:rsidRDefault="00CD4D7D" w:rsidP="005F3C84">
      <w:pPr>
        <w:jc w:val="left"/>
        <w:rPr>
          <w:rFonts w:asciiTheme="minorBidi" w:hAnsiTheme="minorBidi"/>
        </w:rPr>
      </w:pPr>
      <w:r w:rsidRPr="00ED437B">
        <w:rPr>
          <w:rFonts w:asciiTheme="minorBidi" w:hAnsiTheme="minorBidi"/>
          <w:color w:val="000000" w:themeColor="text1"/>
          <w:szCs w:val="24"/>
        </w:rPr>
        <w:t xml:space="preserve">Chicca, J. and Shellenbarger, T. (2018) ‘Generation Z: Approaches and teaching-learning practices for nursing professional development practitioners’, </w:t>
      </w:r>
      <w:r w:rsidRPr="00ED437B">
        <w:rPr>
          <w:rFonts w:asciiTheme="minorBidi" w:hAnsiTheme="minorBidi"/>
          <w:i/>
          <w:iCs/>
          <w:color w:val="000000" w:themeColor="text1"/>
          <w:szCs w:val="24"/>
        </w:rPr>
        <w:t>Journal for Nurses in Professional Development</w:t>
      </w:r>
      <w:r w:rsidRPr="00ED437B">
        <w:rPr>
          <w:rFonts w:asciiTheme="minorBidi" w:hAnsiTheme="minorBidi"/>
          <w:color w:val="000000" w:themeColor="text1"/>
          <w:szCs w:val="24"/>
        </w:rPr>
        <w:t xml:space="preserve">, 34(5), pp. 250–256. Available at: </w:t>
      </w:r>
      <w:hyperlink r:id="rId17" w:history="1">
        <w:r w:rsidRPr="00ED437B">
          <w:rPr>
            <w:rStyle w:val="Hyperlink"/>
          </w:rPr>
          <w:t>https://doi.org/10.1097/NND.0000000000000471</w:t>
        </w:r>
      </w:hyperlink>
      <w:r w:rsidRPr="00ED437B">
        <w:t>.</w:t>
      </w:r>
    </w:p>
    <w:p w14:paraId="2D60A0DF"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Cho, M., Bonn, M.A., &amp; Han, S.J. (2018) ‘Generation Z's sustainable volunteering: Motivations, attitudes and job performance’, </w:t>
      </w:r>
      <w:r w:rsidRPr="00ED437B">
        <w:rPr>
          <w:rFonts w:asciiTheme="minorBidi" w:hAnsiTheme="minorBidi"/>
          <w:i/>
          <w:iCs/>
          <w:color w:val="000000" w:themeColor="text1"/>
          <w:szCs w:val="24"/>
        </w:rPr>
        <w:t>Sustainability</w:t>
      </w:r>
      <w:r w:rsidRPr="00ED437B">
        <w:rPr>
          <w:rFonts w:asciiTheme="minorBidi" w:hAnsiTheme="minorBidi"/>
          <w:color w:val="000000" w:themeColor="text1"/>
          <w:szCs w:val="24"/>
        </w:rPr>
        <w:t>, 10(5), p. 1400.</w:t>
      </w:r>
    </w:p>
    <w:p w14:paraId="691017C0" w14:textId="3A6BC2C9" w:rsidR="00CD4D7D" w:rsidRPr="00ED437B" w:rsidRDefault="00CD4D7D" w:rsidP="005F3C84">
      <w:pPr>
        <w:jc w:val="left"/>
      </w:pPr>
      <w:r w:rsidRPr="00ED437B">
        <w:rPr>
          <w:rFonts w:asciiTheme="minorBidi" w:hAnsiTheme="minorBidi"/>
          <w:color w:val="000000" w:themeColor="text1"/>
          <w:szCs w:val="24"/>
        </w:rPr>
        <w:t xml:space="preserve">Cilliers, E.J. (2017) ‘The challenge of teaching Generation Z’, </w:t>
      </w:r>
      <w:r w:rsidRPr="00ED437B">
        <w:rPr>
          <w:rFonts w:asciiTheme="minorBidi" w:hAnsiTheme="minorBidi"/>
          <w:i/>
          <w:iCs/>
          <w:color w:val="000000" w:themeColor="text1"/>
          <w:szCs w:val="24"/>
        </w:rPr>
        <w:t>People: International Journal of Social Sciences</w:t>
      </w:r>
      <w:r w:rsidRPr="00ED437B">
        <w:rPr>
          <w:rFonts w:asciiTheme="minorBidi" w:hAnsiTheme="minorBidi"/>
          <w:color w:val="000000" w:themeColor="text1"/>
          <w:szCs w:val="24"/>
        </w:rPr>
        <w:t xml:space="preserve">, 3(1), pp. 188–198. Available at: </w:t>
      </w:r>
      <w:hyperlink r:id="rId18" w:history="1">
        <w:r w:rsidRPr="00ED437B">
          <w:rPr>
            <w:rStyle w:val="Hyperlink"/>
          </w:rPr>
          <w:t>https://doi.org/10.20319/pijss.2017.31.188198</w:t>
        </w:r>
      </w:hyperlink>
      <w:r w:rsidRPr="00ED437B">
        <w:t>.</w:t>
      </w:r>
    </w:p>
    <w:p w14:paraId="2E73E37E" w14:textId="531C5B7B" w:rsidR="00CD4D7D" w:rsidRPr="00ED437B" w:rsidRDefault="00CD4D7D" w:rsidP="00DC1008">
      <w:pPr>
        <w:jc w:val="left"/>
        <w:rPr>
          <w:rFonts w:asciiTheme="minorBidi" w:hAnsiTheme="minorBidi"/>
          <w:color w:val="000000" w:themeColor="text1"/>
          <w:szCs w:val="24"/>
        </w:rPr>
      </w:pPr>
      <w:r w:rsidRPr="00ED437B">
        <w:rPr>
          <w:rFonts w:asciiTheme="minorBidi" w:hAnsiTheme="minorBidi"/>
          <w:color w:val="000000" w:themeColor="text1"/>
          <w:szCs w:val="24"/>
        </w:rPr>
        <w:t xml:space="preserve">Cooper, H.M. (1984) </w:t>
      </w:r>
      <w:r w:rsidRPr="00ED437B">
        <w:rPr>
          <w:rFonts w:asciiTheme="minorBidi" w:hAnsiTheme="minorBidi"/>
          <w:i/>
          <w:iCs/>
          <w:color w:val="000000" w:themeColor="text1"/>
          <w:szCs w:val="24"/>
        </w:rPr>
        <w:t>The integrative research review: a systematic approach</w:t>
      </w:r>
      <w:r w:rsidRPr="00ED437B">
        <w:rPr>
          <w:rFonts w:asciiTheme="minorBidi" w:hAnsiTheme="minorBidi"/>
          <w:color w:val="000000" w:themeColor="text1"/>
          <w:szCs w:val="24"/>
        </w:rPr>
        <w:t>. Sage Publications.</w:t>
      </w:r>
    </w:p>
    <w:p w14:paraId="2EEB1DEF"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Cubukcu Cerasi, C., &amp; Balcioglu, Y.S. (2024) ‘Bridging Generations and Values: Understanding Generation Z’s Organizational Preferences and the Mediating Role of Sustainability and Innovation Attitudes in Turkey’, </w:t>
      </w:r>
      <w:r w:rsidRPr="00ED437B">
        <w:rPr>
          <w:rFonts w:asciiTheme="minorBidi" w:hAnsiTheme="minorBidi"/>
          <w:i/>
          <w:iCs/>
          <w:color w:val="000000" w:themeColor="text1"/>
          <w:szCs w:val="24"/>
        </w:rPr>
        <w:t>Administrative Sciences</w:t>
      </w:r>
      <w:r w:rsidRPr="00ED437B">
        <w:rPr>
          <w:rFonts w:asciiTheme="minorBidi" w:hAnsiTheme="minorBidi"/>
          <w:color w:val="000000" w:themeColor="text1"/>
          <w:szCs w:val="24"/>
        </w:rPr>
        <w:t>, 14(9), p. 229.</w:t>
      </w:r>
    </w:p>
    <w:p w14:paraId="0CE82668"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lastRenderedPageBreak/>
        <w:t xml:space="preserve">Darby, J.L., Thornton, L.M., &amp; Davis-Sramek, B. (2025) ‘Workplace Corporate Social Irresponsibility in Supply Chain Operations: Generation and Gender Impacts on New Talent Recruitment’, </w:t>
      </w:r>
      <w:r w:rsidRPr="00ED437B">
        <w:rPr>
          <w:rFonts w:asciiTheme="minorBidi" w:hAnsiTheme="minorBidi"/>
          <w:i/>
          <w:iCs/>
          <w:color w:val="000000" w:themeColor="text1"/>
          <w:szCs w:val="24"/>
        </w:rPr>
        <w:t>Production and Operations Management</w:t>
      </w:r>
      <w:r w:rsidRPr="00ED437B">
        <w:rPr>
          <w:rFonts w:asciiTheme="minorBidi" w:hAnsiTheme="minorBidi"/>
          <w:color w:val="000000" w:themeColor="text1"/>
          <w:szCs w:val="24"/>
        </w:rPr>
        <w:t>, 34(3), pp. 436–456.</w:t>
      </w:r>
    </w:p>
    <w:p w14:paraId="205FCBFA" w14:textId="20FA7399" w:rsidR="00CD4D7D" w:rsidRPr="00ED437B" w:rsidRDefault="00CD4D7D" w:rsidP="005F3C84">
      <w:pPr>
        <w:jc w:val="left"/>
      </w:pPr>
      <w:r w:rsidRPr="00ED437B">
        <w:rPr>
          <w:rFonts w:asciiTheme="minorBidi" w:hAnsiTheme="minorBidi"/>
          <w:color w:val="000000" w:themeColor="text1"/>
          <w:szCs w:val="24"/>
        </w:rPr>
        <w:t xml:space="preserve">Deloitte (2021) </w:t>
      </w:r>
      <w:r w:rsidRPr="00ED437B">
        <w:rPr>
          <w:rFonts w:asciiTheme="minorBidi" w:hAnsiTheme="minorBidi"/>
          <w:i/>
          <w:iCs/>
          <w:color w:val="000000" w:themeColor="text1"/>
          <w:szCs w:val="24"/>
        </w:rPr>
        <w:t>2021 Deloitte Global Millennial and Gen Z Survey</w:t>
      </w:r>
      <w:r w:rsidRPr="00ED437B">
        <w:rPr>
          <w:rFonts w:asciiTheme="minorBidi" w:hAnsiTheme="minorBidi"/>
          <w:color w:val="000000" w:themeColor="text1"/>
          <w:szCs w:val="24"/>
        </w:rPr>
        <w:t xml:space="preserve">. Deloitte. Available at: </w:t>
      </w:r>
      <w:hyperlink r:id="rId19" w:history="1">
        <w:r w:rsidRPr="00ED437B">
          <w:rPr>
            <w:rStyle w:val="Hyperlink"/>
          </w:rPr>
          <w:t>https://www2.deloitte.com/global/en/pages/about-deloitte/articles/millennialsurvey.html</w:t>
        </w:r>
      </w:hyperlink>
      <w:r w:rsidRPr="00ED437B">
        <w:t>.</w:t>
      </w:r>
    </w:p>
    <w:p w14:paraId="057068B5" w14:textId="193D6961" w:rsidR="00CD4D7D" w:rsidRPr="00ED437B" w:rsidRDefault="00CD4D7D" w:rsidP="005F3C84">
      <w:pPr>
        <w:jc w:val="left"/>
      </w:pPr>
      <w:r w:rsidRPr="00ED437B">
        <w:rPr>
          <w:rFonts w:asciiTheme="minorBidi" w:hAnsiTheme="minorBidi"/>
          <w:color w:val="000000" w:themeColor="text1"/>
          <w:szCs w:val="24"/>
        </w:rPr>
        <w:t xml:space="preserve">Deloitte (2023) </w:t>
      </w:r>
      <w:r w:rsidRPr="00ED437B">
        <w:rPr>
          <w:rFonts w:asciiTheme="minorBidi" w:hAnsiTheme="minorBidi"/>
          <w:i/>
          <w:iCs/>
          <w:color w:val="000000" w:themeColor="text1"/>
          <w:szCs w:val="24"/>
        </w:rPr>
        <w:t>2023 Deloitte Gen Z and Millennial Survey</w:t>
      </w:r>
      <w:r w:rsidRPr="00ED437B">
        <w:rPr>
          <w:rFonts w:asciiTheme="minorBidi" w:hAnsiTheme="minorBidi"/>
          <w:color w:val="000000" w:themeColor="text1"/>
          <w:szCs w:val="24"/>
        </w:rPr>
        <w:t xml:space="preserve">. Deloitte. Available at: </w:t>
      </w:r>
      <w:hyperlink r:id="rId20" w:history="1">
        <w:r w:rsidRPr="00ED437B">
          <w:rPr>
            <w:rStyle w:val="Hyperlink"/>
          </w:rPr>
          <w:t>https://www2.deloitte.com/global/en/pages/about-deloitte/articles/millennialsurvey.html</w:t>
        </w:r>
      </w:hyperlink>
      <w:r w:rsidRPr="00ED437B">
        <w:t>.</w:t>
      </w:r>
    </w:p>
    <w:p w14:paraId="446D9A08" w14:textId="3048F46F"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Dimock, M. (2019) ‘Defining generations: Where Millennials end and Generation Z begins’, </w:t>
      </w:r>
      <w:r w:rsidRPr="00ED437B">
        <w:rPr>
          <w:rFonts w:asciiTheme="minorBidi" w:hAnsiTheme="minorBidi"/>
          <w:i/>
          <w:iCs/>
          <w:color w:val="000000" w:themeColor="text1"/>
          <w:szCs w:val="24"/>
        </w:rPr>
        <w:t>Pew Research Center</w:t>
      </w:r>
      <w:r w:rsidRPr="00ED437B">
        <w:rPr>
          <w:rFonts w:asciiTheme="minorBidi" w:hAnsiTheme="minorBidi"/>
          <w:color w:val="000000" w:themeColor="text1"/>
          <w:szCs w:val="24"/>
        </w:rPr>
        <w:t xml:space="preserve">. Available at: </w:t>
      </w:r>
      <w:hyperlink r:id="rId21" w:history="1">
        <w:r w:rsidRPr="00ED437B">
          <w:rPr>
            <w:rStyle w:val="Hyperlink"/>
            <w:szCs w:val="24"/>
          </w:rPr>
          <w:t>https://www.pewresearch.org/short-reads/2019/01/17/where-millennials-end-and-generation-z-begins/</w:t>
        </w:r>
      </w:hyperlink>
      <w:r w:rsidRPr="00ED437B">
        <w:rPr>
          <w:color w:val="000000" w:themeColor="text1"/>
          <w:szCs w:val="24"/>
        </w:rPr>
        <w:t>?</w:t>
      </w:r>
    </w:p>
    <w:p w14:paraId="3BBAFA2D"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Dou, X., Ma, C., &amp; Fan, A. (2025) ‘The impact of robotic integration on prospective hospitality employees: job anxiety, career intention and the moderating role of emotional intelligence’, </w:t>
      </w:r>
      <w:r w:rsidRPr="00ED437B">
        <w:rPr>
          <w:rFonts w:asciiTheme="minorBidi" w:hAnsiTheme="minorBidi"/>
          <w:i/>
          <w:iCs/>
          <w:color w:val="000000" w:themeColor="text1"/>
          <w:szCs w:val="24"/>
        </w:rPr>
        <w:t>International Journal of Contemporary Hospitality Management</w:t>
      </w:r>
      <w:r w:rsidRPr="00ED437B">
        <w:rPr>
          <w:rFonts w:asciiTheme="minorBidi" w:hAnsiTheme="minorBidi"/>
          <w:color w:val="000000" w:themeColor="text1"/>
          <w:szCs w:val="24"/>
        </w:rPr>
        <w:t>, in press.</w:t>
      </w:r>
    </w:p>
    <w:p w14:paraId="0F1C5EF3"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Eddial, H., &amp; Kirillova, K. (2025) ‘What makes a hotel an attractive employer: Generation Z vs. hotel HR professionals’, </w:t>
      </w:r>
      <w:r w:rsidRPr="00ED437B">
        <w:rPr>
          <w:rFonts w:asciiTheme="minorBidi" w:hAnsiTheme="minorBidi"/>
          <w:i/>
          <w:iCs/>
          <w:color w:val="000000" w:themeColor="text1"/>
          <w:szCs w:val="24"/>
        </w:rPr>
        <w:t>Tourism Recreation Research</w:t>
      </w:r>
      <w:r w:rsidRPr="00ED437B">
        <w:rPr>
          <w:rFonts w:asciiTheme="minorBidi" w:hAnsiTheme="minorBidi"/>
          <w:color w:val="000000" w:themeColor="text1"/>
          <w:szCs w:val="24"/>
        </w:rPr>
        <w:t>, in press.</w:t>
      </w:r>
    </w:p>
    <w:p w14:paraId="4E735882"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El Hajal, G., &amp; Losekoot, E. (2025) ‘Gen Z talent management: Hospitality industry insights’, </w:t>
      </w:r>
      <w:r w:rsidRPr="00ED437B">
        <w:rPr>
          <w:rFonts w:asciiTheme="minorBidi" w:hAnsiTheme="minorBidi"/>
          <w:i/>
          <w:iCs/>
          <w:color w:val="000000" w:themeColor="text1"/>
          <w:szCs w:val="24"/>
        </w:rPr>
        <w:t>Journal of Human Resources in Hospitality and Tourism</w:t>
      </w:r>
      <w:r w:rsidRPr="00ED437B">
        <w:rPr>
          <w:rFonts w:asciiTheme="minorBidi" w:hAnsiTheme="minorBidi"/>
          <w:color w:val="000000" w:themeColor="text1"/>
          <w:szCs w:val="24"/>
        </w:rPr>
        <w:t>, 24(1), pp. 139–162.</w:t>
      </w:r>
    </w:p>
    <w:p w14:paraId="3A1750F6" w14:textId="7CE4768D" w:rsidR="00CD4D7D" w:rsidRPr="00ED437B" w:rsidRDefault="00CD4D7D" w:rsidP="00DC1008">
      <w:pPr>
        <w:jc w:val="left"/>
        <w:rPr>
          <w:rFonts w:asciiTheme="minorBidi" w:hAnsiTheme="minorBidi"/>
          <w:color w:val="000000" w:themeColor="text1"/>
          <w:szCs w:val="24"/>
        </w:rPr>
      </w:pPr>
      <w:r w:rsidRPr="00ED437B">
        <w:rPr>
          <w:rFonts w:asciiTheme="minorBidi" w:hAnsiTheme="minorBidi"/>
          <w:color w:val="000000" w:themeColor="text1"/>
          <w:szCs w:val="24"/>
        </w:rPr>
        <w:t xml:space="preserve">Foster, M.J. and Jewell, S.T. (2017) </w:t>
      </w:r>
      <w:r w:rsidRPr="00ED437B">
        <w:rPr>
          <w:rFonts w:asciiTheme="minorBidi" w:hAnsiTheme="minorBidi"/>
          <w:i/>
          <w:iCs/>
          <w:color w:val="000000" w:themeColor="text1"/>
          <w:szCs w:val="24"/>
        </w:rPr>
        <w:t>Assembling the pieces of a systematic review: guide for librarians</w:t>
      </w:r>
      <w:r w:rsidRPr="00ED437B">
        <w:rPr>
          <w:rFonts w:asciiTheme="minorBidi" w:hAnsiTheme="minorBidi"/>
          <w:color w:val="000000" w:themeColor="text1"/>
          <w:szCs w:val="24"/>
        </w:rPr>
        <w:t>. Rowman &amp; Littlefield.</w:t>
      </w:r>
    </w:p>
    <w:p w14:paraId="2B89D020" w14:textId="108BC7BC"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Francis, T. and Hoefel, F. (2018) ‘“True Gen”: Generation Z and its implications for companies’, </w:t>
      </w:r>
      <w:r w:rsidRPr="00ED437B">
        <w:rPr>
          <w:rFonts w:asciiTheme="minorBidi" w:hAnsiTheme="minorBidi"/>
          <w:i/>
          <w:iCs/>
          <w:color w:val="000000" w:themeColor="text1"/>
          <w:szCs w:val="24"/>
        </w:rPr>
        <w:t>McKinsey &amp; Company</w:t>
      </w:r>
      <w:r w:rsidRPr="00ED437B">
        <w:rPr>
          <w:rFonts w:asciiTheme="minorBidi" w:hAnsiTheme="minorBidi"/>
          <w:color w:val="000000" w:themeColor="text1"/>
          <w:szCs w:val="24"/>
        </w:rPr>
        <w:t xml:space="preserve">. Available at: </w:t>
      </w:r>
      <w:hyperlink r:id="rId22" w:history="1">
        <w:r w:rsidRPr="00ED437B">
          <w:rPr>
            <w:rStyle w:val="Hyperlink"/>
            <w:szCs w:val="24"/>
          </w:rPr>
          <w:t>https://www.mckinsey.com/industries/consumer-packaged-goods/our-insights/true-gen-generation-z-and-its-implications-for-companies</w:t>
        </w:r>
      </w:hyperlink>
    </w:p>
    <w:p w14:paraId="61021E89"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Gabrielova, K., &amp; Buchko, A.A. (2021) ‘Here comes Generation Z: Millennials as managers’, </w:t>
      </w:r>
      <w:r w:rsidRPr="00ED437B">
        <w:rPr>
          <w:rFonts w:asciiTheme="minorBidi" w:hAnsiTheme="minorBidi"/>
          <w:i/>
          <w:iCs/>
          <w:color w:val="000000" w:themeColor="text1"/>
          <w:szCs w:val="24"/>
        </w:rPr>
        <w:t>Business Horizons</w:t>
      </w:r>
      <w:r w:rsidRPr="00ED437B">
        <w:rPr>
          <w:rFonts w:asciiTheme="minorBidi" w:hAnsiTheme="minorBidi"/>
          <w:color w:val="000000" w:themeColor="text1"/>
          <w:szCs w:val="24"/>
        </w:rPr>
        <w:t>, 64(4), pp. 489–499.</w:t>
      </w:r>
    </w:p>
    <w:p w14:paraId="295A4F7A"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lastRenderedPageBreak/>
        <w:t xml:space="preserve">Gandasari, D., Tjahjana, D., Dwidienawati, D., &amp; Ichsan, M. (2024) ‘How to attract talents? The role of CSR, employer brand, benefits and career development’, </w:t>
      </w:r>
      <w:r w:rsidRPr="00ED437B">
        <w:rPr>
          <w:rFonts w:asciiTheme="minorBidi" w:hAnsiTheme="minorBidi"/>
          <w:i/>
          <w:iCs/>
          <w:color w:val="000000" w:themeColor="text1"/>
          <w:szCs w:val="24"/>
        </w:rPr>
        <w:t>Cogent Business and Management</w:t>
      </w:r>
      <w:r w:rsidRPr="00ED437B">
        <w:rPr>
          <w:rFonts w:asciiTheme="minorBidi" w:hAnsiTheme="minorBidi"/>
          <w:color w:val="000000" w:themeColor="text1"/>
          <w:szCs w:val="24"/>
        </w:rPr>
        <w:t>, 11(1), p. 2323774.</w:t>
      </w:r>
    </w:p>
    <w:p w14:paraId="08A7CFC5"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Goh, E., &amp; Okumus, F. (2020) ‘Avoiding the hospitality workforce bubble: Strategies to attract and retain generation Z talent in the hospitality workforce’, </w:t>
      </w:r>
      <w:r w:rsidRPr="00ED437B">
        <w:rPr>
          <w:rFonts w:asciiTheme="minorBidi" w:hAnsiTheme="minorBidi"/>
          <w:i/>
          <w:iCs/>
          <w:color w:val="000000" w:themeColor="text1"/>
          <w:szCs w:val="24"/>
        </w:rPr>
        <w:t>Tourism Management Perspectives</w:t>
      </w:r>
      <w:r w:rsidRPr="00ED437B">
        <w:rPr>
          <w:rFonts w:asciiTheme="minorBidi" w:hAnsiTheme="minorBidi"/>
          <w:color w:val="000000" w:themeColor="text1"/>
          <w:szCs w:val="24"/>
        </w:rPr>
        <w:t>, 33, p. 100603.</w:t>
      </w:r>
    </w:p>
    <w:p w14:paraId="28DA60E1" w14:textId="77777777" w:rsidR="00CD4D7D" w:rsidRPr="00ED437B" w:rsidRDefault="00CD4D7D" w:rsidP="00DC1008">
      <w:pPr>
        <w:jc w:val="left"/>
        <w:rPr>
          <w:rFonts w:asciiTheme="minorBidi" w:hAnsiTheme="minorBidi"/>
          <w:color w:val="000000" w:themeColor="text1"/>
          <w:szCs w:val="24"/>
        </w:rPr>
      </w:pPr>
      <w:r w:rsidRPr="00ED437B">
        <w:rPr>
          <w:rFonts w:asciiTheme="minorBidi" w:hAnsiTheme="minorBidi"/>
          <w:color w:val="000000" w:themeColor="text1"/>
          <w:szCs w:val="24"/>
        </w:rPr>
        <w:t xml:space="preserve">Gough, D.A., Oliver, S. and Thomas, J. (2017) </w:t>
      </w:r>
      <w:r w:rsidRPr="00ED437B">
        <w:rPr>
          <w:rFonts w:asciiTheme="minorBidi" w:hAnsiTheme="minorBidi"/>
          <w:i/>
          <w:iCs/>
          <w:color w:val="000000" w:themeColor="text1"/>
          <w:szCs w:val="24"/>
        </w:rPr>
        <w:t>An introduction to systematic reviews</w:t>
      </w:r>
      <w:r w:rsidRPr="00ED437B">
        <w:rPr>
          <w:rFonts w:asciiTheme="minorBidi" w:hAnsiTheme="minorBidi"/>
          <w:color w:val="000000" w:themeColor="text1"/>
          <w:szCs w:val="24"/>
        </w:rPr>
        <w:t>. Sage.</w:t>
      </w:r>
    </w:p>
    <w:p w14:paraId="5CC366F0"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Graczyk-Kucharska, M., &amp; Erickson, G.S. (2020) ‘A person-organization fit model of Generation Z: Preliminary studies’, </w:t>
      </w:r>
      <w:r w:rsidRPr="00ED437B">
        <w:rPr>
          <w:rFonts w:asciiTheme="minorBidi" w:hAnsiTheme="minorBidi"/>
          <w:i/>
          <w:iCs/>
          <w:color w:val="000000" w:themeColor="text1"/>
          <w:szCs w:val="24"/>
        </w:rPr>
        <w:t>Journal of Entrepreneurship Management and Innovation</w:t>
      </w:r>
      <w:r w:rsidRPr="00ED437B">
        <w:rPr>
          <w:rFonts w:asciiTheme="minorBidi" w:hAnsiTheme="minorBidi"/>
          <w:color w:val="000000" w:themeColor="text1"/>
          <w:szCs w:val="24"/>
        </w:rPr>
        <w:t>, 16(4), pp. 149–176.</w:t>
      </w:r>
    </w:p>
    <w:p w14:paraId="4F50DECD"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Grow, J.M., &amp; Yang, S. (2018) ‘Generation-Z Enters the Advertising Workplace: Expectations Through a Gendered Lens’, </w:t>
      </w:r>
      <w:r w:rsidRPr="00ED437B">
        <w:rPr>
          <w:rFonts w:asciiTheme="minorBidi" w:hAnsiTheme="minorBidi"/>
          <w:i/>
          <w:iCs/>
          <w:color w:val="000000" w:themeColor="text1"/>
          <w:szCs w:val="24"/>
        </w:rPr>
        <w:t>Journal of Advertising Education</w:t>
      </w:r>
      <w:r w:rsidRPr="00ED437B">
        <w:rPr>
          <w:rFonts w:asciiTheme="minorBidi" w:hAnsiTheme="minorBidi"/>
          <w:color w:val="000000" w:themeColor="text1"/>
          <w:szCs w:val="24"/>
        </w:rPr>
        <w:t>, 22(1), pp. 7–22.</w:t>
      </w:r>
    </w:p>
    <w:p w14:paraId="6C80419A" w14:textId="21E3CB8B" w:rsidR="00CD4D7D" w:rsidRPr="00ED437B" w:rsidRDefault="00CD4D7D" w:rsidP="00DC1008">
      <w:pPr>
        <w:jc w:val="left"/>
        <w:rPr>
          <w:color w:val="000000" w:themeColor="text1"/>
          <w:szCs w:val="24"/>
        </w:rPr>
      </w:pPr>
      <w:r w:rsidRPr="00ED437B">
        <w:rPr>
          <w:rFonts w:asciiTheme="minorBidi" w:hAnsiTheme="minorBidi"/>
          <w:color w:val="000000" w:themeColor="text1"/>
          <w:szCs w:val="24"/>
        </w:rPr>
        <w:t xml:space="preserve">Gusenbauer, M. and Gauster, S.P. (2024) ‘How to Search for Literature in Systematic Reviews and meta-analyses: a Comprehensive step-by-step Guide’, </w:t>
      </w:r>
      <w:r w:rsidRPr="00ED437B">
        <w:rPr>
          <w:rFonts w:asciiTheme="minorBidi" w:hAnsiTheme="minorBidi"/>
          <w:i/>
          <w:iCs/>
          <w:color w:val="000000" w:themeColor="text1"/>
          <w:szCs w:val="24"/>
        </w:rPr>
        <w:t>Technological Forecasting and Social Change</w:t>
      </w:r>
      <w:r w:rsidRPr="00ED437B">
        <w:rPr>
          <w:rFonts w:asciiTheme="minorBidi" w:hAnsiTheme="minorBidi"/>
          <w:color w:val="000000" w:themeColor="text1"/>
          <w:szCs w:val="24"/>
        </w:rPr>
        <w:t xml:space="preserve">, 212, p. 123833. Available at: </w:t>
      </w:r>
      <w:hyperlink r:id="rId23" w:history="1">
        <w:r w:rsidRPr="00ED437B">
          <w:rPr>
            <w:rStyle w:val="Hyperlink"/>
            <w:szCs w:val="24"/>
          </w:rPr>
          <w:t>https://doi.org/10.1016/j.techfore.2024.123833</w:t>
        </w:r>
      </w:hyperlink>
      <w:r w:rsidRPr="00ED437B">
        <w:rPr>
          <w:rFonts w:asciiTheme="minorBidi" w:hAnsiTheme="minorBidi"/>
          <w:color w:val="000000" w:themeColor="text1"/>
          <w:szCs w:val="24"/>
        </w:rPr>
        <w:t>.</w:t>
      </w:r>
    </w:p>
    <w:p w14:paraId="0F6196B4"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Guslina, I., Rinzani, A., Mantong, J., Moeins, A., &amp; Kabul, E.R. (2025) ‘A Quantitative Study on Leadership and Gen Z's Job Satisfaction: Its Impact on Employee Retention in The Private Sector in Indonesia’, </w:t>
      </w:r>
      <w:r w:rsidRPr="00ED437B">
        <w:rPr>
          <w:rFonts w:asciiTheme="minorBidi" w:hAnsiTheme="minorBidi"/>
          <w:i/>
          <w:iCs/>
          <w:color w:val="000000" w:themeColor="text1"/>
          <w:szCs w:val="24"/>
        </w:rPr>
        <w:t>International Journal of Accounting and Economics Studies</w:t>
      </w:r>
      <w:r w:rsidRPr="00ED437B">
        <w:rPr>
          <w:rFonts w:asciiTheme="minorBidi" w:hAnsiTheme="minorBidi"/>
          <w:color w:val="000000" w:themeColor="text1"/>
          <w:szCs w:val="24"/>
        </w:rPr>
        <w:t>, 12(5), pp. 188–195.</w:t>
      </w:r>
    </w:p>
    <w:p w14:paraId="2DDF1E48" w14:textId="77777777" w:rsidR="00CD4D7D" w:rsidRPr="00ED437B" w:rsidRDefault="00CD4D7D" w:rsidP="00DC1008">
      <w:pPr>
        <w:jc w:val="left"/>
        <w:rPr>
          <w:rFonts w:asciiTheme="minorBidi" w:hAnsiTheme="minorBidi"/>
          <w:color w:val="000000" w:themeColor="text1"/>
          <w:szCs w:val="24"/>
        </w:rPr>
      </w:pPr>
      <w:r w:rsidRPr="00ED437B">
        <w:rPr>
          <w:rFonts w:asciiTheme="minorBidi" w:hAnsiTheme="minorBidi"/>
          <w:color w:val="000000" w:themeColor="text1"/>
          <w:szCs w:val="24"/>
        </w:rPr>
        <w:t xml:space="preserve">Higgins, J.P.T. and Green, S. (2019) </w:t>
      </w:r>
      <w:r w:rsidRPr="00ED437B">
        <w:rPr>
          <w:rFonts w:asciiTheme="minorBidi" w:hAnsiTheme="minorBidi"/>
          <w:i/>
          <w:iCs/>
          <w:color w:val="000000" w:themeColor="text1"/>
          <w:szCs w:val="24"/>
        </w:rPr>
        <w:t>Cochrane Handbook for Systematic Reviews of Interventions</w:t>
      </w:r>
      <w:r w:rsidRPr="00ED437B">
        <w:rPr>
          <w:rFonts w:asciiTheme="minorBidi" w:hAnsiTheme="minorBidi"/>
          <w:color w:val="000000" w:themeColor="text1"/>
          <w:szCs w:val="24"/>
        </w:rPr>
        <w:t>. Wiley-Blackwell.</w:t>
      </w:r>
    </w:p>
    <w:p w14:paraId="63996E0C"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Holban, C., &amp; Bedrule-Grigoruţǎ, M.V. (2025) ‘Talent Management Strategies for Generation Z: An Exploratory Study in Romanian Organizations’, </w:t>
      </w:r>
      <w:r w:rsidRPr="00ED437B">
        <w:rPr>
          <w:rFonts w:asciiTheme="minorBidi" w:hAnsiTheme="minorBidi"/>
          <w:i/>
          <w:iCs/>
          <w:color w:val="000000" w:themeColor="text1"/>
          <w:szCs w:val="24"/>
        </w:rPr>
        <w:t>Studies in Business and Economics</w:t>
      </w:r>
      <w:r w:rsidRPr="00ED437B">
        <w:rPr>
          <w:rFonts w:asciiTheme="minorBidi" w:hAnsiTheme="minorBidi"/>
          <w:color w:val="000000" w:themeColor="text1"/>
          <w:szCs w:val="24"/>
        </w:rPr>
        <w:t>, 20(1), pp. 304–318.</w:t>
      </w:r>
    </w:p>
    <w:p w14:paraId="032B8DE4" w14:textId="38EF0732" w:rsidR="00CD4D7D" w:rsidRPr="00ED437B" w:rsidRDefault="00CD4D7D" w:rsidP="005F3C84">
      <w:pPr>
        <w:jc w:val="left"/>
      </w:pPr>
      <w:r w:rsidRPr="00ED437B">
        <w:rPr>
          <w:rFonts w:asciiTheme="minorBidi" w:hAnsiTheme="minorBidi"/>
          <w:color w:val="000000" w:themeColor="text1"/>
          <w:szCs w:val="24"/>
        </w:rPr>
        <w:t xml:space="preserve">Janssen, D., &amp; Carradini, S. (2021) ‘Generation Z Workplace Communication Habits and Expectations’, </w:t>
      </w:r>
      <w:r w:rsidRPr="00ED437B">
        <w:rPr>
          <w:rFonts w:asciiTheme="minorBidi" w:hAnsiTheme="minorBidi"/>
          <w:i/>
          <w:iCs/>
          <w:color w:val="000000" w:themeColor="text1"/>
          <w:szCs w:val="24"/>
        </w:rPr>
        <w:t>IEEE Transactions on Professional Communication</w:t>
      </w:r>
      <w:r w:rsidRPr="00ED437B">
        <w:rPr>
          <w:rFonts w:asciiTheme="minorBidi" w:hAnsiTheme="minorBidi"/>
          <w:color w:val="000000" w:themeColor="text1"/>
          <w:szCs w:val="24"/>
        </w:rPr>
        <w:t xml:space="preserve">, 64(2), pp. 137–153. Available at: </w:t>
      </w:r>
      <w:hyperlink r:id="rId24" w:history="1">
        <w:r w:rsidRPr="00ED437B">
          <w:rPr>
            <w:rStyle w:val="Hyperlink"/>
          </w:rPr>
          <w:t>https://doi.org/10.1109/TPC.2021.3069288</w:t>
        </w:r>
      </w:hyperlink>
      <w:r w:rsidRPr="00ED437B">
        <w:t>.</w:t>
      </w:r>
    </w:p>
    <w:p w14:paraId="27EBDFE0" w14:textId="39FEE888" w:rsidR="00CD4D7D" w:rsidRPr="00ED437B" w:rsidRDefault="00CD4D7D" w:rsidP="005F3C84">
      <w:pPr>
        <w:jc w:val="left"/>
        <w:rPr>
          <w:rFonts w:asciiTheme="minorBidi" w:hAnsiTheme="minorBidi"/>
        </w:rPr>
      </w:pPr>
      <w:r w:rsidRPr="00ED437B">
        <w:rPr>
          <w:rFonts w:asciiTheme="minorBidi" w:hAnsiTheme="minorBidi"/>
          <w:color w:val="000000" w:themeColor="text1"/>
          <w:szCs w:val="24"/>
        </w:rPr>
        <w:lastRenderedPageBreak/>
        <w:t xml:space="preserve">Jasmine, J.A., &amp; Utomo, P. (2024) ‘The role of transformational leadership, work-life balance, and employee engagement on Gen Z's organizational commitment in the Indonesian creative industry’, </w:t>
      </w:r>
      <w:r w:rsidRPr="00ED437B">
        <w:rPr>
          <w:rFonts w:asciiTheme="minorBidi" w:hAnsiTheme="minorBidi"/>
          <w:i/>
          <w:iCs/>
          <w:color w:val="000000" w:themeColor="text1"/>
          <w:szCs w:val="24"/>
        </w:rPr>
        <w:t>Problems and Perspectives in Management</w:t>
      </w:r>
      <w:r w:rsidRPr="00ED437B">
        <w:rPr>
          <w:rFonts w:asciiTheme="minorBidi" w:hAnsiTheme="minorBidi"/>
          <w:color w:val="000000" w:themeColor="text1"/>
          <w:szCs w:val="24"/>
        </w:rPr>
        <w:t>, 22(4), pp. 576–587.</w:t>
      </w:r>
    </w:p>
    <w:p w14:paraId="1EF849F3"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Kgarimetsa, T.S., &amp; Naidoo, C. (2024) ‘Effect of employee recognition and flexible working arrangement on Generation Z retention’, </w:t>
      </w:r>
      <w:r w:rsidRPr="00ED437B">
        <w:rPr>
          <w:rFonts w:asciiTheme="minorBidi" w:hAnsiTheme="minorBidi"/>
          <w:i/>
          <w:iCs/>
          <w:color w:val="000000" w:themeColor="text1"/>
          <w:szCs w:val="24"/>
        </w:rPr>
        <w:t>SA Journal of Human Resource Management</w:t>
      </w:r>
      <w:r w:rsidRPr="00ED437B">
        <w:rPr>
          <w:rFonts w:asciiTheme="minorBidi" w:hAnsiTheme="minorBidi"/>
          <w:color w:val="000000" w:themeColor="text1"/>
          <w:szCs w:val="24"/>
        </w:rPr>
        <w:t>, 22, p. a2770.</w:t>
      </w:r>
    </w:p>
    <w:p w14:paraId="3639C43F"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Kitchenham, B. (2004) </w:t>
      </w:r>
      <w:r w:rsidRPr="00ED437B">
        <w:rPr>
          <w:rFonts w:asciiTheme="minorBidi" w:hAnsiTheme="minorBidi"/>
          <w:i/>
          <w:iCs/>
          <w:color w:val="000000" w:themeColor="text1"/>
          <w:szCs w:val="24"/>
        </w:rPr>
        <w:t>Procedures for performing systematic reviews</w:t>
      </w:r>
      <w:r w:rsidRPr="00ED437B">
        <w:rPr>
          <w:rFonts w:asciiTheme="minorBidi" w:hAnsiTheme="minorBidi"/>
          <w:color w:val="000000" w:themeColor="text1"/>
          <w:szCs w:val="24"/>
        </w:rPr>
        <w:t>. Keele, UK: Keele University.</w:t>
      </w:r>
    </w:p>
    <w:p w14:paraId="612A7DFA"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Krishna, S.M., &amp; Agrawal, S. (2025) ‘Creative Performance of Millennials and Generation Z: What Matters More, Intrinsic or Extrinsic Rewards?’, </w:t>
      </w:r>
      <w:r w:rsidRPr="00ED437B">
        <w:rPr>
          <w:rFonts w:asciiTheme="minorBidi" w:hAnsiTheme="minorBidi"/>
          <w:i/>
          <w:iCs/>
          <w:color w:val="000000" w:themeColor="text1"/>
          <w:szCs w:val="24"/>
        </w:rPr>
        <w:t>Administrative Sciences</w:t>
      </w:r>
      <w:r w:rsidRPr="00ED437B">
        <w:rPr>
          <w:rFonts w:asciiTheme="minorBidi" w:hAnsiTheme="minorBidi"/>
          <w:color w:val="000000" w:themeColor="text1"/>
          <w:szCs w:val="24"/>
        </w:rPr>
        <w:t>, 15(1), p. 11.</w:t>
      </w:r>
    </w:p>
    <w:p w14:paraId="362FB889"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Lašáková, A., Vojteková, M., &amp; Procházková, L. (2023) ‘What (De)motivates Gen Z Women and Gen Z Men at Work? Comparative Study of Gender Differences in the Young Generation’s Motivation’, </w:t>
      </w:r>
      <w:r w:rsidRPr="00ED437B">
        <w:rPr>
          <w:rFonts w:asciiTheme="minorBidi" w:hAnsiTheme="minorBidi"/>
          <w:i/>
          <w:iCs/>
          <w:color w:val="000000" w:themeColor="text1"/>
          <w:szCs w:val="24"/>
        </w:rPr>
        <w:t>Journal of Business Economics and Management</w:t>
      </w:r>
      <w:r w:rsidRPr="00ED437B">
        <w:rPr>
          <w:rFonts w:asciiTheme="minorBidi" w:hAnsiTheme="minorBidi"/>
          <w:color w:val="000000" w:themeColor="text1"/>
          <w:szCs w:val="24"/>
        </w:rPr>
        <w:t>, 24(4), pp. 771–796.</w:t>
      </w:r>
    </w:p>
    <w:p w14:paraId="5FC73C01"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Li, P., Chen, T., Zhang, H., Wang, S., &amp; Huang, Z. (2025) ‘Unlocking Illegitimate Tasks in Generation Z Hotel Employees: Exploring Their Impact on Work Meaningfulness and Adaptive Performance’, </w:t>
      </w:r>
      <w:r w:rsidRPr="00ED437B">
        <w:rPr>
          <w:rFonts w:asciiTheme="minorBidi" w:hAnsiTheme="minorBidi"/>
          <w:i/>
          <w:iCs/>
          <w:color w:val="000000" w:themeColor="text1"/>
          <w:szCs w:val="24"/>
        </w:rPr>
        <w:t>International Journal of Hospitality and Tourism Administration</w:t>
      </w:r>
      <w:r w:rsidRPr="00ED437B">
        <w:rPr>
          <w:rFonts w:asciiTheme="minorBidi" w:hAnsiTheme="minorBidi"/>
          <w:color w:val="000000" w:themeColor="text1"/>
          <w:szCs w:val="24"/>
        </w:rPr>
        <w:t>, in press.</w:t>
      </w:r>
    </w:p>
    <w:p w14:paraId="7955E334"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Liu-Lastres, B., Karatepe, O.M., &amp; Okumus, F. (2024) ‘Combating quiet quitting: implications for future research and practices for talent management’, </w:t>
      </w:r>
      <w:r w:rsidRPr="00ED437B">
        <w:rPr>
          <w:rFonts w:asciiTheme="minorBidi" w:hAnsiTheme="minorBidi"/>
          <w:i/>
          <w:iCs/>
          <w:color w:val="000000" w:themeColor="text1"/>
          <w:szCs w:val="24"/>
        </w:rPr>
        <w:t>International Journal of Contemporary Hospitality Management</w:t>
      </w:r>
      <w:r w:rsidRPr="00ED437B">
        <w:rPr>
          <w:rFonts w:asciiTheme="minorBidi" w:hAnsiTheme="minorBidi"/>
          <w:color w:val="000000" w:themeColor="text1"/>
          <w:szCs w:val="24"/>
        </w:rPr>
        <w:t>, 36(1), pp. 13–24.</w:t>
      </w:r>
    </w:p>
    <w:p w14:paraId="6EFA30DB"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Mabaso, C. (2025) ‘Reward preferences to attract and retain Generation Z’, </w:t>
      </w:r>
      <w:r w:rsidRPr="00ED437B">
        <w:rPr>
          <w:rFonts w:asciiTheme="minorBidi" w:hAnsiTheme="minorBidi"/>
          <w:i/>
          <w:iCs/>
          <w:color w:val="000000" w:themeColor="text1"/>
          <w:szCs w:val="24"/>
        </w:rPr>
        <w:t>Acta Commercii</w:t>
      </w:r>
      <w:r w:rsidRPr="00ED437B">
        <w:rPr>
          <w:rFonts w:asciiTheme="minorBidi" w:hAnsiTheme="minorBidi"/>
          <w:color w:val="000000" w:themeColor="text1"/>
          <w:szCs w:val="24"/>
        </w:rPr>
        <w:t>, 25(1), p. a1345.</w:t>
      </w:r>
    </w:p>
    <w:p w14:paraId="0F314237" w14:textId="1535A08F"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Moher, D., Liberati, A., Tetzlaff, J. and Altman, D.G. (2009) ‘Preferred reporting items for systematic reviews and meta-analyses: The PRISMA statement’, </w:t>
      </w:r>
      <w:r w:rsidRPr="00ED437B">
        <w:rPr>
          <w:rFonts w:asciiTheme="minorBidi" w:hAnsiTheme="minorBidi"/>
          <w:i/>
          <w:iCs/>
          <w:color w:val="000000" w:themeColor="text1"/>
          <w:szCs w:val="24"/>
        </w:rPr>
        <w:t>PLoS Medicine</w:t>
      </w:r>
      <w:r w:rsidRPr="00ED437B">
        <w:rPr>
          <w:rFonts w:asciiTheme="minorBidi" w:hAnsiTheme="minorBidi"/>
          <w:color w:val="000000" w:themeColor="text1"/>
          <w:szCs w:val="24"/>
        </w:rPr>
        <w:t xml:space="preserve">, 6(7), p. e1000097. Available at: </w:t>
      </w:r>
      <w:hyperlink r:id="rId25" w:history="1">
        <w:r w:rsidRPr="00ED437B">
          <w:rPr>
            <w:rStyle w:val="Hyperlink"/>
            <w:szCs w:val="24"/>
          </w:rPr>
          <w:t>https://doi.org/10.1371/journal.pmed.1000097</w:t>
        </w:r>
      </w:hyperlink>
      <w:r w:rsidRPr="00ED437B">
        <w:rPr>
          <w:color w:val="000000" w:themeColor="text1"/>
          <w:szCs w:val="24"/>
        </w:rPr>
        <w:t>.</w:t>
      </w:r>
    </w:p>
    <w:p w14:paraId="6FC5E6CF"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Nguyen Ngoc, T., Viet Dung, M., Rowley, C., &amp; Pejić Bach, M. (2022) ‘Generation Z job seekers’ expectations and their job pursuit intention: Evidence from transition and </w:t>
      </w:r>
      <w:r w:rsidRPr="00ED437B">
        <w:rPr>
          <w:rFonts w:asciiTheme="minorBidi" w:hAnsiTheme="minorBidi"/>
          <w:color w:val="000000" w:themeColor="text1"/>
          <w:szCs w:val="24"/>
        </w:rPr>
        <w:lastRenderedPageBreak/>
        <w:t xml:space="preserve">emerging economy’, </w:t>
      </w:r>
      <w:r w:rsidRPr="00ED437B">
        <w:rPr>
          <w:rFonts w:asciiTheme="minorBidi" w:hAnsiTheme="minorBidi"/>
          <w:i/>
          <w:iCs/>
          <w:color w:val="000000" w:themeColor="text1"/>
          <w:szCs w:val="24"/>
        </w:rPr>
        <w:t>International Journal of Engineering Business Management</w:t>
      </w:r>
      <w:r w:rsidRPr="00ED437B">
        <w:rPr>
          <w:rFonts w:asciiTheme="minorBidi" w:hAnsiTheme="minorBidi"/>
          <w:color w:val="000000" w:themeColor="text1"/>
          <w:szCs w:val="24"/>
        </w:rPr>
        <w:t>, 14, pp. 1–13.</w:t>
      </w:r>
    </w:p>
    <w:p w14:paraId="16348132"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Nguyen, M.T., &amp; Petchsawang, P. (2024) ‘Encouraging employees’ innovative behavior via the mediating effect of work engagement and the moderating effect of their proactive personality: the case of Generation Z in Vietnam’, </w:t>
      </w:r>
      <w:r w:rsidRPr="00ED437B">
        <w:rPr>
          <w:rFonts w:asciiTheme="minorBidi" w:hAnsiTheme="minorBidi"/>
          <w:i/>
          <w:iCs/>
          <w:color w:val="000000" w:themeColor="text1"/>
          <w:szCs w:val="24"/>
        </w:rPr>
        <w:t>Cogent Business and Management</w:t>
      </w:r>
      <w:r w:rsidRPr="00ED437B">
        <w:rPr>
          <w:rFonts w:asciiTheme="minorBidi" w:hAnsiTheme="minorBidi"/>
          <w:color w:val="000000" w:themeColor="text1"/>
          <w:szCs w:val="24"/>
        </w:rPr>
        <w:t>, 11(1), p. 2301162.</w:t>
      </w:r>
    </w:p>
    <w:p w14:paraId="774D2783"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O’connor, J.J., &amp; Rinella, J. (2024) ‘Navigating the Modern Workplace: A Case Study of Motivation-Hygiene Theory for a Gen Z Workforce’, </w:t>
      </w:r>
      <w:r w:rsidRPr="00ED437B">
        <w:rPr>
          <w:rFonts w:asciiTheme="minorBidi" w:hAnsiTheme="minorBidi"/>
          <w:i/>
          <w:iCs/>
          <w:color w:val="000000" w:themeColor="text1"/>
          <w:szCs w:val="24"/>
        </w:rPr>
        <w:t>Journal of Organizational Behavior Education</w:t>
      </w:r>
      <w:r w:rsidRPr="00ED437B">
        <w:rPr>
          <w:rFonts w:asciiTheme="minorBidi" w:hAnsiTheme="minorBidi"/>
          <w:color w:val="000000" w:themeColor="text1"/>
          <w:szCs w:val="24"/>
        </w:rPr>
        <w:t>, 17, pp. 5–18.</w:t>
      </w:r>
    </w:p>
    <w:p w14:paraId="4443AD73" w14:textId="2E7B3108"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Osorio, M.L., &amp; Madero, S. (2025) ‘Explaining Gen Z’s desire for hybrid work in corporate, family, and entrepreneurial settings’, </w:t>
      </w:r>
      <w:r w:rsidRPr="00ED437B">
        <w:rPr>
          <w:rFonts w:asciiTheme="minorBidi" w:hAnsiTheme="minorBidi"/>
          <w:i/>
          <w:iCs/>
          <w:color w:val="000000" w:themeColor="text1"/>
          <w:szCs w:val="24"/>
        </w:rPr>
        <w:t>Business Horizons</w:t>
      </w:r>
      <w:r w:rsidRPr="00ED437B">
        <w:rPr>
          <w:rFonts w:asciiTheme="minorBidi" w:hAnsiTheme="minorBidi"/>
          <w:color w:val="000000" w:themeColor="text1"/>
          <w:szCs w:val="24"/>
        </w:rPr>
        <w:t xml:space="preserve">, 68(1), pp. 83–93. Available at: </w:t>
      </w:r>
      <w:hyperlink r:id="rId26" w:history="1">
        <w:r w:rsidRPr="00ED437B">
          <w:rPr>
            <w:rStyle w:val="Hyperlink"/>
            <w:szCs w:val="24"/>
          </w:rPr>
          <w:t>https://doi.org/10.1016/j.bushor.2024.02.008</w:t>
        </w:r>
      </w:hyperlink>
      <w:r w:rsidRPr="00ED437B">
        <w:rPr>
          <w:color w:val="000000" w:themeColor="text1"/>
          <w:szCs w:val="24"/>
        </w:rPr>
        <w:t>.</w:t>
      </w:r>
    </w:p>
    <w:p w14:paraId="08D1737E" w14:textId="594DA452" w:rsidR="00CD4D7D" w:rsidRPr="00ED437B" w:rsidRDefault="00CD4D7D" w:rsidP="00DC1008">
      <w:pPr>
        <w:jc w:val="left"/>
        <w:rPr>
          <w:color w:val="000000" w:themeColor="text1"/>
          <w:szCs w:val="24"/>
        </w:rPr>
      </w:pPr>
      <w:r w:rsidRPr="00ED437B">
        <w:rPr>
          <w:rFonts w:asciiTheme="minorBidi" w:hAnsiTheme="minorBidi"/>
          <w:color w:val="000000" w:themeColor="text1"/>
          <w:szCs w:val="24"/>
        </w:rPr>
        <w:t xml:space="preserve">Page, M.J. </w:t>
      </w:r>
      <w:r w:rsidR="000C3E28" w:rsidRPr="00ED437B">
        <w:rPr>
          <w:i/>
          <w:iCs/>
          <w:color w:val="000000" w:themeColor="text1"/>
          <w:szCs w:val="24"/>
        </w:rPr>
        <w:t>et al</w:t>
      </w:r>
      <w:r w:rsidRPr="00ED437B">
        <w:rPr>
          <w:rFonts w:asciiTheme="minorBidi" w:hAnsiTheme="minorBidi"/>
          <w:i/>
          <w:iCs/>
          <w:color w:val="000000" w:themeColor="text1"/>
          <w:szCs w:val="24"/>
        </w:rPr>
        <w:t>.</w:t>
      </w:r>
      <w:r w:rsidRPr="00ED437B">
        <w:rPr>
          <w:rFonts w:asciiTheme="minorBidi" w:hAnsiTheme="minorBidi"/>
          <w:color w:val="000000" w:themeColor="text1"/>
          <w:szCs w:val="24"/>
        </w:rPr>
        <w:t xml:space="preserve"> (2021) ‘The PRISMA 2020 statement: an Updated Guideline for Reporting Systematic Reviews’, </w:t>
      </w:r>
      <w:r w:rsidRPr="00ED437B">
        <w:rPr>
          <w:rFonts w:asciiTheme="minorBidi" w:hAnsiTheme="minorBidi"/>
          <w:i/>
          <w:iCs/>
          <w:color w:val="000000" w:themeColor="text1"/>
          <w:szCs w:val="24"/>
        </w:rPr>
        <w:t>Systematic Reviews</w:t>
      </w:r>
      <w:r w:rsidRPr="00ED437B">
        <w:rPr>
          <w:rFonts w:asciiTheme="minorBidi" w:hAnsiTheme="minorBidi"/>
          <w:color w:val="000000" w:themeColor="text1"/>
          <w:szCs w:val="24"/>
        </w:rPr>
        <w:t xml:space="preserve">, 10(1). Available at: </w:t>
      </w:r>
      <w:hyperlink r:id="rId27" w:history="1">
        <w:r w:rsidR="002579FC" w:rsidRPr="00ED437B">
          <w:rPr>
            <w:rStyle w:val="Hyperlink"/>
            <w:szCs w:val="24"/>
          </w:rPr>
          <w:t>https://doi.org/10.1186/s13643-021-01626-4</w:t>
        </w:r>
      </w:hyperlink>
      <w:r w:rsidR="002579FC" w:rsidRPr="00ED437B">
        <w:rPr>
          <w:color w:val="000000" w:themeColor="text1"/>
          <w:szCs w:val="24"/>
        </w:rPr>
        <w:t>.</w:t>
      </w:r>
    </w:p>
    <w:p w14:paraId="1D539859" w14:textId="142E2A22" w:rsidR="00CD4D7D" w:rsidRPr="00ED437B" w:rsidRDefault="00CD4D7D" w:rsidP="005F3C84">
      <w:pPr>
        <w:jc w:val="left"/>
      </w:pPr>
      <w:r w:rsidRPr="00ED437B">
        <w:rPr>
          <w:rFonts w:asciiTheme="minorBidi" w:hAnsiTheme="minorBidi"/>
          <w:color w:val="000000" w:themeColor="text1"/>
          <w:szCs w:val="24"/>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ED437B">
        <w:rPr>
          <w:rFonts w:asciiTheme="minorBidi" w:hAnsiTheme="minorBidi"/>
          <w:i/>
          <w:iCs/>
          <w:color w:val="000000" w:themeColor="text1"/>
          <w:szCs w:val="24"/>
        </w:rPr>
        <w:t>BMJ</w:t>
      </w:r>
      <w:r w:rsidRPr="00ED437B">
        <w:rPr>
          <w:rFonts w:asciiTheme="minorBidi" w:hAnsiTheme="minorBidi"/>
          <w:color w:val="000000" w:themeColor="text1"/>
          <w:szCs w:val="24"/>
        </w:rPr>
        <w:t xml:space="preserve">, 372, n71. Available at: </w:t>
      </w:r>
      <w:hyperlink r:id="rId28" w:history="1">
        <w:r w:rsidRPr="00ED437B">
          <w:rPr>
            <w:rStyle w:val="Hyperlink"/>
          </w:rPr>
          <w:t>https://doi.org/10.1136/bmj.n71</w:t>
        </w:r>
      </w:hyperlink>
      <w:r w:rsidRPr="00ED437B">
        <w:t>.</w:t>
      </w:r>
    </w:p>
    <w:p w14:paraId="02C560E1"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Pandita, D. (2022) ‘Innovation in talent management practices: creating an innovative employer branding strategy to attract generation Z’, </w:t>
      </w:r>
      <w:r w:rsidRPr="00ED437B">
        <w:rPr>
          <w:rFonts w:asciiTheme="minorBidi" w:hAnsiTheme="minorBidi"/>
          <w:i/>
          <w:iCs/>
          <w:color w:val="000000" w:themeColor="text1"/>
          <w:szCs w:val="24"/>
        </w:rPr>
        <w:t>International Journal of Innovation Science</w:t>
      </w:r>
      <w:r w:rsidRPr="00ED437B">
        <w:rPr>
          <w:rFonts w:asciiTheme="minorBidi" w:hAnsiTheme="minorBidi"/>
          <w:color w:val="000000" w:themeColor="text1"/>
          <w:szCs w:val="24"/>
        </w:rPr>
        <w:t>, 14(3–4), pp. 556–569.</w:t>
      </w:r>
    </w:p>
    <w:p w14:paraId="6922582D"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Pandita, D., &amp; Khatwani, R. (2022) ‘Creating Sustainable Engagement Practices for Generation Z: Role of CSR in Organizations’, </w:t>
      </w:r>
      <w:r w:rsidRPr="00ED437B">
        <w:rPr>
          <w:rFonts w:asciiTheme="minorBidi" w:hAnsiTheme="minorBidi"/>
          <w:i/>
          <w:iCs/>
          <w:color w:val="000000" w:themeColor="text1"/>
          <w:szCs w:val="24"/>
        </w:rPr>
        <w:t>Journal of Statistics Applications and Probability</w:t>
      </w:r>
      <w:r w:rsidRPr="00ED437B">
        <w:rPr>
          <w:rFonts w:asciiTheme="minorBidi" w:hAnsiTheme="minorBidi"/>
          <w:color w:val="000000" w:themeColor="text1"/>
          <w:szCs w:val="24"/>
        </w:rPr>
        <w:t>, 11(1), pp. 241–249.</w:t>
      </w:r>
    </w:p>
    <w:p w14:paraId="659D9848"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Paramaguru, M., Bhattacharjee, A., Girotra, R., &amp; Sairam, P.S. (2024) ‘Leadership in Gen Z: Exploring Constructs, Traits, and Challenges through the Lens of the Indian Knowledge System’, </w:t>
      </w:r>
      <w:r w:rsidRPr="00ED437B">
        <w:rPr>
          <w:rFonts w:asciiTheme="minorBidi" w:hAnsiTheme="minorBidi"/>
          <w:i/>
          <w:iCs/>
          <w:color w:val="000000" w:themeColor="text1"/>
          <w:szCs w:val="24"/>
        </w:rPr>
        <w:t>Purushartha</w:t>
      </w:r>
      <w:r w:rsidRPr="00ED437B">
        <w:rPr>
          <w:rFonts w:asciiTheme="minorBidi" w:hAnsiTheme="minorBidi"/>
          <w:color w:val="000000" w:themeColor="text1"/>
          <w:szCs w:val="24"/>
        </w:rPr>
        <w:t>, 17(2), pp. 1–23.</w:t>
      </w:r>
    </w:p>
    <w:p w14:paraId="69E7DC25"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lastRenderedPageBreak/>
        <w:t xml:space="preserve">Pichler, S., Kohli, C., &amp; Granitz, N. (2021) ‘DITTO for Gen Z: A framework for leveraging the uniqueness of the new generation’, </w:t>
      </w:r>
      <w:r w:rsidRPr="00ED437B">
        <w:rPr>
          <w:rFonts w:asciiTheme="minorBidi" w:hAnsiTheme="minorBidi"/>
          <w:i/>
          <w:iCs/>
          <w:color w:val="000000" w:themeColor="text1"/>
          <w:szCs w:val="24"/>
        </w:rPr>
        <w:t>Business Horizons</w:t>
      </w:r>
      <w:r w:rsidRPr="00ED437B">
        <w:rPr>
          <w:rFonts w:asciiTheme="minorBidi" w:hAnsiTheme="minorBidi"/>
          <w:color w:val="000000" w:themeColor="text1"/>
          <w:szCs w:val="24"/>
        </w:rPr>
        <w:t>, 64(5), pp. 599–610.</w:t>
      </w:r>
    </w:p>
    <w:p w14:paraId="7EF5570C" w14:textId="6C6701B9"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Pradhana, I.P., Kusnadhy, D.B., Saputra, I.K.A.W., Wijaya, I.P.Y.P., &amp; Sihaloho, A. (2024) ‘A Phenomenological Study of Gen Z Workers in Facing Conflict Generation Gap in the World of Work’, </w:t>
      </w:r>
      <w:r w:rsidRPr="00ED437B">
        <w:rPr>
          <w:rFonts w:asciiTheme="minorBidi" w:hAnsiTheme="minorBidi"/>
          <w:i/>
          <w:iCs/>
          <w:color w:val="000000" w:themeColor="text1"/>
          <w:szCs w:val="24"/>
        </w:rPr>
        <w:t>Jurnal Konsep Bisnis dan Manajemen</w:t>
      </w:r>
      <w:r w:rsidRPr="00ED437B">
        <w:rPr>
          <w:rFonts w:asciiTheme="minorBidi" w:hAnsiTheme="minorBidi"/>
          <w:color w:val="000000" w:themeColor="text1"/>
          <w:szCs w:val="24"/>
        </w:rPr>
        <w:t xml:space="preserve">, 10(2). Available at: </w:t>
      </w:r>
      <w:hyperlink r:id="rId29" w:history="1">
        <w:r w:rsidRPr="00ED437B">
          <w:rPr>
            <w:rStyle w:val="Hyperlink"/>
            <w:szCs w:val="24"/>
          </w:rPr>
          <w:t>https://doi.org/10.31289/jkbm.v10i2.11742</w:t>
        </w:r>
      </w:hyperlink>
      <w:r w:rsidRPr="00ED437B">
        <w:rPr>
          <w:color w:val="000000" w:themeColor="text1"/>
          <w:szCs w:val="24"/>
        </w:rPr>
        <w:t>.</w:t>
      </w:r>
    </w:p>
    <w:p w14:paraId="25195EDF" w14:textId="25812B2A"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Putriastuti, B. and Stasi, A. (2019) ‘How to lead and motivate Generation Z employees’, </w:t>
      </w:r>
      <w:r w:rsidRPr="00ED437B">
        <w:rPr>
          <w:rFonts w:asciiTheme="minorBidi" w:hAnsiTheme="minorBidi"/>
          <w:i/>
          <w:iCs/>
          <w:color w:val="000000" w:themeColor="text1"/>
          <w:szCs w:val="24"/>
        </w:rPr>
        <w:t>International Journal of Multicultural and Multireligious Understanding</w:t>
      </w:r>
      <w:r w:rsidRPr="00ED437B">
        <w:rPr>
          <w:rFonts w:asciiTheme="minorBidi" w:hAnsiTheme="minorBidi"/>
          <w:color w:val="000000" w:themeColor="text1"/>
          <w:szCs w:val="24"/>
        </w:rPr>
        <w:t xml:space="preserve">, 6(5), pp. 356–363. Available at: </w:t>
      </w:r>
      <w:hyperlink r:id="rId30" w:history="1">
        <w:r w:rsidRPr="00ED437B">
          <w:rPr>
            <w:rStyle w:val="Hyperlink"/>
            <w:szCs w:val="24"/>
          </w:rPr>
          <w:t>https://doi.org/10.18415/ijmmu.v6i5.1095</w:t>
        </w:r>
      </w:hyperlink>
      <w:r w:rsidRPr="00ED437B">
        <w:rPr>
          <w:color w:val="000000" w:themeColor="text1"/>
          <w:szCs w:val="24"/>
        </w:rPr>
        <w:t>.</w:t>
      </w:r>
    </w:p>
    <w:p w14:paraId="5959600F"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Racolţa-Paina, N.D., &amp; Irini, R.D. (2021) ‘Generation Z in the workplace through the lenses of human resource professionals – a qualitative study’, </w:t>
      </w:r>
      <w:r w:rsidRPr="00ED437B">
        <w:rPr>
          <w:rFonts w:asciiTheme="minorBidi" w:hAnsiTheme="minorBidi"/>
          <w:i/>
          <w:iCs/>
          <w:color w:val="000000" w:themeColor="text1"/>
          <w:szCs w:val="24"/>
        </w:rPr>
        <w:t>Quality Access to Success</w:t>
      </w:r>
      <w:r w:rsidRPr="00ED437B">
        <w:rPr>
          <w:rFonts w:asciiTheme="minorBidi" w:hAnsiTheme="minorBidi"/>
          <w:color w:val="000000" w:themeColor="text1"/>
          <w:szCs w:val="24"/>
        </w:rPr>
        <w:t>, 22(183), pp. 78–85.</w:t>
      </w:r>
    </w:p>
    <w:p w14:paraId="54C7117D"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Salvadorinho, J., Hines, P., Kumar, M., Ferreira, C., &amp; Teixeira, L. (2024) ‘Empowering Generation Z in manufacturing organizations: a 6-factor self-determination extension’, </w:t>
      </w:r>
      <w:r w:rsidRPr="00ED437B">
        <w:rPr>
          <w:rFonts w:asciiTheme="minorBidi" w:hAnsiTheme="minorBidi"/>
          <w:i/>
          <w:iCs/>
          <w:color w:val="000000" w:themeColor="text1"/>
          <w:szCs w:val="24"/>
        </w:rPr>
        <w:t>Journal of Work Applied Management</w:t>
      </w:r>
      <w:r w:rsidRPr="00ED437B">
        <w:rPr>
          <w:rFonts w:asciiTheme="minorBidi" w:hAnsiTheme="minorBidi"/>
          <w:color w:val="000000" w:themeColor="text1"/>
          <w:szCs w:val="24"/>
        </w:rPr>
        <w:t>.</w:t>
      </w:r>
    </w:p>
    <w:p w14:paraId="73F6D3C8"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Saunders, M., Lewis, P. and Thornhill, A. (2019) </w:t>
      </w:r>
      <w:r w:rsidRPr="00ED437B">
        <w:rPr>
          <w:rFonts w:asciiTheme="minorBidi" w:hAnsiTheme="minorBidi"/>
          <w:i/>
          <w:iCs/>
          <w:color w:val="000000" w:themeColor="text1"/>
          <w:szCs w:val="24"/>
        </w:rPr>
        <w:t>Research methods for business students</w:t>
      </w:r>
      <w:r w:rsidRPr="00ED437B">
        <w:rPr>
          <w:rFonts w:asciiTheme="minorBidi" w:hAnsiTheme="minorBidi"/>
          <w:color w:val="000000" w:themeColor="text1"/>
          <w:szCs w:val="24"/>
        </w:rPr>
        <w:t>. 8th edn. Harlow: Pearson Education.</w:t>
      </w:r>
    </w:p>
    <w:p w14:paraId="5F2784A8" w14:textId="0BE40EE4"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Schroth, H. (2019) ‘Are you ready for Gen Z in the workplace?’, </w:t>
      </w:r>
      <w:r w:rsidRPr="00ED437B">
        <w:rPr>
          <w:rFonts w:asciiTheme="minorBidi" w:hAnsiTheme="minorBidi"/>
          <w:i/>
          <w:iCs/>
          <w:color w:val="000000" w:themeColor="text1"/>
          <w:szCs w:val="24"/>
        </w:rPr>
        <w:t>California Management Review</w:t>
      </w:r>
      <w:r w:rsidRPr="00ED437B">
        <w:rPr>
          <w:rFonts w:asciiTheme="minorBidi" w:hAnsiTheme="minorBidi"/>
          <w:color w:val="000000" w:themeColor="text1"/>
          <w:szCs w:val="24"/>
        </w:rPr>
        <w:t xml:space="preserve">, 61(3), pp. 5–18. Available at: </w:t>
      </w:r>
      <w:hyperlink r:id="rId31" w:history="1">
        <w:r w:rsidRPr="00ED437B">
          <w:rPr>
            <w:rStyle w:val="Hyperlink"/>
            <w:szCs w:val="24"/>
          </w:rPr>
          <w:t>https://doi.org/10.1177/0008125619841006</w:t>
        </w:r>
      </w:hyperlink>
      <w:r w:rsidRPr="00ED437B">
        <w:rPr>
          <w:color w:val="000000" w:themeColor="text1"/>
          <w:szCs w:val="24"/>
        </w:rPr>
        <w:t>.</w:t>
      </w:r>
    </w:p>
    <w:p w14:paraId="0A191B8B"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Seemiller, C. and Grace, M. (2017) </w:t>
      </w:r>
      <w:r w:rsidRPr="00ED437B">
        <w:rPr>
          <w:rFonts w:asciiTheme="minorBidi" w:hAnsiTheme="minorBidi"/>
          <w:i/>
          <w:iCs/>
          <w:color w:val="000000" w:themeColor="text1"/>
          <w:szCs w:val="24"/>
        </w:rPr>
        <w:t>Generation Z goes to college</w:t>
      </w:r>
      <w:r w:rsidRPr="00ED437B">
        <w:rPr>
          <w:rFonts w:asciiTheme="minorBidi" w:hAnsiTheme="minorBidi"/>
          <w:color w:val="000000" w:themeColor="text1"/>
          <w:szCs w:val="24"/>
        </w:rPr>
        <w:t>. San Francisco: Jossey-Bass.</w:t>
      </w:r>
    </w:p>
    <w:p w14:paraId="0042564D" w14:textId="79BC1615" w:rsidR="00CD4D7D" w:rsidRPr="00ED437B" w:rsidRDefault="00CD4D7D" w:rsidP="00DC1008">
      <w:pPr>
        <w:jc w:val="left"/>
        <w:rPr>
          <w:color w:val="000000" w:themeColor="text1"/>
          <w:szCs w:val="24"/>
        </w:rPr>
      </w:pPr>
      <w:r w:rsidRPr="00ED437B">
        <w:rPr>
          <w:rFonts w:asciiTheme="minorBidi" w:hAnsiTheme="minorBidi"/>
          <w:color w:val="000000" w:themeColor="text1"/>
          <w:szCs w:val="24"/>
        </w:rPr>
        <w:t xml:space="preserve">Shaheen, N. </w:t>
      </w:r>
      <w:r w:rsidR="000C3E28" w:rsidRPr="00ED437B">
        <w:rPr>
          <w:i/>
          <w:iCs/>
          <w:color w:val="000000" w:themeColor="text1"/>
          <w:szCs w:val="24"/>
        </w:rPr>
        <w:t>et al</w:t>
      </w:r>
      <w:r w:rsidRPr="00ED437B">
        <w:rPr>
          <w:rFonts w:asciiTheme="minorBidi" w:hAnsiTheme="minorBidi"/>
          <w:i/>
          <w:iCs/>
          <w:color w:val="000000" w:themeColor="text1"/>
          <w:szCs w:val="24"/>
        </w:rPr>
        <w:t>.</w:t>
      </w:r>
      <w:r w:rsidRPr="00ED437B">
        <w:rPr>
          <w:rFonts w:asciiTheme="minorBidi" w:hAnsiTheme="minorBidi"/>
          <w:color w:val="000000" w:themeColor="text1"/>
          <w:szCs w:val="24"/>
        </w:rPr>
        <w:t xml:space="preserve"> (2023) ‘Appraising Systematic reviews: a Comprehensive Guide to Ensuring Validity and Reliability’, </w:t>
      </w:r>
      <w:r w:rsidRPr="00ED437B">
        <w:rPr>
          <w:rFonts w:asciiTheme="minorBidi" w:hAnsiTheme="minorBidi"/>
          <w:i/>
          <w:iCs/>
          <w:color w:val="000000" w:themeColor="text1"/>
          <w:szCs w:val="24"/>
        </w:rPr>
        <w:t>Frontiers in Research Metrics and Analytics</w:t>
      </w:r>
      <w:r w:rsidRPr="00ED437B">
        <w:rPr>
          <w:rFonts w:asciiTheme="minorBidi" w:hAnsiTheme="minorBidi"/>
          <w:color w:val="000000" w:themeColor="text1"/>
          <w:szCs w:val="24"/>
        </w:rPr>
        <w:t xml:space="preserve">, 8(8). Available at: </w:t>
      </w:r>
      <w:hyperlink r:id="rId32" w:history="1">
        <w:r w:rsidRPr="00ED437B">
          <w:rPr>
            <w:rStyle w:val="Hyperlink"/>
            <w:szCs w:val="24"/>
          </w:rPr>
          <w:t>https://doi.org/10.3389/frma.2023.1268045</w:t>
        </w:r>
      </w:hyperlink>
      <w:r w:rsidRPr="00ED437B">
        <w:rPr>
          <w:color w:val="000000" w:themeColor="text1"/>
          <w:szCs w:val="24"/>
        </w:rPr>
        <w:t>.</w:t>
      </w:r>
    </w:p>
    <w:p w14:paraId="0BF5814C"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Sigaeva, N., Arasli, H., Ozdemir, E., Atai, G., &amp; Capkiner, E. (2022) ‘In Search of Effective Gen Z Engagement in the Hospitality Industry: Revisiting Issues of Servant and Authentic Leadership’, </w:t>
      </w:r>
      <w:r w:rsidRPr="00ED437B">
        <w:rPr>
          <w:rFonts w:asciiTheme="minorBidi" w:hAnsiTheme="minorBidi"/>
          <w:i/>
          <w:iCs/>
          <w:color w:val="000000" w:themeColor="text1"/>
          <w:szCs w:val="24"/>
        </w:rPr>
        <w:t>Sustainability</w:t>
      </w:r>
      <w:r w:rsidRPr="00ED437B">
        <w:rPr>
          <w:rFonts w:asciiTheme="minorBidi" w:hAnsiTheme="minorBidi"/>
          <w:color w:val="000000" w:themeColor="text1"/>
          <w:szCs w:val="24"/>
        </w:rPr>
        <w:t>, 14(20), p. 13105.</w:t>
      </w:r>
    </w:p>
    <w:p w14:paraId="646DF25D" w14:textId="42E5A728"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lastRenderedPageBreak/>
        <w:t xml:space="preserve">Singh, R., Kurian, S., &amp; Sivagnanasundaram, M. (2024) ‘Generation Z: Navigating Conflict Resolution Strategies at the Workplace Through Their Intimacy Styles’, </w:t>
      </w:r>
      <w:r w:rsidRPr="00ED437B">
        <w:rPr>
          <w:rFonts w:asciiTheme="minorBidi" w:hAnsiTheme="minorBidi"/>
          <w:i/>
          <w:iCs/>
          <w:color w:val="000000" w:themeColor="text1"/>
          <w:szCs w:val="24"/>
        </w:rPr>
        <w:t>Millennial Asia</w:t>
      </w:r>
      <w:r w:rsidRPr="00ED437B">
        <w:rPr>
          <w:rFonts w:asciiTheme="minorBidi" w:hAnsiTheme="minorBidi"/>
          <w:color w:val="000000" w:themeColor="text1"/>
          <w:szCs w:val="24"/>
        </w:rPr>
        <w:t xml:space="preserve">. Available at: </w:t>
      </w:r>
      <w:hyperlink r:id="rId33" w:history="1">
        <w:r w:rsidRPr="00ED437B">
          <w:rPr>
            <w:rStyle w:val="Hyperlink"/>
            <w:szCs w:val="24"/>
          </w:rPr>
          <w:t>https://doi.org/10.1177/09763996241280395</w:t>
        </w:r>
      </w:hyperlink>
      <w:r w:rsidRPr="00ED437B">
        <w:rPr>
          <w:color w:val="000000" w:themeColor="text1"/>
          <w:szCs w:val="24"/>
        </w:rPr>
        <w:t>.</w:t>
      </w:r>
    </w:p>
    <w:p w14:paraId="415BD978" w14:textId="7AC464D6" w:rsidR="00CD4D7D" w:rsidRPr="00ED437B" w:rsidRDefault="00CD4D7D" w:rsidP="00DC1008">
      <w:pPr>
        <w:jc w:val="left"/>
        <w:rPr>
          <w:rFonts w:asciiTheme="minorBidi" w:hAnsiTheme="minorBidi"/>
          <w:color w:val="000000" w:themeColor="text1"/>
          <w:szCs w:val="24"/>
        </w:rPr>
      </w:pPr>
      <w:r w:rsidRPr="00ED437B">
        <w:rPr>
          <w:rFonts w:asciiTheme="minorBidi" w:hAnsiTheme="minorBidi"/>
          <w:color w:val="000000" w:themeColor="text1"/>
          <w:szCs w:val="24"/>
        </w:rPr>
        <w:t xml:space="preserve">Suri, H. (2020) ‘Ethical Considerations of Conducting Systematic Reviews in Educational Research’, </w:t>
      </w:r>
      <w:r w:rsidRPr="00ED437B">
        <w:rPr>
          <w:rFonts w:asciiTheme="minorBidi" w:hAnsiTheme="minorBidi"/>
          <w:i/>
          <w:iCs/>
          <w:color w:val="000000" w:themeColor="text1"/>
          <w:szCs w:val="24"/>
        </w:rPr>
        <w:t>Systematic Reviews in Educational Research</w:t>
      </w:r>
      <w:r w:rsidRPr="00ED437B">
        <w:rPr>
          <w:rFonts w:asciiTheme="minorBidi" w:hAnsiTheme="minorBidi"/>
          <w:color w:val="000000" w:themeColor="text1"/>
          <w:szCs w:val="24"/>
        </w:rPr>
        <w:t xml:space="preserve">, 1(1), pp. 41–54. Available at: </w:t>
      </w:r>
      <w:hyperlink r:id="rId34" w:history="1">
        <w:r w:rsidRPr="00ED437B">
          <w:rPr>
            <w:rStyle w:val="Hyperlink"/>
            <w:szCs w:val="24"/>
          </w:rPr>
          <w:t>https://doi.org/10.1007/978-3-658-27602-7_3</w:t>
        </w:r>
      </w:hyperlink>
      <w:r w:rsidRPr="00ED437B">
        <w:rPr>
          <w:color w:val="000000" w:themeColor="text1"/>
          <w:szCs w:val="24"/>
        </w:rPr>
        <w:t>.</w:t>
      </w:r>
    </w:p>
    <w:p w14:paraId="019B77D3" w14:textId="37744C19"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Surugiu, C., Surugiu, M.-R., Grădinaru, C., &amp; Grigore, A.-M. (2025) ‘Factors Motivating Generation Z in the Workplace: Managerial Challenges and Insights’, </w:t>
      </w:r>
      <w:r w:rsidRPr="00ED437B">
        <w:rPr>
          <w:rFonts w:asciiTheme="minorBidi" w:hAnsiTheme="minorBidi"/>
          <w:i/>
          <w:iCs/>
          <w:color w:val="000000" w:themeColor="text1"/>
          <w:szCs w:val="24"/>
        </w:rPr>
        <w:t>Administrative Sciences</w:t>
      </w:r>
      <w:r w:rsidRPr="00ED437B">
        <w:rPr>
          <w:rFonts w:asciiTheme="minorBidi" w:hAnsiTheme="minorBidi"/>
          <w:color w:val="000000" w:themeColor="text1"/>
          <w:szCs w:val="24"/>
        </w:rPr>
        <w:t xml:space="preserve">, 15(1), p. 29. Available at: </w:t>
      </w:r>
      <w:hyperlink r:id="rId35" w:history="1">
        <w:r w:rsidRPr="00ED437B">
          <w:rPr>
            <w:rStyle w:val="Hyperlink"/>
            <w:szCs w:val="24"/>
          </w:rPr>
          <w:t>https://doi.org/10.3390/admsci15010029</w:t>
        </w:r>
      </w:hyperlink>
      <w:r w:rsidRPr="00ED437B">
        <w:rPr>
          <w:color w:val="000000" w:themeColor="text1"/>
          <w:szCs w:val="24"/>
        </w:rPr>
        <w:t>.</w:t>
      </w:r>
    </w:p>
    <w:p w14:paraId="44508530" w14:textId="46FB097A"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Thomas, J. (2006) ‘A general inductive approach for qualitative data analysis’, </w:t>
      </w:r>
      <w:r w:rsidRPr="00ED437B">
        <w:rPr>
          <w:rFonts w:asciiTheme="minorBidi" w:hAnsiTheme="minorBidi"/>
          <w:i/>
          <w:iCs/>
          <w:color w:val="000000" w:themeColor="text1"/>
          <w:szCs w:val="24"/>
        </w:rPr>
        <w:t>American Journal of Evaluation</w:t>
      </w:r>
      <w:r w:rsidRPr="00ED437B">
        <w:rPr>
          <w:rFonts w:asciiTheme="minorBidi" w:hAnsiTheme="minorBidi"/>
          <w:color w:val="000000" w:themeColor="text1"/>
          <w:szCs w:val="24"/>
        </w:rPr>
        <w:t>, 27(2), pp. 237–246. Available at</w:t>
      </w:r>
      <w:r w:rsidRPr="00ED437B">
        <w:rPr>
          <w:color w:val="000000" w:themeColor="text1"/>
          <w:szCs w:val="24"/>
        </w:rPr>
        <w:t xml:space="preserve">: </w:t>
      </w:r>
      <w:hyperlink r:id="rId36" w:history="1">
        <w:r w:rsidRPr="00ED437B">
          <w:rPr>
            <w:rStyle w:val="Hyperlink"/>
            <w:szCs w:val="24"/>
          </w:rPr>
          <w:t>https://doi.org/10.1177/1098214005283748</w:t>
        </w:r>
      </w:hyperlink>
      <w:r w:rsidRPr="00ED437B">
        <w:rPr>
          <w:color w:val="000000" w:themeColor="text1"/>
          <w:szCs w:val="24"/>
        </w:rPr>
        <w:t>.</w:t>
      </w:r>
    </w:p>
    <w:p w14:paraId="5895FDBB" w14:textId="03AAFDAB"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Thomas, J. and Harden, A. (2008) ‘Methods for the thematic synthesis of qualitative research in systematic reviews’, </w:t>
      </w:r>
      <w:r w:rsidRPr="00ED437B">
        <w:rPr>
          <w:rFonts w:asciiTheme="minorBidi" w:hAnsiTheme="minorBidi"/>
          <w:i/>
          <w:iCs/>
          <w:color w:val="000000" w:themeColor="text1"/>
          <w:szCs w:val="24"/>
        </w:rPr>
        <w:t>BMC Medical Research Methodology</w:t>
      </w:r>
      <w:r w:rsidRPr="00ED437B">
        <w:rPr>
          <w:rFonts w:asciiTheme="minorBidi" w:hAnsiTheme="minorBidi"/>
          <w:color w:val="000000" w:themeColor="text1"/>
          <w:szCs w:val="24"/>
        </w:rPr>
        <w:t xml:space="preserve">, 8(1), p. 45. Available at: </w:t>
      </w:r>
      <w:hyperlink r:id="rId37" w:history="1">
        <w:r w:rsidRPr="00ED437B">
          <w:rPr>
            <w:rStyle w:val="Hyperlink"/>
            <w:szCs w:val="24"/>
          </w:rPr>
          <w:t>https://doi.org/10.1186/1471-2288-8-45</w:t>
        </w:r>
      </w:hyperlink>
      <w:r w:rsidRPr="00ED437B">
        <w:rPr>
          <w:color w:val="000000" w:themeColor="text1"/>
          <w:szCs w:val="24"/>
        </w:rPr>
        <w:t>.</w:t>
      </w:r>
    </w:p>
    <w:p w14:paraId="38BBEBD7"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Tran, H.M.N., Hong, K.N.T., Dinh, H.V., Yen, N.N.T., &amp; My, Q.L. (2024) ‘The Relationship between Psychological Capital and Work Commitment: A Study among Gen Z Workers in Vietnam’, </w:t>
      </w:r>
      <w:r w:rsidRPr="00ED437B">
        <w:rPr>
          <w:rFonts w:asciiTheme="minorBidi" w:hAnsiTheme="minorBidi"/>
          <w:i/>
          <w:iCs/>
          <w:color w:val="000000" w:themeColor="text1"/>
          <w:szCs w:val="24"/>
        </w:rPr>
        <w:t>Journal of Chinese Human Resources Management</w:t>
      </w:r>
      <w:r w:rsidRPr="00ED437B">
        <w:rPr>
          <w:rFonts w:asciiTheme="minorBidi" w:hAnsiTheme="minorBidi"/>
          <w:color w:val="000000" w:themeColor="text1"/>
          <w:szCs w:val="24"/>
        </w:rPr>
        <w:t>, 15(3), pp. 38–50.</w:t>
      </w:r>
    </w:p>
    <w:p w14:paraId="1C535BF8"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Tran, H.M.N., Le, D.V., Hai, Y.V., Kim, H.D., &amp; Yen, N.N.T. (2024) ‘Exploring Job Satisfaction among Generation Z Employees: A Study in the SMEs of the Mekong Delta, Vietnam’, </w:t>
      </w:r>
      <w:r w:rsidRPr="00ED437B">
        <w:rPr>
          <w:rFonts w:asciiTheme="minorBidi" w:hAnsiTheme="minorBidi"/>
          <w:i/>
          <w:iCs/>
          <w:color w:val="000000" w:themeColor="text1"/>
          <w:szCs w:val="24"/>
        </w:rPr>
        <w:t>Journal of Chinese Human Resource Management</w:t>
      </w:r>
      <w:r w:rsidRPr="00ED437B">
        <w:rPr>
          <w:rFonts w:asciiTheme="minorBidi" w:hAnsiTheme="minorBidi"/>
          <w:color w:val="000000" w:themeColor="text1"/>
          <w:szCs w:val="24"/>
        </w:rPr>
        <w:t>, 15(1), pp. 110–120.</w:t>
      </w:r>
    </w:p>
    <w:p w14:paraId="44FBE9CC" w14:textId="77777777" w:rsidR="00CD4D7D" w:rsidRPr="00ED437B" w:rsidRDefault="00CD4D7D" w:rsidP="00DC1008">
      <w:pPr>
        <w:jc w:val="left"/>
        <w:rPr>
          <w:rFonts w:asciiTheme="minorBidi" w:hAnsiTheme="minorBidi"/>
          <w:color w:val="000000" w:themeColor="text1"/>
          <w:szCs w:val="24"/>
        </w:rPr>
      </w:pPr>
      <w:r w:rsidRPr="00ED437B">
        <w:rPr>
          <w:rFonts w:asciiTheme="minorBidi" w:hAnsiTheme="minorBidi"/>
          <w:color w:val="000000" w:themeColor="text1"/>
          <w:szCs w:val="24"/>
        </w:rPr>
        <w:t xml:space="preserve">Tsang, E.W.K. (2016) </w:t>
      </w:r>
      <w:r w:rsidRPr="00ED437B">
        <w:rPr>
          <w:rFonts w:asciiTheme="minorBidi" w:hAnsiTheme="minorBidi"/>
          <w:i/>
          <w:iCs/>
          <w:color w:val="000000" w:themeColor="text1"/>
          <w:szCs w:val="24"/>
        </w:rPr>
        <w:t>The philosophy of management research</w:t>
      </w:r>
      <w:r w:rsidRPr="00ED437B">
        <w:rPr>
          <w:rFonts w:asciiTheme="minorBidi" w:hAnsiTheme="minorBidi"/>
          <w:color w:val="000000" w:themeColor="text1"/>
          <w:szCs w:val="24"/>
        </w:rPr>
        <w:t>. Routledge.</w:t>
      </w:r>
    </w:p>
    <w:p w14:paraId="0F451380" w14:textId="5F1AA495" w:rsidR="00CD4D7D" w:rsidRPr="00ED437B" w:rsidRDefault="00CD4D7D" w:rsidP="005F3C84">
      <w:pPr>
        <w:jc w:val="left"/>
        <w:rPr>
          <w:color w:val="000000" w:themeColor="text1"/>
          <w:szCs w:val="24"/>
        </w:rPr>
      </w:pPr>
      <w:r w:rsidRPr="00ED437B">
        <w:rPr>
          <w:rFonts w:asciiTheme="minorBidi" w:hAnsiTheme="minorBidi"/>
          <w:color w:val="000000" w:themeColor="text1"/>
          <w:szCs w:val="24"/>
        </w:rPr>
        <w:t xml:space="preserve">Twenge, J.M. (2010) ‘A review of the empirical evidence on generational differences in work attitudes’, </w:t>
      </w:r>
      <w:r w:rsidRPr="00ED437B">
        <w:rPr>
          <w:rFonts w:asciiTheme="minorBidi" w:hAnsiTheme="minorBidi"/>
          <w:i/>
          <w:iCs/>
          <w:color w:val="000000" w:themeColor="text1"/>
          <w:szCs w:val="24"/>
        </w:rPr>
        <w:t>Journal of Business and Psychology</w:t>
      </w:r>
      <w:r w:rsidRPr="00ED437B">
        <w:rPr>
          <w:rFonts w:asciiTheme="minorBidi" w:hAnsiTheme="minorBidi"/>
          <w:color w:val="000000" w:themeColor="text1"/>
          <w:szCs w:val="24"/>
        </w:rPr>
        <w:t xml:space="preserve">, 25(2), pp. 201–210. Available at: </w:t>
      </w:r>
      <w:hyperlink r:id="rId38" w:history="1">
        <w:r w:rsidRPr="00ED437B">
          <w:rPr>
            <w:rStyle w:val="Hyperlink"/>
            <w:szCs w:val="24"/>
          </w:rPr>
          <w:t>https://doi.org/10.1007/s10869-010-9165-6</w:t>
        </w:r>
      </w:hyperlink>
      <w:r w:rsidRPr="00ED437B">
        <w:rPr>
          <w:color w:val="000000" w:themeColor="text1"/>
          <w:szCs w:val="24"/>
        </w:rPr>
        <w:t>.</w:t>
      </w:r>
    </w:p>
    <w:p w14:paraId="6FE4774F" w14:textId="77777777" w:rsidR="00CD4D7D" w:rsidRPr="00ED437B" w:rsidRDefault="00CD4D7D" w:rsidP="008F4A99">
      <w:pPr>
        <w:jc w:val="left"/>
        <w:rPr>
          <w:color w:val="000000" w:themeColor="text1"/>
          <w:szCs w:val="24"/>
        </w:rPr>
      </w:pPr>
      <w:r w:rsidRPr="00ED437B">
        <w:rPr>
          <w:rFonts w:asciiTheme="minorBidi" w:hAnsiTheme="minorBidi"/>
          <w:color w:val="000000" w:themeColor="text1"/>
          <w:szCs w:val="24"/>
        </w:rPr>
        <w:t xml:space="preserve">UWTSD (2022) </w:t>
      </w:r>
      <w:r w:rsidRPr="00ED437B">
        <w:rPr>
          <w:rFonts w:asciiTheme="minorBidi" w:hAnsiTheme="minorBidi"/>
          <w:i/>
          <w:iCs/>
          <w:color w:val="000000" w:themeColor="text1"/>
          <w:szCs w:val="24"/>
        </w:rPr>
        <w:t>Research Integrity and Ethics</w:t>
      </w:r>
      <w:r w:rsidRPr="00ED437B">
        <w:rPr>
          <w:rFonts w:asciiTheme="minorBidi" w:hAnsiTheme="minorBidi"/>
          <w:color w:val="000000" w:themeColor="text1"/>
          <w:szCs w:val="24"/>
        </w:rPr>
        <w:t xml:space="preserve">, </w:t>
      </w:r>
      <w:r w:rsidRPr="00ED437B">
        <w:rPr>
          <w:rFonts w:asciiTheme="minorBidi" w:hAnsiTheme="minorBidi"/>
          <w:i/>
          <w:iCs/>
          <w:color w:val="000000" w:themeColor="text1"/>
          <w:szCs w:val="24"/>
        </w:rPr>
        <w:t>The University of Wales Trinity Saint David</w:t>
      </w:r>
      <w:r w:rsidRPr="00ED437B">
        <w:rPr>
          <w:rFonts w:asciiTheme="minorBidi" w:hAnsiTheme="minorBidi"/>
          <w:color w:val="000000" w:themeColor="text1"/>
          <w:szCs w:val="24"/>
        </w:rPr>
        <w:t xml:space="preserve">. Available at: </w:t>
      </w:r>
      <w:hyperlink r:id="rId39" w:history="1">
        <w:r w:rsidRPr="00ED437B">
          <w:rPr>
            <w:rStyle w:val="Hyperlink"/>
            <w:szCs w:val="24"/>
          </w:rPr>
          <w:t>https://www.uwtsd.ac.uk/research/research-integrity-and-ethics</w:t>
        </w:r>
      </w:hyperlink>
      <w:r w:rsidRPr="00ED437B">
        <w:rPr>
          <w:color w:val="000000" w:themeColor="text1"/>
          <w:szCs w:val="24"/>
        </w:rPr>
        <w:t>.</w:t>
      </w:r>
    </w:p>
    <w:p w14:paraId="5A3952F3" w14:textId="5544CE10" w:rsidR="00CD4D7D" w:rsidRPr="00ED437B" w:rsidRDefault="00CD4D7D" w:rsidP="008F4A99">
      <w:pPr>
        <w:jc w:val="left"/>
        <w:rPr>
          <w:color w:val="000000" w:themeColor="text1"/>
          <w:szCs w:val="24"/>
        </w:rPr>
      </w:pPr>
      <w:r w:rsidRPr="00ED437B">
        <w:rPr>
          <w:rFonts w:asciiTheme="minorBidi" w:hAnsiTheme="minorBidi"/>
          <w:color w:val="000000" w:themeColor="text1"/>
          <w:szCs w:val="24"/>
        </w:rPr>
        <w:lastRenderedPageBreak/>
        <w:t xml:space="preserve">Wager, E. and Wiffen, P.J. (2011) ‘Ethical issues in preparing and publishing systematic reviews’, </w:t>
      </w:r>
      <w:r w:rsidRPr="00ED437B">
        <w:rPr>
          <w:rFonts w:asciiTheme="minorBidi" w:hAnsiTheme="minorBidi"/>
          <w:i/>
          <w:iCs/>
          <w:color w:val="000000" w:themeColor="text1"/>
          <w:szCs w:val="24"/>
        </w:rPr>
        <w:t>Journal of Evidence-Based Medicine</w:t>
      </w:r>
      <w:r w:rsidRPr="00ED437B">
        <w:rPr>
          <w:rFonts w:asciiTheme="minorBidi" w:hAnsiTheme="minorBidi"/>
          <w:color w:val="000000" w:themeColor="text1"/>
          <w:szCs w:val="24"/>
        </w:rPr>
        <w:t xml:space="preserve">, 4(2), pp. 130–134. Available at: </w:t>
      </w:r>
      <w:hyperlink r:id="rId40" w:history="1">
        <w:r w:rsidRPr="00ED437B">
          <w:rPr>
            <w:rStyle w:val="Hyperlink"/>
            <w:szCs w:val="24"/>
          </w:rPr>
          <w:t>https://doi.org/10.1111/j.1756-5391.2011.01122.x</w:t>
        </w:r>
      </w:hyperlink>
      <w:r w:rsidRPr="00ED437B">
        <w:rPr>
          <w:color w:val="000000" w:themeColor="text1"/>
          <w:szCs w:val="24"/>
        </w:rPr>
        <w:t>.</w:t>
      </w:r>
    </w:p>
    <w:p w14:paraId="64300F3D"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Wiedmer, T. (2015) ‘Generations do differ: Best practices in leading traditionalists, boomers, and Generations X, Y, and Z’, </w:t>
      </w:r>
      <w:r w:rsidRPr="00ED437B">
        <w:rPr>
          <w:rFonts w:asciiTheme="minorBidi" w:hAnsiTheme="minorBidi"/>
          <w:i/>
          <w:iCs/>
          <w:color w:val="000000" w:themeColor="text1"/>
          <w:szCs w:val="24"/>
        </w:rPr>
        <w:t>Delta Kappa Gamma Bulletin</w:t>
      </w:r>
      <w:r w:rsidRPr="00ED437B">
        <w:rPr>
          <w:rFonts w:asciiTheme="minorBidi" w:hAnsiTheme="minorBidi"/>
          <w:color w:val="000000" w:themeColor="text1"/>
          <w:szCs w:val="24"/>
        </w:rPr>
        <w:t>, 82(1), pp. 51–58.</w:t>
      </w:r>
    </w:p>
    <w:p w14:paraId="22C584A2"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Xueyun, Z., Al Mamun, A., Masukujjaman, M., Gao, J., &amp; Yang, Q. (2023) ‘Modelling the significance of organizational conditions on quiet quitting intention among Gen Z workforce in an emerging economy’, </w:t>
      </w:r>
      <w:r w:rsidRPr="00ED437B">
        <w:rPr>
          <w:rFonts w:asciiTheme="minorBidi" w:hAnsiTheme="minorBidi"/>
          <w:i/>
          <w:iCs/>
          <w:color w:val="000000" w:themeColor="text1"/>
          <w:szCs w:val="24"/>
        </w:rPr>
        <w:t>Scientific Reports</w:t>
      </w:r>
      <w:r w:rsidRPr="00ED437B">
        <w:rPr>
          <w:rFonts w:asciiTheme="minorBidi" w:hAnsiTheme="minorBidi"/>
          <w:color w:val="000000" w:themeColor="text1"/>
          <w:szCs w:val="24"/>
        </w:rPr>
        <w:t>, 13(1), p. 15438.</w:t>
      </w:r>
    </w:p>
    <w:p w14:paraId="0E7DFCCB"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Xueyun, Z., Yang, Q., &amp; Al Mamun, A. (2024) ‘Predicting the Quiet Quitting Intention Among the Generation Z Workforce in Hotel Industry’, </w:t>
      </w:r>
      <w:r w:rsidRPr="00ED437B">
        <w:rPr>
          <w:rFonts w:asciiTheme="minorBidi" w:hAnsiTheme="minorBidi"/>
          <w:i/>
          <w:iCs/>
          <w:color w:val="000000" w:themeColor="text1"/>
          <w:szCs w:val="24"/>
        </w:rPr>
        <w:t>Journal of Quality Assurance in Hospitality and Tourism</w:t>
      </w:r>
      <w:r w:rsidRPr="00ED437B">
        <w:rPr>
          <w:rFonts w:asciiTheme="minorBidi" w:hAnsiTheme="minorBidi"/>
          <w:color w:val="000000" w:themeColor="text1"/>
          <w:szCs w:val="24"/>
        </w:rPr>
        <w:t>.</w:t>
      </w:r>
    </w:p>
    <w:p w14:paraId="1257A53B"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Yunyi, C., Singh, J.S.K., &amp; Kularajasingam, J. (2024) ‘The influence of workforce diversity and job meaningfulness on employee engagement and organizational citizenship behaviors’, </w:t>
      </w:r>
      <w:r w:rsidRPr="00ED437B">
        <w:rPr>
          <w:rFonts w:asciiTheme="minorBidi" w:hAnsiTheme="minorBidi"/>
          <w:i/>
          <w:iCs/>
          <w:color w:val="000000" w:themeColor="text1"/>
          <w:szCs w:val="24"/>
        </w:rPr>
        <w:t>Human Systems Management</w:t>
      </w:r>
      <w:r w:rsidRPr="00ED437B">
        <w:rPr>
          <w:rFonts w:asciiTheme="minorBidi" w:hAnsiTheme="minorBidi"/>
          <w:color w:val="000000" w:themeColor="text1"/>
          <w:szCs w:val="24"/>
        </w:rPr>
        <w:t>, 43(1), pp. 1–15.</w:t>
      </w:r>
    </w:p>
    <w:p w14:paraId="476A85BA"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Zahra, Y., Handoyo, S., &amp; Fajrianthi, F. (2025) ‘A comprehensive overview of Generation Z in the workplace: Insights from a scoping review’, </w:t>
      </w:r>
      <w:r w:rsidRPr="00ED437B">
        <w:rPr>
          <w:rFonts w:asciiTheme="minorBidi" w:hAnsiTheme="minorBidi"/>
          <w:i/>
          <w:iCs/>
          <w:color w:val="000000" w:themeColor="text1"/>
          <w:szCs w:val="24"/>
        </w:rPr>
        <w:t>SA Journal of Industrial Psychology</w:t>
      </w:r>
      <w:r w:rsidRPr="00ED437B">
        <w:rPr>
          <w:rFonts w:asciiTheme="minorBidi" w:hAnsiTheme="minorBidi"/>
          <w:color w:val="000000" w:themeColor="text1"/>
          <w:szCs w:val="24"/>
        </w:rPr>
        <w:t>, 51, p. a2263.</w:t>
      </w:r>
    </w:p>
    <w:p w14:paraId="5C98FA60" w14:textId="77777777" w:rsidR="00CD4D7D" w:rsidRPr="00ED437B" w:rsidRDefault="00CD4D7D" w:rsidP="005F3C84">
      <w:pPr>
        <w:jc w:val="left"/>
        <w:rPr>
          <w:rFonts w:asciiTheme="minorBidi" w:hAnsiTheme="minorBidi"/>
          <w:color w:val="000000" w:themeColor="text1"/>
          <w:szCs w:val="24"/>
        </w:rPr>
      </w:pPr>
      <w:r w:rsidRPr="00ED437B">
        <w:rPr>
          <w:rFonts w:asciiTheme="minorBidi" w:hAnsiTheme="minorBidi"/>
          <w:color w:val="000000" w:themeColor="text1"/>
          <w:szCs w:val="24"/>
        </w:rPr>
        <w:t xml:space="preserve">Zhong, Y., Zhang, L., Wei, W., &amp; Chang, J.C.-J. (2024) ‘Attracting Gen Z workforce: the effects of organizational social media policy’, </w:t>
      </w:r>
      <w:r w:rsidRPr="00ED437B">
        <w:rPr>
          <w:rFonts w:asciiTheme="minorBidi" w:hAnsiTheme="minorBidi"/>
          <w:i/>
          <w:iCs/>
          <w:color w:val="000000" w:themeColor="text1"/>
          <w:szCs w:val="24"/>
        </w:rPr>
        <w:t>Tourism Review</w:t>
      </w:r>
      <w:r w:rsidRPr="00ED437B">
        <w:rPr>
          <w:rFonts w:asciiTheme="minorBidi" w:hAnsiTheme="minorBidi"/>
          <w:color w:val="000000" w:themeColor="text1"/>
          <w:szCs w:val="24"/>
        </w:rPr>
        <w:t>, 79(1), pp. 54–68.</w:t>
      </w:r>
    </w:p>
    <w:p w14:paraId="178B22F3" w14:textId="77777777" w:rsidR="000C3E28" w:rsidRPr="00ED437B" w:rsidRDefault="00CD4D7D" w:rsidP="005F3C84">
      <w:pPr>
        <w:jc w:val="left"/>
        <w:rPr>
          <w:color w:val="000000" w:themeColor="text1"/>
          <w:szCs w:val="24"/>
        </w:rPr>
        <w:sectPr w:rsidR="000C3E28" w:rsidRPr="00ED437B" w:rsidSect="001F7590">
          <w:pgSz w:w="11906" w:h="16838" w:code="9"/>
          <w:pgMar w:top="1440" w:right="1440" w:bottom="1440" w:left="1440" w:header="708" w:footer="708" w:gutter="0"/>
          <w:cols w:space="708"/>
          <w:titlePg/>
          <w:docGrid w:linePitch="360"/>
        </w:sectPr>
      </w:pPr>
      <w:r w:rsidRPr="00ED437B">
        <w:rPr>
          <w:rFonts w:asciiTheme="minorBidi" w:hAnsiTheme="minorBidi"/>
          <w:color w:val="000000" w:themeColor="text1"/>
          <w:szCs w:val="24"/>
        </w:rPr>
        <w:t xml:space="preserve">Zhou, X., Chi, C.G.-Q., &amp; Wen, B. (2025) ‘Retaining Generation Z employees in the hotel industry: a time-lag study’, </w:t>
      </w:r>
      <w:r w:rsidRPr="00ED437B">
        <w:rPr>
          <w:rFonts w:asciiTheme="minorBidi" w:hAnsiTheme="minorBidi"/>
          <w:i/>
          <w:iCs/>
          <w:color w:val="000000" w:themeColor="text1"/>
          <w:szCs w:val="24"/>
        </w:rPr>
        <w:t>International Journal of Contemporary Hospitality Management</w:t>
      </w:r>
      <w:r w:rsidRPr="00ED437B">
        <w:rPr>
          <w:rFonts w:asciiTheme="minorBidi" w:hAnsiTheme="minorBidi"/>
          <w:color w:val="000000" w:themeColor="text1"/>
          <w:szCs w:val="24"/>
        </w:rPr>
        <w:t>, 37(1), pp. 76–93.</w:t>
      </w:r>
    </w:p>
    <w:p w14:paraId="09A7120C" w14:textId="1EAE1828" w:rsidR="00CD4D7D" w:rsidRPr="00ED437B" w:rsidRDefault="000C3E28" w:rsidP="000C3E28">
      <w:pPr>
        <w:pStyle w:val="Heading1"/>
      </w:pPr>
      <w:bookmarkStart w:id="61" w:name="_Toc218179366"/>
      <w:r w:rsidRPr="00ED437B">
        <w:lastRenderedPageBreak/>
        <w:t>Appendices</w:t>
      </w:r>
      <w:bookmarkEnd w:id="61"/>
    </w:p>
    <w:p w14:paraId="23CF3EE7" w14:textId="54258F88" w:rsidR="000C3E28" w:rsidRPr="00ED437B" w:rsidRDefault="000C3E28" w:rsidP="000C3E28">
      <w:pPr>
        <w:pStyle w:val="Heading2"/>
      </w:pPr>
      <w:bookmarkStart w:id="62" w:name="_Toc218179367"/>
      <w:r w:rsidRPr="00ED437B">
        <w:t>Quality Assessment of the Included Articles</w:t>
      </w:r>
      <w:bookmarkEnd w:id="62"/>
    </w:p>
    <w:tbl>
      <w:tblPr>
        <w:tblStyle w:val="TableGridLight"/>
        <w:tblW w:w="13948" w:type="dxa"/>
        <w:tblLook w:val="04A0" w:firstRow="1" w:lastRow="0" w:firstColumn="1" w:lastColumn="0" w:noHBand="0" w:noVBand="1"/>
      </w:tblPr>
      <w:tblGrid>
        <w:gridCol w:w="2135"/>
        <w:gridCol w:w="1902"/>
        <w:gridCol w:w="1461"/>
        <w:gridCol w:w="1517"/>
        <w:gridCol w:w="1263"/>
        <w:gridCol w:w="1456"/>
        <w:gridCol w:w="1542"/>
        <w:gridCol w:w="1208"/>
        <w:gridCol w:w="1464"/>
      </w:tblGrid>
      <w:tr w:rsidR="0088383B" w:rsidRPr="00ED437B" w14:paraId="7BEBF215" w14:textId="77777777" w:rsidTr="0088383B">
        <w:trPr>
          <w:trHeight w:val="288"/>
        </w:trPr>
        <w:tc>
          <w:tcPr>
            <w:tcW w:w="2136" w:type="dxa"/>
            <w:noWrap/>
            <w:vAlign w:val="center"/>
            <w:hideMark/>
          </w:tcPr>
          <w:p w14:paraId="7A51E60B"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Author (Year)</w:t>
            </w:r>
          </w:p>
        </w:tc>
        <w:tc>
          <w:tcPr>
            <w:tcW w:w="1902" w:type="dxa"/>
            <w:noWrap/>
            <w:vAlign w:val="center"/>
            <w:hideMark/>
          </w:tcPr>
          <w:p w14:paraId="357A0D9F" w14:textId="3EFAC8D6"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eastAsia="Times New Roman"/>
                <w:b/>
                <w:bCs/>
                <w:color w:val="000000"/>
                <w:sz w:val="20"/>
                <w:szCs w:val="20"/>
                <w:lang w:eastAsia="zh-CN" w:bidi="bn-IN"/>
              </w:rPr>
              <w:t>S</w:t>
            </w:r>
            <w:r w:rsidRPr="00ED437B">
              <w:rPr>
                <w:rFonts w:asciiTheme="minorBidi" w:eastAsia="Times New Roman" w:hAnsiTheme="minorBidi"/>
                <w:b/>
                <w:bCs/>
                <w:color w:val="000000"/>
                <w:sz w:val="20"/>
                <w:szCs w:val="20"/>
                <w:lang w:eastAsia="zh-CN" w:bidi="bn-IN"/>
              </w:rPr>
              <w:t>creening questions clearly addressed</w:t>
            </w:r>
          </w:p>
        </w:tc>
        <w:tc>
          <w:tcPr>
            <w:tcW w:w="1460" w:type="dxa"/>
            <w:noWrap/>
            <w:vAlign w:val="center"/>
            <w:hideMark/>
          </w:tcPr>
          <w:p w14:paraId="26694DF4"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Methodology appropriate</w:t>
            </w:r>
          </w:p>
        </w:tc>
        <w:tc>
          <w:tcPr>
            <w:tcW w:w="1517" w:type="dxa"/>
            <w:noWrap/>
            <w:vAlign w:val="center"/>
            <w:hideMark/>
          </w:tcPr>
          <w:p w14:paraId="30E03E2B"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Recruitment strategy appropriate</w:t>
            </w:r>
          </w:p>
        </w:tc>
        <w:tc>
          <w:tcPr>
            <w:tcW w:w="1263" w:type="dxa"/>
            <w:noWrap/>
            <w:vAlign w:val="center"/>
            <w:hideMark/>
          </w:tcPr>
          <w:p w14:paraId="25BDB7C3"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Data collection rigorous</w:t>
            </w:r>
          </w:p>
        </w:tc>
        <w:tc>
          <w:tcPr>
            <w:tcW w:w="1456" w:type="dxa"/>
            <w:noWrap/>
            <w:vAlign w:val="center"/>
            <w:hideMark/>
          </w:tcPr>
          <w:p w14:paraId="7A3F79E5"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Ethical issues considered</w:t>
            </w:r>
          </w:p>
        </w:tc>
        <w:tc>
          <w:tcPr>
            <w:tcW w:w="1542" w:type="dxa"/>
            <w:noWrap/>
            <w:vAlign w:val="center"/>
            <w:hideMark/>
          </w:tcPr>
          <w:p w14:paraId="70344006"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Data analysis sufficiently rigorous</w:t>
            </w:r>
          </w:p>
        </w:tc>
        <w:tc>
          <w:tcPr>
            <w:tcW w:w="1208" w:type="dxa"/>
            <w:noWrap/>
            <w:vAlign w:val="center"/>
            <w:hideMark/>
          </w:tcPr>
          <w:p w14:paraId="1F890D82"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Findings clearly stated</w:t>
            </w:r>
          </w:p>
        </w:tc>
        <w:tc>
          <w:tcPr>
            <w:tcW w:w="1464" w:type="dxa"/>
            <w:noWrap/>
            <w:vAlign w:val="center"/>
            <w:hideMark/>
          </w:tcPr>
          <w:p w14:paraId="63A995FD" w14:textId="77777777" w:rsidR="0088383B" w:rsidRPr="00ED437B" w:rsidRDefault="0088383B" w:rsidP="000C3E28">
            <w:pPr>
              <w:spacing w:line="276" w:lineRule="auto"/>
              <w:jc w:val="left"/>
              <w:rPr>
                <w:rFonts w:asciiTheme="minorBidi" w:eastAsia="Times New Roman" w:hAnsiTheme="minorBidi"/>
                <w:b/>
                <w:bCs/>
                <w:color w:val="000000"/>
                <w:sz w:val="20"/>
                <w:szCs w:val="20"/>
                <w:lang w:eastAsia="zh-CN" w:bidi="bn-IN"/>
              </w:rPr>
            </w:pPr>
            <w:r w:rsidRPr="00ED437B">
              <w:rPr>
                <w:rFonts w:asciiTheme="minorBidi" w:eastAsia="Times New Roman" w:hAnsiTheme="minorBidi"/>
                <w:b/>
                <w:bCs/>
                <w:color w:val="000000"/>
                <w:sz w:val="20"/>
                <w:szCs w:val="20"/>
                <w:lang w:eastAsia="zh-CN" w:bidi="bn-IN"/>
              </w:rPr>
              <w:t>Overall quality</w:t>
            </w:r>
          </w:p>
        </w:tc>
      </w:tr>
      <w:tr w:rsidR="0088383B" w:rsidRPr="00ED437B" w14:paraId="0C713CA4" w14:textId="77777777" w:rsidTr="0088383B">
        <w:trPr>
          <w:trHeight w:val="288"/>
        </w:trPr>
        <w:tc>
          <w:tcPr>
            <w:tcW w:w="2136" w:type="dxa"/>
            <w:noWrap/>
            <w:vAlign w:val="center"/>
            <w:hideMark/>
          </w:tcPr>
          <w:p w14:paraId="25B3146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Ababneh and Alnawas (2024)</w:t>
            </w:r>
          </w:p>
        </w:tc>
        <w:tc>
          <w:tcPr>
            <w:tcW w:w="1902" w:type="dxa"/>
            <w:noWrap/>
            <w:vAlign w:val="center"/>
            <w:hideMark/>
          </w:tcPr>
          <w:p w14:paraId="61CE777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8C90F2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6456401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5BE5FA7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20C76D7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1DBF693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5333330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BD02D9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7D978690" w14:textId="77777777" w:rsidTr="0088383B">
        <w:trPr>
          <w:trHeight w:val="288"/>
        </w:trPr>
        <w:tc>
          <w:tcPr>
            <w:tcW w:w="2136" w:type="dxa"/>
            <w:noWrap/>
            <w:vAlign w:val="center"/>
            <w:hideMark/>
          </w:tcPr>
          <w:p w14:paraId="6F302A0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Acheampong (2021)</w:t>
            </w:r>
          </w:p>
        </w:tc>
        <w:tc>
          <w:tcPr>
            <w:tcW w:w="1902" w:type="dxa"/>
            <w:noWrap/>
            <w:vAlign w:val="center"/>
            <w:hideMark/>
          </w:tcPr>
          <w:p w14:paraId="5C87D56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621198F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58272F4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724E6D7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45C98B6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5FF5B1E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6FB7C42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09FE588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68C33786" w14:textId="77777777" w:rsidTr="0088383B">
        <w:trPr>
          <w:trHeight w:val="288"/>
        </w:trPr>
        <w:tc>
          <w:tcPr>
            <w:tcW w:w="2136" w:type="dxa"/>
            <w:noWrap/>
            <w:vAlign w:val="center"/>
            <w:hideMark/>
          </w:tcPr>
          <w:p w14:paraId="391239C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Aggarwal et al. (2022)</w:t>
            </w:r>
          </w:p>
        </w:tc>
        <w:tc>
          <w:tcPr>
            <w:tcW w:w="1902" w:type="dxa"/>
            <w:noWrap/>
            <w:vAlign w:val="center"/>
            <w:hideMark/>
          </w:tcPr>
          <w:p w14:paraId="6E99950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4F7D43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0295EAC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4C5C73C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1D1E4C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3C423DB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54479C9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17CB89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5AD78FA6" w14:textId="77777777" w:rsidTr="0088383B">
        <w:trPr>
          <w:trHeight w:val="288"/>
        </w:trPr>
        <w:tc>
          <w:tcPr>
            <w:tcW w:w="2136" w:type="dxa"/>
            <w:noWrap/>
            <w:vAlign w:val="center"/>
            <w:hideMark/>
          </w:tcPr>
          <w:p w14:paraId="2435FD6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Ali, Li and Qiu (2024)</w:t>
            </w:r>
          </w:p>
        </w:tc>
        <w:tc>
          <w:tcPr>
            <w:tcW w:w="1902" w:type="dxa"/>
            <w:noWrap/>
            <w:vAlign w:val="center"/>
            <w:hideMark/>
          </w:tcPr>
          <w:p w14:paraId="0BAEB45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848B8E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28EB681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6A04135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3966CF2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382660F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3361B97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3188740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0DBF14D9" w14:textId="77777777" w:rsidTr="0088383B">
        <w:trPr>
          <w:trHeight w:val="288"/>
        </w:trPr>
        <w:tc>
          <w:tcPr>
            <w:tcW w:w="2136" w:type="dxa"/>
            <w:noWrap/>
            <w:vAlign w:val="center"/>
            <w:hideMark/>
          </w:tcPr>
          <w:p w14:paraId="1AAEB71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Arora, Dubey and Vyas (2020)</w:t>
            </w:r>
          </w:p>
        </w:tc>
        <w:tc>
          <w:tcPr>
            <w:tcW w:w="1902" w:type="dxa"/>
            <w:noWrap/>
            <w:vAlign w:val="center"/>
            <w:hideMark/>
          </w:tcPr>
          <w:p w14:paraId="70FED36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B00304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5149710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09830EC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03DA1F2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61EA5D4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770A6B6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EC2AEF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18FA6EE2" w14:textId="77777777" w:rsidTr="0088383B">
        <w:trPr>
          <w:trHeight w:val="288"/>
        </w:trPr>
        <w:tc>
          <w:tcPr>
            <w:tcW w:w="2136" w:type="dxa"/>
            <w:noWrap/>
            <w:vAlign w:val="center"/>
            <w:hideMark/>
          </w:tcPr>
          <w:p w14:paraId="768F778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Becker (2022)</w:t>
            </w:r>
          </w:p>
        </w:tc>
        <w:tc>
          <w:tcPr>
            <w:tcW w:w="1902" w:type="dxa"/>
            <w:noWrap/>
            <w:vAlign w:val="center"/>
            <w:hideMark/>
          </w:tcPr>
          <w:p w14:paraId="139A010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62713F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436703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677C5E6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293F511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7D16C2D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6D3E542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DFB33A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7B5E071B" w14:textId="77777777" w:rsidTr="0088383B">
        <w:trPr>
          <w:trHeight w:val="288"/>
        </w:trPr>
        <w:tc>
          <w:tcPr>
            <w:tcW w:w="2136" w:type="dxa"/>
            <w:noWrap/>
            <w:vAlign w:val="center"/>
            <w:hideMark/>
          </w:tcPr>
          <w:p w14:paraId="5A7C915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Bhore et al. (2025)</w:t>
            </w:r>
          </w:p>
        </w:tc>
        <w:tc>
          <w:tcPr>
            <w:tcW w:w="1902" w:type="dxa"/>
            <w:noWrap/>
            <w:vAlign w:val="center"/>
            <w:hideMark/>
          </w:tcPr>
          <w:p w14:paraId="5CE109D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0443BE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4BBC85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03028CC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3DE69F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56949FE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1EC7F42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6BDC3EB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32EFD16E" w14:textId="77777777" w:rsidTr="0088383B">
        <w:trPr>
          <w:trHeight w:val="288"/>
        </w:trPr>
        <w:tc>
          <w:tcPr>
            <w:tcW w:w="2136" w:type="dxa"/>
            <w:noWrap/>
            <w:vAlign w:val="center"/>
            <w:hideMark/>
          </w:tcPr>
          <w:p w14:paraId="61438BE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Borg, Scott-Young and Borg (2023)</w:t>
            </w:r>
          </w:p>
        </w:tc>
        <w:tc>
          <w:tcPr>
            <w:tcW w:w="1902" w:type="dxa"/>
            <w:noWrap/>
            <w:vAlign w:val="center"/>
            <w:hideMark/>
          </w:tcPr>
          <w:p w14:paraId="13EDFD4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2C1A92B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27A5A7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7AEDF3C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15AE03F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4FDBF3E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4299DF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8C7C57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673D07CC" w14:textId="77777777" w:rsidTr="0088383B">
        <w:trPr>
          <w:trHeight w:val="288"/>
        </w:trPr>
        <w:tc>
          <w:tcPr>
            <w:tcW w:w="2136" w:type="dxa"/>
            <w:noWrap/>
            <w:vAlign w:val="center"/>
            <w:hideMark/>
          </w:tcPr>
          <w:p w14:paraId="3542495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Borzillo, Hasman and Raub (2025)</w:t>
            </w:r>
          </w:p>
        </w:tc>
        <w:tc>
          <w:tcPr>
            <w:tcW w:w="1902" w:type="dxa"/>
            <w:noWrap/>
            <w:vAlign w:val="center"/>
            <w:hideMark/>
          </w:tcPr>
          <w:p w14:paraId="640D555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6E8EF33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D16842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63D915C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A262B8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4560632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1DC9E20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38D1E4A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051604AF" w14:textId="77777777" w:rsidTr="0088383B">
        <w:trPr>
          <w:trHeight w:val="288"/>
        </w:trPr>
        <w:tc>
          <w:tcPr>
            <w:tcW w:w="2136" w:type="dxa"/>
            <w:noWrap/>
            <w:vAlign w:val="center"/>
            <w:hideMark/>
          </w:tcPr>
          <w:p w14:paraId="2B60FAF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lastRenderedPageBreak/>
              <w:t>Bou Hatoum and Nassereddine (2025)</w:t>
            </w:r>
          </w:p>
        </w:tc>
        <w:tc>
          <w:tcPr>
            <w:tcW w:w="1902" w:type="dxa"/>
            <w:noWrap/>
            <w:vAlign w:val="center"/>
            <w:hideMark/>
          </w:tcPr>
          <w:p w14:paraId="3C6F2EC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061D14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3A71E0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0D3724E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17901E5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0EE7E63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7176945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BEE03D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7C5FEC1E" w14:textId="77777777" w:rsidTr="0088383B">
        <w:trPr>
          <w:trHeight w:val="288"/>
        </w:trPr>
        <w:tc>
          <w:tcPr>
            <w:tcW w:w="2136" w:type="dxa"/>
            <w:noWrap/>
            <w:vAlign w:val="center"/>
            <w:hideMark/>
          </w:tcPr>
          <w:p w14:paraId="38BE5C2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Cubukcu Cerasi and Balcioglu (2024)</w:t>
            </w:r>
          </w:p>
        </w:tc>
        <w:tc>
          <w:tcPr>
            <w:tcW w:w="1902" w:type="dxa"/>
            <w:noWrap/>
            <w:vAlign w:val="center"/>
            <w:hideMark/>
          </w:tcPr>
          <w:p w14:paraId="1AC7763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10DEBA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3E17165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16C05D4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6CC7083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2A93124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67300D3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E99C67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0F378985" w14:textId="77777777" w:rsidTr="0088383B">
        <w:trPr>
          <w:trHeight w:val="288"/>
        </w:trPr>
        <w:tc>
          <w:tcPr>
            <w:tcW w:w="2136" w:type="dxa"/>
            <w:noWrap/>
            <w:vAlign w:val="center"/>
            <w:hideMark/>
          </w:tcPr>
          <w:p w14:paraId="06F224C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Darby, Thornton and Davis-Sramek (2025)</w:t>
            </w:r>
          </w:p>
        </w:tc>
        <w:tc>
          <w:tcPr>
            <w:tcW w:w="1902" w:type="dxa"/>
            <w:noWrap/>
            <w:vAlign w:val="center"/>
            <w:hideMark/>
          </w:tcPr>
          <w:p w14:paraId="5C18C2B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3CF3C09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6E2FA12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3446B95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84082B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7DE4617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3D7C76D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5A411E6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5F957E5F" w14:textId="77777777" w:rsidTr="0088383B">
        <w:trPr>
          <w:trHeight w:val="288"/>
        </w:trPr>
        <w:tc>
          <w:tcPr>
            <w:tcW w:w="2136" w:type="dxa"/>
            <w:noWrap/>
            <w:vAlign w:val="center"/>
            <w:hideMark/>
          </w:tcPr>
          <w:p w14:paraId="60A366B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Dou, Ma and Fan (2025)</w:t>
            </w:r>
          </w:p>
        </w:tc>
        <w:tc>
          <w:tcPr>
            <w:tcW w:w="1902" w:type="dxa"/>
            <w:noWrap/>
            <w:vAlign w:val="center"/>
            <w:hideMark/>
          </w:tcPr>
          <w:p w14:paraId="1332B75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BB1855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0456101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74B2F00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0FAF41E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5180942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CBFCC4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188FCC1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1CF40C12" w14:textId="77777777" w:rsidTr="0088383B">
        <w:trPr>
          <w:trHeight w:val="288"/>
        </w:trPr>
        <w:tc>
          <w:tcPr>
            <w:tcW w:w="2136" w:type="dxa"/>
            <w:noWrap/>
            <w:vAlign w:val="center"/>
            <w:hideMark/>
          </w:tcPr>
          <w:p w14:paraId="051DF18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Eddial and Kirillova (2025)</w:t>
            </w:r>
          </w:p>
        </w:tc>
        <w:tc>
          <w:tcPr>
            <w:tcW w:w="1902" w:type="dxa"/>
            <w:noWrap/>
            <w:vAlign w:val="center"/>
            <w:hideMark/>
          </w:tcPr>
          <w:p w14:paraId="76F2109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3F7382B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D6B7FA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300DE2B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FBF82A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1103803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E5B292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A543EA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10236095" w14:textId="77777777" w:rsidTr="0088383B">
        <w:trPr>
          <w:trHeight w:val="288"/>
        </w:trPr>
        <w:tc>
          <w:tcPr>
            <w:tcW w:w="2136" w:type="dxa"/>
            <w:noWrap/>
            <w:vAlign w:val="center"/>
            <w:hideMark/>
          </w:tcPr>
          <w:p w14:paraId="597FD6F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El Hajal and Losekoot (2025)</w:t>
            </w:r>
          </w:p>
        </w:tc>
        <w:tc>
          <w:tcPr>
            <w:tcW w:w="1902" w:type="dxa"/>
            <w:noWrap/>
            <w:vAlign w:val="center"/>
            <w:hideMark/>
          </w:tcPr>
          <w:p w14:paraId="5F60A76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A02DE7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B1CDF4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1DAEB08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51B6660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5D7535F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74A3541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52FEB2E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29640AC5" w14:textId="77777777" w:rsidTr="0088383B">
        <w:trPr>
          <w:trHeight w:val="288"/>
        </w:trPr>
        <w:tc>
          <w:tcPr>
            <w:tcW w:w="2136" w:type="dxa"/>
            <w:noWrap/>
            <w:vAlign w:val="center"/>
            <w:hideMark/>
          </w:tcPr>
          <w:p w14:paraId="383CDAD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Gabrielova and Buchko (2021)</w:t>
            </w:r>
          </w:p>
        </w:tc>
        <w:tc>
          <w:tcPr>
            <w:tcW w:w="1902" w:type="dxa"/>
            <w:noWrap/>
            <w:vAlign w:val="center"/>
            <w:hideMark/>
          </w:tcPr>
          <w:p w14:paraId="0D86832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C62972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6D4DBC8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263" w:type="dxa"/>
            <w:noWrap/>
            <w:vAlign w:val="center"/>
            <w:hideMark/>
          </w:tcPr>
          <w:p w14:paraId="5A45C57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456" w:type="dxa"/>
            <w:noWrap/>
            <w:vAlign w:val="center"/>
            <w:hideMark/>
          </w:tcPr>
          <w:p w14:paraId="41B5DC1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542" w:type="dxa"/>
            <w:noWrap/>
            <w:vAlign w:val="center"/>
            <w:hideMark/>
          </w:tcPr>
          <w:p w14:paraId="78C876F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3D88555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556F498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0F101979" w14:textId="77777777" w:rsidTr="0088383B">
        <w:trPr>
          <w:trHeight w:val="288"/>
        </w:trPr>
        <w:tc>
          <w:tcPr>
            <w:tcW w:w="2136" w:type="dxa"/>
            <w:noWrap/>
            <w:vAlign w:val="center"/>
            <w:hideMark/>
          </w:tcPr>
          <w:p w14:paraId="7DFDFBC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Gandasari et al. (2024)</w:t>
            </w:r>
          </w:p>
        </w:tc>
        <w:tc>
          <w:tcPr>
            <w:tcW w:w="1902" w:type="dxa"/>
            <w:noWrap/>
            <w:vAlign w:val="center"/>
            <w:hideMark/>
          </w:tcPr>
          <w:p w14:paraId="0F4469C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E9BE34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D6B9DD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3492588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6D5A372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3903FC9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68FED44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BC63C9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0C230751" w14:textId="77777777" w:rsidTr="0088383B">
        <w:trPr>
          <w:trHeight w:val="288"/>
        </w:trPr>
        <w:tc>
          <w:tcPr>
            <w:tcW w:w="2136" w:type="dxa"/>
            <w:noWrap/>
            <w:vAlign w:val="center"/>
            <w:hideMark/>
          </w:tcPr>
          <w:p w14:paraId="77ADE08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Graczyk-Kucharska and Erickson (2020)</w:t>
            </w:r>
          </w:p>
        </w:tc>
        <w:tc>
          <w:tcPr>
            <w:tcW w:w="1902" w:type="dxa"/>
            <w:noWrap/>
            <w:vAlign w:val="center"/>
            <w:hideMark/>
          </w:tcPr>
          <w:p w14:paraId="6AF7F79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5E2ECB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2DA1238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19DD624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5D0F8B3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385CA5E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55548DF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03D1367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1C3C5703" w14:textId="77777777" w:rsidTr="0088383B">
        <w:trPr>
          <w:trHeight w:val="288"/>
        </w:trPr>
        <w:tc>
          <w:tcPr>
            <w:tcW w:w="2136" w:type="dxa"/>
            <w:noWrap/>
            <w:vAlign w:val="center"/>
            <w:hideMark/>
          </w:tcPr>
          <w:p w14:paraId="36DC559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Grow and Yang (2018)</w:t>
            </w:r>
          </w:p>
        </w:tc>
        <w:tc>
          <w:tcPr>
            <w:tcW w:w="1902" w:type="dxa"/>
            <w:noWrap/>
            <w:vAlign w:val="center"/>
            <w:hideMark/>
          </w:tcPr>
          <w:p w14:paraId="0662202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D793BD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2EFA34C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4FC75F4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2E9F0E5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26F620D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B57580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B9EF57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50FC46FD" w14:textId="77777777" w:rsidTr="0088383B">
        <w:trPr>
          <w:trHeight w:val="288"/>
        </w:trPr>
        <w:tc>
          <w:tcPr>
            <w:tcW w:w="2136" w:type="dxa"/>
            <w:noWrap/>
            <w:vAlign w:val="center"/>
            <w:hideMark/>
          </w:tcPr>
          <w:p w14:paraId="51E2D42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Guslina et al. (2025)</w:t>
            </w:r>
          </w:p>
        </w:tc>
        <w:tc>
          <w:tcPr>
            <w:tcW w:w="1902" w:type="dxa"/>
            <w:noWrap/>
            <w:vAlign w:val="center"/>
            <w:hideMark/>
          </w:tcPr>
          <w:p w14:paraId="1E2C299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F44FDB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34C6509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370E750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40ACE5B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43F5523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3560767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3F378BD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5CE4B9D2" w14:textId="77777777" w:rsidTr="0088383B">
        <w:trPr>
          <w:trHeight w:val="288"/>
        </w:trPr>
        <w:tc>
          <w:tcPr>
            <w:tcW w:w="2136" w:type="dxa"/>
            <w:noWrap/>
            <w:vAlign w:val="center"/>
            <w:hideMark/>
          </w:tcPr>
          <w:p w14:paraId="793C453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lastRenderedPageBreak/>
              <w:t>Holban and Bedrule-Grigoruţǎ (2025)</w:t>
            </w:r>
          </w:p>
        </w:tc>
        <w:tc>
          <w:tcPr>
            <w:tcW w:w="1902" w:type="dxa"/>
            <w:noWrap/>
            <w:vAlign w:val="center"/>
            <w:hideMark/>
          </w:tcPr>
          <w:p w14:paraId="5495E85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5FF68D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0264BC2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6D9397D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5234BAE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4BF2BEF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3A956A3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8F1520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064925E6" w14:textId="77777777" w:rsidTr="0088383B">
        <w:trPr>
          <w:trHeight w:val="288"/>
        </w:trPr>
        <w:tc>
          <w:tcPr>
            <w:tcW w:w="2136" w:type="dxa"/>
            <w:noWrap/>
            <w:vAlign w:val="center"/>
            <w:hideMark/>
          </w:tcPr>
          <w:p w14:paraId="4DB9A10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Janssen and Carradini (2021)</w:t>
            </w:r>
          </w:p>
        </w:tc>
        <w:tc>
          <w:tcPr>
            <w:tcW w:w="1902" w:type="dxa"/>
            <w:noWrap/>
            <w:vAlign w:val="center"/>
            <w:hideMark/>
          </w:tcPr>
          <w:p w14:paraId="570D20F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2DB60D6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3C2CFD5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24FEB83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5AECBFE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478B298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0C42E3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6FE568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692A62F6" w14:textId="77777777" w:rsidTr="0088383B">
        <w:trPr>
          <w:trHeight w:val="288"/>
        </w:trPr>
        <w:tc>
          <w:tcPr>
            <w:tcW w:w="2136" w:type="dxa"/>
            <w:noWrap/>
            <w:vAlign w:val="center"/>
            <w:hideMark/>
          </w:tcPr>
          <w:p w14:paraId="3F3FA14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Jasmine and Utomo (2024)</w:t>
            </w:r>
          </w:p>
        </w:tc>
        <w:tc>
          <w:tcPr>
            <w:tcW w:w="1902" w:type="dxa"/>
            <w:noWrap/>
            <w:vAlign w:val="center"/>
            <w:hideMark/>
          </w:tcPr>
          <w:p w14:paraId="2E30EB8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25C775F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004CD0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033B93D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FA44FD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7D97BAA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40E1924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021134F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1FA78A5D" w14:textId="77777777" w:rsidTr="0088383B">
        <w:trPr>
          <w:trHeight w:val="288"/>
        </w:trPr>
        <w:tc>
          <w:tcPr>
            <w:tcW w:w="2136" w:type="dxa"/>
            <w:noWrap/>
            <w:vAlign w:val="center"/>
            <w:hideMark/>
          </w:tcPr>
          <w:p w14:paraId="1A23792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Kgarimetsa and Naidoo (2024)</w:t>
            </w:r>
          </w:p>
        </w:tc>
        <w:tc>
          <w:tcPr>
            <w:tcW w:w="1902" w:type="dxa"/>
            <w:noWrap/>
            <w:vAlign w:val="center"/>
            <w:hideMark/>
          </w:tcPr>
          <w:p w14:paraId="2A1B608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752322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275A83E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5682A28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6CA334E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4C31131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11B5B0A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0AD81B9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30E8549D" w14:textId="77777777" w:rsidTr="0088383B">
        <w:trPr>
          <w:trHeight w:val="288"/>
        </w:trPr>
        <w:tc>
          <w:tcPr>
            <w:tcW w:w="2136" w:type="dxa"/>
            <w:noWrap/>
            <w:vAlign w:val="center"/>
            <w:hideMark/>
          </w:tcPr>
          <w:p w14:paraId="7973CAB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Krishna and Agrawal (2025)</w:t>
            </w:r>
          </w:p>
        </w:tc>
        <w:tc>
          <w:tcPr>
            <w:tcW w:w="1902" w:type="dxa"/>
            <w:noWrap/>
            <w:vAlign w:val="center"/>
            <w:hideMark/>
          </w:tcPr>
          <w:p w14:paraId="0AA5A64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0FE8FFD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8AC5D6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078756D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6E1C233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4880DBE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12806FB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095C319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0C004A83" w14:textId="77777777" w:rsidTr="0088383B">
        <w:trPr>
          <w:trHeight w:val="288"/>
        </w:trPr>
        <w:tc>
          <w:tcPr>
            <w:tcW w:w="2136" w:type="dxa"/>
            <w:noWrap/>
            <w:vAlign w:val="center"/>
            <w:hideMark/>
          </w:tcPr>
          <w:p w14:paraId="5C02D92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Lašáková, Vojteková and Procházková (2023)</w:t>
            </w:r>
          </w:p>
        </w:tc>
        <w:tc>
          <w:tcPr>
            <w:tcW w:w="1902" w:type="dxa"/>
            <w:noWrap/>
            <w:vAlign w:val="center"/>
            <w:hideMark/>
          </w:tcPr>
          <w:p w14:paraId="274B19C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0729D46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6AC6EBE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6C53FCD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6D189A4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63E46B1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4CED399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3E0CCC2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6B20EBF9" w14:textId="77777777" w:rsidTr="0088383B">
        <w:trPr>
          <w:trHeight w:val="288"/>
        </w:trPr>
        <w:tc>
          <w:tcPr>
            <w:tcW w:w="2136" w:type="dxa"/>
            <w:noWrap/>
            <w:vAlign w:val="center"/>
            <w:hideMark/>
          </w:tcPr>
          <w:p w14:paraId="0237375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Li et al. (2025)</w:t>
            </w:r>
          </w:p>
        </w:tc>
        <w:tc>
          <w:tcPr>
            <w:tcW w:w="1902" w:type="dxa"/>
            <w:noWrap/>
            <w:vAlign w:val="center"/>
            <w:hideMark/>
          </w:tcPr>
          <w:p w14:paraId="7A9EFDC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07AEEB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725F06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158553A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36E7D1A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76633AF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57DA68F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357674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08385AA6" w14:textId="77777777" w:rsidTr="0088383B">
        <w:trPr>
          <w:trHeight w:val="288"/>
        </w:trPr>
        <w:tc>
          <w:tcPr>
            <w:tcW w:w="2136" w:type="dxa"/>
            <w:noWrap/>
            <w:vAlign w:val="center"/>
            <w:hideMark/>
          </w:tcPr>
          <w:p w14:paraId="6909949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Liu-Lastres, Karatepe and Okumus (2024)</w:t>
            </w:r>
          </w:p>
        </w:tc>
        <w:tc>
          <w:tcPr>
            <w:tcW w:w="1902" w:type="dxa"/>
            <w:noWrap/>
            <w:vAlign w:val="center"/>
            <w:hideMark/>
          </w:tcPr>
          <w:p w14:paraId="4FF0AAC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5ED46C7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652A2D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263" w:type="dxa"/>
            <w:noWrap/>
            <w:vAlign w:val="center"/>
            <w:hideMark/>
          </w:tcPr>
          <w:p w14:paraId="7B3F05F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456" w:type="dxa"/>
            <w:noWrap/>
            <w:vAlign w:val="center"/>
            <w:hideMark/>
          </w:tcPr>
          <w:p w14:paraId="3BD50DC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542" w:type="dxa"/>
            <w:noWrap/>
            <w:vAlign w:val="center"/>
            <w:hideMark/>
          </w:tcPr>
          <w:p w14:paraId="777F647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6D3EE24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59F381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47E21895" w14:textId="77777777" w:rsidTr="0088383B">
        <w:trPr>
          <w:trHeight w:val="288"/>
        </w:trPr>
        <w:tc>
          <w:tcPr>
            <w:tcW w:w="2136" w:type="dxa"/>
            <w:noWrap/>
            <w:vAlign w:val="center"/>
            <w:hideMark/>
          </w:tcPr>
          <w:p w14:paraId="74FA48E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Mabaso (2025)</w:t>
            </w:r>
          </w:p>
        </w:tc>
        <w:tc>
          <w:tcPr>
            <w:tcW w:w="1902" w:type="dxa"/>
            <w:noWrap/>
            <w:vAlign w:val="center"/>
            <w:hideMark/>
          </w:tcPr>
          <w:p w14:paraId="039F5E5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13F2010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61E147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0B04693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4345DF4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6A92FD9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24171AB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3CB35C2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097E0EA1" w14:textId="77777777" w:rsidTr="0088383B">
        <w:trPr>
          <w:trHeight w:val="288"/>
        </w:trPr>
        <w:tc>
          <w:tcPr>
            <w:tcW w:w="2136" w:type="dxa"/>
            <w:noWrap/>
            <w:vAlign w:val="center"/>
            <w:hideMark/>
          </w:tcPr>
          <w:p w14:paraId="47D5E79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Nguyen and Petchsawang (2024)</w:t>
            </w:r>
          </w:p>
        </w:tc>
        <w:tc>
          <w:tcPr>
            <w:tcW w:w="1902" w:type="dxa"/>
            <w:noWrap/>
            <w:vAlign w:val="center"/>
            <w:hideMark/>
          </w:tcPr>
          <w:p w14:paraId="0DA34E3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CFB5DF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6251382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60E4256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2B7CD11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6E6D466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7133A7D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5968186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05322273" w14:textId="77777777" w:rsidTr="0088383B">
        <w:trPr>
          <w:trHeight w:val="288"/>
        </w:trPr>
        <w:tc>
          <w:tcPr>
            <w:tcW w:w="2136" w:type="dxa"/>
            <w:noWrap/>
            <w:vAlign w:val="center"/>
            <w:hideMark/>
          </w:tcPr>
          <w:p w14:paraId="4403E1B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Nguyen Ngoc et al. (2022)</w:t>
            </w:r>
          </w:p>
        </w:tc>
        <w:tc>
          <w:tcPr>
            <w:tcW w:w="1902" w:type="dxa"/>
            <w:noWrap/>
            <w:vAlign w:val="center"/>
            <w:hideMark/>
          </w:tcPr>
          <w:p w14:paraId="20AA1AD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38D44F1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3EC27C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55BE32F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7CB6005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6D394A2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9DD932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97B2B1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500C8F0F" w14:textId="77777777" w:rsidTr="0088383B">
        <w:trPr>
          <w:trHeight w:val="288"/>
        </w:trPr>
        <w:tc>
          <w:tcPr>
            <w:tcW w:w="2136" w:type="dxa"/>
            <w:noWrap/>
            <w:vAlign w:val="center"/>
            <w:hideMark/>
          </w:tcPr>
          <w:p w14:paraId="6F6055B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lastRenderedPageBreak/>
              <w:t>O’Connor and Rinella (2024)</w:t>
            </w:r>
          </w:p>
        </w:tc>
        <w:tc>
          <w:tcPr>
            <w:tcW w:w="1902" w:type="dxa"/>
            <w:noWrap/>
            <w:vAlign w:val="center"/>
            <w:hideMark/>
          </w:tcPr>
          <w:p w14:paraId="4CAAB7C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C58738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854EB0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6CC8E4A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71F8993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691B600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5A4090B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43207A9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0C5CB6E5" w14:textId="77777777" w:rsidTr="0088383B">
        <w:trPr>
          <w:trHeight w:val="288"/>
        </w:trPr>
        <w:tc>
          <w:tcPr>
            <w:tcW w:w="2136" w:type="dxa"/>
            <w:noWrap/>
            <w:vAlign w:val="center"/>
            <w:hideMark/>
          </w:tcPr>
          <w:p w14:paraId="0CD90AD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Osorio and Madero (2025)</w:t>
            </w:r>
          </w:p>
        </w:tc>
        <w:tc>
          <w:tcPr>
            <w:tcW w:w="1902" w:type="dxa"/>
            <w:noWrap/>
            <w:vAlign w:val="center"/>
            <w:hideMark/>
          </w:tcPr>
          <w:p w14:paraId="184DF90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0258555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1CEE0D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263" w:type="dxa"/>
            <w:noWrap/>
            <w:vAlign w:val="center"/>
            <w:hideMark/>
          </w:tcPr>
          <w:p w14:paraId="48948A1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456" w:type="dxa"/>
            <w:noWrap/>
            <w:vAlign w:val="center"/>
            <w:hideMark/>
          </w:tcPr>
          <w:p w14:paraId="0581CFF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542" w:type="dxa"/>
            <w:noWrap/>
            <w:vAlign w:val="center"/>
            <w:hideMark/>
          </w:tcPr>
          <w:p w14:paraId="601356F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60FC630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A75983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314E4AFB" w14:textId="77777777" w:rsidTr="0088383B">
        <w:trPr>
          <w:trHeight w:val="288"/>
        </w:trPr>
        <w:tc>
          <w:tcPr>
            <w:tcW w:w="2136" w:type="dxa"/>
            <w:noWrap/>
            <w:vAlign w:val="center"/>
            <w:hideMark/>
          </w:tcPr>
          <w:p w14:paraId="5BE1251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Pandita (2022)</w:t>
            </w:r>
          </w:p>
        </w:tc>
        <w:tc>
          <w:tcPr>
            <w:tcW w:w="1902" w:type="dxa"/>
            <w:noWrap/>
            <w:vAlign w:val="center"/>
            <w:hideMark/>
          </w:tcPr>
          <w:p w14:paraId="2D9340A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0523876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3F0F551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4A40FE5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3A695FE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779067F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79F1937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8D8D41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668F957E" w14:textId="77777777" w:rsidTr="0088383B">
        <w:trPr>
          <w:trHeight w:val="288"/>
        </w:trPr>
        <w:tc>
          <w:tcPr>
            <w:tcW w:w="2136" w:type="dxa"/>
            <w:noWrap/>
            <w:vAlign w:val="center"/>
            <w:hideMark/>
          </w:tcPr>
          <w:p w14:paraId="239F4F2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Pandita and Khatwani (2022)</w:t>
            </w:r>
          </w:p>
        </w:tc>
        <w:tc>
          <w:tcPr>
            <w:tcW w:w="1902" w:type="dxa"/>
            <w:noWrap/>
            <w:vAlign w:val="center"/>
            <w:hideMark/>
          </w:tcPr>
          <w:p w14:paraId="1FD6470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A6F4DF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B0E59E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109B47F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3025655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25AC94F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68DAA41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1FBDE6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4B8B88E4" w14:textId="77777777" w:rsidTr="0088383B">
        <w:trPr>
          <w:trHeight w:val="288"/>
        </w:trPr>
        <w:tc>
          <w:tcPr>
            <w:tcW w:w="2136" w:type="dxa"/>
            <w:noWrap/>
            <w:vAlign w:val="center"/>
            <w:hideMark/>
          </w:tcPr>
          <w:p w14:paraId="2D66E3A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Paramaguru et al. (2024)</w:t>
            </w:r>
          </w:p>
        </w:tc>
        <w:tc>
          <w:tcPr>
            <w:tcW w:w="1902" w:type="dxa"/>
            <w:noWrap/>
            <w:vAlign w:val="center"/>
            <w:hideMark/>
          </w:tcPr>
          <w:p w14:paraId="14758ED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CF6A5B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D40AA9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263" w:type="dxa"/>
            <w:noWrap/>
            <w:vAlign w:val="center"/>
            <w:hideMark/>
          </w:tcPr>
          <w:p w14:paraId="54DC0FA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456" w:type="dxa"/>
            <w:noWrap/>
            <w:vAlign w:val="center"/>
            <w:hideMark/>
          </w:tcPr>
          <w:p w14:paraId="195091F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542" w:type="dxa"/>
            <w:noWrap/>
            <w:vAlign w:val="center"/>
            <w:hideMark/>
          </w:tcPr>
          <w:p w14:paraId="42FCA1F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70DDAC5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04B5BFC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24ABC61F" w14:textId="77777777" w:rsidTr="0088383B">
        <w:trPr>
          <w:trHeight w:val="288"/>
        </w:trPr>
        <w:tc>
          <w:tcPr>
            <w:tcW w:w="2136" w:type="dxa"/>
            <w:noWrap/>
            <w:vAlign w:val="center"/>
            <w:hideMark/>
          </w:tcPr>
          <w:p w14:paraId="430F81D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Pichler, Kohli and Granitz (2021)</w:t>
            </w:r>
          </w:p>
        </w:tc>
        <w:tc>
          <w:tcPr>
            <w:tcW w:w="1902" w:type="dxa"/>
            <w:noWrap/>
            <w:vAlign w:val="center"/>
            <w:hideMark/>
          </w:tcPr>
          <w:p w14:paraId="24CD4C0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2E9AA9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09422FB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263" w:type="dxa"/>
            <w:noWrap/>
            <w:vAlign w:val="center"/>
            <w:hideMark/>
          </w:tcPr>
          <w:p w14:paraId="4B2E00D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456" w:type="dxa"/>
            <w:noWrap/>
            <w:vAlign w:val="center"/>
            <w:hideMark/>
          </w:tcPr>
          <w:p w14:paraId="3EE3CF4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applicable</w:t>
            </w:r>
          </w:p>
        </w:tc>
        <w:tc>
          <w:tcPr>
            <w:tcW w:w="1542" w:type="dxa"/>
            <w:noWrap/>
            <w:vAlign w:val="center"/>
            <w:hideMark/>
          </w:tcPr>
          <w:p w14:paraId="44941BC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00FA8F9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8DC40B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3824C1DE" w14:textId="77777777" w:rsidTr="0088383B">
        <w:trPr>
          <w:trHeight w:val="288"/>
        </w:trPr>
        <w:tc>
          <w:tcPr>
            <w:tcW w:w="2136" w:type="dxa"/>
            <w:noWrap/>
            <w:vAlign w:val="center"/>
            <w:hideMark/>
          </w:tcPr>
          <w:p w14:paraId="6CDC6B5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Pradhana et al. (2024)</w:t>
            </w:r>
          </w:p>
        </w:tc>
        <w:tc>
          <w:tcPr>
            <w:tcW w:w="1902" w:type="dxa"/>
            <w:noWrap/>
            <w:vAlign w:val="center"/>
            <w:hideMark/>
          </w:tcPr>
          <w:p w14:paraId="5461AFF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2A8A02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5A14B09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66C7621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0A0A6F3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4D592B3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70DB59C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760658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187CBA9C" w14:textId="77777777" w:rsidTr="0088383B">
        <w:trPr>
          <w:trHeight w:val="288"/>
        </w:trPr>
        <w:tc>
          <w:tcPr>
            <w:tcW w:w="2136" w:type="dxa"/>
            <w:noWrap/>
            <w:vAlign w:val="center"/>
            <w:hideMark/>
          </w:tcPr>
          <w:p w14:paraId="752E2DD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Racolţa-Paina and Irini (2021)</w:t>
            </w:r>
          </w:p>
        </w:tc>
        <w:tc>
          <w:tcPr>
            <w:tcW w:w="1902" w:type="dxa"/>
            <w:noWrap/>
            <w:vAlign w:val="center"/>
            <w:hideMark/>
          </w:tcPr>
          <w:p w14:paraId="664042E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A54082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4C90D9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001B42C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30DCCB5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2171B1A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21B9553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52977BF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6493F584" w14:textId="77777777" w:rsidTr="0088383B">
        <w:trPr>
          <w:trHeight w:val="288"/>
        </w:trPr>
        <w:tc>
          <w:tcPr>
            <w:tcW w:w="2136" w:type="dxa"/>
            <w:noWrap/>
            <w:vAlign w:val="center"/>
            <w:hideMark/>
          </w:tcPr>
          <w:p w14:paraId="040FA56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Sigaeva et al. (2022)</w:t>
            </w:r>
          </w:p>
        </w:tc>
        <w:tc>
          <w:tcPr>
            <w:tcW w:w="1902" w:type="dxa"/>
            <w:noWrap/>
            <w:vAlign w:val="center"/>
            <w:hideMark/>
          </w:tcPr>
          <w:p w14:paraId="7961EBC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3CA0085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626BD42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5DB7D0D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6FD4743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447A67B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26E9071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07C88A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15F0054F" w14:textId="77777777" w:rsidTr="0088383B">
        <w:trPr>
          <w:trHeight w:val="288"/>
        </w:trPr>
        <w:tc>
          <w:tcPr>
            <w:tcW w:w="2136" w:type="dxa"/>
            <w:noWrap/>
            <w:vAlign w:val="center"/>
            <w:hideMark/>
          </w:tcPr>
          <w:p w14:paraId="1B3EAA4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Singh, Kurian and Sivagnanasundaram (2024)</w:t>
            </w:r>
          </w:p>
        </w:tc>
        <w:tc>
          <w:tcPr>
            <w:tcW w:w="1902" w:type="dxa"/>
            <w:noWrap/>
            <w:vAlign w:val="center"/>
            <w:hideMark/>
          </w:tcPr>
          <w:p w14:paraId="78289A5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8B555D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6FAB045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0ED1E19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24C7EDA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24F5791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783405A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0B3347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41BBCB27" w14:textId="77777777" w:rsidTr="0088383B">
        <w:trPr>
          <w:trHeight w:val="288"/>
        </w:trPr>
        <w:tc>
          <w:tcPr>
            <w:tcW w:w="2136" w:type="dxa"/>
            <w:noWrap/>
            <w:vAlign w:val="center"/>
            <w:hideMark/>
          </w:tcPr>
          <w:p w14:paraId="34085FE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Surugiu et al. (2025)</w:t>
            </w:r>
          </w:p>
        </w:tc>
        <w:tc>
          <w:tcPr>
            <w:tcW w:w="1902" w:type="dxa"/>
            <w:noWrap/>
            <w:vAlign w:val="center"/>
            <w:hideMark/>
          </w:tcPr>
          <w:p w14:paraId="669B6B5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370E84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D8AD9A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62CDE0E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0F3A891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53AAED0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5F544164"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26C3D47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15482837" w14:textId="77777777" w:rsidTr="0088383B">
        <w:trPr>
          <w:trHeight w:val="288"/>
        </w:trPr>
        <w:tc>
          <w:tcPr>
            <w:tcW w:w="2136" w:type="dxa"/>
            <w:noWrap/>
            <w:vAlign w:val="center"/>
            <w:hideMark/>
          </w:tcPr>
          <w:p w14:paraId="5C6D67C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Tran et al. (2024a)</w:t>
            </w:r>
          </w:p>
        </w:tc>
        <w:tc>
          <w:tcPr>
            <w:tcW w:w="1902" w:type="dxa"/>
            <w:noWrap/>
            <w:vAlign w:val="center"/>
            <w:hideMark/>
          </w:tcPr>
          <w:p w14:paraId="12D9E0E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4B9577D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023A4B0"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3271BA2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4FFEFED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0483A9C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A14A35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6F6F20B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5C94551C" w14:textId="77777777" w:rsidTr="0088383B">
        <w:trPr>
          <w:trHeight w:val="288"/>
        </w:trPr>
        <w:tc>
          <w:tcPr>
            <w:tcW w:w="2136" w:type="dxa"/>
            <w:noWrap/>
            <w:vAlign w:val="center"/>
            <w:hideMark/>
          </w:tcPr>
          <w:p w14:paraId="0C3B7DF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lastRenderedPageBreak/>
              <w:t>Tran et al. (2024b)</w:t>
            </w:r>
          </w:p>
        </w:tc>
        <w:tc>
          <w:tcPr>
            <w:tcW w:w="1902" w:type="dxa"/>
            <w:noWrap/>
            <w:vAlign w:val="center"/>
            <w:hideMark/>
          </w:tcPr>
          <w:p w14:paraId="18FE1C2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678BCF0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993045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181B00B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5EF6FE1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447E862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4EC8EA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5314B5E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54623B66" w14:textId="77777777" w:rsidTr="0088383B">
        <w:trPr>
          <w:trHeight w:val="288"/>
        </w:trPr>
        <w:tc>
          <w:tcPr>
            <w:tcW w:w="2136" w:type="dxa"/>
            <w:noWrap/>
            <w:vAlign w:val="center"/>
            <w:hideMark/>
          </w:tcPr>
          <w:p w14:paraId="4191F15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Veluchamy, Agrawal and Krishnan (2016)</w:t>
            </w:r>
          </w:p>
        </w:tc>
        <w:tc>
          <w:tcPr>
            <w:tcW w:w="1902" w:type="dxa"/>
            <w:noWrap/>
            <w:vAlign w:val="center"/>
            <w:hideMark/>
          </w:tcPr>
          <w:p w14:paraId="6D93D8E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5BF4606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4923CEB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7DBD7D1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456" w:type="dxa"/>
            <w:noWrap/>
            <w:vAlign w:val="center"/>
            <w:hideMark/>
          </w:tcPr>
          <w:p w14:paraId="6974FA4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Not reported</w:t>
            </w:r>
          </w:p>
        </w:tc>
        <w:tc>
          <w:tcPr>
            <w:tcW w:w="1542" w:type="dxa"/>
            <w:noWrap/>
            <w:vAlign w:val="center"/>
            <w:hideMark/>
          </w:tcPr>
          <w:p w14:paraId="47B259AC"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2026FA3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7F5754E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2A89F0F5" w14:textId="77777777" w:rsidTr="0088383B">
        <w:trPr>
          <w:trHeight w:val="288"/>
        </w:trPr>
        <w:tc>
          <w:tcPr>
            <w:tcW w:w="2136" w:type="dxa"/>
            <w:noWrap/>
            <w:vAlign w:val="center"/>
            <w:hideMark/>
          </w:tcPr>
          <w:p w14:paraId="578DAB8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Xueyun et al. (2023)</w:t>
            </w:r>
          </w:p>
        </w:tc>
        <w:tc>
          <w:tcPr>
            <w:tcW w:w="1902" w:type="dxa"/>
            <w:noWrap/>
            <w:vAlign w:val="center"/>
            <w:hideMark/>
          </w:tcPr>
          <w:p w14:paraId="3D9EA14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099E227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29E25B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5819FDE7"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782E5CA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25A4AB4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394AFF4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12177FA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02FA2FF0" w14:textId="77777777" w:rsidTr="0088383B">
        <w:trPr>
          <w:trHeight w:val="288"/>
        </w:trPr>
        <w:tc>
          <w:tcPr>
            <w:tcW w:w="2136" w:type="dxa"/>
            <w:noWrap/>
            <w:vAlign w:val="center"/>
            <w:hideMark/>
          </w:tcPr>
          <w:p w14:paraId="08EDAA1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Xueyun, Yang and Al Mamun (2024)</w:t>
            </w:r>
          </w:p>
        </w:tc>
        <w:tc>
          <w:tcPr>
            <w:tcW w:w="1902" w:type="dxa"/>
            <w:noWrap/>
            <w:vAlign w:val="center"/>
            <w:hideMark/>
          </w:tcPr>
          <w:p w14:paraId="056AAFB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68E3822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7B05E6D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2C76A96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5F4E2E88"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555C0E3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479B3D8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1CBC684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6BCFBAB3" w14:textId="77777777" w:rsidTr="0088383B">
        <w:trPr>
          <w:trHeight w:val="288"/>
        </w:trPr>
        <w:tc>
          <w:tcPr>
            <w:tcW w:w="2136" w:type="dxa"/>
            <w:noWrap/>
            <w:vAlign w:val="center"/>
            <w:hideMark/>
          </w:tcPr>
          <w:p w14:paraId="530DB51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Yunyi, Singh and Kularajasingam (2024)</w:t>
            </w:r>
          </w:p>
        </w:tc>
        <w:tc>
          <w:tcPr>
            <w:tcW w:w="1902" w:type="dxa"/>
            <w:noWrap/>
            <w:vAlign w:val="center"/>
            <w:hideMark/>
          </w:tcPr>
          <w:p w14:paraId="691FE8D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0833811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3AECA0D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63" w:type="dxa"/>
            <w:noWrap/>
            <w:vAlign w:val="center"/>
            <w:hideMark/>
          </w:tcPr>
          <w:p w14:paraId="22E3C64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73B628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5C3F6D6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208" w:type="dxa"/>
            <w:noWrap/>
            <w:vAlign w:val="center"/>
            <w:hideMark/>
          </w:tcPr>
          <w:p w14:paraId="085496C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5DC864C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Medium</w:t>
            </w:r>
          </w:p>
        </w:tc>
      </w:tr>
      <w:tr w:rsidR="0088383B" w:rsidRPr="00ED437B" w14:paraId="3A36D38A" w14:textId="77777777" w:rsidTr="0088383B">
        <w:trPr>
          <w:trHeight w:val="288"/>
        </w:trPr>
        <w:tc>
          <w:tcPr>
            <w:tcW w:w="2136" w:type="dxa"/>
            <w:noWrap/>
            <w:vAlign w:val="center"/>
            <w:hideMark/>
          </w:tcPr>
          <w:p w14:paraId="1B3A680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Zhong et al. (2024)</w:t>
            </w:r>
          </w:p>
        </w:tc>
        <w:tc>
          <w:tcPr>
            <w:tcW w:w="1902" w:type="dxa"/>
            <w:noWrap/>
            <w:vAlign w:val="center"/>
            <w:hideMark/>
          </w:tcPr>
          <w:p w14:paraId="719CE52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2B0FE54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1BDAD19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34A78C09"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1AB40A9E"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42" w:type="dxa"/>
            <w:noWrap/>
            <w:vAlign w:val="center"/>
            <w:hideMark/>
          </w:tcPr>
          <w:p w14:paraId="0807FE9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35BF446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63366E6A"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r w:rsidR="0088383B" w:rsidRPr="00ED437B" w14:paraId="1E5F13BE" w14:textId="77777777" w:rsidTr="0088383B">
        <w:trPr>
          <w:trHeight w:val="288"/>
        </w:trPr>
        <w:tc>
          <w:tcPr>
            <w:tcW w:w="2136" w:type="dxa"/>
            <w:noWrap/>
            <w:vAlign w:val="center"/>
            <w:hideMark/>
          </w:tcPr>
          <w:p w14:paraId="645E38B6"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Zhou, Chi and Wen (2025)</w:t>
            </w:r>
          </w:p>
        </w:tc>
        <w:tc>
          <w:tcPr>
            <w:tcW w:w="1902" w:type="dxa"/>
            <w:noWrap/>
            <w:vAlign w:val="center"/>
            <w:hideMark/>
          </w:tcPr>
          <w:p w14:paraId="14FE092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0" w:type="dxa"/>
            <w:noWrap/>
            <w:vAlign w:val="center"/>
            <w:hideMark/>
          </w:tcPr>
          <w:p w14:paraId="70B268D2"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517" w:type="dxa"/>
            <w:noWrap/>
            <w:vAlign w:val="center"/>
            <w:hideMark/>
          </w:tcPr>
          <w:p w14:paraId="076C34F5"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63" w:type="dxa"/>
            <w:noWrap/>
            <w:vAlign w:val="center"/>
            <w:hideMark/>
          </w:tcPr>
          <w:p w14:paraId="5D38476F"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56" w:type="dxa"/>
            <w:noWrap/>
            <w:vAlign w:val="center"/>
            <w:hideMark/>
          </w:tcPr>
          <w:p w14:paraId="53196283"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Partial</w:t>
            </w:r>
          </w:p>
        </w:tc>
        <w:tc>
          <w:tcPr>
            <w:tcW w:w="1542" w:type="dxa"/>
            <w:noWrap/>
            <w:vAlign w:val="center"/>
            <w:hideMark/>
          </w:tcPr>
          <w:p w14:paraId="0FE518BB"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208" w:type="dxa"/>
            <w:noWrap/>
            <w:vAlign w:val="center"/>
            <w:hideMark/>
          </w:tcPr>
          <w:p w14:paraId="62F268F1"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Yes</w:t>
            </w:r>
          </w:p>
        </w:tc>
        <w:tc>
          <w:tcPr>
            <w:tcW w:w="1464" w:type="dxa"/>
            <w:noWrap/>
            <w:vAlign w:val="center"/>
            <w:hideMark/>
          </w:tcPr>
          <w:p w14:paraId="012C5FAD" w14:textId="77777777" w:rsidR="0088383B" w:rsidRPr="00ED437B" w:rsidRDefault="0088383B" w:rsidP="000C3E28">
            <w:pPr>
              <w:spacing w:line="276" w:lineRule="auto"/>
              <w:jc w:val="left"/>
              <w:rPr>
                <w:rFonts w:asciiTheme="minorBidi" w:eastAsia="Times New Roman" w:hAnsiTheme="minorBidi"/>
                <w:color w:val="000000"/>
                <w:sz w:val="20"/>
                <w:szCs w:val="20"/>
                <w:lang w:eastAsia="zh-CN" w:bidi="bn-IN"/>
              </w:rPr>
            </w:pPr>
            <w:r w:rsidRPr="00ED437B">
              <w:rPr>
                <w:rFonts w:asciiTheme="minorBidi" w:eastAsia="Times New Roman" w:hAnsiTheme="minorBidi"/>
                <w:color w:val="000000"/>
                <w:sz w:val="20"/>
                <w:szCs w:val="20"/>
                <w:lang w:eastAsia="zh-CN" w:bidi="bn-IN"/>
              </w:rPr>
              <w:t>High</w:t>
            </w:r>
          </w:p>
        </w:tc>
      </w:tr>
    </w:tbl>
    <w:p w14:paraId="69CCE3CB" w14:textId="77777777" w:rsidR="000C3E28" w:rsidRPr="00ED437B" w:rsidRDefault="000C3E28" w:rsidP="000C3E28"/>
    <w:p w14:paraId="2DC528E2" w14:textId="77777777" w:rsidR="000C3E28" w:rsidRPr="000C3E28" w:rsidRDefault="000C3E28" w:rsidP="000C3E28">
      <w:pPr>
        <w:rPr>
          <w:lang w:val="en-US"/>
        </w:rPr>
      </w:pPr>
    </w:p>
    <w:sectPr w:rsidR="000C3E28" w:rsidRPr="000C3E28" w:rsidSect="000C3E28">
      <w:pgSz w:w="16838" w:h="11906" w:orient="landscape"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9ADDE" w14:textId="77777777" w:rsidR="00445DF0" w:rsidRPr="00ED437B" w:rsidRDefault="00445DF0" w:rsidP="00177CC9">
      <w:pPr>
        <w:spacing w:after="0" w:line="240" w:lineRule="auto"/>
      </w:pPr>
      <w:r w:rsidRPr="00ED437B">
        <w:separator/>
      </w:r>
    </w:p>
  </w:endnote>
  <w:endnote w:type="continuationSeparator" w:id="0">
    <w:p w14:paraId="539EE371" w14:textId="77777777" w:rsidR="00445DF0" w:rsidRPr="00ED437B" w:rsidRDefault="00445DF0" w:rsidP="00177CC9">
      <w:pPr>
        <w:spacing w:after="0" w:line="240" w:lineRule="auto"/>
      </w:pPr>
      <w:r w:rsidRPr="00ED437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7608753"/>
      <w:docPartObj>
        <w:docPartGallery w:val="Page Numbers (Bottom of Page)"/>
        <w:docPartUnique/>
      </w:docPartObj>
    </w:sdtPr>
    <w:sdtContent>
      <w:p w14:paraId="4C98A0DB" w14:textId="3D76251F" w:rsidR="008C5097" w:rsidRPr="00ED437B" w:rsidRDefault="008C5097">
        <w:pPr>
          <w:pStyle w:val="Footer"/>
          <w:jc w:val="center"/>
        </w:pPr>
        <w:r w:rsidRPr="00ED437B">
          <w:fldChar w:fldCharType="begin"/>
        </w:r>
        <w:r w:rsidRPr="00ED437B">
          <w:instrText xml:space="preserve"> PAGE   \* MERGEFORMAT </w:instrText>
        </w:r>
        <w:r w:rsidRPr="00ED437B">
          <w:fldChar w:fldCharType="separate"/>
        </w:r>
        <w:r w:rsidRPr="00ED437B">
          <w:t>2</w:t>
        </w:r>
        <w:r w:rsidRPr="00ED437B">
          <w:fldChar w:fldCharType="end"/>
        </w:r>
      </w:p>
    </w:sdtContent>
  </w:sdt>
  <w:p w14:paraId="0BB21E42" w14:textId="77777777" w:rsidR="008C5097" w:rsidRPr="00ED437B" w:rsidRDefault="008C5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A0BC8" w14:textId="77777777" w:rsidR="00445DF0" w:rsidRPr="00ED437B" w:rsidRDefault="00445DF0" w:rsidP="00177CC9">
      <w:pPr>
        <w:spacing w:after="0" w:line="240" w:lineRule="auto"/>
      </w:pPr>
      <w:r w:rsidRPr="00ED437B">
        <w:separator/>
      </w:r>
    </w:p>
  </w:footnote>
  <w:footnote w:type="continuationSeparator" w:id="0">
    <w:p w14:paraId="4F3AC3A6" w14:textId="77777777" w:rsidR="00445DF0" w:rsidRPr="00ED437B" w:rsidRDefault="00445DF0" w:rsidP="00177CC9">
      <w:pPr>
        <w:spacing w:after="0" w:line="240" w:lineRule="auto"/>
      </w:pPr>
      <w:r w:rsidRPr="00ED437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F3D86"/>
    <w:multiLevelType w:val="hybridMultilevel"/>
    <w:tmpl w:val="A35C7D1E"/>
    <w:lvl w:ilvl="0" w:tplc="0409001B">
      <w:start w:val="1"/>
      <w:numFmt w:val="lowerRoman"/>
      <w:lvlText w:val="%1."/>
      <w:lvlJc w:val="righ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06BC10FF"/>
    <w:multiLevelType w:val="hybridMultilevel"/>
    <w:tmpl w:val="2B468D3E"/>
    <w:lvl w:ilvl="0" w:tplc="0409001B">
      <w:start w:val="1"/>
      <w:numFmt w:val="lowerRoman"/>
      <w:lvlText w:val="%1."/>
      <w:lvlJc w:val="right"/>
      <w:pPr>
        <w:ind w:left="1152" w:hanging="360"/>
      </w:pPr>
    </w:lvl>
    <w:lvl w:ilvl="1" w:tplc="FFFFFFFF">
      <w:start w:val="1"/>
      <w:numFmt w:val="bullet"/>
      <w:lvlText w:val="o"/>
      <w:lvlJc w:val="left"/>
      <w:pPr>
        <w:ind w:left="1872" w:hanging="360"/>
      </w:pPr>
      <w:rPr>
        <w:rFonts w:ascii="Courier New" w:hAnsi="Courier New" w:cs="Courier New" w:hint="default"/>
      </w:rPr>
    </w:lvl>
    <w:lvl w:ilvl="2" w:tplc="FFFFFFFF">
      <w:start w:val="1"/>
      <w:numFmt w:val="bullet"/>
      <w:lvlText w:val=""/>
      <w:lvlJc w:val="left"/>
      <w:pPr>
        <w:ind w:left="2592" w:hanging="360"/>
      </w:pPr>
      <w:rPr>
        <w:rFonts w:ascii="Wingdings" w:hAnsi="Wingdings" w:hint="default"/>
      </w:rPr>
    </w:lvl>
    <w:lvl w:ilvl="3" w:tplc="FFFFFFFF">
      <w:start w:val="1"/>
      <w:numFmt w:val="bullet"/>
      <w:lvlText w:val=""/>
      <w:lvlJc w:val="left"/>
      <w:pPr>
        <w:ind w:left="3312" w:hanging="360"/>
      </w:pPr>
      <w:rPr>
        <w:rFonts w:ascii="Symbol" w:hAnsi="Symbol" w:hint="default"/>
      </w:rPr>
    </w:lvl>
    <w:lvl w:ilvl="4" w:tplc="FFFFFFFF">
      <w:start w:val="1"/>
      <w:numFmt w:val="bullet"/>
      <w:lvlText w:val="o"/>
      <w:lvlJc w:val="left"/>
      <w:pPr>
        <w:ind w:left="4032" w:hanging="360"/>
      </w:pPr>
      <w:rPr>
        <w:rFonts w:ascii="Courier New" w:hAnsi="Courier New" w:cs="Courier New" w:hint="default"/>
      </w:rPr>
    </w:lvl>
    <w:lvl w:ilvl="5" w:tplc="FFFFFFFF">
      <w:start w:val="1"/>
      <w:numFmt w:val="bullet"/>
      <w:lvlText w:val=""/>
      <w:lvlJc w:val="left"/>
      <w:pPr>
        <w:ind w:left="4752" w:hanging="360"/>
      </w:pPr>
      <w:rPr>
        <w:rFonts w:ascii="Wingdings" w:hAnsi="Wingdings" w:hint="default"/>
      </w:rPr>
    </w:lvl>
    <w:lvl w:ilvl="6" w:tplc="FFFFFFFF">
      <w:start w:val="1"/>
      <w:numFmt w:val="bullet"/>
      <w:lvlText w:val=""/>
      <w:lvlJc w:val="left"/>
      <w:pPr>
        <w:ind w:left="5472" w:hanging="360"/>
      </w:pPr>
      <w:rPr>
        <w:rFonts w:ascii="Symbol" w:hAnsi="Symbol" w:hint="default"/>
      </w:rPr>
    </w:lvl>
    <w:lvl w:ilvl="7" w:tplc="FFFFFFFF">
      <w:start w:val="1"/>
      <w:numFmt w:val="bullet"/>
      <w:lvlText w:val="o"/>
      <w:lvlJc w:val="left"/>
      <w:pPr>
        <w:ind w:left="6192" w:hanging="360"/>
      </w:pPr>
      <w:rPr>
        <w:rFonts w:ascii="Courier New" w:hAnsi="Courier New" w:cs="Courier New" w:hint="default"/>
      </w:rPr>
    </w:lvl>
    <w:lvl w:ilvl="8" w:tplc="FFFFFFFF">
      <w:start w:val="1"/>
      <w:numFmt w:val="bullet"/>
      <w:lvlText w:val=""/>
      <w:lvlJc w:val="left"/>
      <w:pPr>
        <w:ind w:left="6912" w:hanging="360"/>
      </w:pPr>
      <w:rPr>
        <w:rFonts w:ascii="Wingdings" w:hAnsi="Wingdings" w:hint="default"/>
      </w:rPr>
    </w:lvl>
  </w:abstractNum>
  <w:abstractNum w:abstractNumId="2" w15:restartNumberingAfterBreak="0">
    <w:nsid w:val="078E00C0"/>
    <w:multiLevelType w:val="hybridMultilevel"/>
    <w:tmpl w:val="ED404D92"/>
    <w:lvl w:ilvl="0" w:tplc="A7A03B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27033"/>
    <w:multiLevelType w:val="multilevel"/>
    <w:tmpl w:val="6988F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2775B"/>
    <w:multiLevelType w:val="multilevel"/>
    <w:tmpl w:val="9820AB1A"/>
    <w:lvl w:ilvl="0">
      <w:start w:val="1"/>
      <w:numFmt w:val="decimal"/>
      <w:pStyle w:val="Heading1"/>
      <w:lvlText w:val="%1"/>
      <w:lvlJc w:val="left"/>
      <w:pPr>
        <w:ind w:left="432" w:hanging="432"/>
      </w:pPr>
      <w:rPr>
        <w:color w:val="FFFFFF" w:themeColor="background1"/>
      </w:rPr>
    </w:lvl>
    <w:lvl w:ilvl="1">
      <w:start w:val="1"/>
      <w:numFmt w:val="decimal"/>
      <w:pStyle w:val="Heading2"/>
      <w:lvlText w:val="%1.%2"/>
      <w:lvlJc w:val="left"/>
      <w:pPr>
        <w:ind w:left="576" w:hanging="576"/>
      </w:pPr>
      <w:rPr>
        <w:rFonts w:ascii="Arial" w:hAnsi="Arial" w:cs="Arial" w:hint="default"/>
        <w:sz w:val="24"/>
        <w:szCs w:val="24"/>
      </w:rPr>
    </w:lvl>
    <w:lvl w:ilvl="2">
      <w:start w:val="1"/>
      <w:numFmt w:val="decimal"/>
      <w:pStyle w:val="Heading3"/>
      <w:lvlText w:val="%1.%2.%3"/>
      <w:lvlJc w:val="left"/>
      <w:pPr>
        <w:ind w:left="720" w:hanging="720"/>
      </w:pPr>
      <w:rPr>
        <w:rFonts w:ascii="Arial" w:hAnsi="Arial" w:cs="Arial" w:hint="default"/>
        <w:sz w:val="24"/>
        <w:szCs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3954D7"/>
    <w:multiLevelType w:val="hybridMultilevel"/>
    <w:tmpl w:val="ED3A4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6179C0"/>
    <w:multiLevelType w:val="hybridMultilevel"/>
    <w:tmpl w:val="03589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A875F4"/>
    <w:multiLevelType w:val="hybridMultilevel"/>
    <w:tmpl w:val="A162D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1A3DDA"/>
    <w:multiLevelType w:val="hybridMultilevel"/>
    <w:tmpl w:val="35D6B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0C1FAA"/>
    <w:multiLevelType w:val="hybridMultilevel"/>
    <w:tmpl w:val="B0F077C8"/>
    <w:lvl w:ilvl="0" w:tplc="0409000F">
      <w:start w:val="1"/>
      <w:numFmt w:val="decimal"/>
      <w:lvlText w:val="%1."/>
      <w:lvlJc w:val="left"/>
      <w:pPr>
        <w:ind w:left="1152" w:hanging="360"/>
      </w:pPr>
    </w:lvl>
    <w:lvl w:ilvl="1" w:tplc="FFFFFFFF">
      <w:start w:val="1"/>
      <w:numFmt w:val="bullet"/>
      <w:lvlText w:val="o"/>
      <w:lvlJc w:val="left"/>
      <w:pPr>
        <w:ind w:left="1872" w:hanging="360"/>
      </w:pPr>
      <w:rPr>
        <w:rFonts w:ascii="Courier New" w:hAnsi="Courier New" w:cs="Courier New" w:hint="default"/>
      </w:rPr>
    </w:lvl>
    <w:lvl w:ilvl="2" w:tplc="FFFFFFFF">
      <w:start w:val="1"/>
      <w:numFmt w:val="bullet"/>
      <w:lvlText w:val=""/>
      <w:lvlJc w:val="left"/>
      <w:pPr>
        <w:ind w:left="2592" w:hanging="360"/>
      </w:pPr>
      <w:rPr>
        <w:rFonts w:ascii="Wingdings" w:hAnsi="Wingdings" w:hint="default"/>
      </w:rPr>
    </w:lvl>
    <w:lvl w:ilvl="3" w:tplc="FFFFFFFF">
      <w:start w:val="1"/>
      <w:numFmt w:val="bullet"/>
      <w:lvlText w:val=""/>
      <w:lvlJc w:val="left"/>
      <w:pPr>
        <w:ind w:left="3312" w:hanging="360"/>
      </w:pPr>
      <w:rPr>
        <w:rFonts w:ascii="Symbol" w:hAnsi="Symbol" w:hint="default"/>
      </w:rPr>
    </w:lvl>
    <w:lvl w:ilvl="4" w:tplc="FFFFFFFF">
      <w:start w:val="1"/>
      <w:numFmt w:val="bullet"/>
      <w:lvlText w:val="o"/>
      <w:lvlJc w:val="left"/>
      <w:pPr>
        <w:ind w:left="4032" w:hanging="360"/>
      </w:pPr>
      <w:rPr>
        <w:rFonts w:ascii="Courier New" w:hAnsi="Courier New" w:cs="Courier New" w:hint="default"/>
      </w:rPr>
    </w:lvl>
    <w:lvl w:ilvl="5" w:tplc="FFFFFFFF">
      <w:start w:val="1"/>
      <w:numFmt w:val="bullet"/>
      <w:lvlText w:val=""/>
      <w:lvlJc w:val="left"/>
      <w:pPr>
        <w:ind w:left="4752" w:hanging="360"/>
      </w:pPr>
      <w:rPr>
        <w:rFonts w:ascii="Wingdings" w:hAnsi="Wingdings" w:hint="default"/>
      </w:rPr>
    </w:lvl>
    <w:lvl w:ilvl="6" w:tplc="FFFFFFFF">
      <w:start w:val="1"/>
      <w:numFmt w:val="bullet"/>
      <w:lvlText w:val=""/>
      <w:lvlJc w:val="left"/>
      <w:pPr>
        <w:ind w:left="5472" w:hanging="360"/>
      </w:pPr>
      <w:rPr>
        <w:rFonts w:ascii="Symbol" w:hAnsi="Symbol" w:hint="default"/>
      </w:rPr>
    </w:lvl>
    <w:lvl w:ilvl="7" w:tplc="FFFFFFFF">
      <w:start w:val="1"/>
      <w:numFmt w:val="bullet"/>
      <w:lvlText w:val="o"/>
      <w:lvlJc w:val="left"/>
      <w:pPr>
        <w:ind w:left="6192" w:hanging="360"/>
      </w:pPr>
      <w:rPr>
        <w:rFonts w:ascii="Courier New" w:hAnsi="Courier New" w:cs="Courier New" w:hint="default"/>
      </w:rPr>
    </w:lvl>
    <w:lvl w:ilvl="8" w:tplc="FFFFFFFF">
      <w:start w:val="1"/>
      <w:numFmt w:val="bullet"/>
      <w:lvlText w:val=""/>
      <w:lvlJc w:val="left"/>
      <w:pPr>
        <w:ind w:left="6912" w:hanging="360"/>
      </w:pPr>
      <w:rPr>
        <w:rFonts w:ascii="Wingdings" w:hAnsi="Wingdings" w:hint="default"/>
      </w:rPr>
    </w:lvl>
  </w:abstractNum>
  <w:abstractNum w:abstractNumId="12" w15:restartNumberingAfterBreak="0">
    <w:nsid w:val="6C7E5C44"/>
    <w:multiLevelType w:val="multilevel"/>
    <w:tmpl w:val="ABDC8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F81B70"/>
    <w:multiLevelType w:val="multilevel"/>
    <w:tmpl w:val="8F9E3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B534BA"/>
    <w:multiLevelType w:val="hybridMultilevel"/>
    <w:tmpl w:val="0CF6AAC4"/>
    <w:lvl w:ilvl="0" w:tplc="0409000F">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563174743">
    <w:abstractNumId w:val="2"/>
  </w:num>
  <w:num w:numId="2" w16cid:durableId="1814640174">
    <w:abstractNumId w:val="7"/>
  </w:num>
  <w:num w:numId="3" w16cid:durableId="1484155584">
    <w:abstractNumId w:val="6"/>
  </w:num>
  <w:num w:numId="4" w16cid:durableId="1237128198">
    <w:abstractNumId w:val="10"/>
  </w:num>
  <w:num w:numId="5" w16cid:durableId="1871068900">
    <w:abstractNumId w:val="4"/>
  </w:num>
  <w:num w:numId="6" w16cid:durableId="1959723349">
    <w:abstractNumId w:val="4"/>
  </w:num>
  <w:num w:numId="7" w16cid:durableId="1457990053">
    <w:abstractNumId w:val="4"/>
  </w:num>
  <w:num w:numId="8" w16cid:durableId="1520967555">
    <w:abstractNumId w:val="4"/>
  </w:num>
  <w:num w:numId="9" w16cid:durableId="174811159">
    <w:abstractNumId w:val="4"/>
  </w:num>
  <w:num w:numId="10" w16cid:durableId="2030988137">
    <w:abstractNumId w:val="4"/>
  </w:num>
  <w:num w:numId="11" w16cid:durableId="2082284854">
    <w:abstractNumId w:val="4"/>
  </w:num>
  <w:num w:numId="12" w16cid:durableId="971785175">
    <w:abstractNumId w:val="4"/>
  </w:num>
  <w:num w:numId="13" w16cid:durableId="1270505543">
    <w:abstractNumId w:val="4"/>
  </w:num>
  <w:num w:numId="14" w16cid:durableId="1748116825">
    <w:abstractNumId w:val="4"/>
  </w:num>
  <w:num w:numId="15" w16cid:durableId="1339892382">
    <w:abstractNumId w:val="11"/>
    <w:lvlOverride w:ilvl="0">
      <w:startOverride w:val="1"/>
    </w:lvlOverride>
    <w:lvlOverride w:ilvl="1"/>
    <w:lvlOverride w:ilvl="2"/>
    <w:lvlOverride w:ilvl="3"/>
    <w:lvlOverride w:ilvl="4"/>
    <w:lvlOverride w:ilvl="5"/>
    <w:lvlOverride w:ilvl="6"/>
    <w:lvlOverride w:ilvl="7"/>
    <w:lvlOverride w:ilvl="8"/>
  </w:num>
  <w:num w:numId="16" w16cid:durableId="76311205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232234372">
    <w:abstractNumId w:val="11"/>
  </w:num>
  <w:num w:numId="18" w16cid:durableId="1949963556">
    <w:abstractNumId w:val="14"/>
  </w:num>
  <w:num w:numId="19" w16cid:durableId="1857033715">
    <w:abstractNumId w:val="0"/>
  </w:num>
  <w:num w:numId="20" w16cid:durableId="841041537">
    <w:abstractNumId w:val="1"/>
  </w:num>
  <w:num w:numId="21" w16cid:durableId="1145656680">
    <w:abstractNumId w:val="9"/>
  </w:num>
  <w:num w:numId="22" w16cid:durableId="1299336773">
    <w:abstractNumId w:val="12"/>
  </w:num>
  <w:num w:numId="23" w16cid:durableId="10837259">
    <w:abstractNumId w:val="8"/>
  </w:num>
  <w:num w:numId="24" w16cid:durableId="1005286995">
    <w:abstractNumId w:val="5"/>
  </w:num>
  <w:num w:numId="25" w16cid:durableId="863859568">
    <w:abstractNumId w:val="13"/>
  </w:num>
  <w:num w:numId="26" w16cid:durableId="5049804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EB6"/>
    <w:rsid w:val="00006562"/>
    <w:rsid w:val="0000695C"/>
    <w:rsid w:val="00023C1D"/>
    <w:rsid w:val="000245C4"/>
    <w:rsid w:val="00025DE6"/>
    <w:rsid w:val="00026AA8"/>
    <w:rsid w:val="000327D9"/>
    <w:rsid w:val="000336AF"/>
    <w:rsid w:val="00044EBD"/>
    <w:rsid w:val="00045FFD"/>
    <w:rsid w:val="00053ECC"/>
    <w:rsid w:val="0005635E"/>
    <w:rsid w:val="000663B6"/>
    <w:rsid w:val="0007105C"/>
    <w:rsid w:val="00073282"/>
    <w:rsid w:val="00075149"/>
    <w:rsid w:val="000812D7"/>
    <w:rsid w:val="000823A9"/>
    <w:rsid w:val="000934FE"/>
    <w:rsid w:val="000A1170"/>
    <w:rsid w:val="000C3E28"/>
    <w:rsid w:val="000D7BDD"/>
    <w:rsid w:val="000E34B1"/>
    <w:rsid w:val="000E67B0"/>
    <w:rsid w:val="000F7BA6"/>
    <w:rsid w:val="00110437"/>
    <w:rsid w:val="0011433A"/>
    <w:rsid w:val="00114BA2"/>
    <w:rsid w:val="00116FF3"/>
    <w:rsid w:val="001205E3"/>
    <w:rsid w:val="00123928"/>
    <w:rsid w:val="00124D19"/>
    <w:rsid w:val="001263B3"/>
    <w:rsid w:val="00131052"/>
    <w:rsid w:val="00131195"/>
    <w:rsid w:val="00134673"/>
    <w:rsid w:val="0013528E"/>
    <w:rsid w:val="00136A7C"/>
    <w:rsid w:val="001447EC"/>
    <w:rsid w:val="00144F55"/>
    <w:rsid w:val="00146BF1"/>
    <w:rsid w:val="00150228"/>
    <w:rsid w:val="001552EF"/>
    <w:rsid w:val="001557CE"/>
    <w:rsid w:val="001575A8"/>
    <w:rsid w:val="00160182"/>
    <w:rsid w:val="00162D5E"/>
    <w:rsid w:val="00173913"/>
    <w:rsid w:val="00173CA7"/>
    <w:rsid w:val="00177CC9"/>
    <w:rsid w:val="001810E8"/>
    <w:rsid w:val="00183867"/>
    <w:rsid w:val="0018464E"/>
    <w:rsid w:val="0018485B"/>
    <w:rsid w:val="0018489B"/>
    <w:rsid w:val="00184974"/>
    <w:rsid w:val="00184F98"/>
    <w:rsid w:val="00190813"/>
    <w:rsid w:val="00196F7D"/>
    <w:rsid w:val="001B056D"/>
    <w:rsid w:val="001B0F28"/>
    <w:rsid w:val="001B1D02"/>
    <w:rsid w:val="001E4CD8"/>
    <w:rsid w:val="001F7590"/>
    <w:rsid w:val="0020193B"/>
    <w:rsid w:val="00201F8E"/>
    <w:rsid w:val="002033FB"/>
    <w:rsid w:val="00215254"/>
    <w:rsid w:val="00220990"/>
    <w:rsid w:val="00221B94"/>
    <w:rsid w:val="00222CDA"/>
    <w:rsid w:val="002267A7"/>
    <w:rsid w:val="0023531B"/>
    <w:rsid w:val="00242C93"/>
    <w:rsid w:val="00253B08"/>
    <w:rsid w:val="002579FC"/>
    <w:rsid w:val="00257E8E"/>
    <w:rsid w:val="00263943"/>
    <w:rsid w:val="00270A2E"/>
    <w:rsid w:val="00274CCD"/>
    <w:rsid w:val="0027595A"/>
    <w:rsid w:val="00281D09"/>
    <w:rsid w:val="00297961"/>
    <w:rsid w:val="002A140E"/>
    <w:rsid w:val="002A2A73"/>
    <w:rsid w:val="002A5B23"/>
    <w:rsid w:val="002A741A"/>
    <w:rsid w:val="002B138C"/>
    <w:rsid w:val="002B420F"/>
    <w:rsid w:val="002C44B0"/>
    <w:rsid w:val="002D3337"/>
    <w:rsid w:val="002D36C3"/>
    <w:rsid w:val="002D4F29"/>
    <w:rsid w:val="002D7DA5"/>
    <w:rsid w:val="002E13D7"/>
    <w:rsid w:val="002E5897"/>
    <w:rsid w:val="002E5DC2"/>
    <w:rsid w:val="002E6C92"/>
    <w:rsid w:val="002E7258"/>
    <w:rsid w:val="002F3D87"/>
    <w:rsid w:val="002F65AD"/>
    <w:rsid w:val="002F765A"/>
    <w:rsid w:val="00300BFD"/>
    <w:rsid w:val="00303EAD"/>
    <w:rsid w:val="00316906"/>
    <w:rsid w:val="00331060"/>
    <w:rsid w:val="00333A4C"/>
    <w:rsid w:val="003344CF"/>
    <w:rsid w:val="003358E7"/>
    <w:rsid w:val="003379CD"/>
    <w:rsid w:val="003400F8"/>
    <w:rsid w:val="003463E2"/>
    <w:rsid w:val="00356DF5"/>
    <w:rsid w:val="0036206F"/>
    <w:rsid w:val="00365D07"/>
    <w:rsid w:val="0036662F"/>
    <w:rsid w:val="00367681"/>
    <w:rsid w:val="00376456"/>
    <w:rsid w:val="00391EB6"/>
    <w:rsid w:val="003945BC"/>
    <w:rsid w:val="003A1846"/>
    <w:rsid w:val="003C08E6"/>
    <w:rsid w:val="003D367C"/>
    <w:rsid w:val="003E07D0"/>
    <w:rsid w:val="003E52DE"/>
    <w:rsid w:val="003F2E67"/>
    <w:rsid w:val="00416852"/>
    <w:rsid w:val="00420B3B"/>
    <w:rsid w:val="0042410A"/>
    <w:rsid w:val="00425D9D"/>
    <w:rsid w:val="00427090"/>
    <w:rsid w:val="00430A11"/>
    <w:rsid w:val="00431C43"/>
    <w:rsid w:val="004356A4"/>
    <w:rsid w:val="00437BC6"/>
    <w:rsid w:val="00445DF0"/>
    <w:rsid w:val="00460FAB"/>
    <w:rsid w:val="00464BB6"/>
    <w:rsid w:val="004724F8"/>
    <w:rsid w:val="004727B2"/>
    <w:rsid w:val="00481E3B"/>
    <w:rsid w:val="00482D95"/>
    <w:rsid w:val="00496083"/>
    <w:rsid w:val="004967D8"/>
    <w:rsid w:val="004A1753"/>
    <w:rsid w:val="004A2B2B"/>
    <w:rsid w:val="004A42C5"/>
    <w:rsid w:val="004B0E8E"/>
    <w:rsid w:val="004B32A2"/>
    <w:rsid w:val="004B38F7"/>
    <w:rsid w:val="004B7815"/>
    <w:rsid w:val="004C0955"/>
    <w:rsid w:val="004C1015"/>
    <w:rsid w:val="004C26D6"/>
    <w:rsid w:val="004C498E"/>
    <w:rsid w:val="004C5F89"/>
    <w:rsid w:val="004C61A1"/>
    <w:rsid w:val="004C732B"/>
    <w:rsid w:val="004C7E07"/>
    <w:rsid w:val="004D518A"/>
    <w:rsid w:val="004D55B6"/>
    <w:rsid w:val="004D602A"/>
    <w:rsid w:val="004E1E89"/>
    <w:rsid w:val="004E1F0F"/>
    <w:rsid w:val="004E2DCA"/>
    <w:rsid w:val="004F1254"/>
    <w:rsid w:val="00505BFF"/>
    <w:rsid w:val="00507E0D"/>
    <w:rsid w:val="005124A1"/>
    <w:rsid w:val="00515587"/>
    <w:rsid w:val="005413D5"/>
    <w:rsid w:val="00542821"/>
    <w:rsid w:val="00573080"/>
    <w:rsid w:val="00573D28"/>
    <w:rsid w:val="00575EFC"/>
    <w:rsid w:val="00576B56"/>
    <w:rsid w:val="00582568"/>
    <w:rsid w:val="00586DF9"/>
    <w:rsid w:val="00587916"/>
    <w:rsid w:val="005B0BEF"/>
    <w:rsid w:val="005B7853"/>
    <w:rsid w:val="005B7E0A"/>
    <w:rsid w:val="005C5F43"/>
    <w:rsid w:val="005C6A89"/>
    <w:rsid w:val="005C6AAA"/>
    <w:rsid w:val="005C7792"/>
    <w:rsid w:val="005C79DD"/>
    <w:rsid w:val="005D2AE4"/>
    <w:rsid w:val="005E0F87"/>
    <w:rsid w:val="005E23C1"/>
    <w:rsid w:val="005E358F"/>
    <w:rsid w:val="005E4203"/>
    <w:rsid w:val="005F3C84"/>
    <w:rsid w:val="005F3D73"/>
    <w:rsid w:val="005F5508"/>
    <w:rsid w:val="00600127"/>
    <w:rsid w:val="0060189B"/>
    <w:rsid w:val="00612428"/>
    <w:rsid w:val="00613033"/>
    <w:rsid w:val="00613767"/>
    <w:rsid w:val="00616036"/>
    <w:rsid w:val="00625F21"/>
    <w:rsid w:val="00632241"/>
    <w:rsid w:val="00632EC9"/>
    <w:rsid w:val="00642FB6"/>
    <w:rsid w:val="00644DD1"/>
    <w:rsid w:val="006471DD"/>
    <w:rsid w:val="006514D2"/>
    <w:rsid w:val="00656E91"/>
    <w:rsid w:val="006651AC"/>
    <w:rsid w:val="006950FB"/>
    <w:rsid w:val="006B0A27"/>
    <w:rsid w:val="006B3DF2"/>
    <w:rsid w:val="006B3F18"/>
    <w:rsid w:val="006B5A34"/>
    <w:rsid w:val="006C2E8F"/>
    <w:rsid w:val="006C65F5"/>
    <w:rsid w:val="006F3C1C"/>
    <w:rsid w:val="006F3C8C"/>
    <w:rsid w:val="006F6CEE"/>
    <w:rsid w:val="0070287A"/>
    <w:rsid w:val="00702AB6"/>
    <w:rsid w:val="0071021E"/>
    <w:rsid w:val="00710716"/>
    <w:rsid w:val="00716329"/>
    <w:rsid w:val="007204EC"/>
    <w:rsid w:val="00721358"/>
    <w:rsid w:val="0072303F"/>
    <w:rsid w:val="007344A1"/>
    <w:rsid w:val="0073623E"/>
    <w:rsid w:val="007400C9"/>
    <w:rsid w:val="00746773"/>
    <w:rsid w:val="00750EE3"/>
    <w:rsid w:val="00763434"/>
    <w:rsid w:val="00764D6C"/>
    <w:rsid w:val="00766A16"/>
    <w:rsid w:val="00774DDD"/>
    <w:rsid w:val="00777B7D"/>
    <w:rsid w:val="00783B53"/>
    <w:rsid w:val="00784DDC"/>
    <w:rsid w:val="00786750"/>
    <w:rsid w:val="00787BE5"/>
    <w:rsid w:val="0079224E"/>
    <w:rsid w:val="007B1503"/>
    <w:rsid w:val="007C1595"/>
    <w:rsid w:val="007C2BE7"/>
    <w:rsid w:val="007C525D"/>
    <w:rsid w:val="007C5573"/>
    <w:rsid w:val="007D0987"/>
    <w:rsid w:val="007E0A19"/>
    <w:rsid w:val="007E43CB"/>
    <w:rsid w:val="007E64DB"/>
    <w:rsid w:val="007F790A"/>
    <w:rsid w:val="008000E0"/>
    <w:rsid w:val="0080206B"/>
    <w:rsid w:val="00817118"/>
    <w:rsid w:val="00825156"/>
    <w:rsid w:val="008269FA"/>
    <w:rsid w:val="00826C4D"/>
    <w:rsid w:val="0083257B"/>
    <w:rsid w:val="00833F2A"/>
    <w:rsid w:val="00836D99"/>
    <w:rsid w:val="00842E62"/>
    <w:rsid w:val="0084454D"/>
    <w:rsid w:val="00846440"/>
    <w:rsid w:val="00852E01"/>
    <w:rsid w:val="00853372"/>
    <w:rsid w:val="00864325"/>
    <w:rsid w:val="00865F87"/>
    <w:rsid w:val="008720EE"/>
    <w:rsid w:val="0088383B"/>
    <w:rsid w:val="00886CA0"/>
    <w:rsid w:val="00886DBA"/>
    <w:rsid w:val="00895FD5"/>
    <w:rsid w:val="008B6088"/>
    <w:rsid w:val="008B716E"/>
    <w:rsid w:val="008B75B9"/>
    <w:rsid w:val="008B7779"/>
    <w:rsid w:val="008C5097"/>
    <w:rsid w:val="008C6233"/>
    <w:rsid w:val="008E5B2C"/>
    <w:rsid w:val="008F01BE"/>
    <w:rsid w:val="008F1273"/>
    <w:rsid w:val="008F4A99"/>
    <w:rsid w:val="008F78FC"/>
    <w:rsid w:val="00903D96"/>
    <w:rsid w:val="00903E37"/>
    <w:rsid w:val="009131C5"/>
    <w:rsid w:val="00913E1C"/>
    <w:rsid w:val="00917756"/>
    <w:rsid w:val="00917E8A"/>
    <w:rsid w:val="00920740"/>
    <w:rsid w:val="00921E6C"/>
    <w:rsid w:val="00924AC3"/>
    <w:rsid w:val="009314FB"/>
    <w:rsid w:val="00932579"/>
    <w:rsid w:val="0093397D"/>
    <w:rsid w:val="00934FB7"/>
    <w:rsid w:val="00935F51"/>
    <w:rsid w:val="009400C6"/>
    <w:rsid w:val="009437CA"/>
    <w:rsid w:val="00945344"/>
    <w:rsid w:val="00953689"/>
    <w:rsid w:val="00957D2C"/>
    <w:rsid w:val="00972F0F"/>
    <w:rsid w:val="0097548D"/>
    <w:rsid w:val="00981A13"/>
    <w:rsid w:val="00983A75"/>
    <w:rsid w:val="009865E1"/>
    <w:rsid w:val="009869A2"/>
    <w:rsid w:val="00990C76"/>
    <w:rsid w:val="00991B44"/>
    <w:rsid w:val="009A01FF"/>
    <w:rsid w:val="009A3886"/>
    <w:rsid w:val="009B0640"/>
    <w:rsid w:val="009B22E1"/>
    <w:rsid w:val="009B2427"/>
    <w:rsid w:val="009B78B1"/>
    <w:rsid w:val="009C3E60"/>
    <w:rsid w:val="009D14F8"/>
    <w:rsid w:val="009D3348"/>
    <w:rsid w:val="009E302C"/>
    <w:rsid w:val="009E6AA3"/>
    <w:rsid w:val="009F474D"/>
    <w:rsid w:val="009F7F38"/>
    <w:rsid w:val="00A0131F"/>
    <w:rsid w:val="00A11315"/>
    <w:rsid w:val="00A135B1"/>
    <w:rsid w:val="00A15DA7"/>
    <w:rsid w:val="00A248A7"/>
    <w:rsid w:val="00A2627D"/>
    <w:rsid w:val="00A31AA9"/>
    <w:rsid w:val="00A361D7"/>
    <w:rsid w:val="00A36771"/>
    <w:rsid w:val="00A40718"/>
    <w:rsid w:val="00A430EC"/>
    <w:rsid w:val="00A57D1B"/>
    <w:rsid w:val="00A85E77"/>
    <w:rsid w:val="00A90D95"/>
    <w:rsid w:val="00A93049"/>
    <w:rsid w:val="00A94E97"/>
    <w:rsid w:val="00AA0401"/>
    <w:rsid w:val="00AA4D7F"/>
    <w:rsid w:val="00AA53DC"/>
    <w:rsid w:val="00AA5CDC"/>
    <w:rsid w:val="00AB1546"/>
    <w:rsid w:val="00AD7BAC"/>
    <w:rsid w:val="00AE2076"/>
    <w:rsid w:val="00AE5923"/>
    <w:rsid w:val="00AF097C"/>
    <w:rsid w:val="00AF2194"/>
    <w:rsid w:val="00AF27AD"/>
    <w:rsid w:val="00AF32C6"/>
    <w:rsid w:val="00B02494"/>
    <w:rsid w:val="00B069E4"/>
    <w:rsid w:val="00B07D93"/>
    <w:rsid w:val="00B102F7"/>
    <w:rsid w:val="00B14817"/>
    <w:rsid w:val="00B15783"/>
    <w:rsid w:val="00B15BE6"/>
    <w:rsid w:val="00B20C35"/>
    <w:rsid w:val="00B20E80"/>
    <w:rsid w:val="00B267C5"/>
    <w:rsid w:val="00B3099C"/>
    <w:rsid w:val="00B36A79"/>
    <w:rsid w:val="00B37A65"/>
    <w:rsid w:val="00B40521"/>
    <w:rsid w:val="00B43AF1"/>
    <w:rsid w:val="00B4409F"/>
    <w:rsid w:val="00B45F51"/>
    <w:rsid w:val="00B46FF9"/>
    <w:rsid w:val="00B50265"/>
    <w:rsid w:val="00B55361"/>
    <w:rsid w:val="00B564FB"/>
    <w:rsid w:val="00B56C66"/>
    <w:rsid w:val="00B67FB8"/>
    <w:rsid w:val="00B716BD"/>
    <w:rsid w:val="00B84E2B"/>
    <w:rsid w:val="00B85D20"/>
    <w:rsid w:val="00B8670E"/>
    <w:rsid w:val="00B87834"/>
    <w:rsid w:val="00B9447F"/>
    <w:rsid w:val="00B95016"/>
    <w:rsid w:val="00B95693"/>
    <w:rsid w:val="00BA23F4"/>
    <w:rsid w:val="00BA2416"/>
    <w:rsid w:val="00BA25E8"/>
    <w:rsid w:val="00BB0BAA"/>
    <w:rsid w:val="00BC1D7B"/>
    <w:rsid w:val="00BD0912"/>
    <w:rsid w:val="00BE04DD"/>
    <w:rsid w:val="00BE0886"/>
    <w:rsid w:val="00BE7CC6"/>
    <w:rsid w:val="00BF4FD7"/>
    <w:rsid w:val="00BF52C5"/>
    <w:rsid w:val="00BF5946"/>
    <w:rsid w:val="00C06EEA"/>
    <w:rsid w:val="00C1168F"/>
    <w:rsid w:val="00C1191D"/>
    <w:rsid w:val="00C23EB3"/>
    <w:rsid w:val="00C23EC2"/>
    <w:rsid w:val="00C2426C"/>
    <w:rsid w:val="00C352FF"/>
    <w:rsid w:val="00C5312A"/>
    <w:rsid w:val="00C6136B"/>
    <w:rsid w:val="00C61BF8"/>
    <w:rsid w:val="00C76992"/>
    <w:rsid w:val="00C77B6C"/>
    <w:rsid w:val="00C807F6"/>
    <w:rsid w:val="00C838E4"/>
    <w:rsid w:val="00C9153F"/>
    <w:rsid w:val="00C924D8"/>
    <w:rsid w:val="00C94426"/>
    <w:rsid w:val="00C955B0"/>
    <w:rsid w:val="00CA377E"/>
    <w:rsid w:val="00CA4556"/>
    <w:rsid w:val="00CA64EF"/>
    <w:rsid w:val="00CB28C4"/>
    <w:rsid w:val="00CB5157"/>
    <w:rsid w:val="00CB7575"/>
    <w:rsid w:val="00CC034B"/>
    <w:rsid w:val="00CD2430"/>
    <w:rsid w:val="00CD4D7D"/>
    <w:rsid w:val="00CE049F"/>
    <w:rsid w:val="00CE25E7"/>
    <w:rsid w:val="00CE30FD"/>
    <w:rsid w:val="00CE5E89"/>
    <w:rsid w:val="00CE653C"/>
    <w:rsid w:val="00CE6882"/>
    <w:rsid w:val="00CF065A"/>
    <w:rsid w:val="00CF103F"/>
    <w:rsid w:val="00D023C5"/>
    <w:rsid w:val="00D02E6D"/>
    <w:rsid w:val="00D07F91"/>
    <w:rsid w:val="00D235D8"/>
    <w:rsid w:val="00D2412E"/>
    <w:rsid w:val="00D25F17"/>
    <w:rsid w:val="00D307FE"/>
    <w:rsid w:val="00D320CB"/>
    <w:rsid w:val="00D52EDC"/>
    <w:rsid w:val="00D53504"/>
    <w:rsid w:val="00D61CE6"/>
    <w:rsid w:val="00D620EE"/>
    <w:rsid w:val="00D6276F"/>
    <w:rsid w:val="00D643DA"/>
    <w:rsid w:val="00D64501"/>
    <w:rsid w:val="00D65A48"/>
    <w:rsid w:val="00D66FDF"/>
    <w:rsid w:val="00D72408"/>
    <w:rsid w:val="00D72C59"/>
    <w:rsid w:val="00D776D1"/>
    <w:rsid w:val="00D80451"/>
    <w:rsid w:val="00D8328F"/>
    <w:rsid w:val="00D854E9"/>
    <w:rsid w:val="00D864CA"/>
    <w:rsid w:val="00D86557"/>
    <w:rsid w:val="00D870C0"/>
    <w:rsid w:val="00D94E71"/>
    <w:rsid w:val="00DA6645"/>
    <w:rsid w:val="00DB11F2"/>
    <w:rsid w:val="00DB7E38"/>
    <w:rsid w:val="00DC0142"/>
    <w:rsid w:val="00DC1008"/>
    <w:rsid w:val="00DD1231"/>
    <w:rsid w:val="00DD6C0E"/>
    <w:rsid w:val="00DE049A"/>
    <w:rsid w:val="00DE087B"/>
    <w:rsid w:val="00DE38FA"/>
    <w:rsid w:val="00DE4530"/>
    <w:rsid w:val="00DF19BC"/>
    <w:rsid w:val="00DF5153"/>
    <w:rsid w:val="00E10932"/>
    <w:rsid w:val="00E12FAC"/>
    <w:rsid w:val="00E35615"/>
    <w:rsid w:val="00E361C3"/>
    <w:rsid w:val="00E431F3"/>
    <w:rsid w:val="00E51032"/>
    <w:rsid w:val="00E578B4"/>
    <w:rsid w:val="00E62D38"/>
    <w:rsid w:val="00E66708"/>
    <w:rsid w:val="00E6722A"/>
    <w:rsid w:val="00E72D74"/>
    <w:rsid w:val="00E83E7F"/>
    <w:rsid w:val="00E8587F"/>
    <w:rsid w:val="00EA5B5B"/>
    <w:rsid w:val="00EB59EF"/>
    <w:rsid w:val="00ED437B"/>
    <w:rsid w:val="00ED5F34"/>
    <w:rsid w:val="00EF1B95"/>
    <w:rsid w:val="00EF4A9F"/>
    <w:rsid w:val="00F01025"/>
    <w:rsid w:val="00F10401"/>
    <w:rsid w:val="00F10EA3"/>
    <w:rsid w:val="00F145C9"/>
    <w:rsid w:val="00F16CAD"/>
    <w:rsid w:val="00F22389"/>
    <w:rsid w:val="00F22F35"/>
    <w:rsid w:val="00F26110"/>
    <w:rsid w:val="00F279CD"/>
    <w:rsid w:val="00F312F1"/>
    <w:rsid w:val="00F340B5"/>
    <w:rsid w:val="00F34DBE"/>
    <w:rsid w:val="00F35082"/>
    <w:rsid w:val="00F527C8"/>
    <w:rsid w:val="00F721FC"/>
    <w:rsid w:val="00F83B24"/>
    <w:rsid w:val="00F87FEA"/>
    <w:rsid w:val="00F97B39"/>
    <w:rsid w:val="00F97E6E"/>
    <w:rsid w:val="00FA2B67"/>
    <w:rsid w:val="00FA4D12"/>
    <w:rsid w:val="00FA5583"/>
    <w:rsid w:val="00FB3D87"/>
    <w:rsid w:val="00FC1EA2"/>
    <w:rsid w:val="00FC44CB"/>
    <w:rsid w:val="00FD088E"/>
    <w:rsid w:val="00FE29C3"/>
    <w:rsid w:val="00FF20B6"/>
    <w:rsid w:val="00FF254F"/>
    <w:rsid w:val="00FF39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BD9B2"/>
  <w15:chartTrackingRefBased/>
  <w15:docId w15:val="{9D54C2D9-8B37-4085-B1D2-C29ABCA3F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7B2"/>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8C5097"/>
    <w:pPr>
      <w:keepNext/>
      <w:keepLines/>
      <w:numPr>
        <w:numId w:val="14"/>
      </w:numPr>
      <w:pBdr>
        <w:bottom w:val="single" w:sz="4" w:space="1" w:color="595959" w:themeColor="text1" w:themeTint="A6"/>
      </w:pBdr>
      <w:jc w:val="center"/>
      <w:outlineLvl w:val="0"/>
    </w:pPr>
    <w:rPr>
      <w:rFonts w:eastAsiaTheme="majorEastAsia"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8C5097"/>
    <w:pPr>
      <w:keepNext/>
      <w:keepLines/>
      <w:numPr>
        <w:ilvl w:val="1"/>
        <w:numId w:val="14"/>
      </w:numPr>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unhideWhenUsed/>
    <w:qFormat/>
    <w:rsid w:val="00B267C5"/>
    <w:pPr>
      <w:keepNext/>
      <w:keepLines/>
      <w:numPr>
        <w:ilvl w:val="2"/>
        <w:numId w:val="14"/>
      </w:numPr>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8C5097"/>
    <w:pPr>
      <w:keepNext/>
      <w:keepLines/>
      <w:numPr>
        <w:ilvl w:val="3"/>
        <w:numId w:val="1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C5097"/>
    <w:pPr>
      <w:keepNext/>
      <w:keepLines/>
      <w:numPr>
        <w:ilvl w:val="4"/>
        <w:numId w:val="14"/>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8C5097"/>
    <w:pPr>
      <w:keepNext/>
      <w:keepLines/>
      <w:numPr>
        <w:ilvl w:val="5"/>
        <w:numId w:val="14"/>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C5097"/>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C5097"/>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C5097"/>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1EB6"/>
    <w:pPr>
      <w:ind w:left="720"/>
      <w:contextualSpacing/>
    </w:pPr>
  </w:style>
  <w:style w:type="paragraph" w:customStyle="1" w:styleId="paragraph">
    <w:name w:val="paragraph"/>
    <w:basedOn w:val="Normal"/>
    <w:rsid w:val="003C08E6"/>
    <w:pPr>
      <w:spacing w:before="100" w:beforeAutospacing="1" w:after="100" w:afterAutospacing="1" w:line="240" w:lineRule="auto"/>
    </w:pPr>
    <w:rPr>
      <w:rFonts w:ascii="Times New Roman" w:eastAsia="Times New Roman" w:hAnsi="Times New Roman" w:cs="Times New Roman"/>
      <w:szCs w:val="24"/>
      <w:lang w:eastAsia="zh-CN"/>
    </w:rPr>
  </w:style>
  <w:style w:type="character" w:customStyle="1" w:styleId="normaltextrun">
    <w:name w:val="normaltextrun"/>
    <w:basedOn w:val="DefaultParagraphFont"/>
    <w:rsid w:val="003C08E6"/>
  </w:style>
  <w:style w:type="character" w:customStyle="1" w:styleId="eop">
    <w:name w:val="eop"/>
    <w:basedOn w:val="DefaultParagraphFont"/>
    <w:rsid w:val="003C08E6"/>
  </w:style>
  <w:style w:type="paragraph" w:styleId="Header">
    <w:name w:val="header"/>
    <w:basedOn w:val="Normal"/>
    <w:link w:val="HeaderChar"/>
    <w:uiPriority w:val="99"/>
    <w:unhideWhenUsed/>
    <w:rsid w:val="00177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CC9"/>
  </w:style>
  <w:style w:type="paragraph" w:styleId="Footer">
    <w:name w:val="footer"/>
    <w:basedOn w:val="Normal"/>
    <w:link w:val="FooterChar"/>
    <w:uiPriority w:val="99"/>
    <w:unhideWhenUsed/>
    <w:rsid w:val="00177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CC9"/>
  </w:style>
  <w:style w:type="character" w:customStyle="1" w:styleId="Heading1Char">
    <w:name w:val="Heading 1 Char"/>
    <w:basedOn w:val="DefaultParagraphFont"/>
    <w:link w:val="Heading1"/>
    <w:uiPriority w:val="9"/>
    <w:rsid w:val="008C5097"/>
    <w:rPr>
      <w:rFonts w:ascii="Arial" w:eastAsiaTheme="majorEastAsia" w:hAnsi="Arial" w:cstheme="majorBidi"/>
      <w:b/>
      <w:bCs/>
      <w:smallCaps/>
      <w:color w:val="000000" w:themeColor="text1"/>
      <w:sz w:val="32"/>
      <w:szCs w:val="36"/>
    </w:rPr>
  </w:style>
  <w:style w:type="character" w:customStyle="1" w:styleId="Heading2Char">
    <w:name w:val="Heading 2 Char"/>
    <w:basedOn w:val="DefaultParagraphFont"/>
    <w:link w:val="Heading2"/>
    <w:uiPriority w:val="9"/>
    <w:rsid w:val="008C5097"/>
    <w:rPr>
      <w:rFonts w:asciiTheme="minorBidi" w:eastAsiaTheme="majorEastAsia" w:hAnsiTheme="minorBidi" w:cstheme="majorBidi"/>
      <w:b/>
      <w:bCs/>
      <w:color w:val="000000" w:themeColor="text1"/>
      <w:sz w:val="28"/>
      <w:szCs w:val="28"/>
    </w:rPr>
  </w:style>
  <w:style w:type="character" w:customStyle="1" w:styleId="Heading3Char">
    <w:name w:val="Heading 3 Char"/>
    <w:basedOn w:val="DefaultParagraphFont"/>
    <w:link w:val="Heading3"/>
    <w:uiPriority w:val="9"/>
    <w:rsid w:val="00B267C5"/>
    <w:rPr>
      <w:rFonts w:asciiTheme="minorBidi" w:eastAsiaTheme="majorEastAsia" w:hAnsiTheme="minorBidi" w:cstheme="majorBidi"/>
      <w:b/>
      <w:bCs/>
      <w:color w:val="000000" w:themeColor="text1"/>
      <w:sz w:val="24"/>
    </w:rPr>
  </w:style>
  <w:style w:type="character" w:customStyle="1" w:styleId="Heading4Char">
    <w:name w:val="Heading 4 Char"/>
    <w:basedOn w:val="DefaultParagraphFont"/>
    <w:link w:val="Heading4"/>
    <w:uiPriority w:val="9"/>
    <w:semiHidden/>
    <w:rsid w:val="008C509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C5097"/>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C5097"/>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C509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C509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C509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8C509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C509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C509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C509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C5097"/>
    <w:rPr>
      <w:color w:val="5A5A5A" w:themeColor="text1" w:themeTint="A5"/>
      <w:spacing w:val="10"/>
    </w:rPr>
  </w:style>
  <w:style w:type="character" w:styleId="Strong">
    <w:name w:val="Strong"/>
    <w:basedOn w:val="DefaultParagraphFont"/>
    <w:uiPriority w:val="22"/>
    <w:qFormat/>
    <w:rsid w:val="008C5097"/>
    <w:rPr>
      <w:b/>
      <w:bCs/>
      <w:color w:val="000000" w:themeColor="text1"/>
    </w:rPr>
  </w:style>
  <w:style w:type="character" w:styleId="Emphasis">
    <w:name w:val="Emphasis"/>
    <w:basedOn w:val="DefaultParagraphFont"/>
    <w:uiPriority w:val="20"/>
    <w:qFormat/>
    <w:rsid w:val="008C5097"/>
    <w:rPr>
      <w:i/>
      <w:iCs/>
      <w:color w:val="auto"/>
    </w:rPr>
  </w:style>
  <w:style w:type="paragraph" w:styleId="NoSpacing">
    <w:name w:val="No Spacing"/>
    <w:uiPriority w:val="1"/>
    <w:qFormat/>
    <w:rsid w:val="00846440"/>
    <w:pPr>
      <w:spacing w:after="0" w:line="360" w:lineRule="auto"/>
    </w:pPr>
    <w:rPr>
      <w:rFonts w:asciiTheme="minorBidi" w:hAnsiTheme="minorBidi"/>
      <w:i/>
      <w:color w:val="1F4E79" w:themeColor="accent1" w:themeShade="80"/>
      <w:sz w:val="20"/>
    </w:rPr>
  </w:style>
  <w:style w:type="paragraph" w:styleId="Quote">
    <w:name w:val="Quote"/>
    <w:basedOn w:val="Normal"/>
    <w:next w:val="Normal"/>
    <w:link w:val="QuoteChar"/>
    <w:uiPriority w:val="29"/>
    <w:qFormat/>
    <w:rsid w:val="008C5097"/>
    <w:pPr>
      <w:spacing w:before="160"/>
      <w:ind w:left="720" w:right="720"/>
    </w:pPr>
    <w:rPr>
      <w:i/>
      <w:iCs/>
      <w:color w:val="000000" w:themeColor="text1"/>
    </w:rPr>
  </w:style>
  <w:style w:type="character" w:customStyle="1" w:styleId="QuoteChar">
    <w:name w:val="Quote Char"/>
    <w:basedOn w:val="DefaultParagraphFont"/>
    <w:link w:val="Quote"/>
    <w:uiPriority w:val="29"/>
    <w:rsid w:val="008C5097"/>
    <w:rPr>
      <w:i/>
      <w:iCs/>
      <w:color w:val="000000" w:themeColor="text1"/>
    </w:rPr>
  </w:style>
  <w:style w:type="paragraph" w:styleId="IntenseQuote">
    <w:name w:val="Intense Quote"/>
    <w:basedOn w:val="Normal"/>
    <w:next w:val="Normal"/>
    <w:link w:val="IntenseQuoteChar"/>
    <w:uiPriority w:val="30"/>
    <w:qFormat/>
    <w:rsid w:val="008C509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C5097"/>
    <w:rPr>
      <w:color w:val="000000" w:themeColor="text1"/>
      <w:shd w:val="clear" w:color="auto" w:fill="F2F2F2" w:themeFill="background1" w:themeFillShade="F2"/>
    </w:rPr>
  </w:style>
  <w:style w:type="character" w:styleId="SubtleEmphasis">
    <w:name w:val="Subtle Emphasis"/>
    <w:basedOn w:val="DefaultParagraphFont"/>
    <w:uiPriority w:val="19"/>
    <w:qFormat/>
    <w:rsid w:val="008C5097"/>
    <w:rPr>
      <w:i/>
      <w:iCs/>
      <w:color w:val="404040" w:themeColor="text1" w:themeTint="BF"/>
    </w:rPr>
  </w:style>
  <w:style w:type="character" w:styleId="IntenseEmphasis">
    <w:name w:val="Intense Emphasis"/>
    <w:basedOn w:val="DefaultParagraphFont"/>
    <w:uiPriority w:val="21"/>
    <w:qFormat/>
    <w:rsid w:val="008C5097"/>
    <w:rPr>
      <w:b/>
      <w:bCs/>
      <w:i/>
      <w:iCs/>
      <w:caps/>
    </w:rPr>
  </w:style>
  <w:style w:type="character" w:styleId="SubtleReference">
    <w:name w:val="Subtle Reference"/>
    <w:basedOn w:val="DefaultParagraphFont"/>
    <w:uiPriority w:val="31"/>
    <w:qFormat/>
    <w:rsid w:val="008C509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C5097"/>
    <w:rPr>
      <w:b/>
      <w:bCs/>
      <w:smallCaps/>
      <w:u w:val="single"/>
    </w:rPr>
  </w:style>
  <w:style w:type="character" w:styleId="BookTitle">
    <w:name w:val="Book Title"/>
    <w:basedOn w:val="DefaultParagraphFont"/>
    <w:uiPriority w:val="33"/>
    <w:qFormat/>
    <w:rsid w:val="008C5097"/>
    <w:rPr>
      <w:b w:val="0"/>
      <w:bCs w:val="0"/>
      <w:smallCaps/>
      <w:spacing w:val="5"/>
    </w:rPr>
  </w:style>
  <w:style w:type="paragraph" w:styleId="TOCHeading">
    <w:name w:val="TOC Heading"/>
    <w:basedOn w:val="Heading1"/>
    <w:next w:val="Normal"/>
    <w:uiPriority w:val="39"/>
    <w:unhideWhenUsed/>
    <w:qFormat/>
    <w:rsid w:val="008C5097"/>
    <w:pPr>
      <w:outlineLvl w:val="9"/>
    </w:pPr>
  </w:style>
  <w:style w:type="paragraph" w:styleId="TOC2">
    <w:name w:val="toc 2"/>
    <w:basedOn w:val="Normal"/>
    <w:next w:val="Normal"/>
    <w:autoRedefine/>
    <w:uiPriority w:val="39"/>
    <w:unhideWhenUsed/>
    <w:rsid w:val="008C5097"/>
    <w:pPr>
      <w:spacing w:after="100"/>
      <w:ind w:left="220"/>
    </w:pPr>
    <w:rPr>
      <w:rFonts w:cs="Times New Roman"/>
      <w:lang w:val="en-US"/>
    </w:rPr>
  </w:style>
  <w:style w:type="paragraph" w:styleId="TOC1">
    <w:name w:val="toc 1"/>
    <w:basedOn w:val="Normal"/>
    <w:next w:val="Normal"/>
    <w:autoRedefine/>
    <w:uiPriority w:val="39"/>
    <w:unhideWhenUsed/>
    <w:rsid w:val="008C5097"/>
    <w:pPr>
      <w:spacing w:after="100"/>
    </w:pPr>
    <w:rPr>
      <w:rFonts w:cs="Times New Roman"/>
      <w:lang w:val="en-US"/>
    </w:rPr>
  </w:style>
  <w:style w:type="paragraph" w:styleId="TOC3">
    <w:name w:val="toc 3"/>
    <w:basedOn w:val="Normal"/>
    <w:next w:val="Normal"/>
    <w:autoRedefine/>
    <w:uiPriority w:val="39"/>
    <w:unhideWhenUsed/>
    <w:rsid w:val="008C5097"/>
    <w:pPr>
      <w:spacing w:after="100"/>
      <w:ind w:left="440"/>
    </w:pPr>
    <w:rPr>
      <w:rFonts w:cs="Times New Roman"/>
      <w:lang w:val="en-US"/>
    </w:rPr>
  </w:style>
  <w:style w:type="character" w:styleId="Hyperlink">
    <w:name w:val="Hyperlink"/>
    <w:basedOn w:val="DefaultParagraphFont"/>
    <w:uiPriority w:val="99"/>
    <w:unhideWhenUsed/>
    <w:rsid w:val="008C5097"/>
    <w:rPr>
      <w:color w:val="0563C1" w:themeColor="hyperlink"/>
      <w:u w:val="single"/>
    </w:rPr>
  </w:style>
  <w:style w:type="paragraph" w:styleId="NormalWeb">
    <w:name w:val="Normal (Web)"/>
    <w:basedOn w:val="Normal"/>
    <w:uiPriority w:val="99"/>
    <w:unhideWhenUsed/>
    <w:rsid w:val="00E578B4"/>
    <w:pPr>
      <w:spacing w:before="100" w:beforeAutospacing="1" w:after="100" w:afterAutospacing="1" w:line="240" w:lineRule="auto"/>
      <w:jc w:val="left"/>
    </w:pPr>
    <w:rPr>
      <w:rFonts w:ascii="Times New Roman" w:eastAsia="Times New Roman" w:hAnsi="Times New Roman" w:cs="Times New Roman"/>
      <w:szCs w:val="24"/>
      <w:lang w:val="en-US" w:eastAsia="zh-CN" w:bidi="bn-IN"/>
    </w:rPr>
  </w:style>
  <w:style w:type="character" w:styleId="UnresolvedMention">
    <w:name w:val="Unresolved Mention"/>
    <w:basedOn w:val="DefaultParagraphFont"/>
    <w:uiPriority w:val="99"/>
    <w:semiHidden/>
    <w:unhideWhenUsed/>
    <w:rsid w:val="00E578B4"/>
    <w:rPr>
      <w:color w:val="605E5C"/>
      <w:shd w:val="clear" w:color="auto" w:fill="E1DFDD"/>
    </w:rPr>
  </w:style>
  <w:style w:type="table" w:styleId="PlainTable2">
    <w:name w:val="Plain Table 2"/>
    <w:basedOn w:val="TableNormal"/>
    <w:uiPriority w:val="42"/>
    <w:rsid w:val="0061242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4D6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C779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361C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71632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7769908">
      <w:bodyDiv w:val="1"/>
      <w:marLeft w:val="0"/>
      <w:marRight w:val="0"/>
      <w:marTop w:val="0"/>
      <w:marBottom w:val="0"/>
      <w:divBdr>
        <w:top w:val="none" w:sz="0" w:space="0" w:color="auto"/>
        <w:left w:val="none" w:sz="0" w:space="0" w:color="auto"/>
        <w:bottom w:val="none" w:sz="0" w:space="0" w:color="auto"/>
        <w:right w:val="none" w:sz="0" w:space="0" w:color="auto"/>
      </w:divBdr>
      <w:divsChild>
        <w:div w:id="194930276">
          <w:marLeft w:val="0"/>
          <w:marRight w:val="0"/>
          <w:marTop w:val="0"/>
          <w:marBottom w:val="0"/>
          <w:divBdr>
            <w:top w:val="none" w:sz="0" w:space="0" w:color="auto"/>
            <w:left w:val="none" w:sz="0" w:space="0" w:color="auto"/>
            <w:bottom w:val="none" w:sz="0" w:space="0" w:color="auto"/>
            <w:right w:val="none" w:sz="0" w:space="0" w:color="auto"/>
          </w:divBdr>
        </w:div>
        <w:div w:id="731152085">
          <w:marLeft w:val="0"/>
          <w:marRight w:val="0"/>
          <w:marTop w:val="0"/>
          <w:marBottom w:val="0"/>
          <w:divBdr>
            <w:top w:val="none" w:sz="0" w:space="0" w:color="auto"/>
            <w:left w:val="none" w:sz="0" w:space="0" w:color="auto"/>
            <w:bottom w:val="none" w:sz="0" w:space="0" w:color="auto"/>
            <w:right w:val="none" w:sz="0" w:space="0" w:color="auto"/>
          </w:divBdr>
        </w:div>
        <w:div w:id="1554343219">
          <w:marLeft w:val="0"/>
          <w:marRight w:val="0"/>
          <w:marTop w:val="0"/>
          <w:marBottom w:val="0"/>
          <w:divBdr>
            <w:top w:val="none" w:sz="0" w:space="0" w:color="auto"/>
            <w:left w:val="none" w:sz="0" w:space="0" w:color="auto"/>
            <w:bottom w:val="none" w:sz="0" w:space="0" w:color="auto"/>
            <w:right w:val="none" w:sz="0" w:space="0" w:color="auto"/>
          </w:divBdr>
        </w:div>
        <w:div w:id="1970818316">
          <w:marLeft w:val="0"/>
          <w:marRight w:val="0"/>
          <w:marTop w:val="0"/>
          <w:marBottom w:val="0"/>
          <w:divBdr>
            <w:top w:val="none" w:sz="0" w:space="0" w:color="auto"/>
            <w:left w:val="none" w:sz="0" w:space="0" w:color="auto"/>
            <w:bottom w:val="none" w:sz="0" w:space="0" w:color="auto"/>
            <w:right w:val="none" w:sz="0" w:space="0" w:color="auto"/>
          </w:divBdr>
        </w:div>
        <w:div w:id="170698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528008x.2022.2151549" TargetMode="External"/><Relationship Id="rId18" Type="http://schemas.openxmlformats.org/officeDocument/2006/relationships/hyperlink" Target="https://doi.org/10.20319/pijss.2017.31.188198" TargetMode="External"/><Relationship Id="rId26" Type="http://schemas.openxmlformats.org/officeDocument/2006/relationships/hyperlink" Target="https://doi.org/10.1016/j.bushor.2024.02.008" TargetMode="External"/><Relationship Id="rId39" Type="http://schemas.openxmlformats.org/officeDocument/2006/relationships/hyperlink" Target="https://www.uwtsd.ac.uk/research/research-integrity-and-ethics" TargetMode="External"/><Relationship Id="rId21" Type="http://schemas.openxmlformats.org/officeDocument/2006/relationships/hyperlink" Target="https://www.pewresearch.org/short-reads/2019/01/17/where-millennials-end-and-generation-z-begins/" TargetMode="External"/><Relationship Id="rId34" Type="http://schemas.openxmlformats.org/officeDocument/2006/relationships/hyperlink" Target="https://doi.org/10.1007/978-3-658-27602-7_3"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asp-uk.net/casp-tools-checklists/" TargetMode="External"/><Relationship Id="rId20" Type="http://schemas.openxmlformats.org/officeDocument/2006/relationships/hyperlink" Target="https://www2.deloitte.com/global/en/pages/about-deloitte/articles/millennialsurvey.html" TargetMode="External"/><Relationship Id="rId29" Type="http://schemas.openxmlformats.org/officeDocument/2006/relationships/hyperlink" Target="https://doi.org/10.31289/jkbm.v10i2.1174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9/TPC.2021.3069288" TargetMode="External"/><Relationship Id="rId32" Type="http://schemas.openxmlformats.org/officeDocument/2006/relationships/hyperlink" Target="https://doi.org/10.3389/frma.2023.1268045" TargetMode="External"/><Relationship Id="rId37" Type="http://schemas.openxmlformats.org/officeDocument/2006/relationships/hyperlink" Target="https://doi.org/10.1186/1471-2288-8-45" TargetMode="External"/><Relationship Id="rId40" Type="http://schemas.openxmlformats.org/officeDocument/2006/relationships/hyperlink" Target="https://doi.org/10.1111/j.1756-5391.2011.01122.x" TargetMode="External"/><Relationship Id="rId5" Type="http://schemas.openxmlformats.org/officeDocument/2006/relationships/webSettings" Target="webSettings.xml"/><Relationship Id="rId15" Type="http://schemas.openxmlformats.org/officeDocument/2006/relationships/hyperlink" Target="https://www.ey.com/en_gl/insights/workforce/work-reimagined-survey" TargetMode="External"/><Relationship Id="rId23" Type="http://schemas.openxmlformats.org/officeDocument/2006/relationships/hyperlink" Target="https://doi.org/10.1016/j.techfore.2024.123833" TargetMode="External"/><Relationship Id="rId28" Type="http://schemas.openxmlformats.org/officeDocument/2006/relationships/hyperlink" Target="https://doi.org/10.1136/bmj.n71" TargetMode="External"/><Relationship Id="rId36" Type="http://schemas.openxmlformats.org/officeDocument/2006/relationships/hyperlink" Target="https://doi.org/10.1177/1098214005283748" TargetMode="External"/><Relationship Id="rId10" Type="http://schemas.openxmlformats.org/officeDocument/2006/relationships/image" Target="media/image3.png"/><Relationship Id="rId19" Type="http://schemas.openxmlformats.org/officeDocument/2006/relationships/hyperlink" Target="https://www2.deloitte.com/global/en/pages/about-deloitte/articles/millennialsurvey.html" TargetMode="External"/><Relationship Id="rId31" Type="http://schemas.openxmlformats.org/officeDocument/2006/relationships/hyperlink" Target="https://doi.org/10.1177/00081256198410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3643-023-02322-1" TargetMode="External"/><Relationship Id="rId22" Type="http://schemas.openxmlformats.org/officeDocument/2006/relationships/hyperlink" Target="https://www.mckinsey.com/industries/consumer-packaged-goods/our-insights/true-gen-generation-z-and-its-implications-for-companies" TargetMode="External"/><Relationship Id="rId27" Type="http://schemas.openxmlformats.org/officeDocument/2006/relationships/hyperlink" Target="https://doi.org/10.1186/s13643-021-01626-4" TargetMode="External"/><Relationship Id="rId30" Type="http://schemas.openxmlformats.org/officeDocument/2006/relationships/hyperlink" Target="https://doi.org/10.18415/ijmmu.v6i5.1095" TargetMode="External"/><Relationship Id="rId35" Type="http://schemas.openxmlformats.org/officeDocument/2006/relationships/hyperlink" Target="https://doi.org/10.3390/admsci15010029"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doi.org/10.1097/NND.0000000000000471" TargetMode="External"/><Relationship Id="rId25" Type="http://schemas.openxmlformats.org/officeDocument/2006/relationships/hyperlink" Target="https://doi.org/10.1371/journal.pmed.1000097" TargetMode="External"/><Relationship Id="rId33" Type="http://schemas.openxmlformats.org/officeDocument/2006/relationships/hyperlink" Target="https://doi.org/10.1177/09763996241280395" TargetMode="External"/><Relationship Id="rId38" Type="http://schemas.openxmlformats.org/officeDocument/2006/relationships/hyperlink" Target="https://doi.org/10.1007/s10869-010-916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980C2-16C8-437E-AC5C-E762836F7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82</Pages>
  <Words>21651</Words>
  <Characters>123415</Characters>
  <DocSecurity>0</DocSecurity>
  <Lines>1028</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2026-01-01T13:48:00Z</dcterms:created>
  <dcterms:modified xsi:type="dcterms:W3CDTF">2026-01-01T13:49:00Z</dcterms:modified>
</cp:coreProperties>
</file>