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D47103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D2620">
              <w:rPr>
                <w:rFonts w:ascii="Times New Roman" w:hAnsi="Times New Roman" w:cs="Times New Roman"/>
                <w:b/>
                <w:color w:val="auto"/>
                <w:sz w:val="48"/>
              </w:rPr>
              <w:t>Ellie Nash-McNeil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51785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D2620">
              <w:rPr>
                <w:rFonts w:ascii="Times New Roman" w:hAnsi="Times New Roman" w:cs="Times New Roman"/>
                <w:b/>
                <w:color w:val="auto"/>
                <w:sz w:val="48"/>
              </w:rPr>
              <w:t xml:space="preserve"> ellienash86@icloud.com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5DFB107" w:rsidR="0085230E" w:rsidRPr="005D3F07" w:rsidRDefault="0016698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2519408</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766A264" w14:textId="77777777" w:rsidR="008C503B" w:rsidRPr="005A7A6E" w:rsidRDefault="008C503B" w:rsidP="008C503B">
            <w:pPr>
              <w:spacing w:line="360" w:lineRule="auto"/>
              <w:jc w:val="both"/>
              <w:rPr>
                <w:sz w:val="28"/>
                <w:szCs w:val="28"/>
              </w:rPr>
            </w:pPr>
            <w:r w:rsidRPr="005A7A6E">
              <w:rPr>
                <w:sz w:val="28"/>
                <w:szCs w:val="28"/>
              </w:rPr>
              <w:t>As my primary area of practice is children's services, this discussion focuses on adult safeguarding. Adult safeguarding aims to protect adults who are experiencing, or are at risk of, abuse and neglect whilst promoting their wellbeing, autonomy, independence and human rights. Safeguarding practice in Wales adopts a rights-based and person-centred approach that seeks to balance an individual's right to make choices with the need to protect them from harm.</w:t>
            </w:r>
          </w:p>
          <w:p w14:paraId="57708DA0" w14:textId="77777777" w:rsidR="008C503B" w:rsidRPr="005A7A6E" w:rsidRDefault="008C503B" w:rsidP="008C503B">
            <w:pPr>
              <w:spacing w:line="360" w:lineRule="auto"/>
              <w:jc w:val="both"/>
              <w:rPr>
                <w:sz w:val="28"/>
                <w:szCs w:val="28"/>
              </w:rPr>
            </w:pPr>
            <w:r w:rsidRPr="005A7A6E">
              <w:rPr>
                <w:sz w:val="28"/>
                <w:szCs w:val="28"/>
              </w:rPr>
              <w:t xml:space="preserve">The key legislation underpinning adult safeguarding in Wales is the Social Services and Well-being (Wales) Act 2014, particularly Part 7, which provides the statutory framework for safeguarding adults at risk. The Act defines an adult at risk as someone who is experiencing, or is at risk of, abuse or neglect, has needs for care and support, and is unable to protect themselves </w:t>
            </w:r>
            <w:proofErr w:type="gramStart"/>
            <w:r w:rsidRPr="005A7A6E">
              <w:rPr>
                <w:sz w:val="28"/>
                <w:szCs w:val="28"/>
              </w:rPr>
              <w:t>as a result of</w:t>
            </w:r>
            <w:proofErr w:type="gramEnd"/>
            <w:r w:rsidRPr="005A7A6E">
              <w:rPr>
                <w:sz w:val="28"/>
                <w:szCs w:val="28"/>
              </w:rPr>
              <w:t xml:space="preserve"> those needs. It places a duty on local authorities to make enquiries when there is reasonable cause to suspect that a person is an adult at risk and to determine whether safeguarding action is required. The Act promotes wellbeing, prevention, partnership working and ensuring the voice of the adult is central to decision-making (Welsh Government, 2014). </w:t>
            </w:r>
          </w:p>
          <w:p w14:paraId="13F60EEA" w14:textId="77777777" w:rsidR="008C503B" w:rsidRPr="005A7A6E" w:rsidRDefault="008C503B" w:rsidP="008C503B">
            <w:pPr>
              <w:spacing w:line="360" w:lineRule="auto"/>
              <w:jc w:val="both"/>
              <w:rPr>
                <w:sz w:val="28"/>
                <w:szCs w:val="28"/>
              </w:rPr>
            </w:pPr>
            <w:r w:rsidRPr="005A7A6E">
              <w:rPr>
                <w:sz w:val="28"/>
                <w:szCs w:val="28"/>
              </w:rPr>
              <w:lastRenderedPageBreak/>
              <w:t xml:space="preserve">Part 7 also introduced Adult Protection and Support Orders (APSOs). These orders enable authorised officers to gain access to an individual where professionals are being prevented from assessing potential risks of abuse or neglect. APSOs allow practitioners to speak privately with a person, establish whether they are making decisions freely and determine whether safeguarding intervention is necessary (Welsh Government, 2016). </w:t>
            </w:r>
          </w:p>
          <w:p w14:paraId="61A6EE0A" w14:textId="77777777" w:rsidR="008C503B" w:rsidRPr="005A7A6E" w:rsidRDefault="008C503B" w:rsidP="008C503B">
            <w:pPr>
              <w:spacing w:line="360" w:lineRule="auto"/>
              <w:jc w:val="both"/>
              <w:rPr>
                <w:sz w:val="28"/>
                <w:szCs w:val="28"/>
              </w:rPr>
            </w:pPr>
            <w:r w:rsidRPr="005A7A6E">
              <w:rPr>
                <w:sz w:val="28"/>
                <w:szCs w:val="28"/>
              </w:rPr>
              <w:t xml:space="preserve">A further important piece of legislation is the Mental Capacity Act 2005, which applies in both Wales and England. The Act protects adults </w:t>
            </w:r>
            <w:r>
              <w:rPr>
                <w:sz w:val="28"/>
                <w:szCs w:val="28"/>
              </w:rPr>
              <w:t xml:space="preserve">and young people age 16 and upwards </w:t>
            </w:r>
            <w:r w:rsidRPr="005A7A6E">
              <w:rPr>
                <w:sz w:val="28"/>
                <w:szCs w:val="28"/>
              </w:rPr>
              <w:t xml:space="preserve">who may lack capacity to make specific decisions and is underpinned by five key principles, including presuming capacity unless proven otherwise, supporting individuals </w:t>
            </w:r>
            <w:r>
              <w:rPr>
                <w:sz w:val="28"/>
                <w:szCs w:val="28"/>
              </w:rPr>
              <w:t xml:space="preserve">who could be making unwise decisions </w:t>
            </w:r>
            <w:r w:rsidRPr="005A7A6E">
              <w:rPr>
                <w:sz w:val="28"/>
                <w:szCs w:val="28"/>
              </w:rPr>
              <w:t xml:space="preserve">and ensuring any intervention is in the person's best interests and is the least restrictive option available (Department for Constitutional Affairs, 2007). This legislation is particularly relevant when safeguarding adults with dementia, learning disabilities, acquired brain injuries or mental health difficulties. </w:t>
            </w:r>
          </w:p>
          <w:p w14:paraId="5C06D6F7" w14:textId="77777777" w:rsidR="008C503B" w:rsidRPr="005A7A6E" w:rsidRDefault="008C503B" w:rsidP="008C503B">
            <w:pPr>
              <w:spacing w:line="360" w:lineRule="auto"/>
              <w:jc w:val="both"/>
              <w:rPr>
                <w:sz w:val="28"/>
                <w:szCs w:val="28"/>
              </w:rPr>
            </w:pPr>
            <w:r w:rsidRPr="005A7A6E">
              <w:rPr>
                <w:sz w:val="28"/>
                <w:szCs w:val="28"/>
              </w:rPr>
              <w:t>Nationally, safeguarding practice is guided by the Wales Safeguarding Procedures, which provide a consistent framework for recognising, reporting and responding to concerns of abuse and neglect. The procedures support practitioners in sharing information appropriately and working collaboratively with partner agencies to ensure effective safeguarding interventions across Wales</w:t>
            </w:r>
            <w:r>
              <w:rPr>
                <w:sz w:val="28"/>
                <w:szCs w:val="28"/>
              </w:rPr>
              <w:t xml:space="preserve"> (Safeguarding Wales, 2026).</w:t>
            </w:r>
            <w:r w:rsidRPr="005A7A6E">
              <w:rPr>
                <w:sz w:val="28"/>
                <w:szCs w:val="28"/>
              </w:rPr>
              <w:t xml:space="preserve"> </w:t>
            </w:r>
          </w:p>
          <w:p w14:paraId="0D7199B3" w14:textId="77777777" w:rsidR="008C503B" w:rsidRPr="005A7A6E" w:rsidRDefault="008C503B" w:rsidP="008C503B">
            <w:pPr>
              <w:spacing w:line="360" w:lineRule="auto"/>
              <w:jc w:val="both"/>
              <w:rPr>
                <w:sz w:val="28"/>
                <w:szCs w:val="28"/>
              </w:rPr>
            </w:pPr>
            <w:r w:rsidRPr="005A7A6E">
              <w:rPr>
                <w:sz w:val="28"/>
                <w:szCs w:val="28"/>
              </w:rPr>
              <w:t xml:space="preserve">At a local level, safeguarding within </w:t>
            </w:r>
            <w:proofErr w:type="spellStart"/>
            <w:r>
              <w:rPr>
                <w:sz w:val="28"/>
                <w:szCs w:val="28"/>
              </w:rPr>
              <w:t>xxxxxx</w:t>
            </w:r>
            <w:proofErr w:type="spellEnd"/>
            <w:r w:rsidRPr="005A7A6E">
              <w:rPr>
                <w:sz w:val="28"/>
                <w:szCs w:val="28"/>
              </w:rPr>
              <w:t xml:space="preserve"> is overseen </w:t>
            </w:r>
            <w:r w:rsidRPr="009515F3">
              <w:rPr>
                <w:sz w:val="28"/>
                <w:szCs w:val="28"/>
              </w:rPr>
              <w:t>by the Mid and West Wales Safeguarding Board (Mid and West Wales Safeguarding Board, 2026). The Board coordinates multiagency safegu</w:t>
            </w:r>
            <w:r w:rsidRPr="005A7A6E">
              <w:rPr>
                <w:sz w:val="28"/>
                <w:szCs w:val="28"/>
              </w:rPr>
              <w:t>arding arrangements, develops local procedures and promotes learning from safeguarding practice reviews</w:t>
            </w:r>
            <w:r>
              <w:rPr>
                <w:sz w:val="28"/>
                <w:szCs w:val="28"/>
              </w:rPr>
              <w:t xml:space="preserve"> </w:t>
            </w:r>
            <w:r w:rsidRPr="009515F3">
              <w:rPr>
                <w:sz w:val="28"/>
                <w:szCs w:val="28"/>
              </w:rPr>
              <w:t>(CYSUR).</w:t>
            </w:r>
            <w:r w:rsidRPr="005A7A6E">
              <w:rPr>
                <w:sz w:val="28"/>
                <w:szCs w:val="28"/>
              </w:rPr>
              <w:t xml:space="preserve"> </w:t>
            </w:r>
          </w:p>
          <w:p w14:paraId="5A2224F1" w14:textId="77777777" w:rsidR="008C503B" w:rsidRDefault="008C503B" w:rsidP="008C503B">
            <w:pPr>
              <w:spacing w:line="360" w:lineRule="auto"/>
              <w:jc w:val="both"/>
              <w:rPr>
                <w:sz w:val="28"/>
                <w:szCs w:val="28"/>
              </w:rPr>
            </w:pPr>
            <w:r w:rsidRPr="005A7A6E">
              <w:rPr>
                <w:sz w:val="28"/>
                <w:szCs w:val="28"/>
              </w:rPr>
              <w:lastRenderedPageBreak/>
              <w:t>Organisationally, social workers must adhere to local authority safeguarding policies, information-sharing protocols, whistleblowing procedures, risk assessment frameworks and professional standards set by Social Care Wales</w:t>
            </w:r>
            <w:r>
              <w:rPr>
                <w:sz w:val="28"/>
                <w:szCs w:val="28"/>
              </w:rPr>
              <w:t xml:space="preserve"> (SCW,2014)</w:t>
            </w:r>
            <w:r w:rsidRPr="005A7A6E">
              <w:rPr>
                <w:sz w:val="28"/>
                <w:szCs w:val="28"/>
              </w:rPr>
              <w:t>. Jointly, these legislative, national, local and organisational frameworks ensure adults at risk are protected whilst maintaining their rights, dignity and wellbeing.</w:t>
            </w:r>
          </w:p>
          <w:p w14:paraId="6AF0253D" w14:textId="77777777" w:rsidR="008C503B" w:rsidRPr="003B122B" w:rsidRDefault="008C503B" w:rsidP="008C503B">
            <w:pPr>
              <w:jc w:val="both"/>
              <w:rPr>
                <w:b/>
                <w:bCs/>
                <w:sz w:val="24"/>
                <w:szCs w:val="24"/>
              </w:rPr>
            </w:pPr>
            <w:r w:rsidRPr="003B122B">
              <w:rPr>
                <w:b/>
                <w:bCs/>
                <w:sz w:val="24"/>
                <w:szCs w:val="24"/>
              </w:rPr>
              <w:t>Word Count 489</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35C5100" w14:textId="77777777" w:rsidR="001B12AA" w:rsidRPr="009515F3" w:rsidRDefault="001B12AA" w:rsidP="001B12AA">
            <w:pPr>
              <w:spacing w:line="360" w:lineRule="auto"/>
              <w:jc w:val="both"/>
              <w:rPr>
                <w:sz w:val="28"/>
                <w:szCs w:val="28"/>
              </w:rPr>
            </w:pPr>
            <w:r w:rsidRPr="006C1164">
              <w:rPr>
                <w:sz w:val="28"/>
                <w:szCs w:val="28"/>
              </w:rPr>
              <w:t xml:space="preserve">Reflecting as a social worker working in children’s services on adult safeguarding has highlighted both similarities and significant differences between safeguarding adults and children. Whilst both areas aim to protect individuals from abuse, neglect and harm, the key distinction lies in issues of capacity, consent and autonomy. In children's safeguarding, the welfare of the child is paramount under the Children Act 1989 and professionals can intervene where there is evidence that a child is suffering, or is likely to suffer, significant harm (Children Act 1989). </w:t>
            </w:r>
            <w:r w:rsidRPr="009515F3">
              <w:rPr>
                <w:sz w:val="28"/>
                <w:szCs w:val="28"/>
              </w:rPr>
              <w:t>Children are generally viewed as vulnerable due to their age and developmental stage, with safeguarding decisions made in their best interests to protect their welfare (HM Government, 2018). In contrast, adult safeguarding promotes wellbeing, voice, choice and control, recognising an adult's right to make their own decisions, even where professionals consider them to be at risk (Welsh Government, 2014).</w:t>
            </w:r>
          </w:p>
          <w:p w14:paraId="779C3348" w14:textId="77777777" w:rsidR="001B12AA" w:rsidRPr="006C1164" w:rsidRDefault="001B12AA" w:rsidP="001B12AA">
            <w:pPr>
              <w:spacing w:line="360" w:lineRule="auto"/>
              <w:jc w:val="both"/>
              <w:rPr>
                <w:sz w:val="28"/>
                <w:szCs w:val="28"/>
              </w:rPr>
            </w:pPr>
            <w:r w:rsidRPr="006C1164">
              <w:rPr>
                <w:sz w:val="28"/>
                <w:szCs w:val="28"/>
              </w:rPr>
              <w:t xml:space="preserve">This creates ethical challenges where an adult chooses to remain in situations that others perceive as harmful, such as domestic abuse or self-neglect. A major </w:t>
            </w:r>
            <w:r w:rsidRPr="006C1164">
              <w:rPr>
                <w:sz w:val="28"/>
                <w:szCs w:val="28"/>
              </w:rPr>
              <w:lastRenderedPageBreak/>
              <w:t xml:space="preserve">difference between adult and children's safeguarding is the role of mental capacity and consent. Under the Mental Capacity Act 2005, adults must be presumed to have capacity unless proven otherwise. An adult with capacity can decline support or safeguarding interventions, even if professionals disagree with their choices as the person demonstrates autonomy and understanding of the risk they choose to take (Department for Constitutional Affairs, 2007). Equally, when working with children, practitioners do not rely solely on consent if there are safeguarding concerns, as the child's welfare remains the overriding consideration. Reflecting on these differences has increased my understanding of the balance between protection and empowerment within adult safeguarding. Whilst children's safeguarding often requires professionals to take protective action, adult safeguarding requires practitioners to carefully consider autonomy, human rights and the least restrictive intervention. Barlow and Douglas (2023) argue that safeguarding in Wales increasingly adopts a person-centred approach that seeks to strengthen the voice of both adults and children whilst recognising their differing legal rights and responsibilities. Gillick competence has enhanced my appreciation of children's rights to participate in decisions that affect their lives. </w:t>
            </w:r>
            <w:r>
              <w:rPr>
                <w:sz w:val="28"/>
                <w:szCs w:val="28"/>
              </w:rPr>
              <w:t>Reinforcing t</w:t>
            </w:r>
            <w:r w:rsidRPr="006C1164">
              <w:rPr>
                <w:sz w:val="28"/>
                <w:szCs w:val="28"/>
              </w:rPr>
              <w:t>he importance of assessing a child's maturity and understanding, ensuring their views, wishes and feelings are considered whilst balancing their right to participate with the need to protect them from harm (Gillick v West Norfolk and Wisbech Area Health Authority, 1986).</w:t>
            </w:r>
          </w:p>
          <w:p w14:paraId="3E685089" w14:textId="77777777" w:rsidR="001B12AA" w:rsidRDefault="001B12AA" w:rsidP="001B12AA">
            <w:pPr>
              <w:spacing w:line="360" w:lineRule="auto"/>
              <w:jc w:val="both"/>
              <w:rPr>
                <w:b/>
                <w:bCs/>
                <w:sz w:val="28"/>
                <w:szCs w:val="28"/>
              </w:rPr>
            </w:pPr>
            <w:r w:rsidRPr="006C1164">
              <w:rPr>
                <w:sz w:val="28"/>
                <w:szCs w:val="28"/>
              </w:rPr>
              <w:t>This learning has enhanced my understanding of how safeguarding frameworks differ across practice settings and highlighted the importance of understanding capacity, consent and human rights when working with adults at risk</w:t>
            </w:r>
            <w:r w:rsidRPr="006C1164">
              <w:rPr>
                <w:b/>
                <w:bCs/>
                <w:sz w:val="28"/>
                <w:szCs w:val="28"/>
              </w:rPr>
              <w:t xml:space="preserve">. </w:t>
            </w:r>
          </w:p>
          <w:p w14:paraId="42E66984" w14:textId="77777777" w:rsidR="001B12AA" w:rsidRPr="001B12AA" w:rsidRDefault="001B12AA" w:rsidP="001B12AA">
            <w:pPr>
              <w:jc w:val="both"/>
              <w:rPr>
                <w:b/>
                <w:bCs/>
                <w:sz w:val="24"/>
                <w:szCs w:val="24"/>
              </w:rPr>
            </w:pPr>
            <w:r w:rsidRPr="001B12AA">
              <w:rPr>
                <w:b/>
                <w:bCs/>
                <w:sz w:val="24"/>
                <w:szCs w:val="24"/>
              </w:rPr>
              <w:t>Word Count - 426</w:t>
            </w:r>
          </w:p>
          <w:p w14:paraId="1C6ACD50" w14:textId="77777777" w:rsidR="001B12AA" w:rsidRDefault="001B12AA" w:rsidP="001B12AA">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99DB4" w14:textId="77777777" w:rsidR="00462A42" w:rsidRDefault="00462A42">
      <w:r>
        <w:separator/>
      </w:r>
    </w:p>
  </w:endnote>
  <w:endnote w:type="continuationSeparator" w:id="0">
    <w:p w14:paraId="1584F248" w14:textId="77777777" w:rsidR="00462A42" w:rsidRDefault="00462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49285" w14:textId="77777777" w:rsidR="00462A42" w:rsidRDefault="00462A42">
      <w:r>
        <w:separator/>
      </w:r>
    </w:p>
  </w:footnote>
  <w:footnote w:type="continuationSeparator" w:id="0">
    <w:p w14:paraId="11F6AB55" w14:textId="77777777" w:rsidR="00462A42" w:rsidRDefault="00462A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980"/>
    <w:rsid w:val="00171418"/>
    <w:rsid w:val="001772BF"/>
    <w:rsid w:val="001772DE"/>
    <w:rsid w:val="0019496C"/>
    <w:rsid w:val="001961CF"/>
    <w:rsid w:val="001A59BB"/>
    <w:rsid w:val="001A607E"/>
    <w:rsid w:val="001A6A51"/>
    <w:rsid w:val="001A79C4"/>
    <w:rsid w:val="001B12AA"/>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A42"/>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2620"/>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0190"/>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23E"/>
    <w:rsid w:val="00861038"/>
    <w:rsid w:val="00862B92"/>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03B"/>
    <w:rsid w:val="008C633F"/>
    <w:rsid w:val="008C6EEA"/>
    <w:rsid w:val="008C7770"/>
    <w:rsid w:val="008C79C7"/>
    <w:rsid w:val="008D03B0"/>
    <w:rsid w:val="008D0732"/>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3</TotalTime>
  <Pages>6</Pages>
  <Words>1164</Words>
  <Characters>6639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Ellie Nash-McNeil</cp:lastModifiedBy>
  <cp:revision>6</cp:revision>
  <cp:lastPrinted>2020-02-11T19:20:00Z</cp:lastPrinted>
  <dcterms:created xsi:type="dcterms:W3CDTF">2026-10-05T11:29:00Z</dcterms:created>
  <dcterms:modified xsi:type="dcterms:W3CDTF">2026-10-05T17:58:00Z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