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988938189"/>
        <w:docPartObj>
          <w:docPartGallery w:val="Cover Pages"/>
          <w:docPartUnique/>
        </w:docPartObj>
      </w:sdtPr>
      <w:sdtEndPr>
        <w:rPr>
          <w:noProof/>
        </w:rPr>
      </w:sdtEndPr>
      <w:sdtContent>
        <w:p w14:paraId="43AD36A4" w14:textId="77777777" w:rsidR="00120492" w:rsidRDefault="00120492" w:rsidP="00120492">
          <w:pPr>
            <w:pStyle w:val="NoSpacing"/>
            <w:tabs>
              <w:tab w:val="left" w:pos="6204"/>
            </w:tabs>
          </w:pPr>
          <w:r>
            <w:rPr>
              <w:noProof/>
            </w:rPr>
            <w:drawing>
              <wp:inline distT="0" distB="0" distL="0" distR="0" wp14:anchorId="4A2968CE" wp14:editId="086D437B">
                <wp:extent cx="3399596" cy="2049145"/>
                <wp:effectExtent l="76200" t="76200" r="67945" b="998855"/>
                <wp:docPr id="1049984410"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984410" name="Picture 1"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10944" cy="2236814"/>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Pr>
              <w:noProof/>
            </w:rPr>
            <mc:AlternateContent>
              <mc:Choice Requires="wpg">
                <w:drawing>
                  <wp:anchor distT="0" distB="0" distL="114300" distR="114300" simplePos="0" relativeHeight="251659264" behindDoc="1" locked="0" layoutInCell="1" allowOverlap="1" wp14:anchorId="5AC5E87A" wp14:editId="757474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7D73BE" w14:textId="77777777" w:rsidR="00120492" w:rsidRDefault="00120492" w:rsidP="00120492">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C5E87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007D73BE" w14:textId="77777777" w:rsidR="00120492" w:rsidRDefault="00120492" w:rsidP="00120492">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97C75F" wp14:editId="4CC82F9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7BD49" w14:textId="77777777" w:rsidR="00120492" w:rsidRDefault="00120492" w:rsidP="00120492">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F97C75F" id="_x0000_t202" coordsize="21600,21600" o:spt="202" path="m,l,21600r21600,l21600,xe">
                    <v:stroke joinstyle="miter"/>
                    <v:path gradientshapeok="t" o:connecttype="rect"/>
                  </v:shapetype>
                  <v:shape id="Text Box 28"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117BD49" w14:textId="77777777" w:rsidR="00120492" w:rsidRDefault="00120492" w:rsidP="00120492">
                          <w:pPr>
                            <w:pStyle w:val="NoSpacing"/>
                            <w:rPr>
                              <w:color w:val="595959" w:themeColor="text1" w:themeTint="A6"/>
                              <w:sz w:val="20"/>
                              <w:szCs w:val="20"/>
                            </w:rPr>
                          </w:pPr>
                        </w:p>
                      </w:txbxContent>
                    </v:textbox>
                    <w10:wrap anchorx="page" anchory="page"/>
                  </v:shape>
                </w:pict>
              </mc:Fallback>
            </mc:AlternateContent>
          </w:r>
          <w:r>
            <w:tab/>
          </w:r>
        </w:p>
        <w:p w14:paraId="6716075E" w14:textId="77777777" w:rsidR="00120492" w:rsidRPr="00575BAE" w:rsidRDefault="00120492" w:rsidP="00120492">
          <w:pPr>
            <w:spacing w:line="360" w:lineRule="auto"/>
            <w:jc w:val="center"/>
            <w:rPr>
              <w:rFonts w:ascii="Arial" w:hAnsi="Arial" w:cs="Arial"/>
              <w:sz w:val="44"/>
              <w:szCs w:val="44"/>
            </w:rPr>
          </w:pPr>
          <w:r w:rsidRPr="00575BAE">
            <w:rPr>
              <w:rFonts w:ascii="Arial" w:hAnsi="Arial" w:cs="Arial"/>
              <w:sz w:val="44"/>
              <w:szCs w:val="44"/>
            </w:rPr>
            <w:t>Module: Health Wellbeing and Sustainable Development</w:t>
          </w:r>
        </w:p>
        <w:p w14:paraId="5325A087" w14:textId="77777777" w:rsidR="00120492" w:rsidRPr="00575BAE" w:rsidRDefault="00120492" w:rsidP="00120492">
          <w:pPr>
            <w:spacing w:line="360" w:lineRule="auto"/>
            <w:jc w:val="center"/>
            <w:rPr>
              <w:rFonts w:ascii="Arial" w:hAnsi="Arial" w:cs="Arial"/>
              <w:sz w:val="44"/>
              <w:szCs w:val="44"/>
            </w:rPr>
          </w:pPr>
          <w:r w:rsidRPr="00575BAE">
            <w:rPr>
              <w:rFonts w:ascii="Arial" w:hAnsi="Arial" w:cs="Arial"/>
              <w:sz w:val="44"/>
              <w:szCs w:val="44"/>
            </w:rPr>
            <w:t>Code: (BMHP6030 – LON)</w:t>
          </w:r>
        </w:p>
        <w:p w14:paraId="658C2CCA" w14:textId="77777777" w:rsidR="00120492" w:rsidRPr="00575BAE" w:rsidRDefault="00120492" w:rsidP="00120492">
          <w:pPr>
            <w:spacing w:line="360" w:lineRule="auto"/>
            <w:jc w:val="center"/>
            <w:rPr>
              <w:rFonts w:ascii="Arial" w:hAnsi="Arial" w:cs="Arial"/>
              <w:sz w:val="44"/>
              <w:szCs w:val="44"/>
            </w:rPr>
          </w:pPr>
          <w:r w:rsidRPr="00575BAE">
            <w:rPr>
              <w:rFonts w:ascii="Arial" w:hAnsi="Arial" w:cs="Arial"/>
              <w:sz w:val="44"/>
              <w:szCs w:val="44"/>
            </w:rPr>
            <w:t>Name: Sharon McDermott</w:t>
          </w:r>
        </w:p>
        <w:p w14:paraId="4D9F21BD" w14:textId="77777777" w:rsidR="00120492" w:rsidRPr="00575BAE" w:rsidRDefault="00120492" w:rsidP="00120492">
          <w:pPr>
            <w:spacing w:line="360" w:lineRule="auto"/>
            <w:jc w:val="center"/>
            <w:rPr>
              <w:rFonts w:ascii="Arial" w:hAnsi="Arial" w:cs="Arial"/>
              <w:sz w:val="44"/>
              <w:szCs w:val="44"/>
            </w:rPr>
          </w:pPr>
          <w:r w:rsidRPr="00575BAE">
            <w:rPr>
              <w:rFonts w:ascii="Arial" w:hAnsi="Arial" w:cs="Arial"/>
              <w:sz w:val="44"/>
              <w:szCs w:val="44"/>
            </w:rPr>
            <w:t>Student DI: 2243145</w:t>
          </w:r>
        </w:p>
        <w:p w14:paraId="6CDE4020" w14:textId="77777777" w:rsidR="00120492" w:rsidRPr="00DB29C4" w:rsidRDefault="00120492" w:rsidP="00120492">
          <w:pPr>
            <w:spacing w:after="0" w:line="360" w:lineRule="auto"/>
            <w:jc w:val="center"/>
            <w:rPr>
              <w:rFonts w:ascii="Arial" w:hAnsi="Arial" w:cs="Arial"/>
              <w:sz w:val="44"/>
              <w:szCs w:val="44"/>
            </w:rPr>
          </w:pPr>
          <w:r w:rsidRPr="00575BAE">
            <w:rPr>
              <w:rFonts w:ascii="Arial" w:hAnsi="Arial" w:cs="Arial"/>
              <w:sz w:val="44"/>
              <w:szCs w:val="44"/>
            </w:rPr>
            <w:t xml:space="preserve">Lecturer Name: Dr </w:t>
          </w:r>
          <w:proofErr w:type="spellStart"/>
          <w:r w:rsidRPr="00575BAE">
            <w:rPr>
              <w:rFonts w:ascii="Arial" w:hAnsi="Arial" w:cs="Arial"/>
              <w:sz w:val="44"/>
              <w:szCs w:val="44"/>
            </w:rPr>
            <w:t>Itse</w:t>
          </w:r>
          <w:proofErr w:type="spellEnd"/>
          <w:r w:rsidRPr="00575BAE">
            <w:rPr>
              <w:rFonts w:ascii="Arial" w:hAnsi="Arial" w:cs="Arial"/>
              <w:sz w:val="44"/>
              <w:szCs w:val="44"/>
            </w:rPr>
            <w:t xml:space="preserve"> Olaoye</w:t>
          </w:r>
          <w:r>
            <w:rPr>
              <w:noProof/>
            </w:rPr>
            <w:br w:type="page"/>
          </w:r>
        </w:p>
      </w:sdtContent>
    </w:sdt>
    <w:p w14:paraId="643EB874" w14:textId="77777777" w:rsidR="006D2CC3" w:rsidRDefault="006D2CC3" w:rsidP="00120492">
      <w:pPr>
        <w:pStyle w:val="Heading1"/>
        <w:rPr>
          <w:rFonts w:cs="Arial"/>
          <w:b/>
          <w:szCs w:val="28"/>
        </w:rPr>
      </w:pPr>
      <w:bookmarkStart w:id="0" w:name="_Toc226727766"/>
      <w:bookmarkStart w:id="1" w:name="_Toc227321149"/>
      <w:bookmarkStart w:id="2" w:name="_Toc227321224"/>
    </w:p>
    <w:p w14:paraId="3554DAEB" w14:textId="77777777" w:rsidR="006D2CC3" w:rsidRDefault="006D2CC3" w:rsidP="006D2CC3">
      <w:pPr>
        <w:rPr>
          <w:lang w:eastAsia="en-GB"/>
        </w:rPr>
      </w:pPr>
    </w:p>
    <w:p w14:paraId="446C50C9" w14:textId="77777777" w:rsidR="006D2CC3" w:rsidRDefault="006D2CC3" w:rsidP="006D2CC3">
      <w:pPr>
        <w:rPr>
          <w:lang w:eastAsia="en-GB"/>
        </w:rPr>
      </w:pPr>
    </w:p>
    <w:p w14:paraId="3C443F9E" w14:textId="77777777" w:rsidR="006D2CC3" w:rsidRDefault="006D2CC3" w:rsidP="006D2CC3">
      <w:pPr>
        <w:rPr>
          <w:lang w:eastAsia="en-GB"/>
        </w:rPr>
      </w:pPr>
    </w:p>
    <w:p w14:paraId="18D0D416" w14:textId="77777777" w:rsidR="006D2CC3" w:rsidRPr="00B05447" w:rsidRDefault="006D2CC3" w:rsidP="006D2CC3">
      <w:pPr>
        <w:rPr>
          <w:lang w:eastAsia="en-GB"/>
        </w:rPr>
      </w:pPr>
    </w:p>
    <w:p w14:paraId="23880CAD" w14:textId="77777777" w:rsidR="006D2CC3" w:rsidRDefault="006D2CC3" w:rsidP="006D2CC3">
      <w:pPr>
        <w:rPr>
          <w:lang w:eastAsia="en-GB"/>
        </w:rPr>
      </w:pPr>
    </w:p>
    <w:p w14:paraId="7E63AFC3" w14:textId="77777777" w:rsidR="006D2CC3" w:rsidRDefault="006D2CC3" w:rsidP="006D2CC3">
      <w:pPr>
        <w:rPr>
          <w:lang w:eastAsia="en-GB"/>
        </w:rPr>
      </w:pPr>
    </w:p>
    <w:p w14:paraId="21054E2F" w14:textId="77777777" w:rsidR="006D2CC3" w:rsidRPr="00B05447" w:rsidRDefault="006D2CC3" w:rsidP="006D2CC3">
      <w:pPr>
        <w:rPr>
          <w:rFonts w:ascii="Arial" w:hAnsi="Arial" w:cs="Arial"/>
          <w:sz w:val="32"/>
          <w:szCs w:val="32"/>
          <w:lang w:eastAsia="en-GB"/>
        </w:rPr>
      </w:pPr>
    </w:p>
    <w:p w14:paraId="07C2AE13" w14:textId="77777777" w:rsidR="00B05447" w:rsidRPr="00B05447" w:rsidRDefault="00B05447" w:rsidP="00B05447">
      <w:pPr>
        <w:rPr>
          <w:rFonts w:ascii="Arial" w:hAnsi="Arial" w:cs="Arial"/>
          <w:b/>
          <w:bCs/>
          <w:sz w:val="32"/>
          <w:szCs w:val="32"/>
          <w:lang w:eastAsia="en-GB"/>
        </w:rPr>
      </w:pPr>
      <w:r w:rsidRPr="00B05447">
        <w:rPr>
          <w:rFonts w:ascii="Arial" w:hAnsi="Arial" w:cs="Arial"/>
          <w:b/>
          <w:bCs/>
          <w:sz w:val="32"/>
          <w:szCs w:val="32"/>
          <w:lang w:val="en-US" w:eastAsia="en-GB"/>
        </w:rPr>
        <w:t>AI Acknowledgement</w:t>
      </w:r>
    </w:p>
    <w:p w14:paraId="529CBE08" w14:textId="77777777" w:rsidR="00B05447" w:rsidRPr="00B05447" w:rsidRDefault="00B05447" w:rsidP="00B05447">
      <w:pPr>
        <w:rPr>
          <w:rFonts w:ascii="Arial" w:hAnsi="Arial" w:cs="Arial"/>
          <w:b/>
          <w:bCs/>
          <w:sz w:val="32"/>
          <w:szCs w:val="32"/>
          <w:lang w:eastAsia="en-GB"/>
        </w:rPr>
      </w:pPr>
      <w:r w:rsidRPr="00B05447">
        <w:rPr>
          <w:rFonts w:ascii="Arial" w:hAnsi="Arial" w:cs="Arial"/>
          <w:b/>
          <w:bCs/>
          <w:sz w:val="32"/>
          <w:szCs w:val="32"/>
          <w:lang w:val="en-US" w:eastAsia="en-GB"/>
        </w:rPr>
        <w:t>I confirm that I have not used any AI tools in the research and creation of this assignment. I confirm that I have not presented any AI-generated materials as my work. I confirm that I have copies of my drafts, notes, and other resources I used, which I may be asked to provide as evidence.</w:t>
      </w:r>
    </w:p>
    <w:p w14:paraId="6950963F" w14:textId="77777777" w:rsidR="006D2CC3" w:rsidRPr="00B05447" w:rsidRDefault="006D2CC3" w:rsidP="006D2CC3">
      <w:pPr>
        <w:rPr>
          <w:rFonts w:ascii="Arial" w:hAnsi="Arial" w:cs="Arial"/>
          <w:b/>
          <w:bCs/>
          <w:sz w:val="32"/>
          <w:szCs w:val="32"/>
          <w:lang w:eastAsia="en-GB"/>
        </w:rPr>
      </w:pPr>
    </w:p>
    <w:p w14:paraId="5CD95B5E" w14:textId="77777777" w:rsidR="006D2CC3" w:rsidRPr="00B05447" w:rsidRDefault="006D2CC3" w:rsidP="006D2CC3">
      <w:pPr>
        <w:rPr>
          <w:rFonts w:ascii="Arial" w:hAnsi="Arial" w:cs="Arial"/>
          <w:sz w:val="32"/>
          <w:szCs w:val="32"/>
          <w:lang w:eastAsia="en-GB"/>
        </w:rPr>
      </w:pPr>
    </w:p>
    <w:p w14:paraId="384CD613" w14:textId="77777777" w:rsidR="006D2CC3" w:rsidRPr="00B05447" w:rsidRDefault="006D2CC3" w:rsidP="006D2CC3">
      <w:pPr>
        <w:rPr>
          <w:rFonts w:ascii="Arial" w:hAnsi="Arial" w:cs="Arial"/>
          <w:sz w:val="32"/>
          <w:szCs w:val="32"/>
          <w:lang w:eastAsia="en-GB"/>
        </w:rPr>
      </w:pPr>
    </w:p>
    <w:p w14:paraId="5950C096" w14:textId="77777777" w:rsidR="006D2CC3" w:rsidRDefault="006D2CC3" w:rsidP="006D2CC3">
      <w:pPr>
        <w:rPr>
          <w:lang w:eastAsia="en-GB"/>
        </w:rPr>
      </w:pPr>
    </w:p>
    <w:p w14:paraId="3639F3C6" w14:textId="77777777" w:rsidR="006D2CC3" w:rsidRDefault="006D2CC3" w:rsidP="006D2CC3">
      <w:pPr>
        <w:rPr>
          <w:lang w:eastAsia="en-GB"/>
        </w:rPr>
      </w:pPr>
    </w:p>
    <w:p w14:paraId="6EEE9984" w14:textId="77777777" w:rsidR="006D2CC3" w:rsidRDefault="006D2CC3" w:rsidP="006D2CC3">
      <w:pPr>
        <w:rPr>
          <w:lang w:eastAsia="en-GB"/>
        </w:rPr>
      </w:pPr>
    </w:p>
    <w:p w14:paraId="39BA6781" w14:textId="77777777" w:rsidR="006D2CC3" w:rsidRDefault="006D2CC3" w:rsidP="006D2CC3">
      <w:pPr>
        <w:rPr>
          <w:lang w:eastAsia="en-GB"/>
        </w:rPr>
      </w:pPr>
    </w:p>
    <w:p w14:paraId="06FE40F9" w14:textId="77777777" w:rsidR="006D2CC3" w:rsidRDefault="006D2CC3" w:rsidP="006D2CC3">
      <w:pPr>
        <w:rPr>
          <w:lang w:eastAsia="en-GB"/>
        </w:rPr>
      </w:pPr>
    </w:p>
    <w:p w14:paraId="5A2FAAB2" w14:textId="77777777" w:rsidR="006D2CC3" w:rsidRDefault="006D2CC3" w:rsidP="006D2CC3">
      <w:pPr>
        <w:rPr>
          <w:lang w:eastAsia="en-GB"/>
        </w:rPr>
      </w:pPr>
    </w:p>
    <w:p w14:paraId="2DE39C4D" w14:textId="77777777" w:rsidR="006D2CC3" w:rsidRDefault="006D2CC3" w:rsidP="006D2CC3">
      <w:pPr>
        <w:rPr>
          <w:lang w:eastAsia="en-GB"/>
        </w:rPr>
      </w:pPr>
    </w:p>
    <w:p w14:paraId="06B57A96" w14:textId="77777777" w:rsidR="006D2CC3" w:rsidRDefault="006D2CC3" w:rsidP="006D2CC3">
      <w:pPr>
        <w:rPr>
          <w:lang w:eastAsia="en-GB"/>
        </w:rPr>
      </w:pPr>
    </w:p>
    <w:p w14:paraId="72CEFA70" w14:textId="77777777" w:rsidR="006D2CC3" w:rsidRDefault="006D2CC3" w:rsidP="006D2CC3">
      <w:pPr>
        <w:rPr>
          <w:lang w:eastAsia="en-GB"/>
        </w:rPr>
      </w:pPr>
    </w:p>
    <w:p w14:paraId="59A27020" w14:textId="77777777" w:rsidR="006D2CC3" w:rsidRDefault="006D2CC3" w:rsidP="006D2CC3">
      <w:pPr>
        <w:rPr>
          <w:lang w:eastAsia="en-GB"/>
        </w:rPr>
      </w:pPr>
    </w:p>
    <w:p w14:paraId="6EE30982" w14:textId="77777777" w:rsidR="006D2CC3" w:rsidRDefault="006D2CC3" w:rsidP="006D2CC3">
      <w:pPr>
        <w:rPr>
          <w:lang w:eastAsia="en-GB"/>
        </w:rPr>
      </w:pPr>
    </w:p>
    <w:p w14:paraId="2B9A7E93" w14:textId="77777777" w:rsidR="006D2CC3" w:rsidRDefault="006D2CC3" w:rsidP="006D2CC3">
      <w:pPr>
        <w:rPr>
          <w:lang w:eastAsia="en-GB"/>
        </w:rPr>
      </w:pPr>
    </w:p>
    <w:p w14:paraId="71D3E32F" w14:textId="77777777" w:rsidR="006D2CC3" w:rsidRDefault="006D2CC3" w:rsidP="006D2CC3">
      <w:pPr>
        <w:rPr>
          <w:lang w:eastAsia="en-GB"/>
        </w:rPr>
      </w:pPr>
    </w:p>
    <w:p w14:paraId="13FEA61A" w14:textId="77777777" w:rsidR="006D2CC3" w:rsidRDefault="006D2CC3" w:rsidP="006D2CC3">
      <w:pPr>
        <w:rPr>
          <w:lang w:eastAsia="en-GB"/>
        </w:rPr>
      </w:pPr>
    </w:p>
    <w:p w14:paraId="730C6B80" w14:textId="77777777" w:rsidR="006D2CC3" w:rsidRPr="006D2CC3" w:rsidRDefault="006D2CC3" w:rsidP="006D2CC3">
      <w:pPr>
        <w:rPr>
          <w:lang w:eastAsia="en-GB"/>
        </w:rPr>
      </w:pPr>
    </w:p>
    <w:sdt>
      <w:sdtPr>
        <w:rPr>
          <w:rFonts w:asciiTheme="minorHAnsi" w:eastAsiaTheme="minorHAnsi" w:hAnsiTheme="minorHAnsi" w:cstheme="minorBidi"/>
          <w:b w:val="0"/>
          <w:bCs w:val="0"/>
          <w:color w:val="auto"/>
          <w:kern w:val="2"/>
          <w:sz w:val="24"/>
          <w:szCs w:val="24"/>
          <w:lang w:val="en-GB"/>
          <w14:ligatures w14:val="standardContextual"/>
        </w:rPr>
        <w:id w:val="-2114429698"/>
        <w:docPartObj>
          <w:docPartGallery w:val="Table of Contents"/>
          <w:docPartUnique/>
        </w:docPartObj>
      </w:sdtPr>
      <w:sdtEndPr>
        <w:rPr>
          <w:noProof/>
        </w:rPr>
      </w:sdtEndPr>
      <w:sdtContent>
        <w:p w14:paraId="318178A1" w14:textId="5BE6D168" w:rsidR="006D2CC3" w:rsidRDefault="006D2CC3">
          <w:pPr>
            <w:pStyle w:val="TOCHeading"/>
          </w:pPr>
          <w:r>
            <w:t>Table of Contents</w:t>
          </w:r>
        </w:p>
        <w:p w14:paraId="53BD6EA6" w14:textId="61939A85" w:rsidR="006D2CC3" w:rsidRPr="006D2CC3" w:rsidRDefault="006D2CC3">
          <w:pPr>
            <w:pStyle w:val="TOC1"/>
            <w:tabs>
              <w:tab w:val="right" w:leader="dot" w:pos="9016"/>
            </w:tabs>
            <w:rPr>
              <w:rFonts w:ascii="Arial" w:eastAsiaTheme="minorEastAsia" w:hAnsi="Arial" w:cs="Arial"/>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321276" w:history="1">
            <w:r w:rsidRPr="006D2CC3">
              <w:rPr>
                <w:rStyle w:val="Hyperlink"/>
                <w:rFonts w:ascii="Arial" w:hAnsi="Arial" w:cs="Arial"/>
                <w:b w:val="0"/>
                <w:bCs w:val="0"/>
                <w:i w:val="0"/>
                <w:iCs w:val="0"/>
                <w:noProof/>
              </w:rPr>
              <w:t>1. Introduction</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_Toc227321276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2</w:t>
            </w:r>
            <w:r w:rsidRPr="006D2CC3">
              <w:rPr>
                <w:rFonts w:ascii="Arial" w:hAnsi="Arial" w:cs="Arial"/>
                <w:b w:val="0"/>
                <w:bCs w:val="0"/>
                <w:i w:val="0"/>
                <w:iCs w:val="0"/>
                <w:noProof/>
                <w:webHidden/>
              </w:rPr>
              <w:fldChar w:fldCharType="end"/>
            </w:r>
          </w:hyperlink>
        </w:p>
        <w:p w14:paraId="254AA5F5" w14:textId="29D69902" w:rsidR="006D2CC3" w:rsidRPr="006D2CC3" w:rsidRDefault="006D2CC3">
          <w:pPr>
            <w:pStyle w:val="TOC1"/>
            <w:tabs>
              <w:tab w:val="right" w:leader="dot" w:pos="9016"/>
            </w:tabs>
            <w:rPr>
              <w:rFonts w:ascii="Arial" w:eastAsiaTheme="minorEastAsia" w:hAnsi="Arial" w:cs="Arial"/>
              <w:b w:val="0"/>
              <w:bCs w:val="0"/>
              <w:i w:val="0"/>
              <w:iCs w:val="0"/>
              <w:noProof/>
              <w:lang w:eastAsia="en-GB"/>
            </w:rPr>
          </w:pPr>
          <w:hyperlink w:anchor="_Toc227321277" w:history="1">
            <w:r w:rsidRPr="006D2CC3">
              <w:rPr>
                <w:rStyle w:val="Hyperlink"/>
                <w:rFonts w:ascii="Arial" w:hAnsi="Arial" w:cs="Arial"/>
                <w:b w:val="0"/>
                <w:bCs w:val="0"/>
                <w:i w:val="0"/>
                <w:iCs w:val="0"/>
                <w:noProof/>
              </w:rPr>
              <w:t>2. Sustainable Development Goal 3: Good Health and Wellbeing</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_Toc227321277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2</w:t>
            </w:r>
            <w:r w:rsidRPr="006D2CC3">
              <w:rPr>
                <w:rFonts w:ascii="Arial" w:hAnsi="Arial" w:cs="Arial"/>
                <w:b w:val="0"/>
                <w:bCs w:val="0"/>
                <w:i w:val="0"/>
                <w:iCs w:val="0"/>
                <w:noProof/>
                <w:webHidden/>
              </w:rPr>
              <w:fldChar w:fldCharType="end"/>
            </w:r>
          </w:hyperlink>
        </w:p>
        <w:p w14:paraId="3BCD5EB4" w14:textId="6689F740" w:rsidR="006D2CC3" w:rsidRPr="006D2CC3" w:rsidRDefault="006D2CC3">
          <w:pPr>
            <w:pStyle w:val="TOC1"/>
            <w:tabs>
              <w:tab w:val="right" w:leader="dot" w:pos="9016"/>
            </w:tabs>
            <w:rPr>
              <w:rFonts w:ascii="Arial" w:eastAsiaTheme="minorEastAsia" w:hAnsi="Arial" w:cs="Arial"/>
              <w:b w:val="0"/>
              <w:bCs w:val="0"/>
              <w:i w:val="0"/>
              <w:iCs w:val="0"/>
              <w:noProof/>
              <w:lang w:eastAsia="en-GB"/>
            </w:rPr>
          </w:pPr>
          <w:hyperlink w:anchor="_Toc227321278" w:history="1">
            <w:r w:rsidRPr="006D2CC3">
              <w:rPr>
                <w:rStyle w:val="Hyperlink"/>
                <w:rFonts w:ascii="Arial" w:hAnsi="Arial" w:cs="Arial"/>
                <w:b w:val="0"/>
                <w:bCs w:val="0"/>
                <w:i w:val="0"/>
                <w:iCs w:val="0"/>
                <w:noProof/>
              </w:rPr>
              <w:t>3. Sustainable Development Goal 4: Quality Education</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_Toc227321278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4</w:t>
            </w:r>
            <w:r w:rsidRPr="006D2CC3">
              <w:rPr>
                <w:rFonts w:ascii="Arial" w:hAnsi="Arial" w:cs="Arial"/>
                <w:b w:val="0"/>
                <w:bCs w:val="0"/>
                <w:i w:val="0"/>
                <w:iCs w:val="0"/>
                <w:noProof/>
                <w:webHidden/>
              </w:rPr>
              <w:fldChar w:fldCharType="end"/>
            </w:r>
          </w:hyperlink>
        </w:p>
        <w:p w14:paraId="50B6E9CB" w14:textId="044A6BA4" w:rsidR="006D2CC3" w:rsidRPr="006D2CC3" w:rsidRDefault="006D2CC3">
          <w:pPr>
            <w:pStyle w:val="TOC1"/>
            <w:tabs>
              <w:tab w:val="right" w:leader="dot" w:pos="9016"/>
            </w:tabs>
            <w:rPr>
              <w:rFonts w:ascii="Arial" w:eastAsiaTheme="minorEastAsia" w:hAnsi="Arial" w:cs="Arial"/>
              <w:b w:val="0"/>
              <w:bCs w:val="0"/>
              <w:i w:val="0"/>
              <w:iCs w:val="0"/>
              <w:noProof/>
              <w:lang w:eastAsia="en-GB"/>
            </w:rPr>
          </w:pPr>
          <w:hyperlink w:anchor="_Toc227321279" w:history="1">
            <w:r w:rsidRPr="006D2CC3">
              <w:rPr>
                <w:rStyle w:val="Hyperlink"/>
                <w:rFonts w:ascii="Arial" w:hAnsi="Arial" w:cs="Arial"/>
                <w:b w:val="0"/>
                <w:bCs w:val="0"/>
                <w:i w:val="0"/>
                <w:iCs w:val="0"/>
                <w:noProof/>
              </w:rPr>
              <w:t>4. National Wellbeing Initiatives</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_Toc227321279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5</w:t>
            </w:r>
            <w:r w:rsidRPr="006D2CC3">
              <w:rPr>
                <w:rFonts w:ascii="Arial" w:hAnsi="Arial" w:cs="Arial"/>
                <w:b w:val="0"/>
                <w:bCs w:val="0"/>
                <w:i w:val="0"/>
                <w:iCs w:val="0"/>
                <w:noProof/>
                <w:webHidden/>
              </w:rPr>
              <w:fldChar w:fldCharType="end"/>
            </w:r>
          </w:hyperlink>
        </w:p>
        <w:p w14:paraId="1433F8C0" w14:textId="16014D27" w:rsidR="006D2CC3" w:rsidRPr="006D2CC3" w:rsidRDefault="006D2CC3">
          <w:pPr>
            <w:pStyle w:val="TOC2"/>
            <w:tabs>
              <w:tab w:val="right" w:leader="dot" w:pos="9016"/>
            </w:tabs>
            <w:rPr>
              <w:rFonts w:ascii="Arial" w:eastAsiaTheme="minorEastAsia" w:hAnsi="Arial" w:cs="Arial"/>
              <w:b w:val="0"/>
              <w:bCs w:val="0"/>
              <w:noProof/>
              <w:sz w:val="24"/>
              <w:szCs w:val="24"/>
              <w:lang w:eastAsia="en-GB"/>
            </w:rPr>
          </w:pPr>
          <w:hyperlink w:anchor="_Toc227321280" w:history="1">
            <w:r w:rsidRPr="006D2CC3">
              <w:rPr>
                <w:rStyle w:val="Hyperlink"/>
                <w:rFonts w:ascii="Arial" w:hAnsi="Arial" w:cs="Arial"/>
                <w:b w:val="0"/>
                <w:bCs w:val="0"/>
                <w:noProof/>
                <w:sz w:val="24"/>
                <w:szCs w:val="24"/>
              </w:rPr>
              <w:t>Fit for the Future: 10 Year Health Plan for England (2025)</w:t>
            </w:r>
            <w:r w:rsidRPr="006D2CC3">
              <w:rPr>
                <w:rFonts w:ascii="Arial" w:hAnsi="Arial" w:cs="Arial"/>
                <w:b w:val="0"/>
                <w:bCs w:val="0"/>
                <w:noProof/>
                <w:webHidden/>
                <w:sz w:val="24"/>
                <w:szCs w:val="24"/>
              </w:rPr>
              <w:tab/>
            </w:r>
            <w:r w:rsidRPr="006D2CC3">
              <w:rPr>
                <w:rFonts w:ascii="Arial" w:hAnsi="Arial" w:cs="Arial"/>
                <w:b w:val="0"/>
                <w:bCs w:val="0"/>
                <w:noProof/>
                <w:webHidden/>
                <w:sz w:val="24"/>
                <w:szCs w:val="24"/>
              </w:rPr>
              <w:fldChar w:fldCharType="begin"/>
            </w:r>
            <w:r w:rsidRPr="006D2CC3">
              <w:rPr>
                <w:rFonts w:ascii="Arial" w:hAnsi="Arial" w:cs="Arial"/>
                <w:b w:val="0"/>
                <w:bCs w:val="0"/>
                <w:noProof/>
                <w:webHidden/>
                <w:sz w:val="24"/>
                <w:szCs w:val="24"/>
              </w:rPr>
              <w:instrText xml:space="preserve"> PAGEREF _Toc227321280 \h </w:instrText>
            </w:r>
            <w:r w:rsidRPr="006D2CC3">
              <w:rPr>
                <w:rFonts w:ascii="Arial" w:hAnsi="Arial" w:cs="Arial"/>
                <w:b w:val="0"/>
                <w:bCs w:val="0"/>
                <w:noProof/>
                <w:webHidden/>
                <w:sz w:val="24"/>
                <w:szCs w:val="24"/>
              </w:rPr>
            </w:r>
            <w:r w:rsidRPr="006D2CC3">
              <w:rPr>
                <w:rFonts w:ascii="Arial" w:hAnsi="Arial" w:cs="Arial"/>
                <w:b w:val="0"/>
                <w:bCs w:val="0"/>
                <w:noProof/>
                <w:webHidden/>
                <w:sz w:val="24"/>
                <w:szCs w:val="24"/>
              </w:rPr>
              <w:fldChar w:fldCharType="separate"/>
            </w:r>
            <w:r w:rsidRPr="006D2CC3">
              <w:rPr>
                <w:rFonts w:ascii="Arial" w:hAnsi="Arial" w:cs="Arial"/>
                <w:b w:val="0"/>
                <w:bCs w:val="0"/>
                <w:noProof/>
                <w:webHidden/>
                <w:sz w:val="24"/>
                <w:szCs w:val="24"/>
              </w:rPr>
              <w:t>5</w:t>
            </w:r>
            <w:r w:rsidRPr="006D2CC3">
              <w:rPr>
                <w:rFonts w:ascii="Arial" w:hAnsi="Arial" w:cs="Arial"/>
                <w:b w:val="0"/>
                <w:bCs w:val="0"/>
                <w:noProof/>
                <w:webHidden/>
                <w:sz w:val="24"/>
                <w:szCs w:val="24"/>
              </w:rPr>
              <w:fldChar w:fldCharType="end"/>
            </w:r>
          </w:hyperlink>
        </w:p>
        <w:p w14:paraId="28DA95B9" w14:textId="68EB14CB" w:rsidR="006D2CC3" w:rsidRPr="006D2CC3" w:rsidRDefault="006D2CC3">
          <w:pPr>
            <w:pStyle w:val="TOC2"/>
            <w:tabs>
              <w:tab w:val="right" w:leader="dot" w:pos="9016"/>
            </w:tabs>
            <w:rPr>
              <w:rFonts w:ascii="Arial" w:eastAsiaTheme="minorEastAsia" w:hAnsi="Arial" w:cs="Arial"/>
              <w:b w:val="0"/>
              <w:bCs w:val="0"/>
              <w:noProof/>
              <w:sz w:val="24"/>
              <w:szCs w:val="24"/>
              <w:lang w:eastAsia="en-GB"/>
            </w:rPr>
          </w:pPr>
          <w:hyperlink w:anchor="_Toc227321281" w:history="1">
            <w:r w:rsidRPr="006D2CC3">
              <w:rPr>
                <w:rStyle w:val="Hyperlink"/>
                <w:rFonts w:ascii="Arial" w:hAnsi="Arial" w:cs="Arial"/>
                <w:b w:val="0"/>
                <w:bCs w:val="0"/>
                <w:noProof/>
                <w:sz w:val="24"/>
                <w:szCs w:val="24"/>
              </w:rPr>
              <w:t>Better Health Campaign</w:t>
            </w:r>
            <w:r w:rsidRPr="006D2CC3">
              <w:rPr>
                <w:rFonts w:ascii="Arial" w:hAnsi="Arial" w:cs="Arial"/>
                <w:b w:val="0"/>
                <w:bCs w:val="0"/>
                <w:noProof/>
                <w:webHidden/>
                <w:sz w:val="24"/>
                <w:szCs w:val="24"/>
              </w:rPr>
              <w:tab/>
            </w:r>
            <w:r w:rsidRPr="006D2CC3">
              <w:rPr>
                <w:rFonts w:ascii="Arial" w:hAnsi="Arial" w:cs="Arial"/>
                <w:b w:val="0"/>
                <w:bCs w:val="0"/>
                <w:noProof/>
                <w:webHidden/>
                <w:sz w:val="24"/>
                <w:szCs w:val="24"/>
              </w:rPr>
              <w:fldChar w:fldCharType="begin"/>
            </w:r>
            <w:r w:rsidRPr="006D2CC3">
              <w:rPr>
                <w:rFonts w:ascii="Arial" w:hAnsi="Arial" w:cs="Arial"/>
                <w:b w:val="0"/>
                <w:bCs w:val="0"/>
                <w:noProof/>
                <w:webHidden/>
                <w:sz w:val="24"/>
                <w:szCs w:val="24"/>
              </w:rPr>
              <w:instrText xml:space="preserve"> PAGEREF _Toc227321281 \h </w:instrText>
            </w:r>
            <w:r w:rsidRPr="006D2CC3">
              <w:rPr>
                <w:rFonts w:ascii="Arial" w:hAnsi="Arial" w:cs="Arial"/>
                <w:b w:val="0"/>
                <w:bCs w:val="0"/>
                <w:noProof/>
                <w:webHidden/>
                <w:sz w:val="24"/>
                <w:szCs w:val="24"/>
              </w:rPr>
            </w:r>
            <w:r w:rsidRPr="006D2CC3">
              <w:rPr>
                <w:rFonts w:ascii="Arial" w:hAnsi="Arial" w:cs="Arial"/>
                <w:b w:val="0"/>
                <w:bCs w:val="0"/>
                <w:noProof/>
                <w:webHidden/>
                <w:sz w:val="24"/>
                <w:szCs w:val="24"/>
              </w:rPr>
              <w:fldChar w:fldCharType="separate"/>
            </w:r>
            <w:r w:rsidRPr="006D2CC3">
              <w:rPr>
                <w:rFonts w:ascii="Arial" w:hAnsi="Arial" w:cs="Arial"/>
                <w:b w:val="0"/>
                <w:bCs w:val="0"/>
                <w:noProof/>
                <w:webHidden/>
                <w:sz w:val="24"/>
                <w:szCs w:val="24"/>
              </w:rPr>
              <w:t>6</w:t>
            </w:r>
            <w:r w:rsidRPr="006D2CC3">
              <w:rPr>
                <w:rFonts w:ascii="Arial" w:hAnsi="Arial" w:cs="Arial"/>
                <w:b w:val="0"/>
                <w:bCs w:val="0"/>
                <w:noProof/>
                <w:webHidden/>
                <w:sz w:val="24"/>
                <w:szCs w:val="24"/>
              </w:rPr>
              <w:fldChar w:fldCharType="end"/>
            </w:r>
          </w:hyperlink>
        </w:p>
        <w:p w14:paraId="64AEA7FB" w14:textId="4EBC7B6A" w:rsidR="006D2CC3" w:rsidRPr="006D2CC3" w:rsidRDefault="006D2CC3">
          <w:pPr>
            <w:pStyle w:val="TOC1"/>
            <w:tabs>
              <w:tab w:val="right" w:leader="dot" w:pos="9016"/>
            </w:tabs>
            <w:rPr>
              <w:rFonts w:ascii="Arial" w:eastAsiaTheme="minorEastAsia" w:hAnsi="Arial" w:cs="Arial"/>
              <w:b w:val="0"/>
              <w:bCs w:val="0"/>
              <w:i w:val="0"/>
              <w:iCs w:val="0"/>
              <w:noProof/>
              <w:lang w:eastAsia="en-GB"/>
            </w:rPr>
          </w:pPr>
          <w:hyperlink w:anchor="_Toc227321282" w:history="1">
            <w:r w:rsidRPr="006D2CC3">
              <w:rPr>
                <w:rStyle w:val="Hyperlink"/>
                <w:rFonts w:ascii="Arial" w:hAnsi="Arial" w:cs="Arial"/>
                <w:b w:val="0"/>
                <w:bCs w:val="0"/>
                <w:i w:val="0"/>
                <w:iCs w:val="0"/>
                <w:noProof/>
              </w:rPr>
              <w:t>5. Local Wellbeing Initiatives</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_Toc227321282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6</w:t>
            </w:r>
            <w:r w:rsidRPr="006D2CC3">
              <w:rPr>
                <w:rFonts w:ascii="Arial" w:hAnsi="Arial" w:cs="Arial"/>
                <w:b w:val="0"/>
                <w:bCs w:val="0"/>
                <w:i w:val="0"/>
                <w:iCs w:val="0"/>
                <w:noProof/>
                <w:webHidden/>
              </w:rPr>
              <w:fldChar w:fldCharType="end"/>
            </w:r>
          </w:hyperlink>
        </w:p>
        <w:p w14:paraId="1B6F36DB" w14:textId="16D01E78" w:rsidR="006D2CC3" w:rsidRPr="006D2CC3" w:rsidRDefault="006D2CC3">
          <w:pPr>
            <w:pStyle w:val="TOC2"/>
            <w:tabs>
              <w:tab w:val="right" w:leader="dot" w:pos="9016"/>
            </w:tabs>
            <w:rPr>
              <w:rFonts w:ascii="Arial" w:eastAsiaTheme="minorEastAsia" w:hAnsi="Arial" w:cs="Arial"/>
              <w:b w:val="0"/>
              <w:bCs w:val="0"/>
              <w:noProof/>
              <w:sz w:val="24"/>
              <w:szCs w:val="24"/>
              <w:lang w:eastAsia="en-GB"/>
            </w:rPr>
          </w:pPr>
          <w:hyperlink w:anchor="_Toc227321283" w:history="1">
            <w:r w:rsidRPr="006D2CC3">
              <w:rPr>
                <w:rStyle w:val="Hyperlink"/>
                <w:rFonts w:ascii="Arial" w:hAnsi="Arial" w:cs="Arial"/>
                <w:b w:val="0"/>
                <w:bCs w:val="0"/>
                <w:noProof/>
                <w:sz w:val="24"/>
                <w:szCs w:val="24"/>
              </w:rPr>
              <w:t>The Communities Keeping Well</w:t>
            </w:r>
            <w:r w:rsidRPr="006D2CC3">
              <w:rPr>
                <w:rFonts w:ascii="Arial" w:hAnsi="Arial" w:cs="Arial"/>
                <w:b w:val="0"/>
                <w:bCs w:val="0"/>
                <w:noProof/>
                <w:webHidden/>
                <w:sz w:val="24"/>
                <w:szCs w:val="24"/>
              </w:rPr>
              <w:tab/>
            </w:r>
            <w:r w:rsidRPr="006D2CC3">
              <w:rPr>
                <w:rFonts w:ascii="Arial" w:hAnsi="Arial" w:cs="Arial"/>
                <w:b w:val="0"/>
                <w:bCs w:val="0"/>
                <w:noProof/>
                <w:webHidden/>
                <w:sz w:val="24"/>
                <w:szCs w:val="24"/>
              </w:rPr>
              <w:fldChar w:fldCharType="begin"/>
            </w:r>
            <w:r w:rsidRPr="006D2CC3">
              <w:rPr>
                <w:rFonts w:ascii="Arial" w:hAnsi="Arial" w:cs="Arial"/>
                <w:b w:val="0"/>
                <w:bCs w:val="0"/>
                <w:noProof/>
                <w:webHidden/>
                <w:sz w:val="24"/>
                <w:szCs w:val="24"/>
              </w:rPr>
              <w:instrText xml:space="preserve"> PAGEREF _Toc227321283 \h </w:instrText>
            </w:r>
            <w:r w:rsidRPr="006D2CC3">
              <w:rPr>
                <w:rFonts w:ascii="Arial" w:hAnsi="Arial" w:cs="Arial"/>
                <w:b w:val="0"/>
                <w:bCs w:val="0"/>
                <w:noProof/>
                <w:webHidden/>
                <w:sz w:val="24"/>
                <w:szCs w:val="24"/>
              </w:rPr>
            </w:r>
            <w:r w:rsidRPr="006D2CC3">
              <w:rPr>
                <w:rFonts w:ascii="Arial" w:hAnsi="Arial" w:cs="Arial"/>
                <w:b w:val="0"/>
                <w:bCs w:val="0"/>
                <w:noProof/>
                <w:webHidden/>
                <w:sz w:val="24"/>
                <w:szCs w:val="24"/>
              </w:rPr>
              <w:fldChar w:fldCharType="separate"/>
            </w:r>
            <w:r w:rsidRPr="006D2CC3">
              <w:rPr>
                <w:rFonts w:ascii="Arial" w:hAnsi="Arial" w:cs="Arial"/>
                <w:b w:val="0"/>
                <w:bCs w:val="0"/>
                <w:noProof/>
                <w:webHidden/>
                <w:sz w:val="24"/>
                <w:szCs w:val="24"/>
              </w:rPr>
              <w:t>6</w:t>
            </w:r>
            <w:r w:rsidRPr="006D2CC3">
              <w:rPr>
                <w:rFonts w:ascii="Arial" w:hAnsi="Arial" w:cs="Arial"/>
                <w:b w:val="0"/>
                <w:bCs w:val="0"/>
                <w:noProof/>
                <w:webHidden/>
                <w:sz w:val="24"/>
                <w:szCs w:val="24"/>
              </w:rPr>
              <w:fldChar w:fldCharType="end"/>
            </w:r>
          </w:hyperlink>
        </w:p>
        <w:p w14:paraId="14982DE7" w14:textId="40C4177C" w:rsidR="006D2CC3" w:rsidRPr="006D2CC3" w:rsidRDefault="006D2CC3">
          <w:pPr>
            <w:pStyle w:val="TOC2"/>
            <w:tabs>
              <w:tab w:val="right" w:leader="dot" w:pos="9016"/>
            </w:tabs>
            <w:rPr>
              <w:rFonts w:ascii="Arial" w:eastAsiaTheme="minorEastAsia" w:hAnsi="Arial" w:cs="Arial"/>
              <w:b w:val="0"/>
              <w:bCs w:val="0"/>
              <w:noProof/>
              <w:sz w:val="24"/>
              <w:szCs w:val="24"/>
              <w:lang w:eastAsia="en-GB"/>
            </w:rPr>
          </w:pPr>
          <w:hyperlink w:anchor="_Toc227321284" w:history="1">
            <w:r w:rsidRPr="006D2CC3">
              <w:rPr>
                <w:rStyle w:val="Hyperlink"/>
                <w:rFonts w:ascii="Arial" w:hAnsi="Arial" w:cs="Arial"/>
                <w:b w:val="0"/>
                <w:bCs w:val="0"/>
                <w:noProof/>
                <w:sz w:val="24"/>
                <w:szCs w:val="24"/>
              </w:rPr>
              <w:t>The Early Help Strategy 2025–2028</w:t>
            </w:r>
            <w:r w:rsidRPr="006D2CC3">
              <w:rPr>
                <w:rFonts w:ascii="Arial" w:hAnsi="Arial" w:cs="Arial"/>
                <w:b w:val="0"/>
                <w:bCs w:val="0"/>
                <w:noProof/>
                <w:webHidden/>
                <w:sz w:val="24"/>
                <w:szCs w:val="24"/>
              </w:rPr>
              <w:tab/>
            </w:r>
            <w:r w:rsidRPr="006D2CC3">
              <w:rPr>
                <w:rFonts w:ascii="Arial" w:hAnsi="Arial" w:cs="Arial"/>
                <w:b w:val="0"/>
                <w:bCs w:val="0"/>
                <w:noProof/>
                <w:webHidden/>
                <w:sz w:val="24"/>
                <w:szCs w:val="24"/>
              </w:rPr>
              <w:fldChar w:fldCharType="begin"/>
            </w:r>
            <w:r w:rsidRPr="006D2CC3">
              <w:rPr>
                <w:rFonts w:ascii="Arial" w:hAnsi="Arial" w:cs="Arial"/>
                <w:b w:val="0"/>
                <w:bCs w:val="0"/>
                <w:noProof/>
                <w:webHidden/>
                <w:sz w:val="24"/>
                <w:szCs w:val="24"/>
              </w:rPr>
              <w:instrText xml:space="preserve"> PAGEREF _Toc227321284 \h </w:instrText>
            </w:r>
            <w:r w:rsidRPr="006D2CC3">
              <w:rPr>
                <w:rFonts w:ascii="Arial" w:hAnsi="Arial" w:cs="Arial"/>
                <w:b w:val="0"/>
                <w:bCs w:val="0"/>
                <w:noProof/>
                <w:webHidden/>
                <w:sz w:val="24"/>
                <w:szCs w:val="24"/>
              </w:rPr>
            </w:r>
            <w:r w:rsidRPr="006D2CC3">
              <w:rPr>
                <w:rFonts w:ascii="Arial" w:hAnsi="Arial" w:cs="Arial"/>
                <w:b w:val="0"/>
                <w:bCs w:val="0"/>
                <w:noProof/>
                <w:webHidden/>
                <w:sz w:val="24"/>
                <w:szCs w:val="24"/>
              </w:rPr>
              <w:fldChar w:fldCharType="separate"/>
            </w:r>
            <w:r w:rsidRPr="006D2CC3">
              <w:rPr>
                <w:rFonts w:ascii="Arial" w:hAnsi="Arial" w:cs="Arial"/>
                <w:b w:val="0"/>
                <w:bCs w:val="0"/>
                <w:noProof/>
                <w:webHidden/>
                <w:sz w:val="24"/>
                <w:szCs w:val="24"/>
              </w:rPr>
              <w:t>7</w:t>
            </w:r>
            <w:r w:rsidRPr="006D2CC3">
              <w:rPr>
                <w:rFonts w:ascii="Arial" w:hAnsi="Arial" w:cs="Arial"/>
                <w:b w:val="0"/>
                <w:bCs w:val="0"/>
                <w:noProof/>
                <w:webHidden/>
                <w:sz w:val="24"/>
                <w:szCs w:val="24"/>
              </w:rPr>
              <w:fldChar w:fldCharType="end"/>
            </w:r>
          </w:hyperlink>
        </w:p>
        <w:p w14:paraId="2D25AF31" w14:textId="2AD46F4A" w:rsidR="006D2CC3" w:rsidRPr="006D2CC3" w:rsidRDefault="006D2CC3">
          <w:pPr>
            <w:pStyle w:val="TOC1"/>
            <w:tabs>
              <w:tab w:val="right" w:leader="dot" w:pos="9016"/>
            </w:tabs>
            <w:rPr>
              <w:rFonts w:ascii="Arial" w:eastAsiaTheme="minorEastAsia" w:hAnsi="Arial" w:cs="Arial"/>
              <w:b w:val="0"/>
              <w:bCs w:val="0"/>
              <w:i w:val="0"/>
              <w:iCs w:val="0"/>
              <w:noProof/>
              <w:lang w:eastAsia="en-GB"/>
            </w:rPr>
          </w:pPr>
          <w:hyperlink w:anchor="_Toc227321285" w:history="1">
            <w:r w:rsidRPr="006D2CC3">
              <w:rPr>
                <w:rStyle w:val="Hyperlink"/>
                <w:rFonts w:ascii="Arial" w:hAnsi="Arial" w:cs="Arial"/>
                <w:b w:val="0"/>
                <w:bCs w:val="0"/>
                <w:i w:val="0"/>
                <w:iCs w:val="0"/>
                <w:noProof/>
              </w:rPr>
              <w:t>6. Conclusion</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_Toc227321285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8</w:t>
            </w:r>
            <w:r w:rsidRPr="006D2CC3">
              <w:rPr>
                <w:rFonts w:ascii="Arial" w:hAnsi="Arial" w:cs="Arial"/>
                <w:b w:val="0"/>
                <w:bCs w:val="0"/>
                <w:i w:val="0"/>
                <w:iCs w:val="0"/>
                <w:noProof/>
                <w:webHidden/>
              </w:rPr>
              <w:fldChar w:fldCharType="end"/>
            </w:r>
          </w:hyperlink>
        </w:p>
        <w:p w14:paraId="19BEAE17" w14:textId="4DE5E201" w:rsidR="006D2CC3" w:rsidRPr="006D2CC3" w:rsidRDefault="006D2CC3">
          <w:pPr>
            <w:pStyle w:val="TOC1"/>
            <w:tabs>
              <w:tab w:val="right" w:leader="dot" w:pos="9016"/>
            </w:tabs>
            <w:rPr>
              <w:rFonts w:ascii="Arial" w:eastAsiaTheme="minorEastAsia" w:hAnsi="Arial" w:cs="Arial"/>
              <w:b w:val="0"/>
              <w:bCs w:val="0"/>
              <w:i w:val="0"/>
              <w:iCs w:val="0"/>
              <w:noProof/>
              <w:lang w:eastAsia="en-GB"/>
            </w:rPr>
          </w:pPr>
          <w:hyperlink w:anchor="_Toc227321286" w:history="1">
            <w:r w:rsidRPr="006D2CC3">
              <w:rPr>
                <w:rStyle w:val="Hyperlink"/>
                <w:rFonts w:ascii="Arial" w:hAnsi="Arial" w:cs="Arial"/>
                <w:b w:val="0"/>
                <w:bCs w:val="0"/>
                <w:i w:val="0"/>
                <w:iCs w:val="0"/>
                <w:noProof/>
              </w:rPr>
              <w:t>References</w:t>
            </w:r>
            <w:r w:rsidRPr="006D2CC3">
              <w:rPr>
                <w:rFonts w:ascii="Arial" w:hAnsi="Arial" w:cs="Arial"/>
                <w:b w:val="0"/>
                <w:bCs w:val="0"/>
                <w:i w:val="0"/>
                <w:iCs w:val="0"/>
                <w:noProof/>
                <w:webHidden/>
              </w:rPr>
              <w:tab/>
            </w:r>
            <w:r w:rsidRPr="006D2CC3">
              <w:rPr>
                <w:rFonts w:ascii="Arial" w:hAnsi="Arial" w:cs="Arial"/>
                <w:b w:val="0"/>
                <w:bCs w:val="0"/>
                <w:i w:val="0"/>
                <w:iCs w:val="0"/>
                <w:noProof/>
                <w:webHidden/>
              </w:rPr>
              <w:fldChar w:fldCharType="begin"/>
            </w:r>
            <w:r w:rsidRPr="006D2CC3">
              <w:rPr>
                <w:rFonts w:ascii="Arial" w:hAnsi="Arial" w:cs="Arial"/>
                <w:b w:val="0"/>
                <w:bCs w:val="0"/>
                <w:i w:val="0"/>
                <w:iCs w:val="0"/>
                <w:noProof/>
                <w:webHidden/>
              </w:rPr>
              <w:instrText xml:space="preserve"> PAGEREF _Toc227321286 \h </w:instrText>
            </w:r>
            <w:r w:rsidRPr="006D2CC3">
              <w:rPr>
                <w:rFonts w:ascii="Arial" w:hAnsi="Arial" w:cs="Arial"/>
                <w:b w:val="0"/>
                <w:bCs w:val="0"/>
                <w:i w:val="0"/>
                <w:iCs w:val="0"/>
                <w:noProof/>
                <w:webHidden/>
              </w:rPr>
            </w:r>
            <w:r w:rsidRPr="006D2CC3">
              <w:rPr>
                <w:rFonts w:ascii="Arial" w:hAnsi="Arial" w:cs="Arial"/>
                <w:b w:val="0"/>
                <w:bCs w:val="0"/>
                <w:i w:val="0"/>
                <w:iCs w:val="0"/>
                <w:noProof/>
                <w:webHidden/>
              </w:rPr>
              <w:fldChar w:fldCharType="separate"/>
            </w:r>
            <w:r w:rsidRPr="006D2CC3">
              <w:rPr>
                <w:rFonts w:ascii="Arial" w:hAnsi="Arial" w:cs="Arial"/>
                <w:b w:val="0"/>
                <w:bCs w:val="0"/>
                <w:i w:val="0"/>
                <w:iCs w:val="0"/>
                <w:noProof/>
                <w:webHidden/>
              </w:rPr>
              <w:t>8</w:t>
            </w:r>
            <w:r w:rsidRPr="006D2CC3">
              <w:rPr>
                <w:rFonts w:ascii="Arial" w:hAnsi="Arial" w:cs="Arial"/>
                <w:b w:val="0"/>
                <w:bCs w:val="0"/>
                <w:i w:val="0"/>
                <w:iCs w:val="0"/>
                <w:noProof/>
                <w:webHidden/>
              </w:rPr>
              <w:fldChar w:fldCharType="end"/>
            </w:r>
          </w:hyperlink>
        </w:p>
        <w:p w14:paraId="4EFD7FAB" w14:textId="071C188F" w:rsidR="006D2CC3" w:rsidRDefault="006D2CC3">
          <w:r>
            <w:rPr>
              <w:b/>
              <w:bCs/>
              <w:noProof/>
            </w:rPr>
            <w:fldChar w:fldCharType="end"/>
          </w:r>
        </w:p>
      </w:sdtContent>
    </w:sdt>
    <w:p w14:paraId="3DD26CAC" w14:textId="77777777" w:rsidR="006D2CC3" w:rsidRDefault="006D2CC3" w:rsidP="00120492">
      <w:pPr>
        <w:pStyle w:val="Heading1"/>
        <w:rPr>
          <w:rFonts w:cs="Arial"/>
          <w:b/>
          <w:szCs w:val="28"/>
        </w:rPr>
      </w:pPr>
    </w:p>
    <w:p w14:paraId="17FC56BC" w14:textId="77777777" w:rsidR="006D2CC3" w:rsidRDefault="006D2CC3" w:rsidP="00120492">
      <w:pPr>
        <w:pStyle w:val="Heading1"/>
        <w:rPr>
          <w:rFonts w:cs="Arial"/>
          <w:b/>
          <w:szCs w:val="28"/>
        </w:rPr>
      </w:pPr>
    </w:p>
    <w:p w14:paraId="65624070" w14:textId="77777777" w:rsidR="006D2CC3" w:rsidRDefault="006D2CC3" w:rsidP="006D2CC3">
      <w:pPr>
        <w:rPr>
          <w:lang w:eastAsia="en-GB"/>
        </w:rPr>
      </w:pPr>
    </w:p>
    <w:p w14:paraId="4135059C" w14:textId="77777777" w:rsidR="006D2CC3" w:rsidRDefault="006D2CC3" w:rsidP="006D2CC3">
      <w:pPr>
        <w:rPr>
          <w:lang w:eastAsia="en-GB"/>
        </w:rPr>
      </w:pPr>
    </w:p>
    <w:p w14:paraId="12AD6787" w14:textId="77777777" w:rsidR="009349FA" w:rsidRDefault="009349FA" w:rsidP="00861CC1">
      <w:pPr>
        <w:pStyle w:val="Heading1"/>
        <w:jc w:val="both"/>
        <w:rPr>
          <w:rFonts w:cs="Arial"/>
          <w:b/>
          <w:szCs w:val="28"/>
        </w:rPr>
      </w:pPr>
      <w:bookmarkStart w:id="3" w:name="_Toc227321276"/>
    </w:p>
    <w:p w14:paraId="628AAA41" w14:textId="77777777" w:rsidR="009349FA" w:rsidRDefault="009349FA" w:rsidP="00861CC1">
      <w:pPr>
        <w:pStyle w:val="Heading1"/>
        <w:jc w:val="both"/>
        <w:rPr>
          <w:rFonts w:cs="Arial"/>
          <w:b/>
          <w:szCs w:val="28"/>
        </w:rPr>
      </w:pPr>
    </w:p>
    <w:p w14:paraId="6ECB0B25" w14:textId="77777777" w:rsidR="00443514" w:rsidRPr="00443514" w:rsidRDefault="00443514" w:rsidP="00443514">
      <w:pPr>
        <w:rPr>
          <w:lang w:eastAsia="en-GB"/>
        </w:rPr>
      </w:pPr>
    </w:p>
    <w:p w14:paraId="3C48A965" w14:textId="21695FBD" w:rsidR="00120492" w:rsidRPr="00246FBE" w:rsidRDefault="00120492" w:rsidP="00861CC1">
      <w:pPr>
        <w:pStyle w:val="Heading1"/>
        <w:jc w:val="both"/>
        <w:rPr>
          <w:rFonts w:cs="Arial"/>
          <w:szCs w:val="28"/>
        </w:rPr>
      </w:pPr>
      <w:r w:rsidRPr="00246FBE">
        <w:rPr>
          <w:rFonts w:cs="Arial"/>
          <w:b/>
          <w:szCs w:val="28"/>
        </w:rPr>
        <w:lastRenderedPageBreak/>
        <w:t>1. Introduction</w:t>
      </w:r>
      <w:bookmarkEnd w:id="0"/>
      <w:bookmarkEnd w:id="1"/>
      <w:bookmarkEnd w:id="2"/>
      <w:bookmarkEnd w:id="3"/>
      <w:r w:rsidRPr="00246FBE">
        <w:rPr>
          <w:rFonts w:cs="Arial"/>
          <w:szCs w:val="28"/>
        </w:rPr>
        <w:t xml:space="preserve"> </w:t>
      </w:r>
    </w:p>
    <w:p w14:paraId="4A975FBB" w14:textId="77777777" w:rsidR="00120492" w:rsidRPr="00246FBE"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 xml:space="preserve">Sustainable development is an important approach used to improve health and wellbeing while also addressing social and environmental challenges. The United Nations introduced the Sustainable Development Goals (SDGs) in 2015 to provide a global framework for improving quality of life and reducing inequalities (United Nations, 2015). Among these goals, health and education are key areas that influence people’s overall wellbeing. </w:t>
      </w:r>
    </w:p>
    <w:p w14:paraId="2C40732F" w14:textId="4C699F78" w:rsidR="00120492" w:rsidRPr="00246FBE"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This report examines Sustainable Development Goal 3 (Good Health and Wellbeing) (United Nations, 2025a) and Sustainable Development Goal 4 (Quality Education) (United Nations, 2025b). It explores how these goals impact health and wellbeing at global, national and local levels. The report also evaluates national initiatives such as ‘Fit for the Future: 10-Year Health Plan for England’ (NHS England, 2025) and the ‘Better Health Campaign’ (</w:t>
      </w:r>
      <w:r w:rsidRPr="00246FBE">
        <w:rPr>
          <w:color w:val="000000" w:themeColor="text1"/>
        </w:rPr>
        <w:t xml:space="preserve">Public Health England, 2020) </w:t>
      </w:r>
      <w:r w:rsidRPr="00246FBE">
        <w:rPr>
          <w:rFonts w:ascii="Arial" w:hAnsi="Arial" w:cs="Arial"/>
          <w:color w:val="000000" w:themeColor="text1"/>
          <w:sz w:val="22"/>
          <w:szCs w:val="22"/>
        </w:rPr>
        <w:t xml:space="preserve">as well as local initiatives including Communities Keeping Well and the Early Help Strategy (2025–2028) in </w:t>
      </w:r>
      <w:r w:rsidR="00A442EC" w:rsidRPr="00246FBE">
        <w:rPr>
          <w:rFonts w:ascii="Arial" w:hAnsi="Arial" w:cs="Arial"/>
          <w:color w:val="000000" w:themeColor="text1"/>
          <w:sz w:val="22"/>
          <w:szCs w:val="22"/>
        </w:rPr>
        <w:t>Tower Hamlets and</w:t>
      </w:r>
      <w:r w:rsidRPr="00246FBE">
        <w:rPr>
          <w:rFonts w:ascii="Arial" w:hAnsi="Arial" w:cs="Arial"/>
          <w:color w:val="000000" w:themeColor="text1"/>
          <w:sz w:val="22"/>
          <w:szCs w:val="22"/>
        </w:rPr>
        <w:t xml:space="preserve"> provides recommendations for improvement.</w:t>
      </w:r>
    </w:p>
    <w:p w14:paraId="1942779E" w14:textId="4CE6FBFA" w:rsidR="00B96D49" w:rsidRPr="00E03819" w:rsidRDefault="00120492" w:rsidP="00861CC1">
      <w:pPr>
        <w:pStyle w:val="Heading1"/>
        <w:jc w:val="both"/>
        <w:rPr>
          <w:rFonts w:cs="Arial"/>
          <w:szCs w:val="28"/>
        </w:rPr>
      </w:pPr>
      <w:bookmarkStart w:id="4" w:name="_Toc226727767"/>
      <w:bookmarkStart w:id="5" w:name="_Toc227321150"/>
      <w:bookmarkStart w:id="6" w:name="_Toc227321225"/>
      <w:bookmarkStart w:id="7" w:name="_Toc227321277"/>
      <w:r w:rsidRPr="00246FBE">
        <w:rPr>
          <w:rFonts w:cs="Arial"/>
          <w:b/>
          <w:szCs w:val="28"/>
        </w:rPr>
        <w:t>2. Sustainable Development Goal 3: Good Health and Wellbeing</w:t>
      </w:r>
      <w:bookmarkEnd w:id="4"/>
      <w:bookmarkEnd w:id="5"/>
      <w:bookmarkEnd w:id="6"/>
      <w:bookmarkEnd w:id="7"/>
    </w:p>
    <w:p w14:paraId="55AF5E9F" w14:textId="77777777" w:rsidR="00AE157A" w:rsidRPr="00AE157A" w:rsidRDefault="00AE157A" w:rsidP="00861CC1">
      <w:pPr>
        <w:spacing w:line="360" w:lineRule="auto"/>
        <w:jc w:val="both"/>
        <w:rPr>
          <w:rFonts w:ascii="Arial" w:hAnsi="Arial" w:cs="Arial"/>
          <w:color w:val="000000" w:themeColor="text1"/>
          <w:sz w:val="22"/>
          <w:szCs w:val="22"/>
        </w:rPr>
      </w:pPr>
    </w:p>
    <w:p w14:paraId="0016C103" w14:textId="6C88E112" w:rsidR="002340F5" w:rsidRPr="002340F5" w:rsidRDefault="00AE157A" w:rsidP="00861CC1">
      <w:pPr>
        <w:spacing w:line="360" w:lineRule="auto"/>
        <w:jc w:val="both"/>
        <w:rPr>
          <w:rFonts w:ascii="Arial" w:hAnsi="Arial" w:cs="Arial"/>
          <w:color w:val="000000" w:themeColor="text1"/>
          <w:sz w:val="22"/>
          <w:szCs w:val="22"/>
        </w:rPr>
      </w:pPr>
      <w:r w:rsidRPr="00AE157A">
        <w:rPr>
          <w:rFonts w:ascii="Arial" w:hAnsi="Arial" w:cs="Arial"/>
          <w:color w:val="000000" w:themeColor="text1"/>
          <w:sz w:val="22"/>
          <w:szCs w:val="22"/>
        </w:rPr>
        <w:t xml:space="preserve">Sustainable Development Goal 3 (SDG 3) aims to </w:t>
      </w:r>
      <w:r>
        <w:rPr>
          <w:rFonts w:ascii="Arial" w:hAnsi="Arial" w:cs="Arial"/>
          <w:color w:val="000000" w:themeColor="text1"/>
          <w:sz w:val="22"/>
          <w:szCs w:val="22"/>
        </w:rPr>
        <w:t>‘</w:t>
      </w:r>
      <w:r w:rsidRPr="00AE157A">
        <w:rPr>
          <w:rFonts w:ascii="Arial" w:hAnsi="Arial" w:cs="Arial"/>
          <w:color w:val="000000" w:themeColor="text1"/>
          <w:sz w:val="22"/>
          <w:szCs w:val="22"/>
        </w:rPr>
        <w:t>ensure healthy lives and promote wellbeing for all at all ages</w:t>
      </w:r>
      <w:r>
        <w:rPr>
          <w:rFonts w:ascii="Arial" w:hAnsi="Arial" w:cs="Arial"/>
          <w:color w:val="000000" w:themeColor="text1"/>
          <w:sz w:val="22"/>
          <w:szCs w:val="22"/>
        </w:rPr>
        <w:t xml:space="preserve">’ </w:t>
      </w:r>
      <w:r w:rsidRPr="00AE157A">
        <w:rPr>
          <w:rFonts w:ascii="Arial" w:hAnsi="Arial" w:cs="Arial"/>
          <w:color w:val="000000" w:themeColor="text1"/>
          <w:sz w:val="22"/>
          <w:szCs w:val="22"/>
        </w:rPr>
        <w:t>(United Nations, 2015). It includes targets such as reducing mortality, tackling diseases, improving mental health and achieving universal health coverage (UHC), reflecting a broad understanding of health as physical, mental and social wellbeing.</w:t>
      </w:r>
      <w:r w:rsidR="002340F5">
        <w:rPr>
          <w:rFonts w:ascii="Arial" w:hAnsi="Arial" w:cs="Arial"/>
          <w:color w:val="000000" w:themeColor="text1"/>
          <w:sz w:val="22"/>
          <w:szCs w:val="22"/>
        </w:rPr>
        <w:t xml:space="preserve"> </w:t>
      </w:r>
      <w:r w:rsidRPr="00AE157A">
        <w:rPr>
          <w:rFonts w:ascii="Arial" w:hAnsi="Arial" w:cs="Arial"/>
          <w:color w:val="000000" w:themeColor="text1"/>
          <w:sz w:val="22"/>
          <w:szCs w:val="22"/>
        </w:rPr>
        <w:t xml:space="preserve">A key aspect of SDG 3 is </w:t>
      </w:r>
      <w:r w:rsidR="002340F5">
        <w:rPr>
          <w:rFonts w:ascii="Arial" w:hAnsi="Arial" w:cs="Arial"/>
          <w:color w:val="000000" w:themeColor="text1"/>
          <w:sz w:val="22"/>
          <w:szCs w:val="22"/>
        </w:rPr>
        <w:t>universal health coverage</w:t>
      </w:r>
      <w:r w:rsidRPr="00AE157A">
        <w:rPr>
          <w:rFonts w:ascii="Arial" w:hAnsi="Arial" w:cs="Arial"/>
          <w:color w:val="000000" w:themeColor="text1"/>
          <w:sz w:val="22"/>
          <w:szCs w:val="22"/>
        </w:rPr>
        <w:t>, ensuring access to healthcare without financial hardship (World Health Organi</w:t>
      </w:r>
      <w:r w:rsidR="002340F5">
        <w:rPr>
          <w:rFonts w:ascii="Arial" w:hAnsi="Arial" w:cs="Arial"/>
          <w:color w:val="000000" w:themeColor="text1"/>
          <w:sz w:val="22"/>
          <w:szCs w:val="22"/>
        </w:rPr>
        <w:t>s</w:t>
      </w:r>
      <w:r w:rsidRPr="00AE157A">
        <w:rPr>
          <w:rFonts w:ascii="Arial" w:hAnsi="Arial" w:cs="Arial"/>
          <w:color w:val="000000" w:themeColor="text1"/>
          <w:sz w:val="22"/>
          <w:szCs w:val="22"/>
        </w:rPr>
        <w:t>ation, 2025). In the UK, this is delivered through the NHS, which provides free care based on need. This has improved access; however, its effectiveness in improving outcomes is more mixed. While the UK performs well in efficiency</w:t>
      </w:r>
      <w:r>
        <w:rPr>
          <w:rFonts w:ascii="Arial" w:hAnsi="Arial" w:cs="Arial"/>
          <w:color w:val="000000" w:themeColor="text1"/>
          <w:sz w:val="22"/>
          <w:szCs w:val="22"/>
        </w:rPr>
        <w:t xml:space="preserve">, </w:t>
      </w:r>
      <w:r w:rsidRPr="00AE157A">
        <w:rPr>
          <w:rFonts w:ascii="Arial" w:hAnsi="Arial" w:cs="Arial"/>
          <w:color w:val="000000" w:themeColor="text1"/>
          <w:sz w:val="22"/>
          <w:szCs w:val="22"/>
        </w:rPr>
        <w:t>for example, around 85% of drug spending is on generic medicines</w:t>
      </w:r>
      <w:r>
        <w:rPr>
          <w:rFonts w:ascii="Arial" w:hAnsi="Arial" w:cs="Arial"/>
          <w:color w:val="000000" w:themeColor="text1"/>
          <w:sz w:val="22"/>
          <w:szCs w:val="22"/>
        </w:rPr>
        <w:t xml:space="preserve">, </w:t>
      </w:r>
      <w:r w:rsidRPr="00AE157A">
        <w:rPr>
          <w:rFonts w:ascii="Arial" w:hAnsi="Arial" w:cs="Arial"/>
          <w:color w:val="000000" w:themeColor="text1"/>
          <w:sz w:val="22"/>
          <w:szCs w:val="22"/>
        </w:rPr>
        <w:t xml:space="preserve">this does not always translate into better outcomes. The UK has fewer hospital beds (2.5 per 1,000 vs 3.2 average) and lower staffing levels (2.8 doctors and 7.8 </w:t>
      </w:r>
      <w:r w:rsidR="00A442EC" w:rsidRPr="00AE157A">
        <w:rPr>
          <w:rFonts w:ascii="Arial" w:hAnsi="Arial" w:cs="Arial"/>
          <w:color w:val="000000" w:themeColor="text1"/>
          <w:sz w:val="22"/>
          <w:szCs w:val="22"/>
        </w:rPr>
        <w:t>nurse’s</w:t>
      </w:r>
      <w:r w:rsidRPr="00AE157A">
        <w:rPr>
          <w:rFonts w:ascii="Arial" w:hAnsi="Arial" w:cs="Arial"/>
          <w:color w:val="000000" w:themeColor="text1"/>
          <w:sz w:val="22"/>
          <w:szCs w:val="22"/>
        </w:rPr>
        <w:t xml:space="preserve"> vs averages of 3.5 and 8.8) (Charlesworth et al., 2024; Mallorie, 2023). These constraints contribute to longer wait times and delays in care, limiting </w:t>
      </w:r>
      <w:r w:rsidR="002340F5">
        <w:rPr>
          <w:rFonts w:ascii="Arial" w:hAnsi="Arial" w:cs="Arial"/>
          <w:color w:val="000000" w:themeColor="text1"/>
          <w:sz w:val="22"/>
          <w:szCs w:val="22"/>
        </w:rPr>
        <w:t xml:space="preserve">the </w:t>
      </w:r>
      <w:r w:rsidRPr="00AE157A">
        <w:rPr>
          <w:rFonts w:ascii="Arial" w:hAnsi="Arial" w:cs="Arial"/>
          <w:color w:val="000000" w:themeColor="text1"/>
          <w:sz w:val="22"/>
          <w:szCs w:val="22"/>
        </w:rPr>
        <w:t>overall effectiveness</w:t>
      </w:r>
      <w:r w:rsidR="002340F5">
        <w:rPr>
          <w:rFonts w:ascii="Arial" w:hAnsi="Arial" w:cs="Arial"/>
          <w:color w:val="000000" w:themeColor="text1"/>
          <w:sz w:val="22"/>
          <w:szCs w:val="22"/>
        </w:rPr>
        <w:t xml:space="preserve"> of the system</w:t>
      </w:r>
      <w:r w:rsidRPr="00AE157A">
        <w:rPr>
          <w:rFonts w:ascii="Arial" w:hAnsi="Arial" w:cs="Arial"/>
          <w:color w:val="000000" w:themeColor="text1"/>
          <w:sz w:val="22"/>
          <w:szCs w:val="22"/>
        </w:rPr>
        <w:t>.</w:t>
      </w:r>
    </w:p>
    <w:p w14:paraId="6A16324A" w14:textId="7B24934E" w:rsidR="00FE0562" w:rsidRPr="00FE0562" w:rsidRDefault="00FE0562" w:rsidP="00861CC1">
      <w:pPr>
        <w:spacing w:line="360" w:lineRule="auto"/>
        <w:jc w:val="both"/>
        <w:rPr>
          <w:rFonts w:ascii="Arial" w:hAnsi="Arial" w:cs="Arial"/>
          <w:color w:val="000000" w:themeColor="text1"/>
          <w:sz w:val="22"/>
          <w:szCs w:val="22"/>
        </w:rPr>
      </w:pPr>
      <w:r w:rsidRPr="00FE0562">
        <w:rPr>
          <w:rFonts w:ascii="Arial" w:hAnsi="Arial" w:cs="Arial"/>
          <w:color w:val="000000" w:themeColor="text1"/>
          <w:sz w:val="22"/>
          <w:szCs w:val="22"/>
        </w:rPr>
        <w:t>In terms of outcomes, the UK performs below average on several key indicators (Health at a Glance, 2025). For example, preventable mortality is estimated at 156 deaths per 100,000, compared to an average of 145, indicating that many deaths could be avoided through more effective and timely care. This suggests that, despite relatively strong access, the NHS is less effective at improving health outcomes than other high-income countries.</w:t>
      </w:r>
    </w:p>
    <w:p w14:paraId="7CA1552F" w14:textId="1E86C6EC" w:rsidR="00FE0562" w:rsidRDefault="00FE0562" w:rsidP="00861CC1">
      <w:pPr>
        <w:spacing w:line="360" w:lineRule="auto"/>
        <w:jc w:val="both"/>
        <w:rPr>
          <w:rFonts w:ascii="Arial" w:hAnsi="Arial" w:cs="Arial"/>
          <w:color w:val="000000" w:themeColor="text1"/>
          <w:sz w:val="22"/>
          <w:szCs w:val="22"/>
        </w:rPr>
      </w:pPr>
      <w:r w:rsidRPr="00FE0562">
        <w:rPr>
          <w:rFonts w:ascii="Arial" w:hAnsi="Arial" w:cs="Arial"/>
          <w:color w:val="000000" w:themeColor="text1"/>
          <w:sz w:val="22"/>
          <w:szCs w:val="22"/>
        </w:rPr>
        <w:lastRenderedPageBreak/>
        <w:t>These challenges are not evenly distributed. Individuals in deprived areas experience significantly poorer outcomes, with life expectancy 9–10 years lower for men and 7–8 years lower for women compared to those in affluent areas (ONS, 2023</w:t>
      </w:r>
      <w:bookmarkStart w:id="8" w:name="OLE_LINK19"/>
      <w:bookmarkStart w:id="9" w:name="OLE_LINK20"/>
      <w:r w:rsidRPr="00FE0562">
        <w:rPr>
          <w:rFonts w:ascii="Arial" w:hAnsi="Arial" w:cs="Arial"/>
          <w:color w:val="000000" w:themeColor="text1"/>
          <w:sz w:val="22"/>
          <w:szCs w:val="22"/>
        </w:rPr>
        <w:t xml:space="preserve">). </w:t>
      </w:r>
      <w:bookmarkEnd w:id="8"/>
      <w:bookmarkEnd w:id="9"/>
      <w:r w:rsidR="007A4DCD" w:rsidRPr="007A4DCD">
        <w:rPr>
          <w:rFonts w:ascii="Arial" w:hAnsi="Arial" w:cs="Arial"/>
          <w:color w:val="000000" w:themeColor="text1"/>
          <w:sz w:val="22"/>
          <w:szCs w:val="22"/>
        </w:rPr>
        <w:t>This highlights the impact of social determinants such as income, housing and access to services, and shows that the benefits of SDG 3 are not equally experienced.</w:t>
      </w:r>
      <w:r w:rsidR="007A4DCD">
        <w:rPr>
          <w:rFonts w:ascii="Arial" w:hAnsi="Arial" w:cs="Arial"/>
          <w:color w:val="000000" w:themeColor="text1"/>
          <w:sz w:val="22"/>
          <w:szCs w:val="22"/>
        </w:rPr>
        <w:t xml:space="preserve"> </w:t>
      </w:r>
      <w:r w:rsidRPr="00FE0562">
        <w:rPr>
          <w:rFonts w:ascii="Arial" w:hAnsi="Arial" w:cs="Arial"/>
          <w:color w:val="000000" w:themeColor="text1"/>
          <w:sz w:val="22"/>
          <w:szCs w:val="22"/>
        </w:rPr>
        <w:t>Inequalities are also evident in maternal health. In the UK, Black women are around four times more likely to die during pregnancy or childbirth than White women (MBRRACE-UK, 2025), reflecting disparities in access, quality of care and wider socio-economic factors.</w:t>
      </w:r>
      <w:r w:rsidR="007A4DCD">
        <w:rPr>
          <w:rFonts w:ascii="Arial" w:hAnsi="Arial" w:cs="Arial"/>
          <w:color w:val="000000" w:themeColor="text1"/>
          <w:sz w:val="22"/>
          <w:szCs w:val="22"/>
        </w:rPr>
        <w:t xml:space="preserve"> </w:t>
      </w:r>
      <w:r w:rsidRPr="00FE0562">
        <w:rPr>
          <w:rFonts w:ascii="Arial" w:hAnsi="Arial" w:cs="Arial"/>
          <w:color w:val="000000" w:themeColor="text1"/>
          <w:sz w:val="22"/>
          <w:szCs w:val="22"/>
        </w:rPr>
        <w:t>Overall, these findings indicate that achieving SDG 3 requires not only maintaining universal access but also improving service capacity and addressing structural determinants of health.</w:t>
      </w:r>
    </w:p>
    <w:p w14:paraId="2D75402B" w14:textId="338A12FE" w:rsidR="00AE157A" w:rsidRPr="00AE157A" w:rsidRDefault="00AE157A" w:rsidP="00861CC1">
      <w:pPr>
        <w:spacing w:line="360" w:lineRule="auto"/>
        <w:jc w:val="both"/>
        <w:rPr>
          <w:rFonts w:ascii="Arial" w:hAnsi="Arial" w:cs="Arial"/>
          <w:color w:val="000000" w:themeColor="text1"/>
          <w:sz w:val="22"/>
          <w:szCs w:val="22"/>
        </w:rPr>
      </w:pPr>
      <w:r w:rsidRPr="00AE157A">
        <w:rPr>
          <w:rFonts w:ascii="Arial" w:hAnsi="Arial" w:cs="Arial"/>
          <w:color w:val="000000" w:themeColor="text1"/>
          <w:sz w:val="22"/>
          <w:szCs w:val="22"/>
        </w:rPr>
        <w:t>Healthcare systems are also under pressure due to ageing populations, workforce shortages and limited funding. The COVID-19 pandemic further exposed these weaknesses, leading to delays in treatment and reduced service capacity (Filip et al., 2022), particularly affecting vulnerable groups.</w:t>
      </w:r>
      <w:r w:rsidR="002340F5">
        <w:rPr>
          <w:rFonts w:ascii="Arial" w:hAnsi="Arial" w:cs="Arial"/>
          <w:color w:val="000000" w:themeColor="text1"/>
          <w:sz w:val="22"/>
          <w:szCs w:val="22"/>
        </w:rPr>
        <w:t xml:space="preserve"> </w:t>
      </w:r>
      <w:r w:rsidRPr="00AE157A">
        <w:rPr>
          <w:rFonts w:ascii="Arial" w:hAnsi="Arial" w:cs="Arial"/>
          <w:color w:val="000000" w:themeColor="text1"/>
          <w:sz w:val="22"/>
          <w:szCs w:val="22"/>
        </w:rPr>
        <w:t>Prevention and early intervention are central to SDG 3. Initiatives such as vaccination programmes, screening and anti-smoking campaigns have reduced disease risk (NHS England, 2025). However, their impact is uneven, as individuals from lower socio-economic groups continue to experience poorer health outcomes. The inclusion of mental health is also significant, given its contribution to the global disease burden (Votruba and Thornicroft, 2016). While access has improved, demand still exceeds capacity, particularly among young people.</w:t>
      </w:r>
    </w:p>
    <w:p w14:paraId="318E980F" w14:textId="2C2ED571" w:rsidR="00AE157A" w:rsidRDefault="00AE157A" w:rsidP="00861CC1">
      <w:pPr>
        <w:spacing w:line="360" w:lineRule="auto"/>
        <w:jc w:val="both"/>
        <w:rPr>
          <w:rFonts w:ascii="Arial" w:hAnsi="Arial" w:cs="Arial"/>
          <w:color w:val="000000" w:themeColor="text1"/>
          <w:sz w:val="22"/>
          <w:szCs w:val="22"/>
        </w:rPr>
      </w:pPr>
      <w:r w:rsidRPr="00AE157A">
        <w:rPr>
          <w:rFonts w:ascii="Arial" w:hAnsi="Arial" w:cs="Arial"/>
          <w:color w:val="000000" w:themeColor="text1"/>
          <w:sz w:val="22"/>
          <w:szCs w:val="22"/>
        </w:rPr>
        <w:t>Overall, SDG 3 has improved access to healthcare and general health outcomes. However, its impact remains uneven, and addressing social determinants is essential to achieve more equitable and effective health improvements.</w:t>
      </w:r>
    </w:p>
    <w:p w14:paraId="356E39B3" w14:textId="405FB6CD" w:rsidR="00120492" w:rsidRPr="00246FBE" w:rsidRDefault="00120492" w:rsidP="00861CC1">
      <w:pPr>
        <w:pStyle w:val="Heading1"/>
        <w:jc w:val="both"/>
        <w:rPr>
          <w:rFonts w:cs="Arial"/>
          <w:szCs w:val="28"/>
        </w:rPr>
      </w:pPr>
      <w:bookmarkStart w:id="10" w:name="_Toc226727768"/>
      <w:bookmarkStart w:id="11" w:name="_Toc227321151"/>
      <w:bookmarkStart w:id="12" w:name="_Toc227321226"/>
      <w:bookmarkStart w:id="13" w:name="_Toc227321278"/>
      <w:r w:rsidRPr="00246FBE">
        <w:rPr>
          <w:rFonts w:cs="Arial"/>
          <w:b/>
          <w:bCs/>
          <w:szCs w:val="28"/>
        </w:rPr>
        <w:t>3. Sustainable Development Goal 4: Quality Education</w:t>
      </w:r>
      <w:bookmarkEnd w:id="10"/>
      <w:bookmarkEnd w:id="11"/>
      <w:bookmarkEnd w:id="12"/>
      <w:bookmarkEnd w:id="13"/>
      <w:r w:rsidRPr="00246FBE">
        <w:rPr>
          <w:rFonts w:cs="Arial"/>
          <w:szCs w:val="28"/>
        </w:rPr>
        <w:t xml:space="preserve"> </w:t>
      </w:r>
    </w:p>
    <w:p w14:paraId="4D69BAAB" w14:textId="77777777" w:rsidR="00C16615"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Sustainable Development Goal 4 (SDG 4) aims to ‘ensure inclusive and equitable quality education and promote lifelong learning opportunities for all’ (United Nations, 2015). Education is widely recognised as a key social determinant of health, as it influences a range of outcomes including employment, income, health literacy and overall wellbeing (The Lancet Public Health, 2020). A central aspect of SDG 4 is equitable access to education, ensuring that individuals from all backgrounds can participate in and benefit from it. This includes addressing barriers faced by disadvantaged groups, such as those from low-income households, people with disabilities and minority communities (</w:t>
      </w:r>
      <w:r w:rsidRPr="00246FBE">
        <w:rPr>
          <w:color w:val="000000" w:themeColor="text1"/>
        </w:rPr>
        <w:t>Rahma et al., 2025</w:t>
      </w:r>
      <w:r w:rsidRPr="00246FBE">
        <w:rPr>
          <w:rFonts w:ascii="Arial" w:hAnsi="Arial" w:cs="Arial"/>
          <w:color w:val="000000" w:themeColor="text1"/>
          <w:sz w:val="22"/>
          <w:szCs w:val="22"/>
        </w:rPr>
        <w:t>). Another important element is the quality of education, which focuses not only on access but also on meaningful learning outcomes, such as critical thinking, problem-solving and life skills (</w:t>
      </w:r>
      <w:r w:rsidRPr="00246FBE">
        <w:rPr>
          <w:color w:val="000000" w:themeColor="text1"/>
        </w:rPr>
        <w:t>Wei et al., 2026</w:t>
      </w:r>
      <w:r w:rsidRPr="00246FBE">
        <w:rPr>
          <w:rFonts w:ascii="Arial" w:hAnsi="Arial" w:cs="Arial"/>
          <w:color w:val="000000" w:themeColor="text1"/>
          <w:sz w:val="22"/>
          <w:szCs w:val="22"/>
        </w:rPr>
        <w:t xml:space="preserve">). Education </w:t>
      </w:r>
      <w:r w:rsidRPr="00246FBE">
        <w:rPr>
          <w:rFonts w:ascii="Arial" w:hAnsi="Arial" w:cs="Arial"/>
          <w:color w:val="000000" w:themeColor="text1"/>
          <w:sz w:val="22"/>
          <w:szCs w:val="22"/>
        </w:rPr>
        <w:lastRenderedPageBreak/>
        <w:t>has a significant impact on health and wellbeing. Higher levels of education are associated with healthier behaviours, including lower smoking rates, improved diet and increased physical activity (Davies, 2019). Education also improves health literacy, enabling individuals to understand health information, access healthcare services and make informed decisions about their wellbeing (Belcastro and Ramsaroop</w:t>
      </w:r>
      <w:r w:rsidRPr="00246FBE">
        <w:rPr>
          <w:rFonts w:ascii="Cambria Math" w:hAnsi="Cambria Math" w:cs="Cambria Math"/>
          <w:color w:val="000000" w:themeColor="text1"/>
          <w:sz w:val="22"/>
          <w:szCs w:val="22"/>
        </w:rPr>
        <w:t>‐</w:t>
      </w:r>
      <w:r w:rsidRPr="00246FBE">
        <w:rPr>
          <w:rFonts w:ascii="Arial" w:hAnsi="Arial" w:cs="Arial"/>
          <w:color w:val="000000" w:themeColor="text1"/>
          <w:sz w:val="22"/>
          <w:szCs w:val="22"/>
        </w:rPr>
        <w:t>Hansen, 2017). In addition, education is closely linked to employment and income. Individuals with higher levels of education are more likely to gain stable employment, which can reduce financial stress and improve living conditions (Bae and Kim, 2023). Furthermore, education promotes social inclusion and empowerment, both of which are important for mental wellbeing (Calcutt, 2025). However, there are still challenges in achieving SDG 4. Educational inequalities continue to exist, particularly in disadvantaged communities where access to resources and support may be limited (</w:t>
      </w:r>
      <w:r w:rsidRPr="00246FBE">
        <w:rPr>
          <w:color w:val="000000" w:themeColor="text1"/>
        </w:rPr>
        <w:t>Porter, 2024)</w:t>
      </w:r>
      <w:r w:rsidRPr="00246FBE">
        <w:rPr>
          <w:rFonts w:ascii="Arial" w:hAnsi="Arial" w:cs="Arial"/>
          <w:color w:val="000000" w:themeColor="text1"/>
          <w:sz w:val="22"/>
          <w:szCs w:val="22"/>
        </w:rPr>
        <w:t xml:space="preserve">. </w:t>
      </w:r>
    </w:p>
    <w:p w14:paraId="35D39DED" w14:textId="506ACC5C" w:rsidR="00120492" w:rsidRPr="00246FBE"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 xml:space="preserve">The COVID-19 pandemic further highlighted these inequalities through the digital divide, as many </w:t>
      </w:r>
      <w:r w:rsidR="002340F5">
        <w:rPr>
          <w:rFonts w:ascii="Arial" w:hAnsi="Arial" w:cs="Arial"/>
          <w:color w:val="000000" w:themeColor="text1"/>
          <w:sz w:val="22"/>
          <w:szCs w:val="22"/>
        </w:rPr>
        <w:t xml:space="preserve">people </w:t>
      </w:r>
      <w:r w:rsidRPr="00246FBE">
        <w:rPr>
          <w:rFonts w:ascii="Arial" w:hAnsi="Arial" w:cs="Arial"/>
          <w:color w:val="000000" w:themeColor="text1"/>
          <w:sz w:val="22"/>
          <w:szCs w:val="22"/>
        </w:rPr>
        <w:t xml:space="preserve">lacked access to technology and reliable internet, which negatively affected their learning. It is also important to recognise that education alone cannot fully address health inequalities. Wider social and economic factors, such as poverty and housing conditions, continue to influence health outcomes. Therefore, while SDG 4 plays an important role in improving health and wellbeing, its impact is limited without broader structural changes (Kim, 2022). </w:t>
      </w:r>
      <w:r w:rsidR="00C16615">
        <w:rPr>
          <w:rFonts w:ascii="Arial" w:hAnsi="Arial" w:cs="Arial"/>
          <w:color w:val="000000" w:themeColor="text1"/>
          <w:sz w:val="22"/>
          <w:szCs w:val="22"/>
        </w:rPr>
        <w:t xml:space="preserve"> </w:t>
      </w:r>
      <w:r w:rsidRPr="00246FBE">
        <w:rPr>
          <w:rFonts w:ascii="Arial" w:hAnsi="Arial" w:cs="Arial"/>
          <w:color w:val="000000" w:themeColor="text1"/>
          <w:sz w:val="22"/>
          <w:szCs w:val="22"/>
        </w:rPr>
        <w:t>Overall, SDG 4 plays a crucial role in shaping health and wellbeing by addressing key social determinants. Its effectiveness depends on ensuring inclusive, equitable and high-quality education systems that support both academic success and overall wellbeing.</w:t>
      </w:r>
    </w:p>
    <w:p w14:paraId="125E5F26" w14:textId="77777777" w:rsidR="00120492" w:rsidRPr="00246FBE" w:rsidRDefault="00120492" w:rsidP="00861CC1">
      <w:pPr>
        <w:pStyle w:val="Heading1"/>
        <w:jc w:val="both"/>
        <w:rPr>
          <w:b/>
          <w:bCs/>
        </w:rPr>
      </w:pPr>
      <w:bookmarkStart w:id="14" w:name="_Toc226727769"/>
      <w:bookmarkStart w:id="15" w:name="_Toc227321152"/>
      <w:bookmarkStart w:id="16" w:name="_Toc227321227"/>
      <w:bookmarkStart w:id="17" w:name="_Toc227321279"/>
      <w:r w:rsidRPr="00246FBE">
        <w:rPr>
          <w:b/>
          <w:bCs/>
        </w:rPr>
        <w:t>4. National Wellbeing Initiatives</w:t>
      </w:r>
      <w:bookmarkEnd w:id="14"/>
      <w:bookmarkEnd w:id="15"/>
      <w:bookmarkEnd w:id="16"/>
      <w:bookmarkEnd w:id="17"/>
      <w:r w:rsidRPr="00246FBE">
        <w:rPr>
          <w:b/>
          <w:bCs/>
        </w:rPr>
        <w:t xml:space="preserve"> </w:t>
      </w:r>
    </w:p>
    <w:p w14:paraId="4974E44F" w14:textId="77777777" w:rsidR="00120492" w:rsidRPr="00246FBE" w:rsidRDefault="00120492" w:rsidP="00861CC1">
      <w:pPr>
        <w:pStyle w:val="Heading2"/>
        <w:jc w:val="both"/>
        <w:rPr>
          <w:rFonts w:cs="Arial"/>
          <w:szCs w:val="24"/>
        </w:rPr>
      </w:pPr>
      <w:bookmarkStart w:id="18" w:name="_Toc226727770"/>
      <w:bookmarkStart w:id="19" w:name="_Toc227321153"/>
      <w:bookmarkStart w:id="20" w:name="_Toc227321228"/>
      <w:bookmarkStart w:id="21" w:name="_Toc227321280"/>
      <w:r w:rsidRPr="00246FBE">
        <w:rPr>
          <w:rFonts w:cs="Arial"/>
          <w:szCs w:val="24"/>
        </w:rPr>
        <w:t>Fit for the Future: 10 Year Health Plan for England (2025)</w:t>
      </w:r>
      <w:bookmarkEnd w:id="18"/>
      <w:bookmarkEnd w:id="19"/>
      <w:bookmarkEnd w:id="20"/>
      <w:bookmarkEnd w:id="21"/>
    </w:p>
    <w:p w14:paraId="2F25B6EC" w14:textId="77777777" w:rsidR="007A4DCD"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A key national initiative is the UK government’s Fit for the Future: 10 Year Health Plan for England (2025), which represents a strategic shift towards a more preventative and integrated healthcare system. The plan is structured around three central transformations: delivering care closer to communities, accelerating digital innovation, and prioritising prevention (Department of Health and Social Care, 2025).</w:t>
      </w:r>
      <w:r w:rsidR="00A34AAA">
        <w:rPr>
          <w:rFonts w:ascii="Arial" w:hAnsi="Arial" w:cs="Arial"/>
          <w:color w:val="000000" w:themeColor="text1"/>
          <w:sz w:val="22"/>
          <w:szCs w:val="22"/>
        </w:rPr>
        <w:t xml:space="preserve"> </w:t>
      </w:r>
      <w:r w:rsidRPr="00246FBE">
        <w:rPr>
          <w:rFonts w:ascii="Arial" w:hAnsi="Arial" w:cs="Arial"/>
          <w:color w:val="000000" w:themeColor="text1"/>
          <w:sz w:val="22"/>
          <w:szCs w:val="22"/>
        </w:rPr>
        <w:t xml:space="preserve">The emphasis on community-based care aims to improve accessibility and reduce pressure on hospital services. By shifting care into local settings, the plan seeks to provide more personalised and coordinated services, particularly for individuals with long-term conditions (Reed et al., 2025). The focus on digital transformation, including the use of data and technology, has the potential to enhance efficiency, improve patient outcomes and support integrated care delivery. The prioritisation of preventative healthcare aligns with SDG 3 by addressing health issues before they escalate. This approach recognises </w:t>
      </w:r>
      <w:r w:rsidRPr="00246FBE">
        <w:rPr>
          <w:rFonts w:ascii="Arial" w:hAnsi="Arial" w:cs="Arial"/>
          <w:color w:val="000000" w:themeColor="text1"/>
          <w:sz w:val="22"/>
          <w:szCs w:val="22"/>
        </w:rPr>
        <w:lastRenderedPageBreak/>
        <w:t xml:space="preserve">the importance of tackling risk factors such as poor diet, physical inactivity and smoking (Ferrando et al., 2025). </w:t>
      </w:r>
    </w:p>
    <w:p w14:paraId="06A96B50" w14:textId="2E092037" w:rsidR="00F60670" w:rsidRPr="00F60670"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However, the effectiveness of this strategy depends on addressing wider social determinants of health. Despite its strengths, the plan faces several challenges</w:t>
      </w:r>
      <w:r w:rsidR="007A4DCD">
        <w:rPr>
          <w:rFonts w:ascii="Arial" w:hAnsi="Arial" w:cs="Arial"/>
          <w:color w:val="000000" w:themeColor="text1"/>
          <w:sz w:val="22"/>
          <w:szCs w:val="22"/>
        </w:rPr>
        <w:t xml:space="preserve"> </w:t>
      </w:r>
      <w:r w:rsidRPr="00246FBE">
        <w:rPr>
          <w:rFonts w:ascii="Arial" w:hAnsi="Arial" w:cs="Arial"/>
          <w:color w:val="000000" w:themeColor="text1"/>
          <w:sz w:val="22"/>
          <w:szCs w:val="22"/>
        </w:rPr>
        <w:t>(</w:t>
      </w:r>
      <w:r w:rsidR="00246FBE">
        <w:rPr>
          <w:rFonts w:ascii="Arial" w:hAnsi="Arial" w:cs="Arial"/>
          <w:color w:val="000000" w:themeColor="text1"/>
          <w:sz w:val="22"/>
          <w:szCs w:val="22"/>
        </w:rPr>
        <w:t>Arnold et al., 2025</w:t>
      </w:r>
      <w:r w:rsidRPr="00246FBE">
        <w:rPr>
          <w:rFonts w:ascii="Arial" w:hAnsi="Arial" w:cs="Arial"/>
          <w:color w:val="000000" w:themeColor="text1"/>
          <w:sz w:val="22"/>
          <w:szCs w:val="22"/>
        </w:rPr>
        <w:t>).</w:t>
      </w:r>
      <w:r w:rsidR="007A4DCD">
        <w:rPr>
          <w:rFonts w:ascii="Arial" w:hAnsi="Arial" w:cs="Arial"/>
          <w:color w:val="000000" w:themeColor="text1"/>
          <w:sz w:val="22"/>
          <w:szCs w:val="22"/>
        </w:rPr>
        <w:t xml:space="preserve"> </w:t>
      </w:r>
      <w:r w:rsidR="00F60670" w:rsidRPr="00F60670">
        <w:rPr>
          <w:rFonts w:ascii="Arial" w:hAnsi="Arial" w:cs="Arial"/>
          <w:color w:val="000000" w:themeColor="text1"/>
          <w:sz w:val="22"/>
          <w:szCs w:val="22"/>
        </w:rPr>
        <w:t>Workforce shortages and limited capacity reduce the ability to deliver timely care, which can negatively impact health outcomes, particularly in deprived areas</w:t>
      </w:r>
      <w:r w:rsidR="00F60670">
        <w:rPr>
          <w:rFonts w:ascii="Arial" w:hAnsi="Arial" w:cs="Arial"/>
          <w:color w:val="000000" w:themeColor="text1"/>
          <w:sz w:val="22"/>
          <w:szCs w:val="22"/>
        </w:rPr>
        <w:t xml:space="preserve"> </w:t>
      </w:r>
      <w:r w:rsidR="00F60670" w:rsidRPr="00AE157A">
        <w:rPr>
          <w:rFonts w:ascii="Arial" w:hAnsi="Arial" w:cs="Arial"/>
          <w:color w:val="000000" w:themeColor="text1"/>
          <w:sz w:val="22"/>
          <w:szCs w:val="22"/>
        </w:rPr>
        <w:t>(Charlesworth et al., 2024; Mallorie, 2023).</w:t>
      </w:r>
      <w:r w:rsidR="00F60670">
        <w:rPr>
          <w:rFonts w:ascii="Arial" w:hAnsi="Arial" w:cs="Arial"/>
          <w:color w:val="000000" w:themeColor="text1"/>
          <w:sz w:val="22"/>
          <w:szCs w:val="22"/>
        </w:rPr>
        <w:t xml:space="preserve"> </w:t>
      </w:r>
      <w:r w:rsidR="00F60670" w:rsidRPr="00F60670">
        <w:rPr>
          <w:rFonts w:ascii="Arial" w:hAnsi="Arial" w:cs="Arial"/>
          <w:color w:val="000000" w:themeColor="text1"/>
          <w:sz w:val="22"/>
          <w:szCs w:val="22"/>
        </w:rPr>
        <w:t>In addition, while the plan promotes prevention, its outcomes may be limited if wider social determinants of health</w:t>
      </w:r>
      <w:r w:rsidR="00F60670">
        <w:rPr>
          <w:rFonts w:ascii="Arial" w:hAnsi="Arial" w:cs="Arial"/>
          <w:color w:val="000000" w:themeColor="text1"/>
          <w:sz w:val="22"/>
          <w:szCs w:val="22"/>
        </w:rPr>
        <w:t xml:space="preserve">, </w:t>
      </w:r>
      <w:r w:rsidR="00F60670" w:rsidRPr="00F60670">
        <w:rPr>
          <w:rFonts w:ascii="Arial" w:hAnsi="Arial" w:cs="Arial"/>
          <w:color w:val="000000" w:themeColor="text1"/>
          <w:sz w:val="22"/>
          <w:szCs w:val="22"/>
        </w:rPr>
        <w:t>such as poverty and housing</w:t>
      </w:r>
      <w:r w:rsidR="00F60670">
        <w:rPr>
          <w:rFonts w:ascii="Arial" w:hAnsi="Arial" w:cs="Arial"/>
          <w:color w:val="000000" w:themeColor="text1"/>
          <w:sz w:val="22"/>
          <w:szCs w:val="22"/>
        </w:rPr>
        <w:t xml:space="preserve">, </w:t>
      </w:r>
      <w:r w:rsidR="00F60670" w:rsidRPr="00F60670">
        <w:rPr>
          <w:rFonts w:ascii="Arial" w:hAnsi="Arial" w:cs="Arial"/>
          <w:color w:val="000000" w:themeColor="text1"/>
          <w:sz w:val="22"/>
          <w:szCs w:val="22"/>
        </w:rPr>
        <w:t>are not adequately addressed</w:t>
      </w:r>
      <w:r w:rsidR="00F60670">
        <w:rPr>
          <w:rFonts w:ascii="Arial" w:hAnsi="Arial" w:cs="Arial"/>
          <w:color w:val="000000" w:themeColor="text1"/>
          <w:sz w:val="22"/>
          <w:szCs w:val="22"/>
        </w:rPr>
        <w:t xml:space="preserve">. </w:t>
      </w:r>
      <w:r w:rsidR="00F60670" w:rsidRPr="00F60670">
        <w:rPr>
          <w:rFonts w:ascii="Arial" w:hAnsi="Arial" w:cs="Arial"/>
          <w:color w:val="000000" w:themeColor="text1"/>
          <w:sz w:val="22"/>
          <w:szCs w:val="22"/>
        </w:rPr>
        <w:t>Regional inequalities further restrict equitable access, meaning that improvements may not be experienced uniformly across populations</w:t>
      </w:r>
      <w:r w:rsidR="00F60670">
        <w:rPr>
          <w:rFonts w:ascii="Arial" w:hAnsi="Arial" w:cs="Arial"/>
          <w:color w:val="000000" w:themeColor="text1"/>
          <w:sz w:val="22"/>
          <w:szCs w:val="22"/>
        </w:rPr>
        <w:t xml:space="preserve"> (</w:t>
      </w:r>
      <w:r w:rsidR="00F60670" w:rsidRPr="002340F5">
        <w:rPr>
          <w:rFonts w:ascii="Arial" w:hAnsi="Arial" w:cs="Arial"/>
          <w:color w:val="000000" w:themeColor="text1"/>
          <w:sz w:val="22"/>
          <w:szCs w:val="22"/>
        </w:rPr>
        <w:t>Institute of Health Equity, 2020</w:t>
      </w:r>
      <w:r w:rsidR="00F60670">
        <w:rPr>
          <w:rFonts w:ascii="Arial" w:hAnsi="Arial" w:cs="Arial"/>
          <w:color w:val="000000" w:themeColor="text1"/>
          <w:sz w:val="22"/>
          <w:szCs w:val="22"/>
        </w:rPr>
        <w:t>).</w:t>
      </w:r>
    </w:p>
    <w:p w14:paraId="035F5CC2" w14:textId="11B01BAB" w:rsidR="00F60670" w:rsidRPr="00246FBE" w:rsidRDefault="00096BA3" w:rsidP="00861CC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To enhance effectiveness, it is recommended that greater investment in the healthcare workforce and infrastructure is required to improve service capacity and reduce waiting times. </w:t>
      </w:r>
      <w:r w:rsidR="00F60670" w:rsidRPr="00F60670">
        <w:rPr>
          <w:rFonts w:ascii="Arial" w:hAnsi="Arial" w:cs="Arial"/>
          <w:color w:val="000000" w:themeColor="text1"/>
          <w:sz w:val="22"/>
          <w:szCs w:val="22"/>
        </w:rPr>
        <w:t>In addition, stronger integration between health, social care and community services is essential to support holistic and preventative care. Finally, embedding clear strategies to address social determinants would strengthen long-term health outcomes and reduce inequalities</w:t>
      </w:r>
      <w:r w:rsidR="007A4DCD">
        <w:rPr>
          <w:rFonts w:ascii="Arial" w:hAnsi="Arial" w:cs="Arial"/>
          <w:color w:val="000000" w:themeColor="text1"/>
          <w:sz w:val="22"/>
          <w:szCs w:val="22"/>
        </w:rPr>
        <w:t xml:space="preserve"> (Powell and Mutebi, 2025). </w:t>
      </w:r>
    </w:p>
    <w:p w14:paraId="52726FDA" w14:textId="1FE35290" w:rsidR="00F60670" w:rsidRPr="00F60670" w:rsidRDefault="00120492" w:rsidP="00861CC1">
      <w:pPr>
        <w:pStyle w:val="Heading2"/>
        <w:jc w:val="both"/>
      </w:pPr>
      <w:bookmarkStart w:id="22" w:name="_Toc226727771"/>
      <w:bookmarkStart w:id="23" w:name="_Toc227321154"/>
      <w:bookmarkStart w:id="24" w:name="_Toc227321229"/>
      <w:bookmarkStart w:id="25" w:name="_Toc227321281"/>
      <w:r w:rsidRPr="00246FBE">
        <w:t>Better Health Campaign</w:t>
      </w:r>
      <w:bookmarkEnd w:id="22"/>
      <w:bookmarkEnd w:id="23"/>
      <w:bookmarkEnd w:id="24"/>
      <w:bookmarkEnd w:id="25"/>
    </w:p>
    <w:p w14:paraId="7613EB04" w14:textId="116845F5" w:rsidR="00CA6A5C" w:rsidRPr="00CA6A5C" w:rsidRDefault="00CA6A5C" w:rsidP="00861CC1">
      <w:pPr>
        <w:spacing w:line="360" w:lineRule="auto"/>
        <w:jc w:val="both"/>
        <w:rPr>
          <w:rFonts w:ascii="Arial" w:hAnsi="Arial" w:cs="Arial"/>
          <w:color w:val="000000" w:themeColor="text1"/>
          <w:sz w:val="22"/>
          <w:szCs w:val="22"/>
        </w:rPr>
      </w:pPr>
      <w:r w:rsidRPr="00CA6A5C">
        <w:rPr>
          <w:rFonts w:ascii="Arial" w:hAnsi="Arial" w:cs="Arial"/>
          <w:color w:val="000000" w:themeColor="text1"/>
          <w:sz w:val="22"/>
          <w:szCs w:val="22"/>
        </w:rPr>
        <w:t>The Better Health Campaign aims to improve public health through lifestyle-focused messaging, encouraging behaviours such as increased physical activity, healthy eating and weight management (GOV.UK, 2022). It has been effective in raising awareness and improving health literacy, supporting SDG 3 and indirectly SDG 4 through health education.</w:t>
      </w:r>
      <w:r>
        <w:rPr>
          <w:rFonts w:ascii="Arial" w:hAnsi="Arial" w:cs="Arial"/>
          <w:color w:val="000000" w:themeColor="text1"/>
          <w:sz w:val="22"/>
          <w:szCs w:val="22"/>
        </w:rPr>
        <w:t xml:space="preserve"> </w:t>
      </w:r>
      <w:r>
        <w:rPr>
          <w:rFonts w:ascii="Arial" w:hAnsi="Arial" w:cs="Arial"/>
          <w:color w:val="000000" w:themeColor="text1"/>
          <w:kern w:val="0"/>
          <w:sz w:val="22"/>
          <w:szCs w:val="22"/>
          <w14:ligatures w14:val="none"/>
        </w:rPr>
        <w:t>Evidence from the NHS 12-week weight loss plan indicates some positive outcomes. After its introduction, the programme was downloaded more than 864,000 times over six months. Among users who completed it, the average weight loss was 6.5% of body weight, and 64.2% achieved clinically significant weight loss (5% or more). However, engagement was limited, with only 8,305 users completing the programme, indicating low retention (Public Health England, 2021).</w:t>
      </w:r>
    </w:p>
    <w:p w14:paraId="752BEAF1" w14:textId="77777777" w:rsidR="00CA6A5C" w:rsidRPr="00CA6A5C" w:rsidRDefault="00CA6A5C" w:rsidP="00861CC1">
      <w:pPr>
        <w:spacing w:line="360" w:lineRule="auto"/>
        <w:jc w:val="both"/>
        <w:rPr>
          <w:rFonts w:ascii="Arial" w:hAnsi="Arial" w:cs="Arial"/>
          <w:color w:val="000000" w:themeColor="text1"/>
          <w:sz w:val="22"/>
          <w:szCs w:val="22"/>
        </w:rPr>
      </w:pPr>
      <w:r w:rsidRPr="00CA6A5C">
        <w:rPr>
          <w:rFonts w:ascii="Arial" w:hAnsi="Arial" w:cs="Arial"/>
          <w:color w:val="000000" w:themeColor="text1"/>
          <w:sz w:val="22"/>
          <w:szCs w:val="22"/>
        </w:rPr>
        <w:t>Despite these outcomes, the campaign’s effectiveness is constrained by structural barriers and its focus on individual responsibility (Godziewski, 2020). Healthier food options are often less affordable, and opportunities for physical activity are limited in deprived areas. In addition, time pressures and financial stress reduce individuals’ ability to adopt recommended behaviours. As a result, the campaign is more effective for advantaged groups, potentially reinforcing health inequalities (Talbot and Branley-Bell, 2022).</w:t>
      </w:r>
    </w:p>
    <w:p w14:paraId="3C0238D2" w14:textId="7139E1A5" w:rsidR="00CA6A5C" w:rsidRPr="00CA6A5C" w:rsidRDefault="00096BA3" w:rsidP="00861CC1">
      <w:pPr>
        <w:spacing w:line="360" w:lineRule="auto"/>
        <w:jc w:val="both"/>
        <w:rPr>
          <w:rFonts w:ascii="Arial" w:hAnsi="Arial" w:cs="Arial"/>
          <w:sz w:val="22"/>
          <w:szCs w:val="22"/>
        </w:rPr>
      </w:pPr>
      <w:r>
        <w:rPr>
          <w:rFonts w:ascii="Arial" w:hAnsi="Arial" w:cs="Arial"/>
          <w:color w:val="000000" w:themeColor="text1"/>
          <w:sz w:val="22"/>
          <w:szCs w:val="22"/>
        </w:rPr>
        <w:lastRenderedPageBreak/>
        <w:t xml:space="preserve">To improve effectiveness, recommendations include combining public health campaigns with structural interventions, such as improving access to affordable, healthy food and community-based physical activity programmes. </w:t>
      </w:r>
      <w:r w:rsidR="00F60670" w:rsidRPr="00F60670">
        <w:rPr>
          <w:rFonts w:ascii="Arial" w:hAnsi="Arial" w:cs="Arial"/>
          <w:color w:val="000000" w:themeColor="text1"/>
          <w:sz w:val="22"/>
          <w:szCs w:val="22"/>
        </w:rPr>
        <w:t>In addition, integrating health education within schools and community settings would strengthen links with SDG 4 and support long-term behaviour change</w:t>
      </w:r>
      <w:r>
        <w:rPr>
          <w:rFonts w:ascii="Arial" w:hAnsi="Arial" w:cs="Arial"/>
          <w:color w:val="000000" w:themeColor="text1"/>
          <w:sz w:val="22"/>
          <w:szCs w:val="22"/>
        </w:rPr>
        <w:t xml:space="preserve">. </w:t>
      </w:r>
      <w:r w:rsidR="00F60670" w:rsidRPr="00F60670">
        <w:rPr>
          <w:rFonts w:ascii="Arial" w:hAnsi="Arial" w:cs="Arial"/>
          <w:color w:val="000000" w:themeColor="text1"/>
          <w:sz w:val="22"/>
          <w:szCs w:val="22"/>
        </w:rPr>
        <w:t>Targeted approaches for disadvantaged populations are also necessary to ensure more equitable health outcomes</w:t>
      </w:r>
      <w:r>
        <w:rPr>
          <w:rFonts w:ascii="Arial" w:hAnsi="Arial" w:cs="Arial"/>
          <w:color w:val="000000" w:themeColor="text1"/>
          <w:sz w:val="22"/>
          <w:szCs w:val="22"/>
        </w:rPr>
        <w:t xml:space="preserve"> (</w:t>
      </w:r>
      <w:r w:rsidRPr="00096BA3">
        <w:rPr>
          <w:rFonts w:ascii="Arial" w:hAnsi="Arial" w:cs="Arial"/>
          <w:sz w:val="22"/>
          <w:szCs w:val="22"/>
        </w:rPr>
        <w:t>Luten</w:t>
      </w:r>
      <w:r>
        <w:rPr>
          <w:rFonts w:ascii="Arial" w:hAnsi="Arial" w:cs="Arial"/>
          <w:sz w:val="22"/>
          <w:szCs w:val="22"/>
        </w:rPr>
        <w:t xml:space="preserve"> </w:t>
      </w:r>
      <w:r w:rsidRPr="00096BA3">
        <w:rPr>
          <w:rFonts w:ascii="Arial" w:hAnsi="Arial" w:cs="Arial"/>
          <w:sz w:val="22"/>
          <w:szCs w:val="22"/>
        </w:rPr>
        <w:t>et al.</w:t>
      </w:r>
      <w:r>
        <w:rPr>
          <w:rFonts w:ascii="Arial" w:hAnsi="Arial" w:cs="Arial"/>
          <w:sz w:val="22"/>
          <w:szCs w:val="22"/>
        </w:rPr>
        <w:t xml:space="preserve">, </w:t>
      </w:r>
      <w:r w:rsidRPr="00096BA3">
        <w:rPr>
          <w:rFonts w:ascii="Arial" w:hAnsi="Arial" w:cs="Arial"/>
          <w:sz w:val="22"/>
          <w:szCs w:val="22"/>
        </w:rPr>
        <w:t>2016)</w:t>
      </w:r>
      <w:r>
        <w:rPr>
          <w:rFonts w:ascii="Arial" w:hAnsi="Arial" w:cs="Arial"/>
          <w:sz w:val="22"/>
          <w:szCs w:val="22"/>
        </w:rPr>
        <w:t>.</w:t>
      </w:r>
      <w:r w:rsidR="00CA6A5C">
        <w:rPr>
          <w:rFonts w:ascii="Arial" w:hAnsi="Arial" w:cs="Arial"/>
          <w:sz w:val="22"/>
          <w:szCs w:val="22"/>
        </w:rPr>
        <w:t xml:space="preserve"> </w:t>
      </w:r>
    </w:p>
    <w:p w14:paraId="15F6A664" w14:textId="12795338" w:rsidR="00120492" w:rsidRPr="00246FBE" w:rsidRDefault="00120492" w:rsidP="00861CC1">
      <w:pPr>
        <w:pStyle w:val="Heading1"/>
        <w:jc w:val="both"/>
      </w:pPr>
      <w:bookmarkStart w:id="26" w:name="_Toc226727773"/>
      <w:bookmarkStart w:id="27" w:name="_Toc227321155"/>
      <w:bookmarkStart w:id="28" w:name="_Toc227321230"/>
      <w:bookmarkStart w:id="29" w:name="_Toc227321282"/>
      <w:r w:rsidRPr="00246FBE">
        <w:rPr>
          <w:b/>
        </w:rPr>
        <w:t>5. Local Wellbeing Initiatives</w:t>
      </w:r>
      <w:bookmarkEnd w:id="26"/>
      <w:bookmarkEnd w:id="27"/>
      <w:bookmarkEnd w:id="28"/>
      <w:bookmarkEnd w:id="29"/>
      <w:r w:rsidR="008E1405">
        <w:rPr>
          <w:b/>
        </w:rPr>
        <w:t xml:space="preserve"> </w:t>
      </w:r>
    </w:p>
    <w:p w14:paraId="325A066C" w14:textId="2B47D6CA" w:rsidR="00120492" w:rsidRPr="00246FBE" w:rsidRDefault="00120492" w:rsidP="00861CC1">
      <w:pPr>
        <w:spacing w:line="360" w:lineRule="auto"/>
        <w:jc w:val="both"/>
        <w:rPr>
          <w:rFonts w:ascii="Arial" w:hAnsi="Arial" w:cs="Arial"/>
          <w:color w:val="000000" w:themeColor="text1"/>
          <w:sz w:val="22"/>
          <w:szCs w:val="22"/>
        </w:rPr>
      </w:pPr>
      <w:r w:rsidRPr="00246FBE">
        <w:rPr>
          <w:rFonts w:ascii="Arial" w:hAnsi="Arial" w:cs="Arial"/>
          <w:color w:val="000000" w:themeColor="text1"/>
          <w:sz w:val="22"/>
          <w:szCs w:val="22"/>
        </w:rPr>
        <w:t>At the local level, Tower Hamlets provides a strong example of integrated wellbeing initiatives aimed at addressing health inequalities</w:t>
      </w:r>
      <w:r w:rsidR="00246FBE">
        <w:rPr>
          <w:rFonts w:ascii="Arial" w:hAnsi="Arial" w:cs="Arial"/>
          <w:color w:val="000000" w:themeColor="text1"/>
          <w:sz w:val="22"/>
          <w:szCs w:val="22"/>
        </w:rPr>
        <w:t xml:space="preserve"> in line with SDG3.</w:t>
      </w:r>
    </w:p>
    <w:p w14:paraId="42B52AA3" w14:textId="77777777" w:rsidR="00120492" w:rsidRPr="00246FBE" w:rsidRDefault="00120492" w:rsidP="00861CC1">
      <w:pPr>
        <w:pStyle w:val="Heading2"/>
        <w:jc w:val="both"/>
      </w:pPr>
      <w:bookmarkStart w:id="30" w:name="_Toc226727774"/>
      <w:bookmarkStart w:id="31" w:name="_Toc227321156"/>
      <w:bookmarkStart w:id="32" w:name="_Toc227321231"/>
      <w:bookmarkStart w:id="33" w:name="_Toc227321283"/>
      <w:r w:rsidRPr="00246FBE">
        <w:t>The Communities Keeping Well</w:t>
      </w:r>
      <w:bookmarkEnd w:id="30"/>
      <w:bookmarkEnd w:id="31"/>
      <w:bookmarkEnd w:id="32"/>
      <w:bookmarkEnd w:id="33"/>
      <w:r w:rsidRPr="00246FBE">
        <w:t xml:space="preserve"> </w:t>
      </w:r>
    </w:p>
    <w:p w14:paraId="7CD3CCEB" w14:textId="1DB7ADAE" w:rsidR="00FE0562" w:rsidRPr="00FE0562" w:rsidRDefault="00FE0562" w:rsidP="00861CC1">
      <w:pPr>
        <w:spacing w:line="360" w:lineRule="auto"/>
        <w:jc w:val="both"/>
        <w:rPr>
          <w:rFonts w:ascii="Arial" w:hAnsi="Arial" w:cs="Arial"/>
          <w:sz w:val="22"/>
          <w:szCs w:val="22"/>
        </w:rPr>
      </w:pPr>
      <w:bookmarkStart w:id="34" w:name="_Toc226727775"/>
      <w:r w:rsidRPr="00FE0562">
        <w:rPr>
          <w:rFonts w:ascii="Arial" w:hAnsi="Arial" w:cs="Arial"/>
          <w:sz w:val="22"/>
          <w:szCs w:val="22"/>
        </w:rPr>
        <w:t>The Communities Keeping Well programme in Tower Hamlets aims to improve mental health and wellbeing through community-based support, including social prescribing and peer-led activities (Tower Hamlets Together, 2024). It aligns with SDG 3 by promoting preventative approaches to reduce social isolation and improve wellbeing. For example, individuals may be referred to group activities</w:t>
      </w:r>
      <w:r>
        <w:rPr>
          <w:rFonts w:ascii="Arial" w:hAnsi="Arial" w:cs="Arial"/>
          <w:sz w:val="22"/>
          <w:szCs w:val="22"/>
        </w:rPr>
        <w:t>,</w:t>
      </w:r>
      <w:r w:rsidRPr="00FE0562">
        <w:rPr>
          <w:rFonts w:ascii="Arial" w:hAnsi="Arial" w:cs="Arial"/>
          <w:sz w:val="22"/>
          <w:szCs w:val="22"/>
        </w:rPr>
        <w:t xml:space="preserve"> such as exercise sessions or community workshops, </w:t>
      </w:r>
      <w:r>
        <w:rPr>
          <w:rFonts w:ascii="Arial" w:hAnsi="Arial" w:cs="Arial"/>
          <w:sz w:val="22"/>
          <w:szCs w:val="22"/>
        </w:rPr>
        <w:t>which enhance</w:t>
      </w:r>
      <w:r w:rsidRPr="00FE0562">
        <w:rPr>
          <w:rFonts w:ascii="Arial" w:hAnsi="Arial" w:cs="Arial"/>
          <w:sz w:val="22"/>
          <w:szCs w:val="22"/>
        </w:rPr>
        <w:t xml:space="preserve"> social connectedness and reduc</w:t>
      </w:r>
      <w:r>
        <w:rPr>
          <w:rFonts w:ascii="Arial" w:hAnsi="Arial" w:cs="Arial"/>
          <w:sz w:val="22"/>
          <w:szCs w:val="22"/>
        </w:rPr>
        <w:t>e</w:t>
      </w:r>
      <w:r w:rsidRPr="00FE0562">
        <w:rPr>
          <w:rFonts w:ascii="Arial" w:hAnsi="Arial" w:cs="Arial"/>
          <w:sz w:val="22"/>
          <w:szCs w:val="22"/>
        </w:rPr>
        <w:t xml:space="preserve"> reliance on clinical services. Evidence of </w:t>
      </w:r>
      <w:r w:rsidR="00B95A33">
        <w:rPr>
          <w:rFonts w:ascii="Arial" w:hAnsi="Arial" w:cs="Arial"/>
          <w:sz w:val="22"/>
          <w:szCs w:val="22"/>
        </w:rPr>
        <w:t xml:space="preserve">positive outcomes </w:t>
      </w:r>
      <w:r w:rsidRPr="00FE0562">
        <w:rPr>
          <w:rFonts w:ascii="Arial" w:hAnsi="Arial" w:cs="Arial"/>
          <w:sz w:val="22"/>
          <w:szCs w:val="22"/>
        </w:rPr>
        <w:t>includes 76% of participants reporting an increased sense of belonging. In addition, 1,592 health checks identified previously undiagnosed cases of high blood sugar (8%) and high blood pressure (9%), demonstrating the value of early detection and prevention</w:t>
      </w:r>
      <w:r w:rsidR="00B95A33">
        <w:rPr>
          <w:rFonts w:ascii="Arial" w:hAnsi="Arial" w:cs="Arial"/>
          <w:sz w:val="22"/>
          <w:szCs w:val="22"/>
        </w:rPr>
        <w:t xml:space="preserve"> </w:t>
      </w:r>
      <w:r w:rsidR="00B95A33" w:rsidRPr="00FE0562">
        <w:rPr>
          <w:rFonts w:ascii="Arial" w:hAnsi="Arial" w:cs="Arial"/>
          <w:sz w:val="22"/>
          <w:szCs w:val="22"/>
        </w:rPr>
        <w:t>(Tower Hamlets, 2025)</w:t>
      </w:r>
      <w:r w:rsidRPr="00FE0562">
        <w:rPr>
          <w:rFonts w:ascii="Arial" w:hAnsi="Arial" w:cs="Arial"/>
          <w:sz w:val="22"/>
          <w:szCs w:val="22"/>
        </w:rPr>
        <w:t>.</w:t>
      </w:r>
      <w:r>
        <w:rPr>
          <w:rFonts w:ascii="Arial" w:hAnsi="Arial" w:cs="Arial"/>
          <w:sz w:val="22"/>
          <w:szCs w:val="22"/>
        </w:rPr>
        <w:t xml:space="preserve"> </w:t>
      </w:r>
      <w:r w:rsidRPr="00FE0562">
        <w:rPr>
          <w:rFonts w:ascii="Arial" w:hAnsi="Arial" w:cs="Arial"/>
          <w:sz w:val="22"/>
          <w:szCs w:val="22"/>
        </w:rPr>
        <w:t>However, effectiveness is uneven. Access depends on awareness, referral pathways</w:t>
      </w:r>
      <w:r w:rsidR="00B95A33">
        <w:rPr>
          <w:rFonts w:ascii="Arial" w:hAnsi="Arial" w:cs="Arial"/>
          <w:sz w:val="22"/>
          <w:szCs w:val="22"/>
        </w:rPr>
        <w:t>,</w:t>
      </w:r>
      <w:r w:rsidRPr="00FE0562">
        <w:rPr>
          <w:rFonts w:ascii="Arial" w:hAnsi="Arial" w:cs="Arial"/>
          <w:sz w:val="22"/>
          <w:szCs w:val="22"/>
        </w:rPr>
        <w:t xml:space="preserve"> and consistent provision, while marginalised groups may face barriers such as language</w:t>
      </w:r>
      <w:r w:rsidR="00B95A33">
        <w:rPr>
          <w:rFonts w:ascii="Arial" w:hAnsi="Arial" w:cs="Arial"/>
          <w:sz w:val="22"/>
          <w:szCs w:val="22"/>
        </w:rPr>
        <w:t xml:space="preserve"> barriers</w:t>
      </w:r>
      <w:r w:rsidRPr="00FE0562">
        <w:rPr>
          <w:rFonts w:ascii="Arial" w:hAnsi="Arial" w:cs="Arial"/>
          <w:sz w:val="22"/>
          <w:szCs w:val="22"/>
        </w:rPr>
        <w:t>, cultural differences</w:t>
      </w:r>
      <w:r w:rsidR="00B95A33">
        <w:rPr>
          <w:rFonts w:ascii="Arial" w:hAnsi="Arial" w:cs="Arial"/>
          <w:sz w:val="22"/>
          <w:szCs w:val="22"/>
        </w:rPr>
        <w:t>,</w:t>
      </w:r>
      <w:r w:rsidRPr="00FE0562">
        <w:rPr>
          <w:rFonts w:ascii="Arial" w:hAnsi="Arial" w:cs="Arial"/>
          <w:sz w:val="22"/>
          <w:szCs w:val="22"/>
        </w:rPr>
        <w:t xml:space="preserve"> and limited trust in services. Funding constraints and variability in delivery further contribute to unequal access. Although short-term outcomes are positive, long-term impact relies on sustained engagement, follow-up care and addressing wider social determinants of health </w:t>
      </w:r>
      <w:bookmarkStart w:id="35" w:name="OLE_LINK21"/>
      <w:bookmarkStart w:id="36" w:name="OLE_LINK22"/>
      <w:r w:rsidRPr="00FE0562">
        <w:rPr>
          <w:rFonts w:ascii="Arial" w:hAnsi="Arial" w:cs="Arial"/>
          <w:sz w:val="22"/>
          <w:szCs w:val="22"/>
        </w:rPr>
        <w:t>(Tower Hamlets, 2025).</w:t>
      </w:r>
    </w:p>
    <w:bookmarkEnd w:id="35"/>
    <w:bookmarkEnd w:id="36"/>
    <w:p w14:paraId="21907EC4" w14:textId="3036F1B8" w:rsidR="00FE0562" w:rsidRPr="00FE0562" w:rsidRDefault="00FE0562" w:rsidP="00861CC1">
      <w:pPr>
        <w:spacing w:line="360" w:lineRule="auto"/>
        <w:jc w:val="both"/>
        <w:rPr>
          <w:rFonts w:ascii="Arial" w:hAnsi="Arial" w:cs="Arial"/>
          <w:b/>
          <w:sz w:val="22"/>
          <w:szCs w:val="22"/>
        </w:rPr>
      </w:pPr>
      <w:r>
        <w:rPr>
          <w:rFonts w:ascii="Arial" w:hAnsi="Arial" w:cs="Arial"/>
          <w:sz w:val="22"/>
          <w:szCs w:val="22"/>
        </w:rPr>
        <w:t xml:space="preserve">To improve effectiveness, recommendations include securing sustainable funding to ensure service continuity. </w:t>
      </w:r>
      <w:r w:rsidRPr="00FE0562">
        <w:rPr>
          <w:rFonts w:ascii="Arial" w:hAnsi="Arial" w:cs="Arial"/>
          <w:sz w:val="22"/>
          <w:szCs w:val="22"/>
        </w:rPr>
        <w:t>Expanding outreach and culturally tailored interventions would enhance accessibility, while stronger links between primary care and community services would improve referrals and support more equitable, long-term outcomes</w:t>
      </w:r>
      <w:r>
        <w:rPr>
          <w:rFonts w:ascii="Arial" w:hAnsi="Arial" w:cs="Arial"/>
          <w:sz w:val="22"/>
          <w:szCs w:val="22"/>
        </w:rPr>
        <w:t xml:space="preserve"> (NHS England, 2025). </w:t>
      </w:r>
    </w:p>
    <w:p w14:paraId="46870907" w14:textId="67B18D8E" w:rsidR="00060206" w:rsidRDefault="00120492" w:rsidP="00861CC1">
      <w:pPr>
        <w:pStyle w:val="Heading2"/>
        <w:jc w:val="both"/>
      </w:pPr>
      <w:bookmarkStart w:id="37" w:name="_Toc227321157"/>
      <w:bookmarkStart w:id="38" w:name="_Toc227321232"/>
      <w:bookmarkStart w:id="39" w:name="_Toc227321284"/>
      <w:r w:rsidRPr="00246FBE">
        <w:t>The Early Help Strategy 2025–2028</w:t>
      </w:r>
      <w:bookmarkEnd w:id="34"/>
      <w:bookmarkEnd w:id="37"/>
      <w:bookmarkEnd w:id="38"/>
      <w:bookmarkEnd w:id="39"/>
      <w:r w:rsidRPr="00246FBE">
        <w:t xml:space="preserve"> </w:t>
      </w:r>
      <w:bookmarkStart w:id="40" w:name="_Toc226727777"/>
    </w:p>
    <w:p w14:paraId="10E0ABB8" w14:textId="31F1337D" w:rsidR="00060206" w:rsidRPr="006D2CC3" w:rsidRDefault="00060206" w:rsidP="00861CC1">
      <w:pPr>
        <w:spacing w:line="360" w:lineRule="auto"/>
        <w:jc w:val="both"/>
        <w:rPr>
          <w:rFonts w:ascii="Arial" w:eastAsiaTheme="majorEastAsia" w:hAnsi="Arial" w:cs="Arial"/>
          <w:sz w:val="22"/>
          <w:szCs w:val="22"/>
          <w:lang w:eastAsia="en-GB"/>
        </w:rPr>
      </w:pPr>
      <w:r w:rsidRPr="006D2CC3">
        <w:rPr>
          <w:rFonts w:ascii="Arial" w:hAnsi="Arial" w:cs="Arial"/>
          <w:sz w:val="22"/>
          <w:szCs w:val="22"/>
        </w:rPr>
        <w:t xml:space="preserve">The Early Help Strategy 2025–2028 focuses on early intervention for children and families, particularly during the first 1001 days, recognising the importance of early childhood development (Tower Hamlets Council, 2025). Through integrated Family Hubs, it provides services </w:t>
      </w:r>
      <w:r w:rsidR="00FE0562" w:rsidRPr="006D2CC3">
        <w:rPr>
          <w:rFonts w:ascii="Arial" w:hAnsi="Arial" w:cs="Arial"/>
          <w:sz w:val="22"/>
          <w:szCs w:val="22"/>
        </w:rPr>
        <w:t>such as</w:t>
      </w:r>
      <w:r w:rsidRPr="006D2CC3">
        <w:rPr>
          <w:rFonts w:ascii="Arial" w:hAnsi="Arial" w:cs="Arial"/>
          <w:sz w:val="22"/>
          <w:szCs w:val="22"/>
        </w:rPr>
        <w:t xml:space="preserve"> mental health support, parenting programmes</w:t>
      </w:r>
      <w:r w:rsidR="00FE0562" w:rsidRPr="006D2CC3">
        <w:rPr>
          <w:rFonts w:ascii="Arial" w:hAnsi="Arial" w:cs="Arial"/>
          <w:sz w:val="22"/>
          <w:szCs w:val="22"/>
        </w:rPr>
        <w:t>,</w:t>
      </w:r>
      <w:r w:rsidRPr="006D2CC3">
        <w:rPr>
          <w:rFonts w:ascii="Arial" w:hAnsi="Arial" w:cs="Arial"/>
          <w:sz w:val="22"/>
          <w:szCs w:val="22"/>
        </w:rPr>
        <w:t xml:space="preserve"> and housing advice. For </w:t>
      </w:r>
      <w:r w:rsidRPr="006D2CC3">
        <w:rPr>
          <w:rFonts w:ascii="Arial" w:hAnsi="Arial" w:cs="Arial"/>
          <w:sz w:val="22"/>
          <w:szCs w:val="22"/>
        </w:rPr>
        <w:lastRenderedPageBreak/>
        <w:t>example, parents can access guidance on child development, while families facing financial difficulties receive targeted support, and children with developmental delays are referred to specialist services at an early stage.</w:t>
      </w:r>
    </w:p>
    <w:p w14:paraId="15CF2F81" w14:textId="77777777" w:rsidR="00B95A33" w:rsidRPr="006D2CC3" w:rsidRDefault="00B95A33" w:rsidP="00861CC1">
      <w:pPr>
        <w:spacing w:line="360" w:lineRule="auto"/>
        <w:jc w:val="both"/>
        <w:rPr>
          <w:rFonts w:ascii="Arial" w:hAnsi="Arial" w:cs="Arial"/>
          <w:sz w:val="22"/>
          <w:szCs w:val="22"/>
        </w:rPr>
      </w:pPr>
      <w:bookmarkStart w:id="41" w:name="_Toc227321158"/>
      <w:r w:rsidRPr="006D2CC3">
        <w:rPr>
          <w:rFonts w:ascii="Arial" w:hAnsi="Arial" w:cs="Arial"/>
          <w:sz w:val="22"/>
          <w:szCs w:val="22"/>
        </w:rPr>
        <w:t>Evidence indicates positive outcomes. 98% of families report feeling welcomed, and 78% are satisfied with services. Data from the Supporting Families Programme (2024) show an average improvement in wellbeing of 0.6 on a 0–5 scale, indicating enhanced wellbeing. Additionally, 51,064 meals were delivered through holiday food programmes, supporting children at risk of food insecurity. These outcomes demonstrate the effectiveness of early intervention and integrated support. However, challenges remain. Workforce capacity and high demand may limit service consistency, while structural factors such as poverty and housing inequality continue to affect long-term outcomes.</w:t>
      </w:r>
      <w:bookmarkEnd w:id="41"/>
    </w:p>
    <w:p w14:paraId="00F66516" w14:textId="469E30BE" w:rsidR="00060206" w:rsidRPr="006D2CC3" w:rsidRDefault="00060206" w:rsidP="00861CC1">
      <w:pPr>
        <w:spacing w:line="360" w:lineRule="auto"/>
        <w:jc w:val="both"/>
        <w:rPr>
          <w:rFonts w:ascii="Arial" w:hAnsi="Arial" w:cs="Arial"/>
          <w:sz w:val="22"/>
          <w:szCs w:val="22"/>
        </w:rPr>
      </w:pPr>
      <w:bookmarkStart w:id="42" w:name="_Toc227321159"/>
      <w:bookmarkStart w:id="43" w:name="_Toc227321233"/>
      <w:r w:rsidRPr="006D2CC3">
        <w:rPr>
          <w:rFonts w:ascii="Arial" w:hAnsi="Arial" w:cs="Arial"/>
          <w:sz w:val="22"/>
          <w:szCs w:val="22"/>
        </w:rPr>
        <w:t xml:space="preserve">To improve effectiveness, </w:t>
      </w:r>
      <w:r w:rsidR="00FE0562" w:rsidRPr="006D2CC3">
        <w:rPr>
          <w:rFonts w:ascii="Arial" w:hAnsi="Arial" w:cs="Arial"/>
          <w:sz w:val="22"/>
          <w:szCs w:val="22"/>
        </w:rPr>
        <w:t xml:space="preserve">recommendations include </w:t>
      </w:r>
      <w:r w:rsidRPr="006D2CC3">
        <w:rPr>
          <w:rFonts w:ascii="Arial" w:hAnsi="Arial" w:cs="Arial"/>
          <w:sz w:val="22"/>
          <w:szCs w:val="22"/>
        </w:rPr>
        <w:t>increased investment in workforce capacity, alongside stronger multi-agency collaboration across health, education and social care. Addressing wider structural determinants would further support sustainable and equitable improvements in child and family wellbeing</w:t>
      </w:r>
      <w:r w:rsidR="00B95A33" w:rsidRPr="006D2CC3">
        <w:rPr>
          <w:rFonts w:ascii="Arial" w:hAnsi="Arial" w:cs="Arial"/>
          <w:sz w:val="22"/>
          <w:szCs w:val="22"/>
        </w:rPr>
        <w:t xml:space="preserve"> (DfE, 2026).</w:t>
      </w:r>
      <w:bookmarkEnd w:id="42"/>
      <w:bookmarkEnd w:id="43"/>
      <w:r w:rsidR="00B95A33" w:rsidRPr="006D2CC3">
        <w:rPr>
          <w:rFonts w:ascii="Arial" w:hAnsi="Arial" w:cs="Arial"/>
          <w:sz w:val="22"/>
          <w:szCs w:val="22"/>
        </w:rPr>
        <w:t xml:space="preserve"> </w:t>
      </w:r>
    </w:p>
    <w:p w14:paraId="27226DBC" w14:textId="7858C7D0" w:rsidR="00120492" w:rsidRPr="00A34AAA" w:rsidRDefault="00120492" w:rsidP="00861CC1">
      <w:pPr>
        <w:pStyle w:val="Heading1"/>
        <w:jc w:val="both"/>
        <w:rPr>
          <w:b/>
          <w:bCs/>
        </w:rPr>
      </w:pPr>
      <w:bookmarkStart w:id="44" w:name="_Toc227321160"/>
      <w:bookmarkStart w:id="45" w:name="_Toc227321234"/>
      <w:bookmarkStart w:id="46" w:name="_Toc227321285"/>
      <w:r w:rsidRPr="00246FBE">
        <w:rPr>
          <w:b/>
          <w:bCs/>
        </w:rPr>
        <w:t>6. Conclusion</w:t>
      </w:r>
      <w:bookmarkEnd w:id="40"/>
      <w:bookmarkEnd w:id="44"/>
      <w:bookmarkEnd w:id="45"/>
      <w:bookmarkEnd w:id="46"/>
      <w:r w:rsidRPr="00246FBE">
        <w:rPr>
          <w:b/>
          <w:bCs/>
        </w:rPr>
        <w:t xml:space="preserve"> </w:t>
      </w:r>
    </w:p>
    <w:p w14:paraId="4EDDBE88" w14:textId="7434CCC1" w:rsidR="00B95A33" w:rsidRDefault="00B95A33" w:rsidP="00E86333">
      <w:pPr>
        <w:spacing w:line="360" w:lineRule="auto"/>
        <w:jc w:val="both"/>
        <w:rPr>
          <w:rFonts w:ascii="Arial" w:hAnsi="Arial" w:cs="Arial"/>
          <w:color w:val="000000" w:themeColor="text1"/>
          <w:sz w:val="22"/>
          <w:szCs w:val="22"/>
        </w:rPr>
      </w:pPr>
      <w:r w:rsidRPr="00B95A33">
        <w:rPr>
          <w:rFonts w:ascii="Arial" w:hAnsi="Arial" w:cs="Arial"/>
          <w:color w:val="000000" w:themeColor="text1"/>
          <w:sz w:val="22"/>
          <w:szCs w:val="22"/>
        </w:rPr>
        <w:t>This report has examined SDGs 3 and 4, highlighting their interconnected role in improving health and wellbeing. While SDG 3 focuses on healthcare and prevention, SDG 4 addresses social determinants through education. Although national and local initiatives show progress, challenges such as inequality, limited resources and implementation issues remain. Achieving sustainable improvements requires a more integrated approach that combines healthcare, education and social policy, alongside addressing structural determinants to reduce inequalities and support long-term wellbeing.</w:t>
      </w:r>
      <w:bookmarkStart w:id="47" w:name="_Toc226727778"/>
    </w:p>
    <w:p w14:paraId="6AF4F415" w14:textId="77777777" w:rsidR="00BF3355" w:rsidRDefault="00BF3355" w:rsidP="00E86333">
      <w:pPr>
        <w:spacing w:line="360" w:lineRule="auto"/>
        <w:jc w:val="both"/>
        <w:rPr>
          <w:rFonts w:ascii="Arial" w:hAnsi="Arial" w:cs="Arial"/>
          <w:color w:val="000000" w:themeColor="text1"/>
          <w:sz w:val="22"/>
          <w:szCs w:val="22"/>
        </w:rPr>
      </w:pPr>
    </w:p>
    <w:p w14:paraId="2E373A98" w14:textId="77777777" w:rsidR="00BF3355" w:rsidRDefault="00BF3355" w:rsidP="00E86333">
      <w:pPr>
        <w:spacing w:line="360" w:lineRule="auto"/>
        <w:jc w:val="both"/>
        <w:rPr>
          <w:rFonts w:ascii="Arial" w:hAnsi="Arial" w:cs="Arial"/>
          <w:color w:val="000000" w:themeColor="text1"/>
          <w:sz w:val="22"/>
          <w:szCs w:val="22"/>
        </w:rPr>
      </w:pPr>
    </w:p>
    <w:p w14:paraId="1742B118" w14:textId="77777777" w:rsidR="00BF3355" w:rsidRDefault="00BF3355" w:rsidP="00E86333">
      <w:pPr>
        <w:spacing w:line="360" w:lineRule="auto"/>
        <w:jc w:val="both"/>
        <w:rPr>
          <w:rFonts w:ascii="Arial" w:hAnsi="Arial" w:cs="Arial"/>
          <w:color w:val="000000" w:themeColor="text1"/>
          <w:sz w:val="22"/>
          <w:szCs w:val="22"/>
        </w:rPr>
      </w:pPr>
    </w:p>
    <w:p w14:paraId="492603AC" w14:textId="77777777" w:rsidR="00443514" w:rsidRDefault="00443514" w:rsidP="00E86333">
      <w:pPr>
        <w:spacing w:line="360" w:lineRule="auto"/>
        <w:jc w:val="both"/>
        <w:rPr>
          <w:rFonts w:ascii="Arial" w:hAnsi="Arial" w:cs="Arial"/>
          <w:color w:val="000000" w:themeColor="text1"/>
          <w:sz w:val="22"/>
          <w:szCs w:val="22"/>
        </w:rPr>
      </w:pPr>
    </w:p>
    <w:p w14:paraId="30BDA083" w14:textId="77777777" w:rsidR="00443514" w:rsidRDefault="00443514" w:rsidP="00E86333">
      <w:pPr>
        <w:spacing w:line="360" w:lineRule="auto"/>
        <w:jc w:val="both"/>
        <w:rPr>
          <w:rFonts w:ascii="Arial" w:hAnsi="Arial" w:cs="Arial"/>
          <w:color w:val="000000" w:themeColor="text1"/>
          <w:sz w:val="22"/>
          <w:szCs w:val="22"/>
        </w:rPr>
      </w:pPr>
    </w:p>
    <w:p w14:paraId="5A0F2151" w14:textId="77777777" w:rsidR="00443514" w:rsidRDefault="00443514" w:rsidP="00E86333">
      <w:pPr>
        <w:spacing w:line="360" w:lineRule="auto"/>
        <w:jc w:val="both"/>
        <w:rPr>
          <w:rFonts w:ascii="Arial" w:hAnsi="Arial" w:cs="Arial"/>
          <w:color w:val="000000" w:themeColor="text1"/>
          <w:sz w:val="22"/>
          <w:szCs w:val="22"/>
        </w:rPr>
      </w:pPr>
    </w:p>
    <w:p w14:paraId="55761C0F" w14:textId="77777777" w:rsidR="00443514" w:rsidRPr="00E86333" w:rsidRDefault="00443514" w:rsidP="00E86333">
      <w:pPr>
        <w:spacing w:line="360" w:lineRule="auto"/>
        <w:jc w:val="both"/>
        <w:rPr>
          <w:rFonts w:ascii="Arial" w:hAnsi="Arial" w:cs="Arial"/>
          <w:color w:val="000000" w:themeColor="text1"/>
          <w:sz w:val="22"/>
          <w:szCs w:val="22"/>
        </w:rPr>
      </w:pPr>
    </w:p>
    <w:p w14:paraId="5CF48F42" w14:textId="4D36EE5B" w:rsidR="00120492" w:rsidRPr="00246FBE" w:rsidRDefault="00120492" w:rsidP="00120492">
      <w:pPr>
        <w:pStyle w:val="Heading1"/>
        <w:rPr>
          <w:b/>
        </w:rPr>
      </w:pPr>
      <w:bookmarkStart w:id="48" w:name="_Toc227321161"/>
      <w:bookmarkStart w:id="49" w:name="_Toc227321235"/>
      <w:bookmarkStart w:id="50" w:name="_Toc227321286"/>
      <w:r w:rsidRPr="00246FBE">
        <w:rPr>
          <w:b/>
        </w:rPr>
        <w:lastRenderedPageBreak/>
        <w:t>References</w:t>
      </w:r>
      <w:bookmarkEnd w:id="47"/>
      <w:bookmarkEnd w:id="48"/>
      <w:bookmarkEnd w:id="49"/>
      <w:bookmarkEnd w:id="50"/>
      <w:r w:rsidRPr="00246FBE">
        <w:rPr>
          <w:b/>
        </w:rPr>
        <w:t xml:space="preserve"> </w:t>
      </w:r>
    </w:p>
    <w:p w14:paraId="2D28C965" w14:textId="77777777" w:rsidR="00120492" w:rsidRPr="00F545BE" w:rsidRDefault="00120492" w:rsidP="00BF3355">
      <w:pPr>
        <w:spacing w:line="276" w:lineRule="auto"/>
        <w:rPr>
          <w:rFonts w:ascii="Arial" w:hAnsi="Arial" w:cs="Arial"/>
          <w:sz w:val="22"/>
          <w:szCs w:val="22"/>
        </w:rPr>
      </w:pPr>
    </w:p>
    <w:p w14:paraId="1B41A217" w14:textId="70F897D5" w:rsidR="00246FBE" w:rsidRPr="00F545BE" w:rsidRDefault="00246FBE" w:rsidP="00BF3355">
      <w:pPr>
        <w:spacing w:line="276" w:lineRule="auto"/>
        <w:ind w:left="360"/>
        <w:rPr>
          <w:rFonts w:ascii="Arial" w:hAnsi="Arial" w:cs="Arial"/>
          <w:sz w:val="22"/>
          <w:szCs w:val="22"/>
        </w:rPr>
      </w:pPr>
      <w:r w:rsidRPr="00F545BE">
        <w:rPr>
          <w:rFonts w:ascii="Arial" w:hAnsi="Arial" w:cs="Arial"/>
          <w:sz w:val="22"/>
          <w:szCs w:val="22"/>
        </w:rPr>
        <w:t xml:space="preserve">Arnold, S. et al. (2025) </w:t>
      </w:r>
      <w:r w:rsidRPr="00F545BE">
        <w:rPr>
          <w:rFonts w:ascii="Arial" w:hAnsi="Arial" w:cs="Arial"/>
          <w:i/>
          <w:iCs/>
          <w:sz w:val="22"/>
          <w:szCs w:val="22"/>
        </w:rPr>
        <w:t xml:space="preserve">Truly fit for the future? The 10 Year Health Plan explained. </w:t>
      </w:r>
      <w:r w:rsidRPr="00F545BE">
        <w:rPr>
          <w:rFonts w:ascii="Arial" w:hAnsi="Arial" w:cs="Arial"/>
          <w:sz w:val="22"/>
          <w:szCs w:val="22"/>
        </w:rPr>
        <w:t xml:space="preserve">Available at: </w:t>
      </w:r>
      <w:hyperlink r:id="rId8" w:history="1">
        <w:r w:rsidRPr="00F545BE">
          <w:rPr>
            <w:rStyle w:val="Hyperlink"/>
            <w:rFonts w:ascii="Arial" w:hAnsi="Arial" w:cs="Arial"/>
            <w:sz w:val="22"/>
            <w:szCs w:val="22"/>
          </w:rPr>
          <w:t>https://www.kingsfund.org.uk/insight-and-analysis/long-reads/ten-year-health-plan-explained</w:t>
        </w:r>
      </w:hyperlink>
      <w:r w:rsidRPr="00F545BE">
        <w:rPr>
          <w:rFonts w:ascii="Arial" w:hAnsi="Arial" w:cs="Arial"/>
          <w:sz w:val="22"/>
          <w:szCs w:val="22"/>
        </w:rPr>
        <w:t xml:space="preserve"> (Accessed date: 10 April 2026).</w:t>
      </w:r>
    </w:p>
    <w:p w14:paraId="10C2E92F" w14:textId="77777777" w:rsidR="00120492" w:rsidRPr="00F545BE" w:rsidRDefault="00120492" w:rsidP="00BF3355">
      <w:pPr>
        <w:spacing w:line="360" w:lineRule="auto"/>
        <w:ind w:left="360"/>
        <w:rPr>
          <w:rFonts w:ascii="Arial" w:hAnsi="Arial" w:cs="Arial"/>
          <w:sz w:val="22"/>
          <w:szCs w:val="22"/>
        </w:rPr>
      </w:pPr>
      <w:r w:rsidRPr="00F545BE">
        <w:rPr>
          <w:rFonts w:ascii="Arial" w:hAnsi="Arial" w:cs="Arial"/>
          <w:sz w:val="22"/>
          <w:szCs w:val="22"/>
        </w:rPr>
        <w:t xml:space="preserve">Bae, Y. and Kim, T. (2023) ‘The </w:t>
      </w:r>
      <w:proofErr w:type="spellStart"/>
      <w:r w:rsidRPr="00F545BE">
        <w:rPr>
          <w:rFonts w:ascii="Arial" w:hAnsi="Arial" w:cs="Arial"/>
          <w:sz w:val="22"/>
          <w:szCs w:val="22"/>
        </w:rPr>
        <w:t>labor</w:t>
      </w:r>
      <w:proofErr w:type="spellEnd"/>
      <w:r w:rsidRPr="00F545BE">
        <w:rPr>
          <w:rFonts w:ascii="Arial" w:hAnsi="Arial" w:cs="Arial"/>
          <w:sz w:val="22"/>
          <w:szCs w:val="22"/>
        </w:rPr>
        <w:t xml:space="preserve"> market impacts of graduating from university during a recession: evidence and mechanisms’, </w:t>
      </w:r>
      <w:r w:rsidRPr="00F545BE">
        <w:rPr>
          <w:rFonts w:ascii="Arial" w:hAnsi="Arial" w:cs="Arial"/>
          <w:i/>
          <w:iCs/>
          <w:sz w:val="22"/>
          <w:szCs w:val="22"/>
        </w:rPr>
        <w:t>Empirical economics,</w:t>
      </w:r>
      <w:r w:rsidRPr="00F545BE">
        <w:rPr>
          <w:rFonts w:ascii="Arial" w:hAnsi="Arial" w:cs="Arial"/>
          <w:sz w:val="22"/>
          <w:szCs w:val="22"/>
        </w:rPr>
        <w:t xml:space="preserve"> 64(2), pp. 931–958. Available at: </w:t>
      </w:r>
      <w:hyperlink r:id="rId9" w:history="1">
        <w:r w:rsidRPr="00F545BE">
          <w:rPr>
            <w:rStyle w:val="Hyperlink"/>
            <w:rFonts w:ascii="Arial" w:hAnsi="Arial" w:cs="Arial"/>
            <w:sz w:val="22"/>
            <w:szCs w:val="22"/>
          </w:rPr>
          <w:t>https://doi.org/10.1007/s00181-022-02260-2</w:t>
        </w:r>
      </w:hyperlink>
      <w:r w:rsidRPr="00F545BE">
        <w:rPr>
          <w:rFonts w:ascii="Arial" w:hAnsi="Arial" w:cs="Arial"/>
          <w:sz w:val="22"/>
          <w:szCs w:val="22"/>
        </w:rPr>
        <w:t xml:space="preserve">. </w:t>
      </w:r>
    </w:p>
    <w:p w14:paraId="20785A1C" w14:textId="77777777" w:rsidR="00120492" w:rsidRPr="00F545BE" w:rsidRDefault="00120492" w:rsidP="00BF3355">
      <w:pPr>
        <w:spacing w:line="360" w:lineRule="auto"/>
        <w:ind w:left="360"/>
        <w:rPr>
          <w:rFonts w:ascii="Arial" w:hAnsi="Arial" w:cs="Arial"/>
          <w:sz w:val="22"/>
          <w:szCs w:val="22"/>
        </w:rPr>
      </w:pPr>
      <w:r w:rsidRPr="00F545BE">
        <w:rPr>
          <w:rFonts w:ascii="Arial" w:hAnsi="Arial" w:cs="Arial"/>
          <w:sz w:val="22"/>
          <w:szCs w:val="22"/>
        </w:rPr>
        <w:t>Belcastro, P.A. and Ramsaroop</w:t>
      </w:r>
      <w:r w:rsidRPr="00F545BE">
        <w:rPr>
          <w:rFonts w:ascii="Cambria Math" w:hAnsi="Cambria Math" w:cs="Cambria Math"/>
          <w:sz w:val="22"/>
          <w:szCs w:val="22"/>
        </w:rPr>
        <w:t>‐</w:t>
      </w:r>
      <w:r w:rsidRPr="00F545BE">
        <w:rPr>
          <w:rFonts w:ascii="Arial" w:hAnsi="Arial" w:cs="Arial"/>
          <w:sz w:val="22"/>
          <w:szCs w:val="22"/>
        </w:rPr>
        <w:t xml:space="preserve">Hansen, H. (2017) ‘Addressing the Antinomy Between Health Education and Health Literacy in Advancing Personal Health and Public Health Outcomes’, </w:t>
      </w:r>
      <w:r w:rsidRPr="00F545BE">
        <w:rPr>
          <w:rFonts w:ascii="Arial" w:hAnsi="Arial" w:cs="Arial"/>
          <w:i/>
          <w:iCs/>
          <w:sz w:val="22"/>
          <w:szCs w:val="22"/>
        </w:rPr>
        <w:t>The Journal of school health</w:t>
      </w:r>
      <w:r w:rsidRPr="00F545BE">
        <w:rPr>
          <w:rFonts w:ascii="Arial" w:hAnsi="Arial" w:cs="Arial"/>
          <w:sz w:val="22"/>
          <w:szCs w:val="22"/>
        </w:rPr>
        <w:t xml:space="preserve">, 87(12), pp. 968–974. Available at: </w:t>
      </w:r>
      <w:hyperlink r:id="rId10" w:history="1">
        <w:r w:rsidRPr="00F545BE">
          <w:rPr>
            <w:rStyle w:val="Hyperlink"/>
            <w:rFonts w:ascii="Arial" w:hAnsi="Arial" w:cs="Arial"/>
            <w:sz w:val="22"/>
            <w:szCs w:val="22"/>
          </w:rPr>
          <w:t>https://doi.org/10.1111/josh.12570</w:t>
        </w:r>
      </w:hyperlink>
      <w:r w:rsidRPr="00F545BE">
        <w:rPr>
          <w:rFonts w:ascii="Arial" w:hAnsi="Arial" w:cs="Arial"/>
          <w:sz w:val="22"/>
          <w:szCs w:val="22"/>
        </w:rPr>
        <w:t xml:space="preserve">. </w:t>
      </w:r>
    </w:p>
    <w:p w14:paraId="20A95501" w14:textId="77777777" w:rsidR="002F4130" w:rsidRDefault="00120492" w:rsidP="00BF3355">
      <w:pPr>
        <w:spacing w:line="360" w:lineRule="auto"/>
        <w:ind w:left="360"/>
        <w:rPr>
          <w:rFonts w:ascii="Arial" w:hAnsi="Arial" w:cs="Arial"/>
          <w:sz w:val="22"/>
          <w:szCs w:val="22"/>
        </w:rPr>
      </w:pPr>
      <w:r w:rsidRPr="00F545BE">
        <w:rPr>
          <w:rFonts w:ascii="Arial" w:hAnsi="Arial" w:cs="Arial"/>
          <w:sz w:val="22"/>
          <w:szCs w:val="22"/>
        </w:rPr>
        <w:t xml:space="preserve">Calcutt, J. (2025) ‘Mindful inclusion: strategies for holistic wellbeing in schools’, </w:t>
      </w:r>
      <w:r w:rsidRPr="00F545BE">
        <w:rPr>
          <w:rFonts w:ascii="Arial" w:hAnsi="Arial" w:cs="Arial"/>
          <w:i/>
          <w:iCs/>
          <w:sz w:val="22"/>
          <w:szCs w:val="22"/>
        </w:rPr>
        <w:t>Frontiers in education (Lausanne),</w:t>
      </w:r>
      <w:r w:rsidRPr="00F545BE">
        <w:rPr>
          <w:rFonts w:ascii="Arial" w:hAnsi="Arial" w:cs="Arial"/>
          <w:sz w:val="22"/>
          <w:szCs w:val="22"/>
        </w:rPr>
        <w:t xml:space="preserve"> 10. Available at: </w:t>
      </w:r>
      <w:hyperlink r:id="rId11" w:history="1">
        <w:r w:rsidRPr="00F545BE">
          <w:rPr>
            <w:rStyle w:val="Hyperlink"/>
            <w:rFonts w:ascii="Arial" w:hAnsi="Arial" w:cs="Arial"/>
            <w:sz w:val="22"/>
            <w:szCs w:val="22"/>
          </w:rPr>
          <w:t>https://doi.org/10.3389/feduc.2025.1638482</w:t>
        </w:r>
      </w:hyperlink>
      <w:r w:rsidRPr="00F545BE">
        <w:rPr>
          <w:rFonts w:ascii="Arial" w:hAnsi="Arial" w:cs="Arial"/>
          <w:sz w:val="22"/>
          <w:szCs w:val="22"/>
        </w:rPr>
        <w:t xml:space="preserve">. </w:t>
      </w:r>
    </w:p>
    <w:p w14:paraId="251CF570" w14:textId="000993EB" w:rsidR="002F4130" w:rsidRPr="00F545BE" w:rsidRDefault="002F4130" w:rsidP="00BF3355">
      <w:pPr>
        <w:spacing w:line="360" w:lineRule="auto"/>
        <w:ind w:left="360"/>
        <w:rPr>
          <w:rFonts w:ascii="Arial" w:hAnsi="Arial" w:cs="Arial"/>
          <w:sz w:val="22"/>
          <w:szCs w:val="22"/>
        </w:rPr>
      </w:pPr>
      <w:r w:rsidRPr="002F4130">
        <w:rPr>
          <w:rFonts w:ascii="Arial" w:hAnsi="Arial" w:cs="Arial"/>
          <w:sz w:val="22"/>
          <w:szCs w:val="22"/>
        </w:rPr>
        <w:t xml:space="preserve">Charlesworth, A., Rachet-Jacquet, L. and Rocks, S. (2024) </w:t>
      </w:r>
      <w:r>
        <w:rPr>
          <w:rFonts w:ascii="Arial" w:hAnsi="Arial" w:cs="Arial"/>
          <w:sz w:val="22"/>
          <w:szCs w:val="22"/>
        </w:rPr>
        <w:t>‘</w:t>
      </w:r>
      <w:r w:rsidRPr="002F4130">
        <w:rPr>
          <w:rFonts w:ascii="Arial" w:hAnsi="Arial" w:cs="Arial"/>
          <w:sz w:val="22"/>
          <w:szCs w:val="22"/>
        </w:rPr>
        <w:t>Short of capacity? Why the government must address the capacity constraints in the English National Health Service</w:t>
      </w:r>
      <w:r>
        <w:rPr>
          <w:rFonts w:ascii="Arial" w:hAnsi="Arial" w:cs="Arial"/>
          <w:sz w:val="22"/>
          <w:szCs w:val="22"/>
        </w:rPr>
        <w:t xml:space="preserve">’, </w:t>
      </w:r>
      <w:r w:rsidRPr="002F4130">
        <w:rPr>
          <w:rFonts w:ascii="Arial" w:hAnsi="Arial" w:cs="Arial"/>
          <w:i/>
          <w:iCs/>
          <w:sz w:val="22"/>
          <w:szCs w:val="22"/>
        </w:rPr>
        <w:t>Health affairs scholar</w:t>
      </w:r>
      <w:r w:rsidRPr="002F4130">
        <w:rPr>
          <w:rFonts w:ascii="Arial" w:hAnsi="Arial" w:cs="Arial"/>
          <w:sz w:val="22"/>
          <w:szCs w:val="22"/>
        </w:rPr>
        <w:t xml:space="preserve">, 2(1), p. qxad091. Available at: </w:t>
      </w:r>
      <w:hyperlink r:id="rId12" w:history="1">
        <w:r w:rsidRPr="008A02EE">
          <w:rPr>
            <w:rStyle w:val="Hyperlink"/>
            <w:rFonts w:ascii="Arial" w:hAnsi="Arial" w:cs="Arial"/>
            <w:sz w:val="22"/>
            <w:szCs w:val="22"/>
          </w:rPr>
          <w:t>https://doi.org/10.1093/haschl/qxad091</w:t>
        </w:r>
      </w:hyperlink>
      <w:r w:rsidRPr="002F4130">
        <w:rPr>
          <w:rFonts w:ascii="Arial" w:hAnsi="Arial" w:cs="Arial"/>
          <w:sz w:val="22"/>
          <w:szCs w:val="22"/>
        </w:rPr>
        <w:t>.</w:t>
      </w:r>
      <w:r>
        <w:rPr>
          <w:rFonts w:ascii="Arial" w:hAnsi="Arial" w:cs="Arial"/>
          <w:sz w:val="22"/>
          <w:szCs w:val="22"/>
        </w:rPr>
        <w:t xml:space="preserve"> </w:t>
      </w:r>
    </w:p>
    <w:p w14:paraId="7664B15B" w14:textId="117DE2B0" w:rsidR="00120492" w:rsidRDefault="00120492" w:rsidP="00BF3355">
      <w:pPr>
        <w:spacing w:line="360" w:lineRule="auto"/>
        <w:ind w:left="360"/>
        <w:rPr>
          <w:rFonts w:ascii="Arial" w:hAnsi="Arial" w:cs="Arial"/>
          <w:sz w:val="22"/>
          <w:szCs w:val="22"/>
        </w:rPr>
      </w:pPr>
      <w:r w:rsidRPr="00F545BE">
        <w:rPr>
          <w:rFonts w:ascii="Arial" w:hAnsi="Arial" w:cs="Arial"/>
          <w:sz w:val="22"/>
          <w:szCs w:val="22"/>
        </w:rPr>
        <w:t xml:space="preserve">Davies, N.M. et al. (2019) ‘Multivariable two-sample Mendelian randomization estimates of the effects of intelligence and education on health’, </w:t>
      </w:r>
      <w:proofErr w:type="spellStart"/>
      <w:r w:rsidRPr="00F545BE">
        <w:rPr>
          <w:rFonts w:ascii="Arial" w:hAnsi="Arial" w:cs="Arial"/>
          <w:i/>
          <w:iCs/>
          <w:sz w:val="22"/>
          <w:szCs w:val="22"/>
        </w:rPr>
        <w:t>eLife</w:t>
      </w:r>
      <w:proofErr w:type="spellEnd"/>
      <w:r w:rsidRPr="00F545BE">
        <w:rPr>
          <w:rFonts w:ascii="Arial" w:hAnsi="Arial" w:cs="Arial"/>
          <w:i/>
          <w:iCs/>
          <w:sz w:val="22"/>
          <w:szCs w:val="22"/>
        </w:rPr>
        <w:t>,</w:t>
      </w:r>
      <w:r w:rsidRPr="00F545BE">
        <w:rPr>
          <w:rFonts w:ascii="Arial" w:hAnsi="Arial" w:cs="Arial"/>
          <w:sz w:val="22"/>
          <w:szCs w:val="22"/>
        </w:rPr>
        <w:t xml:space="preserve"> 8. Available at: </w:t>
      </w:r>
      <w:hyperlink r:id="rId13" w:history="1">
        <w:r w:rsidR="00B95A33" w:rsidRPr="008A02EE">
          <w:rPr>
            <w:rStyle w:val="Hyperlink"/>
            <w:rFonts w:ascii="Arial" w:hAnsi="Arial" w:cs="Arial"/>
            <w:sz w:val="22"/>
            <w:szCs w:val="22"/>
          </w:rPr>
          <w:t>https://doi.org/10.7554/eLife.43990</w:t>
        </w:r>
      </w:hyperlink>
      <w:r w:rsidRPr="00F545BE">
        <w:rPr>
          <w:rFonts w:ascii="Arial" w:hAnsi="Arial" w:cs="Arial"/>
          <w:sz w:val="22"/>
          <w:szCs w:val="22"/>
        </w:rPr>
        <w:t>.</w:t>
      </w:r>
    </w:p>
    <w:p w14:paraId="246587F6" w14:textId="1DC66672" w:rsidR="00B95A33" w:rsidRPr="00F545BE" w:rsidRDefault="00B95A33" w:rsidP="00BF3355">
      <w:pPr>
        <w:spacing w:line="276" w:lineRule="auto"/>
        <w:ind w:left="360"/>
        <w:rPr>
          <w:rFonts w:ascii="Arial" w:hAnsi="Arial" w:cs="Arial"/>
          <w:sz w:val="22"/>
          <w:szCs w:val="22"/>
        </w:rPr>
      </w:pPr>
      <w:r>
        <w:rPr>
          <w:rFonts w:ascii="Arial" w:hAnsi="Arial" w:cs="Arial"/>
          <w:sz w:val="22"/>
          <w:szCs w:val="22"/>
        </w:rPr>
        <w:t xml:space="preserve">DfE (2026) </w:t>
      </w:r>
      <w:r w:rsidRPr="00B95A33">
        <w:rPr>
          <w:rFonts w:ascii="Arial" w:hAnsi="Arial" w:cs="Arial"/>
          <w:i/>
          <w:iCs/>
          <w:sz w:val="22"/>
          <w:szCs w:val="22"/>
        </w:rPr>
        <w:t>The Families First Partnership (FFP) Programme Guide</w:t>
      </w:r>
      <w:r>
        <w:rPr>
          <w:rFonts w:ascii="Arial" w:hAnsi="Arial" w:cs="Arial"/>
          <w:i/>
          <w:iCs/>
          <w:sz w:val="22"/>
          <w:szCs w:val="22"/>
        </w:rPr>
        <w:t xml:space="preserve">. </w:t>
      </w:r>
      <w:r w:rsidRPr="00F545BE">
        <w:rPr>
          <w:rFonts w:ascii="Arial" w:hAnsi="Arial" w:cs="Arial"/>
          <w:sz w:val="22"/>
          <w:szCs w:val="22"/>
        </w:rPr>
        <w:t xml:space="preserve">Available at: </w:t>
      </w:r>
      <w:hyperlink r:id="rId14" w:history="1">
        <w:r w:rsidRPr="008A02EE">
          <w:rPr>
            <w:rStyle w:val="Hyperlink"/>
            <w:rFonts w:ascii="Arial" w:hAnsi="Arial" w:cs="Arial"/>
            <w:sz w:val="22"/>
            <w:szCs w:val="22"/>
          </w:rPr>
          <w:t>https://assets.publishing.service.gov.uk/media/69de5281b0b0b93055e04f92/Families_first_partnership_programme_guide_year_2.pdf</w:t>
        </w:r>
      </w:hyperlink>
      <w:r>
        <w:rPr>
          <w:rFonts w:ascii="Arial" w:hAnsi="Arial" w:cs="Arial"/>
          <w:sz w:val="22"/>
          <w:szCs w:val="22"/>
        </w:rPr>
        <w:t xml:space="preserve"> </w:t>
      </w:r>
      <w:r w:rsidRPr="00F545BE">
        <w:rPr>
          <w:rFonts w:ascii="Arial" w:hAnsi="Arial" w:cs="Arial"/>
          <w:sz w:val="22"/>
          <w:szCs w:val="22"/>
        </w:rPr>
        <w:t>(Accessed date: 1 April 2026).</w:t>
      </w:r>
    </w:p>
    <w:p w14:paraId="0FF4DBCF" w14:textId="77777777" w:rsidR="00120492" w:rsidRPr="00F545BE" w:rsidRDefault="00120492" w:rsidP="00BF3355">
      <w:pPr>
        <w:spacing w:line="276" w:lineRule="auto"/>
        <w:ind w:left="360"/>
        <w:rPr>
          <w:rFonts w:ascii="Arial" w:hAnsi="Arial" w:cs="Arial"/>
          <w:sz w:val="22"/>
          <w:szCs w:val="22"/>
        </w:rPr>
      </w:pPr>
      <w:r w:rsidRPr="00B05447">
        <w:rPr>
          <w:rFonts w:ascii="Arial" w:hAnsi="Arial" w:cs="Arial"/>
          <w:sz w:val="22"/>
          <w:szCs w:val="22"/>
          <w:lang w:val="nl-NL"/>
        </w:rPr>
        <w:t xml:space="preserve">Ferrando, M.R. et al. </w:t>
      </w:r>
      <w:r w:rsidRPr="00F545BE">
        <w:rPr>
          <w:rFonts w:ascii="Arial" w:hAnsi="Arial" w:cs="Arial"/>
          <w:sz w:val="22"/>
          <w:szCs w:val="22"/>
        </w:rPr>
        <w:t xml:space="preserve">(2025) ‘Sustainable development goals: a call for future internal medicine’, </w:t>
      </w:r>
      <w:r w:rsidRPr="00F545BE">
        <w:rPr>
          <w:rFonts w:ascii="Arial" w:hAnsi="Arial" w:cs="Arial"/>
          <w:i/>
          <w:iCs/>
          <w:sz w:val="22"/>
          <w:szCs w:val="22"/>
        </w:rPr>
        <w:t>Internal and emergency medicine,</w:t>
      </w:r>
      <w:r w:rsidRPr="00F545BE">
        <w:rPr>
          <w:rFonts w:ascii="Arial" w:hAnsi="Arial" w:cs="Arial"/>
          <w:sz w:val="22"/>
          <w:szCs w:val="22"/>
        </w:rPr>
        <w:t xml:space="preserve"> 20(5), pp. 1329–1338. Available at: </w:t>
      </w:r>
      <w:hyperlink r:id="rId15" w:history="1">
        <w:r w:rsidRPr="00F545BE">
          <w:rPr>
            <w:rStyle w:val="Hyperlink"/>
            <w:rFonts w:ascii="Arial" w:hAnsi="Arial" w:cs="Arial"/>
            <w:sz w:val="22"/>
            <w:szCs w:val="22"/>
          </w:rPr>
          <w:t>https://doi.org/10.1007/s11739-025-03941-3</w:t>
        </w:r>
      </w:hyperlink>
      <w:r w:rsidRPr="00F545BE">
        <w:rPr>
          <w:rFonts w:ascii="Arial" w:hAnsi="Arial" w:cs="Arial"/>
          <w:sz w:val="22"/>
          <w:szCs w:val="22"/>
        </w:rPr>
        <w:t xml:space="preserve">. </w:t>
      </w:r>
    </w:p>
    <w:p w14:paraId="3FA14F51" w14:textId="77777777" w:rsidR="00120492" w:rsidRDefault="00120492" w:rsidP="00BF3355">
      <w:pPr>
        <w:spacing w:line="360" w:lineRule="auto"/>
        <w:ind w:left="360"/>
        <w:rPr>
          <w:rFonts w:ascii="Arial" w:hAnsi="Arial" w:cs="Arial"/>
          <w:sz w:val="22"/>
          <w:szCs w:val="22"/>
        </w:rPr>
      </w:pPr>
      <w:r w:rsidRPr="00F545BE">
        <w:rPr>
          <w:rFonts w:ascii="Arial" w:hAnsi="Arial" w:cs="Arial"/>
          <w:sz w:val="22"/>
          <w:szCs w:val="22"/>
        </w:rPr>
        <w:t xml:space="preserve">Filip, R. et al. (2022) ‘Global Challenges to Public Health Care Systems during the COVID-19 Pandemic: A Review of Pandemic Measures and Problems’, </w:t>
      </w:r>
      <w:r w:rsidRPr="00F545BE">
        <w:rPr>
          <w:rFonts w:ascii="Arial" w:hAnsi="Arial" w:cs="Arial"/>
          <w:i/>
          <w:iCs/>
          <w:sz w:val="22"/>
          <w:szCs w:val="22"/>
        </w:rPr>
        <w:t>Journal of personalized medicine</w:t>
      </w:r>
      <w:r w:rsidRPr="00F545BE">
        <w:rPr>
          <w:rFonts w:ascii="Arial" w:hAnsi="Arial" w:cs="Arial"/>
          <w:sz w:val="22"/>
          <w:szCs w:val="22"/>
        </w:rPr>
        <w:t xml:space="preserve">, 12(8), p. 1295. Available at: </w:t>
      </w:r>
      <w:hyperlink r:id="rId16" w:history="1">
        <w:r w:rsidRPr="00F545BE">
          <w:rPr>
            <w:rStyle w:val="Hyperlink"/>
            <w:rFonts w:ascii="Arial" w:hAnsi="Arial" w:cs="Arial"/>
            <w:sz w:val="22"/>
            <w:szCs w:val="22"/>
          </w:rPr>
          <w:t>https://doi.org/10.3390/jpm12081295</w:t>
        </w:r>
      </w:hyperlink>
      <w:r w:rsidRPr="00F545BE">
        <w:rPr>
          <w:rFonts w:ascii="Arial" w:hAnsi="Arial" w:cs="Arial"/>
          <w:sz w:val="22"/>
          <w:szCs w:val="22"/>
        </w:rPr>
        <w:t xml:space="preserve">. </w:t>
      </w:r>
    </w:p>
    <w:p w14:paraId="313D04AA" w14:textId="033C948A" w:rsidR="00E03819" w:rsidRDefault="00E03819" w:rsidP="00BF3355">
      <w:pPr>
        <w:spacing w:line="276" w:lineRule="auto"/>
        <w:ind w:left="360"/>
        <w:rPr>
          <w:rFonts w:ascii="Arial" w:hAnsi="Arial" w:cs="Arial"/>
          <w:sz w:val="22"/>
          <w:szCs w:val="22"/>
        </w:rPr>
      </w:pPr>
      <w:r w:rsidRPr="00E03819">
        <w:rPr>
          <w:rFonts w:ascii="Arial" w:hAnsi="Arial" w:cs="Arial"/>
          <w:sz w:val="22"/>
          <w:szCs w:val="22"/>
        </w:rPr>
        <w:t xml:space="preserve">Health </w:t>
      </w:r>
      <w:proofErr w:type="gramStart"/>
      <w:r w:rsidRPr="00E03819">
        <w:rPr>
          <w:rFonts w:ascii="Arial" w:hAnsi="Arial" w:cs="Arial"/>
          <w:sz w:val="22"/>
          <w:szCs w:val="22"/>
        </w:rPr>
        <w:t>at a Glance</w:t>
      </w:r>
      <w:proofErr w:type="gramEnd"/>
      <w:r>
        <w:rPr>
          <w:rFonts w:ascii="Arial" w:hAnsi="Arial" w:cs="Arial"/>
          <w:sz w:val="22"/>
          <w:szCs w:val="22"/>
        </w:rPr>
        <w:t xml:space="preserve"> (</w:t>
      </w:r>
      <w:r w:rsidRPr="00E03819">
        <w:rPr>
          <w:rFonts w:ascii="Arial" w:hAnsi="Arial" w:cs="Arial"/>
          <w:sz w:val="22"/>
          <w:szCs w:val="22"/>
        </w:rPr>
        <w:t>2025)</w:t>
      </w:r>
      <w:r>
        <w:rPr>
          <w:rFonts w:ascii="Arial" w:hAnsi="Arial" w:cs="Arial"/>
          <w:sz w:val="22"/>
          <w:szCs w:val="22"/>
        </w:rPr>
        <w:t xml:space="preserve"> </w:t>
      </w:r>
      <w:r w:rsidRPr="00E03819">
        <w:rPr>
          <w:rFonts w:ascii="Arial" w:hAnsi="Arial" w:cs="Arial"/>
          <w:i/>
          <w:iCs/>
          <w:sz w:val="22"/>
          <w:szCs w:val="22"/>
        </w:rPr>
        <w:t>United Kingdom</w:t>
      </w:r>
      <w:r>
        <w:rPr>
          <w:rFonts w:ascii="Arial" w:hAnsi="Arial" w:cs="Arial"/>
          <w:i/>
          <w:iCs/>
          <w:sz w:val="22"/>
          <w:szCs w:val="22"/>
        </w:rPr>
        <w:t xml:space="preserve">. </w:t>
      </w:r>
      <w:r w:rsidRPr="00F545BE">
        <w:rPr>
          <w:rFonts w:ascii="Arial" w:hAnsi="Arial" w:cs="Arial"/>
          <w:sz w:val="22"/>
          <w:szCs w:val="22"/>
        </w:rPr>
        <w:t xml:space="preserve">Available at: </w:t>
      </w:r>
      <w:hyperlink r:id="rId17" w:history="1">
        <w:r w:rsidRPr="008A02EE">
          <w:rPr>
            <w:rStyle w:val="Hyperlink"/>
            <w:rFonts w:ascii="Arial" w:hAnsi="Arial" w:cs="Arial"/>
            <w:sz w:val="22"/>
            <w:szCs w:val="22"/>
          </w:rPr>
          <w:t>https://www.oecd.org/content/dam/oecd/en/publications/reports/2025/11/health-at-a-glance-2025-country-notes_2f94481e/united-kingdom_145ab487/82034050-en.pdf</w:t>
        </w:r>
      </w:hyperlink>
      <w:r>
        <w:rPr>
          <w:rFonts w:ascii="Arial" w:hAnsi="Arial" w:cs="Arial"/>
          <w:sz w:val="22"/>
          <w:szCs w:val="22"/>
        </w:rPr>
        <w:t xml:space="preserve"> </w:t>
      </w:r>
      <w:r w:rsidRPr="00F545BE">
        <w:rPr>
          <w:rFonts w:ascii="Arial" w:hAnsi="Arial" w:cs="Arial"/>
          <w:sz w:val="22"/>
          <w:szCs w:val="22"/>
        </w:rPr>
        <w:t>(Accessed date: 1 April 2026).</w:t>
      </w:r>
    </w:p>
    <w:p w14:paraId="79C1C978" w14:textId="3E356A23" w:rsidR="0041357A" w:rsidRPr="00F545BE" w:rsidRDefault="0041357A" w:rsidP="00BF3355">
      <w:pPr>
        <w:spacing w:line="276" w:lineRule="auto"/>
        <w:ind w:left="360"/>
        <w:rPr>
          <w:rFonts w:ascii="Arial" w:hAnsi="Arial" w:cs="Arial"/>
          <w:sz w:val="22"/>
          <w:szCs w:val="22"/>
        </w:rPr>
      </w:pPr>
      <w:r w:rsidRPr="0041357A">
        <w:rPr>
          <w:rFonts w:ascii="Arial" w:hAnsi="Arial" w:cs="Arial"/>
          <w:sz w:val="22"/>
          <w:szCs w:val="22"/>
        </w:rPr>
        <w:lastRenderedPageBreak/>
        <w:t>Godziewski</w:t>
      </w:r>
      <w:r>
        <w:rPr>
          <w:rFonts w:ascii="Arial" w:hAnsi="Arial" w:cs="Arial"/>
          <w:sz w:val="22"/>
          <w:szCs w:val="22"/>
        </w:rPr>
        <w:t>, S. (</w:t>
      </w:r>
      <w:r w:rsidRPr="0041357A">
        <w:rPr>
          <w:rFonts w:ascii="Arial" w:hAnsi="Arial" w:cs="Arial"/>
          <w:sz w:val="22"/>
          <w:szCs w:val="22"/>
        </w:rPr>
        <w:t>2020)</w:t>
      </w:r>
      <w:r>
        <w:rPr>
          <w:rFonts w:ascii="Arial" w:hAnsi="Arial" w:cs="Arial"/>
          <w:sz w:val="22"/>
          <w:szCs w:val="22"/>
        </w:rPr>
        <w:t xml:space="preserve"> </w:t>
      </w:r>
      <w:r w:rsidRPr="0041357A">
        <w:rPr>
          <w:rFonts w:ascii="Arial" w:hAnsi="Arial" w:cs="Arial"/>
          <w:i/>
          <w:iCs/>
          <w:sz w:val="22"/>
          <w:szCs w:val="22"/>
        </w:rPr>
        <w:t>Obesity strategy: policies placing responsibility on individuals don’t work – so why does the government keep using them?</w:t>
      </w:r>
      <w:r w:rsidRPr="0041357A">
        <w:rPr>
          <w:rFonts w:ascii="Arial" w:hAnsi="Arial" w:cs="Arial"/>
          <w:sz w:val="22"/>
          <w:szCs w:val="22"/>
        </w:rPr>
        <w:t xml:space="preserve"> </w:t>
      </w:r>
      <w:r w:rsidRPr="00F545BE">
        <w:rPr>
          <w:rFonts w:ascii="Arial" w:hAnsi="Arial" w:cs="Arial"/>
          <w:sz w:val="22"/>
          <w:szCs w:val="22"/>
        </w:rPr>
        <w:t xml:space="preserve">Available at: </w:t>
      </w:r>
      <w:hyperlink r:id="rId18" w:anchor=":~:text=While%20some%20of%20the%20proposed,the%20other%20drivers%20of%20obesity" w:history="1">
        <w:r w:rsidRPr="008A02EE">
          <w:rPr>
            <w:rStyle w:val="Hyperlink"/>
            <w:rFonts w:ascii="Arial" w:hAnsi="Arial" w:cs="Arial"/>
            <w:sz w:val="22"/>
            <w:szCs w:val="22"/>
          </w:rPr>
          <w:t>https://theconversation.com/obesity-strategy-policies-placing-responsibility-on-individuals-dont-work-so-why-does-the-government-keep-using-them-144310#:~:text=While%20some%20of%20the%20proposed,the%20other%20drivers%20of%20obesity</w:t>
        </w:r>
      </w:hyperlink>
      <w:r>
        <w:rPr>
          <w:rFonts w:ascii="Arial" w:hAnsi="Arial" w:cs="Arial"/>
          <w:sz w:val="22"/>
          <w:szCs w:val="22"/>
        </w:rPr>
        <w:t xml:space="preserve"> </w:t>
      </w:r>
      <w:r w:rsidRPr="00F545BE">
        <w:rPr>
          <w:rFonts w:ascii="Arial" w:hAnsi="Arial" w:cs="Arial"/>
          <w:sz w:val="22"/>
          <w:szCs w:val="22"/>
        </w:rPr>
        <w:t>(Accessed date: 1</w:t>
      </w:r>
      <w:r>
        <w:rPr>
          <w:rFonts w:ascii="Arial" w:hAnsi="Arial" w:cs="Arial"/>
          <w:sz w:val="22"/>
          <w:szCs w:val="22"/>
        </w:rPr>
        <w:t>5</w:t>
      </w:r>
      <w:r w:rsidRPr="00F545BE">
        <w:rPr>
          <w:rFonts w:ascii="Arial" w:hAnsi="Arial" w:cs="Arial"/>
          <w:sz w:val="22"/>
          <w:szCs w:val="22"/>
        </w:rPr>
        <w:t xml:space="preserve"> April 2026).</w:t>
      </w:r>
    </w:p>
    <w:p w14:paraId="2A6CBC54"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GOV.UK (2022) </w:t>
      </w:r>
      <w:r w:rsidRPr="00F545BE">
        <w:rPr>
          <w:rFonts w:ascii="Arial" w:hAnsi="Arial" w:cs="Arial"/>
          <w:i/>
          <w:iCs/>
          <w:sz w:val="22"/>
          <w:szCs w:val="22"/>
        </w:rPr>
        <w:t xml:space="preserve">New campaign launch reveals 6 major health benefits to losing weight. </w:t>
      </w:r>
      <w:r w:rsidRPr="00F545BE">
        <w:rPr>
          <w:rFonts w:ascii="Arial" w:hAnsi="Arial" w:cs="Arial"/>
          <w:sz w:val="22"/>
          <w:szCs w:val="22"/>
        </w:rPr>
        <w:t xml:space="preserve">Available at: </w:t>
      </w:r>
      <w:hyperlink r:id="rId19" w:history="1">
        <w:r w:rsidRPr="00F545BE">
          <w:rPr>
            <w:rStyle w:val="Hyperlink"/>
            <w:rFonts w:ascii="Arial" w:hAnsi="Arial" w:cs="Arial"/>
            <w:sz w:val="22"/>
            <w:szCs w:val="22"/>
          </w:rPr>
          <w:t>https://www.gov.uk/government/news/new-campaign-launch-reveals-six-major-health-benefits-to-losing-weight</w:t>
        </w:r>
      </w:hyperlink>
      <w:r w:rsidRPr="00F545BE">
        <w:rPr>
          <w:rFonts w:ascii="Arial" w:hAnsi="Arial" w:cs="Arial"/>
          <w:sz w:val="22"/>
          <w:szCs w:val="22"/>
        </w:rPr>
        <w:t xml:space="preserve"> (Accessed date: 1 April 2026).</w:t>
      </w:r>
    </w:p>
    <w:p w14:paraId="523C2370" w14:textId="77777777" w:rsidR="00096BA3"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Institute of Health Equity (2020) </w:t>
      </w:r>
      <w:r w:rsidRPr="00F545BE">
        <w:rPr>
          <w:rFonts w:ascii="Arial" w:hAnsi="Arial" w:cs="Arial"/>
          <w:i/>
          <w:iCs/>
          <w:sz w:val="22"/>
          <w:szCs w:val="22"/>
        </w:rPr>
        <w:t xml:space="preserve">Marmot Review 10 Years On. </w:t>
      </w:r>
      <w:r w:rsidRPr="00F545BE">
        <w:rPr>
          <w:rFonts w:ascii="Arial" w:hAnsi="Arial" w:cs="Arial"/>
          <w:sz w:val="22"/>
          <w:szCs w:val="22"/>
        </w:rPr>
        <w:t xml:space="preserve">Available at: </w:t>
      </w:r>
      <w:hyperlink r:id="rId20" w:history="1">
        <w:r w:rsidRPr="00F545BE">
          <w:rPr>
            <w:rStyle w:val="Hyperlink"/>
            <w:rFonts w:ascii="Arial" w:hAnsi="Arial" w:cs="Arial"/>
            <w:sz w:val="22"/>
            <w:szCs w:val="22"/>
          </w:rPr>
          <w:t>https://www.instituteofhealthequity.org/resources-reports/marmot-review-10-years-on</w:t>
        </w:r>
      </w:hyperlink>
      <w:r w:rsidRPr="00F545BE">
        <w:rPr>
          <w:rFonts w:ascii="Arial" w:hAnsi="Arial" w:cs="Arial"/>
          <w:sz w:val="22"/>
          <w:szCs w:val="22"/>
        </w:rPr>
        <w:t xml:space="preserve"> (Accessed date: 7 April 2026).</w:t>
      </w:r>
    </w:p>
    <w:p w14:paraId="7B9F9E2B" w14:textId="2C1E9652" w:rsidR="00096BA3" w:rsidRPr="00096BA3" w:rsidRDefault="00096BA3" w:rsidP="00BF3355">
      <w:pPr>
        <w:spacing w:line="276" w:lineRule="auto"/>
        <w:ind w:left="360"/>
        <w:rPr>
          <w:rFonts w:ascii="Arial" w:hAnsi="Arial" w:cs="Arial"/>
          <w:sz w:val="22"/>
          <w:szCs w:val="22"/>
        </w:rPr>
      </w:pPr>
      <w:r w:rsidRPr="00B05447">
        <w:rPr>
          <w:rFonts w:ascii="Arial" w:hAnsi="Arial" w:cs="Arial"/>
          <w:sz w:val="22"/>
          <w:szCs w:val="22"/>
          <w:lang w:val="nl-NL"/>
        </w:rPr>
        <w:t xml:space="preserve">Luten, K.A. et al. </w:t>
      </w:r>
      <w:r w:rsidRPr="00096BA3">
        <w:rPr>
          <w:rFonts w:ascii="Arial" w:hAnsi="Arial" w:cs="Arial"/>
          <w:sz w:val="22"/>
          <w:szCs w:val="22"/>
        </w:rPr>
        <w:t xml:space="preserve">(2016) </w:t>
      </w:r>
      <w:r>
        <w:rPr>
          <w:rFonts w:ascii="Arial" w:hAnsi="Arial" w:cs="Arial"/>
          <w:sz w:val="22"/>
          <w:szCs w:val="22"/>
        </w:rPr>
        <w:t>‘</w:t>
      </w:r>
      <w:r w:rsidRPr="00096BA3">
        <w:rPr>
          <w:rFonts w:ascii="Arial" w:hAnsi="Arial" w:cs="Arial"/>
          <w:sz w:val="22"/>
          <w:szCs w:val="22"/>
        </w:rPr>
        <w:t>Reach and effectiveness of an integrated community-based intervention on physical activity and healthy eating of older adults in a socioeconomically disadvantaged community</w:t>
      </w:r>
      <w:r>
        <w:rPr>
          <w:rFonts w:ascii="Arial" w:hAnsi="Arial" w:cs="Arial"/>
          <w:sz w:val="22"/>
          <w:szCs w:val="22"/>
        </w:rPr>
        <w:t xml:space="preserve">’, </w:t>
      </w:r>
      <w:r w:rsidRPr="00096BA3">
        <w:rPr>
          <w:rFonts w:ascii="Arial" w:hAnsi="Arial" w:cs="Arial"/>
          <w:i/>
          <w:iCs/>
          <w:sz w:val="22"/>
          <w:szCs w:val="22"/>
        </w:rPr>
        <w:t>Health education research</w:t>
      </w:r>
      <w:r w:rsidRPr="00096BA3">
        <w:rPr>
          <w:rFonts w:ascii="Arial" w:hAnsi="Arial" w:cs="Arial"/>
          <w:sz w:val="22"/>
          <w:szCs w:val="22"/>
        </w:rPr>
        <w:t xml:space="preserve">, 31(1), pp. 98–106. Available at: </w:t>
      </w:r>
      <w:hyperlink r:id="rId21" w:history="1">
        <w:r w:rsidRPr="00096BA3">
          <w:rPr>
            <w:rStyle w:val="Hyperlink"/>
            <w:rFonts w:ascii="Arial" w:hAnsi="Arial" w:cs="Arial"/>
            <w:sz w:val="22"/>
            <w:szCs w:val="22"/>
          </w:rPr>
          <w:t>https://doi.org/10.1093/her/cyv064</w:t>
        </w:r>
      </w:hyperlink>
      <w:r w:rsidRPr="00096BA3">
        <w:rPr>
          <w:rFonts w:ascii="Arial" w:hAnsi="Arial" w:cs="Arial"/>
          <w:sz w:val="22"/>
          <w:szCs w:val="22"/>
        </w:rPr>
        <w:t xml:space="preserve">. </w:t>
      </w:r>
    </w:p>
    <w:p w14:paraId="1482DB2E" w14:textId="0320BAC5" w:rsidR="00AD5DC2"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Kim, E.M. (2022) </w:t>
      </w:r>
      <w:r w:rsidRPr="00F545BE">
        <w:rPr>
          <w:rFonts w:ascii="Arial" w:hAnsi="Arial" w:cs="Arial"/>
          <w:i/>
          <w:iCs/>
          <w:sz w:val="22"/>
          <w:szCs w:val="22"/>
        </w:rPr>
        <w:t>Crisis in education for SDGs: The long-term impact of COVID-19 and the digital transformation.</w:t>
      </w:r>
      <w:r w:rsidRPr="00F545BE">
        <w:rPr>
          <w:rFonts w:ascii="Arial" w:hAnsi="Arial" w:cs="Arial"/>
          <w:sz w:val="22"/>
          <w:szCs w:val="22"/>
        </w:rPr>
        <w:t xml:space="preserve"> Available at: </w:t>
      </w:r>
      <w:hyperlink r:id="rId22" w:history="1">
        <w:r w:rsidRPr="00F545BE">
          <w:rPr>
            <w:rStyle w:val="Hyperlink"/>
            <w:rFonts w:ascii="Arial" w:hAnsi="Arial" w:cs="Arial"/>
            <w:sz w:val="22"/>
            <w:szCs w:val="22"/>
          </w:rPr>
          <w:t>https://desapublications.un.org/un-desa-voice/sdg-blog/september-2022/crisis-education-sdgs-long-term-impact-covid-19-and-digital</w:t>
        </w:r>
      </w:hyperlink>
      <w:r w:rsidRPr="00F545BE">
        <w:rPr>
          <w:rFonts w:ascii="Arial" w:hAnsi="Arial" w:cs="Arial"/>
          <w:sz w:val="22"/>
          <w:szCs w:val="22"/>
        </w:rPr>
        <w:t xml:space="preserve"> (Accessed date: 10 April 2026).</w:t>
      </w:r>
    </w:p>
    <w:p w14:paraId="176A0A2B" w14:textId="43AB5EE9" w:rsidR="002F4130" w:rsidRDefault="002F4130" w:rsidP="00BF3355">
      <w:pPr>
        <w:spacing w:line="276" w:lineRule="auto"/>
        <w:ind w:left="360"/>
        <w:rPr>
          <w:rFonts w:ascii="Arial" w:hAnsi="Arial" w:cs="Arial"/>
          <w:sz w:val="22"/>
          <w:szCs w:val="22"/>
        </w:rPr>
      </w:pPr>
      <w:r w:rsidRPr="002F4130">
        <w:rPr>
          <w:rFonts w:ascii="Arial" w:hAnsi="Arial" w:cs="Arial"/>
          <w:sz w:val="22"/>
          <w:szCs w:val="22"/>
        </w:rPr>
        <w:t>Mallorie</w:t>
      </w:r>
      <w:r>
        <w:rPr>
          <w:rFonts w:ascii="Arial" w:hAnsi="Arial" w:cs="Arial"/>
          <w:sz w:val="22"/>
          <w:szCs w:val="22"/>
        </w:rPr>
        <w:t xml:space="preserve">, S. (2023) </w:t>
      </w:r>
      <w:r w:rsidRPr="002F4130">
        <w:rPr>
          <w:rFonts w:ascii="Arial" w:hAnsi="Arial" w:cs="Arial"/>
          <w:i/>
          <w:iCs/>
          <w:sz w:val="22"/>
          <w:szCs w:val="22"/>
        </w:rPr>
        <w:t>Comparing the NHS to the health care systems of other countries: five charts</w:t>
      </w:r>
      <w:r>
        <w:rPr>
          <w:rFonts w:ascii="Arial" w:hAnsi="Arial" w:cs="Arial"/>
          <w:i/>
          <w:iCs/>
          <w:sz w:val="22"/>
          <w:szCs w:val="22"/>
        </w:rPr>
        <w:t xml:space="preserve">. </w:t>
      </w:r>
      <w:r w:rsidRPr="00F545BE">
        <w:rPr>
          <w:rFonts w:ascii="Arial" w:hAnsi="Arial" w:cs="Arial"/>
          <w:sz w:val="22"/>
          <w:szCs w:val="22"/>
        </w:rPr>
        <w:t xml:space="preserve">Available at: </w:t>
      </w:r>
      <w:hyperlink r:id="rId23" w:anchor=":~:text=Another%20area%20where%20the%20UK,of%20the%20cost%20of%20care" w:history="1">
        <w:r w:rsidRPr="008A02EE">
          <w:rPr>
            <w:rStyle w:val="Hyperlink"/>
          </w:rPr>
          <w:t>https://www.kingsfund.org.uk/insight-and-analysis/blogs/comparing-nhs-to-health-care-systems-other-countries#:~:text=Another%20area%20where%20the%20UK,of%20the%20cost%20of%20care</w:t>
        </w:r>
      </w:hyperlink>
      <w:r w:rsidRPr="002F4130">
        <w:t>.</w:t>
      </w:r>
      <w:r>
        <w:t xml:space="preserve"> </w:t>
      </w:r>
      <w:r w:rsidRPr="00F545BE">
        <w:rPr>
          <w:rFonts w:ascii="Arial" w:hAnsi="Arial" w:cs="Arial"/>
          <w:sz w:val="22"/>
          <w:szCs w:val="22"/>
        </w:rPr>
        <w:t>(Accessed date: 1</w:t>
      </w:r>
      <w:r w:rsidR="00AD5DC2">
        <w:rPr>
          <w:rFonts w:ascii="Arial" w:hAnsi="Arial" w:cs="Arial"/>
          <w:sz w:val="22"/>
          <w:szCs w:val="22"/>
        </w:rPr>
        <w:t>5</w:t>
      </w:r>
      <w:r w:rsidRPr="00F545BE">
        <w:rPr>
          <w:rFonts w:ascii="Arial" w:hAnsi="Arial" w:cs="Arial"/>
          <w:sz w:val="22"/>
          <w:szCs w:val="22"/>
        </w:rPr>
        <w:t xml:space="preserve"> April 2026).</w:t>
      </w:r>
    </w:p>
    <w:p w14:paraId="2382E3CA" w14:textId="7621C6C8" w:rsidR="00AD5DC2" w:rsidRPr="002F4130" w:rsidRDefault="00AD5DC2" w:rsidP="00BF3355">
      <w:pPr>
        <w:spacing w:line="276" w:lineRule="auto"/>
        <w:ind w:left="360"/>
        <w:rPr>
          <w:rFonts w:ascii="Arial" w:hAnsi="Arial" w:cs="Arial"/>
          <w:sz w:val="22"/>
          <w:szCs w:val="22"/>
        </w:rPr>
      </w:pPr>
      <w:r w:rsidRPr="00AD5DC2">
        <w:rPr>
          <w:rFonts w:ascii="Arial" w:hAnsi="Arial" w:cs="Arial"/>
          <w:sz w:val="22"/>
          <w:szCs w:val="22"/>
        </w:rPr>
        <w:t>MBRRACE-UK</w:t>
      </w:r>
      <w:r>
        <w:rPr>
          <w:rFonts w:ascii="Arial" w:hAnsi="Arial" w:cs="Arial"/>
          <w:sz w:val="22"/>
          <w:szCs w:val="22"/>
        </w:rPr>
        <w:t xml:space="preserve"> (</w:t>
      </w:r>
      <w:r w:rsidRPr="00AD5DC2">
        <w:rPr>
          <w:rFonts w:ascii="Arial" w:hAnsi="Arial" w:cs="Arial"/>
          <w:sz w:val="22"/>
          <w:szCs w:val="22"/>
        </w:rPr>
        <w:t>2025)</w:t>
      </w:r>
      <w:r>
        <w:rPr>
          <w:rFonts w:ascii="Arial" w:hAnsi="Arial" w:cs="Arial"/>
          <w:sz w:val="22"/>
          <w:szCs w:val="22"/>
        </w:rPr>
        <w:t xml:space="preserve"> </w:t>
      </w:r>
      <w:r w:rsidRPr="00AD5DC2">
        <w:rPr>
          <w:rFonts w:ascii="Arial" w:hAnsi="Arial" w:cs="Arial"/>
          <w:i/>
          <w:iCs/>
          <w:sz w:val="22"/>
          <w:szCs w:val="22"/>
        </w:rPr>
        <w:t>MBRRACE-UK: Mothers and Babies: Reducing Risk through Audits and Confidential Enquiries across the UK.</w:t>
      </w:r>
      <w:r>
        <w:rPr>
          <w:rFonts w:ascii="Arial" w:hAnsi="Arial" w:cs="Arial"/>
          <w:sz w:val="22"/>
          <w:szCs w:val="22"/>
        </w:rPr>
        <w:t xml:space="preserve"> </w:t>
      </w:r>
      <w:r w:rsidRPr="00F545BE">
        <w:rPr>
          <w:rFonts w:ascii="Arial" w:hAnsi="Arial" w:cs="Arial"/>
          <w:sz w:val="22"/>
          <w:szCs w:val="22"/>
        </w:rPr>
        <w:t xml:space="preserve">Available at: </w:t>
      </w:r>
      <w:hyperlink r:id="rId24" w:history="1">
        <w:r w:rsidRPr="008A02EE">
          <w:rPr>
            <w:rStyle w:val="Hyperlink"/>
          </w:rPr>
          <w:t>https://www.npeu.ox.ac.uk/mbrrace-uk</w:t>
        </w:r>
      </w:hyperlink>
      <w:r>
        <w:t xml:space="preserve"> </w:t>
      </w:r>
      <w:r w:rsidRPr="00F545BE">
        <w:rPr>
          <w:rFonts w:ascii="Arial" w:hAnsi="Arial" w:cs="Arial"/>
          <w:sz w:val="22"/>
          <w:szCs w:val="22"/>
        </w:rPr>
        <w:t xml:space="preserve">(Accessed date: </w:t>
      </w:r>
      <w:r>
        <w:rPr>
          <w:rFonts w:ascii="Arial" w:hAnsi="Arial" w:cs="Arial"/>
          <w:sz w:val="22"/>
          <w:szCs w:val="22"/>
        </w:rPr>
        <w:t xml:space="preserve">15 </w:t>
      </w:r>
      <w:r w:rsidRPr="00F545BE">
        <w:rPr>
          <w:rFonts w:ascii="Arial" w:hAnsi="Arial" w:cs="Arial"/>
          <w:sz w:val="22"/>
          <w:szCs w:val="22"/>
        </w:rPr>
        <w:t>April 2026).</w:t>
      </w:r>
    </w:p>
    <w:p w14:paraId="1F0C3D93" w14:textId="77777777" w:rsidR="00120492"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NHS England (2025) </w:t>
      </w:r>
      <w:r w:rsidRPr="00F545BE">
        <w:rPr>
          <w:rFonts w:ascii="Arial" w:hAnsi="Arial" w:cs="Arial"/>
          <w:i/>
          <w:iCs/>
          <w:sz w:val="22"/>
          <w:szCs w:val="22"/>
        </w:rPr>
        <w:t>Fit for the Future: 10 Year Health Plan for England.</w:t>
      </w:r>
      <w:r w:rsidRPr="00F545BE">
        <w:rPr>
          <w:rFonts w:ascii="Arial" w:hAnsi="Arial" w:cs="Arial"/>
          <w:b/>
          <w:bCs/>
          <w:i/>
          <w:iCs/>
          <w:sz w:val="22"/>
          <w:szCs w:val="22"/>
        </w:rPr>
        <w:t xml:space="preserve"> </w:t>
      </w:r>
      <w:r w:rsidRPr="00F545BE">
        <w:rPr>
          <w:rFonts w:ascii="Arial" w:hAnsi="Arial" w:cs="Arial"/>
          <w:sz w:val="22"/>
          <w:szCs w:val="22"/>
        </w:rPr>
        <w:t xml:space="preserve">Available at: </w:t>
      </w:r>
      <w:hyperlink r:id="rId25" w:history="1">
        <w:r w:rsidRPr="00F545BE">
          <w:rPr>
            <w:rStyle w:val="Hyperlink"/>
            <w:rFonts w:ascii="Arial" w:hAnsi="Arial" w:cs="Arial"/>
            <w:sz w:val="22"/>
            <w:szCs w:val="22"/>
          </w:rPr>
          <w:t>https://www.england.nhs.uk/long-term-plan/</w:t>
        </w:r>
      </w:hyperlink>
      <w:r w:rsidRPr="00F545BE">
        <w:rPr>
          <w:rFonts w:ascii="Arial" w:hAnsi="Arial" w:cs="Arial"/>
          <w:sz w:val="22"/>
          <w:szCs w:val="22"/>
        </w:rPr>
        <w:t xml:space="preserve"> (Accessed date: 7 April 2026).</w:t>
      </w:r>
    </w:p>
    <w:p w14:paraId="12E6F2D5" w14:textId="06F02335" w:rsidR="00AD5DC2" w:rsidRPr="00F545BE" w:rsidRDefault="00AD5DC2" w:rsidP="00BF3355">
      <w:pPr>
        <w:spacing w:line="276" w:lineRule="auto"/>
        <w:ind w:left="360"/>
        <w:rPr>
          <w:rFonts w:ascii="Arial" w:hAnsi="Arial" w:cs="Arial"/>
          <w:sz w:val="22"/>
          <w:szCs w:val="22"/>
        </w:rPr>
      </w:pPr>
      <w:r>
        <w:rPr>
          <w:rFonts w:ascii="Arial" w:hAnsi="Arial" w:cs="Arial"/>
          <w:sz w:val="22"/>
          <w:szCs w:val="22"/>
        </w:rPr>
        <w:t xml:space="preserve">ONS – Office for National Statistics (2024) </w:t>
      </w:r>
      <w:r w:rsidRPr="00AD5DC2">
        <w:rPr>
          <w:rFonts w:ascii="Arial" w:hAnsi="Arial" w:cs="Arial"/>
          <w:i/>
          <w:iCs/>
          <w:sz w:val="22"/>
          <w:szCs w:val="22"/>
        </w:rPr>
        <w:t>Life expectancy for local areas of the UK: between 2001 to 2003 and 2022 to 2024.</w:t>
      </w:r>
      <w:r>
        <w:rPr>
          <w:rFonts w:ascii="Arial" w:hAnsi="Arial" w:cs="Arial"/>
          <w:sz w:val="22"/>
          <w:szCs w:val="22"/>
        </w:rPr>
        <w:t xml:space="preserve"> </w:t>
      </w:r>
      <w:r w:rsidRPr="00F545BE">
        <w:rPr>
          <w:rFonts w:ascii="Arial" w:hAnsi="Arial" w:cs="Arial"/>
          <w:sz w:val="22"/>
          <w:szCs w:val="22"/>
        </w:rPr>
        <w:t xml:space="preserve">Available at: </w:t>
      </w:r>
      <w:hyperlink r:id="rId26" w:history="1">
        <w:r w:rsidRPr="008A02EE">
          <w:rPr>
            <w:rStyle w:val="Hyperlink"/>
          </w:rPr>
          <w:t>https://www.ons.gov.uk/peoplepopulationandcommunity/healthandsocialcare/healthandlifeexpectancies/bulletins/lifeexpectancyforlocalareasoftheuk/between2001to2003and2022to2024</w:t>
        </w:r>
      </w:hyperlink>
      <w:r>
        <w:t xml:space="preserve"> </w:t>
      </w:r>
      <w:r w:rsidRPr="00F545BE">
        <w:rPr>
          <w:rFonts w:ascii="Arial" w:hAnsi="Arial" w:cs="Arial"/>
          <w:sz w:val="22"/>
          <w:szCs w:val="22"/>
        </w:rPr>
        <w:t xml:space="preserve">(Accessed date: </w:t>
      </w:r>
      <w:r>
        <w:rPr>
          <w:rFonts w:ascii="Arial" w:hAnsi="Arial" w:cs="Arial"/>
          <w:sz w:val="22"/>
          <w:szCs w:val="22"/>
        </w:rPr>
        <w:t xml:space="preserve">15 </w:t>
      </w:r>
      <w:r w:rsidRPr="00F545BE">
        <w:rPr>
          <w:rFonts w:ascii="Arial" w:hAnsi="Arial" w:cs="Arial"/>
          <w:sz w:val="22"/>
          <w:szCs w:val="22"/>
        </w:rPr>
        <w:t>April 2026).</w:t>
      </w:r>
    </w:p>
    <w:p w14:paraId="33A3049F" w14:textId="77777777" w:rsidR="00120492"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Porter, C. (2024) ‘Reprioritising inclusion and equity to meet SDG4: Action is needed beyond the education sector – and must begin before school entry’, </w:t>
      </w:r>
      <w:r w:rsidRPr="00F545BE">
        <w:rPr>
          <w:rFonts w:ascii="Arial" w:hAnsi="Arial" w:cs="Arial"/>
          <w:i/>
          <w:iCs/>
          <w:sz w:val="22"/>
          <w:szCs w:val="22"/>
        </w:rPr>
        <w:t>International journal of educational development,</w:t>
      </w:r>
      <w:r w:rsidRPr="00F545BE">
        <w:rPr>
          <w:rFonts w:ascii="Arial" w:hAnsi="Arial" w:cs="Arial"/>
          <w:sz w:val="22"/>
          <w:szCs w:val="22"/>
        </w:rPr>
        <w:t xml:space="preserve"> 104. Available at: </w:t>
      </w:r>
      <w:hyperlink r:id="rId27" w:history="1">
        <w:r w:rsidRPr="00F545BE">
          <w:rPr>
            <w:rStyle w:val="Hyperlink"/>
            <w:rFonts w:ascii="Arial" w:hAnsi="Arial" w:cs="Arial"/>
            <w:sz w:val="22"/>
            <w:szCs w:val="22"/>
          </w:rPr>
          <w:t>https://doi.org/10.1016/j.ijedudev.2023.102963</w:t>
        </w:r>
      </w:hyperlink>
      <w:r w:rsidRPr="00F545BE">
        <w:rPr>
          <w:rFonts w:ascii="Arial" w:hAnsi="Arial" w:cs="Arial"/>
          <w:sz w:val="22"/>
          <w:szCs w:val="22"/>
        </w:rPr>
        <w:t xml:space="preserve">. </w:t>
      </w:r>
    </w:p>
    <w:p w14:paraId="127DB2EC" w14:textId="2B98E54C" w:rsidR="007A4DCD" w:rsidRDefault="007A4DCD" w:rsidP="00BF3355">
      <w:pPr>
        <w:spacing w:line="276" w:lineRule="auto"/>
        <w:ind w:left="360"/>
        <w:rPr>
          <w:rFonts w:ascii="Arial" w:hAnsi="Arial" w:cs="Arial"/>
          <w:sz w:val="22"/>
          <w:szCs w:val="22"/>
        </w:rPr>
      </w:pPr>
      <w:r>
        <w:rPr>
          <w:rFonts w:ascii="Arial" w:hAnsi="Arial" w:cs="Arial"/>
          <w:color w:val="000000" w:themeColor="text1"/>
          <w:sz w:val="22"/>
          <w:szCs w:val="22"/>
        </w:rPr>
        <w:t xml:space="preserve">Powell, T. and Mutebi, N. (2025) </w:t>
      </w:r>
      <w:r w:rsidRPr="007A4DCD">
        <w:rPr>
          <w:rFonts w:ascii="Arial" w:hAnsi="Arial" w:cs="Arial"/>
          <w:i/>
          <w:iCs/>
          <w:color w:val="000000" w:themeColor="text1"/>
          <w:sz w:val="22"/>
          <w:szCs w:val="22"/>
        </w:rPr>
        <w:t>Integrating health and social care: a path to better services and outcomes</w:t>
      </w:r>
      <w:r>
        <w:rPr>
          <w:rFonts w:ascii="Arial" w:hAnsi="Arial" w:cs="Arial"/>
          <w:i/>
          <w:iCs/>
          <w:color w:val="000000" w:themeColor="text1"/>
          <w:sz w:val="22"/>
          <w:szCs w:val="22"/>
        </w:rPr>
        <w:t xml:space="preserve">. </w:t>
      </w:r>
      <w:r w:rsidRPr="00F545BE">
        <w:rPr>
          <w:rFonts w:ascii="Arial" w:hAnsi="Arial" w:cs="Arial"/>
          <w:sz w:val="22"/>
          <w:szCs w:val="22"/>
        </w:rPr>
        <w:t xml:space="preserve">Available at: </w:t>
      </w:r>
      <w:hyperlink r:id="rId28" w:anchor=":~:text=improve%20outcomes%20in%20population%20health,to%20do%20so.%5B7%5D" w:history="1">
        <w:r w:rsidRPr="008A02EE">
          <w:rPr>
            <w:rStyle w:val="Hyperlink"/>
          </w:rPr>
          <w:t>https://post.parliament.uk/integrating-health-</w:t>
        </w:r>
        <w:r w:rsidRPr="008A02EE">
          <w:rPr>
            <w:rStyle w:val="Hyperlink"/>
          </w:rPr>
          <w:lastRenderedPageBreak/>
          <w:t>and-social-care-a-path-to-better-services-and-outcomes/#:~:text=improve%20outcomes%20in%20population%20health,to%20do%20so.%5B7%5D</w:t>
        </w:r>
      </w:hyperlink>
      <w:r>
        <w:t xml:space="preserve">  </w:t>
      </w:r>
      <w:r w:rsidRPr="00F545BE">
        <w:rPr>
          <w:rFonts w:ascii="Arial" w:hAnsi="Arial" w:cs="Arial"/>
          <w:sz w:val="22"/>
          <w:szCs w:val="22"/>
        </w:rPr>
        <w:t xml:space="preserve">(Accessed date: </w:t>
      </w:r>
      <w:r>
        <w:rPr>
          <w:rFonts w:ascii="Arial" w:hAnsi="Arial" w:cs="Arial"/>
          <w:sz w:val="22"/>
          <w:szCs w:val="22"/>
        </w:rPr>
        <w:t xml:space="preserve">15 </w:t>
      </w:r>
      <w:r w:rsidRPr="00F545BE">
        <w:rPr>
          <w:rFonts w:ascii="Arial" w:hAnsi="Arial" w:cs="Arial"/>
          <w:sz w:val="22"/>
          <w:szCs w:val="22"/>
        </w:rPr>
        <w:t>April 2026).</w:t>
      </w:r>
    </w:p>
    <w:p w14:paraId="749218DA" w14:textId="635E4616" w:rsidR="00CA6A5C" w:rsidRPr="00B95A33" w:rsidRDefault="00CA6A5C" w:rsidP="00BF3355">
      <w:pPr>
        <w:spacing w:line="276" w:lineRule="auto"/>
        <w:ind w:left="360"/>
        <w:rPr>
          <w:rFonts w:ascii="Arial" w:hAnsi="Arial" w:cs="Arial"/>
          <w:sz w:val="22"/>
          <w:szCs w:val="22"/>
        </w:rPr>
      </w:pPr>
      <w:r w:rsidRPr="00CA6A5C">
        <w:rPr>
          <w:rFonts w:ascii="Arial" w:hAnsi="Arial" w:cs="Arial"/>
          <w:sz w:val="22"/>
          <w:szCs w:val="22"/>
        </w:rPr>
        <w:t>Public Health England</w:t>
      </w:r>
      <w:r>
        <w:rPr>
          <w:rFonts w:ascii="Arial" w:hAnsi="Arial" w:cs="Arial"/>
          <w:sz w:val="22"/>
          <w:szCs w:val="22"/>
        </w:rPr>
        <w:t xml:space="preserve"> (</w:t>
      </w:r>
      <w:r w:rsidRPr="00CA6A5C">
        <w:rPr>
          <w:rFonts w:ascii="Arial" w:hAnsi="Arial" w:cs="Arial"/>
          <w:sz w:val="22"/>
          <w:szCs w:val="22"/>
        </w:rPr>
        <w:t>2021)</w:t>
      </w:r>
      <w:r>
        <w:rPr>
          <w:rFonts w:ascii="Arial" w:hAnsi="Arial" w:cs="Arial"/>
          <w:sz w:val="22"/>
          <w:szCs w:val="22"/>
        </w:rPr>
        <w:t xml:space="preserve"> </w:t>
      </w:r>
      <w:r w:rsidR="00B95A33" w:rsidRPr="00B95A33">
        <w:rPr>
          <w:rFonts w:ascii="Arial" w:hAnsi="Arial" w:cs="Arial"/>
          <w:i/>
          <w:iCs/>
          <w:sz w:val="22"/>
          <w:szCs w:val="22"/>
        </w:rPr>
        <w:t>Better Health campaign Phase 1: evaluation of the NHS weight loss plan app</w:t>
      </w:r>
      <w:r w:rsidR="00B95A33">
        <w:rPr>
          <w:rFonts w:ascii="Arial" w:hAnsi="Arial" w:cs="Arial"/>
          <w:i/>
          <w:iCs/>
          <w:sz w:val="22"/>
          <w:szCs w:val="22"/>
        </w:rPr>
        <w:t xml:space="preserve">. </w:t>
      </w:r>
      <w:r w:rsidR="00B95A33" w:rsidRPr="00F545BE">
        <w:rPr>
          <w:rFonts w:ascii="Arial" w:hAnsi="Arial" w:cs="Arial"/>
          <w:sz w:val="22"/>
          <w:szCs w:val="22"/>
        </w:rPr>
        <w:t xml:space="preserve">Available at: </w:t>
      </w:r>
      <w:hyperlink r:id="rId29" w:anchor=":~:text=As%20of%209%20February%202021%2C%20the%2012%2Dweek,went%20on%20to%20complete%20the%2012%20weeks" w:history="1">
        <w:r w:rsidR="00B95A33" w:rsidRPr="008A02EE">
          <w:rPr>
            <w:rStyle w:val="Hyperlink"/>
            <w:rFonts w:ascii="Arial" w:hAnsi="Arial" w:cs="Arial"/>
            <w:sz w:val="22"/>
            <w:szCs w:val="22"/>
          </w:rPr>
          <w:t>https://assets.publishing.service.gov.uk/media/61265801e90e070541075822/Evaluation_of_the_NHS_App_PHE_Report_25Aug2020.pdf#:~:text=As%20of%209%20February%202021%2C%20the%2012%2Dweek,went%20on%20to%20complete%20the%2012%20weeks</w:t>
        </w:r>
      </w:hyperlink>
      <w:r w:rsidR="00B95A33" w:rsidRPr="00B95A33">
        <w:rPr>
          <w:rFonts w:ascii="Arial" w:hAnsi="Arial" w:cs="Arial"/>
          <w:sz w:val="22"/>
          <w:szCs w:val="22"/>
        </w:rPr>
        <w:t>.</w:t>
      </w:r>
      <w:r w:rsidR="00B95A33">
        <w:rPr>
          <w:rFonts w:ascii="Arial" w:hAnsi="Arial" w:cs="Arial"/>
          <w:sz w:val="22"/>
          <w:szCs w:val="22"/>
        </w:rPr>
        <w:t xml:space="preserve"> </w:t>
      </w:r>
      <w:r w:rsidR="00B95A33" w:rsidRPr="00F545BE">
        <w:rPr>
          <w:rFonts w:ascii="Arial" w:hAnsi="Arial" w:cs="Arial"/>
          <w:sz w:val="22"/>
          <w:szCs w:val="22"/>
        </w:rPr>
        <w:t xml:space="preserve">(Accessed date: </w:t>
      </w:r>
      <w:r w:rsidR="00B95A33">
        <w:rPr>
          <w:rFonts w:ascii="Arial" w:hAnsi="Arial" w:cs="Arial"/>
          <w:sz w:val="22"/>
          <w:szCs w:val="22"/>
        </w:rPr>
        <w:t xml:space="preserve">15 </w:t>
      </w:r>
      <w:r w:rsidR="00B95A33" w:rsidRPr="00F545BE">
        <w:rPr>
          <w:rFonts w:ascii="Arial" w:hAnsi="Arial" w:cs="Arial"/>
          <w:sz w:val="22"/>
          <w:szCs w:val="22"/>
        </w:rPr>
        <w:t>April 2026).</w:t>
      </w:r>
    </w:p>
    <w:p w14:paraId="0FF527E6"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Public Health England (2020) </w:t>
      </w:r>
      <w:r w:rsidRPr="00F545BE">
        <w:rPr>
          <w:rFonts w:ascii="Arial" w:hAnsi="Arial" w:cs="Arial"/>
          <w:i/>
          <w:iCs/>
          <w:sz w:val="22"/>
          <w:szCs w:val="22"/>
        </w:rPr>
        <w:t xml:space="preserve">Major new campaign encourages millions to lose weight and cut COVID-19 risk. UK Government. </w:t>
      </w:r>
      <w:r w:rsidRPr="00F545BE">
        <w:rPr>
          <w:rFonts w:ascii="Arial" w:hAnsi="Arial" w:cs="Arial"/>
          <w:sz w:val="22"/>
          <w:szCs w:val="22"/>
        </w:rPr>
        <w:t xml:space="preserve">Available at: </w:t>
      </w:r>
      <w:hyperlink r:id="rId30" w:history="1">
        <w:r w:rsidRPr="00F545BE">
          <w:rPr>
            <w:rStyle w:val="Hyperlink"/>
            <w:rFonts w:ascii="Arial" w:hAnsi="Arial" w:cs="Arial"/>
            <w:sz w:val="22"/>
            <w:szCs w:val="22"/>
          </w:rPr>
          <w:t>https://www.gov.uk/government/news/major-new-campaign-encourages-millions-to-lose-weight-and-cut-covid-19-risk</w:t>
        </w:r>
      </w:hyperlink>
      <w:r w:rsidRPr="00F545BE">
        <w:rPr>
          <w:rFonts w:ascii="Arial" w:hAnsi="Arial" w:cs="Arial"/>
          <w:sz w:val="22"/>
          <w:szCs w:val="22"/>
        </w:rPr>
        <w:t xml:space="preserve">  (Accessed date: 1 April 2026).</w:t>
      </w:r>
    </w:p>
    <w:p w14:paraId="4B0857C1"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Rahma, S.A., Ramadhani, A.L., and Zahra, R.A. (2025) ‘Inclusive Education Management Strategies in the Digital Era: Addressing Challenges and Seizing Opportunities for Equitable Access to SDG 4’</w:t>
      </w:r>
      <w:r w:rsidRPr="00F545BE">
        <w:rPr>
          <w:rFonts w:ascii="Arial" w:hAnsi="Arial" w:cs="Arial"/>
          <w:i/>
          <w:iCs/>
          <w:sz w:val="22"/>
          <w:szCs w:val="22"/>
        </w:rPr>
        <w:t xml:space="preserve">, </w:t>
      </w:r>
      <w:proofErr w:type="spellStart"/>
      <w:r w:rsidRPr="00F545BE">
        <w:rPr>
          <w:rFonts w:ascii="Arial" w:hAnsi="Arial" w:cs="Arial"/>
          <w:i/>
          <w:iCs/>
          <w:sz w:val="22"/>
          <w:szCs w:val="22"/>
        </w:rPr>
        <w:t>Managere</w:t>
      </w:r>
      <w:proofErr w:type="spellEnd"/>
      <w:r w:rsidRPr="00F545BE">
        <w:rPr>
          <w:rFonts w:ascii="Arial" w:hAnsi="Arial" w:cs="Arial"/>
          <w:i/>
          <w:iCs/>
          <w:sz w:val="22"/>
          <w:szCs w:val="22"/>
        </w:rPr>
        <w:t xml:space="preserve"> (Online),</w:t>
      </w:r>
      <w:r w:rsidRPr="00F545BE">
        <w:rPr>
          <w:rFonts w:ascii="Arial" w:hAnsi="Arial" w:cs="Arial"/>
          <w:sz w:val="22"/>
          <w:szCs w:val="22"/>
        </w:rPr>
        <w:t xml:space="preserve"> 7(2), pp. 177–188. Available at: </w:t>
      </w:r>
      <w:hyperlink r:id="rId31" w:history="1">
        <w:r w:rsidRPr="00F545BE">
          <w:rPr>
            <w:rStyle w:val="Hyperlink"/>
            <w:rFonts w:ascii="Arial" w:hAnsi="Arial" w:cs="Arial"/>
            <w:sz w:val="22"/>
            <w:szCs w:val="22"/>
          </w:rPr>
          <w:t>https://doi.org/10.52627/managere.v7i2.672</w:t>
        </w:r>
      </w:hyperlink>
      <w:r w:rsidRPr="00F545BE">
        <w:rPr>
          <w:rFonts w:ascii="Arial" w:hAnsi="Arial" w:cs="Arial"/>
          <w:sz w:val="22"/>
          <w:szCs w:val="22"/>
        </w:rPr>
        <w:t xml:space="preserve">. </w:t>
      </w:r>
    </w:p>
    <w:p w14:paraId="2BF7DDE7" w14:textId="77777777" w:rsidR="0041357A"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Reed, S. et al. (2025) </w:t>
      </w:r>
      <w:r w:rsidRPr="00F545BE">
        <w:rPr>
          <w:rFonts w:ascii="Arial" w:hAnsi="Arial" w:cs="Arial"/>
          <w:i/>
          <w:iCs/>
          <w:sz w:val="22"/>
          <w:szCs w:val="22"/>
        </w:rPr>
        <w:t xml:space="preserve">From hospital to community: International lessons on moving care closer to home. </w:t>
      </w:r>
      <w:r w:rsidRPr="00F545BE">
        <w:rPr>
          <w:rFonts w:ascii="Arial" w:hAnsi="Arial" w:cs="Arial"/>
          <w:sz w:val="22"/>
          <w:szCs w:val="22"/>
        </w:rPr>
        <w:t xml:space="preserve">Available at: </w:t>
      </w:r>
      <w:hyperlink r:id="rId32" w:history="1">
        <w:r w:rsidRPr="00F545BE">
          <w:rPr>
            <w:rStyle w:val="Hyperlink"/>
            <w:rFonts w:ascii="Arial" w:hAnsi="Arial" w:cs="Arial"/>
            <w:sz w:val="22"/>
            <w:szCs w:val="22"/>
          </w:rPr>
          <w:t>https://nuffieldtrust.org.uk/sites/default/files/2025-09/Nuffield%20Trust%2%20From%20hospital%20to%20community_WEB.pdf</w:t>
        </w:r>
      </w:hyperlink>
      <w:r w:rsidRPr="00F545BE">
        <w:rPr>
          <w:rFonts w:ascii="Arial" w:hAnsi="Arial" w:cs="Arial"/>
          <w:sz w:val="22"/>
          <w:szCs w:val="22"/>
        </w:rPr>
        <w:t xml:space="preserve"> (Accessed date: 1 April 2026).</w:t>
      </w:r>
    </w:p>
    <w:p w14:paraId="7CDEB21C" w14:textId="4D83AF8E" w:rsidR="0041357A" w:rsidRPr="00F545BE" w:rsidRDefault="0041357A" w:rsidP="00BF3355">
      <w:pPr>
        <w:spacing w:line="276" w:lineRule="auto"/>
        <w:ind w:left="360"/>
        <w:rPr>
          <w:rFonts w:ascii="Arial" w:hAnsi="Arial" w:cs="Arial"/>
          <w:sz w:val="22"/>
          <w:szCs w:val="22"/>
        </w:rPr>
      </w:pPr>
      <w:r w:rsidRPr="0041357A">
        <w:rPr>
          <w:rFonts w:ascii="Arial" w:hAnsi="Arial" w:cs="Arial"/>
          <w:sz w:val="22"/>
          <w:szCs w:val="22"/>
        </w:rPr>
        <w:t xml:space="preserve">Talbot, C.V. and Branley-Bell, D. (2022) </w:t>
      </w:r>
      <w:r>
        <w:rPr>
          <w:rFonts w:ascii="Arial" w:hAnsi="Arial" w:cs="Arial"/>
          <w:sz w:val="22"/>
          <w:szCs w:val="22"/>
        </w:rPr>
        <w:t>‘</w:t>
      </w:r>
      <w:proofErr w:type="spellStart"/>
      <w:r w:rsidRPr="0041357A">
        <w:rPr>
          <w:rFonts w:ascii="Arial" w:hAnsi="Arial" w:cs="Arial"/>
          <w:sz w:val="22"/>
          <w:szCs w:val="22"/>
        </w:rPr>
        <w:t>BetterHealth</w:t>
      </w:r>
      <w:proofErr w:type="spellEnd"/>
      <w:r w:rsidRPr="0041357A">
        <w:rPr>
          <w:rFonts w:ascii="Arial" w:hAnsi="Arial" w:cs="Arial"/>
          <w:sz w:val="22"/>
          <w:szCs w:val="22"/>
        </w:rPr>
        <w:t>: A qualitative analysis of reactions to the UK government’s better health campaign</w:t>
      </w:r>
      <w:r>
        <w:rPr>
          <w:rFonts w:ascii="Arial" w:hAnsi="Arial" w:cs="Arial"/>
          <w:sz w:val="22"/>
          <w:szCs w:val="22"/>
        </w:rPr>
        <w:t>’</w:t>
      </w:r>
      <w:r w:rsidRPr="0041357A">
        <w:rPr>
          <w:rFonts w:ascii="Arial" w:hAnsi="Arial" w:cs="Arial"/>
          <w:i/>
          <w:iCs/>
          <w:sz w:val="22"/>
          <w:szCs w:val="22"/>
        </w:rPr>
        <w:t xml:space="preserve">, Journal of health psychology, </w:t>
      </w:r>
      <w:r w:rsidRPr="0041357A">
        <w:rPr>
          <w:rFonts w:ascii="Arial" w:hAnsi="Arial" w:cs="Arial"/>
          <w:sz w:val="22"/>
          <w:szCs w:val="22"/>
        </w:rPr>
        <w:t xml:space="preserve">27(5), pp. 1252–1258. Available at: </w:t>
      </w:r>
      <w:hyperlink r:id="rId33" w:history="1">
        <w:r w:rsidRPr="008A02EE">
          <w:rPr>
            <w:rStyle w:val="Hyperlink"/>
            <w:rFonts w:ascii="Arial" w:hAnsi="Arial" w:cs="Arial"/>
            <w:sz w:val="22"/>
            <w:szCs w:val="22"/>
          </w:rPr>
          <w:t>https://doi.org/10.1177/1359105320985576</w:t>
        </w:r>
      </w:hyperlink>
      <w:r w:rsidRPr="0041357A">
        <w:rPr>
          <w:rFonts w:ascii="Arial" w:hAnsi="Arial" w:cs="Arial"/>
          <w:sz w:val="22"/>
          <w:szCs w:val="22"/>
        </w:rPr>
        <w:t>.</w:t>
      </w:r>
      <w:r>
        <w:rPr>
          <w:rFonts w:ascii="Arial" w:hAnsi="Arial" w:cs="Arial"/>
          <w:sz w:val="22"/>
          <w:szCs w:val="22"/>
        </w:rPr>
        <w:t xml:space="preserve"> </w:t>
      </w:r>
    </w:p>
    <w:p w14:paraId="4A22A206" w14:textId="4B0A90FC" w:rsidR="00A34AAA" w:rsidRPr="00F545BE" w:rsidRDefault="00A34AAA" w:rsidP="00BF3355">
      <w:pPr>
        <w:spacing w:line="276" w:lineRule="auto"/>
        <w:ind w:left="360"/>
        <w:rPr>
          <w:rFonts w:ascii="Arial" w:hAnsi="Arial" w:cs="Arial"/>
          <w:sz w:val="22"/>
          <w:szCs w:val="22"/>
        </w:rPr>
      </w:pPr>
      <w:r w:rsidRPr="00F545BE">
        <w:rPr>
          <w:rFonts w:ascii="Arial" w:hAnsi="Arial" w:cs="Arial"/>
          <w:sz w:val="22"/>
          <w:szCs w:val="22"/>
        </w:rPr>
        <w:t xml:space="preserve">Tower Hamlets Council (2025) </w:t>
      </w:r>
      <w:r w:rsidRPr="00F545BE">
        <w:rPr>
          <w:rFonts w:ascii="Arial" w:hAnsi="Arial" w:cs="Arial"/>
          <w:i/>
          <w:iCs/>
          <w:sz w:val="22"/>
          <w:szCs w:val="22"/>
        </w:rPr>
        <w:t xml:space="preserve">Tower Hamlets Early Help Strategy 2025 – 2028. </w:t>
      </w:r>
      <w:r w:rsidRPr="00F545BE">
        <w:rPr>
          <w:rFonts w:ascii="Arial" w:hAnsi="Arial" w:cs="Arial"/>
          <w:sz w:val="22"/>
          <w:szCs w:val="22"/>
        </w:rPr>
        <w:t xml:space="preserve">Available at: </w:t>
      </w:r>
      <w:hyperlink r:id="rId34" w:history="1">
        <w:r w:rsidRPr="00F545BE">
          <w:rPr>
            <w:rStyle w:val="Hyperlink"/>
            <w:rFonts w:ascii="Arial" w:hAnsi="Arial" w:cs="Arial"/>
            <w:sz w:val="22"/>
            <w:szCs w:val="22"/>
          </w:rPr>
          <w:t>https://www.towerhamlets.gov.uk/Documents/Children-and-families-services/Early_help/TH-Early-Help-Strategy.pdf</w:t>
        </w:r>
      </w:hyperlink>
      <w:r w:rsidRPr="00F545BE">
        <w:rPr>
          <w:rFonts w:ascii="Arial" w:hAnsi="Arial" w:cs="Arial"/>
          <w:sz w:val="22"/>
          <w:szCs w:val="22"/>
        </w:rPr>
        <w:t xml:space="preserve"> (Accessed date: 10 April 2026).</w:t>
      </w:r>
    </w:p>
    <w:p w14:paraId="6BB96EEF" w14:textId="150121C3" w:rsidR="00A34AAA" w:rsidRPr="00F545BE" w:rsidRDefault="00A34AAA" w:rsidP="00BF3355">
      <w:pPr>
        <w:spacing w:line="276" w:lineRule="auto"/>
        <w:ind w:left="360"/>
        <w:rPr>
          <w:rFonts w:ascii="Arial" w:hAnsi="Arial" w:cs="Arial"/>
          <w:sz w:val="22"/>
          <w:szCs w:val="22"/>
        </w:rPr>
      </w:pPr>
      <w:r w:rsidRPr="00F545BE">
        <w:rPr>
          <w:rFonts w:ascii="Arial" w:hAnsi="Arial" w:cs="Arial"/>
          <w:color w:val="000000" w:themeColor="text1"/>
          <w:sz w:val="22"/>
          <w:szCs w:val="22"/>
        </w:rPr>
        <w:t xml:space="preserve">Tower Hamlets Together (2024) </w:t>
      </w:r>
      <w:r w:rsidRPr="00F545BE">
        <w:rPr>
          <w:rFonts w:ascii="Arial" w:hAnsi="Arial" w:cs="Arial"/>
          <w:i/>
          <w:iCs/>
          <w:color w:val="000000" w:themeColor="text1"/>
          <w:sz w:val="22"/>
          <w:szCs w:val="22"/>
        </w:rPr>
        <w:t xml:space="preserve">Communities Keeping Well. </w:t>
      </w:r>
      <w:r w:rsidRPr="00F545BE">
        <w:rPr>
          <w:rFonts w:ascii="Arial" w:hAnsi="Arial" w:cs="Arial"/>
          <w:sz w:val="22"/>
          <w:szCs w:val="22"/>
        </w:rPr>
        <w:t xml:space="preserve">Available at: </w:t>
      </w:r>
      <w:hyperlink r:id="rId35" w:history="1">
        <w:r w:rsidRPr="00F545BE">
          <w:rPr>
            <w:rStyle w:val="Hyperlink"/>
            <w:rFonts w:ascii="Arial" w:hAnsi="Arial" w:cs="Arial"/>
            <w:sz w:val="22"/>
            <w:szCs w:val="22"/>
          </w:rPr>
          <w:t>https://www.towerhamletstogether.com/our-work/communities-keeping-well</w:t>
        </w:r>
      </w:hyperlink>
      <w:r w:rsidRPr="00F545BE">
        <w:rPr>
          <w:rFonts w:ascii="Arial" w:hAnsi="Arial" w:cs="Arial"/>
          <w:sz w:val="22"/>
          <w:szCs w:val="22"/>
        </w:rPr>
        <w:t xml:space="preserve"> (Accessed date: 10 April 2026).</w:t>
      </w:r>
    </w:p>
    <w:p w14:paraId="7CFCF000" w14:textId="3CEDD5BA" w:rsidR="00246FBE" w:rsidRPr="00F545BE" w:rsidRDefault="00246FBE" w:rsidP="00BF3355">
      <w:pPr>
        <w:spacing w:line="276" w:lineRule="auto"/>
        <w:ind w:left="360"/>
        <w:rPr>
          <w:rFonts w:ascii="Arial" w:hAnsi="Arial" w:cs="Arial"/>
          <w:sz w:val="22"/>
          <w:szCs w:val="22"/>
        </w:rPr>
      </w:pPr>
      <w:r w:rsidRPr="00F545BE">
        <w:rPr>
          <w:rFonts w:ascii="Arial" w:hAnsi="Arial" w:cs="Arial"/>
          <w:color w:val="000000" w:themeColor="text1"/>
          <w:sz w:val="22"/>
          <w:szCs w:val="22"/>
        </w:rPr>
        <w:t xml:space="preserve">Tyler, I. and Campbell, S. (2024) </w:t>
      </w:r>
      <w:r w:rsidRPr="00F545BE">
        <w:rPr>
          <w:rFonts w:ascii="Arial" w:hAnsi="Arial" w:cs="Arial"/>
          <w:i/>
          <w:iCs/>
          <w:color w:val="000000" w:themeColor="text1"/>
          <w:sz w:val="22"/>
          <w:szCs w:val="22"/>
        </w:rPr>
        <w:t xml:space="preserve">Poverty stigma: a glue that holds poverty in place. </w:t>
      </w:r>
      <w:r w:rsidRPr="00F545BE">
        <w:rPr>
          <w:rFonts w:ascii="Arial" w:hAnsi="Arial" w:cs="Arial"/>
          <w:sz w:val="22"/>
          <w:szCs w:val="22"/>
        </w:rPr>
        <w:t xml:space="preserve">Available at: </w:t>
      </w:r>
      <w:hyperlink r:id="rId36" w:history="1">
        <w:r w:rsidRPr="00F545BE">
          <w:rPr>
            <w:rStyle w:val="Hyperlink"/>
            <w:rFonts w:ascii="Arial" w:hAnsi="Arial" w:cs="Arial"/>
            <w:sz w:val="22"/>
            <w:szCs w:val="22"/>
          </w:rPr>
          <w:t>https://www.jrf.org.uk/power-and-participation/poverty-stigma-a-glue-that-holds-poverty-in-place</w:t>
        </w:r>
      </w:hyperlink>
      <w:r w:rsidRPr="00F545BE">
        <w:rPr>
          <w:rFonts w:ascii="Arial" w:hAnsi="Arial" w:cs="Arial"/>
          <w:sz w:val="22"/>
          <w:szCs w:val="22"/>
        </w:rPr>
        <w:t xml:space="preserve"> (Accessed date: 1 April 2026).</w:t>
      </w:r>
    </w:p>
    <w:p w14:paraId="272F84A4" w14:textId="77777777" w:rsidR="00120492"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The Lancet Public Health (2020) ‘Education: a neglected social determinant of health’, </w:t>
      </w:r>
      <w:r w:rsidRPr="00F545BE">
        <w:rPr>
          <w:rFonts w:ascii="Arial" w:hAnsi="Arial" w:cs="Arial"/>
          <w:i/>
          <w:iCs/>
          <w:sz w:val="22"/>
          <w:szCs w:val="22"/>
        </w:rPr>
        <w:t>The Lancet. Public health</w:t>
      </w:r>
      <w:r w:rsidRPr="00F545BE">
        <w:rPr>
          <w:rFonts w:ascii="Arial" w:hAnsi="Arial" w:cs="Arial"/>
          <w:sz w:val="22"/>
          <w:szCs w:val="22"/>
        </w:rPr>
        <w:t xml:space="preserve">, 5(7), pp. e361–e361. Available at: </w:t>
      </w:r>
      <w:hyperlink r:id="rId37" w:history="1">
        <w:r w:rsidRPr="00F545BE">
          <w:rPr>
            <w:rStyle w:val="Hyperlink"/>
            <w:rFonts w:ascii="Arial" w:hAnsi="Arial" w:cs="Arial"/>
            <w:sz w:val="22"/>
            <w:szCs w:val="22"/>
          </w:rPr>
          <w:t>https://doi.org/10.1016/S2468-2667(20)30144-4</w:t>
        </w:r>
      </w:hyperlink>
      <w:r w:rsidRPr="00F545BE">
        <w:rPr>
          <w:rFonts w:ascii="Arial" w:hAnsi="Arial" w:cs="Arial"/>
          <w:sz w:val="22"/>
          <w:szCs w:val="22"/>
        </w:rPr>
        <w:t xml:space="preserve">. </w:t>
      </w:r>
    </w:p>
    <w:p w14:paraId="0BE817D9" w14:textId="3B433474" w:rsidR="00060206" w:rsidRPr="00F545BE" w:rsidRDefault="00060206" w:rsidP="00BF3355">
      <w:pPr>
        <w:spacing w:line="276" w:lineRule="auto"/>
        <w:ind w:left="360"/>
        <w:rPr>
          <w:rFonts w:ascii="Arial" w:hAnsi="Arial" w:cs="Arial"/>
          <w:sz w:val="22"/>
          <w:szCs w:val="22"/>
        </w:rPr>
      </w:pPr>
      <w:r w:rsidRPr="00060206">
        <w:rPr>
          <w:rFonts w:ascii="Arial" w:hAnsi="Arial" w:cs="Arial"/>
          <w:sz w:val="22"/>
          <w:szCs w:val="22"/>
        </w:rPr>
        <w:t>Tower Hamlets</w:t>
      </w:r>
      <w:r>
        <w:rPr>
          <w:rFonts w:ascii="Arial" w:hAnsi="Arial" w:cs="Arial"/>
          <w:sz w:val="22"/>
          <w:szCs w:val="22"/>
        </w:rPr>
        <w:t xml:space="preserve"> (</w:t>
      </w:r>
      <w:r w:rsidRPr="00060206">
        <w:rPr>
          <w:rFonts w:ascii="Arial" w:hAnsi="Arial" w:cs="Arial"/>
          <w:sz w:val="22"/>
          <w:szCs w:val="22"/>
        </w:rPr>
        <w:t>2025)</w:t>
      </w:r>
      <w:r>
        <w:rPr>
          <w:rFonts w:ascii="Arial" w:hAnsi="Arial" w:cs="Arial"/>
          <w:sz w:val="22"/>
          <w:szCs w:val="22"/>
        </w:rPr>
        <w:t xml:space="preserve"> </w:t>
      </w:r>
      <w:r w:rsidRPr="00060206">
        <w:rPr>
          <w:rFonts w:ascii="Arial" w:hAnsi="Arial" w:cs="Arial"/>
          <w:i/>
          <w:iCs/>
          <w:sz w:val="22"/>
          <w:szCs w:val="22"/>
        </w:rPr>
        <w:t>Tower Hamlets Public Health Joint Strategic Needs Assessment (JSNA) 2025</w:t>
      </w:r>
      <w:r>
        <w:rPr>
          <w:rFonts w:ascii="Arial" w:hAnsi="Arial" w:cs="Arial"/>
          <w:i/>
          <w:iCs/>
          <w:sz w:val="22"/>
          <w:szCs w:val="22"/>
        </w:rPr>
        <w:t xml:space="preserve">. </w:t>
      </w:r>
      <w:r w:rsidRPr="00F545BE">
        <w:rPr>
          <w:rFonts w:ascii="Arial" w:hAnsi="Arial" w:cs="Arial"/>
          <w:sz w:val="22"/>
          <w:szCs w:val="22"/>
        </w:rPr>
        <w:t xml:space="preserve">Available at: </w:t>
      </w:r>
      <w:hyperlink r:id="rId38" w:history="1">
        <w:r w:rsidRPr="008A02EE">
          <w:rPr>
            <w:rStyle w:val="Hyperlink"/>
          </w:rPr>
          <w:t>https://www.towerhamlets.gov.uk/Documents/Public-Health/JSNA/JSNA_Summary.pdf</w:t>
        </w:r>
      </w:hyperlink>
      <w:r>
        <w:t xml:space="preserve"> </w:t>
      </w:r>
      <w:r w:rsidRPr="00F545BE">
        <w:rPr>
          <w:rFonts w:ascii="Arial" w:hAnsi="Arial" w:cs="Arial"/>
          <w:sz w:val="22"/>
          <w:szCs w:val="22"/>
        </w:rPr>
        <w:t>(Accessed date: 1</w:t>
      </w:r>
      <w:r>
        <w:rPr>
          <w:rFonts w:ascii="Arial" w:hAnsi="Arial" w:cs="Arial"/>
          <w:sz w:val="22"/>
          <w:szCs w:val="22"/>
        </w:rPr>
        <w:t>5</w:t>
      </w:r>
      <w:r w:rsidRPr="00F545BE">
        <w:rPr>
          <w:rFonts w:ascii="Arial" w:hAnsi="Arial" w:cs="Arial"/>
          <w:sz w:val="22"/>
          <w:szCs w:val="22"/>
        </w:rPr>
        <w:t xml:space="preserve"> April 2026).</w:t>
      </w:r>
    </w:p>
    <w:p w14:paraId="65005E6B" w14:textId="77777777" w:rsidR="00120492" w:rsidRPr="00F545BE" w:rsidRDefault="00120492" w:rsidP="00BF3355">
      <w:pPr>
        <w:spacing w:line="276" w:lineRule="auto"/>
        <w:ind w:left="360"/>
        <w:rPr>
          <w:rFonts w:ascii="Arial" w:hAnsi="Arial" w:cs="Arial"/>
          <w:i/>
          <w:iCs/>
          <w:sz w:val="22"/>
          <w:szCs w:val="22"/>
        </w:rPr>
      </w:pPr>
      <w:r w:rsidRPr="00F545BE">
        <w:rPr>
          <w:rFonts w:ascii="Arial" w:hAnsi="Arial" w:cs="Arial"/>
          <w:sz w:val="22"/>
          <w:szCs w:val="22"/>
        </w:rPr>
        <w:t xml:space="preserve">UK Health Security Agency (2025) </w:t>
      </w:r>
      <w:r w:rsidRPr="00F545BE">
        <w:rPr>
          <w:rFonts w:ascii="Arial" w:hAnsi="Arial" w:cs="Arial"/>
          <w:i/>
          <w:iCs/>
          <w:sz w:val="22"/>
          <w:szCs w:val="22"/>
        </w:rPr>
        <w:t xml:space="preserve">Health inequalities in health protection report 2025. </w:t>
      </w:r>
      <w:r w:rsidRPr="00F545BE">
        <w:rPr>
          <w:rFonts w:ascii="Arial" w:hAnsi="Arial" w:cs="Arial"/>
          <w:sz w:val="22"/>
          <w:szCs w:val="22"/>
        </w:rPr>
        <w:t xml:space="preserve">Available at: </w:t>
      </w:r>
      <w:hyperlink r:id="rId39" w:history="1">
        <w:r w:rsidRPr="00F545BE">
          <w:rPr>
            <w:rStyle w:val="Hyperlink"/>
            <w:rFonts w:ascii="Arial" w:hAnsi="Arial" w:cs="Arial"/>
            <w:sz w:val="22"/>
            <w:szCs w:val="22"/>
          </w:rPr>
          <w:t>https://www.gov.uk/government/publications/health-inequalities-in-health-</w:t>
        </w:r>
        <w:r w:rsidRPr="00F545BE">
          <w:rPr>
            <w:rStyle w:val="Hyperlink"/>
            <w:rFonts w:ascii="Arial" w:hAnsi="Arial" w:cs="Arial"/>
            <w:sz w:val="22"/>
            <w:szCs w:val="22"/>
          </w:rPr>
          <w:lastRenderedPageBreak/>
          <w:t>protection-report/health-inequalities-in-health-protection-report-2025</w:t>
        </w:r>
      </w:hyperlink>
      <w:r w:rsidRPr="00F545BE">
        <w:rPr>
          <w:rFonts w:ascii="Arial" w:hAnsi="Arial" w:cs="Arial"/>
          <w:sz w:val="22"/>
          <w:szCs w:val="22"/>
        </w:rPr>
        <w:t xml:space="preserve">  (Accessed date: 8 April 2026).</w:t>
      </w:r>
    </w:p>
    <w:p w14:paraId="5A331CB7"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United Nations (2015) </w:t>
      </w:r>
      <w:r w:rsidRPr="00F545BE">
        <w:rPr>
          <w:rFonts w:ascii="Arial" w:hAnsi="Arial" w:cs="Arial"/>
          <w:i/>
          <w:iCs/>
          <w:sz w:val="22"/>
          <w:szCs w:val="22"/>
        </w:rPr>
        <w:t xml:space="preserve">Transforming our world: the 2030 Agenda for Sustainable Development. </w:t>
      </w:r>
      <w:r w:rsidRPr="00F545BE">
        <w:rPr>
          <w:rFonts w:ascii="Arial" w:hAnsi="Arial" w:cs="Arial"/>
          <w:sz w:val="22"/>
          <w:szCs w:val="22"/>
        </w:rPr>
        <w:t xml:space="preserve">Available at: </w:t>
      </w:r>
      <w:hyperlink r:id="rId40" w:history="1">
        <w:r w:rsidRPr="00F545BE">
          <w:rPr>
            <w:rStyle w:val="Hyperlink"/>
            <w:rFonts w:ascii="Arial" w:hAnsi="Arial" w:cs="Arial"/>
            <w:sz w:val="22"/>
            <w:szCs w:val="22"/>
          </w:rPr>
          <w:t>https://sdgs.un.org/2030agenda</w:t>
        </w:r>
      </w:hyperlink>
      <w:r w:rsidRPr="00F545BE">
        <w:rPr>
          <w:rFonts w:ascii="Arial" w:hAnsi="Arial" w:cs="Arial"/>
          <w:sz w:val="22"/>
          <w:szCs w:val="22"/>
        </w:rPr>
        <w:t xml:space="preserve"> (Accessed date: 1 April 2026).</w:t>
      </w:r>
    </w:p>
    <w:p w14:paraId="75E17D42"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United Nations (2025a) SDG 3 - </w:t>
      </w:r>
      <w:r w:rsidRPr="00F545BE">
        <w:rPr>
          <w:rFonts w:ascii="Arial" w:hAnsi="Arial" w:cs="Arial"/>
          <w:i/>
          <w:iCs/>
          <w:sz w:val="22"/>
          <w:szCs w:val="22"/>
        </w:rPr>
        <w:t>Ensure healthy lives and promote well-being for all at all ages.</w:t>
      </w:r>
      <w:r w:rsidRPr="00F545BE">
        <w:rPr>
          <w:rFonts w:ascii="Arial" w:hAnsi="Arial" w:cs="Arial"/>
          <w:sz w:val="22"/>
          <w:szCs w:val="22"/>
        </w:rPr>
        <w:t xml:space="preserve"> Available at: </w:t>
      </w:r>
      <w:hyperlink r:id="rId41" w:history="1">
        <w:r w:rsidRPr="00F545BE">
          <w:rPr>
            <w:rStyle w:val="Hyperlink"/>
            <w:rFonts w:ascii="Arial" w:hAnsi="Arial" w:cs="Arial"/>
            <w:sz w:val="22"/>
            <w:szCs w:val="22"/>
          </w:rPr>
          <w:t>https://sdgs.un.org/goals/goal3</w:t>
        </w:r>
      </w:hyperlink>
      <w:r w:rsidRPr="00F545BE">
        <w:rPr>
          <w:rFonts w:ascii="Arial" w:hAnsi="Arial" w:cs="Arial"/>
          <w:sz w:val="22"/>
          <w:szCs w:val="22"/>
        </w:rPr>
        <w:t xml:space="preserve"> (Accessed date: 8 April 2026). </w:t>
      </w:r>
    </w:p>
    <w:p w14:paraId="668F3294"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United Nations (2025</w:t>
      </w:r>
      <w:proofErr w:type="gramStart"/>
      <w:r w:rsidRPr="00F545BE">
        <w:rPr>
          <w:rFonts w:ascii="Arial" w:hAnsi="Arial" w:cs="Arial"/>
          <w:sz w:val="22"/>
          <w:szCs w:val="22"/>
        </w:rPr>
        <w:t>b)  SDG</w:t>
      </w:r>
      <w:proofErr w:type="gramEnd"/>
      <w:r w:rsidRPr="00F545BE">
        <w:rPr>
          <w:rFonts w:ascii="Arial" w:hAnsi="Arial" w:cs="Arial"/>
          <w:sz w:val="22"/>
          <w:szCs w:val="22"/>
        </w:rPr>
        <w:t xml:space="preserve"> 4 </w:t>
      </w:r>
      <w:r w:rsidRPr="00F545BE">
        <w:rPr>
          <w:rFonts w:ascii="Arial" w:hAnsi="Arial" w:cs="Arial"/>
          <w:i/>
          <w:iCs/>
          <w:sz w:val="22"/>
          <w:szCs w:val="22"/>
        </w:rPr>
        <w:t xml:space="preserve">- Ensure inclusive and equitable quality education and promote lifelong learning opportunities for all. </w:t>
      </w:r>
      <w:r w:rsidRPr="00F545BE">
        <w:rPr>
          <w:rFonts w:ascii="Arial" w:hAnsi="Arial" w:cs="Arial"/>
          <w:sz w:val="22"/>
          <w:szCs w:val="22"/>
        </w:rPr>
        <w:t xml:space="preserve">Available at: </w:t>
      </w:r>
      <w:hyperlink r:id="rId42" w:history="1">
        <w:r w:rsidRPr="00F545BE">
          <w:rPr>
            <w:rStyle w:val="Hyperlink"/>
            <w:rFonts w:ascii="Arial" w:hAnsi="Arial" w:cs="Arial"/>
            <w:sz w:val="22"/>
            <w:szCs w:val="22"/>
          </w:rPr>
          <w:t>https://sdgs.un.org/goals/goal4</w:t>
        </w:r>
      </w:hyperlink>
      <w:r w:rsidRPr="00F545BE">
        <w:rPr>
          <w:rFonts w:ascii="Arial" w:hAnsi="Arial" w:cs="Arial"/>
          <w:sz w:val="22"/>
          <w:szCs w:val="22"/>
        </w:rPr>
        <w:t xml:space="preserve"> (Accessed date: 8 April 2026).</w:t>
      </w:r>
    </w:p>
    <w:p w14:paraId="1E943D4C"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Votruba, N. and Thornicroft, G. (2016) ‘Sustainable development goals and mental health: learnings from the contribution of the </w:t>
      </w:r>
      <w:proofErr w:type="spellStart"/>
      <w:r w:rsidRPr="00F545BE">
        <w:rPr>
          <w:rFonts w:ascii="Arial" w:hAnsi="Arial" w:cs="Arial"/>
          <w:sz w:val="22"/>
          <w:szCs w:val="22"/>
        </w:rPr>
        <w:t>FundaMentalSDG</w:t>
      </w:r>
      <w:proofErr w:type="spellEnd"/>
      <w:r w:rsidRPr="00F545BE">
        <w:rPr>
          <w:rFonts w:ascii="Arial" w:hAnsi="Arial" w:cs="Arial"/>
          <w:sz w:val="22"/>
          <w:szCs w:val="22"/>
        </w:rPr>
        <w:t xml:space="preserve"> global initiative’, </w:t>
      </w:r>
      <w:r w:rsidRPr="00F545BE">
        <w:rPr>
          <w:rFonts w:ascii="Arial" w:hAnsi="Arial" w:cs="Arial"/>
          <w:i/>
          <w:iCs/>
          <w:sz w:val="22"/>
          <w:szCs w:val="22"/>
        </w:rPr>
        <w:t>Global mental health,</w:t>
      </w:r>
      <w:r w:rsidRPr="00F545BE">
        <w:rPr>
          <w:rFonts w:ascii="Arial" w:hAnsi="Arial" w:cs="Arial"/>
          <w:sz w:val="22"/>
          <w:szCs w:val="22"/>
        </w:rPr>
        <w:t xml:space="preserve"> 3. Available at: </w:t>
      </w:r>
      <w:hyperlink r:id="rId43" w:history="1">
        <w:r w:rsidRPr="00F545BE">
          <w:rPr>
            <w:rStyle w:val="Hyperlink"/>
            <w:rFonts w:ascii="Arial" w:hAnsi="Arial" w:cs="Arial"/>
            <w:sz w:val="22"/>
            <w:szCs w:val="22"/>
          </w:rPr>
          <w:t>https://doi.org/10.1017/gmh.2016.20</w:t>
        </w:r>
      </w:hyperlink>
      <w:r w:rsidRPr="00F545BE">
        <w:rPr>
          <w:rFonts w:ascii="Arial" w:hAnsi="Arial" w:cs="Arial"/>
          <w:sz w:val="22"/>
          <w:szCs w:val="22"/>
        </w:rPr>
        <w:t xml:space="preserve">. </w:t>
      </w:r>
    </w:p>
    <w:p w14:paraId="380044CE"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Wei, F., Tian, C. and Li, T. (2026) ‘The comprehensive influence of critical thinking disposition and problem-solving ability on the </w:t>
      </w:r>
      <w:proofErr w:type="spellStart"/>
      <w:r w:rsidRPr="00F545BE">
        <w:rPr>
          <w:rFonts w:ascii="Arial" w:hAnsi="Arial" w:cs="Arial"/>
          <w:sz w:val="22"/>
          <w:szCs w:val="22"/>
        </w:rPr>
        <w:t>labor</w:t>
      </w:r>
      <w:proofErr w:type="spellEnd"/>
      <w:r w:rsidRPr="00F545BE">
        <w:rPr>
          <w:rFonts w:ascii="Arial" w:hAnsi="Arial" w:cs="Arial"/>
          <w:sz w:val="22"/>
          <w:szCs w:val="22"/>
        </w:rPr>
        <w:t xml:space="preserve"> literacy of adolescents’, </w:t>
      </w:r>
      <w:r w:rsidRPr="00F545BE">
        <w:rPr>
          <w:rFonts w:ascii="Arial" w:hAnsi="Arial" w:cs="Arial"/>
          <w:i/>
          <w:iCs/>
          <w:sz w:val="22"/>
          <w:szCs w:val="22"/>
        </w:rPr>
        <w:t>Frontiers in psychology,</w:t>
      </w:r>
      <w:r w:rsidRPr="00F545BE">
        <w:rPr>
          <w:rFonts w:ascii="Arial" w:hAnsi="Arial" w:cs="Arial"/>
          <w:sz w:val="22"/>
          <w:szCs w:val="22"/>
        </w:rPr>
        <w:t xml:space="preserve"> 17, p. 1702960. Available at: </w:t>
      </w:r>
      <w:hyperlink r:id="rId44" w:history="1">
        <w:r w:rsidRPr="00F545BE">
          <w:rPr>
            <w:rStyle w:val="Hyperlink"/>
            <w:rFonts w:ascii="Arial" w:hAnsi="Arial" w:cs="Arial"/>
            <w:sz w:val="22"/>
            <w:szCs w:val="22"/>
          </w:rPr>
          <w:t>https://doi.org/10.3389/fpsyg.2026.1702960</w:t>
        </w:r>
      </w:hyperlink>
      <w:r w:rsidRPr="00F545BE">
        <w:rPr>
          <w:rFonts w:ascii="Arial" w:hAnsi="Arial" w:cs="Arial"/>
          <w:sz w:val="22"/>
          <w:szCs w:val="22"/>
        </w:rPr>
        <w:t xml:space="preserve">. </w:t>
      </w:r>
    </w:p>
    <w:p w14:paraId="7D5C7583" w14:textId="77777777" w:rsidR="00120492" w:rsidRPr="00F545BE" w:rsidRDefault="00120492" w:rsidP="00BF3355">
      <w:pPr>
        <w:spacing w:line="276" w:lineRule="auto"/>
        <w:ind w:left="360"/>
        <w:rPr>
          <w:rFonts w:ascii="Arial" w:hAnsi="Arial" w:cs="Arial"/>
          <w:sz w:val="22"/>
          <w:szCs w:val="22"/>
        </w:rPr>
      </w:pPr>
      <w:r w:rsidRPr="00F545BE">
        <w:rPr>
          <w:rFonts w:ascii="Arial" w:hAnsi="Arial" w:cs="Arial"/>
          <w:sz w:val="22"/>
          <w:szCs w:val="22"/>
        </w:rPr>
        <w:t xml:space="preserve">World Health Organization (2025) </w:t>
      </w:r>
      <w:r w:rsidRPr="00F545BE">
        <w:rPr>
          <w:rFonts w:ascii="Arial" w:hAnsi="Arial" w:cs="Arial"/>
          <w:i/>
          <w:iCs/>
          <w:sz w:val="22"/>
          <w:szCs w:val="22"/>
        </w:rPr>
        <w:t xml:space="preserve">Universal health coverage (UHC). </w:t>
      </w:r>
      <w:r w:rsidRPr="00F545BE">
        <w:rPr>
          <w:rFonts w:ascii="Arial" w:hAnsi="Arial" w:cs="Arial"/>
          <w:sz w:val="22"/>
          <w:szCs w:val="22"/>
        </w:rPr>
        <w:t xml:space="preserve">Available at: </w:t>
      </w:r>
      <w:hyperlink r:id="rId45" w:history="1">
        <w:r w:rsidRPr="00F545BE">
          <w:rPr>
            <w:rStyle w:val="Hyperlink"/>
            <w:rFonts w:ascii="Arial" w:hAnsi="Arial" w:cs="Arial"/>
            <w:sz w:val="22"/>
            <w:szCs w:val="22"/>
          </w:rPr>
          <w:t>https://www.who.int/news-room/fact-sheets/detail/universal-health-coverage-(uhc)</w:t>
        </w:r>
      </w:hyperlink>
      <w:r w:rsidRPr="00F545BE">
        <w:rPr>
          <w:rFonts w:ascii="Arial" w:hAnsi="Arial" w:cs="Arial"/>
          <w:sz w:val="22"/>
          <w:szCs w:val="22"/>
        </w:rPr>
        <w:t xml:space="preserve">  (Accessed date: 1 April 2026).</w:t>
      </w:r>
    </w:p>
    <w:p w14:paraId="5F152B42" w14:textId="77777777" w:rsidR="00120492" w:rsidRPr="00F545BE" w:rsidRDefault="00120492" w:rsidP="00120492">
      <w:pPr>
        <w:rPr>
          <w:rFonts w:ascii="Arial" w:hAnsi="Arial" w:cs="Arial"/>
          <w:sz w:val="22"/>
          <w:szCs w:val="22"/>
        </w:rPr>
      </w:pPr>
    </w:p>
    <w:p w14:paraId="2A58EAA0" w14:textId="77777777" w:rsidR="00722ABC" w:rsidRPr="00F545BE" w:rsidRDefault="00722ABC">
      <w:pPr>
        <w:rPr>
          <w:rFonts w:ascii="Arial" w:hAnsi="Arial" w:cs="Arial"/>
        </w:rPr>
      </w:pPr>
    </w:p>
    <w:sectPr w:rsidR="00722ABC" w:rsidRPr="00F545BE" w:rsidSect="00246FBE">
      <w:footerReference w:type="even" r:id="rId46"/>
      <w:footerReference w:type="default" r:id="rId47"/>
      <w:pgSz w:w="11906" w:h="16838"/>
      <w:pgMar w:top="1440" w:right="1440" w:bottom="1440" w:left="1440" w:header="708" w:footer="708" w:gutter="0"/>
      <w:pgBorders w:display="firstPage"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255D8" w14:textId="77777777" w:rsidR="00DD4871" w:rsidRDefault="00DD4871" w:rsidP="00246FBE">
      <w:pPr>
        <w:spacing w:after="0" w:line="240" w:lineRule="auto"/>
      </w:pPr>
      <w:r>
        <w:separator/>
      </w:r>
    </w:p>
  </w:endnote>
  <w:endnote w:type="continuationSeparator" w:id="0">
    <w:p w14:paraId="3074D336" w14:textId="77777777" w:rsidR="00DD4871" w:rsidRDefault="00DD4871" w:rsidP="00246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064617"/>
      <w:docPartObj>
        <w:docPartGallery w:val="Page Numbers (Bottom of Page)"/>
        <w:docPartUnique/>
      </w:docPartObj>
    </w:sdtPr>
    <w:sdtContent>
      <w:p w14:paraId="260501CB" w14:textId="30066EB3" w:rsidR="00246FBE" w:rsidRDefault="00246FBE" w:rsidP="008A02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7B58A8" w14:textId="77777777" w:rsidR="00246FBE" w:rsidRDefault="00246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7188541"/>
      <w:docPartObj>
        <w:docPartGallery w:val="Page Numbers (Bottom of Page)"/>
        <w:docPartUnique/>
      </w:docPartObj>
    </w:sdtPr>
    <w:sdtContent>
      <w:p w14:paraId="1C55B700" w14:textId="22DA1988" w:rsidR="00246FBE" w:rsidRDefault="00246FBE" w:rsidP="008A02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69790D" w14:textId="77777777" w:rsidR="00246FBE" w:rsidRDefault="00246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CC7B0" w14:textId="77777777" w:rsidR="00DD4871" w:rsidRDefault="00DD4871" w:rsidP="00246FBE">
      <w:pPr>
        <w:spacing w:after="0" w:line="240" w:lineRule="auto"/>
      </w:pPr>
      <w:r>
        <w:separator/>
      </w:r>
    </w:p>
  </w:footnote>
  <w:footnote w:type="continuationSeparator" w:id="0">
    <w:p w14:paraId="11856860" w14:textId="77777777" w:rsidR="00DD4871" w:rsidRDefault="00DD4871" w:rsidP="00246F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492"/>
    <w:rsid w:val="00060206"/>
    <w:rsid w:val="00060FB4"/>
    <w:rsid w:val="00096BA3"/>
    <w:rsid w:val="000A1FBA"/>
    <w:rsid w:val="00120492"/>
    <w:rsid w:val="002340F5"/>
    <w:rsid w:val="00246FBE"/>
    <w:rsid w:val="00270403"/>
    <w:rsid w:val="0027763C"/>
    <w:rsid w:val="0028232B"/>
    <w:rsid w:val="002F4130"/>
    <w:rsid w:val="002F577B"/>
    <w:rsid w:val="0041357A"/>
    <w:rsid w:val="00443514"/>
    <w:rsid w:val="00556503"/>
    <w:rsid w:val="006D2CC3"/>
    <w:rsid w:val="00715361"/>
    <w:rsid w:val="00722ABC"/>
    <w:rsid w:val="007A4DCD"/>
    <w:rsid w:val="007B7541"/>
    <w:rsid w:val="00843325"/>
    <w:rsid w:val="00861CC1"/>
    <w:rsid w:val="008E1405"/>
    <w:rsid w:val="009349FA"/>
    <w:rsid w:val="009E1DD6"/>
    <w:rsid w:val="00A34AAA"/>
    <w:rsid w:val="00A442EC"/>
    <w:rsid w:val="00AD5DC2"/>
    <w:rsid w:val="00AE157A"/>
    <w:rsid w:val="00B05447"/>
    <w:rsid w:val="00B95A33"/>
    <w:rsid w:val="00B96D49"/>
    <w:rsid w:val="00BB704B"/>
    <w:rsid w:val="00BF3355"/>
    <w:rsid w:val="00C16615"/>
    <w:rsid w:val="00CA6A5C"/>
    <w:rsid w:val="00D259E1"/>
    <w:rsid w:val="00D75611"/>
    <w:rsid w:val="00DD4871"/>
    <w:rsid w:val="00E03819"/>
    <w:rsid w:val="00E277FF"/>
    <w:rsid w:val="00E64596"/>
    <w:rsid w:val="00E86333"/>
    <w:rsid w:val="00EC5646"/>
    <w:rsid w:val="00F146C2"/>
    <w:rsid w:val="00F545BE"/>
    <w:rsid w:val="00F60670"/>
    <w:rsid w:val="00FE0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BDD8C"/>
  <w15:chartTrackingRefBased/>
  <w15:docId w15:val="{E83DA8EB-3DF4-B642-A683-2432CE17D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492"/>
    <w:rPr>
      <w:lang w:eastAsia="en-US"/>
    </w:rPr>
  </w:style>
  <w:style w:type="paragraph" w:styleId="Heading1">
    <w:name w:val="heading 1"/>
    <w:basedOn w:val="Normal"/>
    <w:next w:val="Normal"/>
    <w:link w:val="Heading1Char"/>
    <w:uiPriority w:val="9"/>
    <w:qFormat/>
    <w:rsid w:val="00246FBE"/>
    <w:pPr>
      <w:keepNext/>
      <w:keepLines/>
      <w:spacing w:before="360" w:after="80"/>
      <w:outlineLvl w:val="0"/>
    </w:pPr>
    <w:rPr>
      <w:rFonts w:ascii="Arial" w:eastAsiaTheme="majorEastAsia" w:hAnsi="Arial" w:cstheme="majorBidi"/>
      <w:color w:val="000000" w:themeColor="text1"/>
      <w:sz w:val="28"/>
      <w:szCs w:val="40"/>
      <w:lang w:eastAsia="en-GB"/>
    </w:rPr>
  </w:style>
  <w:style w:type="paragraph" w:styleId="Heading2">
    <w:name w:val="heading 2"/>
    <w:basedOn w:val="Normal"/>
    <w:next w:val="Normal"/>
    <w:link w:val="Heading2Char"/>
    <w:uiPriority w:val="9"/>
    <w:unhideWhenUsed/>
    <w:qFormat/>
    <w:rsid w:val="00246FBE"/>
    <w:pPr>
      <w:keepNext/>
      <w:keepLines/>
      <w:spacing w:before="160" w:after="80"/>
      <w:outlineLvl w:val="1"/>
    </w:pPr>
    <w:rPr>
      <w:rFonts w:ascii="Arial" w:eastAsiaTheme="majorEastAsia" w:hAnsi="Arial" w:cstheme="majorBidi"/>
      <w:b/>
      <w:color w:val="000000" w:themeColor="text1"/>
      <w:szCs w:val="32"/>
      <w:lang w:eastAsia="en-GB"/>
    </w:rPr>
  </w:style>
  <w:style w:type="paragraph" w:styleId="Heading3">
    <w:name w:val="heading 3"/>
    <w:basedOn w:val="Normal"/>
    <w:next w:val="Normal"/>
    <w:link w:val="Heading3Char"/>
    <w:uiPriority w:val="9"/>
    <w:unhideWhenUsed/>
    <w:qFormat/>
    <w:rsid w:val="00120492"/>
    <w:pPr>
      <w:keepNext/>
      <w:keepLines/>
      <w:spacing w:before="160" w:after="80"/>
      <w:outlineLvl w:val="2"/>
    </w:pPr>
    <w:rPr>
      <w:rFonts w:eastAsiaTheme="majorEastAsia" w:cstheme="majorBidi"/>
      <w:color w:val="0F4761" w:themeColor="accent1" w:themeShade="BF"/>
      <w:sz w:val="28"/>
      <w:szCs w:val="28"/>
      <w:lang w:eastAsia="en-GB"/>
    </w:rPr>
  </w:style>
  <w:style w:type="paragraph" w:styleId="Heading4">
    <w:name w:val="heading 4"/>
    <w:basedOn w:val="Normal"/>
    <w:next w:val="Normal"/>
    <w:link w:val="Heading4Char"/>
    <w:uiPriority w:val="9"/>
    <w:semiHidden/>
    <w:unhideWhenUsed/>
    <w:qFormat/>
    <w:rsid w:val="00120492"/>
    <w:pPr>
      <w:keepNext/>
      <w:keepLines/>
      <w:spacing w:before="80" w:after="40"/>
      <w:outlineLvl w:val="3"/>
    </w:pPr>
    <w:rPr>
      <w:rFonts w:eastAsiaTheme="majorEastAsia" w:cstheme="majorBidi"/>
      <w:i/>
      <w:iCs/>
      <w:color w:val="0F4761" w:themeColor="accent1" w:themeShade="BF"/>
      <w:lang w:eastAsia="en-GB"/>
    </w:rPr>
  </w:style>
  <w:style w:type="paragraph" w:styleId="Heading5">
    <w:name w:val="heading 5"/>
    <w:basedOn w:val="Normal"/>
    <w:next w:val="Normal"/>
    <w:link w:val="Heading5Char"/>
    <w:uiPriority w:val="9"/>
    <w:semiHidden/>
    <w:unhideWhenUsed/>
    <w:qFormat/>
    <w:rsid w:val="00120492"/>
    <w:pPr>
      <w:keepNext/>
      <w:keepLines/>
      <w:spacing w:before="80" w:after="40"/>
      <w:outlineLvl w:val="4"/>
    </w:pPr>
    <w:rPr>
      <w:rFonts w:eastAsiaTheme="majorEastAsia" w:cstheme="majorBidi"/>
      <w:color w:val="0F4761" w:themeColor="accent1" w:themeShade="BF"/>
      <w:lang w:eastAsia="en-GB"/>
    </w:rPr>
  </w:style>
  <w:style w:type="paragraph" w:styleId="Heading6">
    <w:name w:val="heading 6"/>
    <w:basedOn w:val="Normal"/>
    <w:next w:val="Normal"/>
    <w:link w:val="Heading6Char"/>
    <w:uiPriority w:val="9"/>
    <w:semiHidden/>
    <w:unhideWhenUsed/>
    <w:qFormat/>
    <w:rsid w:val="00120492"/>
    <w:pPr>
      <w:keepNext/>
      <w:keepLines/>
      <w:spacing w:before="40" w:after="0"/>
      <w:outlineLvl w:val="5"/>
    </w:pPr>
    <w:rPr>
      <w:rFonts w:eastAsiaTheme="majorEastAsia" w:cstheme="majorBidi"/>
      <w:i/>
      <w:iCs/>
      <w:color w:val="595959" w:themeColor="text1" w:themeTint="A6"/>
      <w:lang w:eastAsia="en-GB"/>
    </w:rPr>
  </w:style>
  <w:style w:type="paragraph" w:styleId="Heading7">
    <w:name w:val="heading 7"/>
    <w:basedOn w:val="Normal"/>
    <w:next w:val="Normal"/>
    <w:link w:val="Heading7Char"/>
    <w:uiPriority w:val="9"/>
    <w:semiHidden/>
    <w:unhideWhenUsed/>
    <w:qFormat/>
    <w:rsid w:val="00120492"/>
    <w:pPr>
      <w:keepNext/>
      <w:keepLines/>
      <w:spacing w:before="40" w:after="0"/>
      <w:outlineLvl w:val="6"/>
    </w:pPr>
    <w:rPr>
      <w:rFonts w:eastAsiaTheme="majorEastAsia" w:cstheme="majorBidi"/>
      <w:color w:val="595959" w:themeColor="text1" w:themeTint="A6"/>
      <w:lang w:eastAsia="en-GB"/>
    </w:rPr>
  </w:style>
  <w:style w:type="paragraph" w:styleId="Heading8">
    <w:name w:val="heading 8"/>
    <w:basedOn w:val="Normal"/>
    <w:next w:val="Normal"/>
    <w:link w:val="Heading8Char"/>
    <w:uiPriority w:val="9"/>
    <w:semiHidden/>
    <w:unhideWhenUsed/>
    <w:qFormat/>
    <w:rsid w:val="00120492"/>
    <w:pPr>
      <w:keepNext/>
      <w:keepLines/>
      <w:spacing w:after="0"/>
      <w:outlineLvl w:val="7"/>
    </w:pPr>
    <w:rPr>
      <w:rFonts w:eastAsiaTheme="majorEastAsia" w:cstheme="majorBidi"/>
      <w:i/>
      <w:iCs/>
      <w:color w:val="272727" w:themeColor="text1" w:themeTint="D8"/>
      <w:lang w:eastAsia="en-GB"/>
    </w:rPr>
  </w:style>
  <w:style w:type="paragraph" w:styleId="Heading9">
    <w:name w:val="heading 9"/>
    <w:basedOn w:val="Normal"/>
    <w:next w:val="Normal"/>
    <w:link w:val="Heading9Char"/>
    <w:uiPriority w:val="9"/>
    <w:semiHidden/>
    <w:unhideWhenUsed/>
    <w:qFormat/>
    <w:rsid w:val="00120492"/>
    <w:pPr>
      <w:keepNext/>
      <w:keepLines/>
      <w:spacing w:after="0"/>
      <w:outlineLvl w:val="8"/>
    </w:pPr>
    <w:rPr>
      <w:rFonts w:eastAsiaTheme="majorEastAsia" w:cstheme="majorBidi"/>
      <w:color w:val="272727" w:themeColor="text1" w:themeTint="D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FBE"/>
    <w:rPr>
      <w:rFonts w:ascii="Arial" w:eastAsiaTheme="majorEastAsia" w:hAnsi="Arial" w:cstheme="majorBidi"/>
      <w:color w:val="000000" w:themeColor="text1"/>
      <w:sz w:val="28"/>
      <w:szCs w:val="40"/>
    </w:rPr>
  </w:style>
  <w:style w:type="character" w:customStyle="1" w:styleId="Heading2Char">
    <w:name w:val="Heading 2 Char"/>
    <w:basedOn w:val="DefaultParagraphFont"/>
    <w:link w:val="Heading2"/>
    <w:uiPriority w:val="9"/>
    <w:rsid w:val="00246FBE"/>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120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492"/>
    <w:rPr>
      <w:rFonts w:eastAsiaTheme="majorEastAsia" w:cstheme="majorBidi"/>
      <w:color w:val="272727" w:themeColor="text1" w:themeTint="D8"/>
    </w:rPr>
  </w:style>
  <w:style w:type="paragraph" w:styleId="Title">
    <w:name w:val="Title"/>
    <w:basedOn w:val="Normal"/>
    <w:next w:val="Normal"/>
    <w:link w:val="TitleChar"/>
    <w:uiPriority w:val="10"/>
    <w:qFormat/>
    <w:rsid w:val="00120492"/>
    <w:pPr>
      <w:spacing w:after="8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120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492"/>
    <w:pPr>
      <w:numPr>
        <w:ilvl w:val="1"/>
      </w:numPr>
    </w:pPr>
    <w:rPr>
      <w:rFonts w:eastAsiaTheme="majorEastAsia" w:cstheme="majorBidi"/>
      <w:color w:val="595959" w:themeColor="text1" w:themeTint="A6"/>
      <w:spacing w:val="15"/>
      <w:sz w:val="28"/>
      <w:szCs w:val="28"/>
      <w:lang w:eastAsia="en-GB"/>
    </w:rPr>
  </w:style>
  <w:style w:type="character" w:customStyle="1" w:styleId="SubtitleChar">
    <w:name w:val="Subtitle Char"/>
    <w:basedOn w:val="DefaultParagraphFont"/>
    <w:link w:val="Subtitle"/>
    <w:uiPriority w:val="11"/>
    <w:rsid w:val="00120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492"/>
    <w:pPr>
      <w:spacing w:before="160"/>
      <w:jc w:val="center"/>
    </w:pPr>
    <w:rPr>
      <w:i/>
      <w:iCs/>
      <w:color w:val="404040" w:themeColor="text1" w:themeTint="BF"/>
      <w:lang w:eastAsia="en-GB"/>
    </w:rPr>
  </w:style>
  <w:style w:type="character" w:customStyle="1" w:styleId="QuoteChar">
    <w:name w:val="Quote Char"/>
    <w:basedOn w:val="DefaultParagraphFont"/>
    <w:link w:val="Quote"/>
    <w:uiPriority w:val="29"/>
    <w:rsid w:val="00120492"/>
    <w:rPr>
      <w:i/>
      <w:iCs/>
      <w:color w:val="404040" w:themeColor="text1" w:themeTint="BF"/>
    </w:rPr>
  </w:style>
  <w:style w:type="paragraph" w:styleId="ListParagraph">
    <w:name w:val="List Paragraph"/>
    <w:basedOn w:val="Normal"/>
    <w:uiPriority w:val="34"/>
    <w:qFormat/>
    <w:rsid w:val="00120492"/>
    <w:pPr>
      <w:ind w:left="720"/>
      <w:contextualSpacing/>
    </w:pPr>
    <w:rPr>
      <w:lang w:eastAsia="en-GB"/>
    </w:rPr>
  </w:style>
  <w:style w:type="character" w:styleId="IntenseEmphasis">
    <w:name w:val="Intense Emphasis"/>
    <w:basedOn w:val="DefaultParagraphFont"/>
    <w:uiPriority w:val="21"/>
    <w:qFormat/>
    <w:rsid w:val="00120492"/>
    <w:rPr>
      <w:i/>
      <w:iCs/>
      <w:color w:val="0F4761" w:themeColor="accent1" w:themeShade="BF"/>
    </w:rPr>
  </w:style>
  <w:style w:type="paragraph" w:styleId="IntenseQuote">
    <w:name w:val="Intense Quote"/>
    <w:basedOn w:val="Normal"/>
    <w:next w:val="Normal"/>
    <w:link w:val="IntenseQuoteChar"/>
    <w:uiPriority w:val="30"/>
    <w:qFormat/>
    <w:rsid w:val="00120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en-GB"/>
    </w:rPr>
  </w:style>
  <w:style w:type="character" w:customStyle="1" w:styleId="IntenseQuoteChar">
    <w:name w:val="Intense Quote Char"/>
    <w:basedOn w:val="DefaultParagraphFont"/>
    <w:link w:val="IntenseQuote"/>
    <w:uiPriority w:val="30"/>
    <w:rsid w:val="00120492"/>
    <w:rPr>
      <w:i/>
      <w:iCs/>
      <w:color w:val="0F4761" w:themeColor="accent1" w:themeShade="BF"/>
    </w:rPr>
  </w:style>
  <w:style w:type="character" w:styleId="IntenseReference">
    <w:name w:val="Intense Reference"/>
    <w:basedOn w:val="DefaultParagraphFont"/>
    <w:uiPriority w:val="32"/>
    <w:qFormat/>
    <w:rsid w:val="00120492"/>
    <w:rPr>
      <w:b/>
      <w:bCs/>
      <w:smallCaps/>
      <w:color w:val="0F4761" w:themeColor="accent1" w:themeShade="BF"/>
      <w:spacing w:val="5"/>
    </w:rPr>
  </w:style>
  <w:style w:type="paragraph" w:styleId="NoSpacing">
    <w:name w:val="No Spacing"/>
    <w:link w:val="NoSpacingChar"/>
    <w:uiPriority w:val="1"/>
    <w:qFormat/>
    <w:rsid w:val="00120492"/>
    <w:pPr>
      <w:spacing w:after="0" w:line="240" w:lineRule="auto"/>
    </w:pPr>
    <w:rPr>
      <w:rFonts w:eastAsiaTheme="minorEastAsia"/>
      <w:kern w:val="0"/>
      <w:sz w:val="22"/>
      <w:szCs w:val="22"/>
      <w:lang w:val="en-US" w:eastAsia="en-US"/>
      <w14:ligatures w14:val="none"/>
    </w:rPr>
  </w:style>
  <w:style w:type="character" w:customStyle="1" w:styleId="NoSpacingChar">
    <w:name w:val="No Spacing Char"/>
    <w:basedOn w:val="DefaultParagraphFont"/>
    <w:link w:val="NoSpacing"/>
    <w:uiPriority w:val="1"/>
    <w:rsid w:val="00120492"/>
    <w:rPr>
      <w:rFonts w:eastAsiaTheme="minorEastAsia"/>
      <w:kern w:val="0"/>
      <w:sz w:val="22"/>
      <w:szCs w:val="22"/>
      <w:lang w:val="en-US" w:eastAsia="en-US"/>
      <w14:ligatures w14:val="none"/>
    </w:rPr>
  </w:style>
  <w:style w:type="character" w:styleId="Hyperlink">
    <w:name w:val="Hyperlink"/>
    <w:basedOn w:val="DefaultParagraphFont"/>
    <w:uiPriority w:val="99"/>
    <w:unhideWhenUsed/>
    <w:rsid w:val="00120492"/>
    <w:rPr>
      <w:color w:val="467886" w:themeColor="hyperlink"/>
      <w:u w:val="single"/>
    </w:rPr>
  </w:style>
  <w:style w:type="paragraph" w:styleId="TOCHeading">
    <w:name w:val="TOC Heading"/>
    <w:basedOn w:val="Heading1"/>
    <w:next w:val="Normal"/>
    <w:uiPriority w:val="39"/>
    <w:unhideWhenUsed/>
    <w:qFormat/>
    <w:rsid w:val="00120492"/>
    <w:pPr>
      <w:spacing w:before="480" w:after="0" w:line="276" w:lineRule="auto"/>
      <w:outlineLvl w:val="9"/>
    </w:pPr>
    <w:rPr>
      <w:b/>
      <w:bCs/>
      <w:kern w:val="0"/>
      <w:szCs w:val="28"/>
      <w:lang w:val="en-US" w:eastAsia="en-US"/>
      <w14:ligatures w14:val="none"/>
    </w:rPr>
  </w:style>
  <w:style w:type="paragraph" w:styleId="TOC1">
    <w:name w:val="toc 1"/>
    <w:basedOn w:val="Normal"/>
    <w:next w:val="Normal"/>
    <w:autoRedefine/>
    <w:uiPriority w:val="39"/>
    <w:unhideWhenUsed/>
    <w:rsid w:val="00120492"/>
    <w:pPr>
      <w:spacing w:before="120" w:after="0"/>
    </w:pPr>
    <w:rPr>
      <w:b/>
      <w:bCs/>
      <w:i/>
      <w:iCs/>
    </w:rPr>
  </w:style>
  <w:style w:type="paragraph" w:styleId="TOC2">
    <w:name w:val="toc 2"/>
    <w:basedOn w:val="Normal"/>
    <w:next w:val="Normal"/>
    <w:autoRedefine/>
    <w:uiPriority w:val="39"/>
    <w:unhideWhenUsed/>
    <w:rsid w:val="00120492"/>
    <w:pPr>
      <w:spacing w:before="120" w:after="0"/>
      <w:ind w:left="240"/>
    </w:pPr>
    <w:rPr>
      <w:b/>
      <w:bCs/>
      <w:sz w:val="22"/>
      <w:szCs w:val="22"/>
    </w:rPr>
  </w:style>
  <w:style w:type="paragraph" w:styleId="Footer">
    <w:name w:val="footer"/>
    <w:basedOn w:val="Normal"/>
    <w:link w:val="FooterChar"/>
    <w:uiPriority w:val="99"/>
    <w:unhideWhenUsed/>
    <w:rsid w:val="00246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FBE"/>
    <w:rPr>
      <w:lang w:eastAsia="en-US"/>
    </w:rPr>
  </w:style>
  <w:style w:type="character" w:styleId="PageNumber">
    <w:name w:val="page number"/>
    <w:basedOn w:val="DefaultParagraphFont"/>
    <w:uiPriority w:val="99"/>
    <w:semiHidden/>
    <w:unhideWhenUsed/>
    <w:rsid w:val="00246FBE"/>
  </w:style>
  <w:style w:type="character" w:styleId="UnresolvedMention">
    <w:name w:val="Unresolved Mention"/>
    <w:basedOn w:val="DefaultParagraphFont"/>
    <w:uiPriority w:val="99"/>
    <w:semiHidden/>
    <w:unhideWhenUsed/>
    <w:rsid w:val="00246FBE"/>
    <w:rPr>
      <w:color w:val="605E5C"/>
      <w:shd w:val="clear" w:color="auto" w:fill="E1DFDD"/>
    </w:rPr>
  </w:style>
  <w:style w:type="paragraph" w:styleId="TOC3">
    <w:name w:val="toc 3"/>
    <w:basedOn w:val="Normal"/>
    <w:next w:val="Normal"/>
    <w:autoRedefine/>
    <w:uiPriority w:val="39"/>
    <w:semiHidden/>
    <w:unhideWhenUsed/>
    <w:rsid w:val="00B95A33"/>
    <w:pPr>
      <w:spacing w:after="0"/>
      <w:ind w:left="480"/>
    </w:pPr>
    <w:rPr>
      <w:sz w:val="20"/>
      <w:szCs w:val="20"/>
    </w:rPr>
  </w:style>
  <w:style w:type="paragraph" w:styleId="TOC4">
    <w:name w:val="toc 4"/>
    <w:basedOn w:val="Normal"/>
    <w:next w:val="Normal"/>
    <w:autoRedefine/>
    <w:uiPriority w:val="39"/>
    <w:semiHidden/>
    <w:unhideWhenUsed/>
    <w:rsid w:val="00B95A33"/>
    <w:pPr>
      <w:spacing w:after="0"/>
      <w:ind w:left="720"/>
    </w:pPr>
    <w:rPr>
      <w:sz w:val="20"/>
      <w:szCs w:val="20"/>
    </w:rPr>
  </w:style>
  <w:style w:type="paragraph" w:styleId="TOC5">
    <w:name w:val="toc 5"/>
    <w:basedOn w:val="Normal"/>
    <w:next w:val="Normal"/>
    <w:autoRedefine/>
    <w:uiPriority w:val="39"/>
    <w:semiHidden/>
    <w:unhideWhenUsed/>
    <w:rsid w:val="00B95A33"/>
    <w:pPr>
      <w:spacing w:after="0"/>
      <w:ind w:left="960"/>
    </w:pPr>
    <w:rPr>
      <w:sz w:val="20"/>
      <w:szCs w:val="20"/>
    </w:rPr>
  </w:style>
  <w:style w:type="paragraph" w:styleId="TOC6">
    <w:name w:val="toc 6"/>
    <w:basedOn w:val="Normal"/>
    <w:next w:val="Normal"/>
    <w:autoRedefine/>
    <w:uiPriority w:val="39"/>
    <w:semiHidden/>
    <w:unhideWhenUsed/>
    <w:rsid w:val="00B95A33"/>
    <w:pPr>
      <w:spacing w:after="0"/>
      <w:ind w:left="1200"/>
    </w:pPr>
    <w:rPr>
      <w:sz w:val="20"/>
      <w:szCs w:val="20"/>
    </w:rPr>
  </w:style>
  <w:style w:type="paragraph" w:styleId="TOC7">
    <w:name w:val="toc 7"/>
    <w:basedOn w:val="Normal"/>
    <w:next w:val="Normal"/>
    <w:autoRedefine/>
    <w:uiPriority w:val="39"/>
    <w:semiHidden/>
    <w:unhideWhenUsed/>
    <w:rsid w:val="00B95A33"/>
    <w:pPr>
      <w:spacing w:after="0"/>
      <w:ind w:left="1440"/>
    </w:pPr>
    <w:rPr>
      <w:sz w:val="20"/>
      <w:szCs w:val="20"/>
    </w:rPr>
  </w:style>
  <w:style w:type="paragraph" w:styleId="TOC8">
    <w:name w:val="toc 8"/>
    <w:basedOn w:val="Normal"/>
    <w:next w:val="Normal"/>
    <w:autoRedefine/>
    <w:uiPriority w:val="39"/>
    <w:semiHidden/>
    <w:unhideWhenUsed/>
    <w:rsid w:val="00B95A33"/>
    <w:pPr>
      <w:spacing w:after="0"/>
      <w:ind w:left="1680"/>
    </w:pPr>
    <w:rPr>
      <w:sz w:val="20"/>
      <w:szCs w:val="20"/>
    </w:rPr>
  </w:style>
  <w:style w:type="paragraph" w:styleId="TOC9">
    <w:name w:val="toc 9"/>
    <w:basedOn w:val="Normal"/>
    <w:next w:val="Normal"/>
    <w:autoRedefine/>
    <w:uiPriority w:val="39"/>
    <w:semiHidden/>
    <w:unhideWhenUsed/>
    <w:rsid w:val="00B95A33"/>
    <w:pPr>
      <w:spacing w:after="0"/>
      <w:ind w:left="1920"/>
    </w:pPr>
    <w:rPr>
      <w:sz w:val="20"/>
      <w:szCs w:val="20"/>
    </w:rPr>
  </w:style>
  <w:style w:type="paragraph" w:styleId="Header">
    <w:name w:val="header"/>
    <w:basedOn w:val="Normal"/>
    <w:link w:val="HeaderChar"/>
    <w:uiPriority w:val="99"/>
    <w:unhideWhenUsed/>
    <w:rsid w:val="009E1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D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90214">
      <w:bodyDiv w:val="1"/>
      <w:marLeft w:val="0"/>
      <w:marRight w:val="0"/>
      <w:marTop w:val="0"/>
      <w:marBottom w:val="0"/>
      <w:divBdr>
        <w:top w:val="none" w:sz="0" w:space="0" w:color="auto"/>
        <w:left w:val="none" w:sz="0" w:space="0" w:color="auto"/>
        <w:bottom w:val="none" w:sz="0" w:space="0" w:color="auto"/>
        <w:right w:val="none" w:sz="0" w:space="0" w:color="auto"/>
      </w:divBdr>
    </w:div>
    <w:div w:id="42507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7554/eLife.43990" TargetMode="External"/><Relationship Id="rId18" Type="http://schemas.openxmlformats.org/officeDocument/2006/relationships/hyperlink" Target="https://theconversation.com/obesity-strategy-policies-placing-responsibility-on-individuals-dont-work-so-why-does-the-government-keep-using-them-144310" TargetMode="External"/><Relationship Id="rId26" Type="http://schemas.openxmlformats.org/officeDocument/2006/relationships/hyperlink" Target="https://www.ons.gov.uk/peoplepopulationandcommunity/healthandsocialcare/healthandlifeexpectancies/bulletins/lifeexpectancyforlocalareasoftheuk/between2001to2003and2022to2024" TargetMode="External"/><Relationship Id="rId39" Type="http://schemas.openxmlformats.org/officeDocument/2006/relationships/hyperlink" Target="https://www.gov.uk/government/publications/health-inequalities-in-health-protection-report/health-inequalities-in-health-protection-report-2025" TargetMode="External"/><Relationship Id="rId21" Type="http://schemas.openxmlformats.org/officeDocument/2006/relationships/hyperlink" Target="https://doi.org/10.1093/her/cyv064" TargetMode="External"/><Relationship Id="rId34" Type="http://schemas.openxmlformats.org/officeDocument/2006/relationships/hyperlink" Target="https://www.towerhamlets.gov.uk/Documents/Children-and-families-services/Early_help/TH-Early-Help-Strategy.pdf" TargetMode="External"/><Relationship Id="rId42" Type="http://schemas.openxmlformats.org/officeDocument/2006/relationships/hyperlink" Target="https://sdgs.un.org/goals/goal4" TargetMode="External"/><Relationship Id="rId47"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3390/jpm12081295" TargetMode="External"/><Relationship Id="rId29" Type="http://schemas.openxmlformats.org/officeDocument/2006/relationships/hyperlink" Target="https://assets.publishing.service.gov.uk/media/61265801e90e070541075822/Evaluation_of_the_NHS_App_PHE_Report_25Aug2020.pdf" TargetMode="External"/><Relationship Id="rId11" Type="http://schemas.openxmlformats.org/officeDocument/2006/relationships/hyperlink" Target="https://doi.org/10.3389/feduc.2025.1638482" TargetMode="External"/><Relationship Id="rId24" Type="http://schemas.openxmlformats.org/officeDocument/2006/relationships/hyperlink" Target="https://www.npeu.ox.ac.uk/mbrrace-uk" TargetMode="External"/><Relationship Id="rId32" Type="http://schemas.openxmlformats.org/officeDocument/2006/relationships/hyperlink" Target="https://nuffieldtrust.org.uk/sites/default/files/2025-09/Nuffield%20Trust%252%20From%20hospital%20to%20community_WEB.pdf" TargetMode="External"/><Relationship Id="rId37" Type="http://schemas.openxmlformats.org/officeDocument/2006/relationships/hyperlink" Target="https://doi.org/10.1016/S2468-2667(20)30144-4" TargetMode="External"/><Relationship Id="rId40" Type="http://schemas.openxmlformats.org/officeDocument/2006/relationships/hyperlink" Target="https://sdgs.un.org/2030agenda" TargetMode="External"/><Relationship Id="rId45" Type="http://schemas.openxmlformats.org/officeDocument/2006/relationships/hyperlink" Target="https://www.who.int/news-room/fact-sheets/detail/universal-health-coverage-(uhc)" TargetMode="External"/><Relationship Id="rId5" Type="http://schemas.openxmlformats.org/officeDocument/2006/relationships/footnotes" Target="footnotes.xml"/><Relationship Id="rId15" Type="http://schemas.openxmlformats.org/officeDocument/2006/relationships/hyperlink" Target="https://doi.org/10.1007/s11739-025-03941-3" TargetMode="External"/><Relationship Id="rId23" Type="http://schemas.openxmlformats.org/officeDocument/2006/relationships/hyperlink" Target="https://www.kingsfund.org.uk/insight-and-analysis/blogs/comparing-nhs-to-health-care-systems-other-countries" TargetMode="External"/><Relationship Id="rId28" Type="http://schemas.openxmlformats.org/officeDocument/2006/relationships/hyperlink" Target="https://post.parliament.uk/integrating-health-and-social-care-a-path-to-better-services-and-outcomes/" TargetMode="External"/><Relationship Id="rId36" Type="http://schemas.openxmlformats.org/officeDocument/2006/relationships/hyperlink" Target="https://www.jrf.org.uk/power-and-participation/poverty-stigma-a-glue-that-holds-poverty-in-place" TargetMode="External"/><Relationship Id="rId49" Type="http://schemas.openxmlformats.org/officeDocument/2006/relationships/theme" Target="theme/theme1.xml"/><Relationship Id="rId10" Type="http://schemas.openxmlformats.org/officeDocument/2006/relationships/hyperlink" Target="https://doi.org/10.1111/josh.12570" TargetMode="External"/><Relationship Id="rId19" Type="http://schemas.openxmlformats.org/officeDocument/2006/relationships/hyperlink" Target="https://www.gov.uk/government/news/new-campaign-launch-reveals-six-major-health-benefits-to-losing-weight" TargetMode="External"/><Relationship Id="rId31" Type="http://schemas.openxmlformats.org/officeDocument/2006/relationships/hyperlink" Target="https://doi.org/10.52627/managere.v7i2.672" TargetMode="External"/><Relationship Id="rId44" Type="http://schemas.openxmlformats.org/officeDocument/2006/relationships/hyperlink" Target="https://doi.org/10.3389/fpsyg.2026.1702960" TargetMode="External"/><Relationship Id="rId4" Type="http://schemas.openxmlformats.org/officeDocument/2006/relationships/webSettings" Target="webSettings.xml"/><Relationship Id="rId9" Type="http://schemas.openxmlformats.org/officeDocument/2006/relationships/hyperlink" Target="https://doi.org/10.1007/s00181-022-02260-2" TargetMode="External"/><Relationship Id="rId14" Type="http://schemas.openxmlformats.org/officeDocument/2006/relationships/hyperlink" Target="https://assets.publishing.service.gov.uk/media/69de5281b0b0b93055e04f92/Families_first_partnership_programme_guide_year_2.pdf" TargetMode="External"/><Relationship Id="rId22" Type="http://schemas.openxmlformats.org/officeDocument/2006/relationships/hyperlink" Target="https://desapublications.un.org/un-desa-voice/sdg-blog/september-2022/crisis-education-sdgs-long-term-impact-covid-19-and-digital" TargetMode="External"/><Relationship Id="rId27" Type="http://schemas.openxmlformats.org/officeDocument/2006/relationships/hyperlink" Target="https://doi.org/10.1016/j.ijedudev.2023.102963" TargetMode="External"/><Relationship Id="rId30" Type="http://schemas.openxmlformats.org/officeDocument/2006/relationships/hyperlink" Target="https://www.gov.uk/government/news/major-new-campaign-encourages-millions-to-lose-weight-and-cut-covid-19-risk" TargetMode="External"/><Relationship Id="rId35" Type="http://schemas.openxmlformats.org/officeDocument/2006/relationships/hyperlink" Target="https://www.towerhamletstogether.com/our-work/communities-keeping-well" TargetMode="External"/><Relationship Id="rId43" Type="http://schemas.openxmlformats.org/officeDocument/2006/relationships/hyperlink" Target="https://doi.org/10.1017/gmh.2016.20" TargetMode="External"/><Relationship Id="rId48" Type="http://schemas.openxmlformats.org/officeDocument/2006/relationships/fontTable" Target="fontTable.xml"/><Relationship Id="rId8" Type="http://schemas.openxmlformats.org/officeDocument/2006/relationships/hyperlink" Target="https://www.kingsfund.org.uk/insight-and-analysis/long-reads/ten-year-health-plan-explained" TargetMode="External"/><Relationship Id="rId3" Type="http://schemas.openxmlformats.org/officeDocument/2006/relationships/settings" Target="settings.xml"/><Relationship Id="rId12" Type="http://schemas.openxmlformats.org/officeDocument/2006/relationships/hyperlink" Target="https://doi.org/10.1093/haschl/qxad091" TargetMode="External"/><Relationship Id="rId17" Type="http://schemas.openxmlformats.org/officeDocument/2006/relationships/hyperlink" Target="https://www.oecd.org/content/dam/oecd/en/publications/reports/2025/11/health-at-a-glance-2025-country-notes_2f94481e/united-kingdom_145ab487/82034050-en.pdf" TargetMode="External"/><Relationship Id="rId25" Type="http://schemas.openxmlformats.org/officeDocument/2006/relationships/hyperlink" Target="https://www.england.nhs.uk/long-term-plan/" TargetMode="External"/><Relationship Id="rId33" Type="http://schemas.openxmlformats.org/officeDocument/2006/relationships/hyperlink" Target="https://doi.org/10.1177/1359105320985576" TargetMode="External"/><Relationship Id="rId38" Type="http://schemas.openxmlformats.org/officeDocument/2006/relationships/hyperlink" Target="https://www.towerhamlets.gov.uk/Documents/Public-Health/JSNA/JSNA_Summary.pdf" TargetMode="External"/><Relationship Id="rId46" Type="http://schemas.openxmlformats.org/officeDocument/2006/relationships/footer" Target="footer1.xml"/><Relationship Id="rId20" Type="http://schemas.openxmlformats.org/officeDocument/2006/relationships/hyperlink" Target="https://www.instituteofhealthequity.org/resources-reports/marmot-review-10-years-on" TargetMode="External"/><Relationship Id="rId41" Type="http://schemas.openxmlformats.org/officeDocument/2006/relationships/hyperlink" Target="https://sdgs.un.org/goals/goal3"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1F1AE-F46E-CE49-AAF9-CA6C3062B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4597</Words>
  <Characters>26206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Sharon Maureen McDermott (2243145)</cp:lastModifiedBy>
  <cp:revision>9</cp:revision>
  <dcterms:created xsi:type="dcterms:W3CDTF">2026-04-21T13:09:00Z</dcterms:created>
  <dcterms:modified xsi:type="dcterms:W3CDTF">2026-04-21T13:42:00Z</dcterms:modified>
</cp:coreProperties>
</file>