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DB54B" w14:textId="44ED0D4A" w:rsidR="002275BA" w:rsidRDefault="00082460"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 xml:space="preserve">Student </w:t>
      </w:r>
      <w:r w:rsidR="002834FE">
        <w:rPr>
          <w:rFonts w:ascii="Times New Roman" w:eastAsia="Times New Roman" w:hAnsi="Times New Roman" w:cs="Times New Roman"/>
          <w:b/>
          <w:bCs/>
          <w:kern w:val="36"/>
          <w:sz w:val="48"/>
          <w:szCs w:val="48"/>
          <w14:ligatures w14:val="none"/>
        </w:rPr>
        <w:t>Name: Norin Mahmood</w:t>
      </w:r>
    </w:p>
    <w:p w14:paraId="598197CA" w14:textId="5AB2CCD9" w:rsidR="002834FE" w:rsidRDefault="002834FE"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Student ID: 2411895</w:t>
      </w:r>
    </w:p>
    <w:p w14:paraId="232EF7AA" w14:textId="1E75D173" w:rsidR="002834FE" w:rsidRDefault="002834FE"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Module</w:t>
      </w:r>
      <w:r w:rsidR="000A3024">
        <w:rPr>
          <w:rFonts w:ascii="Times New Roman" w:eastAsia="Times New Roman" w:hAnsi="Times New Roman" w:cs="Times New Roman"/>
          <w:b/>
          <w:bCs/>
          <w:kern w:val="36"/>
          <w:sz w:val="48"/>
          <w:szCs w:val="48"/>
          <w14:ligatures w14:val="none"/>
        </w:rPr>
        <w:t xml:space="preserve"> Code: BMHP5021</w:t>
      </w:r>
    </w:p>
    <w:p w14:paraId="49276C56" w14:textId="73538262" w:rsidR="000A3024" w:rsidRDefault="000A3024" w:rsidP="00B92A67">
      <w:pPr>
        <w:pStyle w:val="p1"/>
        <w:rPr>
          <w:rFonts w:eastAsia="Times New Roman"/>
          <w:b/>
          <w:bCs/>
          <w:kern w:val="36"/>
          <w:sz w:val="48"/>
          <w:szCs w:val="48"/>
        </w:rPr>
      </w:pPr>
      <w:r>
        <w:rPr>
          <w:rFonts w:eastAsia="Times New Roman"/>
          <w:b/>
          <w:bCs/>
          <w:kern w:val="36"/>
          <w:sz w:val="48"/>
          <w:szCs w:val="48"/>
        </w:rPr>
        <w:t>Module title:</w:t>
      </w:r>
      <w:r w:rsidR="00B92A67">
        <w:rPr>
          <w:rFonts w:eastAsia="Times New Roman"/>
          <w:b/>
          <w:bCs/>
          <w:kern w:val="36"/>
          <w:sz w:val="48"/>
          <w:szCs w:val="48"/>
        </w:rPr>
        <w:t xml:space="preserve"> Professional development within </w:t>
      </w:r>
      <w:r w:rsidR="00895778">
        <w:rPr>
          <w:rFonts w:eastAsia="Times New Roman"/>
          <w:b/>
          <w:bCs/>
          <w:kern w:val="36"/>
          <w:sz w:val="48"/>
          <w:szCs w:val="48"/>
        </w:rPr>
        <w:t>health and social care</w:t>
      </w:r>
      <w:r w:rsidR="00C03B1F">
        <w:rPr>
          <w:rFonts w:eastAsia="Times New Roman"/>
          <w:b/>
          <w:bCs/>
          <w:kern w:val="36"/>
          <w:sz w:val="48"/>
          <w:szCs w:val="48"/>
        </w:rPr>
        <w:t>/ Component 2</w:t>
      </w:r>
    </w:p>
    <w:p w14:paraId="7C81D6ED" w14:textId="77777777" w:rsidR="00083B6C" w:rsidRDefault="00083B6C" w:rsidP="00B92A67">
      <w:pPr>
        <w:pStyle w:val="p1"/>
        <w:rPr>
          <w:rFonts w:eastAsia="Times New Roman"/>
          <w:b/>
          <w:bCs/>
          <w:kern w:val="36"/>
          <w:sz w:val="48"/>
          <w:szCs w:val="48"/>
        </w:rPr>
      </w:pPr>
    </w:p>
    <w:p w14:paraId="0931C84F"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61B5255"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5C3785C"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5665241"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2A3308E"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2AC6346"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1C1E336"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FA2CA11"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2189184"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69B83E7" w14:textId="77777777" w:rsidR="002275BA" w:rsidRDefault="002275BA"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D25518A" w14:textId="77777777" w:rsidR="00CE0EE6" w:rsidRDefault="00CE0EE6"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C8EB37A" w14:textId="50F5B4C9" w:rsidR="00AC6AB1" w:rsidRPr="00AC6AB1" w:rsidRDefault="00AC6AB1" w:rsidP="00AC6AB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C6AB1">
        <w:rPr>
          <w:rFonts w:ascii="Times New Roman" w:eastAsia="Times New Roman" w:hAnsi="Times New Roman" w:cs="Times New Roman"/>
          <w:b/>
          <w:bCs/>
          <w:kern w:val="36"/>
          <w:sz w:val="48"/>
          <w:szCs w:val="48"/>
          <w14:ligatures w14:val="none"/>
        </w:rPr>
        <w:lastRenderedPageBreak/>
        <w:t>Component 2 – Written Report</w:t>
      </w:r>
    </w:p>
    <w:p w14:paraId="2988153B" w14:textId="77777777" w:rsidR="00AC6AB1" w:rsidRPr="00AC6AB1" w:rsidRDefault="00AC6AB1" w:rsidP="00AC6AB1">
      <w:pPr>
        <w:spacing w:before="100" w:beforeAutospacing="1" w:after="100" w:afterAutospacing="1" w:line="240" w:lineRule="auto"/>
        <w:rPr>
          <w:rFonts w:ascii="Times New Roman" w:hAnsi="Times New Roman" w:cs="Times New Roman"/>
          <w:kern w:val="0"/>
          <w14:ligatures w14:val="none"/>
        </w:rPr>
      </w:pPr>
    </w:p>
    <w:p w14:paraId="64A33DF7" w14:textId="77777777" w:rsidR="00AC6AB1" w:rsidRPr="00AC6AB1" w:rsidRDefault="00AC6AB1" w:rsidP="00AC6AB1">
      <w:pPr>
        <w:spacing w:before="100" w:beforeAutospacing="1" w:after="100" w:afterAutospacing="1" w:line="240" w:lineRule="auto"/>
        <w:rPr>
          <w:rFonts w:ascii="Times New Roman" w:hAnsi="Times New Roman" w:cs="Times New Roman"/>
          <w:kern w:val="0"/>
          <w14:ligatures w14:val="none"/>
        </w:rPr>
      </w:pPr>
      <w:r w:rsidRPr="00AC6AB1">
        <w:rPr>
          <w:rFonts w:ascii="Times New Roman" w:hAnsi="Times New Roman" w:cs="Times New Roman"/>
          <w:kern w:val="0"/>
          <w14:ligatures w14:val="none"/>
        </w:rPr>
        <w:t>An examination and analysis of how the ‘Early Help’ system is signposted to UK families by their local authority website</w:t>
      </w:r>
    </w:p>
    <w:p w14:paraId="658D1C26" w14:textId="77777777" w:rsidR="00AC6AB1" w:rsidRPr="00AC6AB1" w:rsidRDefault="00AC6AB1" w:rsidP="00AC6AB1">
      <w:pPr>
        <w:spacing w:after="0" w:line="240" w:lineRule="auto"/>
        <w:rPr>
          <w:rFonts w:ascii="Times New Roman" w:eastAsia="Times New Roman" w:hAnsi="Times New Roman" w:cs="Times New Roman"/>
          <w:kern w:val="0"/>
          <w14:ligatures w14:val="none"/>
        </w:rPr>
      </w:pPr>
      <w:r w:rsidRPr="00AC6AB1">
        <w:rPr>
          <w:rFonts w:ascii="Times New Roman" w:eastAsia="Times New Roman" w:hAnsi="Times New Roman" w:cs="Times New Roman"/>
          <w:noProof/>
          <w:kern w:val="0"/>
          <w14:ligatures w14:val="none"/>
        </w:rPr>
        <mc:AlternateContent>
          <mc:Choice Requires="wps">
            <w:drawing>
              <wp:inline distT="0" distB="0" distL="0" distR="0" wp14:anchorId="300AB99E" wp14:editId="267F9D38">
                <wp:extent cx="5731510" cy="1270"/>
                <wp:effectExtent l="0" t="31750" r="0" b="36830"/>
                <wp:docPr id="1848196323"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9DA8D7"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4879F6C" w14:textId="77A35F63" w:rsidR="000C714C" w:rsidRDefault="00AC6AB1" w:rsidP="00C627F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C6AB1">
        <w:rPr>
          <w:rFonts w:ascii="Times New Roman" w:eastAsia="Times New Roman" w:hAnsi="Times New Roman" w:cs="Times New Roman"/>
          <w:b/>
          <w:bCs/>
          <w:kern w:val="0"/>
          <w:sz w:val="36"/>
          <w:szCs w:val="36"/>
          <w14:ligatures w14:val="none"/>
        </w:rPr>
        <w:t>Introduction</w:t>
      </w:r>
    </w:p>
    <w:p w14:paraId="1505A5EC" w14:textId="77777777" w:rsidR="00EE2D38" w:rsidRDefault="00EE2D38">
      <w:pPr>
        <w:pStyle w:val="p1"/>
      </w:pPr>
      <w:r>
        <w:rPr>
          <w:rStyle w:val="s1"/>
        </w:rPr>
        <w:t xml:space="preserve">The Early Help approach in England </w:t>
      </w:r>
      <w:bookmarkStart w:id="0" w:name="_Int_SyiJ34PU"/>
      <w:r>
        <w:rPr>
          <w:rStyle w:val="s1"/>
        </w:rPr>
        <w:t>is designed</w:t>
      </w:r>
      <w:bookmarkEnd w:id="0"/>
      <w:r>
        <w:rPr>
          <w:rStyle w:val="s1"/>
        </w:rPr>
        <w:t xml:space="preserve"> to support children, young people, and their families as soon as difficulties arise, before issues escalate into more complex problems requiring statutory intervention (Department for Levelling Up, Housing and Communities and Department for Education, 2022). Its purpose is to provide </w:t>
      </w:r>
      <w:bookmarkStart w:id="1" w:name="_Int_RxAGV4W5"/>
      <w:r>
        <w:rPr>
          <w:rStyle w:val="s1"/>
        </w:rPr>
        <w:t>timely</w:t>
      </w:r>
      <w:bookmarkEnd w:id="1"/>
      <w:r>
        <w:rPr>
          <w:rStyle w:val="s1"/>
        </w:rPr>
        <w:t xml:space="preserve"> support, build family resilience, and improve long-term outcomes across emotional, social, and developmental areas (HM Government, 2023). In recent years, families in the UK have faced increasing pressures, including economic uncertainty, rising living costs, mental health challenges, and the lasting impacts of the COVID-19 pandemic, which can create barriers to accessing support (Department for Levelling Up, Housing and Communities and Department for Education, 2022). Accessible, clearly presented Early Help information on local authority websites is therefore essential, as it enables families to navigate available services, understand what support is on offer, and make informed decisions about the help they need (HM Government, 2023). This report examines how three local authorities—Leicestershire County Council, Norfolk County Council, and Nottinghamshire County Council—present Early Help information, evaluating clarity, accessibility, and usefulness, and concludes with recommendations to improve family access and engagement.</w:t>
      </w:r>
    </w:p>
    <w:p w14:paraId="57E6948D" w14:textId="77777777" w:rsidR="00EE2D38" w:rsidRPr="00EE2D38" w:rsidRDefault="00EE2D38" w:rsidP="00C627F0">
      <w:pPr>
        <w:spacing w:before="100" w:beforeAutospacing="1" w:after="100" w:afterAutospacing="1" w:line="240" w:lineRule="auto"/>
        <w:outlineLvl w:val="1"/>
        <w:rPr>
          <w:rFonts w:ascii="Times New Roman" w:hAnsi="Times New Roman" w:cs="Times New Roman"/>
          <w:kern w:val="0"/>
          <w:sz w:val="36"/>
          <w:szCs w:val="36"/>
          <w14:ligatures w14:val="none"/>
        </w:rPr>
      </w:pPr>
    </w:p>
    <w:p w14:paraId="11FBDEE2" w14:textId="77777777" w:rsidR="000C714C" w:rsidRDefault="000C714C">
      <w:pPr>
        <w:pStyle w:val="p2"/>
      </w:pPr>
    </w:p>
    <w:p w14:paraId="7F8DA004" w14:textId="77777777" w:rsidR="00AC6AB1" w:rsidRPr="00AC6AB1" w:rsidRDefault="00AC6AB1" w:rsidP="00AC6AB1">
      <w:pPr>
        <w:spacing w:before="100" w:beforeAutospacing="1" w:after="100" w:afterAutospacing="1" w:line="240" w:lineRule="auto"/>
        <w:rPr>
          <w:rFonts w:ascii="Times New Roman" w:hAnsi="Times New Roman" w:cs="Times New Roman"/>
          <w:kern w:val="0"/>
          <w14:ligatures w14:val="none"/>
        </w:rPr>
      </w:pPr>
    </w:p>
    <w:p w14:paraId="7ADF067F" w14:textId="77777777" w:rsidR="00AC6AB1" w:rsidRPr="00AC6AB1" w:rsidRDefault="00AC6AB1" w:rsidP="00AC6AB1">
      <w:pPr>
        <w:spacing w:after="0" w:line="240" w:lineRule="auto"/>
        <w:rPr>
          <w:rFonts w:ascii="Times New Roman" w:eastAsia="Times New Roman" w:hAnsi="Times New Roman" w:cs="Times New Roman"/>
          <w:kern w:val="0"/>
          <w14:ligatures w14:val="none"/>
        </w:rPr>
      </w:pPr>
      <w:r w:rsidRPr="00AC6AB1">
        <w:rPr>
          <w:rFonts w:ascii="Times New Roman" w:eastAsia="Times New Roman" w:hAnsi="Times New Roman" w:cs="Times New Roman"/>
          <w:noProof/>
          <w:kern w:val="0"/>
          <w14:ligatures w14:val="none"/>
        </w:rPr>
        <mc:AlternateContent>
          <mc:Choice Requires="wps">
            <w:drawing>
              <wp:inline distT="0" distB="0" distL="0" distR="0" wp14:anchorId="08BF3760" wp14:editId="2ABC2309">
                <wp:extent cx="5731510" cy="1270"/>
                <wp:effectExtent l="0" t="31750" r="0" b="36830"/>
                <wp:docPr id="101505353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452E14C"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FD501A1" w14:textId="77777777" w:rsidR="00E32548" w:rsidRDefault="00E32548"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0A26596" w14:textId="77777777" w:rsidR="00E32548" w:rsidRDefault="00E32548"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7B53A4E" w14:textId="77777777" w:rsidR="00E32548" w:rsidRDefault="00E32548"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6E0F8A9" w14:textId="77777777" w:rsidR="00E32548" w:rsidRDefault="00E32548"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3BC95C1" w14:textId="77777777" w:rsidR="00E32548" w:rsidRDefault="00E32548"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9091D50" w14:textId="7FB0265C" w:rsidR="00AC6AB1" w:rsidRDefault="00AC6AB1"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C6AB1">
        <w:rPr>
          <w:rFonts w:ascii="Times New Roman" w:eastAsia="Times New Roman" w:hAnsi="Times New Roman" w:cs="Times New Roman"/>
          <w:b/>
          <w:bCs/>
          <w:kern w:val="0"/>
          <w:sz w:val="36"/>
          <w:szCs w:val="36"/>
          <w14:ligatures w14:val="none"/>
        </w:rPr>
        <w:lastRenderedPageBreak/>
        <w:t>The Early Help System</w:t>
      </w:r>
    </w:p>
    <w:p w14:paraId="7143FE05" w14:textId="77777777" w:rsidR="003B25B9" w:rsidRDefault="003B25B9">
      <w:pPr>
        <w:pStyle w:val="p1"/>
      </w:pPr>
      <w:r>
        <w:rPr>
          <w:rStyle w:val="s1"/>
        </w:rPr>
        <w:t xml:space="preserve">Early Help in England is a proactive approach designed to support children, young people, and their families at the earliest point when difficulties arise, before these issues escalate and require statutory intervention (Department for Levelling Up, Housing and Communities and Department for Education, 2022). It is a system-wide strategy rather than a single service, involving a wide range of professionals and agencies working together to </w:t>
      </w:r>
      <w:bookmarkStart w:id="2" w:name="_Int_lChbrT2L"/>
      <w:r>
        <w:rPr>
          <w:rStyle w:val="s1"/>
        </w:rPr>
        <w:t>identify</w:t>
      </w:r>
      <w:bookmarkEnd w:id="2"/>
      <w:r>
        <w:rPr>
          <w:rStyle w:val="s1"/>
        </w:rPr>
        <w:t xml:space="preserve"> needs, provide support, and </w:t>
      </w:r>
      <w:bookmarkStart w:id="3" w:name="_Int_tAyivThx"/>
      <w:r>
        <w:rPr>
          <w:rStyle w:val="s1"/>
        </w:rPr>
        <w:t>monitor</w:t>
      </w:r>
      <w:bookmarkEnd w:id="3"/>
      <w:r>
        <w:rPr>
          <w:rStyle w:val="s1"/>
        </w:rPr>
        <w:t xml:space="preserve"> progress. The goal of Early Help is to build family resilience, improve outcomes across emotional, social, and developmental areas, and reduce the need for crisis intervention or formal child protection procedures (HM Government, 2023).</w:t>
      </w:r>
    </w:p>
    <w:p w14:paraId="58750126" w14:textId="77777777" w:rsidR="003B25B9" w:rsidRDefault="003B25B9">
      <w:pPr>
        <w:pStyle w:val="p2"/>
      </w:pPr>
    </w:p>
    <w:p w14:paraId="1BB9E7E6" w14:textId="77777777" w:rsidR="003B25B9" w:rsidRDefault="003B25B9">
      <w:pPr>
        <w:pStyle w:val="p1"/>
      </w:pPr>
      <w:r>
        <w:rPr>
          <w:rStyle w:val="s1"/>
        </w:rPr>
        <w:t xml:space="preserve">The Early Help System </w:t>
      </w:r>
      <w:bookmarkStart w:id="4" w:name="_Int_3hp0oCVh"/>
      <w:r>
        <w:rPr>
          <w:rStyle w:val="s1"/>
        </w:rPr>
        <w:t>operates</w:t>
      </w:r>
      <w:bookmarkEnd w:id="4"/>
      <w:r>
        <w:rPr>
          <w:rStyle w:val="s1"/>
        </w:rPr>
        <w:t xml:space="preserve"> across a </w:t>
      </w:r>
      <w:r>
        <w:rPr>
          <w:rStyle w:val="s2"/>
        </w:rPr>
        <w:t>continuum of services</w:t>
      </w:r>
      <w:r>
        <w:rPr>
          <w:rStyle w:val="s1"/>
        </w:rPr>
        <w:t xml:space="preserve">. Universal services, such as schools, nurseries, and health visiting, act as the first point of contact, </w:t>
      </w:r>
      <w:bookmarkStart w:id="5" w:name="_Int_h3g1Wy87"/>
      <w:r>
        <w:rPr>
          <w:rStyle w:val="s1"/>
        </w:rPr>
        <w:t>identifying</w:t>
      </w:r>
      <w:bookmarkEnd w:id="5"/>
      <w:r>
        <w:rPr>
          <w:rStyle w:val="s1"/>
        </w:rPr>
        <w:t xml:space="preserve"> potential risks and providing advice or guidance to families. Targeted support </w:t>
      </w:r>
      <w:bookmarkStart w:id="6" w:name="_Int_CpU0bBZs"/>
      <w:r>
        <w:rPr>
          <w:rStyle w:val="s1"/>
        </w:rPr>
        <w:t>is offered</w:t>
      </w:r>
      <w:bookmarkEnd w:id="6"/>
      <w:r>
        <w:rPr>
          <w:rStyle w:val="s1"/>
        </w:rPr>
        <w:t xml:space="preserve"> when families face more complex challenges, which may include parenting programmes, mentoring, counselling, or access to Family Hubs where multiple services </w:t>
      </w:r>
      <w:bookmarkStart w:id="7" w:name="_Int_5htttdFY"/>
      <w:r>
        <w:rPr>
          <w:rStyle w:val="s1"/>
        </w:rPr>
        <w:t>are coordinated</w:t>
      </w:r>
      <w:bookmarkEnd w:id="7"/>
      <w:r>
        <w:rPr>
          <w:rStyle w:val="s1"/>
        </w:rPr>
        <w:t xml:space="preserve">. For example, a family noticing early signs of a child experiencing anxiety or behavioural difficulties might first receive guidance from a school counsellor. If issues persist, a Team Around the Family (TAF) meeting could be </w:t>
      </w:r>
      <w:bookmarkStart w:id="8" w:name="_Int_x63SgjO9"/>
      <w:r>
        <w:rPr>
          <w:rStyle w:val="s1"/>
        </w:rPr>
        <w:t>convened</w:t>
      </w:r>
      <w:bookmarkEnd w:id="8"/>
      <w:r>
        <w:rPr>
          <w:rStyle w:val="s1"/>
        </w:rPr>
        <w:t>, where professionals from social care, health, and education collaborate to develop a personalised support plan.</w:t>
      </w:r>
    </w:p>
    <w:p w14:paraId="460214E8" w14:textId="77777777" w:rsidR="003B25B9" w:rsidRDefault="003B25B9">
      <w:pPr>
        <w:pStyle w:val="p2"/>
      </w:pPr>
    </w:p>
    <w:p w14:paraId="58E8E484" w14:textId="77777777" w:rsidR="003B25B9" w:rsidRDefault="003B25B9">
      <w:pPr>
        <w:pStyle w:val="p1"/>
      </w:pPr>
      <w:r>
        <w:rPr>
          <w:rStyle w:val="s1"/>
        </w:rPr>
        <w:t xml:space="preserve">According to the Early Help System Guide (Department for Levelling Up, Housing and Communities and Department for Education, 2022), Early Help should be available at any stage in a child’s life and not just in crisis situations. Effective implementation requires clear leadership, consistent thresholds for intervention, and active engagement with families. Statutory guidance in </w:t>
      </w:r>
      <w:r>
        <w:rPr>
          <w:rStyle w:val="s3"/>
        </w:rPr>
        <w:t>Working Together to Safeguard Children 2023</w:t>
      </w:r>
      <w:r>
        <w:rPr>
          <w:rStyle w:val="s1"/>
        </w:rPr>
        <w:t xml:space="preserve"> also highlights Early Help as a core safeguarding mechanism, emphasising early identification of needs and coordinated multi-agency support to prevent escalation to statutory intervention (HM Government, 2023).</w:t>
      </w:r>
    </w:p>
    <w:p w14:paraId="79938CCB" w14:textId="77777777" w:rsidR="003B25B9" w:rsidRDefault="003B25B9">
      <w:pPr>
        <w:pStyle w:val="p2"/>
      </w:pPr>
    </w:p>
    <w:p w14:paraId="2C8D36B7" w14:textId="77777777" w:rsidR="003B25B9" w:rsidRDefault="003B25B9">
      <w:pPr>
        <w:pStyle w:val="p1"/>
      </w:pPr>
      <w:r>
        <w:rPr>
          <w:rStyle w:val="s1"/>
        </w:rPr>
        <w:t>In practice, Early Help ensures that families can access the right support at the right time. By combining universal and targeted services and fostering multi-agency collaboration, Early Help creates a safety net that addresses emerging needs promptly. This approach not only reduces risk but also empowers families, helping them develop the skills, confidence, and resilience needed to navigate challenges independently.</w:t>
      </w:r>
    </w:p>
    <w:p w14:paraId="2BA4A18A" w14:textId="77777777" w:rsidR="003B25B9" w:rsidRPr="003B25B9" w:rsidRDefault="003B25B9" w:rsidP="00AC6AB1">
      <w:pPr>
        <w:spacing w:before="100" w:beforeAutospacing="1" w:after="100" w:afterAutospacing="1" w:line="240" w:lineRule="auto"/>
        <w:outlineLvl w:val="1"/>
        <w:rPr>
          <w:rFonts w:ascii="Times New Roman" w:hAnsi="Times New Roman" w:cs="Times New Roman"/>
          <w:kern w:val="0"/>
          <w:sz w:val="36"/>
          <w:szCs w:val="36"/>
          <w14:ligatures w14:val="none"/>
        </w:rPr>
      </w:pPr>
    </w:p>
    <w:p w14:paraId="4DB6648C" w14:textId="77777777" w:rsidR="00AC6AB1" w:rsidRPr="00AC6AB1" w:rsidRDefault="00AC6AB1" w:rsidP="00AC6AB1">
      <w:pPr>
        <w:spacing w:before="100" w:beforeAutospacing="1" w:after="100" w:afterAutospacing="1" w:line="240" w:lineRule="auto"/>
        <w:rPr>
          <w:rFonts w:ascii="Times New Roman" w:hAnsi="Times New Roman" w:cs="Times New Roman"/>
          <w:kern w:val="0"/>
          <w14:ligatures w14:val="none"/>
        </w:rPr>
      </w:pPr>
    </w:p>
    <w:p w14:paraId="66B2A6CC" w14:textId="77777777" w:rsidR="00AC6AB1" w:rsidRPr="00AC6AB1" w:rsidRDefault="00AC6AB1" w:rsidP="00AC6AB1">
      <w:pPr>
        <w:spacing w:after="0" w:line="240" w:lineRule="auto"/>
        <w:rPr>
          <w:rFonts w:ascii="Times New Roman" w:eastAsia="Times New Roman" w:hAnsi="Times New Roman" w:cs="Times New Roman"/>
          <w:kern w:val="0"/>
          <w14:ligatures w14:val="none"/>
        </w:rPr>
      </w:pPr>
      <w:r w:rsidRPr="00AC6AB1">
        <w:rPr>
          <w:rFonts w:ascii="Times New Roman" w:eastAsia="Times New Roman" w:hAnsi="Times New Roman" w:cs="Times New Roman"/>
          <w:noProof/>
          <w:kern w:val="0"/>
          <w14:ligatures w14:val="none"/>
        </w:rPr>
        <mc:AlternateContent>
          <mc:Choice Requires="wps">
            <w:drawing>
              <wp:inline distT="0" distB="0" distL="0" distR="0" wp14:anchorId="0E98DCD9" wp14:editId="195D3CBD">
                <wp:extent cx="5731510" cy="1270"/>
                <wp:effectExtent l="0" t="31750" r="0" b="36830"/>
                <wp:docPr id="20857507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351B3C"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EB5C4E3" w14:textId="77777777" w:rsidR="00AC6AB1" w:rsidRDefault="00AC6AB1"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C6AB1">
        <w:rPr>
          <w:rFonts w:ascii="Times New Roman" w:eastAsia="Times New Roman" w:hAnsi="Times New Roman" w:cs="Times New Roman"/>
          <w:b/>
          <w:bCs/>
          <w:kern w:val="0"/>
          <w:sz w:val="36"/>
          <w:szCs w:val="36"/>
          <w14:ligatures w14:val="none"/>
        </w:rPr>
        <w:lastRenderedPageBreak/>
        <w:t>Multi</w:t>
      </w:r>
      <w:r w:rsidRPr="00AC6AB1">
        <w:rPr>
          <w:rFonts w:ascii="Times New Roman" w:eastAsia="Times New Roman" w:hAnsi="Times New Roman" w:cs="Times New Roman"/>
          <w:b/>
          <w:bCs/>
          <w:kern w:val="0"/>
          <w:sz w:val="36"/>
          <w:szCs w:val="36"/>
          <w14:ligatures w14:val="none"/>
        </w:rPr>
        <w:noBreakHyphen/>
        <w:t>Agency Working in Early Help</w:t>
      </w:r>
    </w:p>
    <w:p w14:paraId="6AE2FC6B" w14:textId="77777777" w:rsidR="00B21585" w:rsidRDefault="00B21585">
      <w:pPr>
        <w:pStyle w:val="p1"/>
      </w:pPr>
      <w:r>
        <w:rPr>
          <w:rStyle w:val="s1"/>
        </w:rPr>
        <w:t xml:space="preserve">Multi-agency working is a collaborative approach where professionals from different sectors and organisations work together to meet the needs of children and families. It is central to the effectiveness of the Early Help system because it ensures that support </w:t>
      </w:r>
      <w:bookmarkStart w:id="9" w:name="_Int_NP1vSQjL"/>
      <w:r>
        <w:rPr>
          <w:rStyle w:val="s1"/>
        </w:rPr>
        <w:t>is coordinated</w:t>
      </w:r>
      <w:bookmarkEnd w:id="9"/>
      <w:r>
        <w:rPr>
          <w:rStyle w:val="s1"/>
        </w:rPr>
        <w:t xml:space="preserve">, comprehensive, and responsive to emerging needs (HM Government, 2023). Without collaboration, services may </w:t>
      </w:r>
      <w:bookmarkStart w:id="10" w:name="_Int_fEuEeWxm"/>
      <w:r>
        <w:rPr>
          <w:rStyle w:val="s1"/>
        </w:rPr>
        <w:t>operate</w:t>
      </w:r>
      <w:bookmarkEnd w:id="10"/>
      <w:r>
        <w:rPr>
          <w:rStyle w:val="s1"/>
        </w:rPr>
        <w:t xml:space="preserve"> in silos, leading to duplication of effort, missed opportunities to </w:t>
      </w:r>
      <w:bookmarkStart w:id="11" w:name="_Int_KxEXlOxo"/>
      <w:r>
        <w:rPr>
          <w:rStyle w:val="s1"/>
        </w:rPr>
        <w:t>identify</w:t>
      </w:r>
      <w:bookmarkEnd w:id="11"/>
      <w:r>
        <w:rPr>
          <w:rStyle w:val="s1"/>
        </w:rPr>
        <w:t xml:space="preserve"> risk, and confusion for families navigating support systems.</w:t>
      </w:r>
    </w:p>
    <w:p w14:paraId="20FA7F59" w14:textId="77777777" w:rsidR="00B21585" w:rsidRDefault="00B21585">
      <w:pPr>
        <w:pStyle w:val="p2"/>
      </w:pPr>
    </w:p>
    <w:p w14:paraId="44F43127" w14:textId="77777777" w:rsidR="00B21585" w:rsidRDefault="00B21585">
      <w:pPr>
        <w:pStyle w:val="p1"/>
      </w:pPr>
      <w:r>
        <w:rPr>
          <w:rStyle w:val="s1"/>
        </w:rPr>
        <w:t>Agencies involved in Early Help can include social care, health services, education providers, voluntary organisations, housing, police, and other community services. Working together often involves structured meetings such as Team Around the Family (TAF) sessions, joint planning, shared assessments, and communication protocols. For example, a family experiencing multiple challenges—such as a child with behavioural difficulties, a parent with mental health needs, and financial stress—might be supported through a TAF meeting where social workers, school staff, health professionals, and voluntary sector workers jointly develop and monitor a tailored support plan. This ensures the family receives consistent guidance and avoids repeating the same information to multiple services.</w:t>
      </w:r>
    </w:p>
    <w:p w14:paraId="670E8B5E" w14:textId="77777777" w:rsidR="00B21585" w:rsidRDefault="00B21585">
      <w:pPr>
        <w:pStyle w:val="p2"/>
      </w:pPr>
    </w:p>
    <w:p w14:paraId="34058C10" w14:textId="77777777" w:rsidR="00B21585" w:rsidRDefault="00B21585">
      <w:pPr>
        <w:pStyle w:val="p1"/>
      </w:pPr>
      <w:r>
        <w:rPr>
          <w:rStyle w:val="s1"/>
        </w:rPr>
        <w:t>While multi-agency working has clear benefits, it also faces challenges. Differences in organisational priorities, confidentiality rules, resource limitations, and communication barriers can make collaboration complex (Cleaver et al., 2019). Professionals must navigate these challenges while keeping the child’s needs central. Research has shown that successful multi-agency working relies on clear leadership, shared goals, mutual trust, and effective communication channels (Burgess, 2020).</w:t>
      </w:r>
    </w:p>
    <w:p w14:paraId="53DAFF67" w14:textId="77777777" w:rsidR="00B21585" w:rsidRDefault="00B21585">
      <w:pPr>
        <w:pStyle w:val="p2"/>
      </w:pPr>
    </w:p>
    <w:p w14:paraId="1384F819" w14:textId="77777777" w:rsidR="00B21585" w:rsidRDefault="00B21585">
      <w:pPr>
        <w:pStyle w:val="p1"/>
      </w:pPr>
      <w:r>
        <w:rPr>
          <w:rStyle w:val="s1"/>
        </w:rPr>
        <w:t xml:space="preserve">The statutory guidance in </w:t>
      </w:r>
      <w:r>
        <w:rPr>
          <w:rStyle w:val="s2"/>
        </w:rPr>
        <w:t>Working Together to Safeguard Children 2023</w:t>
      </w:r>
      <w:r>
        <w:rPr>
          <w:rStyle w:val="s1"/>
        </w:rPr>
        <w:t xml:space="preserve"> highlights the necessity of multi-agency working, requiring local safeguarding partnerships to have arrangements in place for coordinated Early Help assessments and interventions (HM Government, 2023). Effective collaboration ensures that families receive the right support at the right time, preventing escalation to statutory child protection measures and promoting positive outcomes across emotional, social, and educational domains.</w:t>
      </w:r>
    </w:p>
    <w:p w14:paraId="6F2E9D36" w14:textId="77777777" w:rsidR="00B21585" w:rsidRDefault="00B21585">
      <w:pPr>
        <w:pStyle w:val="p2"/>
      </w:pPr>
    </w:p>
    <w:p w14:paraId="6A52216B" w14:textId="77777777" w:rsidR="00B21585" w:rsidRDefault="00B21585">
      <w:pPr>
        <w:pStyle w:val="p1"/>
      </w:pPr>
      <w:r>
        <w:rPr>
          <w:rStyle w:val="s1"/>
        </w:rPr>
        <w:t xml:space="preserve">In summary, multi-agency working strengthens the Early Help system by combining the </w:t>
      </w:r>
      <w:bookmarkStart w:id="12" w:name="_Int_Ad0pXv9m"/>
      <w:r>
        <w:rPr>
          <w:rStyle w:val="s1"/>
        </w:rPr>
        <w:t>expertise</w:t>
      </w:r>
      <w:bookmarkEnd w:id="12"/>
      <w:r>
        <w:rPr>
          <w:rStyle w:val="s1"/>
        </w:rPr>
        <w:t xml:space="preserve">, resources, and perspectives of multiple professionals. When implemented effectively, it allows families to access integrated support that is </w:t>
      </w:r>
      <w:bookmarkStart w:id="13" w:name="_Int_FywBy22m"/>
      <w:r>
        <w:rPr>
          <w:rStyle w:val="s1"/>
        </w:rPr>
        <w:t>timely</w:t>
      </w:r>
      <w:bookmarkEnd w:id="13"/>
      <w:r>
        <w:rPr>
          <w:rStyle w:val="s1"/>
        </w:rPr>
        <w:t>, coherent, and responsive to their unique circumstances.</w:t>
      </w:r>
    </w:p>
    <w:p w14:paraId="7A2580D1" w14:textId="77777777" w:rsidR="00484B91" w:rsidRDefault="00484B91" w:rsidP="00484B91">
      <w:pPr>
        <w:spacing w:after="0" w:line="240" w:lineRule="auto"/>
        <w:rPr>
          <w:rFonts w:ascii="Times New Roman" w:hAnsi="Times New Roman" w:cs="Times New Roman"/>
          <w:kern w:val="0"/>
          <w:sz w:val="36"/>
          <w:szCs w:val="36"/>
          <w14:ligatures w14:val="none"/>
        </w:rPr>
      </w:pPr>
    </w:p>
    <w:p w14:paraId="247CF6D8" w14:textId="77777777" w:rsidR="00484B91" w:rsidRDefault="00484B91" w:rsidP="00484B91">
      <w:pPr>
        <w:spacing w:after="0" w:line="240" w:lineRule="auto"/>
        <w:rPr>
          <w:rFonts w:ascii="Times New Roman" w:hAnsi="Times New Roman" w:cs="Times New Roman"/>
          <w:kern w:val="0"/>
          <w:sz w:val="36"/>
          <w:szCs w:val="36"/>
          <w14:ligatures w14:val="none"/>
        </w:rPr>
      </w:pPr>
    </w:p>
    <w:p w14:paraId="302141AF" w14:textId="0BCBCCD0" w:rsidR="00AC6AB1" w:rsidRPr="00484B91" w:rsidRDefault="00AC6AB1" w:rsidP="00484B91">
      <w:pPr>
        <w:spacing w:after="0" w:line="240" w:lineRule="auto"/>
        <w:rPr>
          <w:rFonts w:ascii="Times New Roman" w:eastAsia="Times New Roman" w:hAnsi="Times New Roman" w:cs="Times New Roman"/>
          <w:kern w:val="0"/>
          <w14:ligatures w14:val="none"/>
        </w:rPr>
      </w:pPr>
      <w:r w:rsidRPr="00AC6AB1">
        <w:rPr>
          <w:rFonts w:ascii="Times New Roman" w:eastAsia="Times New Roman" w:hAnsi="Times New Roman" w:cs="Times New Roman"/>
          <w:b/>
          <w:bCs/>
          <w:kern w:val="0"/>
          <w:sz w:val="36"/>
          <w:szCs w:val="36"/>
          <w14:ligatures w14:val="none"/>
        </w:rPr>
        <w:lastRenderedPageBreak/>
        <w:t>Evaluation of Local Authority Websites</w:t>
      </w:r>
    </w:p>
    <w:p w14:paraId="06E1A913" w14:textId="77777777" w:rsidR="00AC6AB1" w:rsidRPr="00AC6AB1" w:rsidRDefault="00AC6AB1" w:rsidP="00AC6AB1">
      <w:pPr>
        <w:spacing w:before="100" w:beforeAutospacing="1" w:after="100" w:afterAutospacing="1" w:line="240" w:lineRule="auto"/>
        <w:rPr>
          <w:rFonts w:ascii="Times New Roman" w:hAnsi="Times New Roman" w:cs="Times New Roman"/>
          <w:kern w:val="0"/>
          <w14:ligatures w14:val="none"/>
        </w:rPr>
      </w:pPr>
    </w:p>
    <w:p w14:paraId="1A1FF0DB" w14:textId="77777777" w:rsidR="00AC6AB1" w:rsidRDefault="00AC6AB1" w:rsidP="00AC6AB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C6AB1">
        <w:rPr>
          <w:rFonts w:ascii="Times New Roman" w:eastAsia="Times New Roman" w:hAnsi="Times New Roman" w:cs="Times New Roman"/>
          <w:b/>
          <w:bCs/>
          <w:kern w:val="0"/>
          <w:sz w:val="27"/>
          <w:szCs w:val="27"/>
          <w14:ligatures w14:val="none"/>
        </w:rPr>
        <w:t>Leicestershire County Council</w:t>
      </w:r>
    </w:p>
    <w:p w14:paraId="5B67E42A" w14:textId="77777777" w:rsidR="004A2715" w:rsidRDefault="004A2715">
      <w:pPr>
        <w:pStyle w:val="p1"/>
      </w:pPr>
      <w:r>
        <w:rPr>
          <w:rStyle w:val="s1"/>
        </w:rPr>
        <w:t xml:space="preserve">Leicestershire County Council presents Early Help under the banner “Family Help,” targeting families whose needs cannot </w:t>
      </w:r>
      <w:bookmarkStart w:id="14" w:name="_Int_YPYGEpmT"/>
      <w:r>
        <w:rPr>
          <w:rStyle w:val="s1"/>
        </w:rPr>
        <w:t>be met</w:t>
      </w:r>
      <w:bookmarkEnd w:id="14"/>
      <w:r>
        <w:rPr>
          <w:rStyle w:val="s1"/>
        </w:rPr>
        <w:t xml:space="preserve"> by universal services alone. The website outlines available support such as parenting programmes, workshops, short-term interventions, and enhanced packages for more complex situations. It also provides age-specific information, for example, for families with children aged 0–2 years, highlighting services like health visiting and early years interventions (Leicestershire County Council, no date).</w:t>
      </w:r>
    </w:p>
    <w:p w14:paraId="3BA9004A" w14:textId="77777777" w:rsidR="004A2715" w:rsidRDefault="004A2715">
      <w:pPr>
        <w:pStyle w:val="p2"/>
      </w:pPr>
    </w:p>
    <w:p w14:paraId="5D7CF956" w14:textId="77777777" w:rsidR="004A2715" w:rsidRDefault="004A2715">
      <w:pPr>
        <w:pStyle w:val="p1"/>
      </w:pPr>
      <w:r>
        <w:rPr>
          <w:rStyle w:val="s1"/>
        </w:rPr>
        <w:t xml:space="preserve">The site includes practical signposting, including online referral forms for families and the Multi-Agency Referral Form (MARF) for professionals. Links to Family Hubs provide families with </w:t>
      </w:r>
      <w:bookmarkStart w:id="15" w:name="_Int_A8fTkNWA"/>
      <w:r>
        <w:rPr>
          <w:rStyle w:val="s1"/>
        </w:rPr>
        <w:t>central points</w:t>
      </w:r>
      <w:bookmarkEnd w:id="15"/>
      <w:r>
        <w:rPr>
          <w:rStyle w:val="s1"/>
        </w:rPr>
        <w:t xml:space="preserve"> to access a range of local services.</w:t>
      </w:r>
    </w:p>
    <w:p w14:paraId="1E764C02" w14:textId="77777777" w:rsidR="004A2715" w:rsidRDefault="004A2715">
      <w:pPr>
        <w:pStyle w:val="p2"/>
      </w:pPr>
    </w:p>
    <w:p w14:paraId="3B4EB48E" w14:textId="77777777" w:rsidR="004A2715" w:rsidRDefault="004A2715">
      <w:pPr>
        <w:pStyle w:val="p1"/>
      </w:pPr>
      <w:r>
        <w:rPr>
          <w:rStyle w:val="s1"/>
        </w:rPr>
        <w:t xml:space="preserve">However, the website’s structure can present challenges. Critical information </w:t>
      </w:r>
      <w:bookmarkStart w:id="16" w:name="_Int_Qfxjevuj"/>
      <w:r>
        <w:rPr>
          <w:rStyle w:val="s1"/>
        </w:rPr>
        <w:t>is distributed</w:t>
      </w:r>
      <w:bookmarkEnd w:id="16"/>
      <w:r>
        <w:rPr>
          <w:rStyle w:val="s1"/>
        </w:rPr>
        <w:t xml:space="preserve"> across multiple pages, and some links lead to external sites, which can confuse first-time users. For instance, details of Family Hubs </w:t>
      </w:r>
      <w:bookmarkStart w:id="17" w:name="_Int_9iug38PB"/>
      <w:r>
        <w:rPr>
          <w:rStyle w:val="s1"/>
        </w:rPr>
        <w:t>are found</w:t>
      </w:r>
      <w:bookmarkEnd w:id="17"/>
      <w:r>
        <w:rPr>
          <w:rStyle w:val="s1"/>
        </w:rPr>
        <w:t xml:space="preserve"> outside the main Early Help page, making it harder for families to </w:t>
      </w:r>
      <w:bookmarkStart w:id="18" w:name="_Int_rNsqsk8Z"/>
      <w:r>
        <w:rPr>
          <w:rStyle w:val="s1"/>
        </w:rPr>
        <w:t>immediately</w:t>
      </w:r>
      <w:bookmarkEnd w:id="18"/>
      <w:r>
        <w:rPr>
          <w:rStyle w:val="s1"/>
        </w:rPr>
        <w:t xml:space="preserve"> </w:t>
      </w:r>
      <w:bookmarkStart w:id="19" w:name="_Int_gUz74YZJ"/>
      <w:r>
        <w:rPr>
          <w:rStyle w:val="s1"/>
        </w:rPr>
        <w:t>identify</w:t>
      </w:r>
      <w:bookmarkEnd w:id="19"/>
      <w:r>
        <w:rPr>
          <w:rStyle w:val="s1"/>
        </w:rPr>
        <w:t xml:space="preserve"> relevant services. Clearer signposting on the main page, including visual cues and summaries, would enhance accessibility and user experience.</w:t>
      </w:r>
    </w:p>
    <w:p w14:paraId="55717E88" w14:textId="77777777" w:rsidR="004A2715" w:rsidRDefault="004A2715">
      <w:pPr>
        <w:pStyle w:val="p2"/>
      </w:pPr>
    </w:p>
    <w:p w14:paraId="7E10042A" w14:textId="77777777" w:rsidR="004A2715" w:rsidRDefault="004A2715">
      <w:pPr>
        <w:pStyle w:val="p1"/>
      </w:pPr>
      <w:r>
        <w:rPr>
          <w:rStyle w:val="s2"/>
        </w:rPr>
        <w:t>Norfolk County Council</w:t>
      </w:r>
    </w:p>
    <w:p w14:paraId="477CBA84" w14:textId="77777777" w:rsidR="004A2715" w:rsidRDefault="004A2715">
      <w:pPr>
        <w:pStyle w:val="p2"/>
      </w:pPr>
    </w:p>
    <w:p w14:paraId="170C2C27" w14:textId="77777777" w:rsidR="004A2715" w:rsidRDefault="004A2715">
      <w:pPr>
        <w:pStyle w:val="p1"/>
      </w:pPr>
      <w:r>
        <w:rPr>
          <w:rStyle w:val="s1"/>
        </w:rPr>
        <w:t xml:space="preserve">Norfolk’s Early Help information </w:t>
      </w:r>
      <w:bookmarkStart w:id="20" w:name="_Int_QDCNuwpX"/>
      <w:r>
        <w:rPr>
          <w:rStyle w:val="s1"/>
        </w:rPr>
        <w:t>is housed</w:t>
      </w:r>
      <w:bookmarkEnd w:id="20"/>
      <w:r>
        <w:rPr>
          <w:rStyle w:val="s1"/>
        </w:rPr>
        <w:t xml:space="preserve"> within the broader “Help for Families” section. The site communicates the purpose of Early Help in straightforward, accessible language, explaining that support is available as soon as difficulties arise and can continue until needs </w:t>
      </w:r>
      <w:bookmarkStart w:id="21" w:name="_Int_QI5zFLyk"/>
      <w:r>
        <w:rPr>
          <w:rStyle w:val="s1"/>
        </w:rPr>
        <w:t>are resolved</w:t>
      </w:r>
      <w:bookmarkEnd w:id="21"/>
      <w:r>
        <w:rPr>
          <w:rStyle w:val="s1"/>
        </w:rPr>
        <w:t>. The page covers families with children up to age 18, or 25 for those with special educational needs and disabilities (SEND) (Norfolk County Council, no date).</w:t>
      </w:r>
    </w:p>
    <w:p w14:paraId="4906919C" w14:textId="77777777" w:rsidR="004A2715" w:rsidRDefault="004A2715">
      <w:pPr>
        <w:pStyle w:val="p2"/>
      </w:pPr>
    </w:p>
    <w:p w14:paraId="1C0CE56A" w14:textId="77777777" w:rsidR="004A2715" w:rsidRDefault="004A2715">
      <w:pPr>
        <w:pStyle w:val="p1"/>
      </w:pPr>
      <w:r>
        <w:rPr>
          <w:rStyle w:val="s1"/>
        </w:rPr>
        <w:t xml:space="preserve">A key strength is the emphasis on Family Hubs as the first contact point for support, with clear instructions on how to request help. Online forms allow families to make referrals directly, while professionals </w:t>
      </w:r>
      <w:bookmarkStart w:id="22" w:name="_Int_zjwg8NUl"/>
      <w:r>
        <w:rPr>
          <w:rStyle w:val="s1"/>
        </w:rPr>
        <w:t>are given</w:t>
      </w:r>
      <w:bookmarkEnd w:id="22"/>
      <w:r>
        <w:rPr>
          <w:rStyle w:val="s1"/>
        </w:rPr>
        <w:t xml:space="preserve"> guidance on structured referral pathways.</w:t>
      </w:r>
    </w:p>
    <w:p w14:paraId="35C9E1E2" w14:textId="77777777" w:rsidR="004A2715" w:rsidRDefault="004A2715">
      <w:pPr>
        <w:pStyle w:val="p2"/>
      </w:pPr>
    </w:p>
    <w:p w14:paraId="1CEB74CB" w14:textId="77777777" w:rsidR="004A2715" w:rsidRDefault="004A2715">
      <w:pPr>
        <w:pStyle w:val="p1"/>
      </w:pPr>
      <w:r>
        <w:rPr>
          <w:rStyle w:val="s1"/>
        </w:rPr>
        <w:lastRenderedPageBreak/>
        <w:t xml:space="preserve">Nonetheless, the website provides only basic information on the main page. Details on specific support services, such as counselling, domestic abuse </w:t>
      </w:r>
      <w:bookmarkStart w:id="23" w:name="_Int_CfA55Jh6"/>
      <w:r>
        <w:rPr>
          <w:rStyle w:val="s1"/>
        </w:rPr>
        <w:t>assistance</w:t>
      </w:r>
      <w:bookmarkEnd w:id="23"/>
      <w:r>
        <w:rPr>
          <w:rStyle w:val="s1"/>
        </w:rPr>
        <w:t xml:space="preserve">, and mental health resources, are </w:t>
      </w:r>
      <w:bookmarkStart w:id="24" w:name="_Int_j9w6pPsA"/>
      <w:r>
        <w:rPr>
          <w:rStyle w:val="s1"/>
        </w:rPr>
        <w:t>located</w:t>
      </w:r>
      <w:bookmarkEnd w:id="24"/>
      <w:r>
        <w:rPr>
          <w:rStyle w:val="s1"/>
        </w:rPr>
        <w:t xml:space="preserve"> on </w:t>
      </w:r>
      <w:bookmarkStart w:id="25" w:name="_Int_eKnUrgg5"/>
      <w:r>
        <w:rPr>
          <w:rStyle w:val="s1"/>
        </w:rPr>
        <w:t>additional</w:t>
      </w:r>
      <w:bookmarkEnd w:id="25"/>
      <w:r>
        <w:rPr>
          <w:rStyle w:val="s1"/>
        </w:rPr>
        <w:t xml:space="preserve"> linked pages. Although these links are helpful, they may require users to navigate multiple pages, potentially creating confusion about next steps.</w:t>
      </w:r>
    </w:p>
    <w:p w14:paraId="0FEC537C" w14:textId="77777777" w:rsidR="004A2715" w:rsidRDefault="004A2715">
      <w:pPr>
        <w:pStyle w:val="p2"/>
      </w:pPr>
    </w:p>
    <w:p w14:paraId="784B7750" w14:textId="77777777" w:rsidR="004A2715" w:rsidRDefault="004A2715">
      <w:pPr>
        <w:pStyle w:val="p1"/>
      </w:pPr>
      <w:r>
        <w:rPr>
          <w:rStyle w:val="s2"/>
        </w:rPr>
        <w:t>Nottinghamshire County Council</w:t>
      </w:r>
    </w:p>
    <w:p w14:paraId="022D2BE8" w14:textId="77777777" w:rsidR="004A2715" w:rsidRDefault="004A2715">
      <w:pPr>
        <w:pStyle w:val="p2"/>
      </w:pPr>
    </w:p>
    <w:p w14:paraId="19FA0FB7" w14:textId="77777777" w:rsidR="004A2715" w:rsidRDefault="004A2715">
      <w:pPr>
        <w:pStyle w:val="p1"/>
      </w:pPr>
      <w:r>
        <w:rPr>
          <w:rStyle w:val="s1"/>
        </w:rPr>
        <w:t xml:space="preserve">Nottinghamshire County Council offers the most comprehensive Early Help information of the three websites. The site includes contact details for the Early Help Unit, online referral forms, and information about Family Hub Networks, which </w:t>
      </w:r>
      <w:bookmarkStart w:id="26" w:name="_Int_pja3RFFo"/>
      <w:r>
        <w:rPr>
          <w:rStyle w:val="s1"/>
        </w:rPr>
        <w:t>provide</w:t>
      </w:r>
      <w:bookmarkEnd w:id="26"/>
      <w:r>
        <w:rPr>
          <w:rStyle w:val="s1"/>
        </w:rPr>
        <w:t xml:space="preserve"> a wide range of community services. It also details targeted support options such as early years services, youth services, and specialised initiatives for families facing complex challenges (Nottinghamshire County Council, no date).</w:t>
      </w:r>
    </w:p>
    <w:p w14:paraId="2939AE4F" w14:textId="77777777" w:rsidR="004A2715" w:rsidRDefault="004A2715">
      <w:pPr>
        <w:pStyle w:val="p2"/>
      </w:pPr>
    </w:p>
    <w:p w14:paraId="24E0DA7A" w14:textId="77777777" w:rsidR="004A2715" w:rsidRDefault="004A2715">
      <w:pPr>
        <w:pStyle w:val="p1"/>
      </w:pPr>
      <w:r>
        <w:rPr>
          <w:rStyle w:val="s1"/>
        </w:rPr>
        <w:t xml:space="preserve">This depth of information is a major strength, as it caters to both families and professionals seeking guidance. However, the website’s extensive content can be overwhelming. Families unfamiliar with local authority sites may struggle to </w:t>
      </w:r>
      <w:bookmarkStart w:id="27" w:name="_Int_3DAiSVYX"/>
      <w:r>
        <w:rPr>
          <w:rStyle w:val="s1"/>
        </w:rPr>
        <w:t>locate</w:t>
      </w:r>
      <w:bookmarkEnd w:id="27"/>
      <w:r>
        <w:rPr>
          <w:rStyle w:val="s1"/>
        </w:rPr>
        <w:t xml:space="preserve"> the precise information they need. Simplified summaries, visual flowcharts, or highlighted key actions could improve accessibility and user-friendliness, allowing users to </w:t>
      </w:r>
      <w:bookmarkStart w:id="28" w:name="_Int_hcNf14Ri"/>
      <w:r>
        <w:rPr>
          <w:rStyle w:val="s1"/>
        </w:rPr>
        <w:t>identify</w:t>
      </w:r>
      <w:bookmarkEnd w:id="28"/>
      <w:r>
        <w:rPr>
          <w:rStyle w:val="s1"/>
        </w:rPr>
        <w:t xml:space="preserve"> relevant support more quickly.</w:t>
      </w:r>
    </w:p>
    <w:p w14:paraId="612A42A0" w14:textId="77777777" w:rsidR="004A2715" w:rsidRDefault="004A2715">
      <w:pPr>
        <w:pStyle w:val="p2"/>
      </w:pPr>
    </w:p>
    <w:p w14:paraId="2D4AD8D5" w14:textId="77777777" w:rsidR="004A2715" w:rsidRDefault="004A2715">
      <w:pPr>
        <w:pStyle w:val="p1"/>
      </w:pPr>
      <w:r>
        <w:rPr>
          <w:rStyle w:val="s2"/>
        </w:rPr>
        <w:t>Summary of Evaluation</w:t>
      </w:r>
    </w:p>
    <w:p w14:paraId="2B6D1BA7" w14:textId="77777777" w:rsidR="004A2715" w:rsidRDefault="004A2715">
      <w:pPr>
        <w:pStyle w:val="p2"/>
      </w:pPr>
    </w:p>
    <w:p w14:paraId="13CA98F5" w14:textId="77777777" w:rsidR="004A2715" w:rsidRDefault="004A2715">
      <w:pPr>
        <w:pStyle w:val="p1"/>
      </w:pPr>
      <w:r>
        <w:rPr>
          <w:rStyle w:val="s1"/>
        </w:rPr>
        <w:t>Each council website presents Early Help information with distinct strengths. Leicestershire provides detailed service descriptions but lacks intuitive navigation. Norfolk offers clear, family-friendly language and guidance but with limited detail on specific services. Nottinghamshire delivers the most comprehensive content but risks overwhelming users due to its complexity. Overall, accessibility, clarity, and practical navigation vary across the three sites, reflecting different priorities in communicating Early Help services.</w:t>
      </w:r>
    </w:p>
    <w:p w14:paraId="253EA66F" w14:textId="77777777" w:rsidR="004A2715" w:rsidRPr="004A2715" w:rsidRDefault="004A2715" w:rsidP="00AC6AB1">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p>
    <w:p w14:paraId="5667C8D0" w14:textId="77777777" w:rsidR="00AC6AB1" w:rsidRPr="00AC6AB1" w:rsidRDefault="00AC6AB1" w:rsidP="00AC6AB1">
      <w:pPr>
        <w:spacing w:before="100" w:beforeAutospacing="1" w:after="100" w:afterAutospacing="1" w:line="240" w:lineRule="auto"/>
        <w:rPr>
          <w:rFonts w:ascii="Times New Roman" w:hAnsi="Times New Roman" w:cs="Times New Roman"/>
          <w:kern w:val="0"/>
          <w14:ligatures w14:val="none"/>
        </w:rPr>
      </w:pPr>
    </w:p>
    <w:p w14:paraId="5A039102" w14:textId="3FA7A393" w:rsidR="00AC6AB1" w:rsidRPr="00AC6AB1" w:rsidRDefault="00AC6AB1" w:rsidP="00AC6AB1">
      <w:pPr>
        <w:spacing w:after="0" w:line="240" w:lineRule="auto"/>
        <w:rPr>
          <w:rFonts w:ascii="Times New Roman" w:eastAsia="Times New Roman" w:hAnsi="Times New Roman" w:cs="Times New Roman"/>
          <w:kern w:val="0"/>
          <w14:ligatures w14:val="none"/>
        </w:rPr>
      </w:pPr>
    </w:p>
    <w:p w14:paraId="0D0AA1B9" w14:textId="41D91281" w:rsidR="00AC6AB1" w:rsidRPr="00AC6AB1" w:rsidRDefault="00AC6AB1" w:rsidP="00AC6AB1">
      <w:pPr>
        <w:spacing w:after="0" w:line="240" w:lineRule="auto"/>
        <w:rPr>
          <w:rFonts w:ascii="Times New Roman" w:eastAsia="Times New Roman" w:hAnsi="Times New Roman" w:cs="Times New Roman"/>
          <w:kern w:val="0"/>
          <w14:ligatures w14:val="none"/>
        </w:rPr>
      </w:pPr>
    </w:p>
    <w:p w14:paraId="205ADFDA" w14:textId="77777777" w:rsidR="00484B91" w:rsidRDefault="00484B91"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66F2B33" w14:textId="77777777" w:rsidR="00484B91" w:rsidRDefault="00484B91"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BEAF6CB" w14:textId="594A6770" w:rsidR="00AC6AB1" w:rsidRDefault="00AC6AB1"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C6AB1">
        <w:rPr>
          <w:rFonts w:ascii="Times New Roman" w:eastAsia="Times New Roman" w:hAnsi="Times New Roman" w:cs="Times New Roman"/>
          <w:b/>
          <w:bCs/>
          <w:kern w:val="0"/>
          <w:sz w:val="36"/>
          <w:szCs w:val="36"/>
          <w14:ligatures w14:val="none"/>
        </w:rPr>
        <w:lastRenderedPageBreak/>
        <w:t>Comparative Analysis of Strengths and Weaknesses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0"/>
        <w:gridCol w:w="2373"/>
        <w:gridCol w:w="1798"/>
        <w:gridCol w:w="2755"/>
      </w:tblGrid>
      <w:tr w:rsidR="00DA17ED" w:rsidRPr="00DA17ED" w14:paraId="7F7F310F" w14:textId="77777777">
        <w:trPr>
          <w:tblHeader/>
          <w:tblCellSpacing w:w="15" w:type="dxa"/>
        </w:trPr>
        <w:tc>
          <w:tcPr>
            <w:tcW w:w="0" w:type="auto"/>
            <w:vAlign w:val="center"/>
            <w:hideMark/>
          </w:tcPr>
          <w:p w14:paraId="3EED6AD7" w14:textId="77777777" w:rsidR="00DA17ED" w:rsidRPr="00DA17ED" w:rsidRDefault="00DA17ED" w:rsidP="00DA17ED">
            <w:pPr>
              <w:spacing w:before="100" w:beforeAutospacing="1" w:after="100" w:afterAutospacing="1" w:line="240" w:lineRule="auto"/>
              <w:jc w:val="center"/>
              <w:rPr>
                <w:rFonts w:ascii="Times New Roman" w:hAnsi="Times New Roman" w:cs="Times New Roman"/>
                <w:b/>
                <w:bCs/>
                <w:kern w:val="0"/>
                <w14:ligatures w14:val="none"/>
              </w:rPr>
            </w:pPr>
            <w:r w:rsidRPr="00DA17ED">
              <w:rPr>
                <w:rFonts w:ascii="Times New Roman" w:hAnsi="Times New Roman" w:cs="Times New Roman"/>
                <w:b/>
                <w:bCs/>
                <w:kern w:val="0"/>
                <w14:ligatures w14:val="none"/>
              </w:rPr>
              <w:t>Feature</w:t>
            </w:r>
          </w:p>
        </w:tc>
        <w:tc>
          <w:tcPr>
            <w:tcW w:w="0" w:type="auto"/>
            <w:vAlign w:val="center"/>
            <w:hideMark/>
          </w:tcPr>
          <w:p w14:paraId="3528A062" w14:textId="77777777" w:rsidR="00DA17ED" w:rsidRPr="00DA17ED" w:rsidRDefault="00DA17ED" w:rsidP="00DA17ED">
            <w:pPr>
              <w:spacing w:before="100" w:beforeAutospacing="1" w:after="100" w:afterAutospacing="1" w:line="240" w:lineRule="auto"/>
              <w:jc w:val="center"/>
              <w:rPr>
                <w:rFonts w:ascii="Times New Roman" w:hAnsi="Times New Roman" w:cs="Times New Roman"/>
                <w:b/>
                <w:bCs/>
                <w:kern w:val="0"/>
                <w14:ligatures w14:val="none"/>
              </w:rPr>
            </w:pPr>
            <w:r w:rsidRPr="00DA17ED">
              <w:rPr>
                <w:rFonts w:ascii="Times New Roman" w:hAnsi="Times New Roman" w:cs="Times New Roman"/>
                <w:b/>
                <w:bCs/>
                <w:kern w:val="0"/>
                <w14:ligatures w14:val="none"/>
              </w:rPr>
              <w:t>Leicestershire</w:t>
            </w:r>
          </w:p>
        </w:tc>
        <w:tc>
          <w:tcPr>
            <w:tcW w:w="0" w:type="auto"/>
            <w:vAlign w:val="center"/>
            <w:hideMark/>
          </w:tcPr>
          <w:p w14:paraId="729DA71D" w14:textId="77777777" w:rsidR="00DA17ED" w:rsidRPr="00DA17ED" w:rsidRDefault="00DA17ED" w:rsidP="00DA17ED">
            <w:pPr>
              <w:spacing w:before="100" w:beforeAutospacing="1" w:after="100" w:afterAutospacing="1" w:line="240" w:lineRule="auto"/>
              <w:jc w:val="center"/>
              <w:rPr>
                <w:rFonts w:ascii="Times New Roman" w:hAnsi="Times New Roman" w:cs="Times New Roman"/>
                <w:b/>
                <w:bCs/>
                <w:kern w:val="0"/>
                <w14:ligatures w14:val="none"/>
              </w:rPr>
            </w:pPr>
            <w:r w:rsidRPr="00DA17ED">
              <w:rPr>
                <w:rFonts w:ascii="Times New Roman" w:hAnsi="Times New Roman" w:cs="Times New Roman"/>
                <w:b/>
                <w:bCs/>
                <w:kern w:val="0"/>
                <w14:ligatures w14:val="none"/>
              </w:rPr>
              <w:t>Norfolk</w:t>
            </w:r>
          </w:p>
        </w:tc>
        <w:tc>
          <w:tcPr>
            <w:tcW w:w="0" w:type="auto"/>
            <w:vAlign w:val="center"/>
            <w:hideMark/>
          </w:tcPr>
          <w:p w14:paraId="252109BC" w14:textId="77777777" w:rsidR="00DA17ED" w:rsidRPr="00DA17ED" w:rsidRDefault="00DA17ED" w:rsidP="00DA17ED">
            <w:pPr>
              <w:spacing w:before="100" w:beforeAutospacing="1" w:after="100" w:afterAutospacing="1" w:line="240" w:lineRule="auto"/>
              <w:jc w:val="center"/>
              <w:rPr>
                <w:rFonts w:ascii="Times New Roman" w:hAnsi="Times New Roman" w:cs="Times New Roman"/>
                <w:b/>
                <w:bCs/>
                <w:kern w:val="0"/>
                <w14:ligatures w14:val="none"/>
              </w:rPr>
            </w:pPr>
            <w:r w:rsidRPr="00DA17ED">
              <w:rPr>
                <w:rFonts w:ascii="Times New Roman" w:hAnsi="Times New Roman" w:cs="Times New Roman"/>
                <w:b/>
                <w:bCs/>
                <w:kern w:val="0"/>
                <w14:ligatures w14:val="none"/>
              </w:rPr>
              <w:t>Nottinghamshire</w:t>
            </w:r>
          </w:p>
        </w:tc>
      </w:tr>
      <w:tr w:rsidR="00DA17ED" w:rsidRPr="00DA17ED" w14:paraId="6B2944F7" w14:textId="77777777">
        <w:trPr>
          <w:tblCellSpacing w:w="15" w:type="dxa"/>
        </w:trPr>
        <w:tc>
          <w:tcPr>
            <w:tcW w:w="0" w:type="auto"/>
            <w:vAlign w:val="center"/>
            <w:hideMark/>
          </w:tcPr>
          <w:p w14:paraId="4D89FC64"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Clarity of language</w:t>
            </w:r>
          </w:p>
        </w:tc>
        <w:tc>
          <w:tcPr>
            <w:tcW w:w="0" w:type="auto"/>
            <w:vAlign w:val="center"/>
            <w:hideMark/>
          </w:tcPr>
          <w:p w14:paraId="41A47067"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Moderate; technical at points</w:t>
            </w:r>
          </w:p>
        </w:tc>
        <w:tc>
          <w:tcPr>
            <w:tcW w:w="0" w:type="auto"/>
            <w:vAlign w:val="center"/>
            <w:hideMark/>
          </w:tcPr>
          <w:p w14:paraId="5C7904B8"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High; plain English</w:t>
            </w:r>
          </w:p>
        </w:tc>
        <w:tc>
          <w:tcPr>
            <w:tcW w:w="0" w:type="auto"/>
            <w:vAlign w:val="center"/>
            <w:hideMark/>
          </w:tcPr>
          <w:p w14:paraId="29B6F6DD"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Moderate; detailed but complex</w:t>
            </w:r>
          </w:p>
        </w:tc>
      </w:tr>
      <w:tr w:rsidR="00DA17ED" w:rsidRPr="00DA17ED" w14:paraId="5772A742" w14:textId="77777777">
        <w:trPr>
          <w:tblCellSpacing w:w="15" w:type="dxa"/>
        </w:trPr>
        <w:tc>
          <w:tcPr>
            <w:tcW w:w="0" w:type="auto"/>
            <w:vAlign w:val="center"/>
            <w:hideMark/>
          </w:tcPr>
          <w:p w14:paraId="294798EA"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Navigation</w:t>
            </w:r>
          </w:p>
        </w:tc>
        <w:tc>
          <w:tcPr>
            <w:tcW w:w="0" w:type="auto"/>
            <w:vAlign w:val="center"/>
            <w:hideMark/>
          </w:tcPr>
          <w:p w14:paraId="3AC2131D"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Multiple linked pages, some external</w:t>
            </w:r>
          </w:p>
        </w:tc>
        <w:tc>
          <w:tcPr>
            <w:tcW w:w="0" w:type="auto"/>
            <w:vAlign w:val="center"/>
            <w:hideMark/>
          </w:tcPr>
          <w:p w14:paraId="42640BAA"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Clear, central page</w:t>
            </w:r>
          </w:p>
        </w:tc>
        <w:tc>
          <w:tcPr>
            <w:tcW w:w="0" w:type="auto"/>
            <w:vAlign w:val="center"/>
            <w:hideMark/>
          </w:tcPr>
          <w:p w14:paraId="13204137"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Extensive info; requires multiple clicks</w:t>
            </w:r>
          </w:p>
        </w:tc>
      </w:tr>
      <w:tr w:rsidR="00DA17ED" w:rsidRPr="00DA17ED" w14:paraId="17C6455B" w14:textId="77777777">
        <w:trPr>
          <w:tblCellSpacing w:w="15" w:type="dxa"/>
        </w:trPr>
        <w:tc>
          <w:tcPr>
            <w:tcW w:w="0" w:type="auto"/>
            <w:vAlign w:val="center"/>
            <w:hideMark/>
          </w:tcPr>
          <w:p w14:paraId="6487655E"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Contact info</w:t>
            </w:r>
          </w:p>
        </w:tc>
        <w:tc>
          <w:tcPr>
            <w:tcW w:w="0" w:type="auto"/>
            <w:vAlign w:val="center"/>
            <w:hideMark/>
          </w:tcPr>
          <w:p w14:paraId="3948B18C"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Online form &amp; MARF</w:t>
            </w:r>
          </w:p>
        </w:tc>
        <w:tc>
          <w:tcPr>
            <w:tcW w:w="0" w:type="auto"/>
            <w:vAlign w:val="center"/>
            <w:hideMark/>
          </w:tcPr>
          <w:p w14:paraId="34D01F01"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Online form; hubs identified</w:t>
            </w:r>
          </w:p>
        </w:tc>
        <w:tc>
          <w:tcPr>
            <w:tcW w:w="0" w:type="auto"/>
            <w:vAlign w:val="center"/>
            <w:hideMark/>
          </w:tcPr>
          <w:p w14:paraId="2F42265B"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Comprehensive contacts &amp; referral forms</w:t>
            </w:r>
          </w:p>
        </w:tc>
      </w:tr>
      <w:tr w:rsidR="00DA17ED" w:rsidRPr="00DA17ED" w14:paraId="5FB4DCDB" w14:textId="77777777">
        <w:trPr>
          <w:tblCellSpacing w:w="15" w:type="dxa"/>
        </w:trPr>
        <w:tc>
          <w:tcPr>
            <w:tcW w:w="0" w:type="auto"/>
            <w:vAlign w:val="center"/>
            <w:hideMark/>
          </w:tcPr>
          <w:p w14:paraId="2C5F74CC"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Comprehensiveness</w:t>
            </w:r>
          </w:p>
        </w:tc>
        <w:tc>
          <w:tcPr>
            <w:tcW w:w="0" w:type="auto"/>
            <w:vAlign w:val="center"/>
            <w:hideMark/>
          </w:tcPr>
          <w:p w14:paraId="65108D8C"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Moderate</w:t>
            </w:r>
          </w:p>
        </w:tc>
        <w:tc>
          <w:tcPr>
            <w:tcW w:w="0" w:type="auto"/>
            <w:vAlign w:val="center"/>
            <w:hideMark/>
          </w:tcPr>
          <w:p w14:paraId="47133316"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Basic</w:t>
            </w:r>
          </w:p>
        </w:tc>
        <w:tc>
          <w:tcPr>
            <w:tcW w:w="0" w:type="auto"/>
            <w:vAlign w:val="center"/>
            <w:hideMark/>
          </w:tcPr>
          <w:p w14:paraId="469BBD2A"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High; wide range of services</w:t>
            </w:r>
          </w:p>
        </w:tc>
      </w:tr>
      <w:tr w:rsidR="00DA17ED" w:rsidRPr="00DA17ED" w14:paraId="63C89AB7" w14:textId="77777777">
        <w:trPr>
          <w:tblCellSpacing w:w="15" w:type="dxa"/>
        </w:trPr>
        <w:tc>
          <w:tcPr>
            <w:tcW w:w="0" w:type="auto"/>
            <w:vAlign w:val="center"/>
            <w:hideMark/>
          </w:tcPr>
          <w:p w14:paraId="3889AD47"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Suitability for families</w:t>
            </w:r>
          </w:p>
        </w:tc>
        <w:tc>
          <w:tcPr>
            <w:tcW w:w="0" w:type="auto"/>
            <w:vAlign w:val="center"/>
            <w:hideMark/>
          </w:tcPr>
          <w:p w14:paraId="14C94FF7"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Moderate; needs navigation skills</w:t>
            </w:r>
          </w:p>
        </w:tc>
        <w:tc>
          <w:tcPr>
            <w:tcW w:w="0" w:type="auto"/>
            <w:vAlign w:val="center"/>
            <w:hideMark/>
          </w:tcPr>
          <w:p w14:paraId="0A0D8209" w14:textId="77777777"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High; accessible for lay users</w:t>
            </w:r>
          </w:p>
        </w:tc>
        <w:tc>
          <w:tcPr>
            <w:tcW w:w="0" w:type="auto"/>
            <w:vAlign w:val="center"/>
            <w:hideMark/>
          </w:tcPr>
          <w:p w14:paraId="43425BCD" w14:textId="5DF65FAB" w:rsidR="00DA17ED" w:rsidRPr="00DA17ED" w:rsidRDefault="00DA17ED" w:rsidP="00DA17ED">
            <w:pPr>
              <w:spacing w:before="100" w:beforeAutospacing="1" w:after="100" w:afterAutospacing="1" w:line="240" w:lineRule="auto"/>
              <w:rPr>
                <w:rFonts w:ascii="Times New Roman" w:hAnsi="Times New Roman" w:cs="Times New Roman"/>
                <w:kern w:val="0"/>
                <w14:ligatures w14:val="none"/>
              </w:rPr>
            </w:pPr>
            <w:r w:rsidRPr="00DA17ED">
              <w:rPr>
                <w:rFonts w:ascii="Times New Roman" w:hAnsi="Times New Roman" w:cs="Times New Roman"/>
                <w:kern w:val="0"/>
                <w14:ligatures w14:val="none"/>
              </w:rPr>
              <w:t>Moderate; can overwhelm first-time users</w:t>
            </w:r>
          </w:p>
        </w:tc>
      </w:tr>
    </w:tbl>
    <w:p w14:paraId="1611B337" w14:textId="77777777" w:rsidR="00DA17ED" w:rsidRDefault="00DA17ED" w:rsidP="00AC6AB1">
      <w:pPr>
        <w:spacing w:before="100" w:beforeAutospacing="1" w:after="100" w:afterAutospacing="1" w:line="240" w:lineRule="auto"/>
        <w:outlineLvl w:val="1"/>
        <w:rPr>
          <w:rFonts w:ascii="Times New Roman" w:eastAsia="Times New Roman" w:hAnsi="Times New Roman" w:cs="Times New Roman"/>
          <w:kern w:val="0"/>
          <w:sz w:val="36"/>
          <w:szCs w:val="36"/>
          <w14:ligatures w14:val="none"/>
        </w:rPr>
      </w:pPr>
    </w:p>
    <w:p w14:paraId="2BCBFBAB"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Evaluation:</w:t>
      </w:r>
    </w:p>
    <w:p w14:paraId="4B8292EE" w14:textId="77777777" w:rsidR="00D5096C" w:rsidRPr="00D5096C" w:rsidRDefault="00D5096C" w:rsidP="00D5096C">
      <w:pPr>
        <w:numPr>
          <w:ilvl w:val="0"/>
          <w:numId w:val="7"/>
        </w:num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Norfolk is most accessible, prioritising plain language and clear referral pathways.</w:t>
      </w:r>
    </w:p>
    <w:p w14:paraId="6B4B9D0F" w14:textId="77777777" w:rsidR="00D5096C" w:rsidRPr="00D5096C" w:rsidRDefault="00D5096C" w:rsidP="00D5096C">
      <w:pPr>
        <w:numPr>
          <w:ilvl w:val="0"/>
          <w:numId w:val="7"/>
        </w:num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Nottinghamshire is most comprehensive, providing the widest range of services but potentially overwhelming for families.</w:t>
      </w:r>
    </w:p>
    <w:p w14:paraId="4ED5382B" w14:textId="77777777" w:rsidR="00D5096C" w:rsidRPr="00D5096C" w:rsidRDefault="00D5096C" w:rsidP="00D5096C">
      <w:pPr>
        <w:numPr>
          <w:ilvl w:val="0"/>
          <w:numId w:val="7"/>
        </w:num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Leicestershire is in between, offering useful content but with scattered navigation.</w:t>
      </w:r>
    </w:p>
    <w:p w14:paraId="64D89CDD"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6506C2EB"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Critical reflection:</w:t>
      </w:r>
    </w:p>
    <w:p w14:paraId="4F709C25"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Accessibility and clarity are essential for Early Help effectiveness. Detailed content is only valuable if families can find it quickly and understand it. The best approach balances comprehensive information with user-friendly navigation and practical examples.</w:t>
      </w:r>
    </w:p>
    <w:p w14:paraId="2E230B10" w14:textId="77777777" w:rsidR="00D5096C" w:rsidRPr="00D5096C" w:rsidRDefault="00D5096C" w:rsidP="00D5096C">
      <w:pPr>
        <w:spacing w:after="0" w:line="240" w:lineRule="auto"/>
        <w:rPr>
          <w:rFonts w:ascii="Times New Roman" w:eastAsia="Times New Roman" w:hAnsi="Times New Roman" w:cs="Times New Roman"/>
          <w:kern w:val="0"/>
          <w14:ligatures w14:val="none"/>
        </w:rPr>
      </w:pPr>
      <w:r w:rsidRPr="00D5096C">
        <w:rPr>
          <w:rFonts w:ascii="Times New Roman" w:eastAsia="Times New Roman" w:hAnsi="Times New Roman" w:cs="Times New Roman"/>
          <w:noProof/>
          <w:kern w:val="0"/>
          <w14:ligatures w14:val="none"/>
        </w:rPr>
        <mc:AlternateContent>
          <mc:Choice Requires="wps">
            <w:drawing>
              <wp:inline distT="0" distB="0" distL="0" distR="0" wp14:anchorId="3C3D5E92" wp14:editId="1961CD79">
                <wp:extent cx="5731510" cy="1270"/>
                <wp:effectExtent l="0" t="31750" r="0" b="36830"/>
                <wp:docPr id="127820125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95CBF54"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C9CD108" w14:textId="77777777" w:rsidR="00484B91" w:rsidRDefault="00484B91"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6E54799" w14:textId="77777777" w:rsidR="00484B91" w:rsidRDefault="00484B91"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9EEA643" w14:textId="77777777" w:rsidR="00484B91" w:rsidRDefault="00484B91"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69F8A96" w14:textId="77777777" w:rsidR="00484B91" w:rsidRDefault="00484B91"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6A39707" w14:textId="77777777" w:rsidR="00484B91" w:rsidRDefault="00484B91"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36F92D6" w14:textId="77777777" w:rsidR="00484B91" w:rsidRDefault="00484B91"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16C3391" w14:textId="0CE5B579" w:rsidR="00D5096C" w:rsidRPr="00D5096C" w:rsidRDefault="00D5096C" w:rsidP="00D5096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D5096C">
        <w:rPr>
          <w:rFonts w:ascii="Times New Roman" w:eastAsia="Times New Roman" w:hAnsi="Times New Roman" w:cs="Times New Roman"/>
          <w:b/>
          <w:bCs/>
          <w:kern w:val="0"/>
          <w:sz w:val="36"/>
          <w:szCs w:val="36"/>
          <w14:ligatures w14:val="none"/>
        </w:rPr>
        <w:lastRenderedPageBreak/>
        <w:t>Conclusion and Recommendations</w:t>
      </w:r>
    </w:p>
    <w:p w14:paraId="7F02F17A"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2EF6D12E"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All three councils provide valuable Early Help information, but they vary in clarity, accessibility, and comprehensiveness. Norfolk excels in accessibility and clear pathways. Nottinghamshire provides the most detailed information but could improve usability. Leicestershire offers effective content but requires better organisation for first-time users.</w:t>
      </w:r>
    </w:p>
    <w:p w14:paraId="4DC38EED"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624F034C"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Recommendations:</w:t>
      </w:r>
    </w:p>
    <w:p w14:paraId="0C3E555A" w14:textId="77777777" w:rsidR="00D5096C" w:rsidRPr="00D5096C" w:rsidRDefault="00D5096C" w:rsidP="00D5096C">
      <w:pPr>
        <w:numPr>
          <w:ilvl w:val="0"/>
          <w:numId w:val="8"/>
        </w:num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 xml:space="preserve">Simplify navigation and structure: </w:t>
      </w:r>
      <w:bookmarkStart w:id="29" w:name="_Int_51XjjMeR"/>
      <w:r w:rsidRPr="00D5096C">
        <w:rPr>
          <w:rFonts w:ascii="Times New Roman" w:hAnsi="Times New Roman" w:cs="Times New Roman"/>
          <w:kern w:val="0"/>
          <w14:ligatures w14:val="none"/>
        </w:rPr>
        <w:t>Consolidate</w:t>
      </w:r>
      <w:bookmarkEnd w:id="29"/>
      <w:r w:rsidRPr="00D5096C">
        <w:rPr>
          <w:rFonts w:ascii="Times New Roman" w:hAnsi="Times New Roman" w:cs="Times New Roman"/>
          <w:kern w:val="0"/>
          <w14:ligatures w14:val="none"/>
        </w:rPr>
        <w:t xml:space="preserve"> key information on a main Early Help page with clearly labelled sections and links.</w:t>
      </w:r>
    </w:p>
    <w:p w14:paraId="4E5D0FE6" w14:textId="77777777" w:rsidR="00D5096C" w:rsidRPr="00D5096C" w:rsidRDefault="00D5096C" w:rsidP="00D5096C">
      <w:pPr>
        <w:numPr>
          <w:ilvl w:val="0"/>
          <w:numId w:val="8"/>
        </w:num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Use plain language and summaries: Include short, accessible bullet points for families alongside detailed guidance for professionals.</w:t>
      </w:r>
    </w:p>
    <w:p w14:paraId="6337B8DA" w14:textId="77777777" w:rsidR="00D5096C" w:rsidRPr="00D5096C" w:rsidRDefault="00D5096C" w:rsidP="00D5096C">
      <w:pPr>
        <w:numPr>
          <w:ilvl w:val="0"/>
          <w:numId w:val="8"/>
        </w:num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Add visual aids: Flowcharts, diagrams, or FAQs could help families understand pathways and services quickly.</w:t>
      </w:r>
    </w:p>
    <w:p w14:paraId="6BBB7C47" w14:textId="77777777" w:rsidR="00D5096C" w:rsidRPr="00D5096C" w:rsidRDefault="00D5096C" w:rsidP="00D5096C">
      <w:pPr>
        <w:numPr>
          <w:ilvl w:val="0"/>
          <w:numId w:val="8"/>
        </w:num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Include family-centric examples: Short case studies or stories can illustrate real-life support and encourage engagement.</w:t>
      </w:r>
    </w:p>
    <w:p w14:paraId="129B9E04" w14:textId="77777777" w:rsidR="00D5096C" w:rsidRPr="00D5096C" w:rsidRDefault="00D5096C" w:rsidP="00D5096C">
      <w:pPr>
        <w:numPr>
          <w:ilvl w:val="0"/>
          <w:numId w:val="8"/>
        </w:num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Enhance accessibility: Ensure mobile-friendly design, screen-reader compatibility, and multilingual support for diverse communities.</w:t>
      </w:r>
    </w:p>
    <w:p w14:paraId="7709BA6B" w14:textId="77777777" w:rsidR="00D5096C" w:rsidRPr="00D5096C" w:rsidRDefault="00D5096C" w:rsidP="00D5096C">
      <w:pPr>
        <w:numPr>
          <w:ilvl w:val="0"/>
          <w:numId w:val="8"/>
        </w:num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Regularly update content: Ensuring information is current improves trust and helps families access the most relevant services promptly.</w:t>
      </w:r>
    </w:p>
    <w:p w14:paraId="4B419933"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2E9F1CCF"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Implementing these measures would increase family engagement, accessibility, and effectiveness of Early Help pathways across local authorities.</w:t>
      </w:r>
    </w:p>
    <w:p w14:paraId="2920FE87" w14:textId="77777777" w:rsidR="00D5096C" w:rsidRPr="00D5096C" w:rsidRDefault="00D5096C" w:rsidP="00D5096C">
      <w:pPr>
        <w:spacing w:after="0" w:line="240" w:lineRule="auto"/>
        <w:rPr>
          <w:rFonts w:ascii="Times New Roman" w:eastAsia="Times New Roman" w:hAnsi="Times New Roman" w:cs="Times New Roman"/>
          <w:kern w:val="0"/>
          <w14:ligatures w14:val="none"/>
        </w:rPr>
      </w:pPr>
      <w:r w:rsidRPr="00D5096C">
        <w:rPr>
          <w:rFonts w:ascii="Times New Roman" w:eastAsia="Times New Roman" w:hAnsi="Times New Roman" w:cs="Times New Roman"/>
          <w:noProof/>
          <w:kern w:val="0"/>
          <w14:ligatures w14:val="none"/>
        </w:rPr>
        <mc:AlternateContent>
          <mc:Choice Requires="wps">
            <w:drawing>
              <wp:inline distT="0" distB="0" distL="0" distR="0" wp14:anchorId="58146AE8" wp14:editId="225618DB">
                <wp:extent cx="5731510" cy="1270"/>
                <wp:effectExtent l="0" t="31750" r="0" b="36830"/>
                <wp:docPr id="65137012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35CB7F"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178D2E6" w14:textId="77777777" w:rsidR="002275BA" w:rsidRDefault="002275BA"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67EEE4D" w14:textId="77777777" w:rsidR="002275BA" w:rsidRDefault="002275BA"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1192942" w14:textId="77777777" w:rsidR="002275BA" w:rsidRDefault="002275BA"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4643891" w14:textId="77777777" w:rsidR="002275BA" w:rsidRDefault="002275BA"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647D539" w14:textId="77777777" w:rsidR="002275BA" w:rsidRDefault="002275BA"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D7AFF28" w14:textId="77777777" w:rsidR="002275BA" w:rsidRDefault="002275BA"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51EC247" w14:textId="77777777" w:rsidR="00484B91" w:rsidRDefault="00484B91"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BAD4B08" w14:textId="77777777" w:rsidR="002275BA" w:rsidRDefault="002275BA" w:rsidP="00D5096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1D145E6" w14:textId="421A07E2" w:rsidR="00D5096C" w:rsidRPr="00D5096C" w:rsidRDefault="00D5096C" w:rsidP="00D5096C">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D5096C">
        <w:rPr>
          <w:rFonts w:ascii="Times New Roman" w:eastAsia="Times New Roman" w:hAnsi="Times New Roman" w:cs="Times New Roman"/>
          <w:b/>
          <w:bCs/>
          <w:kern w:val="0"/>
          <w:sz w:val="36"/>
          <w:szCs w:val="36"/>
          <w14:ligatures w14:val="none"/>
        </w:rPr>
        <w:t>Reference List</w:t>
      </w:r>
    </w:p>
    <w:p w14:paraId="047385FD"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5EE7F0EF"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Department for Levelling Up, Housing and Communities and Department for Education (2022) Early Help System Guide. Available at: https://assets.publishing.service.gov.uk/media/628de13be90e071f5f7e1bd2/Early_Help_System_Guide.pdf (Accessed: 18 March 2026).</w:t>
      </w:r>
    </w:p>
    <w:p w14:paraId="0312D93E"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0524DFE4"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HM Government (2023) Working Together to Safeguard Children 2023: statutory guidance. Available at: https://assets.publishing.service.gov.uk/media/6849a7b67cba25f610c7db3f/Working_together_to_safeguard_children_2023_-_statutory_guidance.pdf (Accessed: 18 March 2026).</w:t>
      </w:r>
    </w:p>
    <w:p w14:paraId="72ADE26D"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13D47412"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Leicestershire County Council (no date) Family Help. Available at: https://resources.leicestershire.gov.uk/education-and-children/child-protection-and-safeguarding/early-help (Accessed: 18 March 2026).</w:t>
      </w:r>
    </w:p>
    <w:p w14:paraId="587587C4"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2FE65102"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Norfolk County Council (no date) Help for families. Available at: https://www.norfolk.gov.uk/helpforfamilies (Accessed: 18 March 2026).</w:t>
      </w:r>
    </w:p>
    <w:p w14:paraId="31BE754C"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72A6A798"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Nottinghamshire County Council (no date) Early Help information. Available at: https://www.nottinghamshire.gov.uk/care/early-years-and-childcare/childcare-providers/early-help-assessment-form (Accessed: 18 March 2026).</w:t>
      </w:r>
    </w:p>
    <w:p w14:paraId="7E785AE4"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6A43D396"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NSPCC (2021) Early Help for Families: Improving Outcomes. Available at: https://www.nspcc.org.uk (Accessed: 18 March 2026).</w:t>
      </w:r>
    </w:p>
    <w:p w14:paraId="47191DF3"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299EC1CE"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Early Intervention Foundation (2020) Evidence-Based Early Help Services. Available at: https://www.eif.org.uk (Accessed: 18 March 2026).</w:t>
      </w:r>
    </w:p>
    <w:p w14:paraId="4A7DBD19"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p>
    <w:p w14:paraId="54CC49F0" w14:textId="77777777" w:rsidR="00D5096C" w:rsidRPr="00D5096C" w:rsidRDefault="00D5096C" w:rsidP="00D5096C">
      <w:pPr>
        <w:spacing w:before="100" w:beforeAutospacing="1" w:after="100" w:afterAutospacing="1" w:line="240" w:lineRule="auto"/>
        <w:rPr>
          <w:rFonts w:ascii="Times New Roman" w:hAnsi="Times New Roman" w:cs="Times New Roman"/>
          <w:kern w:val="0"/>
          <w14:ligatures w14:val="none"/>
        </w:rPr>
      </w:pPr>
      <w:r w:rsidRPr="00D5096C">
        <w:rPr>
          <w:rFonts w:ascii="Times New Roman" w:hAnsi="Times New Roman" w:cs="Times New Roman"/>
          <w:kern w:val="0"/>
          <w14:ligatures w14:val="none"/>
        </w:rPr>
        <w:t>Smith, J. &amp; Brown, L. (2019) ‘Multi-agency working in Early Help: Barriers and Solutions’, Journal of Child Welfare, 24(3), pp. 45–62.</w:t>
      </w:r>
    </w:p>
    <w:p w14:paraId="5C5D520E" w14:textId="77777777" w:rsidR="00D5096C" w:rsidRPr="00DA17ED" w:rsidRDefault="00D5096C" w:rsidP="00AC6AB1">
      <w:pPr>
        <w:spacing w:before="100" w:beforeAutospacing="1" w:after="100" w:afterAutospacing="1" w:line="240" w:lineRule="auto"/>
        <w:outlineLvl w:val="1"/>
        <w:rPr>
          <w:rFonts w:ascii="Times New Roman" w:eastAsia="Times New Roman" w:hAnsi="Times New Roman" w:cs="Times New Roman"/>
          <w:kern w:val="0"/>
          <w:sz w:val="36"/>
          <w:szCs w:val="36"/>
          <w14:ligatures w14:val="none"/>
        </w:rPr>
      </w:pPr>
    </w:p>
    <w:p w14:paraId="3902E632" w14:textId="77777777" w:rsidR="00DA17ED" w:rsidRDefault="00DA17ED"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4882F02" w14:textId="77777777" w:rsidR="00DA17ED" w:rsidRDefault="00DA17ED"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4C6E65D" w14:textId="77777777" w:rsidR="00DA17ED" w:rsidRDefault="00DA17ED"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3B5C0D7" w14:textId="77777777" w:rsidR="00DA17ED" w:rsidRDefault="00DA17ED"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63EC36B" w14:textId="77777777" w:rsidR="00DA17ED" w:rsidRDefault="00DA17ED" w:rsidP="00AC6AB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D6E16A5" w14:textId="77777777" w:rsidR="00DA17ED" w:rsidRPr="00AC6AB1" w:rsidRDefault="00DA17ED" w:rsidP="00AC6AB1">
      <w:pPr>
        <w:spacing w:before="100" w:beforeAutospacing="1" w:after="100" w:afterAutospacing="1" w:line="240" w:lineRule="auto"/>
        <w:outlineLvl w:val="1"/>
        <w:rPr>
          <w:rFonts w:ascii="Times New Roman" w:hAnsi="Times New Roman" w:cs="Times New Roman"/>
          <w:b/>
          <w:bCs/>
          <w:kern w:val="0"/>
          <w:sz w:val="36"/>
          <w:szCs w:val="36"/>
          <w14:ligatures w14:val="none"/>
        </w:rPr>
      </w:pPr>
    </w:p>
    <w:p w14:paraId="51FF397A" w14:textId="29584D8C" w:rsidR="00F03072" w:rsidRDefault="00F03072"/>
    <w:sectPr w:rsidR="00F03072">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5C2B8" w14:textId="77777777" w:rsidR="00AD5EDF" w:rsidRDefault="00AD5EDF" w:rsidP="00CE0EE6">
      <w:pPr>
        <w:spacing w:after="0" w:line="240" w:lineRule="auto"/>
      </w:pPr>
      <w:r>
        <w:separator/>
      </w:r>
    </w:p>
  </w:endnote>
  <w:endnote w:type="continuationSeparator" w:id="0">
    <w:p w14:paraId="18259720" w14:textId="77777777" w:rsidR="00AD5EDF" w:rsidRDefault="00AD5EDF" w:rsidP="00CE0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5404764"/>
      <w:docPartObj>
        <w:docPartGallery w:val="Page Numbers (Bottom of Page)"/>
        <w:docPartUnique/>
      </w:docPartObj>
    </w:sdtPr>
    <w:sdtEndPr>
      <w:rPr>
        <w:rStyle w:val="PageNumber"/>
      </w:rPr>
    </w:sdtEndPr>
    <w:sdtContent>
      <w:p w14:paraId="133AF51A" w14:textId="55905AC3" w:rsidR="00460FD0" w:rsidRDefault="00460FD0" w:rsidP="00082460">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024B43" w14:textId="20CD811E" w:rsidR="00CE0EE6" w:rsidRDefault="00CE0EE6" w:rsidP="00460F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9486112"/>
      <w:docPartObj>
        <w:docPartGallery w:val="Page Numbers (Bottom of Page)"/>
        <w:docPartUnique/>
      </w:docPartObj>
    </w:sdtPr>
    <w:sdtContent>
      <w:p w14:paraId="21D10F00" w14:textId="4F28FED4" w:rsidR="00082460" w:rsidRDefault="00082460" w:rsidP="008D2B59">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189F0B" w14:textId="77777777" w:rsidR="00CE0EE6" w:rsidRDefault="00CE0EE6" w:rsidP="00460F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47DA9" w14:textId="77777777" w:rsidR="00AD5EDF" w:rsidRDefault="00AD5EDF" w:rsidP="00CE0EE6">
      <w:pPr>
        <w:spacing w:after="0" w:line="240" w:lineRule="auto"/>
      </w:pPr>
      <w:r>
        <w:separator/>
      </w:r>
    </w:p>
  </w:footnote>
  <w:footnote w:type="continuationSeparator" w:id="0">
    <w:p w14:paraId="066793FF" w14:textId="77777777" w:rsidR="00AD5EDF" w:rsidRDefault="00AD5EDF" w:rsidP="00CE0E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SyiJ34PU" int2:invalidationBookmarkName="" int2:hashCode="1M/teoOtJ1QjaO" int2:id="ZQ9zUFkA">
      <int2:state int2:value="Rejected" int2:type="style"/>
    </int2:bookmark>
    <int2:bookmark int2:bookmarkName="_Int_RxAGV4W5" int2:invalidationBookmarkName="" int2:hashCode="00lrrL/M8p7RXo" int2:id="70lYVnii">
      <int2:state int2:value="Rejected" int2:type="style"/>
    </int2:bookmark>
    <int2:bookmark int2:bookmarkName="_Int_tAyivThx" int2:invalidationBookmarkName="" int2:hashCode="l5aAn32uSC0xI8" int2:id="2pwwZucB">
      <int2:state int2:value="Rejected" int2:type="style"/>
    </int2:bookmark>
    <int2:bookmark int2:bookmarkName="_Int_lChbrT2L" int2:invalidationBookmarkName="" int2:hashCode="m/D4/19di8v/ud" int2:id="3vu58kQB">
      <int2:state int2:value="Rejected" int2:type="style"/>
    </int2:bookmark>
    <int2:bookmark int2:bookmarkName="_Int_3hp0oCVh" int2:invalidationBookmarkName="" int2:hashCode="lYDxgaT6QVo2Hp" int2:id="9k0ne73U">
      <int2:state int2:value="Rejected" int2:type="style"/>
    </int2:bookmark>
    <int2:bookmark int2:bookmarkName="_Int_h3g1Wy87" int2:invalidationBookmarkName="" int2:hashCode="gRg+Ewpr1g5/o3" int2:id="ji4GSELs">
      <int2:state int2:value="Rejected" int2:type="style"/>
    </int2:bookmark>
    <int2:bookmark int2:bookmarkName="_Int_CpU0bBZs" int2:invalidationBookmarkName="" int2:hashCode="JsVDG2ZgggZMk+" int2:id="alATV1U5">
      <int2:state int2:value="Rejected" int2:type="style"/>
    </int2:bookmark>
    <int2:bookmark int2:bookmarkName="_Int_5htttdFY" int2:invalidationBookmarkName="" int2:hashCode="1J0/XWUBGybUHO" int2:id="QbFpWWFp">
      <int2:state int2:value="Rejected" int2:type="style"/>
    </int2:bookmark>
    <int2:bookmark int2:bookmarkName="_Int_x63SgjO9" int2:invalidationBookmarkName="" int2:hashCode="DlT/Hh82Ed/INJ" int2:id="8voKnwiI">
      <int2:state int2:value="Rejected" int2:type="style"/>
    </int2:bookmark>
    <int2:bookmark int2:bookmarkName="_Int_fEuEeWxm" int2:invalidationBookmarkName="" int2:hashCode="3bPvKjIwSOetA5" int2:id="p3u4WbhM">
      <int2:state int2:value="Rejected" int2:type="style"/>
    </int2:bookmark>
    <int2:bookmark int2:bookmarkName="_Int_NP1vSQjL" int2:invalidationBookmarkName="" int2:hashCode="Dkhfhtc5N95ae2" int2:id="y9UAwMR1">
      <int2:state int2:value="Rejected" int2:type="style"/>
    </int2:bookmark>
    <int2:bookmark int2:bookmarkName="_Int_KxEXlOxo" int2:invalidationBookmarkName="" int2:hashCode="m/D4/19di8v/ud" int2:id="DwmPWVeU">
      <int2:state int2:value="Rejected" int2:type="style"/>
    </int2:bookmark>
    <int2:bookmark int2:bookmarkName="_Int_Ad0pXv9m" int2:invalidationBookmarkName="" int2:hashCode="s4nYnOhSAw/+QB" int2:id="bQGdhwpP">
      <int2:state int2:value="Rejected" int2:type="style"/>
    </int2:bookmark>
    <int2:bookmark int2:bookmarkName="_Int_FywBy22m" int2:invalidationBookmarkName="" int2:hashCode="00lrrL/M8p7RXo" int2:id="le7KM4fF">
      <int2:state int2:value="Rejected" int2:type="style"/>
    </int2:bookmark>
    <int2:bookmark int2:bookmarkName="_Int_YPYGEpmT" int2:invalidationBookmarkName="" int2:hashCode="aF7sM1aTbrmUbf" int2:id="0YZI7nlx">
      <int2:state int2:value="Rejected" int2:type="style"/>
    </int2:bookmark>
    <int2:bookmark int2:bookmarkName="_Int_A8fTkNWA" int2:invalidationBookmarkName="" int2:hashCode="29TkG3PxTe4i6V" int2:id="5xZ0DFOn">
      <int2:state int2:value="Rejected" int2:type="style"/>
    </int2:bookmark>
    <int2:bookmark int2:bookmarkName="_Int_Qfxjevuj" int2:invalidationBookmarkName="" int2:hashCode="E4dgCT7oefl/5q" int2:id="ak32ssNR">
      <int2:state int2:value="Rejected" int2:type="style"/>
    </int2:bookmark>
    <int2:bookmark int2:bookmarkName="_Int_9iug38PB" int2:invalidationBookmarkName="" int2:hashCode="iXfws6L0GMpTFm" int2:id="igcMuwxa">
      <int2:state int2:value="Rejected" int2:type="style"/>
    </int2:bookmark>
    <int2:bookmark int2:bookmarkName="_Int_gUz74YZJ" int2:invalidationBookmarkName="" int2:hashCode="m/D4/19di8v/ud" int2:id="2ejWWKDh">
      <int2:state int2:value="Rejected" int2:type="style"/>
    </int2:bookmark>
    <int2:bookmark int2:bookmarkName="_Int_rNsqsk8Z" int2:invalidationBookmarkName="" int2:hashCode="PnzlC+gY9xrDTS" int2:id="6i8LGgjT">
      <int2:state int2:value="Rejected" int2:type="style"/>
    </int2:bookmark>
    <int2:bookmark int2:bookmarkName="_Int_QDCNuwpX" int2:invalidationBookmarkName="" int2:hashCode="+klU0WY1OFmnIb" int2:id="p49X8tvo">
      <int2:state int2:value="Rejected" int2:type="style"/>
    </int2:bookmark>
    <int2:bookmark int2:bookmarkName="_Int_QI5zFLyk" int2:invalidationBookmarkName="" int2:hashCode="WJX6ycrEdsJbe+" int2:id="eLASIWmv">
      <int2:state int2:value="Rejected" int2:type="style"/>
    </int2:bookmark>
    <int2:bookmark int2:bookmarkName="_Int_zjwg8NUl" int2:invalidationBookmarkName="" int2:hashCode="AGGMrWpPmcUJUf" int2:id="luDNiDJ0">
      <int2:state int2:value="Rejected" int2:type="style"/>
    </int2:bookmark>
    <int2:bookmark int2:bookmarkName="_Int_CfA55Jh6" int2:invalidationBookmarkName="" int2:hashCode="nooB8ljuYJMKIn" int2:id="boZiG2T7">
      <int2:state int2:value="Rejected" int2:type="style"/>
    </int2:bookmark>
    <int2:bookmark int2:bookmarkName="_Int_eKnUrgg5" int2:invalidationBookmarkName="" int2:hashCode="IEEkdmk2qlIoq+" int2:id="b7X7Omgm">
      <int2:state int2:value="Rejected" int2:type="style"/>
    </int2:bookmark>
    <int2:bookmark int2:bookmarkName="_Int_j9w6pPsA" int2:invalidationBookmarkName="" int2:hashCode="fG9aogHwWVTxO9" int2:id="TcZyO3sh">
      <int2:state int2:value="Rejected" int2:type="style"/>
    </int2:bookmark>
    <int2:bookmark int2:bookmarkName="_Int_hcNf14Ri" int2:invalidationBookmarkName="" int2:hashCode="m/D4/19di8v/ud" int2:id="Jz7IcQay">
      <int2:state int2:value="Rejected" int2:type="style"/>
    </int2:bookmark>
    <int2:bookmark int2:bookmarkName="_Int_3DAiSVYX" int2:invalidationBookmarkName="" int2:hashCode="0QjoM4bhmVVc4Q" int2:id="IivkxzD7">
      <int2:state int2:value="Rejected" int2:type="style"/>
    </int2:bookmark>
    <int2:bookmark int2:bookmarkName="_Int_pja3RFFo" int2:invalidationBookmarkName="" int2:hashCode="SradH0SdDJdch8" int2:id="y7YEMUIV">
      <int2:state int2:value="Rejected" int2:type="style"/>
    </int2:bookmark>
    <int2:bookmark int2:bookmarkName="_Int_51XjjMeR" int2:invalidationBookmarkName="" int2:hashCode="Vi9111vFQttaVY" int2:id="gXDV03U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141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80E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277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3C2A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008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2B00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E115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AE44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714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2C12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7123938">
    <w:abstractNumId w:val="9"/>
  </w:num>
  <w:num w:numId="2" w16cid:durableId="807742425">
    <w:abstractNumId w:val="6"/>
  </w:num>
  <w:num w:numId="3" w16cid:durableId="2088375707">
    <w:abstractNumId w:val="8"/>
  </w:num>
  <w:num w:numId="4" w16cid:durableId="2094274288">
    <w:abstractNumId w:val="2"/>
  </w:num>
  <w:num w:numId="5" w16cid:durableId="1965648752">
    <w:abstractNumId w:val="3"/>
  </w:num>
  <w:num w:numId="6" w16cid:durableId="1759908466">
    <w:abstractNumId w:val="1"/>
  </w:num>
  <w:num w:numId="7" w16cid:durableId="670328953">
    <w:abstractNumId w:val="0"/>
  </w:num>
  <w:num w:numId="8" w16cid:durableId="1620842162">
    <w:abstractNumId w:val="5"/>
  </w:num>
  <w:num w:numId="9" w16cid:durableId="1681466273">
    <w:abstractNumId w:val="4"/>
  </w:num>
  <w:num w:numId="10" w16cid:durableId="15603616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072"/>
    <w:rsid w:val="000239BE"/>
    <w:rsid w:val="00054B41"/>
    <w:rsid w:val="00082460"/>
    <w:rsid w:val="00083B6C"/>
    <w:rsid w:val="000A3024"/>
    <w:rsid w:val="000C714C"/>
    <w:rsid w:val="00106380"/>
    <w:rsid w:val="001530E6"/>
    <w:rsid w:val="002275BA"/>
    <w:rsid w:val="002834FE"/>
    <w:rsid w:val="002C4142"/>
    <w:rsid w:val="00331160"/>
    <w:rsid w:val="003B25B9"/>
    <w:rsid w:val="003C2705"/>
    <w:rsid w:val="00460FD0"/>
    <w:rsid w:val="00484B91"/>
    <w:rsid w:val="004A2715"/>
    <w:rsid w:val="004E2E40"/>
    <w:rsid w:val="00874266"/>
    <w:rsid w:val="00895778"/>
    <w:rsid w:val="008C4D8D"/>
    <w:rsid w:val="009D54D3"/>
    <w:rsid w:val="00AC6AB1"/>
    <w:rsid w:val="00AD5EDF"/>
    <w:rsid w:val="00B21585"/>
    <w:rsid w:val="00B92A67"/>
    <w:rsid w:val="00BC47A5"/>
    <w:rsid w:val="00C03B1F"/>
    <w:rsid w:val="00C41AE1"/>
    <w:rsid w:val="00C627F0"/>
    <w:rsid w:val="00C764CA"/>
    <w:rsid w:val="00CC4AE3"/>
    <w:rsid w:val="00CE0EE6"/>
    <w:rsid w:val="00D5096C"/>
    <w:rsid w:val="00D97FA8"/>
    <w:rsid w:val="00DA17ED"/>
    <w:rsid w:val="00E16BF3"/>
    <w:rsid w:val="00E17443"/>
    <w:rsid w:val="00E32548"/>
    <w:rsid w:val="00EE2D38"/>
    <w:rsid w:val="00F03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FA268"/>
  <w15:chartTrackingRefBased/>
  <w15:docId w15:val="{1A20E7B2-3ECC-1548-86B1-8898D52F3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0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030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030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30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30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30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0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0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0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0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030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030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30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30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3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072"/>
    <w:rPr>
      <w:rFonts w:eastAsiaTheme="majorEastAsia" w:cstheme="majorBidi"/>
      <w:color w:val="272727" w:themeColor="text1" w:themeTint="D8"/>
    </w:rPr>
  </w:style>
  <w:style w:type="paragraph" w:styleId="Title">
    <w:name w:val="Title"/>
    <w:basedOn w:val="Normal"/>
    <w:next w:val="Normal"/>
    <w:link w:val="TitleChar"/>
    <w:uiPriority w:val="10"/>
    <w:qFormat/>
    <w:rsid w:val="00F030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0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072"/>
    <w:pPr>
      <w:spacing w:before="160"/>
      <w:jc w:val="center"/>
    </w:pPr>
    <w:rPr>
      <w:i/>
      <w:iCs/>
      <w:color w:val="404040" w:themeColor="text1" w:themeTint="BF"/>
    </w:rPr>
  </w:style>
  <w:style w:type="character" w:customStyle="1" w:styleId="QuoteChar">
    <w:name w:val="Quote Char"/>
    <w:basedOn w:val="DefaultParagraphFont"/>
    <w:link w:val="Quote"/>
    <w:uiPriority w:val="29"/>
    <w:rsid w:val="00F03072"/>
    <w:rPr>
      <w:i/>
      <w:iCs/>
      <w:color w:val="404040" w:themeColor="text1" w:themeTint="BF"/>
    </w:rPr>
  </w:style>
  <w:style w:type="paragraph" w:styleId="ListParagraph">
    <w:name w:val="List Paragraph"/>
    <w:basedOn w:val="Normal"/>
    <w:uiPriority w:val="34"/>
    <w:qFormat/>
    <w:rsid w:val="00F03072"/>
    <w:pPr>
      <w:ind w:left="720"/>
      <w:contextualSpacing/>
    </w:pPr>
  </w:style>
  <w:style w:type="character" w:styleId="IntenseEmphasis">
    <w:name w:val="Intense Emphasis"/>
    <w:basedOn w:val="DefaultParagraphFont"/>
    <w:uiPriority w:val="21"/>
    <w:qFormat/>
    <w:rsid w:val="00F03072"/>
    <w:rPr>
      <w:i/>
      <w:iCs/>
      <w:color w:val="2F5496" w:themeColor="accent1" w:themeShade="BF"/>
    </w:rPr>
  </w:style>
  <w:style w:type="paragraph" w:styleId="IntenseQuote">
    <w:name w:val="Intense Quote"/>
    <w:basedOn w:val="Normal"/>
    <w:next w:val="Normal"/>
    <w:link w:val="IntenseQuoteChar"/>
    <w:uiPriority w:val="30"/>
    <w:qFormat/>
    <w:rsid w:val="00F030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3072"/>
    <w:rPr>
      <w:i/>
      <w:iCs/>
      <w:color w:val="2F5496" w:themeColor="accent1" w:themeShade="BF"/>
    </w:rPr>
  </w:style>
  <w:style w:type="character" w:styleId="IntenseReference">
    <w:name w:val="Intense Reference"/>
    <w:basedOn w:val="DefaultParagraphFont"/>
    <w:uiPriority w:val="32"/>
    <w:qFormat/>
    <w:rsid w:val="00F03072"/>
    <w:rPr>
      <w:b/>
      <w:bCs/>
      <w:smallCaps/>
      <w:color w:val="2F5496" w:themeColor="accent1" w:themeShade="BF"/>
      <w:spacing w:val="5"/>
    </w:rPr>
  </w:style>
  <w:style w:type="paragraph" w:customStyle="1" w:styleId="p1">
    <w:name w:val="p1"/>
    <w:basedOn w:val="Normal"/>
    <w:rsid w:val="00AC6AB1"/>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C6AB1"/>
  </w:style>
  <w:style w:type="paragraph" w:customStyle="1" w:styleId="p2">
    <w:name w:val="p2"/>
    <w:basedOn w:val="Normal"/>
    <w:rsid w:val="00AC6AB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AC6AB1"/>
  </w:style>
  <w:style w:type="paragraph" w:customStyle="1" w:styleId="p3">
    <w:name w:val="p3"/>
    <w:basedOn w:val="Normal"/>
    <w:rsid w:val="00AC6AB1"/>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AC6AB1"/>
  </w:style>
  <w:style w:type="character" w:customStyle="1" w:styleId="s4">
    <w:name w:val="s4"/>
    <w:basedOn w:val="DefaultParagraphFont"/>
    <w:rsid w:val="00AC6AB1"/>
  </w:style>
  <w:style w:type="paragraph" w:styleId="Header">
    <w:name w:val="header"/>
    <w:basedOn w:val="Normal"/>
    <w:link w:val="HeaderChar"/>
    <w:uiPriority w:val="99"/>
    <w:unhideWhenUsed/>
    <w:rsid w:val="00CE0E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EE6"/>
  </w:style>
  <w:style w:type="paragraph" w:styleId="Footer">
    <w:name w:val="footer"/>
    <w:basedOn w:val="Normal"/>
    <w:link w:val="FooterChar"/>
    <w:uiPriority w:val="99"/>
    <w:unhideWhenUsed/>
    <w:rsid w:val="00CE0E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EE6"/>
  </w:style>
  <w:style w:type="character" w:styleId="PageNumber">
    <w:name w:val="page number"/>
    <w:basedOn w:val="DefaultParagraphFont"/>
    <w:uiPriority w:val="99"/>
    <w:semiHidden/>
    <w:unhideWhenUsed/>
    <w:rsid w:val="00CE0EE6"/>
  </w:style>
  <w:style w:type="paragraph" w:styleId="FootnoteText">
    <w:name w:val="footnote text"/>
    <w:basedOn w:val="Normal"/>
    <w:link w:val="FootnoteTextChar"/>
    <w:uiPriority w:val="99"/>
    <w:semiHidden/>
    <w:unhideWhenUsed/>
    <w:rsid w:val="00E174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7443"/>
    <w:rPr>
      <w:sz w:val="20"/>
      <w:szCs w:val="20"/>
    </w:rPr>
  </w:style>
  <w:style w:type="character" w:styleId="FootnoteReference">
    <w:name w:val="footnote reference"/>
    <w:basedOn w:val="DefaultParagraphFont"/>
    <w:uiPriority w:val="99"/>
    <w:semiHidden/>
    <w:unhideWhenUsed/>
    <w:rsid w:val="00E174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2233</Words>
  <Characters>12731</Characters>
  <Application>Microsoft Office Word</Application>
  <DocSecurity>0</DocSecurity>
  <Lines>106</Lines>
  <Paragraphs>29</Paragraphs>
  <ScaleCrop>false</ScaleCrop>
  <Company/>
  <LinksUpToDate>false</LinksUpToDate>
  <CharactersWithSpaces>14935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Norin Mahmood (2411895)</dc:creator>
  <cp:keywords/>
  <dc:description/>
  <cp:lastModifiedBy>Norin Mahmood (2411895)</cp:lastModifiedBy>
  <cp:revision>2</cp:revision>
  <dcterms:created xsi:type="dcterms:W3CDTF">2026-03-18T02:16:00Z</dcterms:created>
  <dcterms:modified xsi:type="dcterms:W3CDTF">2026-03-18T02:16:00Z</dcterms:modified>
</cp:coreProperties>
</file>