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4E40AE" w14:textId="01AA4DB2" w:rsidR="00261729" w:rsidRDefault="00000000">
      <w:sdt>
        <w:sdtPr>
          <w:id w:val="1043952939"/>
          <w:docPartObj>
            <w:docPartGallery w:val="Cover Pages"/>
            <w:docPartUnique/>
          </w:docPartObj>
        </w:sdtPr>
        <w:sdtContent>
          <w:r w:rsidR="00261729">
            <w:rPr>
              <w:noProof/>
            </w:rPr>
            <mc:AlternateContent>
              <mc:Choice Requires="wps">
                <w:drawing>
                  <wp:anchor distT="0" distB="0" distL="114300" distR="114300" simplePos="0" relativeHeight="251659264" behindDoc="0" locked="0" layoutInCell="1" allowOverlap="1" wp14:anchorId="2AE9BDDD" wp14:editId="3B6EB00E">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416"/>
                                  <w:gridCol w:w="1882"/>
                                </w:tblGrid>
                                <w:tr w:rsidR="00DC64DE" w14:paraId="31BA564C" w14:textId="77777777">
                                  <w:trPr>
                                    <w:jc w:val="center"/>
                                  </w:trPr>
                                  <w:tc>
                                    <w:tcPr>
                                      <w:tcW w:w="2568" w:type="pct"/>
                                      <w:vAlign w:val="center"/>
                                    </w:tcPr>
                                    <w:p w14:paraId="7C1428C6" w14:textId="13F76DD4" w:rsidR="00261729" w:rsidRDefault="00DC64DE">
                                      <w:pPr>
                                        <w:jc w:val="right"/>
                                      </w:pPr>
                                      <w:r>
                                        <w:rPr>
                                          <w:noProof/>
                                        </w:rPr>
                                        <w:drawing>
                                          <wp:inline distT="0" distB="0" distL="0" distR="0" wp14:anchorId="163D1278" wp14:editId="38E05FF4">
                                            <wp:extent cx="4252460" cy="3335628"/>
                                            <wp:effectExtent l="0" t="0" r="0" b="0"/>
                                            <wp:docPr id="1838737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37354" name=""/>
                                                    <pic:cNvPicPr/>
                                                  </pic:nvPicPr>
                                                  <pic:blipFill>
                                                    <a:blip r:embed="rId9"/>
                                                    <a:stretch>
                                                      <a:fillRect/>
                                                    </a:stretch>
                                                  </pic:blipFill>
                                                  <pic:spPr>
                                                    <a:xfrm>
                                                      <a:off x="0" y="0"/>
                                                      <a:ext cx="4260260" cy="3341746"/>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C6D1EB4" w14:textId="33F740E6" w:rsidR="00261729" w:rsidRPr="00261729" w:rsidRDefault="00261729">
                                          <w:pPr>
                                            <w:pStyle w:val="NoSpacing"/>
                                            <w:spacing w:line="312" w:lineRule="auto"/>
                                            <w:jc w:val="right"/>
                                            <w:rPr>
                                              <w:caps/>
                                              <w:color w:val="191919" w:themeColor="text1" w:themeTint="E6"/>
                                              <w:sz w:val="56"/>
                                              <w:szCs w:val="56"/>
                                            </w:rPr>
                                          </w:pPr>
                                          <w:r w:rsidRPr="00261729">
                                            <w:rPr>
                                              <w:caps/>
                                              <w:color w:val="191919" w:themeColor="text1" w:themeTint="E6"/>
                                              <w:sz w:val="56"/>
                                              <w:szCs w:val="56"/>
                                            </w:rPr>
                                            <w:t>The Torc in Medieval Wales: real object or literary motif?</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13FB315" w14:textId="704078F9" w:rsidR="00261729" w:rsidRDefault="00261729">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414A02A" w14:textId="150369D5" w:rsidR="00261729" w:rsidRDefault="00261729" w:rsidP="00261729">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6514120" w14:textId="116A70D9" w:rsidR="00261729" w:rsidRDefault="00261729">
                                          <w:pPr>
                                            <w:pStyle w:val="NoSpacing"/>
                                            <w:rPr>
                                              <w:color w:val="E97132" w:themeColor="accent2"/>
                                              <w:sz w:val="26"/>
                                              <w:szCs w:val="26"/>
                                            </w:rPr>
                                          </w:pPr>
                                          <w:r w:rsidRPr="00261729">
                                            <w:rPr>
                                              <w:color w:val="E97132" w:themeColor="accent2"/>
                                              <w:sz w:val="26"/>
                                              <w:szCs w:val="26"/>
                                            </w:rPr>
                                            <w:t>Matthew Paul Youde (1806027)</w:t>
                                          </w:r>
                                        </w:p>
                                      </w:sdtContent>
                                    </w:sdt>
                                    <w:p w14:paraId="663C489B" w14:textId="44AD518C" w:rsidR="00261729" w:rsidRDefault="00000000">
                                      <w:pPr>
                                        <w:pStyle w:val="NoSpacing"/>
                                      </w:pPr>
                                      <w:sdt>
                                        <w:sdtPr>
                                          <w:rPr>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61729" w:rsidRPr="00261729">
                                            <w:rPr>
                                              <w:color w:val="000000" w:themeColor="text1"/>
                                            </w:rPr>
                                            <w:t>BA Celtic Studies Dissertation</w:t>
                                          </w:r>
                                          <w:r w:rsidR="00261729">
                                            <w:rPr>
                                              <w:color w:val="000000" w:themeColor="text1"/>
                                            </w:rPr>
                                            <w:t xml:space="preserve"> </w:t>
                                          </w:r>
                                          <w:r w:rsidR="00261729" w:rsidRPr="00261729">
                                            <w:rPr>
                                              <w:color w:val="000000" w:themeColor="text1"/>
                                            </w:rPr>
                                            <w:t>HPHP6902</w:t>
                                          </w:r>
                                          <w:r w:rsidR="00261729">
                                            <w:rPr>
                                              <w:color w:val="000000" w:themeColor="text1"/>
                                            </w:rPr>
                                            <w:t xml:space="preserve"> </w:t>
                                          </w:r>
                                          <w:r w:rsidR="001109B8">
                                            <w:rPr>
                                              <w:color w:val="000000" w:themeColor="text1"/>
                                            </w:rPr>
                                            <w:t xml:space="preserve">                          </w:t>
                                          </w:r>
                                          <w:r w:rsidR="00261729" w:rsidRPr="00261729">
                                            <w:rPr>
                                              <w:color w:val="000000" w:themeColor="text1"/>
                                            </w:rPr>
                                            <w:t>University of Wales Trinity St. David,</w:t>
                                          </w:r>
                                          <w:r w:rsidR="001109B8">
                                            <w:rPr>
                                              <w:color w:val="000000" w:themeColor="text1"/>
                                            </w:rPr>
                                            <w:t xml:space="preserve">                                                      </w:t>
                                          </w:r>
                                          <w:r w:rsidR="00261729" w:rsidRPr="00261729">
                                            <w:rPr>
                                              <w:color w:val="000000" w:themeColor="text1"/>
                                            </w:rPr>
                                            <w:t xml:space="preserve"> June 2024</w:t>
                                          </w:r>
                                        </w:sdtContent>
                                      </w:sdt>
                                    </w:p>
                                  </w:tc>
                                </w:tr>
                              </w:tbl>
                              <w:p w14:paraId="548D8257" w14:textId="77777777" w:rsidR="00261729" w:rsidRDefault="00261729"/>
                              <w:p w14:paraId="5497C62A" w14:textId="77777777" w:rsidR="00261729" w:rsidRDefault="0026172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AE9BDD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416"/>
                            <w:gridCol w:w="1882"/>
                          </w:tblGrid>
                          <w:tr w:rsidR="00DC64DE" w14:paraId="31BA564C" w14:textId="77777777">
                            <w:trPr>
                              <w:jc w:val="center"/>
                            </w:trPr>
                            <w:tc>
                              <w:tcPr>
                                <w:tcW w:w="2568" w:type="pct"/>
                                <w:vAlign w:val="center"/>
                              </w:tcPr>
                              <w:p w14:paraId="7C1428C6" w14:textId="13F76DD4" w:rsidR="00261729" w:rsidRDefault="00DC64DE">
                                <w:pPr>
                                  <w:jc w:val="right"/>
                                </w:pPr>
                                <w:r>
                                  <w:rPr>
                                    <w:noProof/>
                                  </w:rPr>
                                  <w:drawing>
                                    <wp:inline distT="0" distB="0" distL="0" distR="0" wp14:anchorId="163D1278" wp14:editId="38E05FF4">
                                      <wp:extent cx="4252460" cy="3335628"/>
                                      <wp:effectExtent l="0" t="0" r="0" b="0"/>
                                      <wp:docPr id="1838737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737354" name=""/>
                                              <pic:cNvPicPr/>
                                            </pic:nvPicPr>
                                            <pic:blipFill>
                                              <a:blip r:embed="rId9"/>
                                              <a:stretch>
                                                <a:fillRect/>
                                              </a:stretch>
                                            </pic:blipFill>
                                            <pic:spPr>
                                              <a:xfrm>
                                                <a:off x="0" y="0"/>
                                                <a:ext cx="4260260" cy="3341746"/>
                                              </a:xfrm>
                                              <a:prstGeom prst="rect">
                                                <a:avLst/>
                                              </a:prstGeom>
                                            </pic:spPr>
                                          </pic:pic>
                                        </a:graphicData>
                                      </a:graphic>
                                    </wp:inline>
                                  </w:drawing>
                                </w:r>
                              </w:p>
                              <w:sdt>
                                <w:sdtPr>
                                  <w:rPr>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2C6D1EB4" w14:textId="33F740E6" w:rsidR="00261729" w:rsidRPr="00261729" w:rsidRDefault="00261729">
                                    <w:pPr>
                                      <w:pStyle w:val="NoSpacing"/>
                                      <w:spacing w:line="312" w:lineRule="auto"/>
                                      <w:jc w:val="right"/>
                                      <w:rPr>
                                        <w:caps/>
                                        <w:color w:val="191919" w:themeColor="text1" w:themeTint="E6"/>
                                        <w:sz w:val="56"/>
                                        <w:szCs w:val="56"/>
                                      </w:rPr>
                                    </w:pPr>
                                    <w:r w:rsidRPr="00261729">
                                      <w:rPr>
                                        <w:caps/>
                                        <w:color w:val="191919" w:themeColor="text1" w:themeTint="E6"/>
                                        <w:sz w:val="56"/>
                                        <w:szCs w:val="56"/>
                                      </w:rPr>
                                      <w:t>The Torc in Medieval Wales: real object or literary motif?</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13FB315" w14:textId="704078F9" w:rsidR="00261729" w:rsidRDefault="00261729">
                                    <w:pPr>
                                      <w:jc w:val="right"/>
                                      <w:rPr>
                                        <w:sz w:val="24"/>
                                        <w:szCs w:val="24"/>
                                      </w:rPr>
                                    </w:pPr>
                                    <w:r>
                                      <w:rPr>
                                        <w:color w:val="000000" w:themeColor="text1"/>
                                        <w:sz w:val="24"/>
                                        <w:szCs w:val="24"/>
                                      </w:rPr>
                                      <w:t xml:space="preserve">     </w:t>
                                    </w:r>
                                  </w:p>
                                </w:sdtContent>
                              </w:sdt>
                            </w:tc>
                            <w:tc>
                              <w:tcPr>
                                <w:tcW w:w="2432" w:type="pct"/>
                                <w:vAlign w:val="center"/>
                              </w:tcPr>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414A02A" w14:textId="150369D5" w:rsidR="00261729" w:rsidRDefault="00261729" w:rsidP="00261729">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6514120" w14:textId="116A70D9" w:rsidR="00261729" w:rsidRDefault="00261729">
                                    <w:pPr>
                                      <w:pStyle w:val="NoSpacing"/>
                                      <w:rPr>
                                        <w:color w:val="E97132" w:themeColor="accent2"/>
                                        <w:sz w:val="26"/>
                                        <w:szCs w:val="26"/>
                                      </w:rPr>
                                    </w:pPr>
                                    <w:r w:rsidRPr="00261729">
                                      <w:rPr>
                                        <w:color w:val="E97132" w:themeColor="accent2"/>
                                        <w:sz w:val="26"/>
                                        <w:szCs w:val="26"/>
                                      </w:rPr>
                                      <w:t>Matthew Paul Youde (1806027)</w:t>
                                    </w:r>
                                  </w:p>
                                </w:sdtContent>
                              </w:sdt>
                              <w:p w14:paraId="663C489B" w14:textId="44AD518C" w:rsidR="00261729" w:rsidRDefault="00000000">
                                <w:pPr>
                                  <w:pStyle w:val="NoSpacing"/>
                                </w:pPr>
                                <w:sdt>
                                  <w:sdtPr>
                                    <w:rPr>
                                      <w:color w:val="000000" w:themeColor="text1"/>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261729" w:rsidRPr="00261729">
                                      <w:rPr>
                                        <w:color w:val="000000" w:themeColor="text1"/>
                                      </w:rPr>
                                      <w:t>BA Celtic Studies Dissertation</w:t>
                                    </w:r>
                                    <w:r w:rsidR="00261729">
                                      <w:rPr>
                                        <w:color w:val="000000" w:themeColor="text1"/>
                                      </w:rPr>
                                      <w:t xml:space="preserve"> </w:t>
                                    </w:r>
                                    <w:r w:rsidR="00261729" w:rsidRPr="00261729">
                                      <w:rPr>
                                        <w:color w:val="000000" w:themeColor="text1"/>
                                      </w:rPr>
                                      <w:t>HPHP6902</w:t>
                                    </w:r>
                                    <w:r w:rsidR="00261729">
                                      <w:rPr>
                                        <w:color w:val="000000" w:themeColor="text1"/>
                                      </w:rPr>
                                      <w:t xml:space="preserve"> </w:t>
                                    </w:r>
                                    <w:r w:rsidR="001109B8">
                                      <w:rPr>
                                        <w:color w:val="000000" w:themeColor="text1"/>
                                      </w:rPr>
                                      <w:t xml:space="preserve">                          </w:t>
                                    </w:r>
                                    <w:r w:rsidR="00261729" w:rsidRPr="00261729">
                                      <w:rPr>
                                        <w:color w:val="000000" w:themeColor="text1"/>
                                      </w:rPr>
                                      <w:t>University of Wales Trinity St. David,</w:t>
                                    </w:r>
                                    <w:r w:rsidR="001109B8">
                                      <w:rPr>
                                        <w:color w:val="000000" w:themeColor="text1"/>
                                      </w:rPr>
                                      <w:t xml:space="preserve">                                                      </w:t>
                                    </w:r>
                                    <w:r w:rsidR="00261729" w:rsidRPr="00261729">
                                      <w:rPr>
                                        <w:color w:val="000000" w:themeColor="text1"/>
                                      </w:rPr>
                                      <w:t xml:space="preserve"> June 2024</w:t>
                                    </w:r>
                                  </w:sdtContent>
                                </w:sdt>
                              </w:p>
                            </w:tc>
                          </w:tr>
                        </w:tbl>
                        <w:p w14:paraId="548D8257" w14:textId="77777777" w:rsidR="00261729" w:rsidRDefault="00261729"/>
                        <w:p w14:paraId="5497C62A" w14:textId="77777777" w:rsidR="00261729" w:rsidRDefault="00261729"/>
                      </w:txbxContent>
                    </v:textbox>
                    <w10:wrap anchorx="page" anchory="page"/>
                  </v:shape>
                </w:pict>
              </mc:Fallback>
            </mc:AlternateContent>
          </w:r>
          <w:r w:rsidR="00261729">
            <w:br w:type="page"/>
          </w:r>
        </w:sdtContent>
      </w:sdt>
    </w:p>
    <w:p w14:paraId="2ACFF7BA" w14:textId="191FC564" w:rsidR="00DC64DE" w:rsidRPr="00F47B83" w:rsidRDefault="009048AD">
      <w:pPr>
        <w:rPr>
          <w:rFonts w:ascii="Calibri" w:hAnsi="Calibri" w:cs="Calibri"/>
          <w:i/>
          <w:iCs/>
        </w:rPr>
      </w:pPr>
      <w:r w:rsidRPr="00F47B83">
        <w:rPr>
          <w:rFonts w:ascii="Calibri" w:hAnsi="Calibri" w:cs="Calibri"/>
          <w:i/>
          <w:iCs/>
        </w:rPr>
        <w:lastRenderedPageBreak/>
        <w:t>Cover image: the Snettisham Great Torc</w:t>
      </w:r>
      <w:r w:rsidRPr="00F47B83">
        <w:rPr>
          <w:rStyle w:val="FootnoteReference"/>
          <w:rFonts w:ascii="Calibri" w:hAnsi="Calibri" w:cs="Calibri"/>
          <w:i/>
          <w:iCs/>
        </w:rPr>
        <w:footnoteReference w:id="1"/>
      </w:r>
    </w:p>
    <w:p w14:paraId="326CC00F" w14:textId="075F5910" w:rsidR="003D759A" w:rsidRPr="005A1933" w:rsidRDefault="00D44ACD">
      <w:pPr>
        <w:rPr>
          <w:rFonts w:ascii="Calibri" w:hAnsi="Calibri" w:cs="Calibri"/>
          <w:b/>
          <w:bCs/>
        </w:rPr>
      </w:pPr>
      <w:r w:rsidRPr="005A1933">
        <w:rPr>
          <w:rFonts w:ascii="Calibri" w:hAnsi="Calibri" w:cs="Calibri"/>
          <w:b/>
          <w:bCs/>
        </w:rPr>
        <w:t>Abstract</w:t>
      </w:r>
    </w:p>
    <w:p w14:paraId="45AA7E39" w14:textId="2080173F" w:rsidR="00DC64DE" w:rsidRPr="00F361A8" w:rsidRDefault="00F361A8" w:rsidP="002A685B">
      <w:pPr>
        <w:jc w:val="both"/>
        <w:rPr>
          <w:rFonts w:ascii="Calibri" w:hAnsi="Calibri" w:cs="Calibri"/>
        </w:rPr>
      </w:pPr>
      <w:r>
        <w:rPr>
          <w:rFonts w:ascii="Calibri" w:hAnsi="Calibri" w:cs="Calibri"/>
        </w:rPr>
        <w:t xml:space="preserve">The Torc is arguably the ancient Celtic adornment </w:t>
      </w:r>
      <w:r>
        <w:rPr>
          <w:rFonts w:ascii="Calibri" w:hAnsi="Calibri" w:cs="Calibri"/>
          <w:i/>
          <w:iCs/>
        </w:rPr>
        <w:t>par excellence</w:t>
      </w:r>
      <w:r w:rsidR="00BE35ED">
        <w:rPr>
          <w:rFonts w:ascii="Calibri" w:hAnsi="Calibri" w:cs="Calibri"/>
          <w:i/>
          <w:iCs/>
        </w:rPr>
        <w:t xml:space="preserve">, </w:t>
      </w:r>
      <w:r w:rsidR="00BE35ED">
        <w:rPr>
          <w:rFonts w:ascii="Calibri" w:hAnsi="Calibri" w:cs="Calibri"/>
        </w:rPr>
        <w:t>d</w:t>
      </w:r>
      <w:r>
        <w:rPr>
          <w:rFonts w:ascii="Calibri" w:hAnsi="Calibri" w:cs="Calibri"/>
        </w:rPr>
        <w:t xml:space="preserve">escribed and </w:t>
      </w:r>
      <w:r w:rsidR="00BE35ED">
        <w:rPr>
          <w:rFonts w:ascii="Calibri" w:hAnsi="Calibri" w:cs="Calibri"/>
        </w:rPr>
        <w:t>depicted</w:t>
      </w:r>
      <w:r>
        <w:rPr>
          <w:rFonts w:ascii="Calibri" w:hAnsi="Calibri" w:cs="Calibri"/>
        </w:rPr>
        <w:t xml:space="preserve"> as a ring of gold or silver</w:t>
      </w:r>
      <w:r w:rsidR="00BE35ED">
        <w:rPr>
          <w:rFonts w:ascii="Calibri" w:hAnsi="Calibri" w:cs="Calibri"/>
        </w:rPr>
        <w:t xml:space="preserve"> twisted threads</w:t>
      </w:r>
      <w:r>
        <w:rPr>
          <w:rFonts w:ascii="Calibri" w:hAnsi="Calibri" w:cs="Calibri"/>
        </w:rPr>
        <w:t xml:space="preserve"> worn around the necks of an elite warrior class</w:t>
      </w:r>
      <w:r w:rsidR="00BE35ED">
        <w:rPr>
          <w:rFonts w:ascii="Calibri" w:hAnsi="Calibri" w:cs="Calibri"/>
        </w:rPr>
        <w:t xml:space="preserve">. </w:t>
      </w:r>
      <w:r w:rsidR="00C44781">
        <w:rPr>
          <w:rFonts w:ascii="Calibri" w:hAnsi="Calibri" w:cs="Calibri"/>
        </w:rPr>
        <w:t>It fall</w:t>
      </w:r>
      <w:r w:rsidR="00B64789">
        <w:rPr>
          <w:rFonts w:ascii="Calibri" w:hAnsi="Calibri" w:cs="Calibri"/>
        </w:rPr>
        <w:t>s</w:t>
      </w:r>
      <w:r w:rsidR="00C44781">
        <w:rPr>
          <w:rFonts w:ascii="Calibri" w:hAnsi="Calibri" w:cs="Calibri"/>
        </w:rPr>
        <w:t xml:space="preserve"> out of use in the 2</w:t>
      </w:r>
      <w:r w:rsidR="00C44781" w:rsidRPr="00C44781">
        <w:rPr>
          <w:rFonts w:ascii="Calibri" w:hAnsi="Calibri" w:cs="Calibri"/>
          <w:vertAlign w:val="superscript"/>
        </w:rPr>
        <w:t>nd</w:t>
      </w:r>
      <w:r w:rsidR="00C44781">
        <w:rPr>
          <w:rFonts w:ascii="Calibri" w:hAnsi="Calibri" w:cs="Calibri"/>
        </w:rPr>
        <w:t xml:space="preserve"> century C.E., yet seems to appear in the medieval literature of Wales, most notably the early heroic poem </w:t>
      </w:r>
      <w:r w:rsidR="00C44781" w:rsidRPr="00C44781">
        <w:rPr>
          <w:rFonts w:ascii="Calibri" w:hAnsi="Calibri" w:cs="Calibri"/>
          <w:i/>
          <w:iCs/>
        </w:rPr>
        <w:t>Y Gododdin</w:t>
      </w:r>
      <w:r w:rsidR="00C44781">
        <w:rPr>
          <w:rFonts w:ascii="Calibri" w:hAnsi="Calibri" w:cs="Calibri"/>
        </w:rPr>
        <w:t>. Even at its earliest possible dating of the 6</w:t>
      </w:r>
      <w:r w:rsidR="00C44781" w:rsidRPr="00C44781">
        <w:rPr>
          <w:rFonts w:ascii="Calibri" w:hAnsi="Calibri" w:cs="Calibri"/>
          <w:vertAlign w:val="superscript"/>
        </w:rPr>
        <w:t>th</w:t>
      </w:r>
      <w:r w:rsidR="00C44781">
        <w:rPr>
          <w:rFonts w:ascii="Calibri" w:hAnsi="Calibri" w:cs="Calibri"/>
        </w:rPr>
        <w:t xml:space="preserve"> century, The Gododdin is nonetheless centuries removed from the torc of the Celts. </w:t>
      </w:r>
      <w:r w:rsidR="00C018DA">
        <w:rPr>
          <w:rFonts w:ascii="Calibri" w:hAnsi="Calibri" w:cs="Calibri"/>
        </w:rPr>
        <w:t xml:space="preserve">Could the torc somehow have survived into the post-roman era? A survey and analysis of Welsh Medieval sources, from poetry to prose, shall consider this question, taking in </w:t>
      </w:r>
      <w:r w:rsidR="00A406A9">
        <w:rPr>
          <w:rFonts w:ascii="Calibri" w:hAnsi="Calibri" w:cs="Calibri"/>
        </w:rPr>
        <w:t>scholarship</w:t>
      </w:r>
      <w:r w:rsidR="00C018DA">
        <w:rPr>
          <w:rFonts w:ascii="Calibri" w:hAnsi="Calibri" w:cs="Calibri"/>
        </w:rPr>
        <w:t xml:space="preserve"> on the archaeology of early medieval northern Britain, where the Iron-age torc may in fact have lived on in other objects inspired by it. Then there is the Torc of St. Cynog, an object described in detail in the 12</w:t>
      </w:r>
      <w:r w:rsidR="00C018DA" w:rsidRPr="00C018DA">
        <w:rPr>
          <w:rFonts w:ascii="Calibri" w:hAnsi="Calibri" w:cs="Calibri"/>
          <w:vertAlign w:val="superscript"/>
        </w:rPr>
        <w:t>th</w:t>
      </w:r>
      <w:r w:rsidR="00C018DA">
        <w:rPr>
          <w:rFonts w:ascii="Calibri" w:hAnsi="Calibri" w:cs="Calibri"/>
        </w:rPr>
        <w:t xml:space="preserve"> century by Gerald of Wales, as well as in other</w:t>
      </w:r>
      <w:r w:rsidR="00515F92">
        <w:rPr>
          <w:rFonts w:ascii="Calibri" w:hAnsi="Calibri" w:cs="Calibri"/>
        </w:rPr>
        <w:t xml:space="preserve"> sources</w:t>
      </w:r>
      <w:r w:rsidR="00C018DA">
        <w:rPr>
          <w:rFonts w:ascii="Calibri" w:hAnsi="Calibri" w:cs="Calibri"/>
        </w:rPr>
        <w:t>. These will be compared to establish whether the constitute at least somewhat independent accounts for what may have been a real, Iron-age relic</w:t>
      </w:r>
      <w:r w:rsidR="002106A9">
        <w:rPr>
          <w:rFonts w:ascii="Calibri" w:hAnsi="Calibri" w:cs="Calibri"/>
        </w:rPr>
        <w:t xml:space="preserve"> understood as a torc</w:t>
      </w:r>
      <w:r w:rsidR="00C018DA">
        <w:rPr>
          <w:rFonts w:ascii="Calibri" w:hAnsi="Calibri" w:cs="Calibri"/>
        </w:rPr>
        <w:t xml:space="preserve"> in the second millennium in Wales. </w:t>
      </w:r>
    </w:p>
    <w:p w14:paraId="52D1B975" w14:textId="00FC5643" w:rsidR="00D44ACD" w:rsidRPr="005A1933" w:rsidRDefault="00D44ACD">
      <w:pPr>
        <w:rPr>
          <w:rFonts w:ascii="Calibri" w:hAnsi="Calibri" w:cs="Calibri"/>
          <w:b/>
          <w:bCs/>
        </w:rPr>
      </w:pPr>
      <w:r w:rsidRPr="005A1933">
        <w:rPr>
          <w:rFonts w:ascii="Calibri" w:hAnsi="Calibri" w:cs="Calibri"/>
          <w:b/>
          <w:bCs/>
        </w:rPr>
        <w:t>Acknowledgements</w:t>
      </w:r>
    </w:p>
    <w:p w14:paraId="4E306045" w14:textId="45A36771" w:rsidR="003D759A" w:rsidRDefault="00D63A0F" w:rsidP="00DB3D32">
      <w:pPr>
        <w:jc w:val="both"/>
        <w:rPr>
          <w:rFonts w:ascii="Calibri" w:hAnsi="Calibri" w:cs="Calibri"/>
        </w:rPr>
      </w:pPr>
      <w:r>
        <w:rPr>
          <w:rFonts w:ascii="Calibri" w:hAnsi="Calibri" w:cs="Calibri"/>
        </w:rPr>
        <w:t xml:space="preserve">The idea for this dissertation came early on, in one of the first modules of this BA, in fact. Reading </w:t>
      </w:r>
      <w:r w:rsidRPr="00DB3D32">
        <w:rPr>
          <w:rFonts w:ascii="Calibri" w:hAnsi="Calibri" w:cs="Calibri"/>
          <w:i/>
          <w:iCs/>
        </w:rPr>
        <w:t xml:space="preserve">Y Gododdin </w:t>
      </w:r>
      <w:r w:rsidR="00DB3D32">
        <w:rPr>
          <w:rFonts w:ascii="Calibri" w:hAnsi="Calibri" w:cs="Calibri"/>
        </w:rPr>
        <w:t>as part of the Introduction to Celtic Literature with Dafydd Johnson and Mary-Ann Constantine inspired my interest in the torcs of Welsh literature, and they encouraged me to develop this interest.</w:t>
      </w:r>
      <w:r w:rsidR="00253434">
        <w:rPr>
          <w:rFonts w:ascii="Calibri" w:hAnsi="Calibri" w:cs="Calibri"/>
        </w:rPr>
        <w:t xml:space="preserve"> </w:t>
      </w:r>
      <w:r w:rsidR="00706E45">
        <w:rPr>
          <w:rFonts w:ascii="Calibri" w:hAnsi="Calibri" w:cs="Calibri"/>
        </w:rPr>
        <w:t>6 years later, this final project owes much to them.</w:t>
      </w:r>
    </w:p>
    <w:p w14:paraId="71673EB5" w14:textId="77777777" w:rsidR="00774677" w:rsidRDefault="00907E09" w:rsidP="00DB3D32">
      <w:pPr>
        <w:jc w:val="both"/>
        <w:rPr>
          <w:rFonts w:ascii="Calibri" w:hAnsi="Calibri" w:cs="Calibri"/>
        </w:rPr>
      </w:pPr>
      <w:r>
        <w:rPr>
          <w:rFonts w:ascii="Calibri" w:hAnsi="Calibri" w:cs="Calibri"/>
        </w:rPr>
        <w:t xml:space="preserve">Thanks are also due to Jessica </w:t>
      </w:r>
      <w:r w:rsidR="000C230B">
        <w:rPr>
          <w:rFonts w:ascii="Calibri" w:hAnsi="Calibri" w:cs="Calibri"/>
        </w:rPr>
        <w:t>Keady and Jane Cartwright, who fought my corner and kept me going</w:t>
      </w:r>
      <w:r w:rsidR="00210D21">
        <w:rPr>
          <w:rFonts w:ascii="Calibri" w:hAnsi="Calibri" w:cs="Calibri"/>
        </w:rPr>
        <w:t xml:space="preserve">, and to Helen Pulman-Slater, who helped with the necessary adjustments to personal circumstances. </w:t>
      </w:r>
    </w:p>
    <w:p w14:paraId="1B346DF1" w14:textId="2F6C8641" w:rsidR="000C230B" w:rsidRDefault="000C230B" w:rsidP="00DB3D32">
      <w:pPr>
        <w:jc w:val="both"/>
        <w:rPr>
          <w:rFonts w:ascii="Calibri" w:hAnsi="Calibri" w:cs="Calibri"/>
        </w:rPr>
      </w:pPr>
      <w:r>
        <w:rPr>
          <w:rFonts w:ascii="Calibri" w:hAnsi="Calibri" w:cs="Calibri"/>
        </w:rPr>
        <w:t xml:space="preserve">Heather Williams made what I consider to be an inspired suggestion that we approach Jenny Day to be my supervisor for this project. </w:t>
      </w:r>
    </w:p>
    <w:p w14:paraId="493AF93C" w14:textId="7916B0EE" w:rsidR="000C230B" w:rsidRDefault="000C230B" w:rsidP="00DB3D32">
      <w:pPr>
        <w:jc w:val="both"/>
        <w:rPr>
          <w:rFonts w:ascii="Calibri" w:hAnsi="Calibri" w:cs="Calibri"/>
        </w:rPr>
      </w:pPr>
      <w:r>
        <w:rPr>
          <w:rFonts w:ascii="Calibri" w:hAnsi="Calibri" w:cs="Calibri"/>
        </w:rPr>
        <w:t>Jenny was a valued thinking partner on this, as enthusiastic as I was and effortlessly encouraging. I have enjoyed working with her so much, and look forward to doing so again.</w:t>
      </w:r>
    </w:p>
    <w:p w14:paraId="532F81CF" w14:textId="37346029" w:rsidR="004F655A" w:rsidRDefault="004F655A" w:rsidP="00DB3D32">
      <w:pPr>
        <w:jc w:val="both"/>
        <w:rPr>
          <w:rFonts w:ascii="Calibri" w:hAnsi="Calibri" w:cs="Calibri"/>
        </w:rPr>
      </w:pPr>
      <w:r>
        <w:rPr>
          <w:rFonts w:ascii="Calibri" w:hAnsi="Calibri" w:cs="Calibri"/>
        </w:rPr>
        <w:t>Thanks to Tess for the sketch of St Cynog’s Torc, and much more besides, more than can be expressed.</w:t>
      </w:r>
    </w:p>
    <w:p w14:paraId="56B3AA3B" w14:textId="75F910F4" w:rsidR="000C230B" w:rsidRPr="00DB3D32" w:rsidRDefault="000C230B" w:rsidP="00DB3D32">
      <w:pPr>
        <w:jc w:val="both"/>
        <w:rPr>
          <w:rFonts w:ascii="Calibri" w:hAnsi="Calibri" w:cs="Calibri"/>
        </w:rPr>
      </w:pPr>
      <w:r>
        <w:rPr>
          <w:rFonts w:ascii="Calibri" w:hAnsi="Calibri" w:cs="Calibri"/>
        </w:rPr>
        <w:t xml:space="preserve">This dissertation was completed </w:t>
      </w:r>
      <w:r w:rsidR="00F25085">
        <w:rPr>
          <w:rFonts w:ascii="Calibri" w:hAnsi="Calibri" w:cs="Calibri"/>
        </w:rPr>
        <w:t>during</w:t>
      </w:r>
      <w:r>
        <w:rPr>
          <w:rFonts w:ascii="Calibri" w:hAnsi="Calibri" w:cs="Calibri"/>
        </w:rPr>
        <w:t xml:space="preserve"> </w:t>
      </w:r>
      <w:r w:rsidR="00F25085">
        <w:rPr>
          <w:rFonts w:ascii="Calibri" w:hAnsi="Calibri" w:cs="Calibri"/>
        </w:rPr>
        <w:t>a heavy and painful personal life transition</w:t>
      </w:r>
      <w:r>
        <w:rPr>
          <w:rFonts w:ascii="Calibri" w:hAnsi="Calibri" w:cs="Calibri"/>
        </w:rPr>
        <w:t>, and I could not have done it without the love and support of dear friends and family. This is for you.</w:t>
      </w:r>
    </w:p>
    <w:p w14:paraId="2D446E56" w14:textId="42A619EB" w:rsidR="00D44ACD" w:rsidRPr="005A1933" w:rsidRDefault="00D44ACD">
      <w:pPr>
        <w:rPr>
          <w:rFonts w:ascii="Calibri" w:hAnsi="Calibri" w:cs="Calibri"/>
          <w:b/>
          <w:bCs/>
        </w:rPr>
      </w:pPr>
      <w:r w:rsidRPr="005A1933">
        <w:rPr>
          <w:rFonts w:ascii="Calibri" w:hAnsi="Calibri" w:cs="Calibri"/>
          <w:b/>
          <w:bCs/>
        </w:rPr>
        <w:t>Contents</w:t>
      </w:r>
    </w:p>
    <w:p w14:paraId="64F424F9" w14:textId="4477C6C7" w:rsidR="00B354E6" w:rsidRPr="005A1933" w:rsidRDefault="00B354E6" w:rsidP="00B354E6">
      <w:pPr>
        <w:rPr>
          <w:rFonts w:ascii="Calibri" w:hAnsi="Calibri" w:cs="Calibri"/>
        </w:rPr>
      </w:pPr>
      <w:r w:rsidRPr="005A1933">
        <w:rPr>
          <w:rFonts w:ascii="Calibri" w:hAnsi="Calibri" w:cs="Calibri"/>
        </w:rPr>
        <w:t xml:space="preserve">List of Tables and </w:t>
      </w:r>
      <w:r w:rsidR="008F76B5">
        <w:rPr>
          <w:rFonts w:ascii="Calibri" w:hAnsi="Calibri" w:cs="Calibri"/>
        </w:rPr>
        <w:t>images</w:t>
      </w:r>
      <w:r w:rsidRPr="005A1933">
        <w:rPr>
          <w:rFonts w:ascii="Calibri" w:hAnsi="Calibri" w:cs="Calibri"/>
        </w:rPr>
        <w:t>………………………….p.</w:t>
      </w:r>
      <w:r w:rsidR="00A91DD0">
        <w:rPr>
          <w:rFonts w:ascii="Calibri" w:hAnsi="Calibri" w:cs="Calibri"/>
        </w:rPr>
        <w:t xml:space="preserve"> 2.</w:t>
      </w:r>
    </w:p>
    <w:p w14:paraId="050FAC6F" w14:textId="735709CE" w:rsidR="00B354E6" w:rsidRPr="005A1933" w:rsidRDefault="00B354E6" w:rsidP="00B354E6">
      <w:pPr>
        <w:rPr>
          <w:rFonts w:ascii="Calibri" w:hAnsi="Calibri" w:cs="Calibri"/>
        </w:rPr>
      </w:pPr>
      <w:r w:rsidRPr="005A1933">
        <w:rPr>
          <w:rFonts w:ascii="Calibri" w:hAnsi="Calibri" w:cs="Calibri"/>
        </w:rPr>
        <w:t>Introduction…………………………………………..p.</w:t>
      </w:r>
      <w:r w:rsidR="00A91DD0">
        <w:rPr>
          <w:rFonts w:ascii="Calibri" w:hAnsi="Calibri" w:cs="Calibri"/>
        </w:rPr>
        <w:t xml:space="preserve"> 4.</w:t>
      </w:r>
    </w:p>
    <w:p w14:paraId="57681DEE" w14:textId="6D133F60" w:rsidR="00B354E6" w:rsidRPr="005A1933" w:rsidRDefault="00B354E6" w:rsidP="00B354E6">
      <w:pPr>
        <w:pStyle w:val="ListParagraph"/>
        <w:numPr>
          <w:ilvl w:val="0"/>
          <w:numId w:val="1"/>
        </w:numPr>
        <w:rPr>
          <w:rFonts w:ascii="Calibri" w:hAnsi="Calibri" w:cs="Calibri"/>
        </w:rPr>
      </w:pPr>
      <w:r w:rsidRPr="005A1933">
        <w:rPr>
          <w:rFonts w:ascii="Calibri" w:hAnsi="Calibri" w:cs="Calibri"/>
        </w:rPr>
        <w:t>Overview and rationale</w:t>
      </w:r>
      <w:r w:rsidR="00A91DD0">
        <w:rPr>
          <w:rFonts w:ascii="Calibri" w:hAnsi="Calibri" w:cs="Calibri"/>
        </w:rPr>
        <w:t>…...p.4</w:t>
      </w:r>
    </w:p>
    <w:p w14:paraId="1B19B5F3" w14:textId="494B3D5E" w:rsidR="00B354E6" w:rsidRPr="005A1933" w:rsidRDefault="00B354E6" w:rsidP="00B354E6">
      <w:pPr>
        <w:pStyle w:val="ListParagraph"/>
        <w:numPr>
          <w:ilvl w:val="0"/>
          <w:numId w:val="1"/>
        </w:numPr>
        <w:rPr>
          <w:rFonts w:ascii="Calibri" w:hAnsi="Calibri" w:cs="Calibri"/>
        </w:rPr>
      </w:pPr>
      <w:r w:rsidRPr="005A1933">
        <w:rPr>
          <w:rFonts w:ascii="Calibri" w:hAnsi="Calibri" w:cs="Calibri"/>
        </w:rPr>
        <w:t>Research questions</w:t>
      </w:r>
      <w:r w:rsidR="00A91DD0">
        <w:rPr>
          <w:rFonts w:ascii="Calibri" w:hAnsi="Calibri" w:cs="Calibri"/>
        </w:rPr>
        <w:t>…….p.4.</w:t>
      </w:r>
    </w:p>
    <w:p w14:paraId="2BB06A70" w14:textId="7E172A55" w:rsidR="00B354E6" w:rsidRPr="005A1933" w:rsidRDefault="00B354E6" w:rsidP="00B354E6">
      <w:pPr>
        <w:pStyle w:val="ListParagraph"/>
        <w:numPr>
          <w:ilvl w:val="0"/>
          <w:numId w:val="1"/>
        </w:numPr>
        <w:rPr>
          <w:rFonts w:ascii="Calibri" w:hAnsi="Calibri" w:cs="Calibri"/>
        </w:rPr>
      </w:pPr>
      <w:r w:rsidRPr="005A1933">
        <w:rPr>
          <w:rFonts w:ascii="Calibri" w:hAnsi="Calibri" w:cs="Calibri"/>
        </w:rPr>
        <w:t>Methodology</w:t>
      </w:r>
      <w:r w:rsidR="00A91DD0">
        <w:rPr>
          <w:rFonts w:ascii="Calibri" w:hAnsi="Calibri" w:cs="Calibri"/>
        </w:rPr>
        <w:t>….p4.</w:t>
      </w:r>
    </w:p>
    <w:p w14:paraId="42340032" w14:textId="2494760D" w:rsidR="00B354E6" w:rsidRPr="005A1933" w:rsidRDefault="00B354E6" w:rsidP="00B354E6">
      <w:pPr>
        <w:pStyle w:val="ListParagraph"/>
        <w:numPr>
          <w:ilvl w:val="0"/>
          <w:numId w:val="1"/>
        </w:numPr>
        <w:rPr>
          <w:rFonts w:ascii="Calibri" w:hAnsi="Calibri" w:cs="Calibri"/>
        </w:rPr>
      </w:pPr>
      <w:r w:rsidRPr="005A1933">
        <w:rPr>
          <w:rFonts w:ascii="Calibri" w:hAnsi="Calibri" w:cs="Calibri"/>
        </w:rPr>
        <w:t>Note on definitions</w:t>
      </w:r>
      <w:r w:rsidR="00A91DD0">
        <w:rPr>
          <w:rFonts w:ascii="Calibri" w:hAnsi="Calibri" w:cs="Calibri"/>
        </w:rPr>
        <w:t>…..</w:t>
      </w:r>
      <w:r w:rsidR="00D7299A">
        <w:rPr>
          <w:rFonts w:ascii="Calibri" w:hAnsi="Calibri" w:cs="Calibri"/>
        </w:rPr>
        <w:t>p.5.</w:t>
      </w:r>
      <w:r w:rsidRPr="005A1933">
        <w:rPr>
          <w:rFonts w:ascii="Calibri" w:hAnsi="Calibri" w:cs="Calibri"/>
        </w:rPr>
        <w:t xml:space="preserve"> </w:t>
      </w:r>
    </w:p>
    <w:p w14:paraId="131CBA40" w14:textId="0F65DAB7" w:rsidR="00B354E6" w:rsidRPr="005A1933" w:rsidRDefault="00B354E6" w:rsidP="00B354E6">
      <w:pPr>
        <w:rPr>
          <w:rFonts w:ascii="Calibri" w:hAnsi="Calibri" w:cs="Calibri"/>
        </w:rPr>
      </w:pPr>
      <w:r w:rsidRPr="005A1933">
        <w:rPr>
          <w:rFonts w:ascii="Calibri" w:hAnsi="Calibri" w:cs="Calibri"/>
        </w:rPr>
        <w:t>Chapter 1: The Torcs of the Gododdin Poem…….p.</w:t>
      </w:r>
      <w:r w:rsidR="00D7299A">
        <w:rPr>
          <w:rFonts w:ascii="Calibri" w:hAnsi="Calibri" w:cs="Calibri"/>
        </w:rPr>
        <w:t xml:space="preserve"> 6.</w:t>
      </w:r>
    </w:p>
    <w:p w14:paraId="0344F5AB" w14:textId="431C8778" w:rsidR="00B354E6" w:rsidRPr="005A1933" w:rsidRDefault="00B354E6" w:rsidP="00B354E6">
      <w:pPr>
        <w:pStyle w:val="ListParagraph"/>
        <w:numPr>
          <w:ilvl w:val="0"/>
          <w:numId w:val="2"/>
        </w:numPr>
        <w:rPr>
          <w:rFonts w:ascii="Calibri" w:hAnsi="Calibri" w:cs="Calibri"/>
        </w:rPr>
      </w:pPr>
      <w:r w:rsidRPr="005A1933">
        <w:rPr>
          <w:rFonts w:ascii="Calibri" w:hAnsi="Calibri" w:cs="Calibri"/>
        </w:rPr>
        <w:t>1.1. Introduction to the text</w:t>
      </w:r>
      <w:r w:rsidR="00D7299A">
        <w:rPr>
          <w:rFonts w:ascii="Calibri" w:hAnsi="Calibri" w:cs="Calibri"/>
        </w:rPr>
        <w:t>….p.6.</w:t>
      </w:r>
    </w:p>
    <w:p w14:paraId="03DF306F" w14:textId="31827CB2" w:rsidR="00B354E6" w:rsidRPr="005A1933" w:rsidRDefault="00B354E6" w:rsidP="00B354E6">
      <w:pPr>
        <w:pStyle w:val="ListParagraph"/>
        <w:numPr>
          <w:ilvl w:val="0"/>
          <w:numId w:val="2"/>
        </w:numPr>
        <w:rPr>
          <w:rFonts w:ascii="Calibri" w:hAnsi="Calibri" w:cs="Calibri"/>
        </w:rPr>
      </w:pPr>
      <w:r w:rsidRPr="005A1933">
        <w:rPr>
          <w:rFonts w:ascii="Calibri" w:hAnsi="Calibri" w:cs="Calibri"/>
        </w:rPr>
        <w:t>1.2. Secondary literature review</w:t>
      </w:r>
      <w:r w:rsidR="00D7299A">
        <w:rPr>
          <w:rFonts w:ascii="Calibri" w:hAnsi="Calibri" w:cs="Calibri"/>
        </w:rPr>
        <w:t>….p.6.</w:t>
      </w:r>
    </w:p>
    <w:p w14:paraId="384FADB7" w14:textId="4054789B" w:rsidR="00B354E6" w:rsidRPr="005A1933" w:rsidRDefault="00B354E6" w:rsidP="00B354E6">
      <w:pPr>
        <w:pStyle w:val="ListParagraph"/>
        <w:numPr>
          <w:ilvl w:val="0"/>
          <w:numId w:val="2"/>
        </w:numPr>
        <w:rPr>
          <w:rFonts w:ascii="Calibri" w:hAnsi="Calibri" w:cs="Calibri"/>
        </w:rPr>
      </w:pPr>
      <w:r w:rsidRPr="005A1933">
        <w:rPr>
          <w:rFonts w:ascii="Calibri" w:hAnsi="Calibri" w:cs="Calibri"/>
        </w:rPr>
        <w:lastRenderedPageBreak/>
        <w:t>1.3. Discussion of the text</w:t>
      </w:r>
      <w:r w:rsidR="00D7299A">
        <w:rPr>
          <w:rFonts w:ascii="Calibri" w:hAnsi="Calibri" w:cs="Calibri"/>
        </w:rPr>
        <w:t>…p. 8.</w:t>
      </w:r>
    </w:p>
    <w:p w14:paraId="54132D73" w14:textId="56620DAF" w:rsidR="00B354E6" w:rsidRPr="005A1933" w:rsidRDefault="00B354E6" w:rsidP="00B354E6">
      <w:pPr>
        <w:pStyle w:val="ListParagraph"/>
        <w:numPr>
          <w:ilvl w:val="0"/>
          <w:numId w:val="2"/>
        </w:numPr>
        <w:rPr>
          <w:rFonts w:ascii="Calibri" w:hAnsi="Calibri" w:cs="Calibri"/>
        </w:rPr>
      </w:pPr>
      <w:r w:rsidRPr="005A1933">
        <w:rPr>
          <w:rFonts w:ascii="Calibri" w:hAnsi="Calibri" w:cs="Calibri"/>
        </w:rPr>
        <w:t>1.4. Concluding remarks</w:t>
      </w:r>
      <w:r w:rsidR="00D7299A">
        <w:rPr>
          <w:rFonts w:ascii="Calibri" w:hAnsi="Calibri" w:cs="Calibri"/>
        </w:rPr>
        <w:t>….p.11.</w:t>
      </w:r>
    </w:p>
    <w:p w14:paraId="1E671E49" w14:textId="0458BB82" w:rsidR="00B354E6" w:rsidRPr="005A1933" w:rsidRDefault="00B354E6" w:rsidP="00B354E6">
      <w:pPr>
        <w:rPr>
          <w:rFonts w:ascii="Calibri" w:hAnsi="Calibri" w:cs="Calibri"/>
        </w:rPr>
      </w:pPr>
      <w:r w:rsidRPr="005A1933">
        <w:rPr>
          <w:rFonts w:ascii="Calibri" w:hAnsi="Calibri" w:cs="Calibri"/>
        </w:rPr>
        <w:t xml:space="preserve">Chapter 2: </w:t>
      </w:r>
      <w:r w:rsidR="000E712F" w:rsidRPr="005A1933">
        <w:rPr>
          <w:rFonts w:ascii="Calibri" w:hAnsi="Calibri" w:cs="Calibri"/>
        </w:rPr>
        <w:t>Torcs of the Gododdin – the archaeology…..p</w:t>
      </w:r>
      <w:r w:rsidR="001673C9" w:rsidRPr="005A1933">
        <w:rPr>
          <w:rFonts w:ascii="Calibri" w:hAnsi="Calibri" w:cs="Calibri"/>
        </w:rPr>
        <w:t>.</w:t>
      </w:r>
      <w:r w:rsidR="00D7299A">
        <w:rPr>
          <w:rFonts w:ascii="Calibri" w:hAnsi="Calibri" w:cs="Calibri"/>
        </w:rPr>
        <w:t>12.</w:t>
      </w:r>
    </w:p>
    <w:p w14:paraId="25A8B1C1" w14:textId="758466DC" w:rsidR="000E712F" w:rsidRPr="005A1933" w:rsidRDefault="000E712F" w:rsidP="000E712F">
      <w:pPr>
        <w:pStyle w:val="ListParagraph"/>
        <w:numPr>
          <w:ilvl w:val="0"/>
          <w:numId w:val="3"/>
        </w:numPr>
        <w:rPr>
          <w:rFonts w:ascii="Calibri" w:hAnsi="Calibri" w:cs="Calibri"/>
        </w:rPr>
      </w:pPr>
      <w:r w:rsidRPr="005A1933">
        <w:rPr>
          <w:rFonts w:ascii="Calibri" w:hAnsi="Calibri" w:cs="Calibri"/>
        </w:rPr>
        <w:t>2.1. Introduction</w:t>
      </w:r>
      <w:r w:rsidR="00D7299A">
        <w:rPr>
          <w:rFonts w:ascii="Calibri" w:hAnsi="Calibri" w:cs="Calibri"/>
        </w:rPr>
        <w:t>….p.12</w:t>
      </w:r>
    </w:p>
    <w:p w14:paraId="0C01DFBD" w14:textId="4CC5FB4B" w:rsidR="000E712F" w:rsidRPr="005A1933" w:rsidRDefault="000E712F" w:rsidP="000E712F">
      <w:pPr>
        <w:pStyle w:val="ListParagraph"/>
        <w:numPr>
          <w:ilvl w:val="0"/>
          <w:numId w:val="3"/>
        </w:numPr>
        <w:rPr>
          <w:rFonts w:ascii="Calibri" w:hAnsi="Calibri" w:cs="Calibri"/>
        </w:rPr>
      </w:pPr>
      <w:r w:rsidRPr="005A1933">
        <w:rPr>
          <w:rFonts w:ascii="Calibri" w:hAnsi="Calibri" w:cs="Calibri"/>
        </w:rPr>
        <w:t>2.2. Pictish Torcs – The Norrie’s Law Hoard</w:t>
      </w:r>
      <w:r w:rsidR="00D7299A">
        <w:rPr>
          <w:rFonts w:ascii="Calibri" w:hAnsi="Calibri" w:cs="Calibri"/>
        </w:rPr>
        <w:t>….p.12.</w:t>
      </w:r>
    </w:p>
    <w:p w14:paraId="276A8BF2" w14:textId="2EB2E696" w:rsidR="000E712F" w:rsidRPr="005A1933" w:rsidRDefault="000E712F" w:rsidP="000E712F">
      <w:pPr>
        <w:pStyle w:val="ListParagraph"/>
        <w:numPr>
          <w:ilvl w:val="0"/>
          <w:numId w:val="3"/>
        </w:numPr>
        <w:rPr>
          <w:rFonts w:ascii="Calibri" w:hAnsi="Calibri" w:cs="Calibri"/>
        </w:rPr>
      </w:pPr>
      <w:r w:rsidRPr="005A1933">
        <w:rPr>
          <w:rFonts w:ascii="Calibri" w:hAnsi="Calibri" w:cs="Calibri"/>
        </w:rPr>
        <w:t>2.3. Torcs on the Aberlemno Stones</w:t>
      </w:r>
      <w:r w:rsidR="00D7299A">
        <w:rPr>
          <w:rFonts w:ascii="Calibri" w:hAnsi="Calibri" w:cs="Calibri"/>
        </w:rPr>
        <w:t>….p. 13.</w:t>
      </w:r>
    </w:p>
    <w:p w14:paraId="0A96DA2A" w14:textId="22E15DED" w:rsidR="000E712F" w:rsidRPr="005A1933" w:rsidRDefault="000E712F" w:rsidP="000E712F">
      <w:pPr>
        <w:pStyle w:val="ListParagraph"/>
        <w:numPr>
          <w:ilvl w:val="0"/>
          <w:numId w:val="3"/>
        </w:numPr>
        <w:rPr>
          <w:rFonts w:ascii="Calibri" w:hAnsi="Calibri" w:cs="Calibri"/>
        </w:rPr>
      </w:pPr>
      <w:r w:rsidRPr="005A1933">
        <w:rPr>
          <w:rFonts w:ascii="Calibri" w:hAnsi="Calibri" w:cs="Calibri"/>
        </w:rPr>
        <w:t>2.4. Chains of Power</w:t>
      </w:r>
      <w:r w:rsidR="00D7299A">
        <w:rPr>
          <w:rFonts w:ascii="Calibri" w:hAnsi="Calibri" w:cs="Calibri"/>
        </w:rPr>
        <w:t>……p.14.</w:t>
      </w:r>
    </w:p>
    <w:p w14:paraId="0FB726E7" w14:textId="62995AB7" w:rsidR="000E712F" w:rsidRPr="005A1933" w:rsidRDefault="000E712F" w:rsidP="000E712F">
      <w:pPr>
        <w:pStyle w:val="ListParagraph"/>
        <w:numPr>
          <w:ilvl w:val="0"/>
          <w:numId w:val="3"/>
        </w:numPr>
        <w:rPr>
          <w:rFonts w:ascii="Calibri" w:hAnsi="Calibri" w:cs="Calibri"/>
        </w:rPr>
      </w:pPr>
      <w:r w:rsidRPr="005A1933">
        <w:rPr>
          <w:rFonts w:ascii="Calibri" w:hAnsi="Calibri" w:cs="Calibri"/>
        </w:rPr>
        <w:t>2.5. Influence of other cultures?</w:t>
      </w:r>
      <w:r w:rsidR="00D7299A">
        <w:rPr>
          <w:rFonts w:ascii="Calibri" w:hAnsi="Calibri" w:cs="Calibri"/>
        </w:rPr>
        <w:t>.....p. 15</w:t>
      </w:r>
    </w:p>
    <w:p w14:paraId="0F560CD9" w14:textId="00A27A67" w:rsidR="000E712F" w:rsidRPr="005A1933" w:rsidRDefault="000E712F" w:rsidP="000E712F">
      <w:pPr>
        <w:pStyle w:val="ListParagraph"/>
        <w:numPr>
          <w:ilvl w:val="0"/>
          <w:numId w:val="3"/>
        </w:numPr>
        <w:rPr>
          <w:rFonts w:ascii="Calibri" w:hAnsi="Calibri" w:cs="Calibri"/>
        </w:rPr>
      </w:pPr>
      <w:r w:rsidRPr="005A1933">
        <w:rPr>
          <w:rFonts w:ascii="Calibri" w:hAnsi="Calibri" w:cs="Calibri"/>
        </w:rPr>
        <w:t>2.6. Re-use or repurposing of ancient objects</w:t>
      </w:r>
      <w:r w:rsidR="00D7299A">
        <w:rPr>
          <w:rFonts w:ascii="Calibri" w:hAnsi="Calibri" w:cs="Calibri"/>
        </w:rPr>
        <w:t>……p. 15.</w:t>
      </w:r>
    </w:p>
    <w:p w14:paraId="0F3084EC" w14:textId="62CCDDCC" w:rsidR="000E712F" w:rsidRPr="005A1933" w:rsidRDefault="000E712F" w:rsidP="000E712F">
      <w:pPr>
        <w:pStyle w:val="ListParagraph"/>
        <w:numPr>
          <w:ilvl w:val="0"/>
          <w:numId w:val="3"/>
        </w:numPr>
        <w:rPr>
          <w:rFonts w:ascii="Calibri" w:hAnsi="Calibri" w:cs="Calibri"/>
        </w:rPr>
      </w:pPr>
      <w:r w:rsidRPr="005A1933">
        <w:rPr>
          <w:rFonts w:ascii="Calibri" w:hAnsi="Calibri" w:cs="Calibri"/>
        </w:rPr>
        <w:t>2.7. Concluding remarks</w:t>
      </w:r>
      <w:r w:rsidR="00D7299A">
        <w:rPr>
          <w:rFonts w:ascii="Calibri" w:hAnsi="Calibri" w:cs="Calibri"/>
        </w:rPr>
        <w:t>…..p. 16.</w:t>
      </w:r>
    </w:p>
    <w:p w14:paraId="15F186CB" w14:textId="63729384" w:rsidR="000E712F" w:rsidRPr="005A1933" w:rsidRDefault="000E712F" w:rsidP="000E712F">
      <w:pPr>
        <w:rPr>
          <w:rFonts w:ascii="Calibri" w:hAnsi="Calibri" w:cs="Calibri"/>
        </w:rPr>
      </w:pPr>
      <w:r w:rsidRPr="005A1933">
        <w:rPr>
          <w:rFonts w:ascii="Calibri" w:hAnsi="Calibri" w:cs="Calibri"/>
        </w:rPr>
        <w:t xml:space="preserve">Chapter 3: </w:t>
      </w:r>
      <w:r w:rsidR="001673C9" w:rsidRPr="005A1933">
        <w:rPr>
          <w:rFonts w:ascii="Calibri" w:hAnsi="Calibri" w:cs="Calibri"/>
        </w:rPr>
        <w:t>Torcs in Later Medieval Welsh Literature…..p.</w:t>
      </w:r>
      <w:r w:rsidR="00D7299A">
        <w:rPr>
          <w:rFonts w:ascii="Calibri" w:hAnsi="Calibri" w:cs="Calibri"/>
        </w:rPr>
        <w:t xml:space="preserve"> 17.</w:t>
      </w:r>
    </w:p>
    <w:p w14:paraId="1CCBB85B" w14:textId="1E1710CE" w:rsidR="001673C9" w:rsidRPr="005A1933" w:rsidRDefault="001673C9" w:rsidP="001673C9">
      <w:pPr>
        <w:pStyle w:val="ListParagraph"/>
        <w:numPr>
          <w:ilvl w:val="0"/>
          <w:numId w:val="4"/>
        </w:numPr>
        <w:rPr>
          <w:rFonts w:ascii="Calibri" w:hAnsi="Calibri" w:cs="Calibri"/>
        </w:rPr>
      </w:pPr>
      <w:r w:rsidRPr="005A1933">
        <w:rPr>
          <w:rFonts w:ascii="Calibri" w:hAnsi="Calibri" w:cs="Calibri"/>
        </w:rPr>
        <w:t>3.1. Introduction</w:t>
      </w:r>
      <w:r w:rsidR="00D7299A">
        <w:rPr>
          <w:rFonts w:ascii="Calibri" w:hAnsi="Calibri" w:cs="Calibri"/>
        </w:rPr>
        <w:t>…..p. 17.</w:t>
      </w:r>
    </w:p>
    <w:p w14:paraId="45C65D06" w14:textId="4805F5C7" w:rsidR="001673C9" w:rsidRPr="005A1933" w:rsidRDefault="001673C9" w:rsidP="001673C9">
      <w:pPr>
        <w:pStyle w:val="ListParagraph"/>
        <w:numPr>
          <w:ilvl w:val="0"/>
          <w:numId w:val="4"/>
        </w:numPr>
        <w:rPr>
          <w:rFonts w:ascii="Calibri" w:hAnsi="Calibri" w:cs="Calibri"/>
        </w:rPr>
      </w:pPr>
      <w:r w:rsidRPr="005A1933">
        <w:rPr>
          <w:rFonts w:ascii="Calibri" w:hAnsi="Calibri" w:cs="Calibri"/>
        </w:rPr>
        <w:t>3.2. The Poetry of the Princes</w:t>
      </w:r>
      <w:r w:rsidR="00D7299A">
        <w:rPr>
          <w:rFonts w:ascii="Calibri" w:hAnsi="Calibri" w:cs="Calibri"/>
        </w:rPr>
        <w:t>….p. 17.</w:t>
      </w:r>
    </w:p>
    <w:p w14:paraId="06C0C1F0" w14:textId="05F1917B" w:rsidR="001673C9" w:rsidRPr="005A1933" w:rsidRDefault="001673C9" w:rsidP="001673C9">
      <w:pPr>
        <w:pStyle w:val="ListParagraph"/>
        <w:numPr>
          <w:ilvl w:val="0"/>
          <w:numId w:val="4"/>
        </w:numPr>
        <w:rPr>
          <w:rFonts w:ascii="Calibri" w:hAnsi="Calibri" w:cs="Calibri"/>
        </w:rPr>
      </w:pPr>
      <w:r w:rsidRPr="005A1933">
        <w:rPr>
          <w:rFonts w:ascii="Calibri" w:hAnsi="Calibri" w:cs="Calibri"/>
        </w:rPr>
        <w:t>3.3. Late Medieval Welsh poetry</w:t>
      </w:r>
      <w:r w:rsidR="00D7299A">
        <w:rPr>
          <w:rFonts w:ascii="Calibri" w:hAnsi="Calibri" w:cs="Calibri"/>
        </w:rPr>
        <w:t>….p. 19.</w:t>
      </w:r>
    </w:p>
    <w:p w14:paraId="2A3AF1B0" w14:textId="68B4BD4D" w:rsidR="001673C9" w:rsidRPr="005A1933" w:rsidRDefault="001673C9" w:rsidP="001673C9">
      <w:pPr>
        <w:pStyle w:val="ListParagraph"/>
        <w:numPr>
          <w:ilvl w:val="0"/>
          <w:numId w:val="4"/>
        </w:numPr>
        <w:rPr>
          <w:rFonts w:ascii="Calibri" w:hAnsi="Calibri" w:cs="Calibri"/>
        </w:rPr>
      </w:pPr>
      <w:r w:rsidRPr="005A1933">
        <w:rPr>
          <w:rFonts w:ascii="Calibri" w:hAnsi="Calibri" w:cs="Calibri"/>
        </w:rPr>
        <w:t>3.4. Prose texts</w:t>
      </w:r>
      <w:r w:rsidR="00D7299A">
        <w:rPr>
          <w:rFonts w:ascii="Calibri" w:hAnsi="Calibri" w:cs="Calibri"/>
        </w:rPr>
        <w:t>….p. 20.</w:t>
      </w:r>
    </w:p>
    <w:p w14:paraId="18AC639F" w14:textId="281191A2" w:rsidR="001673C9" w:rsidRPr="005A1933" w:rsidRDefault="001673C9" w:rsidP="001673C9">
      <w:pPr>
        <w:pStyle w:val="ListParagraph"/>
        <w:numPr>
          <w:ilvl w:val="0"/>
          <w:numId w:val="4"/>
        </w:numPr>
        <w:rPr>
          <w:rFonts w:ascii="Calibri" w:hAnsi="Calibri" w:cs="Calibri"/>
        </w:rPr>
      </w:pPr>
      <w:r w:rsidRPr="005A1933">
        <w:rPr>
          <w:rFonts w:ascii="Calibri" w:hAnsi="Calibri" w:cs="Calibri"/>
        </w:rPr>
        <w:t>3.5. Concluding remarks</w:t>
      </w:r>
      <w:r w:rsidR="00D7299A">
        <w:rPr>
          <w:rFonts w:ascii="Calibri" w:hAnsi="Calibri" w:cs="Calibri"/>
        </w:rPr>
        <w:t>….p. 21.</w:t>
      </w:r>
    </w:p>
    <w:p w14:paraId="44A769EF" w14:textId="64329EB1" w:rsidR="001673C9" w:rsidRPr="005A1933" w:rsidRDefault="001673C9" w:rsidP="001673C9">
      <w:pPr>
        <w:rPr>
          <w:rFonts w:ascii="Calibri" w:hAnsi="Calibri" w:cs="Calibri"/>
        </w:rPr>
      </w:pPr>
      <w:r w:rsidRPr="005A1933">
        <w:rPr>
          <w:rFonts w:ascii="Calibri" w:hAnsi="Calibri" w:cs="Calibri"/>
        </w:rPr>
        <w:t>Chapter 4: The Torc of St. Cynog……..p.</w:t>
      </w:r>
      <w:r w:rsidR="00D7299A">
        <w:rPr>
          <w:rFonts w:ascii="Calibri" w:hAnsi="Calibri" w:cs="Calibri"/>
        </w:rPr>
        <w:t xml:space="preserve"> 22.</w:t>
      </w:r>
    </w:p>
    <w:p w14:paraId="660B9B73" w14:textId="5335DAA5" w:rsidR="001673C9" w:rsidRPr="005A1933" w:rsidRDefault="006741B9" w:rsidP="006741B9">
      <w:pPr>
        <w:pStyle w:val="ListParagraph"/>
        <w:numPr>
          <w:ilvl w:val="0"/>
          <w:numId w:val="5"/>
        </w:numPr>
        <w:rPr>
          <w:rFonts w:ascii="Calibri" w:hAnsi="Calibri" w:cs="Calibri"/>
        </w:rPr>
      </w:pPr>
      <w:r w:rsidRPr="005A1933">
        <w:rPr>
          <w:rFonts w:ascii="Calibri" w:hAnsi="Calibri" w:cs="Calibri"/>
        </w:rPr>
        <w:t>4.1. Introduction</w:t>
      </w:r>
      <w:r w:rsidR="00D7299A">
        <w:rPr>
          <w:rFonts w:ascii="Calibri" w:hAnsi="Calibri" w:cs="Calibri"/>
        </w:rPr>
        <w:t>……p. 22.</w:t>
      </w:r>
    </w:p>
    <w:p w14:paraId="4D7EE5E1" w14:textId="10397695" w:rsidR="006741B9" w:rsidRPr="005A1933" w:rsidRDefault="006741B9" w:rsidP="006741B9">
      <w:pPr>
        <w:pStyle w:val="ListParagraph"/>
        <w:numPr>
          <w:ilvl w:val="0"/>
          <w:numId w:val="5"/>
        </w:numPr>
        <w:rPr>
          <w:rFonts w:ascii="Calibri" w:hAnsi="Calibri" w:cs="Calibri"/>
        </w:rPr>
      </w:pPr>
      <w:r w:rsidRPr="005A1933">
        <w:rPr>
          <w:rFonts w:ascii="Calibri" w:hAnsi="Calibri" w:cs="Calibri"/>
        </w:rPr>
        <w:t>4.2. Sources</w:t>
      </w:r>
      <w:r w:rsidR="00D7299A">
        <w:rPr>
          <w:rFonts w:ascii="Calibri" w:hAnsi="Calibri" w:cs="Calibri"/>
        </w:rPr>
        <w:t xml:space="preserve">….p. </w:t>
      </w:r>
      <w:r w:rsidR="006214EB">
        <w:rPr>
          <w:rFonts w:ascii="Calibri" w:hAnsi="Calibri" w:cs="Calibri"/>
        </w:rPr>
        <w:t>23</w:t>
      </w:r>
    </w:p>
    <w:p w14:paraId="3B11F3C5" w14:textId="61B9477C" w:rsidR="006741B9" w:rsidRPr="005A1933" w:rsidRDefault="006741B9" w:rsidP="006741B9">
      <w:pPr>
        <w:pStyle w:val="ListParagraph"/>
        <w:numPr>
          <w:ilvl w:val="0"/>
          <w:numId w:val="5"/>
        </w:numPr>
        <w:rPr>
          <w:rFonts w:ascii="Calibri" w:hAnsi="Calibri" w:cs="Calibri"/>
        </w:rPr>
      </w:pPr>
      <w:r w:rsidRPr="005A1933">
        <w:rPr>
          <w:rFonts w:ascii="Calibri" w:hAnsi="Calibri" w:cs="Calibri"/>
        </w:rPr>
        <w:t>4.3. Comparative analysis: the sources as independent confirmation of the torc</w:t>
      </w:r>
      <w:r w:rsidR="006214EB">
        <w:rPr>
          <w:rFonts w:ascii="Calibri" w:hAnsi="Calibri" w:cs="Calibri"/>
        </w:rPr>
        <w:t>….p. 24</w:t>
      </w:r>
    </w:p>
    <w:p w14:paraId="3901E32D" w14:textId="23815E7C" w:rsidR="006741B9" w:rsidRPr="005A1933" w:rsidRDefault="006741B9" w:rsidP="006741B9">
      <w:pPr>
        <w:pStyle w:val="ListParagraph"/>
        <w:numPr>
          <w:ilvl w:val="0"/>
          <w:numId w:val="5"/>
        </w:numPr>
        <w:rPr>
          <w:rFonts w:ascii="Calibri" w:hAnsi="Calibri" w:cs="Calibri"/>
        </w:rPr>
      </w:pPr>
      <w:r w:rsidRPr="005A1933">
        <w:rPr>
          <w:rFonts w:ascii="Calibri" w:hAnsi="Calibri" w:cs="Calibri"/>
        </w:rPr>
        <w:t>4.4. Was it a ‘torc’?</w:t>
      </w:r>
      <w:r w:rsidR="006214EB">
        <w:rPr>
          <w:rFonts w:ascii="Calibri" w:hAnsi="Calibri" w:cs="Calibri"/>
        </w:rPr>
        <w:t>....p. 25.</w:t>
      </w:r>
    </w:p>
    <w:p w14:paraId="029069A9" w14:textId="61C36C25" w:rsidR="006741B9" w:rsidRPr="005A1933" w:rsidRDefault="006741B9" w:rsidP="006741B9">
      <w:pPr>
        <w:pStyle w:val="ListParagraph"/>
        <w:numPr>
          <w:ilvl w:val="0"/>
          <w:numId w:val="5"/>
        </w:numPr>
        <w:rPr>
          <w:rFonts w:ascii="Calibri" w:hAnsi="Calibri" w:cs="Calibri"/>
        </w:rPr>
      </w:pPr>
      <w:r w:rsidRPr="005A1933">
        <w:rPr>
          <w:rFonts w:ascii="Calibri" w:hAnsi="Calibri" w:cs="Calibri"/>
        </w:rPr>
        <w:t>4.5. Concluding remarks</w:t>
      </w:r>
      <w:r w:rsidR="006214EB">
        <w:rPr>
          <w:rFonts w:ascii="Calibri" w:hAnsi="Calibri" w:cs="Calibri"/>
        </w:rPr>
        <w:t>….p. 26.</w:t>
      </w:r>
    </w:p>
    <w:p w14:paraId="590FC106" w14:textId="77777777" w:rsidR="006741B9" w:rsidRPr="00E60B19" w:rsidRDefault="006741B9" w:rsidP="006741B9">
      <w:pPr>
        <w:rPr>
          <w:rFonts w:ascii="Calibri" w:hAnsi="Calibri" w:cs="Calibri"/>
          <w:sz w:val="2"/>
          <w:szCs w:val="2"/>
        </w:rPr>
      </w:pPr>
    </w:p>
    <w:p w14:paraId="07F6E272" w14:textId="6ED481BB" w:rsidR="006741B9" w:rsidRPr="005A1933" w:rsidRDefault="006741B9" w:rsidP="006741B9">
      <w:pPr>
        <w:rPr>
          <w:rFonts w:ascii="Calibri" w:hAnsi="Calibri" w:cs="Calibri"/>
        </w:rPr>
      </w:pPr>
      <w:r w:rsidRPr="005A1933">
        <w:rPr>
          <w:rFonts w:ascii="Calibri" w:hAnsi="Calibri" w:cs="Calibri"/>
        </w:rPr>
        <w:t>Conclusion……………………………….p.</w:t>
      </w:r>
      <w:r w:rsidR="006214EB">
        <w:rPr>
          <w:rFonts w:ascii="Calibri" w:hAnsi="Calibri" w:cs="Calibri"/>
        </w:rPr>
        <w:t>27.</w:t>
      </w:r>
    </w:p>
    <w:p w14:paraId="1FFEB5CA" w14:textId="33235DDC" w:rsidR="003D759A" w:rsidRDefault="006741B9">
      <w:pPr>
        <w:rPr>
          <w:rFonts w:ascii="Calibri" w:hAnsi="Calibri" w:cs="Calibri"/>
        </w:rPr>
      </w:pPr>
      <w:r w:rsidRPr="005A1933">
        <w:rPr>
          <w:rFonts w:ascii="Calibri" w:hAnsi="Calibri" w:cs="Calibri"/>
        </w:rPr>
        <w:t>Bibliography……………………………….p.</w:t>
      </w:r>
      <w:r w:rsidR="006214EB">
        <w:rPr>
          <w:rFonts w:ascii="Calibri" w:hAnsi="Calibri" w:cs="Calibri"/>
        </w:rPr>
        <w:t xml:space="preserve"> 28.</w:t>
      </w:r>
    </w:p>
    <w:p w14:paraId="054CBDFD" w14:textId="77777777" w:rsidR="006D63C4" w:rsidRPr="006D63C4" w:rsidRDefault="006D63C4">
      <w:pPr>
        <w:rPr>
          <w:rFonts w:ascii="Calibri" w:hAnsi="Calibri" w:cs="Calibri"/>
          <w:sz w:val="2"/>
          <w:szCs w:val="2"/>
        </w:rPr>
      </w:pPr>
    </w:p>
    <w:p w14:paraId="0F31260F" w14:textId="2A571197" w:rsidR="00D44ACD" w:rsidRPr="005A1933" w:rsidRDefault="00D44ACD">
      <w:pPr>
        <w:rPr>
          <w:rFonts w:ascii="Calibri" w:hAnsi="Calibri" w:cs="Calibri"/>
          <w:b/>
          <w:bCs/>
        </w:rPr>
      </w:pPr>
      <w:r w:rsidRPr="005A1933">
        <w:rPr>
          <w:rFonts w:ascii="Calibri" w:hAnsi="Calibri" w:cs="Calibri"/>
          <w:b/>
          <w:bCs/>
        </w:rPr>
        <w:t xml:space="preserve">List of tables and </w:t>
      </w:r>
      <w:r w:rsidR="008F76B5">
        <w:rPr>
          <w:rFonts w:ascii="Calibri" w:hAnsi="Calibri" w:cs="Calibri"/>
          <w:b/>
          <w:bCs/>
        </w:rPr>
        <w:t>images</w:t>
      </w:r>
    </w:p>
    <w:p w14:paraId="189EEB22" w14:textId="7D089C2D" w:rsidR="004D2170" w:rsidRPr="005A1933" w:rsidRDefault="004D2170">
      <w:pPr>
        <w:rPr>
          <w:rFonts w:ascii="Calibri" w:hAnsi="Calibri" w:cs="Calibri"/>
          <w:u w:val="single"/>
        </w:rPr>
      </w:pPr>
      <w:r w:rsidRPr="005A1933">
        <w:rPr>
          <w:rFonts w:ascii="Calibri" w:hAnsi="Calibri" w:cs="Calibri"/>
          <w:u w:val="single"/>
        </w:rPr>
        <w:t>Tables</w:t>
      </w:r>
    </w:p>
    <w:p w14:paraId="4A3F973E" w14:textId="059635DC" w:rsidR="004D2170" w:rsidRPr="005A1933" w:rsidRDefault="004D2170" w:rsidP="004D2170">
      <w:pPr>
        <w:pStyle w:val="FootnoteText"/>
        <w:numPr>
          <w:ilvl w:val="0"/>
          <w:numId w:val="6"/>
        </w:numPr>
        <w:rPr>
          <w:rFonts w:ascii="Calibri" w:hAnsi="Calibri" w:cs="Calibri"/>
          <w:sz w:val="22"/>
          <w:szCs w:val="22"/>
        </w:rPr>
      </w:pPr>
      <w:r w:rsidRPr="005A1933">
        <w:rPr>
          <w:rFonts w:ascii="Calibri" w:hAnsi="Calibri" w:cs="Calibri"/>
          <w:sz w:val="22"/>
          <w:szCs w:val="22"/>
        </w:rPr>
        <w:t xml:space="preserve">Table 1: Overview of terms </w:t>
      </w:r>
      <w:r w:rsidRPr="005A1933">
        <w:rPr>
          <w:rFonts w:ascii="Calibri" w:hAnsi="Calibri" w:cs="Calibri"/>
          <w:i/>
          <w:iCs/>
          <w:sz w:val="22"/>
          <w:szCs w:val="22"/>
        </w:rPr>
        <w:t>[in the Gododdin poem</w:t>
      </w:r>
      <w:r w:rsidR="00F47B83">
        <w:rPr>
          <w:rFonts w:ascii="Calibri" w:hAnsi="Calibri" w:cs="Calibri"/>
          <w:i/>
          <w:iCs/>
          <w:sz w:val="22"/>
          <w:szCs w:val="22"/>
        </w:rPr>
        <w:t>]</w:t>
      </w:r>
      <w:r w:rsidR="00F47B83" w:rsidRPr="00F47B83">
        <w:rPr>
          <w:rFonts w:ascii="Calibri" w:hAnsi="Calibri" w:cs="Calibri"/>
          <w:sz w:val="22"/>
          <w:szCs w:val="22"/>
        </w:rPr>
        <w:t xml:space="preserve"> </w:t>
      </w:r>
    </w:p>
    <w:p w14:paraId="15B703D1" w14:textId="6E9CFE74" w:rsidR="004D2170" w:rsidRPr="005A1933" w:rsidRDefault="00371B3E" w:rsidP="004D2170">
      <w:pPr>
        <w:pStyle w:val="FootnoteText"/>
        <w:numPr>
          <w:ilvl w:val="0"/>
          <w:numId w:val="6"/>
        </w:numPr>
        <w:rPr>
          <w:rFonts w:ascii="Calibri" w:hAnsi="Calibri" w:cs="Calibri"/>
          <w:sz w:val="22"/>
          <w:szCs w:val="22"/>
        </w:rPr>
      </w:pPr>
      <w:r w:rsidRPr="005A1933">
        <w:rPr>
          <w:rFonts w:ascii="Calibri" w:hAnsi="Calibri" w:cs="Calibri"/>
          <w:sz w:val="22"/>
          <w:szCs w:val="22"/>
        </w:rPr>
        <w:t xml:space="preserve">Table 2: concordances of terms relating to ‘torch’ in the Beirdd y Tywysogion </w:t>
      </w:r>
    </w:p>
    <w:p w14:paraId="479077D7" w14:textId="17DA9790" w:rsidR="00371B3E" w:rsidRPr="005A1933" w:rsidRDefault="00371B3E" w:rsidP="004D2170">
      <w:pPr>
        <w:pStyle w:val="FootnoteText"/>
        <w:numPr>
          <w:ilvl w:val="0"/>
          <w:numId w:val="6"/>
        </w:numPr>
        <w:rPr>
          <w:rFonts w:ascii="Calibri" w:hAnsi="Calibri" w:cs="Calibri"/>
          <w:sz w:val="22"/>
          <w:szCs w:val="22"/>
        </w:rPr>
      </w:pPr>
      <w:r w:rsidRPr="005A1933">
        <w:rPr>
          <w:rFonts w:ascii="Calibri" w:hAnsi="Calibri" w:cs="Calibri"/>
          <w:sz w:val="22"/>
          <w:szCs w:val="22"/>
        </w:rPr>
        <w:t xml:space="preserve">Table 3: poetry samples for ‘eurdorchogion’ </w:t>
      </w:r>
    </w:p>
    <w:p w14:paraId="68FC4DE3" w14:textId="77777777" w:rsidR="004D2170" w:rsidRPr="005A1933" w:rsidRDefault="004D2170" w:rsidP="00691A42">
      <w:pPr>
        <w:pStyle w:val="FootnoteText"/>
        <w:rPr>
          <w:rFonts w:ascii="Calibri" w:hAnsi="Calibri" w:cs="Calibri"/>
          <w:i/>
          <w:iCs/>
          <w:sz w:val="22"/>
          <w:szCs w:val="22"/>
        </w:rPr>
      </w:pPr>
    </w:p>
    <w:p w14:paraId="1EF33DB4" w14:textId="4E668E03" w:rsidR="00C92514" w:rsidRPr="00C92514" w:rsidRDefault="00C92514" w:rsidP="004C1F6C">
      <w:pPr>
        <w:pStyle w:val="FootnoteText"/>
        <w:rPr>
          <w:rFonts w:ascii="Calibri" w:hAnsi="Calibri" w:cs="Calibri"/>
          <w:sz w:val="22"/>
          <w:szCs w:val="22"/>
          <w:u w:val="single"/>
        </w:rPr>
      </w:pPr>
      <w:r w:rsidRPr="00C92514">
        <w:rPr>
          <w:rFonts w:ascii="Calibri" w:hAnsi="Calibri" w:cs="Calibri"/>
          <w:sz w:val="22"/>
          <w:szCs w:val="22"/>
          <w:u w:val="single"/>
        </w:rPr>
        <w:t>Images</w:t>
      </w:r>
    </w:p>
    <w:p w14:paraId="20E1E80A" w14:textId="5B2B1776" w:rsidR="00C92514" w:rsidRPr="00761F5A" w:rsidRDefault="00C92514" w:rsidP="004C1F6C">
      <w:pPr>
        <w:pStyle w:val="FootnoteText"/>
        <w:rPr>
          <w:rFonts w:ascii="Calibri" w:hAnsi="Calibri" w:cs="Calibri"/>
          <w:i/>
          <w:iCs/>
          <w:sz w:val="22"/>
          <w:szCs w:val="22"/>
        </w:rPr>
      </w:pPr>
      <w:r w:rsidRPr="00761F5A">
        <w:rPr>
          <w:rFonts w:ascii="Calibri" w:hAnsi="Calibri" w:cs="Calibri"/>
          <w:i/>
          <w:iCs/>
          <w:sz w:val="22"/>
          <w:szCs w:val="22"/>
        </w:rPr>
        <w:t>All images are used under the Creative Commons Licence.</w:t>
      </w:r>
    </w:p>
    <w:p w14:paraId="3E0DC05A" w14:textId="77777777" w:rsidR="00C92514" w:rsidRDefault="00C92514" w:rsidP="004C1F6C">
      <w:pPr>
        <w:pStyle w:val="FootnoteText"/>
        <w:rPr>
          <w:rFonts w:ascii="Calibri" w:hAnsi="Calibri" w:cs="Calibri"/>
          <w:i/>
          <w:iCs/>
          <w:sz w:val="22"/>
          <w:szCs w:val="22"/>
        </w:rPr>
      </w:pPr>
    </w:p>
    <w:p w14:paraId="032D48E6" w14:textId="4F62EB18" w:rsidR="00AB49EF" w:rsidRPr="005A1933" w:rsidRDefault="00AB49EF" w:rsidP="007C77E7">
      <w:pPr>
        <w:pStyle w:val="FootnoteText"/>
        <w:numPr>
          <w:ilvl w:val="0"/>
          <w:numId w:val="7"/>
        </w:numPr>
        <w:rPr>
          <w:rFonts w:ascii="Calibri" w:hAnsi="Calibri" w:cs="Calibri"/>
          <w:i/>
          <w:iCs/>
          <w:sz w:val="22"/>
          <w:szCs w:val="22"/>
        </w:rPr>
      </w:pPr>
      <w:r w:rsidRPr="005A1933">
        <w:rPr>
          <w:rFonts w:ascii="Calibri" w:hAnsi="Calibri" w:cs="Calibri"/>
          <w:i/>
          <w:iCs/>
          <w:sz w:val="22"/>
          <w:szCs w:val="22"/>
        </w:rPr>
        <w:t>Snettisham Great Torc, British Museum:</w:t>
      </w:r>
    </w:p>
    <w:p w14:paraId="1D3D2EA1" w14:textId="00171C77" w:rsidR="00AB49EF" w:rsidRPr="005A1933" w:rsidRDefault="00000000" w:rsidP="00683A4E">
      <w:pPr>
        <w:pStyle w:val="FootnoteText"/>
        <w:ind w:left="720"/>
        <w:rPr>
          <w:rFonts w:ascii="Calibri" w:hAnsi="Calibri" w:cs="Calibri"/>
          <w:i/>
          <w:iCs/>
          <w:sz w:val="22"/>
          <w:szCs w:val="22"/>
        </w:rPr>
      </w:pPr>
      <w:hyperlink r:id="rId10" w:history="1">
        <w:r w:rsidR="00683A4E" w:rsidRPr="001C1245">
          <w:rPr>
            <w:rStyle w:val="Hyperlink"/>
            <w:rFonts w:ascii="Calibri" w:hAnsi="Calibri" w:cs="Calibri"/>
            <w:i/>
            <w:iCs/>
            <w:sz w:val="22"/>
            <w:szCs w:val="22"/>
          </w:rPr>
          <w:t>https://www.britishmuseum.org/collection/object/H_1951-0402-2</w:t>
        </w:r>
      </w:hyperlink>
      <w:r w:rsidR="00AB49EF" w:rsidRPr="005A1933">
        <w:rPr>
          <w:rFonts w:ascii="Calibri" w:hAnsi="Calibri" w:cs="Calibri"/>
          <w:i/>
          <w:iCs/>
          <w:sz w:val="22"/>
          <w:szCs w:val="22"/>
        </w:rPr>
        <w:t xml:space="preserve"> [first accessed 12/10/23].</w:t>
      </w:r>
    </w:p>
    <w:p w14:paraId="655C8481" w14:textId="60A46009" w:rsidR="004C1F6C" w:rsidRPr="005A1933" w:rsidRDefault="004C1F6C" w:rsidP="007C77E7">
      <w:pPr>
        <w:pStyle w:val="FootnoteText"/>
        <w:numPr>
          <w:ilvl w:val="0"/>
          <w:numId w:val="7"/>
        </w:numPr>
        <w:rPr>
          <w:rFonts w:ascii="Calibri" w:hAnsi="Calibri" w:cs="Calibri"/>
          <w:i/>
          <w:iCs/>
          <w:sz w:val="22"/>
          <w:szCs w:val="22"/>
        </w:rPr>
      </w:pPr>
      <w:r w:rsidRPr="005A1933">
        <w:rPr>
          <w:rFonts w:ascii="Calibri" w:hAnsi="Calibri" w:cs="Calibri"/>
          <w:i/>
          <w:iCs/>
          <w:sz w:val="22"/>
          <w:szCs w:val="22"/>
        </w:rPr>
        <w:t>Potential Torcs, Norrie’s Law Hoard, National Museum of Scotland, ‘Norrie’s Law Hoard’ at National Museum of Scotland:</w:t>
      </w:r>
    </w:p>
    <w:p w14:paraId="11C9D774" w14:textId="5CBC1433" w:rsidR="004C1F6C" w:rsidRPr="005A1933" w:rsidRDefault="00000000" w:rsidP="00683A4E">
      <w:pPr>
        <w:pStyle w:val="FootnoteText"/>
        <w:ind w:left="720"/>
        <w:rPr>
          <w:rFonts w:ascii="Calibri" w:hAnsi="Calibri" w:cs="Calibri"/>
          <w:i/>
          <w:iCs/>
          <w:sz w:val="22"/>
          <w:szCs w:val="22"/>
        </w:rPr>
      </w:pPr>
      <w:hyperlink r:id="rId11" w:anchor=":~:text=Made%20up%20of%20170%20pieces,brooch%20with%20a%20twisted%20hoop" w:history="1">
        <w:r w:rsidR="00683A4E" w:rsidRPr="001C1245">
          <w:rPr>
            <w:rStyle w:val="Hyperlink"/>
            <w:rFonts w:ascii="Calibri" w:hAnsi="Calibri" w:cs="Calibri"/>
            <w:i/>
            <w:iCs/>
            <w:sz w:val="22"/>
            <w:szCs w:val="22"/>
          </w:rPr>
          <w:t>https://www.nms.ac.uk/explore-our-collections/stories/scottish-history-and-archaeology/norries-law-</w:t>
        </w:r>
        <w:r w:rsidR="00683A4E" w:rsidRPr="001C1245">
          <w:rPr>
            <w:rStyle w:val="Hyperlink"/>
            <w:rFonts w:ascii="Calibri" w:hAnsi="Calibri" w:cs="Calibri"/>
            <w:i/>
            <w:iCs/>
            <w:sz w:val="22"/>
            <w:szCs w:val="22"/>
          </w:rPr>
          <w:lastRenderedPageBreak/>
          <w:t>hoard/#:~:text=Made%20up%20of%20170%20pieces,brooch%20with%20a%20twisted%20hoop</w:t>
        </w:r>
      </w:hyperlink>
      <w:r w:rsidR="004C1F6C" w:rsidRPr="005A1933">
        <w:rPr>
          <w:rFonts w:ascii="Calibri" w:hAnsi="Calibri" w:cs="Calibri"/>
          <w:i/>
          <w:iCs/>
          <w:sz w:val="22"/>
          <w:szCs w:val="22"/>
        </w:rPr>
        <w:t>. [first accessed 10/11/23].</w:t>
      </w:r>
    </w:p>
    <w:p w14:paraId="29CC2380" w14:textId="60E7811C" w:rsidR="008A7C59" w:rsidRPr="005A1933" w:rsidRDefault="00096018" w:rsidP="007C77E7">
      <w:pPr>
        <w:pStyle w:val="FootnoteText"/>
        <w:numPr>
          <w:ilvl w:val="0"/>
          <w:numId w:val="7"/>
        </w:numPr>
        <w:rPr>
          <w:rFonts w:ascii="Calibri" w:hAnsi="Calibri" w:cs="Calibri"/>
          <w:i/>
          <w:iCs/>
          <w:sz w:val="22"/>
          <w:szCs w:val="22"/>
        </w:rPr>
      </w:pPr>
      <w:bookmarkStart w:id="0" w:name="_Hlk170139823"/>
      <w:r w:rsidRPr="005A1933">
        <w:rPr>
          <w:rFonts w:ascii="Calibri" w:hAnsi="Calibri" w:cs="Calibri"/>
          <w:i/>
          <w:iCs/>
          <w:sz w:val="22"/>
          <w:szCs w:val="22"/>
        </w:rPr>
        <w:t xml:space="preserve">‘Torc’ on Aberlemno Stone II, </w:t>
      </w:r>
      <w:r w:rsidR="00C92514">
        <w:rPr>
          <w:rFonts w:ascii="Calibri" w:hAnsi="Calibri" w:cs="Calibri"/>
          <w:i/>
          <w:iCs/>
          <w:sz w:val="22"/>
          <w:szCs w:val="22"/>
        </w:rPr>
        <w:t xml:space="preserve">image from 3D model developed by Nick Parish for </w:t>
      </w:r>
      <w:r w:rsidR="00C92514" w:rsidRPr="00C92514">
        <w:rPr>
          <w:rFonts w:ascii="Calibri" w:hAnsi="Calibri" w:cs="Calibri"/>
          <w:i/>
          <w:iCs/>
          <w:sz w:val="22"/>
          <w:szCs w:val="22"/>
        </w:rPr>
        <w:t>National Museum of Scotland’s Early Peoples galleries</w:t>
      </w:r>
      <w:r w:rsidR="00F47B83">
        <w:rPr>
          <w:rFonts w:ascii="Calibri" w:hAnsi="Calibri" w:cs="Calibri"/>
          <w:i/>
          <w:iCs/>
          <w:sz w:val="22"/>
          <w:szCs w:val="22"/>
        </w:rPr>
        <w:t xml:space="preserve">: </w:t>
      </w:r>
      <w:hyperlink r:id="rId12" w:history="1">
        <w:r w:rsidR="00F47B83" w:rsidRPr="001C1245">
          <w:rPr>
            <w:rStyle w:val="Hyperlink"/>
            <w:rFonts w:ascii="Calibri" w:hAnsi="Calibri" w:cs="Calibri"/>
            <w:i/>
            <w:iCs/>
            <w:sz w:val="22"/>
            <w:szCs w:val="22"/>
          </w:rPr>
          <w:t>https://sketchfab.com/3d-models/aberlemno-stone-pictish-symbol-stone-nms-e5de967efde24a42a21bea02296d4afe</w:t>
        </w:r>
      </w:hyperlink>
      <w:r w:rsidR="00F47B83">
        <w:rPr>
          <w:rFonts w:ascii="Calibri" w:hAnsi="Calibri" w:cs="Calibri"/>
          <w:i/>
          <w:iCs/>
          <w:sz w:val="22"/>
          <w:szCs w:val="22"/>
        </w:rPr>
        <w:t xml:space="preserve"> [first accessed 01/06/24].</w:t>
      </w:r>
      <w:bookmarkEnd w:id="0"/>
    </w:p>
    <w:p w14:paraId="686111F3" w14:textId="2C50F30E" w:rsidR="00E55967" w:rsidRPr="005A1933" w:rsidRDefault="00E55967" w:rsidP="007C77E7">
      <w:pPr>
        <w:pStyle w:val="FootnoteText"/>
        <w:numPr>
          <w:ilvl w:val="0"/>
          <w:numId w:val="7"/>
        </w:numPr>
        <w:rPr>
          <w:rFonts w:ascii="Calibri" w:hAnsi="Calibri" w:cs="Calibri"/>
          <w:i/>
          <w:iCs/>
          <w:sz w:val="22"/>
          <w:szCs w:val="22"/>
        </w:rPr>
      </w:pPr>
      <w:bookmarkStart w:id="1" w:name="_Hlk170055618"/>
      <w:r w:rsidRPr="005A1933">
        <w:rPr>
          <w:rFonts w:ascii="Calibri" w:hAnsi="Calibri" w:cs="Calibri"/>
          <w:i/>
          <w:iCs/>
          <w:sz w:val="22"/>
          <w:szCs w:val="22"/>
        </w:rPr>
        <w:t xml:space="preserve">Pictish Chains of Silver, National Museums Scotland: </w:t>
      </w:r>
      <w:hyperlink r:id="rId13" w:history="1">
        <w:r w:rsidRPr="005A1933">
          <w:rPr>
            <w:rStyle w:val="Hyperlink"/>
            <w:rFonts w:ascii="Calibri" w:hAnsi="Calibri" w:cs="Calibri"/>
            <w:i/>
            <w:iCs/>
            <w:sz w:val="22"/>
            <w:szCs w:val="22"/>
          </w:rPr>
          <w:t>https://nms.scran.ac.uk/database/record.php?usi=000-100-036-326-C</w:t>
        </w:r>
      </w:hyperlink>
      <w:r w:rsidRPr="005A1933">
        <w:rPr>
          <w:rFonts w:ascii="Calibri" w:hAnsi="Calibri" w:cs="Calibri"/>
          <w:i/>
          <w:iCs/>
          <w:sz w:val="22"/>
          <w:szCs w:val="22"/>
        </w:rPr>
        <w:t xml:space="preserve"> [first accessed 23/3/24].</w:t>
      </w:r>
      <w:bookmarkEnd w:id="1"/>
    </w:p>
    <w:p w14:paraId="6138ECB3" w14:textId="3889186F" w:rsidR="00E94C1E" w:rsidRPr="005A1933" w:rsidRDefault="00E55967" w:rsidP="007C77E7">
      <w:pPr>
        <w:pStyle w:val="FootnoteText"/>
        <w:numPr>
          <w:ilvl w:val="0"/>
          <w:numId w:val="7"/>
        </w:numPr>
        <w:rPr>
          <w:rFonts w:ascii="Calibri" w:hAnsi="Calibri" w:cs="Calibri"/>
          <w:i/>
          <w:iCs/>
          <w:sz w:val="22"/>
          <w:szCs w:val="22"/>
        </w:rPr>
      </w:pPr>
      <w:r w:rsidRPr="005A1933">
        <w:rPr>
          <w:rFonts w:ascii="Calibri" w:hAnsi="Calibri" w:cs="Calibri"/>
          <w:i/>
          <w:iCs/>
          <w:sz w:val="22"/>
          <w:szCs w:val="22"/>
        </w:rPr>
        <w:t xml:space="preserve">Anglo-Saxon neck ring, c5-6, British Museum: </w:t>
      </w:r>
      <w:hyperlink r:id="rId14" w:history="1">
        <w:r w:rsidRPr="005A1933">
          <w:rPr>
            <w:rStyle w:val="Hyperlink"/>
            <w:rFonts w:ascii="Calibri" w:hAnsi="Calibri" w:cs="Calibri"/>
            <w:i/>
            <w:iCs/>
            <w:sz w:val="22"/>
            <w:szCs w:val="22"/>
          </w:rPr>
          <w:t>https://www.britishmuseum.org/collection/object/H_1925-0404-1</w:t>
        </w:r>
      </w:hyperlink>
      <w:r w:rsidRPr="005A1933">
        <w:rPr>
          <w:rFonts w:ascii="Calibri" w:hAnsi="Calibri" w:cs="Calibri"/>
          <w:i/>
          <w:iCs/>
          <w:sz w:val="22"/>
          <w:szCs w:val="22"/>
        </w:rPr>
        <w:t xml:space="preserve"> [first accessed 11/04/24].</w:t>
      </w:r>
    </w:p>
    <w:p w14:paraId="0AF1A5F0" w14:textId="7E7B2493" w:rsidR="00096018" w:rsidRPr="005A1933" w:rsidRDefault="00E94C1E" w:rsidP="007C77E7">
      <w:pPr>
        <w:pStyle w:val="FootnoteText"/>
        <w:numPr>
          <w:ilvl w:val="0"/>
          <w:numId w:val="7"/>
        </w:numPr>
        <w:rPr>
          <w:rFonts w:ascii="Calibri" w:hAnsi="Calibri" w:cs="Calibri"/>
          <w:i/>
          <w:iCs/>
          <w:sz w:val="22"/>
          <w:szCs w:val="22"/>
        </w:rPr>
      </w:pPr>
      <w:bookmarkStart w:id="2" w:name="_Hlk170138699"/>
      <w:r w:rsidRPr="005A1933">
        <w:rPr>
          <w:rFonts w:ascii="Calibri" w:hAnsi="Calibri" w:cs="Calibri"/>
          <w:i/>
          <w:iCs/>
          <w:sz w:val="22"/>
          <w:szCs w:val="22"/>
        </w:rPr>
        <w:t xml:space="preserve">Artist’s impression of the Torc of St Cynog: </w:t>
      </w:r>
      <w:r w:rsidR="00A84A30" w:rsidRPr="005A1933">
        <w:rPr>
          <w:rFonts w:ascii="Calibri" w:hAnsi="Calibri" w:cs="Calibri"/>
          <w:i/>
          <w:iCs/>
          <w:sz w:val="22"/>
          <w:szCs w:val="22"/>
        </w:rPr>
        <w:t>Tessa Marshall, 2024 (</w:t>
      </w:r>
      <w:hyperlink r:id="rId15" w:history="1">
        <w:r w:rsidR="00A84A30" w:rsidRPr="005A1933">
          <w:rPr>
            <w:rStyle w:val="Hyperlink"/>
            <w:rFonts w:ascii="Calibri" w:hAnsi="Calibri" w:cs="Calibri"/>
            <w:i/>
            <w:iCs/>
            <w:sz w:val="22"/>
            <w:szCs w:val="22"/>
          </w:rPr>
          <w:t>tmarshall1096@gmail.com</w:t>
        </w:r>
      </w:hyperlink>
      <w:r w:rsidR="00A84A30" w:rsidRPr="005A1933">
        <w:rPr>
          <w:rFonts w:ascii="Calibri" w:hAnsi="Calibri" w:cs="Calibri"/>
          <w:i/>
          <w:iCs/>
          <w:sz w:val="22"/>
          <w:szCs w:val="22"/>
        </w:rPr>
        <w:t>)</w:t>
      </w:r>
      <w:bookmarkEnd w:id="2"/>
    </w:p>
    <w:p w14:paraId="31E4B123" w14:textId="622AAB6D" w:rsidR="00691A42" w:rsidRPr="005A1933" w:rsidRDefault="00021C64" w:rsidP="007C77E7">
      <w:pPr>
        <w:pStyle w:val="FootnoteText"/>
        <w:numPr>
          <w:ilvl w:val="0"/>
          <w:numId w:val="7"/>
        </w:numPr>
        <w:rPr>
          <w:rFonts w:ascii="Calibri" w:hAnsi="Calibri" w:cs="Calibri"/>
          <w:sz w:val="22"/>
          <w:szCs w:val="22"/>
        </w:rPr>
      </w:pPr>
      <w:r w:rsidRPr="005A1933">
        <w:rPr>
          <w:rFonts w:ascii="Calibri" w:hAnsi="Calibri" w:cs="Calibri"/>
          <w:i/>
          <w:iCs/>
          <w:sz w:val="22"/>
          <w:szCs w:val="22"/>
        </w:rPr>
        <w:t>The Trichtingen Torc</w:t>
      </w:r>
      <w:r w:rsidRPr="005A1933">
        <w:rPr>
          <w:rFonts w:ascii="Calibri" w:hAnsi="Calibri" w:cs="Calibri"/>
          <w:sz w:val="22"/>
          <w:szCs w:val="22"/>
        </w:rPr>
        <w:t xml:space="preserve"> </w:t>
      </w:r>
      <w:r w:rsidR="00691A42" w:rsidRPr="005A1933">
        <w:rPr>
          <w:rFonts w:ascii="Calibri" w:hAnsi="Calibri" w:cs="Calibri"/>
          <w:sz w:val="22"/>
          <w:szCs w:val="22"/>
        </w:rPr>
        <w:t>(illustration) at World History Encyclopedia</w:t>
      </w:r>
      <w:r w:rsidRPr="005A1933">
        <w:rPr>
          <w:rFonts w:ascii="Calibri" w:hAnsi="Calibri" w:cs="Calibri"/>
          <w:sz w:val="22"/>
          <w:szCs w:val="22"/>
        </w:rPr>
        <w:t>:</w:t>
      </w:r>
    </w:p>
    <w:p w14:paraId="000A9AE3" w14:textId="0ADB9CE5" w:rsidR="00691A42" w:rsidRPr="007C77E7" w:rsidRDefault="00000000" w:rsidP="005676EB">
      <w:pPr>
        <w:pStyle w:val="ListParagraph"/>
        <w:rPr>
          <w:rFonts w:ascii="Calibri" w:hAnsi="Calibri" w:cs="Calibri"/>
        </w:rPr>
      </w:pPr>
      <w:hyperlink r:id="rId16" w:history="1">
        <w:r w:rsidR="00533E27" w:rsidRPr="001C1245">
          <w:rPr>
            <w:rStyle w:val="Hyperlink"/>
            <w:rFonts w:ascii="Calibri" w:hAnsi="Calibri" w:cs="Calibri"/>
          </w:rPr>
          <w:t>https://www.worldhistory.org/image/13450/the-trichtingen-torc/</w:t>
        </w:r>
      </w:hyperlink>
      <w:r w:rsidR="00691A42" w:rsidRPr="007C77E7">
        <w:rPr>
          <w:rFonts w:ascii="Calibri" w:hAnsi="Calibri" w:cs="Calibri"/>
        </w:rPr>
        <w:t xml:space="preserve"> [first accessed 13/6/24].</w:t>
      </w:r>
    </w:p>
    <w:p w14:paraId="2C42610B" w14:textId="77777777" w:rsidR="00691A42" w:rsidRDefault="00691A42" w:rsidP="00691A42">
      <w:pPr>
        <w:rPr>
          <w:rFonts w:ascii="Calibri" w:hAnsi="Calibri" w:cs="Calibri"/>
          <w:b/>
          <w:bCs/>
        </w:rPr>
      </w:pPr>
    </w:p>
    <w:p w14:paraId="6AE6394E" w14:textId="77777777" w:rsidR="00910CC1" w:rsidRDefault="00910CC1" w:rsidP="00691A42">
      <w:pPr>
        <w:rPr>
          <w:rFonts w:ascii="Calibri" w:hAnsi="Calibri" w:cs="Calibri"/>
          <w:b/>
          <w:bCs/>
        </w:rPr>
      </w:pPr>
    </w:p>
    <w:p w14:paraId="0995C1F4" w14:textId="77777777" w:rsidR="00910CC1" w:rsidRDefault="00910CC1" w:rsidP="00691A42">
      <w:pPr>
        <w:rPr>
          <w:rFonts w:ascii="Calibri" w:hAnsi="Calibri" w:cs="Calibri"/>
          <w:b/>
          <w:bCs/>
        </w:rPr>
      </w:pPr>
    </w:p>
    <w:p w14:paraId="6323166B" w14:textId="77777777" w:rsidR="00910CC1" w:rsidRDefault="00910CC1" w:rsidP="00691A42">
      <w:pPr>
        <w:rPr>
          <w:rFonts w:ascii="Calibri" w:hAnsi="Calibri" w:cs="Calibri"/>
          <w:b/>
          <w:bCs/>
        </w:rPr>
      </w:pPr>
    </w:p>
    <w:p w14:paraId="6A5AA57B" w14:textId="77777777" w:rsidR="00910CC1" w:rsidRDefault="00910CC1" w:rsidP="00691A42">
      <w:pPr>
        <w:rPr>
          <w:rFonts w:ascii="Calibri" w:hAnsi="Calibri" w:cs="Calibri"/>
          <w:b/>
          <w:bCs/>
        </w:rPr>
      </w:pPr>
    </w:p>
    <w:p w14:paraId="2352AE08" w14:textId="77777777" w:rsidR="00910CC1" w:rsidRDefault="00910CC1" w:rsidP="00691A42">
      <w:pPr>
        <w:rPr>
          <w:rFonts w:ascii="Calibri" w:hAnsi="Calibri" w:cs="Calibri"/>
          <w:b/>
          <w:bCs/>
        </w:rPr>
      </w:pPr>
    </w:p>
    <w:p w14:paraId="1CFC501B" w14:textId="77777777" w:rsidR="00910CC1" w:rsidRDefault="00910CC1" w:rsidP="00691A42">
      <w:pPr>
        <w:rPr>
          <w:rFonts w:ascii="Calibri" w:hAnsi="Calibri" w:cs="Calibri"/>
          <w:b/>
          <w:bCs/>
        </w:rPr>
      </w:pPr>
    </w:p>
    <w:p w14:paraId="26B7896D" w14:textId="77777777" w:rsidR="00910CC1" w:rsidRDefault="00910CC1" w:rsidP="00691A42">
      <w:pPr>
        <w:rPr>
          <w:rFonts w:ascii="Calibri" w:hAnsi="Calibri" w:cs="Calibri"/>
          <w:b/>
          <w:bCs/>
        </w:rPr>
      </w:pPr>
    </w:p>
    <w:p w14:paraId="626AD27A" w14:textId="77777777" w:rsidR="00910CC1" w:rsidRDefault="00910CC1" w:rsidP="00691A42">
      <w:pPr>
        <w:rPr>
          <w:rFonts w:ascii="Calibri" w:hAnsi="Calibri" w:cs="Calibri"/>
          <w:b/>
          <w:bCs/>
        </w:rPr>
      </w:pPr>
    </w:p>
    <w:p w14:paraId="66F24012" w14:textId="77777777" w:rsidR="00910CC1" w:rsidRDefault="00910CC1" w:rsidP="00691A42">
      <w:pPr>
        <w:rPr>
          <w:rFonts w:ascii="Calibri" w:hAnsi="Calibri" w:cs="Calibri"/>
          <w:b/>
          <w:bCs/>
        </w:rPr>
      </w:pPr>
    </w:p>
    <w:p w14:paraId="2F982D66" w14:textId="77777777" w:rsidR="00910CC1" w:rsidRDefault="00910CC1" w:rsidP="00691A42">
      <w:pPr>
        <w:rPr>
          <w:rFonts w:ascii="Calibri" w:hAnsi="Calibri" w:cs="Calibri"/>
          <w:b/>
          <w:bCs/>
        </w:rPr>
      </w:pPr>
    </w:p>
    <w:p w14:paraId="69537274" w14:textId="77777777" w:rsidR="00910CC1" w:rsidRDefault="00910CC1" w:rsidP="00691A42">
      <w:pPr>
        <w:rPr>
          <w:rFonts w:ascii="Calibri" w:hAnsi="Calibri" w:cs="Calibri"/>
          <w:b/>
          <w:bCs/>
        </w:rPr>
      </w:pPr>
    </w:p>
    <w:p w14:paraId="4DFA5BB7" w14:textId="77777777" w:rsidR="00910CC1" w:rsidRDefault="00910CC1" w:rsidP="00691A42">
      <w:pPr>
        <w:rPr>
          <w:rFonts w:ascii="Calibri" w:hAnsi="Calibri" w:cs="Calibri"/>
          <w:b/>
          <w:bCs/>
        </w:rPr>
      </w:pPr>
    </w:p>
    <w:p w14:paraId="6A0997FD" w14:textId="77777777" w:rsidR="00910CC1" w:rsidRDefault="00910CC1" w:rsidP="00691A42">
      <w:pPr>
        <w:rPr>
          <w:rFonts w:ascii="Calibri" w:hAnsi="Calibri" w:cs="Calibri"/>
          <w:b/>
          <w:bCs/>
        </w:rPr>
      </w:pPr>
    </w:p>
    <w:p w14:paraId="088E4F63" w14:textId="77777777" w:rsidR="00910CC1" w:rsidRDefault="00910CC1" w:rsidP="00691A42">
      <w:pPr>
        <w:rPr>
          <w:rFonts w:ascii="Calibri" w:hAnsi="Calibri" w:cs="Calibri"/>
          <w:b/>
          <w:bCs/>
        </w:rPr>
      </w:pPr>
    </w:p>
    <w:p w14:paraId="420DDD89" w14:textId="77777777" w:rsidR="00910CC1" w:rsidRDefault="00910CC1" w:rsidP="00691A42">
      <w:pPr>
        <w:rPr>
          <w:rFonts w:ascii="Calibri" w:hAnsi="Calibri" w:cs="Calibri"/>
          <w:b/>
          <w:bCs/>
        </w:rPr>
      </w:pPr>
    </w:p>
    <w:p w14:paraId="6670F772" w14:textId="77777777" w:rsidR="00910CC1" w:rsidRDefault="00910CC1" w:rsidP="00691A42">
      <w:pPr>
        <w:rPr>
          <w:rFonts w:ascii="Calibri" w:hAnsi="Calibri" w:cs="Calibri"/>
          <w:b/>
          <w:bCs/>
        </w:rPr>
      </w:pPr>
    </w:p>
    <w:p w14:paraId="07BEEBC9" w14:textId="77777777" w:rsidR="00910CC1" w:rsidRDefault="00910CC1" w:rsidP="00691A42">
      <w:pPr>
        <w:rPr>
          <w:rFonts w:ascii="Calibri" w:hAnsi="Calibri" w:cs="Calibri"/>
          <w:b/>
          <w:bCs/>
        </w:rPr>
      </w:pPr>
    </w:p>
    <w:p w14:paraId="314E31AC" w14:textId="77777777" w:rsidR="00910CC1" w:rsidRDefault="00910CC1" w:rsidP="00691A42">
      <w:pPr>
        <w:rPr>
          <w:rFonts w:ascii="Calibri" w:hAnsi="Calibri" w:cs="Calibri"/>
          <w:b/>
          <w:bCs/>
        </w:rPr>
      </w:pPr>
    </w:p>
    <w:p w14:paraId="33841A0D" w14:textId="77777777" w:rsidR="00910CC1" w:rsidRDefault="00910CC1" w:rsidP="00691A42">
      <w:pPr>
        <w:rPr>
          <w:rFonts w:ascii="Calibri" w:hAnsi="Calibri" w:cs="Calibri"/>
          <w:b/>
          <w:bCs/>
        </w:rPr>
      </w:pPr>
    </w:p>
    <w:p w14:paraId="7DEF176F" w14:textId="77777777" w:rsidR="00910CC1" w:rsidRDefault="00910CC1" w:rsidP="00691A42">
      <w:pPr>
        <w:rPr>
          <w:rFonts w:ascii="Calibri" w:hAnsi="Calibri" w:cs="Calibri"/>
          <w:b/>
          <w:bCs/>
        </w:rPr>
      </w:pPr>
    </w:p>
    <w:p w14:paraId="69237019" w14:textId="77777777" w:rsidR="00910CC1" w:rsidRDefault="00910CC1" w:rsidP="00691A42">
      <w:pPr>
        <w:rPr>
          <w:rFonts w:ascii="Calibri" w:hAnsi="Calibri" w:cs="Calibri"/>
          <w:b/>
          <w:bCs/>
        </w:rPr>
      </w:pPr>
    </w:p>
    <w:p w14:paraId="517180F4" w14:textId="77777777" w:rsidR="00761F5A" w:rsidRPr="005A1933" w:rsidRDefault="00761F5A" w:rsidP="00761F5A">
      <w:pPr>
        <w:rPr>
          <w:rFonts w:ascii="Calibri" w:hAnsi="Calibri" w:cs="Calibri"/>
          <w:b/>
          <w:bCs/>
        </w:rPr>
      </w:pPr>
      <w:r w:rsidRPr="00F70097">
        <w:rPr>
          <w:rFonts w:ascii="Calibri" w:hAnsi="Calibri" w:cs="Calibri"/>
          <w:b/>
          <w:bCs/>
          <w:sz w:val="24"/>
          <w:szCs w:val="24"/>
        </w:rPr>
        <w:lastRenderedPageBreak/>
        <w:t>Introduction</w:t>
      </w:r>
    </w:p>
    <w:p w14:paraId="0A6CDFEB" w14:textId="77777777" w:rsidR="00761F5A" w:rsidRPr="00952C7E" w:rsidRDefault="00761F5A" w:rsidP="00761F5A">
      <w:pPr>
        <w:rPr>
          <w:rFonts w:ascii="Calibri" w:hAnsi="Calibri" w:cs="Calibri"/>
          <w:u w:val="single"/>
        </w:rPr>
      </w:pPr>
      <w:r w:rsidRPr="00952C7E">
        <w:rPr>
          <w:rFonts w:ascii="Calibri" w:hAnsi="Calibri" w:cs="Calibri"/>
          <w:u w:val="single"/>
        </w:rPr>
        <w:t>Overview</w:t>
      </w:r>
    </w:p>
    <w:p w14:paraId="0DD6F498" w14:textId="23EAD0B7" w:rsidR="00761F5A" w:rsidRDefault="00761F5A" w:rsidP="00761F5A">
      <w:pPr>
        <w:jc w:val="both"/>
        <w:rPr>
          <w:rFonts w:ascii="Calibri" w:hAnsi="Calibri" w:cs="Calibri"/>
        </w:rPr>
      </w:pPr>
      <w:r>
        <w:rPr>
          <w:rFonts w:ascii="Calibri" w:hAnsi="Calibri" w:cs="Calibri"/>
        </w:rPr>
        <w:t xml:space="preserve">The </w:t>
      </w:r>
      <w:r w:rsidRPr="005A1933">
        <w:rPr>
          <w:rFonts w:ascii="Calibri" w:hAnsi="Calibri" w:cs="Calibri"/>
        </w:rPr>
        <w:t>Torc</w:t>
      </w:r>
      <w:r>
        <w:rPr>
          <w:rFonts w:ascii="Calibri" w:hAnsi="Calibri" w:cs="Calibri"/>
        </w:rPr>
        <w:t xml:space="preserve"> is perhaps the </w:t>
      </w:r>
      <w:r w:rsidRPr="005A1933">
        <w:rPr>
          <w:rFonts w:ascii="Calibri" w:hAnsi="Calibri" w:cs="Calibri"/>
        </w:rPr>
        <w:t xml:space="preserve">quintessential </w:t>
      </w:r>
      <w:r>
        <w:rPr>
          <w:rFonts w:ascii="Calibri" w:hAnsi="Calibri" w:cs="Calibri"/>
        </w:rPr>
        <w:t xml:space="preserve">adornment of the </w:t>
      </w:r>
      <w:r w:rsidRPr="005A1933">
        <w:rPr>
          <w:rFonts w:ascii="Calibri" w:hAnsi="Calibri" w:cs="Calibri"/>
        </w:rPr>
        <w:t xml:space="preserve">ancient Celts. </w:t>
      </w:r>
      <w:r>
        <w:rPr>
          <w:rFonts w:ascii="Calibri" w:hAnsi="Calibri" w:cs="Calibri"/>
        </w:rPr>
        <w:t>Its twisted, often golden threads (</w:t>
      </w:r>
      <w:r>
        <w:rPr>
          <w:rFonts w:ascii="Calibri" w:hAnsi="Calibri" w:cs="Calibri"/>
          <w:i/>
          <w:iCs/>
        </w:rPr>
        <w:t xml:space="preserve">torquis </w:t>
      </w:r>
      <w:r>
        <w:rPr>
          <w:rFonts w:ascii="Calibri" w:hAnsi="Calibri" w:cs="Calibri"/>
        </w:rPr>
        <w:t xml:space="preserve">is Latin for ‘to twist’, and the Latin term for the object is </w:t>
      </w:r>
      <w:r w:rsidRPr="001A06ED">
        <w:rPr>
          <w:rFonts w:ascii="Calibri" w:hAnsi="Calibri" w:cs="Calibri"/>
          <w:i/>
          <w:iCs/>
        </w:rPr>
        <w:t>Torque</w:t>
      </w:r>
      <w:r>
        <w:rPr>
          <w:rFonts w:ascii="Calibri" w:hAnsi="Calibri" w:cs="Calibri"/>
        </w:rPr>
        <w:t>), w</w:t>
      </w:r>
      <w:r w:rsidRPr="005A1933">
        <w:rPr>
          <w:rFonts w:ascii="Calibri" w:hAnsi="Calibri" w:cs="Calibri"/>
        </w:rPr>
        <w:t xml:space="preserve">orn </w:t>
      </w:r>
      <w:r>
        <w:rPr>
          <w:rFonts w:ascii="Calibri" w:hAnsi="Calibri" w:cs="Calibri"/>
        </w:rPr>
        <w:t>around the necks of a</w:t>
      </w:r>
      <w:r w:rsidRPr="005A1933">
        <w:rPr>
          <w:rFonts w:ascii="Calibri" w:hAnsi="Calibri" w:cs="Calibri"/>
        </w:rPr>
        <w:t xml:space="preserve"> warrior elite, </w:t>
      </w:r>
      <w:r>
        <w:rPr>
          <w:rFonts w:ascii="Calibri" w:hAnsi="Calibri" w:cs="Calibri"/>
        </w:rPr>
        <w:t xml:space="preserve">is </w:t>
      </w:r>
      <w:r w:rsidRPr="005A1933">
        <w:rPr>
          <w:rFonts w:ascii="Calibri" w:hAnsi="Calibri" w:cs="Calibri"/>
        </w:rPr>
        <w:t xml:space="preserve">portrayed in </w:t>
      </w:r>
      <w:r>
        <w:rPr>
          <w:rFonts w:ascii="Calibri" w:hAnsi="Calibri" w:cs="Calibri"/>
        </w:rPr>
        <w:t>C</w:t>
      </w:r>
      <w:r w:rsidRPr="005A1933">
        <w:rPr>
          <w:rFonts w:ascii="Calibri" w:hAnsi="Calibri" w:cs="Calibri"/>
        </w:rPr>
        <w:t xml:space="preserve">lassical and </w:t>
      </w:r>
      <w:r>
        <w:rPr>
          <w:rFonts w:ascii="Calibri" w:hAnsi="Calibri" w:cs="Calibri"/>
        </w:rPr>
        <w:t>C</w:t>
      </w:r>
      <w:r w:rsidRPr="005A1933">
        <w:rPr>
          <w:rFonts w:ascii="Calibri" w:hAnsi="Calibri" w:cs="Calibri"/>
        </w:rPr>
        <w:t xml:space="preserve">eltic art, </w:t>
      </w:r>
      <w:r>
        <w:rPr>
          <w:rFonts w:ascii="Calibri" w:hAnsi="Calibri" w:cs="Calibri"/>
        </w:rPr>
        <w:t xml:space="preserve">from the famous ‘Dying Gaul’ statue to </w:t>
      </w:r>
      <w:r w:rsidR="001C6338">
        <w:rPr>
          <w:rFonts w:ascii="Calibri" w:hAnsi="Calibri" w:cs="Calibri"/>
        </w:rPr>
        <w:t xml:space="preserve">native </w:t>
      </w:r>
      <w:r>
        <w:rPr>
          <w:rFonts w:ascii="Calibri" w:hAnsi="Calibri" w:cs="Calibri"/>
        </w:rPr>
        <w:t>carv</w:t>
      </w:r>
      <w:r w:rsidR="00DD3787">
        <w:rPr>
          <w:rFonts w:ascii="Calibri" w:hAnsi="Calibri" w:cs="Calibri"/>
        </w:rPr>
        <w:t xml:space="preserve">ed figures </w:t>
      </w:r>
      <w:r>
        <w:rPr>
          <w:rFonts w:ascii="Calibri" w:hAnsi="Calibri" w:cs="Calibri"/>
        </w:rPr>
        <w:t xml:space="preserve">of </w:t>
      </w:r>
      <w:r w:rsidR="007A63F3">
        <w:rPr>
          <w:rFonts w:ascii="Calibri" w:hAnsi="Calibri" w:cs="Calibri"/>
        </w:rPr>
        <w:t>C</w:t>
      </w:r>
      <w:r>
        <w:rPr>
          <w:rFonts w:ascii="Calibri" w:hAnsi="Calibri" w:cs="Calibri"/>
        </w:rPr>
        <w:t>entral European Celtic royalty,</w:t>
      </w:r>
      <w:r w:rsidR="00664885">
        <w:rPr>
          <w:rStyle w:val="FootnoteReference"/>
          <w:rFonts w:ascii="Calibri" w:hAnsi="Calibri" w:cs="Calibri"/>
        </w:rPr>
        <w:footnoteReference w:id="2"/>
      </w:r>
      <w:r>
        <w:rPr>
          <w:rFonts w:ascii="Calibri" w:hAnsi="Calibri" w:cs="Calibri"/>
        </w:rPr>
        <w:t xml:space="preserve"> and </w:t>
      </w:r>
      <w:r w:rsidRPr="005A1933">
        <w:rPr>
          <w:rFonts w:ascii="Calibri" w:hAnsi="Calibri" w:cs="Calibri"/>
        </w:rPr>
        <w:t>represented by extraordinary objects such as the Snettisham great torc</w:t>
      </w:r>
      <w:r>
        <w:rPr>
          <w:rFonts w:ascii="Calibri" w:hAnsi="Calibri" w:cs="Calibri"/>
        </w:rPr>
        <w:t>, arguably the finest example of a torc found in Britain</w:t>
      </w:r>
      <w:r w:rsidRPr="005A1933">
        <w:rPr>
          <w:rFonts w:ascii="Calibri" w:hAnsi="Calibri" w:cs="Calibri"/>
        </w:rPr>
        <w:t>.</w:t>
      </w:r>
      <w:r>
        <w:rPr>
          <w:rStyle w:val="FootnoteReference"/>
          <w:rFonts w:ascii="Calibri" w:hAnsi="Calibri" w:cs="Calibri"/>
        </w:rPr>
        <w:footnoteReference w:id="3"/>
      </w:r>
      <w:r>
        <w:rPr>
          <w:rFonts w:ascii="Calibri" w:hAnsi="Calibri" w:cs="Calibri"/>
        </w:rPr>
        <w:t xml:space="preserve"> It was incorporated into the regalia of the Roman military, worn on the chest </w:t>
      </w:r>
      <w:r w:rsidR="004958D4">
        <w:rPr>
          <w:rFonts w:ascii="Calibri" w:hAnsi="Calibri" w:cs="Calibri"/>
        </w:rPr>
        <w:t>suspended</w:t>
      </w:r>
      <w:r>
        <w:rPr>
          <w:rFonts w:ascii="Calibri" w:hAnsi="Calibri" w:cs="Calibri"/>
        </w:rPr>
        <w:t xml:space="preserve"> from loops of leather</w:t>
      </w:r>
      <w:r w:rsidR="004958D4">
        <w:rPr>
          <w:rFonts w:ascii="Calibri" w:hAnsi="Calibri" w:cs="Calibri"/>
        </w:rPr>
        <w:t xml:space="preserve"> or fabric</w:t>
      </w:r>
      <w:r>
        <w:rPr>
          <w:rFonts w:ascii="Calibri" w:hAnsi="Calibri" w:cs="Calibri"/>
        </w:rPr>
        <w:t xml:space="preserve"> around the neck.</w:t>
      </w:r>
      <w:r>
        <w:rPr>
          <w:rStyle w:val="FootnoteReference"/>
          <w:rFonts w:ascii="Calibri" w:hAnsi="Calibri" w:cs="Calibri"/>
        </w:rPr>
        <w:footnoteReference w:id="4"/>
      </w:r>
      <w:r>
        <w:rPr>
          <w:rFonts w:ascii="Calibri" w:hAnsi="Calibri" w:cs="Calibri"/>
        </w:rPr>
        <w:t xml:space="preserve"> It d</w:t>
      </w:r>
      <w:r w:rsidRPr="005A1933">
        <w:rPr>
          <w:rFonts w:ascii="Calibri" w:hAnsi="Calibri" w:cs="Calibri"/>
        </w:rPr>
        <w:t>isappears from</w:t>
      </w:r>
      <w:r>
        <w:rPr>
          <w:rFonts w:ascii="Calibri" w:hAnsi="Calibri" w:cs="Calibri"/>
        </w:rPr>
        <w:t xml:space="preserve"> the</w:t>
      </w:r>
      <w:r w:rsidRPr="005A1933">
        <w:rPr>
          <w:rFonts w:ascii="Calibri" w:hAnsi="Calibri" w:cs="Calibri"/>
        </w:rPr>
        <w:t xml:space="preserve"> archaeolog</w:t>
      </w:r>
      <w:r>
        <w:rPr>
          <w:rFonts w:ascii="Calibri" w:hAnsi="Calibri" w:cs="Calibri"/>
        </w:rPr>
        <w:t>ical record</w:t>
      </w:r>
      <w:r w:rsidRPr="005A1933">
        <w:rPr>
          <w:rFonts w:ascii="Calibri" w:hAnsi="Calibri" w:cs="Calibri"/>
        </w:rPr>
        <w:t xml:space="preserve"> </w:t>
      </w:r>
      <w:r>
        <w:rPr>
          <w:rFonts w:ascii="Calibri" w:hAnsi="Calibri" w:cs="Calibri"/>
        </w:rPr>
        <w:t>in the 2</w:t>
      </w:r>
      <w:r>
        <w:rPr>
          <w:rFonts w:ascii="Calibri" w:hAnsi="Calibri" w:cs="Calibri"/>
          <w:vertAlign w:val="superscript"/>
        </w:rPr>
        <w:t>n</w:t>
      </w:r>
      <w:r w:rsidRPr="005A1933">
        <w:rPr>
          <w:rFonts w:ascii="Calibri" w:hAnsi="Calibri" w:cs="Calibri"/>
          <w:vertAlign w:val="superscript"/>
        </w:rPr>
        <w:t>d</w:t>
      </w:r>
      <w:r w:rsidRPr="005A1933">
        <w:rPr>
          <w:rFonts w:ascii="Calibri" w:hAnsi="Calibri" w:cs="Calibri"/>
        </w:rPr>
        <w:t xml:space="preserve"> century </w:t>
      </w:r>
      <w:r>
        <w:rPr>
          <w:rFonts w:ascii="Calibri" w:hAnsi="Calibri" w:cs="Calibri"/>
        </w:rPr>
        <w:t xml:space="preserve">CE. </w:t>
      </w:r>
      <w:r w:rsidRPr="005A1933">
        <w:rPr>
          <w:rFonts w:ascii="Calibri" w:hAnsi="Calibri" w:cs="Calibri"/>
        </w:rPr>
        <w:t xml:space="preserve"> </w:t>
      </w:r>
    </w:p>
    <w:p w14:paraId="0A7223DE" w14:textId="3F3D6A19" w:rsidR="00761F5A" w:rsidRPr="00EA7830" w:rsidRDefault="00761F5A" w:rsidP="00761F5A">
      <w:pPr>
        <w:jc w:val="both"/>
        <w:rPr>
          <w:rFonts w:ascii="Calibri" w:hAnsi="Calibri" w:cs="Calibri"/>
        </w:rPr>
      </w:pPr>
      <w:r>
        <w:rPr>
          <w:rFonts w:ascii="Calibri" w:hAnsi="Calibri" w:cs="Calibri"/>
        </w:rPr>
        <w:t xml:space="preserve">Curiously, torcs </w:t>
      </w:r>
      <w:r w:rsidRPr="005A1933">
        <w:rPr>
          <w:rFonts w:ascii="Calibri" w:hAnsi="Calibri" w:cs="Calibri"/>
        </w:rPr>
        <w:t>appear to be referred to in Welsh literature</w:t>
      </w:r>
      <w:r>
        <w:rPr>
          <w:rFonts w:ascii="Calibri" w:hAnsi="Calibri" w:cs="Calibri"/>
        </w:rPr>
        <w:t xml:space="preserve"> (and Irish, though this will not be considered here)</w:t>
      </w:r>
      <w:r w:rsidRPr="005A1933">
        <w:rPr>
          <w:rFonts w:ascii="Calibri" w:hAnsi="Calibri" w:cs="Calibri"/>
        </w:rPr>
        <w:t xml:space="preserve"> throughout the </w:t>
      </w:r>
      <w:r w:rsidR="00324B7D">
        <w:rPr>
          <w:rFonts w:ascii="Calibri" w:hAnsi="Calibri" w:cs="Calibri"/>
        </w:rPr>
        <w:t>M</w:t>
      </w:r>
      <w:r w:rsidRPr="005A1933">
        <w:rPr>
          <w:rFonts w:ascii="Calibri" w:hAnsi="Calibri" w:cs="Calibri"/>
        </w:rPr>
        <w:t xml:space="preserve">iddle </w:t>
      </w:r>
      <w:r w:rsidR="00324B7D">
        <w:rPr>
          <w:rFonts w:ascii="Calibri" w:hAnsi="Calibri" w:cs="Calibri"/>
        </w:rPr>
        <w:t>A</w:t>
      </w:r>
      <w:r w:rsidRPr="005A1933">
        <w:rPr>
          <w:rFonts w:ascii="Calibri" w:hAnsi="Calibri" w:cs="Calibri"/>
        </w:rPr>
        <w:t>ges</w:t>
      </w:r>
      <w:r>
        <w:rPr>
          <w:rFonts w:ascii="Calibri" w:hAnsi="Calibri" w:cs="Calibri"/>
        </w:rPr>
        <w:t xml:space="preserve">, first in the early heroic poem </w:t>
      </w:r>
      <w:r>
        <w:rPr>
          <w:rFonts w:ascii="Calibri" w:hAnsi="Calibri" w:cs="Calibri"/>
          <w:i/>
          <w:iCs/>
        </w:rPr>
        <w:t xml:space="preserve">Y Gododdin, </w:t>
      </w:r>
      <w:r>
        <w:rPr>
          <w:rFonts w:ascii="Calibri" w:hAnsi="Calibri" w:cs="Calibri"/>
        </w:rPr>
        <w:t>and then in the compositions of the 12</w:t>
      </w:r>
      <w:r w:rsidRPr="001A06ED">
        <w:rPr>
          <w:rFonts w:ascii="Calibri" w:hAnsi="Calibri" w:cs="Calibri"/>
          <w:vertAlign w:val="superscript"/>
        </w:rPr>
        <w:t>th</w:t>
      </w:r>
      <w:r>
        <w:rPr>
          <w:rFonts w:ascii="Calibri" w:hAnsi="Calibri" w:cs="Calibri"/>
        </w:rPr>
        <w:t xml:space="preserve"> and 13</w:t>
      </w:r>
      <w:r w:rsidRPr="001A06ED">
        <w:rPr>
          <w:rFonts w:ascii="Calibri" w:hAnsi="Calibri" w:cs="Calibri"/>
          <w:vertAlign w:val="superscript"/>
        </w:rPr>
        <w:t>th</w:t>
      </w:r>
      <w:r>
        <w:rPr>
          <w:rFonts w:ascii="Calibri" w:hAnsi="Calibri" w:cs="Calibri"/>
        </w:rPr>
        <w:t xml:space="preserve"> century Poets of the Princes, and even later. Most intriguing of all is the 12</w:t>
      </w:r>
      <w:r w:rsidRPr="001A06ED">
        <w:rPr>
          <w:rFonts w:ascii="Calibri" w:hAnsi="Calibri" w:cs="Calibri"/>
          <w:vertAlign w:val="superscript"/>
        </w:rPr>
        <w:t>th</w:t>
      </w:r>
      <w:r>
        <w:rPr>
          <w:rFonts w:ascii="Calibri" w:hAnsi="Calibri" w:cs="Calibri"/>
        </w:rPr>
        <w:t xml:space="preserve"> century account of Gerald of Wales, who describes in some detail an object he calls the </w:t>
      </w:r>
      <w:r w:rsidRPr="001A06ED">
        <w:rPr>
          <w:rFonts w:ascii="Calibri" w:hAnsi="Calibri" w:cs="Calibri"/>
          <w:i/>
          <w:iCs/>
        </w:rPr>
        <w:t>Torque</w:t>
      </w:r>
      <w:r w:rsidRPr="00EA7830">
        <w:rPr>
          <w:rFonts w:ascii="Calibri" w:hAnsi="Calibri" w:cs="Calibri"/>
          <w:i/>
          <w:iCs/>
        </w:rPr>
        <w:t xml:space="preserve"> of St Cynog</w:t>
      </w:r>
      <w:r>
        <w:rPr>
          <w:rFonts w:ascii="Calibri" w:hAnsi="Calibri" w:cs="Calibri"/>
          <w:i/>
          <w:iCs/>
        </w:rPr>
        <w:t xml:space="preserve">. </w:t>
      </w:r>
      <w:r>
        <w:rPr>
          <w:rFonts w:ascii="Calibri" w:hAnsi="Calibri" w:cs="Calibri"/>
        </w:rPr>
        <w:t xml:space="preserve">Could the Torc of the ancient Celts have survived into the Welsh Middle Ages? </w:t>
      </w:r>
    </w:p>
    <w:p w14:paraId="57D6BB69" w14:textId="77777777" w:rsidR="00761F5A" w:rsidRPr="00F65BC0" w:rsidRDefault="00761F5A" w:rsidP="00761F5A">
      <w:pPr>
        <w:rPr>
          <w:rFonts w:ascii="Calibri" w:hAnsi="Calibri" w:cs="Calibri"/>
          <w:u w:val="single"/>
        </w:rPr>
      </w:pPr>
      <w:r w:rsidRPr="00F65BC0">
        <w:rPr>
          <w:rFonts w:ascii="Calibri" w:hAnsi="Calibri" w:cs="Calibri"/>
          <w:u w:val="single"/>
        </w:rPr>
        <w:t xml:space="preserve">Rationale </w:t>
      </w:r>
    </w:p>
    <w:p w14:paraId="63E09B16" w14:textId="2B9046E1" w:rsidR="00761F5A" w:rsidRPr="00AC6654" w:rsidRDefault="00761F5A" w:rsidP="00761F5A">
      <w:pPr>
        <w:jc w:val="both"/>
        <w:rPr>
          <w:rFonts w:ascii="Calibri" w:eastAsia="Calibri" w:hAnsi="Calibri" w:cs="Calibri"/>
          <w:kern w:val="0"/>
          <w14:ligatures w14:val="none"/>
        </w:rPr>
      </w:pPr>
      <w:r>
        <w:rPr>
          <w:rFonts w:ascii="Calibri" w:hAnsi="Calibri" w:cs="Calibri"/>
        </w:rPr>
        <w:t>V</w:t>
      </w:r>
      <w:r w:rsidRPr="005A1933">
        <w:rPr>
          <w:rFonts w:ascii="Calibri" w:hAnsi="Calibri" w:cs="Calibri"/>
        </w:rPr>
        <w:t xml:space="preserve">ery little work </w:t>
      </w:r>
      <w:r>
        <w:rPr>
          <w:rFonts w:ascii="Calibri" w:hAnsi="Calibri" w:cs="Calibri"/>
        </w:rPr>
        <w:t xml:space="preserve">has been </w:t>
      </w:r>
      <w:r w:rsidRPr="005A1933">
        <w:rPr>
          <w:rFonts w:ascii="Calibri" w:hAnsi="Calibri" w:cs="Calibri"/>
        </w:rPr>
        <w:t xml:space="preserve">done on whether the torc survived </w:t>
      </w:r>
      <w:r w:rsidR="00A3652A">
        <w:rPr>
          <w:rFonts w:ascii="Calibri" w:hAnsi="Calibri" w:cs="Calibri"/>
        </w:rPr>
        <w:t>in</w:t>
      </w:r>
      <w:r w:rsidRPr="005A1933">
        <w:rPr>
          <w:rFonts w:ascii="Calibri" w:hAnsi="Calibri" w:cs="Calibri"/>
        </w:rPr>
        <w:t>to the post-roman era</w:t>
      </w:r>
      <w:r>
        <w:rPr>
          <w:rFonts w:ascii="Calibri" w:hAnsi="Calibri" w:cs="Calibri"/>
        </w:rPr>
        <w:t>. It is generally held</w:t>
      </w:r>
      <w:r w:rsidRPr="005A1933">
        <w:rPr>
          <w:rFonts w:ascii="Calibri" w:hAnsi="Calibri" w:cs="Calibri"/>
        </w:rPr>
        <w:t xml:space="preserve"> that literary references </w:t>
      </w:r>
      <w:r>
        <w:rPr>
          <w:rFonts w:ascii="Calibri" w:hAnsi="Calibri" w:cs="Calibri"/>
        </w:rPr>
        <w:t xml:space="preserve">in medieval literature </w:t>
      </w:r>
      <w:r w:rsidRPr="005A1933">
        <w:rPr>
          <w:rFonts w:ascii="Calibri" w:hAnsi="Calibri" w:cs="Calibri"/>
        </w:rPr>
        <w:t xml:space="preserve">are either anachronisms or </w:t>
      </w:r>
      <w:r>
        <w:rPr>
          <w:rFonts w:ascii="Calibri" w:hAnsi="Calibri" w:cs="Calibri"/>
        </w:rPr>
        <w:t xml:space="preserve">represent a </w:t>
      </w:r>
      <w:r w:rsidRPr="005A1933">
        <w:rPr>
          <w:rFonts w:ascii="Calibri" w:hAnsi="Calibri" w:cs="Calibri"/>
        </w:rPr>
        <w:t>more</w:t>
      </w:r>
      <w:r w:rsidR="00B33AC6">
        <w:rPr>
          <w:rFonts w:ascii="Calibri" w:hAnsi="Calibri" w:cs="Calibri"/>
        </w:rPr>
        <w:t xml:space="preserve"> general</w:t>
      </w:r>
      <w:r>
        <w:rPr>
          <w:rFonts w:ascii="Calibri" w:hAnsi="Calibri" w:cs="Calibri"/>
        </w:rPr>
        <w:t xml:space="preserve"> </w:t>
      </w:r>
      <w:r w:rsidRPr="005A1933">
        <w:rPr>
          <w:rFonts w:ascii="Calibri" w:hAnsi="Calibri" w:cs="Calibri"/>
        </w:rPr>
        <w:t>term</w:t>
      </w:r>
      <w:r>
        <w:rPr>
          <w:rFonts w:ascii="Calibri" w:hAnsi="Calibri" w:cs="Calibri"/>
        </w:rPr>
        <w:t>, though surely they</w:t>
      </w:r>
      <w:r w:rsidRPr="005A1933">
        <w:rPr>
          <w:rFonts w:ascii="Calibri" w:hAnsi="Calibri" w:cs="Calibri"/>
        </w:rPr>
        <w:t xml:space="preserve"> cannot be both, since anachronism nonetheless </w:t>
      </w:r>
      <w:r>
        <w:rPr>
          <w:rFonts w:ascii="Calibri" w:hAnsi="Calibri" w:cs="Calibri"/>
        </w:rPr>
        <w:t xml:space="preserve">allows for </w:t>
      </w:r>
      <w:r>
        <w:rPr>
          <w:rFonts w:ascii="Calibri" w:eastAsia="Calibri" w:hAnsi="Calibri" w:cs="Calibri"/>
          <w:kern w:val="0"/>
          <w14:ligatures w14:val="none"/>
        </w:rPr>
        <w:t>the</w:t>
      </w:r>
      <w:r w:rsidRPr="00F65BC0">
        <w:rPr>
          <w:rFonts w:ascii="Calibri" w:eastAsia="Calibri" w:hAnsi="Calibri" w:cs="Calibri"/>
          <w:kern w:val="0"/>
          <w14:ligatures w14:val="none"/>
        </w:rPr>
        <w:t xml:space="preserve"> survival of at least </w:t>
      </w:r>
      <w:r w:rsidRPr="00F65BC0">
        <w:rPr>
          <w:rFonts w:ascii="Calibri" w:eastAsia="Calibri" w:hAnsi="Calibri" w:cs="Calibri"/>
          <w:i/>
          <w:iCs/>
          <w:kern w:val="0"/>
          <w14:ligatures w14:val="none"/>
        </w:rPr>
        <w:t>the idea</w:t>
      </w:r>
      <w:r w:rsidRPr="00F65BC0">
        <w:rPr>
          <w:rFonts w:ascii="Calibri" w:eastAsia="Calibri" w:hAnsi="Calibri" w:cs="Calibri"/>
          <w:kern w:val="0"/>
          <w14:ligatures w14:val="none"/>
        </w:rPr>
        <w:t xml:space="preserve"> of an </w:t>
      </w:r>
      <w:r>
        <w:rPr>
          <w:rFonts w:ascii="Calibri" w:hAnsi="Calibri" w:cs="Calibri"/>
        </w:rPr>
        <w:t>older object, understood as such by audiences of the time.</w:t>
      </w:r>
      <w:r>
        <w:rPr>
          <w:rFonts w:ascii="Calibri" w:eastAsia="Calibri" w:hAnsi="Calibri" w:cs="Calibri"/>
          <w:kern w:val="0"/>
          <w14:ligatures w14:val="none"/>
        </w:rPr>
        <w:t xml:space="preserve"> Whether the physical torc survived or not, poets looking back into the past for inspiration might have seen in the torc a motif that symbolised a heroic ideal closer to the warrior culture of the Iron-age than their own time. This merits further exploration. It </w:t>
      </w:r>
      <w:r w:rsidRPr="00F65BC0">
        <w:rPr>
          <w:rFonts w:ascii="Calibri" w:eastAsia="Calibri" w:hAnsi="Calibri" w:cs="Calibri"/>
          <w:kern w:val="0"/>
          <w14:ligatures w14:val="none"/>
        </w:rPr>
        <w:t xml:space="preserve">would </w:t>
      </w:r>
      <w:r>
        <w:rPr>
          <w:rFonts w:ascii="Calibri" w:eastAsia="Calibri" w:hAnsi="Calibri" w:cs="Calibri"/>
          <w:kern w:val="0"/>
          <w14:ligatures w14:val="none"/>
        </w:rPr>
        <w:t xml:space="preserve">also </w:t>
      </w:r>
      <w:r w:rsidRPr="00F65BC0">
        <w:rPr>
          <w:rFonts w:ascii="Calibri" w:eastAsia="Calibri" w:hAnsi="Calibri" w:cs="Calibri"/>
          <w:kern w:val="0"/>
          <w14:ligatures w14:val="none"/>
        </w:rPr>
        <w:t xml:space="preserve">appear that the question of </w:t>
      </w:r>
      <w:r>
        <w:rPr>
          <w:rFonts w:ascii="Calibri" w:eastAsia="Calibri" w:hAnsi="Calibri" w:cs="Calibri"/>
          <w:kern w:val="0"/>
          <w14:ligatures w14:val="none"/>
        </w:rPr>
        <w:t>whether the Torc described by Gerald of Wales was real</w:t>
      </w:r>
      <w:r w:rsidRPr="00F65BC0">
        <w:rPr>
          <w:rFonts w:ascii="Calibri" w:eastAsia="Calibri" w:hAnsi="Calibri" w:cs="Calibri"/>
          <w:kern w:val="0"/>
          <w14:ligatures w14:val="none"/>
        </w:rPr>
        <w:t xml:space="preserve"> is either not seen as meaningful due to lack of evidence, or </w:t>
      </w:r>
      <w:r>
        <w:rPr>
          <w:rFonts w:ascii="Calibri" w:eastAsia="Calibri" w:hAnsi="Calibri" w:cs="Calibri"/>
          <w:kern w:val="0"/>
          <w14:ligatures w14:val="none"/>
        </w:rPr>
        <w:t>as</w:t>
      </w:r>
      <w:r w:rsidRPr="00F65BC0">
        <w:rPr>
          <w:rFonts w:ascii="Calibri" w:eastAsia="Calibri" w:hAnsi="Calibri" w:cs="Calibri"/>
          <w:kern w:val="0"/>
          <w14:ligatures w14:val="none"/>
        </w:rPr>
        <w:t xml:space="preserve"> self-evidently obvious, accepted without </w:t>
      </w:r>
      <w:r>
        <w:rPr>
          <w:rFonts w:ascii="Calibri" w:eastAsia="Calibri" w:hAnsi="Calibri" w:cs="Calibri"/>
          <w:kern w:val="0"/>
          <w14:ligatures w14:val="none"/>
        </w:rPr>
        <w:t xml:space="preserve">much </w:t>
      </w:r>
      <w:r w:rsidRPr="00F65BC0">
        <w:rPr>
          <w:rFonts w:ascii="Calibri" w:eastAsia="Calibri" w:hAnsi="Calibri" w:cs="Calibri"/>
          <w:kern w:val="0"/>
          <w14:ligatures w14:val="none"/>
        </w:rPr>
        <w:t>investigation.</w:t>
      </w:r>
      <w:r>
        <w:rPr>
          <w:rFonts w:ascii="Calibri" w:eastAsia="Calibri" w:hAnsi="Calibri" w:cs="Calibri"/>
          <w:kern w:val="0"/>
          <w14:ligatures w14:val="none"/>
        </w:rPr>
        <w:t xml:space="preserve"> These topics</w:t>
      </w:r>
      <w:r w:rsidRPr="00F65BC0">
        <w:rPr>
          <w:rFonts w:ascii="Calibri" w:eastAsia="Calibri" w:hAnsi="Calibri" w:cs="Calibri"/>
          <w:kern w:val="0"/>
          <w14:ligatures w14:val="none"/>
        </w:rPr>
        <w:t xml:space="preserve"> invites </w:t>
      </w:r>
      <w:r>
        <w:rPr>
          <w:rFonts w:ascii="Calibri" w:eastAsia="Calibri" w:hAnsi="Calibri" w:cs="Calibri"/>
          <w:kern w:val="0"/>
          <w14:ligatures w14:val="none"/>
        </w:rPr>
        <w:t>further contribution.</w:t>
      </w:r>
    </w:p>
    <w:p w14:paraId="3AAA8311" w14:textId="77777777" w:rsidR="00761F5A" w:rsidRPr="005A1933" w:rsidRDefault="00761F5A" w:rsidP="00761F5A">
      <w:pPr>
        <w:jc w:val="both"/>
        <w:rPr>
          <w:rFonts w:ascii="Calibri" w:hAnsi="Calibri" w:cs="Calibri"/>
          <w:u w:val="single"/>
        </w:rPr>
      </w:pPr>
      <w:r w:rsidRPr="005A1933">
        <w:rPr>
          <w:rFonts w:ascii="Calibri" w:hAnsi="Calibri" w:cs="Calibri"/>
          <w:u w:val="single"/>
        </w:rPr>
        <w:t>Research questions</w:t>
      </w:r>
    </w:p>
    <w:p w14:paraId="3A73087B" w14:textId="77777777" w:rsidR="00761F5A" w:rsidRPr="002007E9" w:rsidRDefault="00761F5A" w:rsidP="002007E9">
      <w:pPr>
        <w:jc w:val="both"/>
        <w:rPr>
          <w:rFonts w:ascii="Calibri" w:hAnsi="Calibri" w:cs="Calibri"/>
        </w:rPr>
      </w:pPr>
      <w:r w:rsidRPr="002007E9">
        <w:rPr>
          <w:rFonts w:ascii="Calibri" w:hAnsi="Calibri" w:cs="Calibri"/>
        </w:rPr>
        <w:t>Does The Gododdin poem refer to iron-age torcs? What can be inferred from references to torcs in the poem?</w:t>
      </w:r>
    </w:p>
    <w:p w14:paraId="6A192056" w14:textId="77777777" w:rsidR="00761F5A" w:rsidRPr="002007E9" w:rsidRDefault="00761F5A" w:rsidP="002007E9">
      <w:pPr>
        <w:jc w:val="both"/>
        <w:rPr>
          <w:rFonts w:ascii="Calibri" w:hAnsi="Calibri" w:cs="Calibri"/>
        </w:rPr>
      </w:pPr>
      <w:r w:rsidRPr="002007E9">
        <w:rPr>
          <w:rFonts w:ascii="Calibri" w:hAnsi="Calibri" w:cs="Calibri"/>
        </w:rPr>
        <w:t>Does early medieval archaeology support the idea that the poem refers to torcs?</w:t>
      </w:r>
    </w:p>
    <w:p w14:paraId="60FA7249" w14:textId="77777777" w:rsidR="00761F5A" w:rsidRPr="002007E9" w:rsidRDefault="00761F5A" w:rsidP="002007E9">
      <w:pPr>
        <w:jc w:val="both"/>
        <w:rPr>
          <w:rFonts w:ascii="Calibri" w:hAnsi="Calibri" w:cs="Calibri"/>
        </w:rPr>
      </w:pPr>
      <w:r w:rsidRPr="002007E9">
        <w:rPr>
          <w:rFonts w:ascii="Calibri" w:hAnsi="Calibri" w:cs="Calibri"/>
        </w:rPr>
        <w:t>Does later medieval Welsh literature refer to torcs, even if only the idea of them?</w:t>
      </w:r>
    </w:p>
    <w:p w14:paraId="5B2DB431" w14:textId="19945E0A" w:rsidR="00761F5A" w:rsidRPr="002007E9" w:rsidRDefault="00761F5A" w:rsidP="002007E9">
      <w:pPr>
        <w:jc w:val="both"/>
        <w:rPr>
          <w:rFonts w:ascii="Calibri" w:hAnsi="Calibri" w:cs="Calibri"/>
        </w:rPr>
      </w:pPr>
      <w:r w:rsidRPr="002007E9">
        <w:rPr>
          <w:rFonts w:ascii="Calibri" w:hAnsi="Calibri" w:cs="Calibri"/>
        </w:rPr>
        <w:t>Was the Torc of St Cynog real, and was it a torc?</w:t>
      </w:r>
    </w:p>
    <w:p w14:paraId="14A2326C" w14:textId="706B306D" w:rsidR="00761F5A" w:rsidRPr="005A1933" w:rsidRDefault="00761F5A" w:rsidP="00761F5A">
      <w:pPr>
        <w:rPr>
          <w:rFonts w:ascii="Calibri" w:hAnsi="Calibri" w:cs="Calibri"/>
          <w:u w:val="single"/>
        </w:rPr>
      </w:pPr>
      <w:r w:rsidRPr="005A1933">
        <w:rPr>
          <w:rFonts w:ascii="Calibri" w:hAnsi="Calibri" w:cs="Calibri"/>
          <w:u w:val="single"/>
        </w:rPr>
        <w:t>Methodology</w:t>
      </w:r>
    </w:p>
    <w:p w14:paraId="2D751E66" w14:textId="77777777" w:rsidR="00761F5A" w:rsidRDefault="00761F5A" w:rsidP="00761F5A">
      <w:pPr>
        <w:jc w:val="both"/>
        <w:rPr>
          <w:rFonts w:ascii="Calibri" w:hAnsi="Calibri" w:cs="Calibri"/>
        </w:rPr>
      </w:pPr>
      <w:r>
        <w:rPr>
          <w:rFonts w:ascii="Calibri" w:hAnsi="Calibri" w:cs="Calibri"/>
        </w:rPr>
        <w:t xml:space="preserve">The primary approach for this dissertation will be literary analysis of primary sources, focusing on The Gododdin Poem, a selection of late medieval poetry and prose, and accounts describing the Torc of St Cynog, from Gerald’s </w:t>
      </w:r>
      <w:r w:rsidRPr="006D59C9">
        <w:rPr>
          <w:rFonts w:ascii="Calibri" w:hAnsi="Calibri" w:cs="Calibri"/>
          <w:i/>
          <w:iCs/>
        </w:rPr>
        <w:t>Journey Through Wales</w:t>
      </w:r>
      <w:r>
        <w:rPr>
          <w:rFonts w:ascii="Calibri" w:hAnsi="Calibri" w:cs="Calibri"/>
        </w:rPr>
        <w:t xml:space="preserve"> to 15</w:t>
      </w:r>
      <w:r w:rsidRPr="004B6AEF">
        <w:rPr>
          <w:rFonts w:ascii="Calibri" w:hAnsi="Calibri" w:cs="Calibri"/>
          <w:vertAlign w:val="superscript"/>
        </w:rPr>
        <w:t>th</w:t>
      </w:r>
      <w:r>
        <w:rPr>
          <w:rFonts w:ascii="Calibri" w:hAnsi="Calibri" w:cs="Calibri"/>
        </w:rPr>
        <w:t xml:space="preserve"> century poetry.</w:t>
      </w:r>
    </w:p>
    <w:p w14:paraId="011BEC46" w14:textId="5020720C" w:rsidR="00761F5A" w:rsidRPr="005A1933" w:rsidRDefault="00761F5A" w:rsidP="00761F5A">
      <w:pPr>
        <w:jc w:val="both"/>
        <w:rPr>
          <w:rFonts w:ascii="Calibri" w:hAnsi="Calibri" w:cs="Calibri"/>
        </w:rPr>
      </w:pPr>
      <w:r>
        <w:rPr>
          <w:rFonts w:ascii="Calibri" w:hAnsi="Calibri" w:cs="Calibri"/>
        </w:rPr>
        <w:lastRenderedPageBreak/>
        <w:t xml:space="preserve">Secondary literature engaging with The Gododdin </w:t>
      </w:r>
      <w:r w:rsidR="00C2533A">
        <w:rPr>
          <w:rFonts w:ascii="Calibri" w:hAnsi="Calibri" w:cs="Calibri"/>
        </w:rPr>
        <w:t>poem</w:t>
      </w:r>
      <w:r>
        <w:rPr>
          <w:rFonts w:ascii="Calibri" w:hAnsi="Calibri" w:cs="Calibri"/>
        </w:rPr>
        <w:t xml:space="preserve"> and the archaeology of early-medieval northern Britain will be reviewed and discussed</w:t>
      </w:r>
      <w:r w:rsidR="00C2533A">
        <w:rPr>
          <w:rFonts w:ascii="Calibri" w:hAnsi="Calibri" w:cs="Calibri"/>
        </w:rPr>
        <w:t>,</w:t>
      </w:r>
      <w:r>
        <w:rPr>
          <w:rFonts w:ascii="Calibri" w:hAnsi="Calibri" w:cs="Calibri"/>
        </w:rPr>
        <w:t xml:space="preserve"> and a close reading of </w:t>
      </w:r>
      <w:r w:rsidRPr="005A1933">
        <w:rPr>
          <w:rFonts w:ascii="Calibri" w:hAnsi="Calibri" w:cs="Calibri"/>
        </w:rPr>
        <w:t xml:space="preserve">key parts of </w:t>
      </w:r>
      <w:r>
        <w:rPr>
          <w:rFonts w:ascii="Calibri" w:hAnsi="Calibri" w:cs="Calibri"/>
        </w:rPr>
        <w:t>T</w:t>
      </w:r>
      <w:r w:rsidRPr="005A1933">
        <w:rPr>
          <w:rFonts w:ascii="Calibri" w:hAnsi="Calibri" w:cs="Calibri"/>
        </w:rPr>
        <w:t xml:space="preserve">he Gododdin poem </w:t>
      </w:r>
      <w:r>
        <w:rPr>
          <w:rFonts w:ascii="Calibri" w:hAnsi="Calibri" w:cs="Calibri"/>
        </w:rPr>
        <w:t xml:space="preserve">- </w:t>
      </w:r>
      <w:r w:rsidRPr="005A1933">
        <w:rPr>
          <w:rFonts w:ascii="Calibri" w:hAnsi="Calibri" w:cs="Calibri"/>
        </w:rPr>
        <w:t>and their context</w:t>
      </w:r>
      <w:r>
        <w:rPr>
          <w:rFonts w:ascii="Calibri" w:hAnsi="Calibri" w:cs="Calibri"/>
        </w:rPr>
        <w:t xml:space="preserve"> – will be made.</w:t>
      </w:r>
    </w:p>
    <w:p w14:paraId="2743FC44" w14:textId="42DA6082" w:rsidR="00761F5A" w:rsidRPr="005A1933" w:rsidRDefault="00761F5A" w:rsidP="00761F5A">
      <w:pPr>
        <w:jc w:val="both"/>
        <w:rPr>
          <w:rFonts w:ascii="Calibri" w:hAnsi="Calibri" w:cs="Calibri"/>
        </w:rPr>
      </w:pPr>
      <w:r>
        <w:rPr>
          <w:rFonts w:ascii="Calibri" w:hAnsi="Calibri" w:cs="Calibri"/>
        </w:rPr>
        <w:t>A s</w:t>
      </w:r>
      <w:r w:rsidRPr="005A1933">
        <w:rPr>
          <w:rFonts w:ascii="Calibri" w:hAnsi="Calibri" w:cs="Calibri"/>
        </w:rPr>
        <w:t>urvey of terms in later Welsh literature</w:t>
      </w:r>
      <w:r>
        <w:rPr>
          <w:rFonts w:ascii="Calibri" w:hAnsi="Calibri" w:cs="Calibri"/>
        </w:rPr>
        <w:t xml:space="preserve"> will be </w:t>
      </w:r>
      <w:r w:rsidR="005700D3">
        <w:rPr>
          <w:rFonts w:ascii="Calibri" w:hAnsi="Calibri" w:cs="Calibri"/>
        </w:rPr>
        <w:t>conducted</w:t>
      </w:r>
      <w:r w:rsidRPr="005A1933">
        <w:rPr>
          <w:rFonts w:ascii="Calibri" w:hAnsi="Calibri" w:cs="Calibri"/>
        </w:rPr>
        <w:t xml:space="preserve">, using Ann Parry Owen’s </w:t>
      </w:r>
      <w:r w:rsidRPr="005A1933">
        <w:rPr>
          <w:rFonts w:ascii="Calibri" w:hAnsi="Calibri" w:cs="Calibri"/>
          <w:i/>
          <w:iCs/>
        </w:rPr>
        <w:t>Concordances for Cyfres Beirdd y Twysogion</w:t>
      </w:r>
      <w:r w:rsidRPr="005A1933">
        <w:rPr>
          <w:rFonts w:ascii="Calibri" w:hAnsi="Calibri" w:cs="Calibri"/>
        </w:rPr>
        <w:t xml:space="preserve"> and G</w:t>
      </w:r>
      <w:r>
        <w:rPr>
          <w:rFonts w:ascii="Calibri" w:hAnsi="Calibri" w:cs="Calibri"/>
        </w:rPr>
        <w:t xml:space="preserve">eiriadur </w:t>
      </w:r>
      <w:r w:rsidRPr="005A1933">
        <w:rPr>
          <w:rFonts w:ascii="Calibri" w:hAnsi="Calibri" w:cs="Calibri"/>
        </w:rPr>
        <w:t>P</w:t>
      </w:r>
      <w:r>
        <w:rPr>
          <w:rFonts w:ascii="Calibri" w:hAnsi="Calibri" w:cs="Calibri"/>
        </w:rPr>
        <w:t xml:space="preserve">rifysgol </w:t>
      </w:r>
      <w:r w:rsidRPr="005A1933">
        <w:rPr>
          <w:rFonts w:ascii="Calibri" w:hAnsi="Calibri" w:cs="Calibri"/>
        </w:rPr>
        <w:t>C</w:t>
      </w:r>
      <w:r>
        <w:rPr>
          <w:rFonts w:ascii="Calibri" w:hAnsi="Calibri" w:cs="Calibri"/>
        </w:rPr>
        <w:t>ymru</w:t>
      </w:r>
      <w:r w:rsidRPr="005A1933">
        <w:rPr>
          <w:rFonts w:ascii="Calibri" w:hAnsi="Calibri" w:cs="Calibri"/>
        </w:rPr>
        <w:t xml:space="preserve"> to identify sources</w:t>
      </w:r>
      <w:r>
        <w:rPr>
          <w:rFonts w:ascii="Calibri" w:hAnsi="Calibri" w:cs="Calibri"/>
        </w:rPr>
        <w:t>;</w:t>
      </w:r>
      <w:r w:rsidRPr="005A1933">
        <w:rPr>
          <w:rFonts w:ascii="Calibri" w:hAnsi="Calibri" w:cs="Calibri"/>
        </w:rPr>
        <w:t xml:space="preserve"> and</w:t>
      </w:r>
      <w:r>
        <w:rPr>
          <w:rFonts w:ascii="Calibri" w:hAnsi="Calibri" w:cs="Calibri"/>
        </w:rPr>
        <w:t xml:space="preserve"> a</w:t>
      </w:r>
      <w:r w:rsidRPr="005A1933">
        <w:rPr>
          <w:rFonts w:ascii="Calibri" w:hAnsi="Calibri" w:cs="Calibri"/>
        </w:rPr>
        <w:t xml:space="preserve"> brief literary analysis</w:t>
      </w:r>
      <w:r>
        <w:rPr>
          <w:rFonts w:ascii="Calibri" w:hAnsi="Calibri" w:cs="Calibri"/>
        </w:rPr>
        <w:t xml:space="preserve"> will be</w:t>
      </w:r>
      <w:r w:rsidRPr="00CA27DE">
        <w:rPr>
          <w:rFonts w:ascii="Calibri" w:hAnsi="Calibri" w:cs="Calibri"/>
        </w:rPr>
        <w:t xml:space="preserve"> </w:t>
      </w:r>
      <w:r w:rsidR="00831FD6">
        <w:rPr>
          <w:rFonts w:ascii="Calibri" w:hAnsi="Calibri" w:cs="Calibri"/>
        </w:rPr>
        <w:t>undertaken</w:t>
      </w:r>
      <w:r>
        <w:rPr>
          <w:rFonts w:ascii="Calibri" w:hAnsi="Calibri" w:cs="Calibri"/>
        </w:rPr>
        <w:t>.</w:t>
      </w:r>
    </w:p>
    <w:p w14:paraId="76319771" w14:textId="2C617A47" w:rsidR="00761F5A" w:rsidRPr="00BC56A8" w:rsidRDefault="00761F5A" w:rsidP="00761F5A">
      <w:pPr>
        <w:jc w:val="both"/>
        <w:rPr>
          <w:rFonts w:ascii="Calibri" w:hAnsi="Calibri" w:cs="Calibri"/>
        </w:rPr>
      </w:pPr>
      <w:r>
        <w:rPr>
          <w:rFonts w:ascii="Calibri" w:hAnsi="Calibri" w:cs="Calibri"/>
        </w:rPr>
        <w:t xml:space="preserve">Finally, </w:t>
      </w:r>
      <w:r w:rsidRPr="005A1933">
        <w:rPr>
          <w:rFonts w:ascii="Calibri" w:hAnsi="Calibri" w:cs="Calibri"/>
        </w:rPr>
        <w:t xml:space="preserve">sources </w:t>
      </w:r>
      <w:r>
        <w:rPr>
          <w:rFonts w:ascii="Calibri" w:hAnsi="Calibri" w:cs="Calibri"/>
        </w:rPr>
        <w:t xml:space="preserve">for </w:t>
      </w:r>
      <w:r w:rsidRPr="005A1933">
        <w:rPr>
          <w:rFonts w:ascii="Calibri" w:hAnsi="Calibri" w:cs="Calibri"/>
        </w:rPr>
        <w:t xml:space="preserve">the Torc of St Cynog </w:t>
      </w:r>
      <w:r>
        <w:rPr>
          <w:rFonts w:ascii="Calibri" w:hAnsi="Calibri" w:cs="Calibri"/>
        </w:rPr>
        <w:t xml:space="preserve">will be </w:t>
      </w:r>
      <w:r w:rsidRPr="005A1933">
        <w:rPr>
          <w:rFonts w:ascii="Calibri" w:hAnsi="Calibri" w:cs="Calibri"/>
        </w:rPr>
        <w:t>compar</w:t>
      </w:r>
      <w:r>
        <w:rPr>
          <w:rFonts w:ascii="Calibri" w:hAnsi="Calibri" w:cs="Calibri"/>
        </w:rPr>
        <w:t>ed</w:t>
      </w:r>
      <w:r w:rsidRPr="005A1933">
        <w:rPr>
          <w:rFonts w:ascii="Calibri" w:hAnsi="Calibri" w:cs="Calibri"/>
        </w:rPr>
        <w:t xml:space="preserve"> to establish their independence </w:t>
      </w:r>
      <w:r w:rsidR="004F1763">
        <w:rPr>
          <w:rFonts w:ascii="Calibri" w:hAnsi="Calibri" w:cs="Calibri"/>
        </w:rPr>
        <w:t>and</w:t>
      </w:r>
      <w:r w:rsidRPr="005A1933">
        <w:rPr>
          <w:rFonts w:ascii="Calibri" w:hAnsi="Calibri" w:cs="Calibri"/>
        </w:rPr>
        <w:t xml:space="preserve"> </w:t>
      </w:r>
      <w:r w:rsidR="004F1763">
        <w:rPr>
          <w:rFonts w:ascii="Calibri" w:hAnsi="Calibri" w:cs="Calibri"/>
        </w:rPr>
        <w:t xml:space="preserve">value as </w:t>
      </w:r>
      <w:r w:rsidRPr="005A1933">
        <w:rPr>
          <w:rFonts w:ascii="Calibri" w:hAnsi="Calibri" w:cs="Calibri"/>
        </w:rPr>
        <w:t>evidence for its existence.</w:t>
      </w:r>
    </w:p>
    <w:p w14:paraId="678BAE1E" w14:textId="77777777" w:rsidR="00761F5A" w:rsidRPr="005A1933" w:rsidRDefault="00761F5A" w:rsidP="00761F5A">
      <w:pPr>
        <w:rPr>
          <w:rFonts w:ascii="Calibri" w:hAnsi="Calibri" w:cs="Calibri"/>
        </w:rPr>
      </w:pPr>
      <w:r w:rsidRPr="005A1933">
        <w:rPr>
          <w:rFonts w:ascii="Calibri" w:hAnsi="Calibri" w:cs="Calibri"/>
          <w:u w:val="single"/>
        </w:rPr>
        <w:t xml:space="preserve">Definitions </w:t>
      </w:r>
    </w:p>
    <w:p w14:paraId="74A391E2" w14:textId="77777777" w:rsidR="00761F5A" w:rsidRDefault="00761F5A" w:rsidP="00761F5A">
      <w:pPr>
        <w:jc w:val="both"/>
      </w:pPr>
      <w:r>
        <w:t xml:space="preserve">While both the Latin </w:t>
      </w:r>
      <w:r>
        <w:rPr>
          <w:i/>
          <w:iCs/>
        </w:rPr>
        <w:t xml:space="preserve">torquis/torques </w:t>
      </w:r>
      <w:r>
        <w:t xml:space="preserve">and Welsh </w:t>
      </w:r>
      <w:r>
        <w:rPr>
          <w:i/>
          <w:iCs/>
        </w:rPr>
        <w:t>torch</w:t>
      </w:r>
      <w:r>
        <w:t xml:space="preserve"> can refer to a broader range of objects, from necklaces to animal collars (as shall be discussed), the Torc has come to be primarily associated with the gold and silver neck rings worn in ancient Celtic societies.</w:t>
      </w:r>
      <w:r>
        <w:rPr>
          <w:rStyle w:val="FootnoteReference"/>
        </w:rPr>
        <w:footnoteReference w:id="5"/>
      </w:r>
      <w:r>
        <w:t xml:space="preserve"> This is, however, a modern understanding, and it is not a given that those societies or the Greek and Roman writers who recorded them understood these objects in a similar way. Whatever the ancient Britons themselves called this object is now lost, replaced by the Latin loanword, and that may in itself provide some evidence about what it refers to. Nonetheless, for this dissertation, the term </w:t>
      </w:r>
      <w:r>
        <w:rPr>
          <w:i/>
          <w:iCs/>
        </w:rPr>
        <w:t xml:space="preserve">Torc </w:t>
      </w:r>
      <w:r>
        <w:t xml:space="preserve">shall be used for the specific neck rings most associated with ‘Celtic’ warriors, and the terms </w:t>
      </w:r>
      <w:r>
        <w:rPr>
          <w:i/>
          <w:iCs/>
        </w:rPr>
        <w:t xml:space="preserve">Iron-age </w:t>
      </w:r>
      <w:r>
        <w:t xml:space="preserve">and </w:t>
      </w:r>
      <w:r>
        <w:rPr>
          <w:i/>
          <w:iCs/>
        </w:rPr>
        <w:t>La Tene</w:t>
      </w:r>
      <w:r>
        <w:t xml:space="preserve"> (a term for the time period most associated with what is recognisable as the  ‘Celtic’ art style) shall be used for either pre-roman torcs in Britain, or else native torcs as contrasted with Roman ones.</w:t>
      </w:r>
    </w:p>
    <w:p w14:paraId="136FF97B" w14:textId="77777777" w:rsidR="003D759A" w:rsidRPr="005A1933" w:rsidRDefault="003D759A">
      <w:pPr>
        <w:rPr>
          <w:rFonts w:ascii="Calibri" w:hAnsi="Calibri" w:cs="Calibri"/>
        </w:rPr>
      </w:pPr>
    </w:p>
    <w:p w14:paraId="70499CA9" w14:textId="77777777" w:rsidR="005F1A99" w:rsidRDefault="005F1A99" w:rsidP="005F1A99">
      <w:pPr>
        <w:jc w:val="both"/>
        <w:rPr>
          <w:rFonts w:ascii="Calibri" w:hAnsi="Calibri" w:cs="Calibri"/>
          <w:b/>
          <w:bCs/>
          <w:sz w:val="24"/>
          <w:szCs w:val="24"/>
          <w:u w:val="single"/>
        </w:rPr>
      </w:pPr>
    </w:p>
    <w:p w14:paraId="0D56ADF9" w14:textId="77777777" w:rsidR="005F1A99" w:rsidRDefault="005F1A99" w:rsidP="005F1A99">
      <w:pPr>
        <w:jc w:val="both"/>
        <w:rPr>
          <w:rFonts w:ascii="Calibri" w:hAnsi="Calibri" w:cs="Calibri"/>
          <w:b/>
          <w:bCs/>
          <w:sz w:val="24"/>
          <w:szCs w:val="24"/>
          <w:u w:val="single"/>
        </w:rPr>
      </w:pPr>
    </w:p>
    <w:p w14:paraId="71A5F93A" w14:textId="77777777" w:rsidR="005F1A99" w:rsidRDefault="005F1A99" w:rsidP="005F1A99">
      <w:pPr>
        <w:jc w:val="both"/>
        <w:rPr>
          <w:rFonts w:ascii="Calibri" w:hAnsi="Calibri" w:cs="Calibri"/>
          <w:b/>
          <w:bCs/>
          <w:sz w:val="24"/>
          <w:szCs w:val="24"/>
          <w:u w:val="single"/>
        </w:rPr>
      </w:pPr>
    </w:p>
    <w:p w14:paraId="34D74397" w14:textId="77777777" w:rsidR="005F1A99" w:rsidRDefault="005F1A99" w:rsidP="005F1A99">
      <w:pPr>
        <w:jc w:val="both"/>
        <w:rPr>
          <w:rFonts w:ascii="Calibri" w:hAnsi="Calibri" w:cs="Calibri"/>
          <w:b/>
          <w:bCs/>
          <w:sz w:val="24"/>
          <w:szCs w:val="24"/>
          <w:u w:val="single"/>
        </w:rPr>
      </w:pPr>
    </w:p>
    <w:p w14:paraId="1F6B24D1" w14:textId="77777777" w:rsidR="005F1A99" w:rsidRDefault="005F1A99" w:rsidP="005F1A99">
      <w:pPr>
        <w:jc w:val="both"/>
        <w:rPr>
          <w:rFonts w:ascii="Calibri" w:hAnsi="Calibri" w:cs="Calibri"/>
          <w:b/>
          <w:bCs/>
          <w:sz w:val="24"/>
          <w:szCs w:val="24"/>
          <w:u w:val="single"/>
        </w:rPr>
      </w:pPr>
    </w:p>
    <w:p w14:paraId="2468AC22" w14:textId="77777777" w:rsidR="005F1A99" w:rsidRDefault="005F1A99" w:rsidP="005F1A99">
      <w:pPr>
        <w:jc w:val="both"/>
        <w:rPr>
          <w:rFonts w:ascii="Calibri" w:hAnsi="Calibri" w:cs="Calibri"/>
          <w:b/>
          <w:bCs/>
          <w:sz w:val="24"/>
          <w:szCs w:val="24"/>
          <w:u w:val="single"/>
        </w:rPr>
      </w:pPr>
    </w:p>
    <w:p w14:paraId="5ED4F3D5" w14:textId="77777777" w:rsidR="00761F5A" w:rsidRDefault="00761F5A" w:rsidP="005F1A99">
      <w:pPr>
        <w:jc w:val="both"/>
        <w:rPr>
          <w:rFonts w:ascii="Calibri" w:hAnsi="Calibri" w:cs="Calibri"/>
          <w:b/>
          <w:bCs/>
          <w:sz w:val="24"/>
          <w:szCs w:val="24"/>
          <w:u w:val="single"/>
        </w:rPr>
      </w:pPr>
    </w:p>
    <w:p w14:paraId="1944B11D" w14:textId="77777777" w:rsidR="00761F5A" w:rsidRDefault="00761F5A" w:rsidP="005F1A99">
      <w:pPr>
        <w:jc w:val="both"/>
        <w:rPr>
          <w:rFonts w:ascii="Calibri" w:hAnsi="Calibri" w:cs="Calibri"/>
          <w:b/>
          <w:bCs/>
          <w:sz w:val="24"/>
          <w:szCs w:val="24"/>
          <w:u w:val="single"/>
        </w:rPr>
      </w:pPr>
    </w:p>
    <w:p w14:paraId="15FE6A1E" w14:textId="77777777" w:rsidR="00761F5A" w:rsidRDefault="00761F5A" w:rsidP="005F1A99">
      <w:pPr>
        <w:jc w:val="both"/>
        <w:rPr>
          <w:rFonts w:ascii="Calibri" w:hAnsi="Calibri" w:cs="Calibri"/>
          <w:b/>
          <w:bCs/>
          <w:sz w:val="24"/>
          <w:szCs w:val="24"/>
          <w:u w:val="single"/>
        </w:rPr>
      </w:pPr>
    </w:p>
    <w:p w14:paraId="2CBE1911" w14:textId="77777777" w:rsidR="00761F5A" w:rsidRDefault="00761F5A" w:rsidP="005F1A99">
      <w:pPr>
        <w:jc w:val="both"/>
        <w:rPr>
          <w:rFonts w:ascii="Calibri" w:hAnsi="Calibri" w:cs="Calibri"/>
          <w:b/>
          <w:bCs/>
          <w:sz w:val="24"/>
          <w:szCs w:val="24"/>
          <w:u w:val="single"/>
        </w:rPr>
      </w:pPr>
    </w:p>
    <w:p w14:paraId="562780AA" w14:textId="77777777" w:rsidR="00761F5A" w:rsidRDefault="00761F5A" w:rsidP="005F1A99">
      <w:pPr>
        <w:jc w:val="both"/>
        <w:rPr>
          <w:rFonts w:ascii="Calibri" w:hAnsi="Calibri" w:cs="Calibri"/>
          <w:b/>
          <w:bCs/>
          <w:sz w:val="24"/>
          <w:szCs w:val="24"/>
          <w:u w:val="single"/>
        </w:rPr>
      </w:pPr>
    </w:p>
    <w:p w14:paraId="76E56640" w14:textId="77777777" w:rsidR="00761F5A" w:rsidRDefault="00761F5A" w:rsidP="005F1A99">
      <w:pPr>
        <w:jc w:val="both"/>
        <w:rPr>
          <w:rFonts w:ascii="Calibri" w:hAnsi="Calibri" w:cs="Calibri"/>
          <w:b/>
          <w:bCs/>
          <w:sz w:val="24"/>
          <w:szCs w:val="24"/>
          <w:u w:val="single"/>
        </w:rPr>
      </w:pPr>
    </w:p>
    <w:p w14:paraId="1D16E5AA" w14:textId="77777777" w:rsidR="00761F5A" w:rsidRDefault="00761F5A" w:rsidP="005F1A99">
      <w:pPr>
        <w:jc w:val="both"/>
        <w:rPr>
          <w:rFonts w:ascii="Calibri" w:hAnsi="Calibri" w:cs="Calibri"/>
          <w:b/>
          <w:bCs/>
          <w:sz w:val="24"/>
          <w:szCs w:val="24"/>
          <w:u w:val="single"/>
        </w:rPr>
      </w:pPr>
    </w:p>
    <w:p w14:paraId="2291C59E" w14:textId="15991E47" w:rsidR="005F1A99" w:rsidRPr="00647EEA" w:rsidRDefault="005F1A99" w:rsidP="005F1A99">
      <w:pPr>
        <w:jc w:val="both"/>
        <w:rPr>
          <w:rFonts w:ascii="Calibri" w:hAnsi="Calibri" w:cs="Calibri"/>
          <w:b/>
          <w:bCs/>
          <w:sz w:val="24"/>
          <w:szCs w:val="24"/>
          <w:u w:val="single"/>
        </w:rPr>
      </w:pPr>
      <w:r w:rsidRPr="00647EEA">
        <w:rPr>
          <w:rFonts w:ascii="Calibri" w:hAnsi="Calibri" w:cs="Calibri"/>
          <w:b/>
          <w:bCs/>
          <w:sz w:val="24"/>
          <w:szCs w:val="24"/>
          <w:u w:val="single"/>
        </w:rPr>
        <w:lastRenderedPageBreak/>
        <w:t xml:space="preserve">Chapter 1: </w:t>
      </w:r>
      <w:r>
        <w:rPr>
          <w:rFonts w:ascii="Calibri" w:hAnsi="Calibri" w:cs="Calibri"/>
          <w:b/>
          <w:bCs/>
          <w:sz w:val="24"/>
          <w:szCs w:val="24"/>
          <w:u w:val="single"/>
        </w:rPr>
        <w:t xml:space="preserve">The Torcs of the </w:t>
      </w:r>
      <w:r w:rsidRPr="00647EEA">
        <w:rPr>
          <w:rFonts w:ascii="Calibri" w:hAnsi="Calibri" w:cs="Calibri"/>
          <w:b/>
          <w:bCs/>
          <w:sz w:val="24"/>
          <w:szCs w:val="24"/>
          <w:u w:val="single"/>
        </w:rPr>
        <w:t>Gododdin</w:t>
      </w:r>
      <w:r>
        <w:rPr>
          <w:rFonts w:ascii="Calibri" w:hAnsi="Calibri" w:cs="Calibri"/>
          <w:b/>
          <w:bCs/>
          <w:sz w:val="24"/>
          <w:szCs w:val="24"/>
          <w:u w:val="single"/>
        </w:rPr>
        <w:t xml:space="preserve"> Poem</w:t>
      </w:r>
      <w:r w:rsidRPr="00647EEA">
        <w:rPr>
          <w:rFonts w:ascii="Calibri" w:hAnsi="Calibri" w:cs="Calibri"/>
          <w:b/>
          <w:bCs/>
          <w:sz w:val="24"/>
          <w:szCs w:val="24"/>
          <w:u w:val="single"/>
        </w:rPr>
        <w:t xml:space="preserve"> </w:t>
      </w:r>
    </w:p>
    <w:p w14:paraId="4D570415" w14:textId="50376434" w:rsidR="005F1A99" w:rsidRPr="00422431" w:rsidRDefault="005F1A99" w:rsidP="005F1A99">
      <w:pPr>
        <w:jc w:val="both"/>
        <w:rPr>
          <w:rFonts w:ascii="Calibri" w:hAnsi="Calibri" w:cs="Calibri"/>
        </w:rPr>
      </w:pPr>
      <w:r>
        <w:rPr>
          <w:rFonts w:ascii="Calibri" w:hAnsi="Calibri" w:cs="Calibri"/>
        </w:rPr>
        <w:t>This Chapter shall examine potential references to Torcs in the early Welsh poem Y/The Gododdin. After reviewing the literature which engages with its dating, and the potential meaning of these torcs, it shall examine what can be determined from these potential references, closely reading the stanzas in which they occur. Potential alternative definitions of the words for torc in both Latin and Welsh, as well as other Welsh words which may also refer to Torcs, shall also briefly be considered.</w:t>
      </w:r>
    </w:p>
    <w:p w14:paraId="1E44709F" w14:textId="77777777" w:rsidR="005F1A99" w:rsidRPr="0043118F" w:rsidRDefault="005F1A99" w:rsidP="005F1A99">
      <w:pPr>
        <w:jc w:val="both"/>
        <w:rPr>
          <w:rFonts w:ascii="Calibri" w:hAnsi="Calibri" w:cs="Calibri"/>
          <w:b/>
          <w:bCs/>
        </w:rPr>
      </w:pPr>
      <w:r w:rsidRPr="0043118F">
        <w:rPr>
          <w:rFonts w:ascii="Calibri" w:hAnsi="Calibri" w:cs="Calibri"/>
          <w:b/>
          <w:bCs/>
        </w:rPr>
        <w:t xml:space="preserve">1.1 Introduction </w:t>
      </w:r>
      <w:r>
        <w:rPr>
          <w:rFonts w:ascii="Calibri" w:hAnsi="Calibri" w:cs="Calibri"/>
          <w:b/>
          <w:bCs/>
        </w:rPr>
        <w:t>to the text</w:t>
      </w:r>
    </w:p>
    <w:p w14:paraId="42A1592E" w14:textId="4BE5E248" w:rsidR="005F1A99" w:rsidRPr="00F0792F" w:rsidRDefault="005F1A99" w:rsidP="005F1A99">
      <w:pPr>
        <w:jc w:val="both"/>
        <w:rPr>
          <w:rFonts w:ascii="Calibri" w:hAnsi="Calibri" w:cs="Calibri"/>
        </w:rPr>
      </w:pPr>
      <w:r>
        <w:rPr>
          <w:rFonts w:ascii="Calibri" w:hAnsi="Calibri" w:cs="Calibri"/>
        </w:rPr>
        <w:t xml:space="preserve">The </w:t>
      </w:r>
      <w:r w:rsidRPr="00904B82">
        <w:rPr>
          <w:rFonts w:ascii="Calibri" w:hAnsi="Calibri" w:cs="Calibri"/>
        </w:rPr>
        <w:t>Gododdin</w:t>
      </w:r>
      <w:r>
        <w:rPr>
          <w:rFonts w:ascii="Calibri" w:hAnsi="Calibri" w:cs="Calibri"/>
        </w:rPr>
        <w:t xml:space="preserve"> is comprised of stanzas both elegising and eulogising the 300-strong</w:t>
      </w:r>
      <w:r w:rsidR="00A46BD2">
        <w:rPr>
          <w:rStyle w:val="FootnoteReference"/>
          <w:rFonts w:ascii="Calibri" w:hAnsi="Calibri" w:cs="Calibri"/>
        </w:rPr>
        <w:footnoteReference w:id="6"/>
      </w:r>
      <w:r>
        <w:rPr>
          <w:rFonts w:ascii="Calibri" w:hAnsi="Calibri" w:cs="Calibri"/>
        </w:rPr>
        <w:t xml:space="preserve"> warband of Gododdin, a post-roman Brittonic state (the name coming from the </w:t>
      </w:r>
      <w:r w:rsidRPr="00DD1CA2">
        <w:rPr>
          <w:rFonts w:ascii="Calibri" w:hAnsi="Calibri" w:cs="Calibri"/>
          <w:i/>
          <w:iCs/>
        </w:rPr>
        <w:t>Votadini</w:t>
      </w:r>
      <w:r>
        <w:rPr>
          <w:rFonts w:ascii="Calibri" w:hAnsi="Calibri" w:cs="Calibri"/>
          <w:i/>
          <w:iCs/>
        </w:rPr>
        <w:t xml:space="preserve"> </w:t>
      </w:r>
      <w:r>
        <w:rPr>
          <w:rFonts w:ascii="Calibri" w:hAnsi="Calibri" w:cs="Calibri"/>
        </w:rPr>
        <w:t xml:space="preserve">tribe) in what is now southeast Scotland, its capital at </w:t>
      </w:r>
      <w:r w:rsidRPr="007E3D5C">
        <w:rPr>
          <w:rFonts w:ascii="Calibri" w:hAnsi="Calibri" w:cs="Calibri"/>
          <w:i/>
          <w:iCs/>
        </w:rPr>
        <w:t>Eidyn</w:t>
      </w:r>
      <w:r>
        <w:rPr>
          <w:rFonts w:ascii="Calibri" w:hAnsi="Calibri" w:cs="Calibri"/>
        </w:rPr>
        <w:t xml:space="preserve"> – Edinburgh – and part of a region called the </w:t>
      </w:r>
      <w:r w:rsidRPr="00944DF2">
        <w:rPr>
          <w:rFonts w:ascii="Calibri" w:hAnsi="Calibri" w:cs="Calibri"/>
          <w:i/>
          <w:iCs/>
        </w:rPr>
        <w:t>Hen Ogledd</w:t>
      </w:r>
      <w:r>
        <w:rPr>
          <w:rFonts w:ascii="Calibri" w:hAnsi="Calibri" w:cs="Calibri"/>
        </w:rPr>
        <w:t xml:space="preserve"> (The Old North). It claims to have been composed by the poet Aneirin, and is set in the </w:t>
      </w:r>
      <w:r w:rsidR="003241C1">
        <w:rPr>
          <w:rFonts w:ascii="Calibri" w:hAnsi="Calibri" w:cs="Calibri"/>
        </w:rPr>
        <w:t xml:space="preserve">late </w:t>
      </w:r>
      <w:r>
        <w:rPr>
          <w:rFonts w:ascii="Calibri" w:hAnsi="Calibri" w:cs="Calibri"/>
        </w:rPr>
        <w:t>6</w:t>
      </w:r>
      <w:r w:rsidRPr="00301E98">
        <w:rPr>
          <w:rFonts w:ascii="Calibri" w:hAnsi="Calibri" w:cs="Calibri"/>
          <w:vertAlign w:val="superscript"/>
        </w:rPr>
        <w:t>th</w:t>
      </w:r>
      <w:r>
        <w:rPr>
          <w:rFonts w:ascii="Calibri" w:hAnsi="Calibri" w:cs="Calibri"/>
        </w:rPr>
        <w:t xml:space="preserve"> century. It tells of a doomed raid by the warband – after a year’s feasting at Eidyn - on the Angle-held location of </w:t>
      </w:r>
      <w:r w:rsidRPr="00B41042">
        <w:rPr>
          <w:rFonts w:ascii="Calibri" w:hAnsi="Calibri" w:cs="Calibri"/>
          <w:i/>
          <w:iCs/>
        </w:rPr>
        <w:t>Catraeth</w:t>
      </w:r>
      <w:r>
        <w:rPr>
          <w:rFonts w:ascii="Calibri" w:hAnsi="Calibri" w:cs="Calibri"/>
        </w:rPr>
        <w:t xml:space="preserve">, generally – though not unanimously - agreed to be Catterick in Yorkshire, in which the entire warband – bar a handful of survivors - is lost. Among the arms, armour, feasting paraphernalia and adornments the poem describes, gold torcs appear to feature prominently; indeed, they are the most frequently occurring item of jewellery – being mentioned nine times – if indeed that is what the poem describes when it uses terms such as </w:t>
      </w:r>
      <w:r w:rsidRPr="00F0792F">
        <w:rPr>
          <w:rFonts w:ascii="Calibri" w:hAnsi="Calibri" w:cs="Calibri"/>
          <w:i/>
          <w:iCs/>
        </w:rPr>
        <w:t>eurdorchogion</w:t>
      </w:r>
      <w:r>
        <w:rPr>
          <w:rFonts w:ascii="Calibri" w:hAnsi="Calibri" w:cs="Calibri"/>
          <w:i/>
          <w:iCs/>
        </w:rPr>
        <w:t xml:space="preserve"> </w:t>
      </w:r>
      <w:r>
        <w:rPr>
          <w:rFonts w:ascii="Calibri" w:hAnsi="Calibri" w:cs="Calibri"/>
        </w:rPr>
        <w:t xml:space="preserve">(‘gold-torc-wearers’). </w:t>
      </w:r>
    </w:p>
    <w:p w14:paraId="42E7163F" w14:textId="77777777" w:rsidR="005F1A99" w:rsidRPr="0043118F" w:rsidRDefault="005F1A99" w:rsidP="005F1A99">
      <w:pPr>
        <w:jc w:val="both"/>
        <w:rPr>
          <w:rFonts w:ascii="Calibri" w:hAnsi="Calibri" w:cs="Calibri"/>
          <w:b/>
          <w:bCs/>
        </w:rPr>
      </w:pPr>
      <w:r w:rsidRPr="0043118F">
        <w:rPr>
          <w:rFonts w:ascii="Calibri" w:hAnsi="Calibri" w:cs="Calibri"/>
          <w:b/>
          <w:bCs/>
        </w:rPr>
        <w:t xml:space="preserve">1.2 </w:t>
      </w:r>
      <w:r>
        <w:rPr>
          <w:rFonts w:ascii="Calibri" w:hAnsi="Calibri" w:cs="Calibri"/>
          <w:b/>
          <w:bCs/>
        </w:rPr>
        <w:t xml:space="preserve">Secondary </w:t>
      </w:r>
      <w:r w:rsidRPr="0043118F">
        <w:rPr>
          <w:rFonts w:ascii="Calibri" w:hAnsi="Calibri" w:cs="Calibri"/>
          <w:b/>
          <w:bCs/>
        </w:rPr>
        <w:t>Literature review</w:t>
      </w:r>
    </w:p>
    <w:p w14:paraId="364D553D" w14:textId="77777777" w:rsidR="005F1A99" w:rsidRPr="0043118F" w:rsidRDefault="005F1A99" w:rsidP="005F1A99">
      <w:pPr>
        <w:jc w:val="both"/>
        <w:rPr>
          <w:rFonts w:ascii="Calibri" w:hAnsi="Calibri" w:cs="Calibri"/>
          <w:u w:val="single"/>
        </w:rPr>
      </w:pPr>
      <w:r w:rsidRPr="0043118F">
        <w:rPr>
          <w:rFonts w:ascii="Calibri" w:hAnsi="Calibri" w:cs="Calibri"/>
          <w:u w:val="single"/>
        </w:rPr>
        <w:t>Dating</w:t>
      </w:r>
    </w:p>
    <w:p w14:paraId="4FCBE3A5" w14:textId="06BF9951" w:rsidR="005F1A99" w:rsidRPr="0043118F" w:rsidRDefault="005F1A99" w:rsidP="005F1A99">
      <w:pPr>
        <w:jc w:val="both"/>
        <w:rPr>
          <w:rFonts w:ascii="Calibri" w:hAnsi="Calibri" w:cs="Calibri"/>
        </w:rPr>
      </w:pPr>
      <w:r>
        <w:rPr>
          <w:rFonts w:ascii="Calibri" w:hAnsi="Calibri" w:cs="Calibri"/>
        </w:rPr>
        <w:t>The poem</w:t>
      </w:r>
      <w:r w:rsidRPr="0043118F">
        <w:rPr>
          <w:rFonts w:ascii="Calibri" w:hAnsi="Calibri" w:cs="Calibri"/>
        </w:rPr>
        <w:t xml:space="preserve"> survives in the 13</w:t>
      </w:r>
      <w:r w:rsidRPr="0043118F">
        <w:rPr>
          <w:rFonts w:ascii="Calibri" w:hAnsi="Calibri" w:cs="Calibri"/>
          <w:vertAlign w:val="superscript"/>
        </w:rPr>
        <w:t>th</w:t>
      </w:r>
      <w:r w:rsidRPr="0043118F">
        <w:rPr>
          <w:rFonts w:ascii="Calibri" w:hAnsi="Calibri" w:cs="Calibri"/>
        </w:rPr>
        <w:t xml:space="preserve"> century Book of Aneurin</w:t>
      </w:r>
      <w:r>
        <w:rPr>
          <w:rFonts w:ascii="Calibri" w:hAnsi="Calibri" w:cs="Calibri"/>
        </w:rPr>
        <w:t>.</w:t>
      </w:r>
      <w:r w:rsidRPr="0043118F">
        <w:rPr>
          <w:rFonts w:ascii="Calibri" w:hAnsi="Calibri" w:cs="Calibri"/>
        </w:rPr>
        <w:t xml:space="preserve"> There are two scribal hands within the book, the A and B texts, with B generally </w:t>
      </w:r>
      <w:r>
        <w:rPr>
          <w:rFonts w:ascii="Calibri" w:hAnsi="Calibri" w:cs="Calibri"/>
        </w:rPr>
        <w:t>agreed to be the older text</w:t>
      </w:r>
      <w:r w:rsidRPr="0043118F">
        <w:rPr>
          <w:rFonts w:ascii="Calibri" w:hAnsi="Calibri" w:cs="Calibri"/>
        </w:rPr>
        <w:t>, perhaps c.9 or c.10</w:t>
      </w:r>
      <w:r>
        <w:rPr>
          <w:rFonts w:ascii="Calibri" w:hAnsi="Calibri" w:cs="Calibri"/>
        </w:rPr>
        <w:t>, based on orthography.</w:t>
      </w:r>
      <w:r>
        <w:rPr>
          <w:rStyle w:val="FootnoteReference"/>
          <w:rFonts w:ascii="Calibri" w:hAnsi="Calibri" w:cs="Calibri"/>
        </w:rPr>
        <w:footnoteReference w:id="7"/>
      </w:r>
      <w:r w:rsidRPr="0043118F">
        <w:rPr>
          <w:rFonts w:ascii="Calibri" w:hAnsi="Calibri" w:cs="Calibri"/>
        </w:rPr>
        <w:t xml:space="preserve"> </w:t>
      </w:r>
    </w:p>
    <w:p w14:paraId="5BE90CA7" w14:textId="68BAE09D" w:rsidR="005F1A99" w:rsidRPr="0043118F" w:rsidRDefault="005F1A99" w:rsidP="005F1A99">
      <w:pPr>
        <w:jc w:val="both"/>
        <w:rPr>
          <w:rFonts w:ascii="Calibri" w:hAnsi="Calibri" w:cs="Calibri"/>
        </w:rPr>
      </w:pPr>
      <w:r w:rsidRPr="007D2631">
        <w:rPr>
          <w:rFonts w:ascii="Calibri" w:hAnsi="Calibri" w:cs="Calibri"/>
        </w:rPr>
        <w:t>Drumville</w:t>
      </w:r>
      <w:r w:rsidRPr="0043118F">
        <w:rPr>
          <w:rFonts w:ascii="Calibri" w:hAnsi="Calibri" w:cs="Calibri"/>
        </w:rPr>
        <w:t xml:space="preserve"> is adamant</w:t>
      </w:r>
      <w:r>
        <w:rPr>
          <w:rFonts w:ascii="Calibri" w:hAnsi="Calibri" w:cs="Calibri"/>
        </w:rPr>
        <w:t xml:space="preserve"> that the poem cannot be dated to the 6</w:t>
      </w:r>
      <w:r w:rsidRPr="002816D3">
        <w:rPr>
          <w:rFonts w:ascii="Calibri" w:hAnsi="Calibri" w:cs="Calibri"/>
          <w:vertAlign w:val="superscript"/>
        </w:rPr>
        <w:t>th</w:t>
      </w:r>
      <w:r>
        <w:rPr>
          <w:rFonts w:ascii="Calibri" w:hAnsi="Calibri" w:cs="Calibri"/>
        </w:rPr>
        <w:t xml:space="preserve"> century,</w:t>
      </w:r>
      <w:r w:rsidRPr="007D2631">
        <w:rPr>
          <w:rFonts w:ascii="Calibri" w:hAnsi="Calibri" w:cs="Calibri"/>
        </w:rPr>
        <w:t>’</w:t>
      </w:r>
      <w:r w:rsidRPr="007D2631">
        <w:rPr>
          <w:rFonts w:ascii="Calibri" w:hAnsi="Calibri" w:cs="Calibri"/>
          <w:vertAlign w:val="superscript"/>
        </w:rPr>
        <w:footnoteReference w:id="8"/>
      </w:r>
      <w:r w:rsidRPr="0043118F">
        <w:rPr>
          <w:rFonts w:ascii="Calibri" w:hAnsi="Calibri" w:cs="Calibri"/>
        </w:rPr>
        <w:t xml:space="preserve"> argu</w:t>
      </w:r>
      <w:r>
        <w:rPr>
          <w:rFonts w:ascii="Calibri" w:hAnsi="Calibri" w:cs="Calibri"/>
        </w:rPr>
        <w:t>ing</w:t>
      </w:r>
      <w:r w:rsidRPr="0043118F">
        <w:rPr>
          <w:rFonts w:ascii="Calibri" w:hAnsi="Calibri" w:cs="Calibri"/>
        </w:rPr>
        <w:t xml:space="preserve"> that </w:t>
      </w:r>
      <w:r w:rsidRPr="002816D3">
        <w:rPr>
          <w:rFonts w:ascii="Calibri" w:hAnsi="Calibri" w:cs="Calibri"/>
          <w:i/>
          <w:iCs/>
        </w:rPr>
        <w:t>Catraeth</w:t>
      </w:r>
      <w:r>
        <w:rPr>
          <w:rFonts w:ascii="Calibri" w:hAnsi="Calibri" w:cs="Calibri"/>
          <w:i/>
          <w:iCs/>
        </w:rPr>
        <w:t>/</w:t>
      </w:r>
      <w:r>
        <w:rPr>
          <w:rFonts w:ascii="Calibri" w:hAnsi="Calibri" w:cs="Calibri"/>
        </w:rPr>
        <w:t xml:space="preserve">Catterick </w:t>
      </w:r>
      <w:r w:rsidRPr="0043118F">
        <w:rPr>
          <w:rFonts w:ascii="Calibri" w:hAnsi="Calibri" w:cs="Calibri"/>
        </w:rPr>
        <w:t xml:space="preserve">is an </w:t>
      </w:r>
      <w:r w:rsidRPr="007D2631">
        <w:rPr>
          <w:rFonts w:ascii="Calibri" w:hAnsi="Calibri" w:cs="Calibri"/>
        </w:rPr>
        <w:t xml:space="preserve">unlikely battle </w:t>
      </w:r>
      <w:r>
        <w:rPr>
          <w:rFonts w:ascii="Calibri" w:hAnsi="Calibri" w:cs="Calibri"/>
        </w:rPr>
        <w:t xml:space="preserve">location </w:t>
      </w:r>
      <w:r w:rsidRPr="007D2631">
        <w:rPr>
          <w:rFonts w:ascii="Calibri" w:hAnsi="Calibri" w:cs="Calibri"/>
        </w:rPr>
        <w:t>because the border of Gododdin did not extend that far south by t</w:t>
      </w:r>
      <w:r>
        <w:rPr>
          <w:rFonts w:ascii="Calibri" w:hAnsi="Calibri" w:cs="Calibri"/>
        </w:rPr>
        <w:t>his</w:t>
      </w:r>
      <w:r w:rsidRPr="007D2631">
        <w:rPr>
          <w:rFonts w:ascii="Calibri" w:hAnsi="Calibri" w:cs="Calibri"/>
        </w:rPr>
        <w:t xml:space="preserve"> time</w:t>
      </w:r>
      <w:r>
        <w:rPr>
          <w:rFonts w:ascii="Calibri" w:hAnsi="Calibri" w:cs="Calibri"/>
        </w:rPr>
        <w:t>, suggesting</w:t>
      </w:r>
      <w:r w:rsidRPr="007D2631">
        <w:rPr>
          <w:rFonts w:ascii="Calibri" w:hAnsi="Calibri" w:cs="Calibri"/>
        </w:rPr>
        <w:t xml:space="preserve"> a later composer ignorant of specific dates.</w:t>
      </w:r>
      <w:r w:rsidRPr="007D2631">
        <w:rPr>
          <w:rFonts w:ascii="Calibri" w:hAnsi="Calibri" w:cs="Calibri"/>
          <w:vertAlign w:val="superscript"/>
        </w:rPr>
        <w:footnoteReference w:id="9"/>
      </w:r>
      <w:r w:rsidRPr="0043118F">
        <w:rPr>
          <w:rFonts w:ascii="Calibri" w:hAnsi="Calibri" w:cs="Calibri"/>
        </w:rPr>
        <w:t xml:space="preserve"> </w:t>
      </w:r>
      <w:r>
        <w:rPr>
          <w:rFonts w:ascii="Calibri" w:hAnsi="Calibri" w:cs="Calibri"/>
        </w:rPr>
        <w:t>He also</w:t>
      </w:r>
      <w:r w:rsidRPr="0043118F">
        <w:rPr>
          <w:rFonts w:ascii="Calibri" w:hAnsi="Calibri" w:cs="Calibri"/>
        </w:rPr>
        <w:t xml:space="preserve"> </w:t>
      </w:r>
      <w:r>
        <w:rPr>
          <w:rFonts w:ascii="Calibri" w:hAnsi="Calibri" w:cs="Calibri"/>
        </w:rPr>
        <w:t>argues</w:t>
      </w:r>
      <w:r w:rsidRPr="0043118F">
        <w:rPr>
          <w:rFonts w:ascii="Calibri" w:hAnsi="Calibri" w:cs="Calibri"/>
        </w:rPr>
        <w:t xml:space="preserve"> that </w:t>
      </w:r>
      <w:r w:rsidRPr="007D2631">
        <w:rPr>
          <w:rFonts w:ascii="Calibri" w:hAnsi="Calibri" w:cs="Calibri"/>
        </w:rPr>
        <w:t>without</w:t>
      </w:r>
      <w:r w:rsidR="00D0213A">
        <w:rPr>
          <w:rFonts w:ascii="Calibri" w:hAnsi="Calibri" w:cs="Calibri"/>
        </w:rPr>
        <w:t xml:space="preserve"> the 9</w:t>
      </w:r>
      <w:r w:rsidR="00D0213A" w:rsidRPr="00D0213A">
        <w:rPr>
          <w:rFonts w:ascii="Calibri" w:hAnsi="Calibri" w:cs="Calibri"/>
          <w:vertAlign w:val="superscript"/>
        </w:rPr>
        <w:t>th</w:t>
      </w:r>
      <w:r w:rsidR="00D0213A">
        <w:rPr>
          <w:rFonts w:ascii="Calibri" w:hAnsi="Calibri" w:cs="Calibri"/>
        </w:rPr>
        <w:t xml:space="preserve"> century</w:t>
      </w:r>
      <w:r w:rsidRPr="007D2631">
        <w:rPr>
          <w:rFonts w:ascii="Calibri" w:hAnsi="Calibri" w:cs="Calibri"/>
        </w:rPr>
        <w:t xml:space="preserve"> </w:t>
      </w:r>
      <w:r w:rsidRPr="00D0213A">
        <w:rPr>
          <w:rFonts w:ascii="Calibri" w:hAnsi="Calibri" w:cs="Calibri"/>
          <w:i/>
          <w:iCs/>
        </w:rPr>
        <w:t>Historia Brittonum</w:t>
      </w:r>
      <w:r w:rsidRPr="007D2631">
        <w:rPr>
          <w:rFonts w:ascii="Calibri" w:hAnsi="Calibri" w:cs="Calibri"/>
        </w:rPr>
        <w:t xml:space="preserve">, </w:t>
      </w:r>
      <w:r>
        <w:rPr>
          <w:rFonts w:ascii="Calibri" w:hAnsi="Calibri" w:cs="Calibri"/>
        </w:rPr>
        <w:t xml:space="preserve">the poet </w:t>
      </w:r>
      <w:r w:rsidRPr="0043118F">
        <w:rPr>
          <w:rFonts w:ascii="Calibri" w:hAnsi="Calibri" w:cs="Calibri"/>
        </w:rPr>
        <w:t>Aneurin</w:t>
      </w:r>
      <w:r w:rsidRPr="007D2631">
        <w:rPr>
          <w:rFonts w:ascii="Calibri" w:hAnsi="Calibri" w:cs="Calibri"/>
        </w:rPr>
        <w:t xml:space="preserve"> h</w:t>
      </w:r>
      <w:r w:rsidRPr="0043118F">
        <w:rPr>
          <w:rFonts w:ascii="Calibri" w:hAnsi="Calibri" w:cs="Calibri"/>
        </w:rPr>
        <w:t>as no</w:t>
      </w:r>
      <w:r w:rsidRPr="007D2631">
        <w:rPr>
          <w:rFonts w:ascii="Calibri" w:hAnsi="Calibri" w:cs="Calibri"/>
        </w:rPr>
        <w:t xml:space="preserve"> external validation</w:t>
      </w:r>
      <w:r>
        <w:rPr>
          <w:rFonts w:ascii="Calibri" w:hAnsi="Calibri" w:cs="Calibri"/>
        </w:rPr>
        <w:t xml:space="preserve"> </w:t>
      </w:r>
      <w:r w:rsidR="00D0213A">
        <w:rPr>
          <w:rFonts w:ascii="Calibri" w:hAnsi="Calibri" w:cs="Calibri"/>
        </w:rPr>
        <w:t>(</w:t>
      </w:r>
      <w:r w:rsidRPr="007D2631">
        <w:rPr>
          <w:rFonts w:ascii="Calibri" w:hAnsi="Calibri" w:cs="Calibri"/>
        </w:rPr>
        <w:t xml:space="preserve">the Historia is pseudo-historical </w:t>
      </w:r>
      <w:r w:rsidRPr="0043118F">
        <w:rPr>
          <w:rFonts w:ascii="Calibri" w:hAnsi="Calibri" w:cs="Calibri"/>
        </w:rPr>
        <w:t>in any case</w:t>
      </w:r>
      <w:r w:rsidR="005C23ED">
        <w:rPr>
          <w:rFonts w:ascii="Calibri" w:hAnsi="Calibri" w:cs="Calibri"/>
        </w:rPr>
        <w:t>)</w:t>
      </w:r>
      <w:r w:rsidRPr="007D2631">
        <w:rPr>
          <w:rFonts w:ascii="Calibri" w:hAnsi="Calibri" w:cs="Calibri"/>
        </w:rPr>
        <w:t>.</w:t>
      </w:r>
      <w:r w:rsidRPr="007D2631">
        <w:rPr>
          <w:rFonts w:ascii="Calibri" w:hAnsi="Calibri" w:cs="Calibri"/>
          <w:vertAlign w:val="superscript"/>
        </w:rPr>
        <w:footnoteReference w:id="10"/>
      </w:r>
      <w:r w:rsidRPr="0043118F">
        <w:rPr>
          <w:rFonts w:ascii="Calibri" w:hAnsi="Calibri" w:cs="Calibri"/>
        </w:rPr>
        <w:t xml:space="preserve"> </w:t>
      </w:r>
      <w:r>
        <w:rPr>
          <w:rFonts w:ascii="Calibri" w:hAnsi="Calibri" w:cs="Calibri"/>
        </w:rPr>
        <w:t xml:space="preserve">He instead </w:t>
      </w:r>
      <w:r w:rsidRPr="0043118F">
        <w:rPr>
          <w:rFonts w:ascii="Calibri" w:hAnsi="Calibri" w:cs="Calibri"/>
        </w:rPr>
        <w:t xml:space="preserve">suggests the first </w:t>
      </w:r>
      <w:r w:rsidRPr="007D2631">
        <w:rPr>
          <w:rFonts w:ascii="Calibri" w:hAnsi="Calibri" w:cs="Calibri"/>
        </w:rPr>
        <w:t xml:space="preserve">half of the tenth century </w:t>
      </w:r>
      <w:r w:rsidRPr="0043118F">
        <w:rPr>
          <w:rFonts w:ascii="Calibri" w:hAnsi="Calibri" w:cs="Calibri"/>
        </w:rPr>
        <w:t>as a better date to work from, with earlier claims requiring firmer evidence</w:t>
      </w:r>
      <w:r w:rsidRPr="007D2631">
        <w:rPr>
          <w:rFonts w:ascii="Calibri" w:hAnsi="Calibri" w:cs="Calibri"/>
        </w:rPr>
        <w:t>.</w:t>
      </w:r>
      <w:r w:rsidRPr="007D2631">
        <w:rPr>
          <w:rFonts w:ascii="Calibri" w:hAnsi="Calibri" w:cs="Calibri"/>
          <w:vertAlign w:val="superscript"/>
        </w:rPr>
        <w:footnoteReference w:id="11"/>
      </w:r>
      <w:r w:rsidRPr="0043118F">
        <w:rPr>
          <w:rFonts w:ascii="Calibri" w:hAnsi="Calibri" w:cs="Calibri"/>
        </w:rPr>
        <w:t xml:space="preserve"> </w:t>
      </w:r>
      <w:r>
        <w:rPr>
          <w:rFonts w:ascii="Calibri" w:hAnsi="Calibri" w:cs="Calibri"/>
        </w:rPr>
        <w:t>This</w:t>
      </w:r>
      <w:r w:rsidRPr="0043118F">
        <w:rPr>
          <w:rFonts w:ascii="Calibri" w:hAnsi="Calibri" w:cs="Calibri"/>
        </w:rPr>
        <w:t xml:space="preserve"> </w:t>
      </w:r>
      <w:r>
        <w:rPr>
          <w:rFonts w:ascii="Calibri" w:hAnsi="Calibri" w:cs="Calibri"/>
        </w:rPr>
        <w:t xml:space="preserve">dating </w:t>
      </w:r>
      <w:r w:rsidRPr="0043118F">
        <w:rPr>
          <w:rFonts w:ascii="Calibri" w:hAnsi="Calibri" w:cs="Calibri"/>
        </w:rPr>
        <w:t xml:space="preserve">makes it less likely that </w:t>
      </w:r>
      <w:r>
        <w:rPr>
          <w:rFonts w:ascii="Calibri" w:hAnsi="Calibri" w:cs="Calibri"/>
        </w:rPr>
        <w:t>the poem describes</w:t>
      </w:r>
      <w:r w:rsidRPr="0043118F">
        <w:rPr>
          <w:rFonts w:ascii="Calibri" w:hAnsi="Calibri" w:cs="Calibri"/>
        </w:rPr>
        <w:t xml:space="preserve"> La-Tene-style Torc</w:t>
      </w:r>
      <w:r>
        <w:rPr>
          <w:rFonts w:ascii="Calibri" w:hAnsi="Calibri" w:cs="Calibri"/>
        </w:rPr>
        <w:t>s</w:t>
      </w:r>
      <w:r w:rsidR="00595BDF">
        <w:rPr>
          <w:rFonts w:ascii="Calibri" w:hAnsi="Calibri" w:cs="Calibri"/>
        </w:rPr>
        <w:t xml:space="preserve">, but </w:t>
      </w:r>
      <w:r>
        <w:rPr>
          <w:rFonts w:ascii="Calibri" w:hAnsi="Calibri" w:cs="Calibri"/>
        </w:rPr>
        <w:t xml:space="preserve">allows for the external influences of other cultures – such as Vikings – on shaping the </w:t>
      </w:r>
      <w:r w:rsidR="00BD40F0">
        <w:rPr>
          <w:rFonts w:ascii="Calibri" w:hAnsi="Calibri" w:cs="Calibri"/>
        </w:rPr>
        <w:t xml:space="preserve">torc </w:t>
      </w:r>
      <w:r>
        <w:rPr>
          <w:rFonts w:ascii="Calibri" w:hAnsi="Calibri" w:cs="Calibri"/>
        </w:rPr>
        <w:t xml:space="preserve">motif, as shall be discussed in a later chapter. </w:t>
      </w:r>
    </w:p>
    <w:p w14:paraId="16974919" w14:textId="77777777" w:rsidR="005F1A99" w:rsidRPr="0043118F" w:rsidRDefault="005F1A99" w:rsidP="005F1A99">
      <w:pPr>
        <w:jc w:val="both"/>
        <w:rPr>
          <w:rFonts w:ascii="Calibri" w:hAnsi="Calibri" w:cs="Calibri"/>
        </w:rPr>
      </w:pPr>
      <w:r w:rsidRPr="0043118F">
        <w:rPr>
          <w:rFonts w:ascii="Calibri" w:hAnsi="Calibri" w:cs="Calibri"/>
        </w:rPr>
        <w:t>Koch</w:t>
      </w:r>
      <w:r>
        <w:rPr>
          <w:rFonts w:ascii="Calibri" w:hAnsi="Calibri" w:cs="Calibri"/>
        </w:rPr>
        <w:t xml:space="preserve"> is more confident</w:t>
      </w:r>
      <w:r w:rsidRPr="0043118F">
        <w:rPr>
          <w:rFonts w:ascii="Calibri" w:hAnsi="Calibri" w:cs="Calibri"/>
        </w:rPr>
        <w:t xml:space="preserve"> dating at least some parts of the text back to the sixth century. </w:t>
      </w:r>
      <w:r>
        <w:rPr>
          <w:rFonts w:ascii="Calibri" w:hAnsi="Calibri" w:cs="Calibri"/>
        </w:rPr>
        <w:t>For him, the</w:t>
      </w:r>
      <w:r w:rsidRPr="0043118F">
        <w:rPr>
          <w:rFonts w:ascii="Calibri" w:hAnsi="Calibri" w:cs="Calibri"/>
        </w:rPr>
        <w:t xml:space="preserve"> obscurity of the syntax and lexicon</w:t>
      </w:r>
      <w:r>
        <w:rPr>
          <w:rFonts w:ascii="Calibri" w:hAnsi="Calibri" w:cs="Calibri"/>
        </w:rPr>
        <w:t xml:space="preserve"> </w:t>
      </w:r>
      <w:r w:rsidRPr="0043118F">
        <w:rPr>
          <w:rFonts w:ascii="Calibri" w:hAnsi="Calibri" w:cs="Calibri"/>
        </w:rPr>
        <w:t>implies</w:t>
      </w:r>
      <w:r>
        <w:rPr>
          <w:rFonts w:ascii="Calibri" w:hAnsi="Calibri" w:cs="Calibri"/>
        </w:rPr>
        <w:t>,</w:t>
      </w:r>
      <w:r w:rsidRPr="0043118F">
        <w:rPr>
          <w:rFonts w:ascii="Calibri" w:hAnsi="Calibri" w:cs="Calibri"/>
        </w:rPr>
        <w:t xml:space="preserve"> </w:t>
      </w:r>
      <w:r w:rsidRPr="00224223">
        <w:rPr>
          <w:rFonts w:ascii="Calibri" w:hAnsi="Calibri" w:cs="Calibri"/>
        </w:rPr>
        <w:t>‘high antiquity</w:t>
      </w:r>
      <w:r w:rsidRPr="0043118F">
        <w:rPr>
          <w:rFonts w:ascii="Calibri" w:hAnsi="Calibri" w:cs="Calibri"/>
        </w:rPr>
        <w:t>…</w:t>
      </w:r>
      <w:r w:rsidRPr="00224223">
        <w:rPr>
          <w:rFonts w:ascii="Calibri" w:hAnsi="Calibri" w:cs="Calibri"/>
        </w:rPr>
        <w:t>consistent with the internal attribution to the 6</w:t>
      </w:r>
      <w:r w:rsidRPr="00224223">
        <w:rPr>
          <w:rFonts w:ascii="Calibri" w:hAnsi="Calibri" w:cs="Calibri"/>
          <w:vertAlign w:val="superscript"/>
        </w:rPr>
        <w:t>th</w:t>
      </w:r>
      <w:r w:rsidRPr="00224223">
        <w:rPr>
          <w:rFonts w:ascii="Calibri" w:hAnsi="Calibri" w:cs="Calibri"/>
        </w:rPr>
        <w:t xml:space="preserve">-century…’ </w:t>
      </w:r>
      <w:r>
        <w:rPr>
          <w:rFonts w:ascii="Calibri" w:hAnsi="Calibri" w:cs="Calibri"/>
        </w:rPr>
        <w:t>and the</w:t>
      </w:r>
      <w:r w:rsidRPr="00224223">
        <w:rPr>
          <w:rFonts w:ascii="Calibri" w:hAnsi="Calibri" w:cs="Calibri"/>
        </w:rPr>
        <w:t xml:space="preserve"> linguistic anachronisms</w:t>
      </w:r>
      <w:r>
        <w:rPr>
          <w:rFonts w:ascii="Calibri" w:hAnsi="Calibri" w:cs="Calibri"/>
        </w:rPr>
        <w:t xml:space="preserve">, and </w:t>
      </w:r>
      <w:r w:rsidRPr="00224223">
        <w:rPr>
          <w:rFonts w:ascii="Calibri" w:hAnsi="Calibri" w:cs="Calibri"/>
        </w:rPr>
        <w:t xml:space="preserve">context of early medieval conflict </w:t>
      </w:r>
      <w:r w:rsidRPr="0043118F">
        <w:rPr>
          <w:rFonts w:ascii="Calibri" w:hAnsi="Calibri" w:cs="Calibri"/>
        </w:rPr>
        <w:t>points to an</w:t>
      </w:r>
      <w:r w:rsidRPr="00224223">
        <w:rPr>
          <w:rFonts w:ascii="Calibri" w:hAnsi="Calibri" w:cs="Calibri"/>
        </w:rPr>
        <w:t xml:space="preserve"> ‘authentic nucleus’ to the poem dat</w:t>
      </w:r>
      <w:r>
        <w:rPr>
          <w:rFonts w:ascii="Calibri" w:hAnsi="Calibri" w:cs="Calibri"/>
        </w:rPr>
        <w:t>able</w:t>
      </w:r>
      <w:r w:rsidRPr="00224223">
        <w:rPr>
          <w:rFonts w:ascii="Calibri" w:hAnsi="Calibri" w:cs="Calibri"/>
        </w:rPr>
        <w:t xml:space="preserve"> to that period.</w:t>
      </w:r>
      <w:r w:rsidRPr="00224223">
        <w:rPr>
          <w:rFonts w:ascii="Calibri" w:hAnsi="Calibri" w:cs="Calibri"/>
          <w:vertAlign w:val="superscript"/>
        </w:rPr>
        <w:footnoteReference w:id="12"/>
      </w:r>
      <w:r>
        <w:rPr>
          <w:rFonts w:ascii="Calibri" w:hAnsi="Calibri" w:cs="Calibri"/>
        </w:rPr>
        <w:t xml:space="preserve"> A 6</w:t>
      </w:r>
      <w:r w:rsidRPr="004B0656">
        <w:rPr>
          <w:rFonts w:ascii="Calibri" w:hAnsi="Calibri" w:cs="Calibri"/>
          <w:vertAlign w:val="superscript"/>
        </w:rPr>
        <w:t>th</w:t>
      </w:r>
      <w:r>
        <w:rPr>
          <w:rFonts w:ascii="Calibri" w:hAnsi="Calibri" w:cs="Calibri"/>
        </w:rPr>
        <w:t xml:space="preserve"> century</w:t>
      </w:r>
      <w:r w:rsidRPr="0043118F">
        <w:rPr>
          <w:rFonts w:ascii="Calibri" w:hAnsi="Calibri" w:cs="Calibri"/>
        </w:rPr>
        <w:t xml:space="preserve"> dat</w:t>
      </w:r>
      <w:r>
        <w:rPr>
          <w:rFonts w:ascii="Calibri" w:hAnsi="Calibri" w:cs="Calibri"/>
        </w:rPr>
        <w:t xml:space="preserve">e nonetheless still leaves </w:t>
      </w:r>
      <w:r w:rsidRPr="0043118F">
        <w:rPr>
          <w:rFonts w:ascii="Calibri" w:hAnsi="Calibri" w:cs="Calibri"/>
        </w:rPr>
        <w:t xml:space="preserve">a gap of up to four centuries between the end of the archeological record </w:t>
      </w:r>
      <w:r>
        <w:rPr>
          <w:rFonts w:ascii="Calibri" w:hAnsi="Calibri" w:cs="Calibri"/>
        </w:rPr>
        <w:t xml:space="preserve">for torcs </w:t>
      </w:r>
      <w:r w:rsidRPr="0043118F">
        <w:rPr>
          <w:rFonts w:ascii="Calibri" w:hAnsi="Calibri" w:cs="Calibri"/>
        </w:rPr>
        <w:t>and the poem</w:t>
      </w:r>
      <w:r>
        <w:rPr>
          <w:rFonts w:ascii="Calibri" w:hAnsi="Calibri" w:cs="Calibri"/>
        </w:rPr>
        <w:t>’s composition</w:t>
      </w:r>
      <w:r w:rsidRPr="0043118F">
        <w:rPr>
          <w:rFonts w:ascii="Calibri" w:hAnsi="Calibri" w:cs="Calibri"/>
        </w:rPr>
        <w:t xml:space="preserve">. </w:t>
      </w:r>
      <w:r>
        <w:rPr>
          <w:rFonts w:ascii="Calibri" w:hAnsi="Calibri" w:cs="Calibri"/>
        </w:rPr>
        <w:t>Koch provides a potential bridge for this gap,</w:t>
      </w:r>
      <w:r w:rsidRPr="0043118F">
        <w:rPr>
          <w:rFonts w:ascii="Calibri" w:hAnsi="Calibri" w:cs="Calibri"/>
        </w:rPr>
        <w:t xml:space="preserve"> suggest</w:t>
      </w:r>
      <w:r>
        <w:rPr>
          <w:rFonts w:ascii="Calibri" w:hAnsi="Calibri" w:cs="Calibri"/>
        </w:rPr>
        <w:t>ing</w:t>
      </w:r>
      <w:r w:rsidRPr="0043118F">
        <w:rPr>
          <w:rFonts w:ascii="Calibri" w:hAnsi="Calibri" w:cs="Calibri"/>
        </w:rPr>
        <w:t xml:space="preserve"> that parts of the poem may </w:t>
      </w:r>
      <w:r w:rsidRPr="0043118F">
        <w:rPr>
          <w:rFonts w:ascii="Calibri" w:hAnsi="Calibri" w:cs="Calibri"/>
        </w:rPr>
        <w:lastRenderedPageBreak/>
        <w:t>incorporate oral material</w:t>
      </w:r>
      <w:r>
        <w:rPr>
          <w:rFonts w:ascii="Calibri" w:hAnsi="Calibri" w:cs="Calibri"/>
        </w:rPr>
        <w:t>, such as traditional cycles about pre-Christian heroes and gods,</w:t>
      </w:r>
      <w:r w:rsidRPr="0043118F">
        <w:rPr>
          <w:rFonts w:ascii="Calibri" w:hAnsi="Calibri" w:cs="Calibri"/>
        </w:rPr>
        <w:t xml:space="preserve"> </w:t>
      </w:r>
      <w:r>
        <w:rPr>
          <w:rFonts w:ascii="Calibri" w:hAnsi="Calibri" w:cs="Calibri"/>
        </w:rPr>
        <w:t>dating</w:t>
      </w:r>
      <w:r w:rsidRPr="0043118F">
        <w:rPr>
          <w:rFonts w:ascii="Calibri" w:hAnsi="Calibri" w:cs="Calibri"/>
        </w:rPr>
        <w:t xml:space="preserve"> back into the Iron-age</w:t>
      </w:r>
      <w:r>
        <w:rPr>
          <w:rFonts w:ascii="Calibri" w:hAnsi="Calibri" w:cs="Calibri"/>
        </w:rPr>
        <w:t>.</w:t>
      </w:r>
      <w:r w:rsidRPr="0043118F">
        <w:rPr>
          <w:rStyle w:val="FootnoteReference"/>
          <w:rFonts w:ascii="Calibri" w:hAnsi="Calibri" w:cs="Calibri"/>
        </w:rPr>
        <w:footnoteReference w:id="13"/>
      </w:r>
      <w:r>
        <w:rPr>
          <w:rFonts w:ascii="Calibri" w:hAnsi="Calibri" w:cs="Calibri"/>
        </w:rPr>
        <w:t xml:space="preserve"> </w:t>
      </w:r>
      <w:r w:rsidRPr="0043118F">
        <w:rPr>
          <w:rFonts w:ascii="Calibri" w:hAnsi="Calibri" w:cs="Calibri"/>
        </w:rPr>
        <w:t xml:space="preserve">His argument focuses – though not exclusively – on the phrase </w:t>
      </w:r>
      <w:r w:rsidRPr="0043118F">
        <w:rPr>
          <w:rFonts w:ascii="Calibri" w:hAnsi="Calibri" w:cs="Calibri"/>
          <w:i/>
          <w:iCs/>
        </w:rPr>
        <w:t>Llawr en asse6,</w:t>
      </w:r>
      <w:r w:rsidRPr="0043118F">
        <w:rPr>
          <w:rStyle w:val="FootnoteReference"/>
          <w:rFonts w:ascii="Calibri" w:hAnsi="Calibri" w:cs="Calibri"/>
          <w:i/>
          <w:iCs/>
        </w:rPr>
        <w:footnoteReference w:id="14"/>
      </w:r>
      <w:r w:rsidRPr="0043118F">
        <w:rPr>
          <w:rFonts w:ascii="Calibri" w:hAnsi="Calibri" w:cs="Calibri"/>
          <w:i/>
          <w:iCs/>
        </w:rPr>
        <w:t xml:space="preserve"> </w:t>
      </w:r>
      <w:r w:rsidRPr="0043118F">
        <w:rPr>
          <w:rFonts w:ascii="Calibri" w:hAnsi="Calibri" w:cs="Calibri"/>
        </w:rPr>
        <w:t xml:space="preserve">which he translates as ‘the </w:t>
      </w:r>
      <w:r>
        <w:rPr>
          <w:rFonts w:ascii="Calibri" w:hAnsi="Calibri" w:cs="Calibri"/>
        </w:rPr>
        <w:t>[laurel-wearing]</w:t>
      </w:r>
      <w:r w:rsidRPr="0043118F">
        <w:rPr>
          <w:rFonts w:ascii="Calibri" w:hAnsi="Calibri" w:cs="Calibri"/>
        </w:rPr>
        <w:t xml:space="preserve"> hero in a war-chariot’ suggesting pre-roman or Roman forms of martial culture.</w:t>
      </w:r>
      <w:r w:rsidRPr="0043118F">
        <w:rPr>
          <w:rStyle w:val="FootnoteReference"/>
          <w:rFonts w:ascii="Calibri" w:hAnsi="Calibri" w:cs="Calibri"/>
        </w:rPr>
        <w:footnoteReference w:id="15"/>
      </w:r>
      <w:r w:rsidRPr="0043118F">
        <w:rPr>
          <w:rFonts w:ascii="Calibri" w:hAnsi="Calibri" w:cs="Calibri"/>
        </w:rPr>
        <w:t xml:space="preserve"> If this is accepted, then it is surely possible</w:t>
      </w:r>
      <w:r>
        <w:rPr>
          <w:rFonts w:ascii="Calibri" w:hAnsi="Calibri" w:cs="Calibri"/>
        </w:rPr>
        <w:t xml:space="preserve"> that</w:t>
      </w:r>
      <w:r w:rsidRPr="0043118F">
        <w:rPr>
          <w:rFonts w:ascii="Calibri" w:hAnsi="Calibri" w:cs="Calibri"/>
        </w:rPr>
        <w:t xml:space="preserve"> </w:t>
      </w:r>
      <w:r>
        <w:rPr>
          <w:rFonts w:ascii="Calibri" w:hAnsi="Calibri" w:cs="Calibri"/>
        </w:rPr>
        <w:t>iron-age</w:t>
      </w:r>
      <w:r w:rsidRPr="0043118F">
        <w:rPr>
          <w:rFonts w:ascii="Calibri" w:hAnsi="Calibri" w:cs="Calibri"/>
        </w:rPr>
        <w:t xml:space="preserve"> torcs </w:t>
      </w:r>
      <w:r>
        <w:rPr>
          <w:rFonts w:ascii="Calibri" w:hAnsi="Calibri" w:cs="Calibri"/>
        </w:rPr>
        <w:t>also</w:t>
      </w:r>
      <w:r w:rsidRPr="0043118F">
        <w:rPr>
          <w:rFonts w:ascii="Calibri" w:hAnsi="Calibri" w:cs="Calibri"/>
        </w:rPr>
        <w:t xml:space="preserve"> pass</w:t>
      </w:r>
      <w:r>
        <w:rPr>
          <w:rFonts w:ascii="Calibri" w:hAnsi="Calibri" w:cs="Calibri"/>
        </w:rPr>
        <w:t>ed</w:t>
      </w:r>
      <w:r w:rsidRPr="0043118F">
        <w:rPr>
          <w:rFonts w:ascii="Calibri" w:hAnsi="Calibri" w:cs="Calibri"/>
        </w:rPr>
        <w:t xml:space="preserve"> into oral literature and survive</w:t>
      </w:r>
      <w:r>
        <w:rPr>
          <w:rFonts w:ascii="Calibri" w:hAnsi="Calibri" w:cs="Calibri"/>
        </w:rPr>
        <w:t>d</w:t>
      </w:r>
      <w:r w:rsidRPr="0043118F">
        <w:rPr>
          <w:rFonts w:ascii="Calibri" w:hAnsi="Calibri" w:cs="Calibri"/>
        </w:rPr>
        <w:t xml:space="preserve"> with their definitions intact.</w:t>
      </w:r>
      <w:r>
        <w:rPr>
          <w:rFonts w:ascii="Calibri" w:hAnsi="Calibri" w:cs="Calibri"/>
        </w:rPr>
        <w:t xml:space="preserve"> However, while this could mean torcs were being worn when they were set into poetry, it would still not evidence their use in the early middle-ages, because these fragments are actually from the iron-age.</w:t>
      </w:r>
    </w:p>
    <w:p w14:paraId="44DC032C" w14:textId="77777777" w:rsidR="005F1A99" w:rsidRPr="0043118F" w:rsidRDefault="005F1A99" w:rsidP="005F1A99">
      <w:pPr>
        <w:jc w:val="both"/>
        <w:rPr>
          <w:rFonts w:ascii="Calibri" w:hAnsi="Calibri" w:cs="Calibri"/>
          <w:u w:val="single"/>
        </w:rPr>
      </w:pPr>
      <w:r>
        <w:rPr>
          <w:rFonts w:ascii="Calibri" w:hAnsi="Calibri" w:cs="Calibri"/>
          <w:u w:val="single"/>
        </w:rPr>
        <w:t>Eurdorch – is the torc of the Gododdin the Torc of the Iron-age?</w:t>
      </w:r>
    </w:p>
    <w:p w14:paraId="47728693" w14:textId="200B6757" w:rsidR="005F1A99" w:rsidRDefault="005F1A99" w:rsidP="005F1A99">
      <w:pPr>
        <w:jc w:val="both"/>
        <w:rPr>
          <w:rFonts w:ascii="Calibri" w:hAnsi="Calibri" w:cs="Calibri"/>
        </w:rPr>
      </w:pPr>
      <w:r w:rsidRPr="0043118F">
        <w:rPr>
          <w:rFonts w:ascii="Calibri" w:hAnsi="Calibri" w:cs="Calibri"/>
        </w:rPr>
        <w:t>For Craig Cessford, the matter is straightforward: ‘[Torcs] were probably in use when the Gododdin was composed’.</w:t>
      </w:r>
      <w:r w:rsidRPr="0043118F">
        <w:rPr>
          <w:rStyle w:val="FootnoteReference"/>
          <w:rFonts w:ascii="Calibri" w:hAnsi="Calibri" w:cs="Calibri"/>
        </w:rPr>
        <w:footnoteReference w:id="16"/>
      </w:r>
      <w:r w:rsidR="00C4078E">
        <w:rPr>
          <w:rFonts w:ascii="Calibri" w:hAnsi="Calibri" w:cs="Calibri"/>
        </w:rPr>
        <w:t xml:space="preserve"> Assuming </w:t>
      </w:r>
      <w:r>
        <w:rPr>
          <w:rFonts w:ascii="Calibri" w:hAnsi="Calibri" w:cs="Calibri"/>
        </w:rPr>
        <w:t>a 6</w:t>
      </w:r>
      <w:r w:rsidRPr="00376703">
        <w:rPr>
          <w:rFonts w:ascii="Calibri" w:hAnsi="Calibri" w:cs="Calibri"/>
          <w:vertAlign w:val="superscript"/>
        </w:rPr>
        <w:t>th</w:t>
      </w:r>
      <w:r>
        <w:rPr>
          <w:rFonts w:ascii="Calibri" w:hAnsi="Calibri" w:cs="Calibri"/>
        </w:rPr>
        <w:t xml:space="preserve"> century dating for the poem, </w:t>
      </w:r>
      <w:r w:rsidR="00C4078E">
        <w:rPr>
          <w:rFonts w:ascii="Calibri" w:hAnsi="Calibri" w:cs="Calibri"/>
        </w:rPr>
        <w:t>h</w:t>
      </w:r>
      <w:r w:rsidR="00C4078E">
        <w:rPr>
          <w:rFonts w:ascii="Calibri" w:hAnsi="Calibri" w:cs="Calibri"/>
        </w:rPr>
        <w:t xml:space="preserve">e bases this </w:t>
      </w:r>
      <w:r w:rsidRPr="0043118F">
        <w:rPr>
          <w:rFonts w:ascii="Calibri" w:hAnsi="Calibri" w:cs="Calibri"/>
        </w:rPr>
        <w:t xml:space="preserve">on archaeological arguments </w:t>
      </w:r>
      <w:r>
        <w:rPr>
          <w:rFonts w:ascii="Calibri" w:hAnsi="Calibri" w:cs="Calibri"/>
        </w:rPr>
        <w:t xml:space="preserve">which will be </w:t>
      </w:r>
      <w:r w:rsidRPr="0043118F">
        <w:rPr>
          <w:rFonts w:ascii="Calibri" w:hAnsi="Calibri" w:cs="Calibri"/>
        </w:rPr>
        <w:t>discussed in the next chapter.</w:t>
      </w:r>
      <w:r>
        <w:rPr>
          <w:rFonts w:ascii="Calibri" w:hAnsi="Calibri" w:cs="Calibri"/>
        </w:rPr>
        <w:t xml:space="preserve"> It is not automatically the case, however, that the material culture of the early medieval period is the inspiration for the objects referred to in the poem, not least because of the possibility that such objects ‘</w:t>
      </w:r>
      <w:r w:rsidRPr="0043118F">
        <w:rPr>
          <w:rFonts w:ascii="Calibri" w:hAnsi="Calibri" w:cs="Calibri"/>
        </w:rPr>
        <w:t>recollect the aristocratic fashion of the La Tene period rather than that of Early Christian times…</w:t>
      </w:r>
      <w:r>
        <w:rPr>
          <w:rFonts w:ascii="Calibri" w:hAnsi="Calibri" w:cs="Calibri"/>
        </w:rPr>
        <w:t>,</w:t>
      </w:r>
      <w:r w:rsidRPr="0043118F">
        <w:rPr>
          <w:rFonts w:ascii="Calibri" w:hAnsi="Calibri" w:cs="Calibri"/>
        </w:rPr>
        <w:t>’</w:t>
      </w:r>
      <w:r>
        <w:rPr>
          <w:rFonts w:ascii="Calibri" w:hAnsi="Calibri" w:cs="Calibri"/>
        </w:rPr>
        <w:t xml:space="preserve"> as Koch suggests.</w:t>
      </w:r>
      <w:r>
        <w:rPr>
          <w:rStyle w:val="FootnoteReference"/>
          <w:rFonts w:ascii="Calibri" w:hAnsi="Calibri" w:cs="Calibri"/>
        </w:rPr>
        <w:footnoteReference w:id="17"/>
      </w:r>
      <w:r>
        <w:rPr>
          <w:rFonts w:ascii="Calibri" w:hAnsi="Calibri" w:cs="Calibri"/>
        </w:rPr>
        <w:t xml:space="preserve"> It is also</w:t>
      </w:r>
      <w:r w:rsidR="00100B49">
        <w:rPr>
          <w:rFonts w:ascii="Calibri" w:hAnsi="Calibri" w:cs="Calibri"/>
        </w:rPr>
        <w:t>, as has been noted,</w:t>
      </w:r>
      <w:r>
        <w:rPr>
          <w:rFonts w:ascii="Calibri" w:hAnsi="Calibri" w:cs="Calibri"/>
        </w:rPr>
        <w:t xml:space="preserve"> not necessarily the case that </w:t>
      </w:r>
      <w:r w:rsidRPr="0076064D">
        <w:rPr>
          <w:rFonts w:ascii="Calibri" w:hAnsi="Calibri" w:cs="Calibri"/>
          <w:i/>
          <w:iCs/>
        </w:rPr>
        <w:t>torch/eurdorch</w:t>
      </w:r>
      <w:r>
        <w:rPr>
          <w:rFonts w:ascii="Calibri" w:hAnsi="Calibri" w:cs="Calibri"/>
        </w:rPr>
        <w:t xml:space="preserve"> in Welsh exclusively refers to torc-like objects, whether they were in use or not.</w:t>
      </w:r>
    </w:p>
    <w:p w14:paraId="0FA19C35" w14:textId="6E552D7A" w:rsidR="005F1A99" w:rsidRDefault="005F1A99" w:rsidP="005F1A99">
      <w:pPr>
        <w:jc w:val="both"/>
        <w:rPr>
          <w:rFonts w:ascii="Calibri" w:hAnsi="Calibri" w:cs="Calibri"/>
        </w:rPr>
      </w:pPr>
      <w:r w:rsidRPr="0043118F">
        <w:rPr>
          <w:rFonts w:ascii="Calibri" w:hAnsi="Calibri" w:cs="Calibri"/>
        </w:rPr>
        <w:t>J</w:t>
      </w:r>
      <w:r>
        <w:rPr>
          <w:rFonts w:ascii="Calibri" w:hAnsi="Calibri" w:cs="Calibri"/>
        </w:rPr>
        <w:t>ennifer</w:t>
      </w:r>
      <w:r w:rsidRPr="0043118F">
        <w:rPr>
          <w:rFonts w:ascii="Calibri" w:hAnsi="Calibri" w:cs="Calibri"/>
        </w:rPr>
        <w:t xml:space="preserve"> Day</w:t>
      </w:r>
      <w:r>
        <w:rPr>
          <w:rFonts w:ascii="Calibri" w:hAnsi="Calibri" w:cs="Calibri"/>
        </w:rPr>
        <w:t xml:space="preserve"> analyses</w:t>
      </w:r>
      <w:r w:rsidRPr="0043118F">
        <w:rPr>
          <w:rFonts w:ascii="Calibri" w:hAnsi="Calibri" w:cs="Calibri"/>
        </w:rPr>
        <w:t xml:space="preserve"> terms for weaponry</w:t>
      </w:r>
      <w:r>
        <w:rPr>
          <w:rFonts w:ascii="Calibri" w:hAnsi="Calibri" w:cs="Calibri"/>
        </w:rPr>
        <w:t xml:space="preserve"> in the poem</w:t>
      </w:r>
      <w:r w:rsidRPr="0043118F">
        <w:rPr>
          <w:rFonts w:ascii="Calibri" w:hAnsi="Calibri" w:cs="Calibri"/>
        </w:rPr>
        <w:t>,</w:t>
      </w:r>
      <w:r>
        <w:rPr>
          <w:rFonts w:ascii="Calibri" w:hAnsi="Calibri" w:cs="Calibri"/>
        </w:rPr>
        <w:t xml:space="preserve"> and her observations </w:t>
      </w:r>
      <w:r w:rsidR="009349E0">
        <w:rPr>
          <w:rFonts w:ascii="Calibri" w:hAnsi="Calibri" w:cs="Calibri"/>
        </w:rPr>
        <w:t xml:space="preserve">also </w:t>
      </w:r>
      <w:r w:rsidRPr="0043118F">
        <w:rPr>
          <w:rFonts w:ascii="Calibri" w:hAnsi="Calibri" w:cs="Calibri"/>
        </w:rPr>
        <w:t xml:space="preserve">bear some application towards items of jewellery, at least </w:t>
      </w:r>
      <w:r w:rsidR="00F23170">
        <w:rPr>
          <w:rFonts w:ascii="Calibri" w:hAnsi="Calibri" w:cs="Calibri"/>
        </w:rPr>
        <w:t>generally</w:t>
      </w:r>
      <w:r w:rsidRPr="0043118F">
        <w:rPr>
          <w:rFonts w:ascii="Calibri" w:hAnsi="Calibri" w:cs="Calibri"/>
        </w:rPr>
        <w:t xml:space="preserve">. Some words, she </w:t>
      </w:r>
      <w:r>
        <w:rPr>
          <w:rFonts w:ascii="Calibri" w:hAnsi="Calibri" w:cs="Calibri"/>
        </w:rPr>
        <w:t>notes</w:t>
      </w:r>
      <w:r w:rsidRPr="0043118F">
        <w:rPr>
          <w:rFonts w:ascii="Calibri" w:hAnsi="Calibri" w:cs="Calibri"/>
        </w:rPr>
        <w:t>, are ‘…not well-established weapon terms but, rather, poetic metaphors…’</w:t>
      </w:r>
      <w:r w:rsidRPr="0043118F">
        <w:rPr>
          <w:rFonts w:ascii="Calibri" w:hAnsi="Calibri" w:cs="Calibri"/>
          <w:vertAlign w:val="superscript"/>
        </w:rPr>
        <w:footnoteReference w:id="18"/>
      </w:r>
      <w:r w:rsidRPr="0043118F">
        <w:rPr>
          <w:rFonts w:ascii="Calibri" w:hAnsi="Calibri" w:cs="Calibri"/>
        </w:rPr>
        <w:t xml:space="preserve"> and the same argument can be made of </w:t>
      </w:r>
      <w:r w:rsidR="00A12A56">
        <w:rPr>
          <w:rFonts w:ascii="Calibri" w:hAnsi="Calibri" w:cs="Calibri"/>
        </w:rPr>
        <w:t>terms</w:t>
      </w:r>
      <w:r w:rsidRPr="0043118F">
        <w:rPr>
          <w:rFonts w:ascii="Calibri" w:hAnsi="Calibri" w:cs="Calibri"/>
        </w:rPr>
        <w:t xml:space="preserve"> like torcs. </w:t>
      </w:r>
      <w:r>
        <w:rPr>
          <w:rFonts w:ascii="Calibri" w:hAnsi="Calibri" w:cs="Calibri"/>
        </w:rPr>
        <w:t xml:space="preserve">Indeed, </w:t>
      </w:r>
      <w:r w:rsidR="00A028CC">
        <w:rPr>
          <w:rFonts w:ascii="Calibri" w:hAnsi="Calibri" w:cs="Calibri"/>
        </w:rPr>
        <w:t xml:space="preserve">Jennifer </w:t>
      </w:r>
      <w:r>
        <w:rPr>
          <w:rFonts w:ascii="Calibri" w:hAnsi="Calibri" w:cs="Calibri"/>
        </w:rPr>
        <w:t xml:space="preserve">Rowland is quite clear that no evidence supports the idea that </w:t>
      </w:r>
      <w:r w:rsidRPr="00D57F40">
        <w:rPr>
          <w:rFonts w:ascii="Calibri" w:hAnsi="Calibri" w:cs="Calibri"/>
          <w:i/>
          <w:iCs/>
        </w:rPr>
        <w:t>torch</w:t>
      </w:r>
      <w:r>
        <w:rPr>
          <w:rFonts w:ascii="Calibri" w:hAnsi="Calibri" w:cs="Calibri"/>
        </w:rPr>
        <w:t xml:space="preserve"> refers to the Celtic torc, noting it could quite easily refer instead to adornments more contemporary to the text’s composition.</w:t>
      </w:r>
      <w:r w:rsidRPr="00964A23">
        <w:rPr>
          <w:rFonts w:ascii="Calibri" w:hAnsi="Calibri" w:cs="Calibri"/>
        </w:rPr>
        <w:t>’</w:t>
      </w:r>
      <w:r w:rsidRPr="00964A23">
        <w:rPr>
          <w:rFonts w:ascii="Calibri" w:hAnsi="Calibri" w:cs="Calibri"/>
          <w:vertAlign w:val="superscript"/>
        </w:rPr>
        <w:footnoteReference w:id="19"/>
      </w:r>
      <w:r w:rsidRPr="00964A23">
        <w:rPr>
          <w:rFonts w:ascii="Calibri" w:hAnsi="Calibri" w:cs="Calibri"/>
        </w:rPr>
        <w:t xml:space="preserve"> </w:t>
      </w:r>
    </w:p>
    <w:p w14:paraId="45F258D2" w14:textId="6BD31E38" w:rsidR="005F1A99" w:rsidRPr="00D57F40" w:rsidRDefault="005F1A99" w:rsidP="005F1A99">
      <w:pPr>
        <w:jc w:val="both"/>
        <w:rPr>
          <w:rFonts w:ascii="Calibri" w:hAnsi="Calibri" w:cs="Calibri"/>
        </w:rPr>
      </w:pPr>
      <w:r>
        <w:rPr>
          <w:rFonts w:ascii="Calibri" w:hAnsi="Calibri" w:cs="Calibri"/>
        </w:rPr>
        <w:t xml:space="preserve">Geiriadur Prifysgol Cymru (GPC) defines </w:t>
      </w:r>
      <w:r>
        <w:rPr>
          <w:rFonts w:ascii="Calibri" w:hAnsi="Calibri" w:cs="Calibri"/>
          <w:i/>
          <w:iCs/>
        </w:rPr>
        <w:t>torch</w:t>
      </w:r>
      <w:r>
        <w:rPr>
          <w:rFonts w:ascii="Calibri" w:hAnsi="Calibri" w:cs="Calibri"/>
        </w:rPr>
        <w:t xml:space="preserve"> quite widely.</w:t>
      </w:r>
      <w:r w:rsidRPr="00D57F40">
        <w:rPr>
          <w:rStyle w:val="FootnoteReference"/>
          <w:rFonts w:ascii="Calibri" w:hAnsi="Calibri" w:cs="Calibri"/>
        </w:rPr>
        <w:footnoteReference w:id="20"/>
      </w:r>
      <w:r>
        <w:rPr>
          <w:rFonts w:ascii="Calibri" w:hAnsi="Calibri" w:cs="Calibri"/>
        </w:rPr>
        <w:t xml:space="preserve"> However, it is originally a Latin loanword from </w:t>
      </w:r>
      <w:r>
        <w:rPr>
          <w:rFonts w:ascii="Calibri" w:hAnsi="Calibri" w:cs="Calibri"/>
          <w:i/>
          <w:iCs/>
        </w:rPr>
        <w:t xml:space="preserve">torquis, </w:t>
      </w:r>
      <w:r>
        <w:rPr>
          <w:rFonts w:ascii="Calibri" w:hAnsi="Calibri" w:cs="Calibri"/>
        </w:rPr>
        <w:t xml:space="preserve">which </w:t>
      </w:r>
      <w:r w:rsidR="00CA40E4">
        <w:rPr>
          <w:rFonts w:ascii="Calibri" w:hAnsi="Calibri" w:cs="Calibri"/>
        </w:rPr>
        <w:t>in classical Latin specifically referred to torcs</w:t>
      </w:r>
      <w:r>
        <w:rPr>
          <w:rFonts w:ascii="Calibri" w:hAnsi="Calibri" w:cs="Calibri"/>
        </w:rPr>
        <w:t>.</w:t>
      </w:r>
      <w:r w:rsidR="00CA40E4">
        <w:rPr>
          <w:rFonts w:ascii="Calibri" w:hAnsi="Calibri" w:cs="Calibri"/>
        </w:rPr>
        <w:t xml:space="preserve"> </w:t>
      </w:r>
      <w:r>
        <w:rPr>
          <w:rStyle w:val="FootnoteReference"/>
          <w:rFonts w:ascii="Calibri" w:hAnsi="Calibri" w:cs="Calibri"/>
        </w:rPr>
        <w:footnoteReference w:id="21"/>
      </w:r>
      <w:r>
        <w:rPr>
          <w:rFonts w:ascii="Calibri" w:hAnsi="Calibri" w:cs="Calibri"/>
          <w:i/>
          <w:iCs/>
        </w:rPr>
        <w:t xml:space="preserve"> </w:t>
      </w:r>
      <w:r>
        <w:rPr>
          <w:rFonts w:ascii="Calibri" w:hAnsi="Calibri" w:cs="Calibri"/>
        </w:rPr>
        <w:t xml:space="preserve">Since the Romans adopted the </w:t>
      </w:r>
      <w:r w:rsidR="00CA40E4">
        <w:rPr>
          <w:rFonts w:ascii="Calibri" w:hAnsi="Calibri" w:cs="Calibri"/>
        </w:rPr>
        <w:t>torc</w:t>
      </w:r>
      <w:r>
        <w:rPr>
          <w:rFonts w:ascii="Calibri" w:hAnsi="Calibri" w:cs="Calibri"/>
        </w:rPr>
        <w:t xml:space="preserve"> as a military badge, and potentially re-introduced it in Britain after the decline in native use (arguably the most likely reason for it being a loanword, unlike brooches or swords, which retained native words), it is reasonable to suggest that the word entered Brittonic/Old Welsh to describe a specific type of object. </w:t>
      </w:r>
    </w:p>
    <w:p w14:paraId="7D4659A3" w14:textId="77777777" w:rsidR="005F1A99" w:rsidRDefault="005F1A99" w:rsidP="005F1A99">
      <w:pPr>
        <w:jc w:val="both"/>
        <w:rPr>
          <w:rFonts w:ascii="Calibri" w:hAnsi="Calibri" w:cs="Calibri"/>
          <w:lang w:val="en"/>
        </w:rPr>
      </w:pPr>
      <w:r w:rsidRPr="0043118F">
        <w:rPr>
          <w:rFonts w:ascii="Calibri" w:hAnsi="Calibri" w:cs="Calibri"/>
        </w:rPr>
        <w:t xml:space="preserve">In any case, </w:t>
      </w:r>
      <w:r>
        <w:rPr>
          <w:rFonts w:ascii="Calibri" w:hAnsi="Calibri" w:cs="Calibri"/>
        </w:rPr>
        <w:t>Alaw</w:t>
      </w:r>
      <w:r w:rsidRPr="0043118F">
        <w:rPr>
          <w:rFonts w:ascii="Calibri" w:hAnsi="Calibri" w:cs="Calibri"/>
        </w:rPr>
        <w:t xml:space="preserve"> Mai Jones argues</w:t>
      </w:r>
      <w:r>
        <w:rPr>
          <w:rFonts w:ascii="Calibri" w:hAnsi="Calibri" w:cs="Calibri"/>
        </w:rPr>
        <w:t xml:space="preserve"> that the compound-noun </w:t>
      </w:r>
      <w:r w:rsidRPr="008E0130">
        <w:rPr>
          <w:rFonts w:ascii="Calibri" w:hAnsi="Calibri" w:cs="Calibri"/>
          <w:i/>
          <w:iCs/>
        </w:rPr>
        <w:t>eurdorchog</w:t>
      </w:r>
      <w:r>
        <w:rPr>
          <w:rFonts w:ascii="Calibri" w:hAnsi="Calibri" w:cs="Calibri"/>
        </w:rPr>
        <w:t xml:space="preserve"> must have held significance, whether literal or figurative.</w:t>
      </w:r>
      <w:r w:rsidRPr="0043118F">
        <w:rPr>
          <w:rStyle w:val="FootnoteReference"/>
          <w:rFonts w:ascii="Calibri" w:hAnsi="Calibri" w:cs="Calibri"/>
          <w:lang w:val="en"/>
        </w:rPr>
        <w:footnoteReference w:id="22"/>
      </w:r>
      <w:r w:rsidRPr="0043118F">
        <w:rPr>
          <w:rFonts w:ascii="Calibri" w:hAnsi="Calibri" w:cs="Calibri"/>
          <w:lang w:val="en"/>
        </w:rPr>
        <w:t xml:space="preserve"> It is not simply a generic term</w:t>
      </w:r>
      <w:r>
        <w:rPr>
          <w:rFonts w:ascii="Calibri" w:hAnsi="Calibri" w:cs="Calibri"/>
          <w:lang w:val="en"/>
        </w:rPr>
        <w:t>, then;</w:t>
      </w:r>
      <w:r w:rsidRPr="0043118F">
        <w:rPr>
          <w:rFonts w:ascii="Calibri" w:hAnsi="Calibri" w:cs="Calibri"/>
          <w:lang w:val="en"/>
        </w:rPr>
        <w:t xml:space="preserve"> it </w:t>
      </w:r>
      <w:r>
        <w:rPr>
          <w:rFonts w:ascii="Calibri" w:hAnsi="Calibri" w:cs="Calibri"/>
          <w:lang w:val="en"/>
        </w:rPr>
        <w:t>has a</w:t>
      </w:r>
      <w:r w:rsidRPr="0043118F">
        <w:rPr>
          <w:rFonts w:ascii="Calibri" w:hAnsi="Calibri" w:cs="Calibri"/>
          <w:lang w:val="en"/>
        </w:rPr>
        <w:t xml:space="preserve"> specific meaning</w:t>
      </w:r>
      <w:r>
        <w:rPr>
          <w:rFonts w:ascii="Calibri" w:hAnsi="Calibri" w:cs="Calibri"/>
          <w:lang w:val="en"/>
        </w:rPr>
        <w:t>, one which arguably invokes the quintessential Celtic torc.</w:t>
      </w:r>
    </w:p>
    <w:p w14:paraId="0EE9AAE5" w14:textId="77777777" w:rsidR="005F1A99" w:rsidRDefault="005F1A99" w:rsidP="005F1A99">
      <w:pPr>
        <w:jc w:val="both"/>
        <w:rPr>
          <w:rFonts w:ascii="Calibri" w:hAnsi="Calibri" w:cs="Calibri"/>
          <w:u w:val="single"/>
        </w:rPr>
      </w:pPr>
    </w:p>
    <w:p w14:paraId="354DBD3A" w14:textId="1E83ABC0" w:rsidR="005F1A99" w:rsidRPr="00C1129E" w:rsidRDefault="005F1A99" w:rsidP="005F1A99">
      <w:pPr>
        <w:jc w:val="both"/>
        <w:rPr>
          <w:rFonts w:ascii="Calibri" w:hAnsi="Calibri" w:cs="Calibri"/>
          <w:u w:val="single"/>
        </w:rPr>
      </w:pPr>
      <w:r w:rsidRPr="00C1129E">
        <w:rPr>
          <w:rFonts w:ascii="Calibri" w:hAnsi="Calibri" w:cs="Calibri"/>
          <w:u w:val="single"/>
        </w:rPr>
        <w:lastRenderedPageBreak/>
        <w:t>Other terms for torc</w:t>
      </w:r>
    </w:p>
    <w:p w14:paraId="02613018" w14:textId="2D8B2C74" w:rsidR="005F1A99" w:rsidRPr="005E735D" w:rsidRDefault="005F1A99" w:rsidP="005F1A99">
      <w:pPr>
        <w:jc w:val="both"/>
        <w:rPr>
          <w:rFonts w:ascii="Calibri" w:hAnsi="Calibri" w:cs="Calibri"/>
        </w:rPr>
      </w:pPr>
      <w:r w:rsidRPr="0043118F">
        <w:rPr>
          <w:rFonts w:ascii="Calibri" w:hAnsi="Calibri" w:cs="Calibri"/>
        </w:rPr>
        <w:t>Raimund Karl</w:t>
      </w:r>
      <w:r>
        <w:rPr>
          <w:rFonts w:ascii="Calibri" w:hAnsi="Calibri" w:cs="Calibri"/>
        </w:rPr>
        <w:t xml:space="preserve"> entertains </w:t>
      </w:r>
      <w:r w:rsidRPr="0043118F">
        <w:rPr>
          <w:rFonts w:ascii="Calibri" w:hAnsi="Calibri" w:cs="Calibri"/>
        </w:rPr>
        <w:t xml:space="preserve">that </w:t>
      </w:r>
      <w:r w:rsidRPr="0043118F">
        <w:rPr>
          <w:rFonts w:ascii="Calibri" w:hAnsi="Calibri" w:cs="Calibri"/>
          <w:i/>
          <w:iCs/>
        </w:rPr>
        <w:t xml:space="preserve">Cae, </w:t>
      </w:r>
      <w:r>
        <w:rPr>
          <w:rFonts w:ascii="Calibri" w:hAnsi="Calibri" w:cs="Calibri"/>
        </w:rPr>
        <w:t>seen in the epithet</w:t>
      </w:r>
      <w:r w:rsidRPr="0043118F">
        <w:rPr>
          <w:rFonts w:ascii="Calibri" w:hAnsi="Calibri" w:cs="Calibri"/>
        </w:rPr>
        <w:t xml:space="preserve"> </w:t>
      </w:r>
      <w:r w:rsidRPr="0043118F">
        <w:rPr>
          <w:rFonts w:ascii="Calibri" w:hAnsi="Calibri" w:cs="Calibri"/>
          <w:i/>
          <w:iCs/>
        </w:rPr>
        <w:t xml:space="preserve">Caeog </w:t>
      </w:r>
      <w:r w:rsidRPr="0043118F">
        <w:rPr>
          <w:rFonts w:ascii="Calibri" w:hAnsi="Calibri" w:cs="Calibri"/>
        </w:rPr>
        <w:t>(</w:t>
      </w:r>
      <w:r>
        <w:rPr>
          <w:rFonts w:ascii="Calibri" w:hAnsi="Calibri" w:cs="Calibri"/>
        </w:rPr>
        <w:t>‘</w:t>
      </w:r>
      <w:r w:rsidRPr="0043118F">
        <w:rPr>
          <w:rFonts w:ascii="Calibri" w:hAnsi="Calibri" w:cs="Calibri"/>
        </w:rPr>
        <w:t>wearing a brooch</w:t>
      </w:r>
      <w:r>
        <w:rPr>
          <w:rFonts w:ascii="Calibri" w:hAnsi="Calibri" w:cs="Calibri"/>
        </w:rPr>
        <w:t>’</w:t>
      </w:r>
      <w:r w:rsidRPr="0043118F">
        <w:rPr>
          <w:rFonts w:ascii="Calibri" w:hAnsi="Calibri" w:cs="Calibri"/>
        </w:rPr>
        <w:t>),</w:t>
      </w:r>
      <w:r>
        <w:rPr>
          <w:rStyle w:val="FootnoteReference"/>
          <w:rFonts w:ascii="Calibri" w:hAnsi="Calibri" w:cs="Calibri"/>
        </w:rPr>
        <w:footnoteReference w:id="23"/>
      </w:r>
      <w:r w:rsidRPr="0043118F">
        <w:rPr>
          <w:rFonts w:ascii="Calibri" w:hAnsi="Calibri" w:cs="Calibri"/>
        </w:rPr>
        <w:t xml:space="preserve"> could be a native word for torc.</w:t>
      </w:r>
      <w:r>
        <w:rPr>
          <w:rStyle w:val="FootnoteReference"/>
          <w:rFonts w:ascii="Calibri" w:hAnsi="Calibri" w:cs="Calibri"/>
        </w:rPr>
        <w:footnoteReference w:id="24"/>
      </w:r>
      <w:r w:rsidRPr="0043118F">
        <w:rPr>
          <w:rFonts w:ascii="Calibri" w:hAnsi="Calibri" w:cs="Calibri"/>
        </w:rPr>
        <w:t xml:space="preserve"> </w:t>
      </w:r>
      <w:r>
        <w:rPr>
          <w:rFonts w:ascii="Calibri" w:hAnsi="Calibri" w:cs="Calibri"/>
        </w:rPr>
        <w:t xml:space="preserve">Similarly, </w:t>
      </w:r>
      <w:r w:rsidRPr="0043118F">
        <w:rPr>
          <w:rFonts w:ascii="Calibri" w:hAnsi="Calibri" w:cs="Calibri"/>
        </w:rPr>
        <w:t xml:space="preserve">Day </w:t>
      </w:r>
      <w:r w:rsidR="00864C70">
        <w:rPr>
          <w:rFonts w:ascii="Calibri" w:hAnsi="Calibri" w:cs="Calibri"/>
        </w:rPr>
        <w:t>notes</w:t>
      </w:r>
      <w:r w:rsidR="00BA279A">
        <w:rPr>
          <w:rFonts w:ascii="Calibri" w:hAnsi="Calibri" w:cs="Calibri"/>
        </w:rPr>
        <w:t xml:space="preserve"> </w:t>
      </w:r>
      <w:r w:rsidRPr="0043118F">
        <w:rPr>
          <w:rFonts w:ascii="Calibri" w:hAnsi="Calibri" w:cs="Calibri"/>
        </w:rPr>
        <w:t xml:space="preserve">that that both </w:t>
      </w:r>
      <w:r w:rsidRPr="0043118F">
        <w:rPr>
          <w:rFonts w:ascii="Calibri" w:hAnsi="Calibri" w:cs="Calibri"/>
          <w:i/>
          <w:iCs/>
        </w:rPr>
        <w:t>cae</w:t>
      </w:r>
      <w:r w:rsidRPr="0043118F">
        <w:rPr>
          <w:rFonts w:ascii="Calibri" w:hAnsi="Calibri" w:cs="Calibri"/>
        </w:rPr>
        <w:t xml:space="preserve"> and </w:t>
      </w:r>
      <w:r w:rsidRPr="0043118F">
        <w:rPr>
          <w:rFonts w:ascii="Calibri" w:hAnsi="Calibri" w:cs="Calibri"/>
          <w:i/>
          <w:iCs/>
        </w:rPr>
        <w:t>torch</w:t>
      </w:r>
      <w:r w:rsidRPr="0043118F">
        <w:rPr>
          <w:rFonts w:ascii="Calibri" w:hAnsi="Calibri" w:cs="Calibri"/>
        </w:rPr>
        <w:t xml:space="preserve"> </w:t>
      </w:r>
      <w:r>
        <w:rPr>
          <w:rFonts w:ascii="Calibri" w:hAnsi="Calibri" w:cs="Calibri"/>
        </w:rPr>
        <w:t>could refer to</w:t>
      </w:r>
      <w:r w:rsidRPr="0043118F">
        <w:rPr>
          <w:rFonts w:ascii="Calibri" w:hAnsi="Calibri" w:cs="Calibri"/>
        </w:rPr>
        <w:t xml:space="preserve"> penannular brooches worn by post-roman British nobility</w:t>
      </w:r>
      <w:r w:rsidRPr="0043118F">
        <w:rPr>
          <w:rFonts w:ascii="Calibri" w:hAnsi="Calibri" w:cs="Calibri"/>
          <w:i/>
          <w:iCs/>
        </w:rPr>
        <w:t>.</w:t>
      </w:r>
      <w:r w:rsidRPr="005F47C0">
        <w:rPr>
          <w:rStyle w:val="FootnoteReference"/>
          <w:rFonts w:ascii="Calibri" w:hAnsi="Calibri" w:cs="Calibri"/>
        </w:rPr>
        <w:footnoteReference w:id="25"/>
      </w:r>
      <w:r w:rsidRPr="005F47C0">
        <w:rPr>
          <w:rFonts w:ascii="Calibri" w:hAnsi="Calibri" w:cs="Calibri"/>
        </w:rPr>
        <w:t xml:space="preserve"> </w:t>
      </w:r>
    </w:p>
    <w:p w14:paraId="657EA9E9" w14:textId="77777777" w:rsidR="005F1A99" w:rsidRPr="0019224B" w:rsidRDefault="005F1A99" w:rsidP="005F1A99">
      <w:pPr>
        <w:jc w:val="both"/>
        <w:rPr>
          <w:rFonts w:ascii="Calibri" w:hAnsi="Calibri" w:cs="Calibri"/>
        </w:rPr>
      </w:pPr>
      <w:r>
        <w:rPr>
          <w:rFonts w:ascii="Calibri" w:hAnsi="Calibri" w:cs="Calibri"/>
        </w:rPr>
        <w:t xml:space="preserve">The Book of Taliesin, a collection of potentially early heroic poetry with similar difficulties in dating, uses </w:t>
      </w:r>
      <w:r>
        <w:rPr>
          <w:rFonts w:ascii="Calibri" w:hAnsi="Calibri" w:cs="Calibri"/>
          <w:i/>
          <w:iCs/>
        </w:rPr>
        <w:t xml:space="preserve">mynweir </w:t>
      </w:r>
      <w:r>
        <w:rPr>
          <w:rFonts w:ascii="Calibri" w:hAnsi="Calibri" w:cs="Calibri"/>
        </w:rPr>
        <w:t>for Torc or collar, (</w:t>
      </w:r>
      <w:r w:rsidRPr="00931411">
        <w:rPr>
          <w:rFonts w:ascii="Calibri" w:hAnsi="Calibri" w:cs="Calibri"/>
          <w:i/>
          <w:iCs/>
        </w:rPr>
        <w:t>mŵn</w:t>
      </w:r>
      <w:r>
        <w:rPr>
          <w:rFonts w:ascii="Calibri" w:hAnsi="Calibri" w:cs="Calibri"/>
          <w:i/>
          <w:iCs/>
        </w:rPr>
        <w:t xml:space="preserve"> - </w:t>
      </w:r>
      <w:r>
        <w:rPr>
          <w:rFonts w:ascii="Calibri" w:hAnsi="Calibri" w:cs="Calibri"/>
        </w:rPr>
        <w:t xml:space="preserve">neck and </w:t>
      </w:r>
      <w:r>
        <w:rPr>
          <w:rFonts w:ascii="Calibri" w:hAnsi="Calibri" w:cs="Calibri"/>
          <w:i/>
          <w:iCs/>
        </w:rPr>
        <w:t xml:space="preserve">gwair - </w:t>
      </w:r>
      <w:r>
        <w:rPr>
          <w:rFonts w:ascii="Calibri" w:hAnsi="Calibri" w:cs="Calibri"/>
        </w:rPr>
        <w:t>circle or ring).</w:t>
      </w:r>
      <w:r>
        <w:rPr>
          <w:rStyle w:val="FootnoteReference"/>
          <w:rFonts w:ascii="Calibri" w:hAnsi="Calibri" w:cs="Calibri"/>
        </w:rPr>
        <w:footnoteReference w:id="26"/>
      </w:r>
      <w:r w:rsidRPr="00B83B7A">
        <w:rPr>
          <w:rFonts w:ascii="Calibri" w:hAnsi="Calibri" w:cs="Calibri"/>
        </w:rPr>
        <w:t xml:space="preserve"> </w:t>
      </w:r>
      <w:r>
        <w:rPr>
          <w:rFonts w:ascii="Calibri" w:hAnsi="Calibri" w:cs="Calibri"/>
        </w:rPr>
        <w:t xml:space="preserve">is not used as frequently as </w:t>
      </w:r>
      <w:r w:rsidRPr="002B6211">
        <w:rPr>
          <w:rFonts w:ascii="Calibri" w:hAnsi="Calibri" w:cs="Calibri"/>
          <w:i/>
          <w:iCs/>
        </w:rPr>
        <w:t>torch</w:t>
      </w:r>
      <w:r>
        <w:rPr>
          <w:rFonts w:ascii="Calibri" w:hAnsi="Calibri" w:cs="Calibri"/>
        </w:rPr>
        <w:t xml:space="preserve"> across Welsh literature, and is arguably used in a similar context only in Taliesin.</w:t>
      </w:r>
      <w:r>
        <w:rPr>
          <w:rStyle w:val="FootnoteReference"/>
          <w:rFonts w:ascii="Calibri" w:hAnsi="Calibri" w:cs="Calibri"/>
        </w:rPr>
        <w:footnoteReference w:id="27"/>
      </w:r>
      <w:r>
        <w:rPr>
          <w:rFonts w:ascii="Calibri" w:hAnsi="Calibri" w:cs="Calibri"/>
        </w:rPr>
        <w:t xml:space="preserve"> </w:t>
      </w:r>
    </w:p>
    <w:p w14:paraId="47493B65" w14:textId="77777777" w:rsidR="005F1A99" w:rsidRDefault="005F1A99" w:rsidP="005F1A99">
      <w:pPr>
        <w:spacing w:after="0"/>
        <w:jc w:val="both"/>
        <w:rPr>
          <w:rFonts w:ascii="Calibri" w:hAnsi="Calibri" w:cs="Calibri"/>
          <w:b/>
          <w:bCs/>
        </w:rPr>
      </w:pPr>
      <w:r w:rsidRPr="0043118F">
        <w:rPr>
          <w:rFonts w:ascii="Calibri" w:hAnsi="Calibri" w:cs="Calibri"/>
          <w:b/>
          <w:bCs/>
        </w:rPr>
        <w:t>1.</w:t>
      </w:r>
      <w:r>
        <w:rPr>
          <w:rFonts w:ascii="Calibri" w:hAnsi="Calibri" w:cs="Calibri"/>
          <w:b/>
          <w:bCs/>
        </w:rPr>
        <w:t>3</w:t>
      </w:r>
      <w:r w:rsidRPr="0043118F">
        <w:rPr>
          <w:rFonts w:ascii="Calibri" w:hAnsi="Calibri" w:cs="Calibri"/>
          <w:b/>
          <w:bCs/>
        </w:rPr>
        <w:t xml:space="preserve"> Discussion of the Text</w:t>
      </w:r>
    </w:p>
    <w:p w14:paraId="5F7863D0" w14:textId="77777777" w:rsidR="005F1A99" w:rsidRPr="00DD1D01" w:rsidRDefault="005F1A99" w:rsidP="005F1A99">
      <w:pPr>
        <w:spacing w:after="0"/>
        <w:jc w:val="both"/>
        <w:rPr>
          <w:rFonts w:ascii="Calibri" w:hAnsi="Calibri" w:cs="Calibri"/>
          <w:b/>
          <w:bCs/>
          <w:sz w:val="2"/>
          <w:szCs w:val="2"/>
        </w:rPr>
      </w:pPr>
    </w:p>
    <w:p w14:paraId="2899FF67" w14:textId="2E2F988E" w:rsidR="005F1A99" w:rsidRDefault="005F1A99" w:rsidP="005F1A99">
      <w:pPr>
        <w:spacing w:after="0"/>
        <w:jc w:val="both"/>
        <w:rPr>
          <w:rFonts w:ascii="Calibri" w:hAnsi="Calibri" w:cs="Calibri"/>
          <w:i/>
          <w:iCs/>
        </w:rPr>
      </w:pPr>
      <w:bookmarkStart w:id="8" w:name="_Hlk170131509"/>
      <w:r w:rsidRPr="0043118F">
        <w:rPr>
          <w:rFonts w:ascii="Calibri" w:hAnsi="Calibri" w:cs="Calibri"/>
          <w:u w:val="single"/>
        </w:rPr>
        <w:t>Overview of terms</w:t>
      </w:r>
      <w:bookmarkEnd w:id="8"/>
      <w:r w:rsidRPr="00A8311B">
        <w:rPr>
          <w:rStyle w:val="FootnoteReference"/>
          <w:rFonts w:ascii="Calibri" w:hAnsi="Calibri" w:cs="Calibri"/>
        </w:rPr>
        <w:footnoteReference w:id="28"/>
      </w:r>
      <w:r w:rsidRPr="00A8311B">
        <w:rPr>
          <w:rFonts w:ascii="Calibri" w:hAnsi="Calibri" w:cs="Calibri"/>
          <w:i/>
          <w:iCs/>
        </w:rPr>
        <w:t xml:space="preserve"> </w:t>
      </w:r>
    </w:p>
    <w:p w14:paraId="36E7C7EB" w14:textId="77777777" w:rsidR="005F1A99" w:rsidRPr="00A8311B" w:rsidRDefault="005F1A99" w:rsidP="005F1A99">
      <w:pPr>
        <w:spacing w:after="0"/>
        <w:jc w:val="both"/>
        <w:rPr>
          <w:rFonts w:ascii="Calibri" w:hAnsi="Calibri" w:cs="Calibri"/>
          <w:i/>
          <w:iCs/>
          <w:sz w:val="2"/>
          <w:szCs w:val="2"/>
        </w:rPr>
      </w:pPr>
    </w:p>
    <w:p w14:paraId="74ED505E" w14:textId="77777777" w:rsidR="005F1A99" w:rsidRPr="00146988" w:rsidRDefault="005F1A99" w:rsidP="005F1A99">
      <w:pPr>
        <w:spacing w:after="0"/>
        <w:jc w:val="both"/>
        <w:rPr>
          <w:rFonts w:ascii="Calibri" w:hAnsi="Calibri" w:cs="Calibri"/>
          <w:i/>
          <w:iCs/>
          <w:sz w:val="2"/>
          <w:szCs w:val="2"/>
        </w:rPr>
      </w:pPr>
    </w:p>
    <w:tbl>
      <w:tblPr>
        <w:tblStyle w:val="TableGrid"/>
        <w:tblW w:w="8926" w:type="dxa"/>
        <w:tblLayout w:type="fixed"/>
        <w:tblLook w:val="04A0" w:firstRow="1" w:lastRow="0" w:firstColumn="1" w:lastColumn="0" w:noHBand="0" w:noVBand="1"/>
      </w:tblPr>
      <w:tblGrid>
        <w:gridCol w:w="1555"/>
        <w:gridCol w:w="7371"/>
      </w:tblGrid>
      <w:tr w:rsidR="005F1A99" w14:paraId="0E42B89F" w14:textId="77777777" w:rsidTr="001D568B">
        <w:tc>
          <w:tcPr>
            <w:tcW w:w="1555" w:type="dxa"/>
          </w:tcPr>
          <w:p w14:paraId="4F3129B9" w14:textId="77777777" w:rsidR="005F1A99" w:rsidRPr="00686F29" w:rsidRDefault="005F1A99" w:rsidP="001D568B">
            <w:pPr>
              <w:jc w:val="both"/>
              <w:rPr>
                <w:rFonts w:ascii="Calibri" w:hAnsi="Calibri" w:cs="Calibri"/>
                <w:b/>
                <w:bCs/>
              </w:rPr>
            </w:pPr>
            <w:r w:rsidRPr="00686F29">
              <w:rPr>
                <w:rFonts w:ascii="Calibri" w:hAnsi="Calibri" w:cs="Calibri"/>
                <w:b/>
                <w:bCs/>
              </w:rPr>
              <w:t>Term</w:t>
            </w:r>
          </w:p>
        </w:tc>
        <w:tc>
          <w:tcPr>
            <w:tcW w:w="7371" w:type="dxa"/>
          </w:tcPr>
          <w:p w14:paraId="2C1A768D" w14:textId="77777777" w:rsidR="005F1A99" w:rsidRPr="00686F29" w:rsidRDefault="005F1A99" w:rsidP="001D568B">
            <w:pPr>
              <w:jc w:val="both"/>
              <w:rPr>
                <w:rFonts w:ascii="Calibri" w:hAnsi="Calibri" w:cs="Calibri"/>
                <w:b/>
                <w:bCs/>
              </w:rPr>
            </w:pPr>
            <w:r w:rsidRPr="00686F29">
              <w:rPr>
                <w:rFonts w:ascii="Calibri" w:hAnsi="Calibri" w:cs="Calibri"/>
                <w:b/>
                <w:bCs/>
              </w:rPr>
              <w:t>Line(s)</w:t>
            </w:r>
          </w:p>
        </w:tc>
      </w:tr>
      <w:tr w:rsidR="005F1A99" w14:paraId="6B2C511D" w14:textId="77777777" w:rsidTr="001D568B">
        <w:tc>
          <w:tcPr>
            <w:tcW w:w="1555" w:type="dxa"/>
          </w:tcPr>
          <w:p w14:paraId="30B1647C" w14:textId="77777777" w:rsidR="005F1A99" w:rsidRDefault="005F1A99" w:rsidP="001D568B">
            <w:pPr>
              <w:jc w:val="both"/>
              <w:rPr>
                <w:rFonts w:ascii="Calibri" w:hAnsi="Calibri" w:cs="Calibri"/>
              </w:rPr>
            </w:pPr>
            <w:r>
              <w:rPr>
                <w:rFonts w:ascii="Calibri" w:hAnsi="Calibri" w:cs="Calibri"/>
              </w:rPr>
              <w:t>Torchawr</w:t>
            </w:r>
          </w:p>
        </w:tc>
        <w:tc>
          <w:tcPr>
            <w:tcW w:w="7371" w:type="dxa"/>
          </w:tcPr>
          <w:p w14:paraId="2068AFC8" w14:textId="77777777" w:rsidR="005F1A99" w:rsidRDefault="005F1A99" w:rsidP="001D568B">
            <w:pPr>
              <w:jc w:val="both"/>
              <w:rPr>
                <w:rFonts w:ascii="Calibri" w:hAnsi="Calibri" w:cs="Calibri"/>
              </w:rPr>
            </w:pPr>
            <w:r w:rsidRPr="00771F95">
              <w:rPr>
                <w:rFonts w:ascii="Calibri" w:hAnsi="Calibri" w:cs="Calibri"/>
                <w:u w:val="single"/>
              </w:rPr>
              <w:t>50:</w:t>
            </w:r>
            <w:r w:rsidRPr="00771F95">
              <w:rPr>
                <w:rFonts w:ascii="Calibri" w:hAnsi="Calibri" w:cs="Calibri"/>
                <w:i/>
                <w:iCs/>
              </w:rPr>
              <w:t xml:space="preserve"> Gwefrawr goddiwadd torchawr am ran </w:t>
            </w:r>
            <w:r w:rsidRPr="00771F95">
              <w:rPr>
                <w:rFonts w:ascii="Calibri" w:hAnsi="Calibri" w:cs="Calibri"/>
              </w:rPr>
              <w:t>(‘The generous torqued warrior gained amber beads.’)</w:t>
            </w:r>
          </w:p>
        </w:tc>
      </w:tr>
      <w:tr w:rsidR="005F1A99" w14:paraId="37F3F7AC" w14:textId="77777777" w:rsidTr="001D568B">
        <w:tc>
          <w:tcPr>
            <w:tcW w:w="1555" w:type="dxa"/>
          </w:tcPr>
          <w:p w14:paraId="1E30ADFD" w14:textId="77777777" w:rsidR="005F1A99" w:rsidRPr="004679A3" w:rsidRDefault="005F1A99" w:rsidP="001D568B">
            <w:pPr>
              <w:jc w:val="both"/>
              <w:rPr>
                <w:rFonts w:ascii="Calibri" w:hAnsi="Calibri" w:cs="Calibri"/>
              </w:rPr>
            </w:pPr>
            <w:r w:rsidRPr="004679A3">
              <w:rPr>
                <w:rFonts w:ascii="Calibri" w:hAnsi="Calibri" w:cs="Calibri"/>
              </w:rPr>
              <w:t>Eurdorchawr</w:t>
            </w:r>
          </w:p>
        </w:tc>
        <w:tc>
          <w:tcPr>
            <w:tcW w:w="7371" w:type="dxa"/>
          </w:tcPr>
          <w:p w14:paraId="4C8F7E7A" w14:textId="77777777" w:rsidR="005F1A99" w:rsidRDefault="005F1A99" w:rsidP="001D568B">
            <w:pPr>
              <w:jc w:val="both"/>
              <w:rPr>
                <w:rFonts w:ascii="Calibri" w:hAnsi="Calibri" w:cs="Calibri"/>
              </w:rPr>
            </w:pPr>
            <w:r w:rsidRPr="00686F29">
              <w:rPr>
                <w:rFonts w:ascii="Calibri" w:hAnsi="Calibri" w:cs="Calibri"/>
                <w:u w:val="single"/>
              </w:rPr>
              <w:t>430:</w:t>
            </w:r>
            <w:r w:rsidRPr="004679A3">
              <w:rPr>
                <w:rFonts w:ascii="Calibri" w:hAnsi="Calibri" w:cs="Calibri"/>
                <w:i/>
                <w:iCs/>
              </w:rPr>
              <w:t xml:space="preserve"> ‘Gorwydd gwareus, rhith rhan, ych eurdorchawr</w:t>
            </w:r>
            <w:r>
              <w:rPr>
                <w:rFonts w:ascii="Calibri" w:hAnsi="Calibri" w:cs="Calibri"/>
                <w:i/>
                <w:iCs/>
              </w:rPr>
              <w:t>’</w:t>
            </w:r>
            <w:r w:rsidRPr="004679A3">
              <w:rPr>
                <w:rFonts w:ascii="Calibri" w:hAnsi="Calibri" w:cs="Calibri"/>
                <w:i/>
                <w:iCs/>
              </w:rPr>
              <w:t xml:space="preserve"> </w:t>
            </w:r>
            <w:r w:rsidRPr="004679A3">
              <w:rPr>
                <w:rFonts w:ascii="Calibri" w:hAnsi="Calibri" w:cs="Calibri"/>
              </w:rPr>
              <w:t>(‘A grey-haired warrior, a gold-torqued ox’)</w:t>
            </w:r>
          </w:p>
        </w:tc>
      </w:tr>
      <w:tr w:rsidR="005F1A99" w14:paraId="695086A1" w14:textId="77777777" w:rsidTr="001D568B">
        <w:tc>
          <w:tcPr>
            <w:tcW w:w="1555" w:type="dxa"/>
          </w:tcPr>
          <w:p w14:paraId="257143CC" w14:textId="77777777" w:rsidR="005F1A99" w:rsidRDefault="005F1A99" w:rsidP="001D568B">
            <w:pPr>
              <w:jc w:val="both"/>
              <w:rPr>
                <w:rFonts w:ascii="Calibri" w:hAnsi="Calibri" w:cs="Calibri"/>
              </w:rPr>
            </w:pPr>
            <w:r w:rsidRPr="001A16FB">
              <w:rPr>
                <w:rFonts w:ascii="Calibri" w:hAnsi="Calibri" w:cs="Calibri"/>
              </w:rPr>
              <w:t>Eurdorchawg/</w:t>
            </w:r>
            <w:r>
              <w:rPr>
                <w:rFonts w:ascii="Calibri" w:hAnsi="Calibri" w:cs="Calibri"/>
              </w:rPr>
              <w:t xml:space="preserve"> </w:t>
            </w:r>
            <w:r w:rsidRPr="001A16FB">
              <w:rPr>
                <w:rFonts w:ascii="Calibri" w:hAnsi="Calibri" w:cs="Calibri"/>
              </w:rPr>
              <w:t>Eurdorchog</w:t>
            </w:r>
            <w:r>
              <w:rPr>
                <w:rStyle w:val="FootnoteReference"/>
                <w:rFonts w:ascii="Calibri" w:hAnsi="Calibri" w:cs="Calibri"/>
              </w:rPr>
              <w:footnoteReference w:id="29"/>
            </w:r>
          </w:p>
        </w:tc>
        <w:tc>
          <w:tcPr>
            <w:tcW w:w="7371" w:type="dxa"/>
          </w:tcPr>
          <w:p w14:paraId="0542B970" w14:textId="77777777" w:rsidR="005F1A99" w:rsidRDefault="005F1A99" w:rsidP="001D568B">
            <w:pPr>
              <w:jc w:val="both"/>
              <w:rPr>
                <w:rFonts w:ascii="Calibri" w:hAnsi="Calibri" w:cs="Calibri"/>
              </w:rPr>
            </w:pPr>
            <w:r w:rsidRPr="00686F29">
              <w:rPr>
                <w:rFonts w:ascii="Calibri" w:hAnsi="Calibri" w:cs="Calibri"/>
                <w:u w:val="single"/>
              </w:rPr>
              <w:t>195:</w:t>
            </w:r>
            <w:r w:rsidRPr="00F67FD1">
              <w:rPr>
                <w:rFonts w:ascii="Calibri" w:hAnsi="Calibri" w:cs="Calibri"/>
                <w:i/>
                <w:iCs/>
              </w:rPr>
              <w:t xml:space="preserve"> </w:t>
            </w:r>
            <w:r w:rsidRPr="00771F95">
              <w:rPr>
                <w:rFonts w:ascii="Calibri" w:hAnsi="Calibri" w:cs="Calibri"/>
                <w:i/>
                <w:iCs/>
              </w:rPr>
              <w:t xml:space="preserve">‘Tri aur dëyrn dorchog’  </w:t>
            </w:r>
            <w:r w:rsidRPr="00771F95">
              <w:rPr>
                <w:rFonts w:ascii="Calibri" w:hAnsi="Calibri" w:cs="Calibri"/>
              </w:rPr>
              <w:t>(‘Three gold-torqued Kings’)</w:t>
            </w:r>
          </w:p>
          <w:p w14:paraId="6BD0A65F" w14:textId="77777777" w:rsidR="005F1A99" w:rsidRPr="003D1824" w:rsidRDefault="005F1A99" w:rsidP="001D568B">
            <w:pPr>
              <w:jc w:val="both"/>
              <w:rPr>
                <w:rFonts w:ascii="Calibri" w:hAnsi="Calibri" w:cs="Calibri"/>
              </w:rPr>
            </w:pPr>
            <w:r w:rsidRPr="00686F29">
              <w:rPr>
                <w:rFonts w:ascii="Calibri" w:hAnsi="Calibri" w:cs="Calibri"/>
                <w:u w:val="single"/>
              </w:rPr>
              <w:t>243:</w:t>
            </w:r>
            <w:r w:rsidRPr="001A16FB">
              <w:rPr>
                <w:rFonts w:ascii="Calibri" w:hAnsi="Calibri" w:cs="Calibri"/>
                <w:i/>
                <w:iCs/>
              </w:rPr>
              <w:t xml:space="preserve"> ‘Trywyr a thri ugaint a thrychaint eurdorchawg’</w:t>
            </w:r>
            <w:r>
              <w:rPr>
                <w:rFonts w:ascii="Calibri" w:hAnsi="Calibri" w:cs="Calibri"/>
              </w:rPr>
              <w:t xml:space="preserve"> (‘Three men and three score and three hundred, gold-torqued’)</w:t>
            </w:r>
          </w:p>
          <w:p w14:paraId="3E8B7C8E" w14:textId="77777777" w:rsidR="005F1A99" w:rsidRDefault="005F1A99" w:rsidP="001D568B">
            <w:pPr>
              <w:jc w:val="both"/>
              <w:rPr>
                <w:rFonts w:ascii="Calibri" w:hAnsi="Calibri" w:cs="Calibri"/>
              </w:rPr>
            </w:pPr>
            <w:r w:rsidRPr="00686F29">
              <w:rPr>
                <w:rFonts w:ascii="Calibri" w:hAnsi="Calibri" w:cs="Calibri"/>
                <w:u w:val="single"/>
              </w:rPr>
              <w:t>256:</w:t>
            </w:r>
            <w:r>
              <w:rPr>
                <w:rFonts w:ascii="Calibri" w:hAnsi="Calibri" w:cs="Calibri"/>
              </w:rPr>
              <w:t xml:space="preserve"> </w:t>
            </w:r>
            <w:r w:rsidRPr="001A16FB">
              <w:rPr>
                <w:rFonts w:ascii="Calibri" w:hAnsi="Calibri" w:cs="Calibri"/>
              </w:rPr>
              <w:t>‘</w:t>
            </w:r>
            <w:r w:rsidRPr="001A16FB">
              <w:rPr>
                <w:rFonts w:ascii="Calibri" w:hAnsi="Calibri" w:cs="Calibri"/>
                <w:i/>
                <w:iCs/>
              </w:rPr>
              <w:t>Ef dilyddau win, gwr eurdorchawg</w:t>
            </w:r>
            <w:r w:rsidRPr="001A16FB">
              <w:rPr>
                <w:rFonts w:ascii="Calibri" w:hAnsi="Calibri" w:cs="Calibri"/>
              </w:rPr>
              <w:t>.’</w:t>
            </w:r>
            <w:r>
              <w:rPr>
                <w:rFonts w:ascii="Calibri" w:hAnsi="Calibri" w:cs="Calibri"/>
              </w:rPr>
              <w:t xml:space="preserve"> (‘He merited win, the gold-torqued warrior’)</w:t>
            </w:r>
          </w:p>
          <w:p w14:paraId="083618C0" w14:textId="77777777" w:rsidR="005F1A99" w:rsidRPr="00686F29" w:rsidRDefault="005F1A99" w:rsidP="001D568B">
            <w:pPr>
              <w:jc w:val="both"/>
              <w:rPr>
                <w:rFonts w:ascii="Calibri" w:hAnsi="Calibri" w:cs="Calibri"/>
              </w:rPr>
            </w:pPr>
            <w:r w:rsidRPr="00686F29">
              <w:rPr>
                <w:rFonts w:ascii="Calibri" w:hAnsi="Calibri" w:cs="Calibri"/>
                <w:u w:val="single"/>
              </w:rPr>
              <w:t>865:</w:t>
            </w:r>
            <w:r>
              <w:rPr>
                <w:rFonts w:ascii="Calibri" w:hAnsi="Calibri" w:cs="Calibri"/>
              </w:rPr>
              <w:t xml:space="preserve"> </w:t>
            </w:r>
            <w:r>
              <w:rPr>
                <w:rFonts w:ascii="Calibri" w:hAnsi="Calibri" w:cs="Calibri"/>
                <w:i/>
                <w:iCs/>
              </w:rPr>
              <w:t xml:space="preserve">‘Trychant eurdorchog a grysiasant’ </w:t>
            </w:r>
            <w:r>
              <w:rPr>
                <w:rFonts w:ascii="Calibri" w:hAnsi="Calibri" w:cs="Calibri"/>
              </w:rPr>
              <w:t>(‘Three hundred gold-torqued warriors attacked’)</w:t>
            </w:r>
          </w:p>
          <w:p w14:paraId="1E6023F7" w14:textId="77777777" w:rsidR="005F1A99" w:rsidRPr="00686F29" w:rsidRDefault="005F1A99" w:rsidP="001D568B">
            <w:pPr>
              <w:jc w:val="both"/>
              <w:rPr>
                <w:rFonts w:ascii="Calibri" w:hAnsi="Calibri" w:cs="Calibri"/>
              </w:rPr>
            </w:pPr>
            <w:r w:rsidRPr="00686F29">
              <w:rPr>
                <w:rFonts w:ascii="Calibri" w:hAnsi="Calibri" w:cs="Calibri"/>
                <w:u w:val="single"/>
              </w:rPr>
              <w:t>871-872:</w:t>
            </w:r>
            <w:r>
              <w:rPr>
                <w:rFonts w:ascii="Calibri" w:hAnsi="Calibri" w:cs="Calibri"/>
              </w:rPr>
              <w:t xml:space="preserve"> </w:t>
            </w:r>
            <w:r w:rsidRPr="00686F29">
              <w:rPr>
                <w:rFonts w:ascii="Calibri" w:hAnsi="Calibri" w:cs="Calibri"/>
                <w:i/>
                <w:iCs/>
              </w:rPr>
              <w:t>‘Trychant Eurdorchog / Gwneddgar, g</w:t>
            </w:r>
            <w:r>
              <w:rPr>
                <w:rFonts w:ascii="Calibri" w:hAnsi="Calibri" w:cs="Calibri"/>
                <w:i/>
                <w:iCs/>
              </w:rPr>
              <w:t>wa</w:t>
            </w:r>
            <w:r w:rsidRPr="00686F29">
              <w:rPr>
                <w:rFonts w:ascii="Calibri" w:hAnsi="Calibri" w:cs="Calibri"/>
                <w:i/>
                <w:iCs/>
              </w:rPr>
              <w:t>enog’</w:t>
            </w:r>
            <w:r>
              <w:rPr>
                <w:rFonts w:ascii="Calibri" w:hAnsi="Calibri" w:cs="Calibri"/>
                <w:i/>
                <w:iCs/>
              </w:rPr>
              <w:t xml:space="preserve"> </w:t>
            </w:r>
            <w:r>
              <w:rPr>
                <w:rFonts w:ascii="Calibri" w:hAnsi="Calibri" w:cs="Calibri"/>
              </w:rPr>
              <w:t>(‘Three hundred gold-torqued warriors / Warlike, splendid in action’)</w:t>
            </w:r>
            <w:r w:rsidRPr="00686F29">
              <w:rPr>
                <w:rFonts w:ascii="Calibri" w:hAnsi="Calibri" w:cs="Calibri"/>
                <w:u w:val="single"/>
              </w:rPr>
              <w:t xml:space="preserve"> </w:t>
            </w:r>
          </w:p>
        </w:tc>
      </w:tr>
      <w:tr w:rsidR="005F1A99" w14:paraId="7D001B91" w14:textId="77777777" w:rsidTr="001D568B">
        <w:tc>
          <w:tcPr>
            <w:tcW w:w="1555" w:type="dxa"/>
          </w:tcPr>
          <w:p w14:paraId="5149CEC4" w14:textId="77777777" w:rsidR="005F1A99" w:rsidRDefault="005F1A99" w:rsidP="001D568B">
            <w:pPr>
              <w:jc w:val="both"/>
              <w:rPr>
                <w:rFonts w:ascii="Calibri" w:hAnsi="Calibri" w:cs="Calibri"/>
              </w:rPr>
            </w:pPr>
            <w:r w:rsidRPr="001A16FB">
              <w:rPr>
                <w:rFonts w:ascii="Calibri" w:hAnsi="Calibri" w:cs="Calibri"/>
              </w:rPr>
              <w:t>Eurdorchogion</w:t>
            </w:r>
          </w:p>
        </w:tc>
        <w:tc>
          <w:tcPr>
            <w:tcW w:w="7371" w:type="dxa"/>
          </w:tcPr>
          <w:p w14:paraId="178E0DD9" w14:textId="77777777" w:rsidR="005F1A99" w:rsidRDefault="005F1A99" w:rsidP="001D568B">
            <w:pPr>
              <w:jc w:val="both"/>
              <w:rPr>
                <w:rFonts w:ascii="Calibri" w:hAnsi="Calibri" w:cs="Calibri"/>
              </w:rPr>
            </w:pPr>
            <w:r w:rsidRPr="00686F29">
              <w:rPr>
                <w:rFonts w:ascii="Calibri" w:hAnsi="Calibri" w:cs="Calibri"/>
                <w:u w:val="single"/>
              </w:rPr>
              <w:t>634:</w:t>
            </w:r>
            <w:r>
              <w:rPr>
                <w:rFonts w:ascii="Calibri" w:hAnsi="Calibri" w:cs="Calibri"/>
              </w:rPr>
              <w:t xml:space="preserve"> </w:t>
            </w:r>
            <w:r w:rsidRPr="00DF37F0">
              <w:rPr>
                <w:rFonts w:ascii="Calibri" w:hAnsi="Calibri" w:cs="Calibri"/>
              </w:rPr>
              <w:t>‘</w:t>
            </w:r>
            <w:r w:rsidRPr="00DF37F0">
              <w:rPr>
                <w:rFonts w:ascii="Calibri" w:hAnsi="Calibri" w:cs="Calibri"/>
                <w:i/>
                <w:iCs/>
              </w:rPr>
              <w:t>Ar Gatraeth oedd ffraeth Eurdorchogion</w:t>
            </w:r>
            <w:r>
              <w:rPr>
                <w:rFonts w:ascii="Calibri" w:hAnsi="Calibri" w:cs="Calibri"/>
                <w:i/>
                <w:iCs/>
              </w:rPr>
              <w:t xml:space="preserve">’ </w:t>
            </w:r>
            <w:r w:rsidRPr="00DF37F0">
              <w:rPr>
                <w:rFonts w:ascii="Calibri" w:hAnsi="Calibri" w:cs="Calibri"/>
              </w:rPr>
              <w:t>(‘Before Catraeth gold-torqued [warriors] were swift’)</w:t>
            </w:r>
          </w:p>
          <w:p w14:paraId="3FB5ECBD" w14:textId="77777777" w:rsidR="005F1A99" w:rsidRPr="00DF37F0" w:rsidRDefault="005F1A99" w:rsidP="001D568B">
            <w:pPr>
              <w:jc w:val="both"/>
              <w:rPr>
                <w:rFonts w:ascii="Calibri" w:hAnsi="Calibri" w:cs="Calibri"/>
                <w:i/>
                <w:iCs/>
              </w:rPr>
            </w:pPr>
            <w:r w:rsidRPr="00DF37F0">
              <w:rPr>
                <w:rFonts w:ascii="Calibri" w:hAnsi="Calibri" w:cs="Calibri"/>
                <w:u w:val="single"/>
              </w:rPr>
              <w:t>9</w:t>
            </w:r>
            <w:r>
              <w:rPr>
                <w:rFonts w:ascii="Calibri" w:hAnsi="Calibri" w:cs="Calibri"/>
                <w:u w:val="single"/>
              </w:rPr>
              <w:t>27-929</w:t>
            </w:r>
            <w:r w:rsidRPr="00DF37F0">
              <w:rPr>
                <w:rFonts w:ascii="Calibri" w:hAnsi="Calibri" w:cs="Calibri"/>
                <w:u w:val="single"/>
              </w:rPr>
              <w:t>:</w:t>
            </w:r>
            <w:r w:rsidRPr="00DF37F0">
              <w:rPr>
                <w:rFonts w:ascii="Calibri" w:hAnsi="Calibri" w:cs="Calibri"/>
              </w:rPr>
              <w:t xml:space="preserve"> </w:t>
            </w:r>
            <w:r w:rsidRPr="00DF37F0">
              <w:rPr>
                <w:rFonts w:ascii="Calibri" w:hAnsi="Calibri" w:cs="Calibri"/>
                <w:i/>
                <w:iCs/>
              </w:rPr>
              <w:t>‘Lladdodd [Heinif] mab Nwython / O eurdorchogion</w:t>
            </w:r>
            <w:r>
              <w:rPr>
                <w:rFonts w:ascii="Calibri" w:hAnsi="Calibri" w:cs="Calibri"/>
                <w:i/>
                <w:iCs/>
              </w:rPr>
              <w:t xml:space="preserve"> </w:t>
            </w:r>
            <w:r w:rsidRPr="00DF37F0">
              <w:rPr>
                <w:rFonts w:ascii="Calibri" w:hAnsi="Calibri" w:cs="Calibri"/>
                <w:i/>
                <w:iCs/>
              </w:rPr>
              <w:t>/ Cant o dëyrnedd</w:t>
            </w:r>
            <w:r>
              <w:rPr>
                <w:rFonts w:ascii="Calibri" w:hAnsi="Calibri" w:cs="Calibri"/>
                <w:i/>
                <w:iCs/>
              </w:rPr>
              <w:t xml:space="preserve">’ </w:t>
            </w:r>
            <w:r w:rsidRPr="00DF37F0">
              <w:rPr>
                <w:rFonts w:ascii="Calibri" w:hAnsi="Calibri" w:cs="Calibri"/>
              </w:rPr>
              <w:t>(‘The son of Nwython slew / Of the gold-torqued / One hundred princes’)</w:t>
            </w:r>
          </w:p>
          <w:p w14:paraId="4147DD43" w14:textId="77777777" w:rsidR="005F1A99" w:rsidRPr="00435BA9" w:rsidRDefault="005F1A99" w:rsidP="001D568B">
            <w:pPr>
              <w:jc w:val="both"/>
              <w:rPr>
                <w:rFonts w:ascii="Calibri" w:hAnsi="Calibri" w:cs="Calibri"/>
                <w:sz w:val="2"/>
                <w:szCs w:val="2"/>
              </w:rPr>
            </w:pPr>
          </w:p>
        </w:tc>
      </w:tr>
    </w:tbl>
    <w:p w14:paraId="082E8DC7" w14:textId="1F47CA5A" w:rsidR="005F1A99" w:rsidRDefault="00D05CD0" w:rsidP="005F1A99">
      <w:pPr>
        <w:spacing w:after="0"/>
        <w:jc w:val="both"/>
        <w:rPr>
          <w:rFonts w:ascii="Calibri" w:hAnsi="Calibri" w:cs="Calibri"/>
          <w:i/>
          <w:iCs/>
        </w:rPr>
      </w:pPr>
      <w:r>
        <w:rPr>
          <w:rFonts w:ascii="Calibri" w:hAnsi="Calibri" w:cs="Calibri"/>
          <w:i/>
          <w:iCs/>
        </w:rPr>
        <w:t>Table 1:</w:t>
      </w:r>
      <w:r w:rsidR="005F1A99">
        <w:rPr>
          <w:rFonts w:ascii="Calibri" w:hAnsi="Calibri" w:cs="Calibri"/>
          <w:i/>
          <w:iCs/>
        </w:rPr>
        <w:t xml:space="preserve"> Torc-related terms in the Gododdin text</w:t>
      </w:r>
      <w:r w:rsidR="005F1A99">
        <w:rPr>
          <w:rStyle w:val="FootnoteReference"/>
          <w:rFonts w:ascii="Calibri" w:hAnsi="Calibri" w:cs="Calibri"/>
          <w:i/>
          <w:iCs/>
        </w:rPr>
        <w:footnoteReference w:id="30"/>
      </w:r>
    </w:p>
    <w:p w14:paraId="7D01C7C2" w14:textId="77777777" w:rsidR="005F1A99" w:rsidRDefault="005F1A99" w:rsidP="005F1A99">
      <w:pPr>
        <w:spacing w:after="0"/>
        <w:jc w:val="both"/>
        <w:rPr>
          <w:rFonts w:ascii="Calibri" w:hAnsi="Calibri" w:cs="Calibri"/>
          <w:sz w:val="2"/>
          <w:szCs w:val="2"/>
        </w:rPr>
      </w:pPr>
    </w:p>
    <w:p w14:paraId="48594DB8" w14:textId="77777777" w:rsidR="005F1A99" w:rsidRDefault="005F1A99" w:rsidP="005F1A99">
      <w:pPr>
        <w:spacing w:after="0"/>
        <w:jc w:val="both"/>
        <w:rPr>
          <w:rFonts w:ascii="Calibri" w:hAnsi="Calibri" w:cs="Calibri"/>
          <w:sz w:val="2"/>
          <w:szCs w:val="2"/>
        </w:rPr>
      </w:pPr>
    </w:p>
    <w:p w14:paraId="25076995" w14:textId="77777777" w:rsidR="005F1A99" w:rsidRDefault="005F1A99" w:rsidP="005F1A99">
      <w:pPr>
        <w:spacing w:after="0"/>
        <w:jc w:val="both"/>
        <w:rPr>
          <w:rFonts w:ascii="Calibri" w:hAnsi="Calibri" w:cs="Calibri"/>
          <w:sz w:val="2"/>
          <w:szCs w:val="2"/>
        </w:rPr>
      </w:pPr>
    </w:p>
    <w:p w14:paraId="286A3586" w14:textId="77777777" w:rsidR="005F1A99" w:rsidRPr="00A8311B" w:rsidRDefault="005F1A99" w:rsidP="005F1A99">
      <w:pPr>
        <w:spacing w:after="0"/>
        <w:jc w:val="both"/>
        <w:rPr>
          <w:rFonts w:ascii="Calibri" w:hAnsi="Calibri" w:cs="Calibri"/>
          <w:sz w:val="2"/>
          <w:szCs w:val="2"/>
        </w:rPr>
      </w:pPr>
    </w:p>
    <w:p w14:paraId="0D941898" w14:textId="77777777" w:rsidR="005F1A99" w:rsidRDefault="005F1A99" w:rsidP="005F1A99">
      <w:pPr>
        <w:jc w:val="both"/>
        <w:rPr>
          <w:rFonts w:ascii="Calibri" w:hAnsi="Calibri" w:cs="Calibri"/>
        </w:rPr>
      </w:pPr>
      <w:r w:rsidRPr="0004692B">
        <w:rPr>
          <w:rFonts w:ascii="Calibri" w:hAnsi="Calibri" w:cs="Calibri"/>
        </w:rPr>
        <w:t>Torcs are mentioned nine times in the text and most frequently connected with the word for gold (</w:t>
      </w:r>
      <w:r w:rsidRPr="0004692B">
        <w:rPr>
          <w:rFonts w:ascii="Calibri" w:hAnsi="Calibri" w:cs="Calibri"/>
          <w:i/>
          <w:iCs/>
        </w:rPr>
        <w:t>aur</w:t>
      </w:r>
      <w:r w:rsidRPr="0004692B">
        <w:rPr>
          <w:rFonts w:ascii="Calibri" w:hAnsi="Calibri" w:cs="Calibri"/>
        </w:rPr>
        <w:t xml:space="preserve">).  The nouns </w:t>
      </w:r>
      <w:r w:rsidRPr="0004692B">
        <w:rPr>
          <w:rFonts w:ascii="Calibri" w:hAnsi="Calibri" w:cs="Calibri"/>
          <w:i/>
          <w:iCs/>
        </w:rPr>
        <w:t>torch</w:t>
      </w:r>
      <w:r w:rsidRPr="0004692B">
        <w:rPr>
          <w:rFonts w:ascii="Calibri" w:hAnsi="Calibri" w:cs="Calibri"/>
        </w:rPr>
        <w:t xml:space="preserve"> or </w:t>
      </w:r>
      <w:r w:rsidRPr="0004692B">
        <w:rPr>
          <w:rFonts w:ascii="Calibri" w:hAnsi="Calibri" w:cs="Calibri"/>
          <w:i/>
          <w:iCs/>
        </w:rPr>
        <w:t>eurdorch</w:t>
      </w:r>
      <w:r w:rsidRPr="0004692B">
        <w:rPr>
          <w:rFonts w:ascii="Calibri" w:hAnsi="Calibri" w:cs="Calibri"/>
        </w:rPr>
        <w:t xml:space="preserve"> are never used; terms are suffixed to connect them to the wearer (</w:t>
      </w:r>
      <w:r w:rsidRPr="0004692B">
        <w:rPr>
          <w:rFonts w:ascii="Calibri" w:hAnsi="Calibri" w:cs="Calibri"/>
          <w:i/>
          <w:iCs/>
        </w:rPr>
        <w:t>torchog/eurdorchog/eurdorchawr)</w:t>
      </w:r>
      <w:r w:rsidRPr="0004692B">
        <w:rPr>
          <w:rFonts w:ascii="Calibri" w:hAnsi="Calibri" w:cs="Calibri"/>
        </w:rPr>
        <w:t xml:space="preserve">. </w:t>
      </w:r>
    </w:p>
    <w:p w14:paraId="05803A91" w14:textId="77777777" w:rsidR="005F1A99" w:rsidRPr="00A8311B" w:rsidRDefault="005F1A99" w:rsidP="005F1A99">
      <w:pPr>
        <w:jc w:val="both"/>
        <w:rPr>
          <w:rFonts w:ascii="Calibri" w:hAnsi="Calibri" w:cs="Calibri"/>
        </w:rPr>
      </w:pPr>
      <w:r w:rsidRPr="008D4FD5">
        <w:rPr>
          <w:rFonts w:ascii="Calibri" w:hAnsi="Calibri" w:cs="Calibri"/>
          <w:i/>
          <w:iCs/>
        </w:rPr>
        <w:t>Torch</w:t>
      </w:r>
      <w:r>
        <w:rPr>
          <w:rFonts w:ascii="Calibri" w:hAnsi="Calibri" w:cs="Calibri"/>
          <w:i/>
          <w:iCs/>
        </w:rPr>
        <w:t>awr</w:t>
      </w:r>
      <w:r w:rsidRPr="008D4FD5">
        <w:rPr>
          <w:rFonts w:ascii="Calibri" w:hAnsi="Calibri" w:cs="Calibri"/>
        </w:rPr>
        <w:t xml:space="preserve"> </w:t>
      </w:r>
      <w:r>
        <w:rPr>
          <w:rFonts w:ascii="Calibri" w:hAnsi="Calibri" w:cs="Calibri"/>
        </w:rPr>
        <w:t>can be seen as</w:t>
      </w:r>
      <w:r w:rsidRPr="008D4FD5">
        <w:rPr>
          <w:rFonts w:ascii="Calibri" w:hAnsi="Calibri" w:cs="Calibri"/>
        </w:rPr>
        <w:t xml:space="preserve"> the noun for a torc-wearing warrior. This form is used once, </w:t>
      </w:r>
      <w:r>
        <w:rPr>
          <w:rFonts w:ascii="Calibri" w:hAnsi="Calibri" w:cs="Calibri"/>
        </w:rPr>
        <w:t xml:space="preserve">and the only occasion where the torc is not compounded with </w:t>
      </w:r>
      <w:r>
        <w:rPr>
          <w:rFonts w:ascii="Calibri" w:hAnsi="Calibri" w:cs="Calibri"/>
          <w:i/>
          <w:iCs/>
        </w:rPr>
        <w:t>aur/</w:t>
      </w:r>
      <w:r w:rsidRPr="002B4BC1">
        <w:rPr>
          <w:rFonts w:ascii="Calibri" w:hAnsi="Calibri" w:cs="Calibri"/>
          <w:i/>
          <w:iCs/>
        </w:rPr>
        <w:t>eur</w:t>
      </w:r>
      <w:r>
        <w:rPr>
          <w:rFonts w:ascii="Calibri" w:hAnsi="Calibri" w:cs="Calibri"/>
        </w:rPr>
        <w:t xml:space="preserve"> -gold: in the case of line </w:t>
      </w:r>
      <w:r w:rsidRPr="00630B3B">
        <w:rPr>
          <w:rFonts w:ascii="Calibri" w:hAnsi="Calibri" w:cs="Calibri"/>
        </w:rPr>
        <w:t>195</w:t>
      </w:r>
      <w:r>
        <w:rPr>
          <w:rFonts w:ascii="Calibri" w:hAnsi="Calibri" w:cs="Calibri"/>
        </w:rPr>
        <w:t xml:space="preserve">, </w:t>
      </w:r>
      <w:r w:rsidRPr="00630B3B">
        <w:rPr>
          <w:rFonts w:ascii="Calibri" w:hAnsi="Calibri" w:cs="Calibri"/>
          <w:i/>
          <w:iCs/>
        </w:rPr>
        <w:t xml:space="preserve">‘Tri aur dëyrn dorchog’ </w:t>
      </w:r>
      <w:r>
        <w:rPr>
          <w:rFonts w:ascii="Calibri" w:hAnsi="Calibri" w:cs="Calibri"/>
        </w:rPr>
        <w:t xml:space="preserve">the term is really </w:t>
      </w:r>
      <w:r w:rsidRPr="001D2A53">
        <w:rPr>
          <w:rFonts w:ascii="Calibri" w:hAnsi="Calibri" w:cs="Calibri"/>
          <w:i/>
          <w:iCs/>
        </w:rPr>
        <w:t>eurdorchog</w:t>
      </w:r>
      <w:r>
        <w:rPr>
          <w:rFonts w:ascii="Calibri" w:hAnsi="Calibri" w:cs="Calibri"/>
        </w:rPr>
        <w:t xml:space="preserve">, since the word order has been changed by the poet. We know this because </w:t>
      </w:r>
      <w:r w:rsidRPr="001D2A53">
        <w:rPr>
          <w:rFonts w:ascii="Calibri" w:hAnsi="Calibri" w:cs="Calibri"/>
          <w:i/>
          <w:iCs/>
        </w:rPr>
        <w:t>torchog</w:t>
      </w:r>
      <w:r>
        <w:rPr>
          <w:rFonts w:ascii="Calibri" w:hAnsi="Calibri" w:cs="Calibri"/>
        </w:rPr>
        <w:t xml:space="preserve"> is mutated; the compound adjective has been split and frames the word </w:t>
      </w:r>
      <w:r w:rsidRPr="001D2A53">
        <w:rPr>
          <w:rFonts w:ascii="Calibri" w:hAnsi="Calibri" w:cs="Calibri"/>
          <w:i/>
          <w:iCs/>
        </w:rPr>
        <w:t>dëyrn</w:t>
      </w:r>
      <w:r>
        <w:rPr>
          <w:rFonts w:ascii="Calibri" w:hAnsi="Calibri" w:cs="Calibri"/>
        </w:rPr>
        <w:t xml:space="preserve"> </w:t>
      </w:r>
      <w:r w:rsidRPr="00A411F2">
        <w:rPr>
          <w:rFonts w:ascii="Calibri" w:hAnsi="Calibri" w:cs="Calibri"/>
        </w:rPr>
        <w:t xml:space="preserve">(Jarman observes this is ‘an example of </w:t>
      </w:r>
      <w:r w:rsidRPr="00A411F2">
        <w:rPr>
          <w:rFonts w:ascii="Calibri" w:hAnsi="Calibri" w:cs="Calibri"/>
          <w:i/>
          <w:iCs/>
        </w:rPr>
        <w:t>trychiad</w:t>
      </w:r>
      <w:r w:rsidRPr="00A411F2">
        <w:rPr>
          <w:rFonts w:ascii="Calibri" w:hAnsi="Calibri" w:cs="Calibri"/>
        </w:rPr>
        <w:t>, or tmesis’).</w:t>
      </w:r>
      <w:r>
        <w:rPr>
          <w:rStyle w:val="FootnoteReference"/>
          <w:rFonts w:ascii="Calibri" w:hAnsi="Calibri" w:cs="Calibri"/>
        </w:rPr>
        <w:footnoteReference w:id="31"/>
      </w:r>
      <w:r>
        <w:rPr>
          <w:rFonts w:ascii="Calibri" w:hAnsi="Calibri" w:cs="Calibri"/>
        </w:rPr>
        <w:t xml:space="preserve"> In any case, the line still connects the torc with the word for gold. The </w:t>
      </w:r>
      <w:r w:rsidRPr="008D4FD5">
        <w:rPr>
          <w:rFonts w:ascii="Calibri" w:hAnsi="Calibri" w:cs="Calibri"/>
        </w:rPr>
        <w:t xml:space="preserve">noun </w:t>
      </w:r>
      <w:r>
        <w:rPr>
          <w:rFonts w:ascii="Calibri" w:hAnsi="Calibri" w:cs="Calibri"/>
        </w:rPr>
        <w:t xml:space="preserve">form appears only once more, in </w:t>
      </w:r>
      <w:r w:rsidRPr="008D4FD5">
        <w:rPr>
          <w:rFonts w:ascii="Calibri" w:hAnsi="Calibri" w:cs="Calibri"/>
          <w:i/>
          <w:iCs/>
        </w:rPr>
        <w:t>eurdorchawr.</w:t>
      </w:r>
      <w:r>
        <w:rPr>
          <w:rFonts w:ascii="Calibri" w:hAnsi="Calibri" w:cs="Calibri"/>
          <w:i/>
          <w:iCs/>
        </w:rPr>
        <w:t xml:space="preserve"> </w:t>
      </w:r>
      <w:r>
        <w:rPr>
          <w:rFonts w:ascii="Calibri" w:hAnsi="Calibri" w:cs="Calibri"/>
        </w:rPr>
        <w:t xml:space="preserve">The other terms </w:t>
      </w:r>
      <w:r>
        <w:rPr>
          <w:rFonts w:ascii="Calibri" w:hAnsi="Calibri" w:cs="Calibri"/>
        </w:rPr>
        <w:lastRenderedPageBreak/>
        <w:t xml:space="preserve">are all the adjective form </w:t>
      </w:r>
      <w:r>
        <w:rPr>
          <w:rFonts w:ascii="Calibri" w:hAnsi="Calibri" w:cs="Calibri"/>
          <w:i/>
          <w:iCs/>
        </w:rPr>
        <w:t xml:space="preserve">eurdorchog/ion </w:t>
      </w:r>
      <w:r>
        <w:rPr>
          <w:rFonts w:ascii="Calibri" w:hAnsi="Calibri" w:cs="Calibri"/>
        </w:rPr>
        <w:t>(gold-torqued). Nonetheless, they almost all bear the force of a noun. Indeed, Jarman translates eurdorchogion as ‘gold-torqued warriors’, even where the poem’s word for warrior, gwr/gwyr, is not used (the exception is line 256:</w:t>
      </w:r>
      <w:r w:rsidRPr="00A411F2">
        <w:rPr>
          <w:rFonts w:ascii="Calibri" w:hAnsi="Calibri" w:cs="Calibri"/>
        </w:rPr>
        <w:t xml:space="preserve"> ‘</w:t>
      </w:r>
      <w:r w:rsidRPr="00A411F2">
        <w:rPr>
          <w:rFonts w:ascii="Calibri" w:hAnsi="Calibri" w:cs="Calibri"/>
          <w:i/>
          <w:iCs/>
        </w:rPr>
        <w:t>Ef dilyddau win, gwr eurdorchawg</w:t>
      </w:r>
      <w:r w:rsidRPr="00A411F2">
        <w:rPr>
          <w:rFonts w:ascii="Calibri" w:hAnsi="Calibri" w:cs="Calibri"/>
        </w:rPr>
        <w:t>’</w:t>
      </w:r>
      <w:r>
        <w:rPr>
          <w:rFonts w:ascii="Calibri" w:hAnsi="Calibri" w:cs="Calibri"/>
        </w:rPr>
        <w:t xml:space="preserve">). This is relatively common in Welsh poetry, and should not be overanalysed and there is little to be inferred from the differences between torc-related terms used. So, a closer reading of the contexts in which they are used is required, and this reveals several meanings that can be argued for the use of the torc.  </w:t>
      </w:r>
    </w:p>
    <w:p w14:paraId="23537AC2" w14:textId="77777777" w:rsidR="005F1A99" w:rsidRDefault="005F1A99" w:rsidP="005F1A99">
      <w:pPr>
        <w:jc w:val="both"/>
        <w:rPr>
          <w:rFonts w:ascii="Calibri" w:hAnsi="Calibri" w:cs="Calibri"/>
          <w:u w:val="single"/>
        </w:rPr>
      </w:pPr>
      <w:r>
        <w:rPr>
          <w:rFonts w:ascii="Calibri" w:hAnsi="Calibri" w:cs="Calibri"/>
          <w:u w:val="single"/>
        </w:rPr>
        <w:t>Genre motif of Heroic Poetry</w:t>
      </w:r>
    </w:p>
    <w:p w14:paraId="54993326" w14:textId="77777777" w:rsidR="005F1A99" w:rsidRDefault="005F1A99" w:rsidP="005F1A99">
      <w:pPr>
        <w:jc w:val="both"/>
        <w:rPr>
          <w:rFonts w:ascii="Calibri" w:hAnsi="Calibri" w:cs="Calibri"/>
        </w:rPr>
      </w:pPr>
      <w:r>
        <w:rPr>
          <w:rFonts w:ascii="Calibri" w:hAnsi="Calibri" w:cs="Calibri"/>
        </w:rPr>
        <w:t>Torcs in the Gododdin can be seen as part of a package of objects that furnish heroic poetry. Jarman describes this genre as one which portrays a military aristocracy, the chief purpose of which is warfare, and whose heroes embody values of generosity and liberality.</w:t>
      </w:r>
      <w:r>
        <w:rPr>
          <w:rStyle w:val="FootnoteReference"/>
          <w:rFonts w:ascii="Calibri" w:hAnsi="Calibri" w:cs="Calibri"/>
        </w:rPr>
        <w:footnoteReference w:id="32"/>
      </w:r>
      <w:r>
        <w:rPr>
          <w:rFonts w:ascii="Calibri" w:hAnsi="Calibri" w:cs="Calibri"/>
        </w:rPr>
        <w:t xml:space="preserve"> </w:t>
      </w:r>
    </w:p>
    <w:p w14:paraId="144C2E5F" w14:textId="77777777" w:rsidR="005F1A99" w:rsidRDefault="005F1A99" w:rsidP="005F1A99">
      <w:pPr>
        <w:jc w:val="both"/>
        <w:rPr>
          <w:rFonts w:ascii="Calibri" w:hAnsi="Calibri" w:cs="Calibri"/>
        </w:rPr>
      </w:pPr>
      <w:r>
        <w:rPr>
          <w:rFonts w:ascii="Calibri" w:hAnsi="Calibri" w:cs="Calibri"/>
        </w:rPr>
        <w:t xml:space="preserve">In many cases, torcs are part of a set of adornments the warriors are described as possessing, including brooches, chains and amber beads, fine weapons and golden drinking horns. The eurdorchogion are also described as feasting and drinking liberally (line 244). Such extravagance and arguably serves to instil a sense of awe and wonder, but also emphasise the character and prowess of the warriors; line 256 says that gold-torqued Llif ‘merited wine.’ In lines 50 and 934 gold-torc wearers are described as generous in nature. The warriors are therefore deserving of all these treasures and finery, and torcs form part of this picture. </w:t>
      </w:r>
      <w:r w:rsidRPr="0004692B">
        <w:rPr>
          <w:rFonts w:ascii="Calibri" w:hAnsi="Calibri" w:cs="Calibri"/>
        </w:rPr>
        <w:t xml:space="preserve">That </w:t>
      </w:r>
      <w:r>
        <w:rPr>
          <w:rFonts w:ascii="Calibri" w:hAnsi="Calibri" w:cs="Calibri"/>
        </w:rPr>
        <w:t xml:space="preserve">they, </w:t>
      </w:r>
      <w:r w:rsidRPr="0004692B">
        <w:rPr>
          <w:rFonts w:ascii="Calibri" w:hAnsi="Calibri" w:cs="Calibri"/>
        </w:rPr>
        <w:t>along with other adornments</w:t>
      </w:r>
      <w:r>
        <w:rPr>
          <w:rFonts w:ascii="Calibri" w:hAnsi="Calibri" w:cs="Calibri"/>
        </w:rPr>
        <w:t>,</w:t>
      </w:r>
      <w:r w:rsidRPr="0004692B">
        <w:rPr>
          <w:rFonts w:ascii="Calibri" w:hAnsi="Calibri" w:cs="Calibri"/>
        </w:rPr>
        <w:t xml:space="preserve"> are </w:t>
      </w:r>
      <w:r>
        <w:rPr>
          <w:rFonts w:ascii="Calibri" w:hAnsi="Calibri" w:cs="Calibri"/>
        </w:rPr>
        <w:t>not referred to</w:t>
      </w:r>
      <w:r w:rsidRPr="0004692B">
        <w:rPr>
          <w:rFonts w:ascii="Calibri" w:hAnsi="Calibri" w:cs="Calibri"/>
        </w:rPr>
        <w:t xml:space="preserve"> by themselves</w:t>
      </w:r>
      <w:r>
        <w:rPr>
          <w:rFonts w:ascii="Calibri" w:hAnsi="Calibri" w:cs="Calibri"/>
        </w:rPr>
        <w:t xml:space="preserve"> </w:t>
      </w:r>
      <w:r w:rsidRPr="0004692B">
        <w:rPr>
          <w:rFonts w:ascii="Calibri" w:hAnsi="Calibri" w:cs="Calibri"/>
        </w:rPr>
        <w:t>perhaps impli</w:t>
      </w:r>
      <w:r>
        <w:rPr>
          <w:rFonts w:ascii="Calibri" w:hAnsi="Calibri" w:cs="Calibri"/>
        </w:rPr>
        <w:t xml:space="preserve">es </w:t>
      </w:r>
      <w:r w:rsidRPr="0004692B">
        <w:rPr>
          <w:rFonts w:ascii="Calibri" w:hAnsi="Calibri" w:cs="Calibri"/>
        </w:rPr>
        <w:t xml:space="preserve">that </w:t>
      </w:r>
      <w:r>
        <w:rPr>
          <w:rFonts w:ascii="Calibri" w:hAnsi="Calibri" w:cs="Calibri"/>
        </w:rPr>
        <w:t>objects</w:t>
      </w:r>
      <w:r w:rsidRPr="0004692B">
        <w:rPr>
          <w:rFonts w:ascii="Calibri" w:hAnsi="Calibri" w:cs="Calibri"/>
        </w:rPr>
        <w:t xml:space="preserve"> are not themselves important – it is the combination of object and warrior which is significant. In some ways, this allows for torcs to be purely symbolic</w:t>
      </w:r>
      <w:r>
        <w:rPr>
          <w:rFonts w:ascii="Calibri" w:hAnsi="Calibri" w:cs="Calibri"/>
        </w:rPr>
        <w:t xml:space="preserve"> objects</w:t>
      </w:r>
      <w:r w:rsidRPr="0004692B">
        <w:rPr>
          <w:rFonts w:ascii="Calibri" w:hAnsi="Calibri" w:cs="Calibri"/>
        </w:rPr>
        <w:t>, for poetic purposes, rather than describing- even in an embellished way - the material culture of the society in which the poem was composed.</w:t>
      </w:r>
      <w:r>
        <w:rPr>
          <w:rFonts w:ascii="Calibri" w:hAnsi="Calibri" w:cs="Calibri"/>
        </w:rPr>
        <w:t xml:space="preserve"> However, the torc could be both motif and actual object – weapons, drinking implements and adornments such as brooches serve this literary purpose also, but this does not mean they were not also real objects and continued to be. In any case, its connection to a warrior elite whose primary function was war bears similarities to the warrior culture of the iron-age. </w:t>
      </w:r>
    </w:p>
    <w:p w14:paraId="499BA5C3" w14:textId="77777777" w:rsidR="005F1A99" w:rsidRDefault="005F1A99" w:rsidP="005F1A99">
      <w:pPr>
        <w:jc w:val="both"/>
        <w:rPr>
          <w:rFonts w:ascii="Calibri" w:hAnsi="Calibri" w:cs="Calibri"/>
          <w:u w:val="single"/>
        </w:rPr>
      </w:pPr>
      <w:r w:rsidRPr="0086725C">
        <w:rPr>
          <w:rFonts w:ascii="Calibri" w:hAnsi="Calibri" w:cs="Calibri"/>
          <w:u w:val="single"/>
        </w:rPr>
        <w:t>Royal adornment</w:t>
      </w:r>
    </w:p>
    <w:p w14:paraId="73330CF8" w14:textId="2DEF12A7" w:rsidR="005F1A99" w:rsidRPr="009C00E4" w:rsidRDefault="005F1A99" w:rsidP="005F1A99">
      <w:pPr>
        <w:jc w:val="both"/>
        <w:rPr>
          <w:rFonts w:ascii="Calibri" w:hAnsi="Calibri" w:cs="Calibri"/>
        </w:rPr>
      </w:pPr>
      <w:r>
        <w:rPr>
          <w:rFonts w:ascii="Calibri" w:hAnsi="Calibri" w:cs="Calibri"/>
        </w:rPr>
        <w:t xml:space="preserve">Cessford suggests that the reason torcs are mentioned so frequently in the poem, because they are mostly adornments of warriors rather than </w:t>
      </w:r>
      <w:r w:rsidRPr="00081486">
        <w:rPr>
          <w:rFonts w:ascii="Calibri" w:hAnsi="Calibri" w:cs="Calibri"/>
        </w:rPr>
        <w:t>kings</w:t>
      </w:r>
      <w:r w:rsidR="00B938DD">
        <w:rPr>
          <w:rFonts w:ascii="Calibri" w:hAnsi="Calibri" w:cs="Calibri"/>
        </w:rPr>
        <w:t xml:space="preserve">, who wore </w:t>
      </w:r>
      <w:r w:rsidR="00B938DD">
        <w:rPr>
          <w:rFonts w:ascii="Calibri" w:hAnsi="Calibri" w:cs="Calibri"/>
          <w:i/>
          <w:iCs/>
        </w:rPr>
        <w:t xml:space="preserve">hual </w:t>
      </w:r>
      <w:r w:rsidR="00B938DD">
        <w:rPr>
          <w:rFonts w:ascii="Calibri" w:hAnsi="Calibri" w:cs="Calibri"/>
        </w:rPr>
        <w:t>(chains)</w:t>
      </w:r>
      <w:r w:rsidRPr="00081486">
        <w:rPr>
          <w:rFonts w:ascii="Calibri" w:hAnsi="Calibri" w:cs="Calibri"/>
        </w:rPr>
        <w:t>.</w:t>
      </w:r>
      <w:r w:rsidRPr="00081486">
        <w:rPr>
          <w:rFonts w:ascii="Calibri" w:hAnsi="Calibri" w:cs="Calibri"/>
          <w:vertAlign w:val="superscript"/>
        </w:rPr>
        <w:footnoteReference w:id="33"/>
      </w:r>
      <w:r w:rsidRPr="00081486">
        <w:rPr>
          <w:rFonts w:ascii="Calibri" w:hAnsi="Calibri" w:cs="Calibri"/>
        </w:rPr>
        <w:t xml:space="preserve"> </w:t>
      </w:r>
      <w:r>
        <w:rPr>
          <w:rFonts w:ascii="Calibri" w:hAnsi="Calibri" w:cs="Calibri"/>
        </w:rPr>
        <w:t xml:space="preserve">The poem, however, specifically connects torc-wearing to kings or princes. The three gold-torqued kings of line 195 have already been mentioned; and in line 258 </w:t>
      </w:r>
      <w:r w:rsidRPr="005A5CE4">
        <w:rPr>
          <w:rFonts w:ascii="Calibri" w:hAnsi="Calibri" w:cs="Calibri"/>
        </w:rPr>
        <w:t xml:space="preserve">Llif is described as a </w:t>
      </w:r>
      <w:r>
        <w:rPr>
          <w:rFonts w:ascii="Calibri" w:hAnsi="Calibri" w:cs="Calibri"/>
        </w:rPr>
        <w:t>‘</w:t>
      </w:r>
      <w:r w:rsidRPr="005A5CE4">
        <w:rPr>
          <w:rFonts w:ascii="Calibri" w:hAnsi="Calibri" w:cs="Calibri"/>
        </w:rPr>
        <w:t>princely hero</w:t>
      </w:r>
      <w:r>
        <w:rPr>
          <w:rFonts w:ascii="Calibri" w:hAnsi="Calibri" w:cs="Calibri"/>
        </w:rPr>
        <w:t>.’</w:t>
      </w:r>
      <w:r w:rsidRPr="005A5CE4">
        <w:rPr>
          <w:rFonts w:ascii="Calibri" w:hAnsi="Calibri" w:cs="Calibri"/>
        </w:rPr>
        <w:t xml:space="preserve"> </w:t>
      </w:r>
      <w:r w:rsidRPr="00C00E1A">
        <w:rPr>
          <w:rFonts w:ascii="Calibri" w:hAnsi="Calibri" w:cs="Calibri"/>
        </w:rPr>
        <w:t>Lines 927-939</w:t>
      </w:r>
      <w:r>
        <w:rPr>
          <w:rFonts w:ascii="Calibri" w:hAnsi="Calibri" w:cs="Calibri"/>
        </w:rPr>
        <w:t xml:space="preserve"> state that Heinif slew one hundred gold-torqued princes. This theme is continued in the later medieval poetry of the Princes, as shall be shown in a subsequent chapter, and in later prose also: </w:t>
      </w:r>
      <w:r w:rsidR="006033AE">
        <w:rPr>
          <w:rFonts w:ascii="Calibri" w:hAnsi="Calibri" w:cs="Calibri"/>
        </w:rPr>
        <w:t>T</w:t>
      </w:r>
      <w:r>
        <w:rPr>
          <w:rFonts w:ascii="Calibri" w:hAnsi="Calibri" w:cs="Calibri"/>
        </w:rPr>
        <w:t xml:space="preserve">he </w:t>
      </w:r>
      <w:r w:rsidR="006033AE">
        <w:rPr>
          <w:rFonts w:ascii="Calibri" w:hAnsi="Calibri" w:cs="Calibri"/>
        </w:rPr>
        <w:t>D</w:t>
      </w:r>
      <w:r>
        <w:rPr>
          <w:rFonts w:ascii="Calibri" w:hAnsi="Calibri" w:cs="Calibri"/>
        </w:rPr>
        <w:t xml:space="preserve">ream of Macsen </w:t>
      </w:r>
      <w:r w:rsidR="00943BA3">
        <w:rPr>
          <w:rFonts w:ascii="Calibri" w:hAnsi="Calibri" w:cs="Calibri"/>
        </w:rPr>
        <w:t xml:space="preserve">Wledig </w:t>
      </w:r>
      <w:r w:rsidR="006033AE">
        <w:rPr>
          <w:rFonts w:ascii="Calibri" w:hAnsi="Calibri" w:cs="Calibri"/>
        </w:rPr>
        <w:t>depicts</w:t>
      </w:r>
      <w:r>
        <w:rPr>
          <w:rFonts w:ascii="Calibri" w:hAnsi="Calibri" w:cs="Calibri"/>
        </w:rPr>
        <w:t xml:space="preserve"> a torc-wearing </w:t>
      </w:r>
      <w:r w:rsidR="00CC697F">
        <w:rPr>
          <w:rFonts w:ascii="Calibri" w:hAnsi="Calibri" w:cs="Calibri"/>
        </w:rPr>
        <w:t>King</w:t>
      </w:r>
      <w:r>
        <w:rPr>
          <w:rFonts w:ascii="Calibri" w:hAnsi="Calibri" w:cs="Calibri"/>
        </w:rPr>
        <w:t>. Whatever the social and material reality of torc-wearing in early medieval Britain, the poem does not suggest that torcs are only worn by the warrior class rather than the ruler.</w:t>
      </w:r>
    </w:p>
    <w:p w14:paraId="08856BDA" w14:textId="77777777" w:rsidR="005F1A99" w:rsidRPr="0002157B" w:rsidRDefault="005F1A99" w:rsidP="005F1A99">
      <w:pPr>
        <w:jc w:val="both"/>
        <w:rPr>
          <w:rFonts w:ascii="Calibri" w:hAnsi="Calibri" w:cs="Calibri"/>
          <w:u w:val="single"/>
        </w:rPr>
      </w:pPr>
      <w:r w:rsidRPr="0002157B">
        <w:rPr>
          <w:rFonts w:ascii="Calibri" w:hAnsi="Calibri" w:cs="Calibri"/>
          <w:u w:val="single"/>
        </w:rPr>
        <w:t xml:space="preserve">Including ‘foreign’ warriors in the warband </w:t>
      </w:r>
    </w:p>
    <w:p w14:paraId="01873116" w14:textId="26DD851E" w:rsidR="005F1A99" w:rsidRDefault="005F1A99" w:rsidP="005F1A99">
      <w:pPr>
        <w:jc w:val="both"/>
        <w:rPr>
          <w:rFonts w:ascii="Calibri" w:hAnsi="Calibri" w:cs="Calibri"/>
        </w:rPr>
      </w:pPr>
      <w:r>
        <w:rPr>
          <w:rFonts w:ascii="Calibri" w:hAnsi="Calibri" w:cs="Calibri"/>
        </w:rPr>
        <w:t xml:space="preserve">In several instances where individuals are described as wearing torcs, as opposed to the whole warband, the warriors are said to have travelled from other parts of Britain to join the expedition. </w:t>
      </w:r>
      <w:r w:rsidRPr="00FE589B">
        <w:rPr>
          <w:rFonts w:ascii="Calibri" w:hAnsi="Calibri" w:cs="Calibri"/>
        </w:rPr>
        <w:t xml:space="preserve">Gwefrfawr is from Gwynedd (line 53) </w:t>
      </w:r>
      <w:r>
        <w:rPr>
          <w:rFonts w:ascii="Calibri" w:hAnsi="Calibri" w:cs="Calibri"/>
        </w:rPr>
        <w:t>and</w:t>
      </w:r>
      <w:r w:rsidRPr="00BC4FA0">
        <w:rPr>
          <w:rFonts w:ascii="Calibri" w:hAnsi="Calibri" w:cs="Calibri"/>
        </w:rPr>
        <w:t xml:space="preserve"> </w:t>
      </w:r>
      <w:r>
        <w:rPr>
          <w:rFonts w:ascii="Calibri" w:hAnsi="Calibri" w:cs="Calibri"/>
        </w:rPr>
        <w:t xml:space="preserve">at least one of the three gold-torqued Kings – Cynrain – is said to be from </w:t>
      </w:r>
      <w:r>
        <w:rPr>
          <w:rFonts w:ascii="Calibri" w:hAnsi="Calibri" w:cs="Calibri"/>
          <w:i/>
          <w:iCs/>
        </w:rPr>
        <w:t xml:space="preserve">Aeron, </w:t>
      </w:r>
      <w:r>
        <w:rPr>
          <w:rFonts w:ascii="Calibri" w:hAnsi="Calibri" w:cs="Calibri"/>
        </w:rPr>
        <w:t>another Brittonic Kingdom in the Hen Ogledd</w:t>
      </w:r>
      <w:r>
        <w:rPr>
          <w:rFonts w:ascii="Calibri" w:hAnsi="Calibri" w:cs="Calibri"/>
          <w:i/>
          <w:iCs/>
        </w:rPr>
        <w:t xml:space="preserve"> </w:t>
      </w:r>
      <w:r>
        <w:rPr>
          <w:rFonts w:ascii="Calibri" w:hAnsi="Calibri" w:cs="Calibri"/>
        </w:rPr>
        <w:t>(line 206); b</w:t>
      </w:r>
      <w:r w:rsidRPr="002D0D77">
        <w:rPr>
          <w:rFonts w:ascii="Calibri" w:hAnsi="Calibri" w:cs="Calibri"/>
        </w:rPr>
        <w:t xml:space="preserve">y implication, </w:t>
      </w:r>
      <w:r>
        <w:rPr>
          <w:rFonts w:ascii="Calibri" w:hAnsi="Calibri" w:cs="Calibri"/>
        </w:rPr>
        <w:t>it</w:t>
      </w:r>
      <w:r w:rsidRPr="002D0D77">
        <w:rPr>
          <w:rFonts w:ascii="Calibri" w:hAnsi="Calibri" w:cs="Calibri"/>
        </w:rPr>
        <w:t xml:space="preserve"> can </w:t>
      </w:r>
      <w:r>
        <w:rPr>
          <w:rFonts w:ascii="Calibri" w:hAnsi="Calibri" w:cs="Calibri"/>
        </w:rPr>
        <w:t xml:space="preserve">be </w:t>
      </w:r>
      <w:r w:rsidRPr="002D0D77">
        <w:rPr>
          <w:rFonts w:ascii="Calibri" w:hAnsi="Calibri" w:cs="Calibri"/>
        </w:rPr>
        <w:t>assume</w:t>
      </w:r>
      <w:r>
        <w:rPr>
          <w:rFonts w:ascii="Calibri" w:hAnsi="Calibri" w:cs="Calibri"/>
        </w:rPr>
        <w:t>d that</w:t>
      </w:r>
      <w:r w:rsidRPr="002D0D77">
        <w:rPr>
          <w:rFonts w:ascii="Calibri" w:hAnsi="Calibri" w:cs="Calibri"/>
        </w:rPr>
        <w:t xml:space="preserve"> the other </w:t>
      </w:r>
      <w:r w:rsidR="00583F56">
        <w:rPr>
          <w:rFonts w:ascii="Calibri" w:hAnsi="Calibri" w:cs="Calibri"/>
        </w:rPr>
        <w:t>two</w:t>
      </w:r>
      <w:r w:rsidRPr="002D0D77">
        <w:rPr>
          <w:rFonts w:ascii="Calibri" w:hAnsi="Calibri" w:cs="Calibri"/>
        </w:rPr>
        <w:t xml:space="preserve"> are from kingdoms</w:t>
      </w:r>
      <w:r>
        <w:rPr>
          <w:rFonts w:ascii="Calibri" w:hAnsi="Calibri" w:cs="Calibri"/>
        </w:rPr>
        <w:t xml:space="preserve"> </w:t>
      </w:r>
      <w:r w:rsidR="003F06D8">
        <w:rPr>
          <w:rFonts w:ascii="Calibri" w:hAnsi="Calibri" w:cs="Calibri"/>
        </w:rPr>
        <w:t>outside</w:t>
      </w:r>
      <w:r>
        <w:rPr>
          <w:rFonts w:ascii="Calibri" w:hAnsi="Calibri" w:cs="Calibri"/>
        </w:rPr>
        <w:t xml:space="preserve"> Gododdin. Describing them as wearing torcs potentially serves as a way of including them in the warband despite being foreigners (as fellow </w:t>
      </w:r>
      <w:r>
        <w:rPr>
          <w:rFonts w:ascii="Calibri" w:hAnsi="Calibri" w:cs="Calibri"/>
        </w:rPr>
        <w:lastRenderedPageBreak/>
        <w:t xml:space="preserve">Britons about to face the invading Angles, perhaps the Gododdin would have seen these warriors more as kin, but the poem does call Llif </w:t>
      </w:r>
      <w:r>
        <w:rPr>
          <w:rFonts w:ascii="Calibri" w:hAnsi="Calibri" w:cs="Calibri"/>
          <w:i/>
          <w:iCs/>
        </w:rPr>
        <w:t xml:space="preserve">alltud farchawg - </w:t>
      </w:r>
      <w:r>
        <w:rPr>
          <w:rFonts w:ascii="Calibri" w:hAnsi="Calibri" w:cs="Calibri"/>
        </w:rPr>
        <w:t>‘foreign horseman’</w:t>
      </w:r>
      <w:r w:rsidR="002F07CF">
        <w:rPr>
          <w:rFonts w:ascii="Calibri" w:hAnsi="Calibri" w:cs="Calibri"/>
        </w:rPr>
        <w:t xml:space="preserve"> </w:t>
      </w:r>
      <w:r w:rsidR="00881CFA">
        <w:rPr>
          <w:rFonts w:ascii="Calibri" w:hAnsi="Calibri" w:cs="Calibri"/>
        </w:rPr>
        <w:t>in</w:t>
      </w:r>
      <w:r w:rsidR="002F07CF">
        <w:rPr>
          <w:rFonts w:ascii="Calibri" w:hAnsi="Calibri" w:cs="Calibri"/>
        </w:rPr>
        <w:t xml:space="preserve"> line 259</w:t>
      </w:r>
      <w:r>
        <w:rPr>
          <w:rFonts w:ascii="Calibri" w:hAnsi="Calibri" w:cs="Calibri"/>
        </w:rPr>
        <w:t xml:space="preserve">). </w:t>
      </w:r>
    </w:p>
    <w:p w14:paraId="3A72D6E2" w14:textId="590BC41C" w:rsidR="005F1A99" w:rsidRPr="00FE589B" w:rsidRDefault="005F1A99" w:rsidP="005F1A99">
      <w:pPr>
        <w:jc w:val="both"/>
        <w:rPr>
          <w:rFonts w:ascii="Calibri" w:hAnsi="Calibri" w:cs="Calibri"/>
        </w:rPr>
      </w:pPr>
      <w:r w:rsidRPr="002D0D77">
        <w:rPr>
          <w:rFonts w:ascii="Calibri" w:hAnsi="Calibri" w:cs="Calibri"/>
        </w:rPr>
        <w:t>The</w:t>
      </w:r>
      <w:r>
        <w:rPr>
          <w:rFonts w:ascii="Calibri" w:hAnsi="Calibri" w:cs="Calibri"/>
        </w:rPr>
        <w:t xml:space="preserve"> k</w:t>
      </w:r>
      <w:r w:rsidRPr="002D0D77">
        <w:rPr>
          <w:rFonts w:ascii="Calibri" w:hAnsi="Calibri" w:cs="Calibri"/>
        </w:rPr>
        <w:t xml:space="preserve">ings are </w:t>
      </w:r>
      <w:r w:rsidR="00E43E1B">
        <w:rPr>
          <w:rFonts w:ascii="Calibri" w:hAnsi="Calibri" w:cs="Calibri"/>
        </w:rPr>
        <w:t xml:space="preserve">also </w:t>
      </w:r>
      <w:r w:rsidRPr="002D0D77">
        <w:rPr>
          <w:rFonts w:ascii="Calibri" w:hAnsi="Calibri" w:cs="Calibri"/>
        </w:rPr>
        <w:t xml:space="preserve">said to </w:t>
      </w:r>
      <w:r>
        <w:rPr>
          <w:rFonts w:ascii="Calibri" w:hAnsi="Calibri" w:cs="Calibri"/>
        </w:rPr>
        <w:t>be ‘of the Bython’ (line 204)</w:t>
      </w:r>
      <w:r w:rsidRPr="002D0D77">
        <w:rPr>
          <w:rFonts w:ascii="Calibri" w:hAnsi="Calibri" w:cs="Calibri"/>
        </w:rPr>
        <w:t>.  If this</w:t>
      </w:r>
      <w:r>
        <w:rPr>
          <w:rFonts w:ascii="Calibri" w:hAnsi="Calibri" w:cs="Calibri"/>
        </w:rPr>
        <w:t xml:space="preserve"> can be taken</w:t>
      </w:r>
      <w:r w:rsidRPr="002D0D77">
        <w:rPr>
          <w:rFonts w:ascii="Calibri" w:hAnsi="Calibri" w:cs="Calibri"/>
        </w:rPr>
        <w:t xml:space="preserve"> </w:t>
      </w:r>
      <w:r>
        <w:rPr>
          <w:rFonts w:ascii="Calibri" w:hAnsi="Calibri" w:cs="Calibri"/>
        </w:rPr>
        <w:t>as</w:t>
      </w:r>
      <w:r w:rsidRPr="002D0D77">
        <w:rPr>
          <w:rFonts w:ascii="Calibri" w:hAnsi="Calibri" w:cs="Calibri"/>
        </w:rPr>
        <w:t xml:space="preserve"> a generic term for the native British, then </w:t>
      </w:r>
      <w:r>
        <w:rPr>
          <w:rFonts w:ascii="Calibri" w:hAnsi="Calibri" w:cs="Calibri"/>
        </w:rPr>
        <w:t xml:space="preserve">the torcs could </w:t>
      </w:r>
      <w:r w:rsidR="005A52F3">
        <w:rPr>
          <w:rFonts w:ascii="Calibri" w:hAnsi="Calibri" w:cs="Calibri"/>
        </w:rPr>
        <w:t xml:space="preserve">also </w:t>
      </w:r>
      <w:r>
        <w:rPr>
          <w:rFonts w:ascii="Calibri" w:hAnsi="Calibri" w:cs="Calibri"/>
        </w:rPr>
        <w:t>infer</w:t>
      </w:r>
      <w:r w:rsidRPr="002D0D77">
        <w:rPr>
          <w:rFonts w:ascii="Calibri" w:hAnsi="Calibri" w:cs="Calibri"/>
        </w:rPr>
        <w:t xml:space="preserve"> </w:t>
      </w:r>
      <w:r>
        <w:rPr>
          <w:rFonts w:ascii="Calibri" w:hAnsi="Calibri" w:cs="Calibri"/>
        </w:rPr>
        <w:t>British ethnicity (</w:t>
      </w:r>
      <w:r w:rsidRPr="002D0D77">
        <w:rPr>
          <w:rFonts w:ascii="Calibri" w:hAnsi="Calibri" w:cs="Calibri"/>
        </w:rPr>
        <w:t>although the</w:t>
      </w:r>
      <w:r>
        <w:rPr>
          <w:rFonts w:ascii="Calibri" w:hAnsi="Calibri" w:cs="Calibri"/>
        </w:rPr>
        <w:t xml:space="preserve"> references to their torc wearing and their identity as Britons</w:t>
      </w:r>
      <w:r w:rsidRPr="002D0D77">
        <w:rPr>
          <w:rFonts w:ascii="Calibri" w:hAnsi="Calibri" w:cs="Calibri"/>
        </w:rPr>
        <w:t xml:space="preserve"> </w:t>
      </w:r>
      <w:r>
        <w:rPr>
          <w:rFonts w:ascii="Calibri" w:hAnsi="Calibri" w:cs="Calibri"/>
        </w:rPr>
        <w:t xml:space="preserve">do not appear in the same line and </w:t>
      </w:r>
      <w:r w:rsidRPr="002D0D77">
        <w:rPr>
          <w:rFonts w:ascii="Calibri" w:hAnsi="Calibri" w:cs="Calibri"/>
        </w:rPr>
        <w:t>are not closely connected</w:t>
      </w:r>
      <w:r>
        <w:rPr>
          <w:rFonts w:ascii="Calibri" w:hAnsi="Calibri" w:cs="Calibri"/>
        </w:rPr>
        <w:t>)</w:t>
      </w:r>
      <w:r w:rsidRPr="002D0D77">
        <w:rPr>
          <w:rFonts w:ascii="Calibri" w:hAnsi="Calibri" w:cs="Calibri"/>
        </w:rPr>
        <w:t xml:space="preserve">. </w:t>
      </w:r>
      <w:r>
        <w:rPr>
          <w:rFonts w:ascii="Calibri" w:hAnsi="Calibri" w:cs="Calibri"/>
        </w:rPr>
        <w:t xml:space="preserve">One potential issue with this theory is that </w:t>
      </w:r>
      <w:r w:rsidRPr="00C00E1A">
        <w:rPr>
          <w:rFonts w:ascii="Calibri" w:hAnsi="Calibri" w:cs="Calibri"/>
        </w:rPr>
        <w:t>Llif</w:t>
      </w:r>
      <w:r>
        <w:rPr>
          <w:rFonts w:ascii="Calibri" w:hAnsi="Calibri" w:cs="Calibri"/>
        </w:rPr>
        <w:t xml:space="preserve"> is said to be</w:t>
      </w:r>
      <w:r w:rsidRPr="00C00E1A">
        <w:rPr>
          <w:rFonts w:ascii="Calibri" w:hAnsi="Calibri" w:cs="Calibri"/>
        </w:rPr>
        <w:t xml:space="preserve"> from </w:t>
      </w:r>
      <w:r>
        <w:rPr>
          <w:rFonts w:ascii="Calibri" w:hAnsi="Calibri" w:cs="Calibri"/>
          <w:i/>
          <w:iCs/>
        </w:rPr>
        <w:t xml:space="preserve">beyond </w:t>
      </w:r>
      <w:r w:rsidRPr="00BC4FA0">
        <w:rPr>
          <w:rFonts w:ascii="Calibri" w:hAnsi="Calibri" w:cs="Calibri"/>
          <w:i/>
          <w:iCs/>
        </w:rPr>
        <w:t>Bann</w:t>
      </w:r>
      <w:r>
        <w:rPr>
          <w:rFonts w:ascii="Calibri" w:hAnsi="Calibri" w:cs="Calibri"/>
          <w:i/>
          <w:iCs/>
        </w:rPr>
        <w:t>o</w:t>
      </w:r>
      <w:r w:rsidRPr="00BC4FA0">
        <w:rPr>
          <w:rFonts w:ascii="Calibri" w:hAnsi="Calibri" w:cs="Calibri"/>
          <w:i/>
          <w:iCs/>
        </w:rPr>
        <w:t xml:space="preserve">g </w:t>
      </w:r>
      <w:r>
        <w:rPr>
          <w:rFonts w:ascii="Calibri" w:hAnsi="Calibri" w:cs="Calibri"/>
        </w:rPr>
        <w:t>(Strathclyde)</w:t>
      </w:r>
      <w:r w:rsidRPr="00C00E1A">
        <w:rPr>
          <w:rFonts w:ascii="Calibri" w:hAnsi="Calibri" w:cs="Calibri"/>
        </w:rPr>
        <w:t xml:space="preserve"> </w:t>
      </w:r>
      <w:r>
        <w:rPr>
          <w:rFonts w:ascii="Calibri" w:hAnsi="Calibri" w:cs="Calibri"/>
        </w:rPr>
        <w:t>(</w:t>
      </w:r>
      <w:r w:rsidRPr="00C00E1A">
        <w:rPr>
          <w:rFonts w:ascii="Calibri" w:hAnsi="Calibri" w:cs="Calibri"/>
        </w:rPr>
        <w:t>line 256</w:t>
      </w:r>
      <w:r>
        <w:rPr>
          <w:rFonts w:ascii="Calibri" w:hAnsi="Calibri" w:cs="Calibri"/>
        </w:rPr>
        <w:t>). Cessford argues that this makes Llif a Pict.</w:t>
      </w:r>
      <w:r>
        <w:rPr>
          <w:rStyle w:val="FootnoteReference"/>
          <w:rFonts w:ascii="Calibri" w:hAnsi="Calibri" w:cs="Calibri"/>
        </w:rPr>
        <w:footnoteReference w:id="34"/>
      </w:r>
      <w:r>
        <w:rPr>
          <w:rFonts w:ascii="Calibri" w:hAnsi="Calibri" w:cs="Calibri"/>
        </w:rPr>
        <w:t xml:space="preserve"> Either this means the composer considered Picts kin in an ethnic sense, or it is the esception to the rule here, making the theory somewhat less plausible.</w:t>
      </w:r>
    </w:p>
    <w:p w14:paraId="62AA774A" w14:textId="77777777" w:rsidR="005F1A99" w:rsidRPr="000B0062" w:rsidRDefault="005F1A99" w:rsidP="005F1A99">
      <w:pPr>
        <w:jc w:val="both"/>
        <w:rPr>
          <w:rFonts w:ascii="Calibri" w:hAnsi="Calibri" w:cs="Calibri"/>
          <w:u w:val="single"/>
        </w:rPr>
      </w:pPr>
      <w:r w:rsidRPr="00F051C6">
        <w:rPr>
          <w:rFonts w:ascii="Calibri" w:hAnsi="Calibri" w:cs="Calibri"/>
          <w:i/>
          <w:iCs/>
          <w:u w:val="single"/>
        </w:rPr>
        <w:t>Eurdorchogion</w:t>
      </w:r>
      <w:r>
        <w:rPr>
          <w:rFonts w:ascii="Calibri" w:hAnsi="Calibri" w:cs="Calibri"/>
          <w:u w:val="single"/>
        </w:rPr>
        <w:t xml:space="preserve"> as the ‘Knights’ of Gododdin?</w:t>
      </w:r>
    </w:p>
    <w:p w14:paraId="40AF395C" w14:textId="77777777" w:rsidR="005F1A99" w:rsidRPr="00FE589B" w:rsidRDefault="005F1A99" w:rsidP="005F1A99">
      <w:pPr>
        <w:jc w:val="both"/>
        <w:rPr>
          <w:rFonts w:ascii="Calibri" w:hAnsi="Calibri" w:cs="Calibri"/>
        </w:rPr>
      </w:pPr>
      <w:r w:rsidRPr="00FE589B">
        <w:rPr>
          <w:rFonts w:ascii="Calibri" w:hAnsi="Calibri" w:cs="Calibri"/>
        </w:rPr>
        <w:t xml:space="preserve">Alaw Mai Jones </w:t>
      </w:r>
      <w:r>
        <w:rPr>
          <w:rFonts w:ascii="Calibri" w:hAnsi="Calibri" w:cs="Calibri"/>
        </w:rPr>
        <w:t>suggests</w:t>
      </w:r>
      <w:r w:rsidRPr="00FE589B">
        <w:rPr>
          <w:rFonts w:ascii="Calibri" w:hAnsi="Calibri" w:cs="Calibri"/>
        </w:rPr>
        <w:t xml:space="preserve"> </w:t>
      </w:r>
      <w:r>
        <w:rPr>
          <w:rFonts w:ascii="Calibri" w:hAnsi="Calibri" w:cs="Calibri"/>
          <w:lang w:val="en"/>
        </w:rPr>
        <w:t>t</w:t>
      </w:r>
      <w:r w:rsidRPr="00FE589B">
        <w:rPr>
          <w:rFonts w:ascii="Calibri" w:hAnsi="Calibri" w:cs="Calibri"/>
          <w:lang w:val="en"/>
        </w:rPr>
        <w:t>he</w:t>
      </w:r>
      <w:r>
        <w:rPr>
          <w:rFonts w:ascii="Calibri" w:hAnsi="Calibri" w:cs="Calibri"/>
          <w:lang w:val="en"/>
        </w:rPr>
        <w:t xml:space="preserve"> torcs’</w:t>
      </w:r>
      <w:r w:rsidRPr="00FE589B">
        <w:rPr>
          <w:rFonts w:ascii="Calibri" w:hAnsi="Calibri" w:cs="Calibri"/>
          <w:lang w:val="en"/>
        </w:rPr>
        <w:t xml:space="preserve"> purpose</w:t>
      </w:r>
      <w:r>
        <w:rPr>
          <w:rFonts w:ascii="Calibri" w:hAnsi="Calibri" w:cs="Calibri"/>
          <w:lang w:val="en"/>
        </w:rPr>
        <w:t xml:space="preserve"> in the poem</w:t>
      </w:r>
      <w:r w:rsidRPr="00FE589B">
        <w:rPr>
          <w:rFonts w:ascii="Calibri" w:hAnsi="Calibri" w:cs="Calibri"/>
          <w:lang w:val="en"/>
        </w:rPr>
        <w:t xml:space="preserve"> </w:t>
      </w:r>
      <w:r>
        <w:rPr>
          <w:rFonts w:ascii="Calibri" w:hAnsi="Calibri" w:cs="Calibri"/>
          <w:lang w:val="en"/>
        </w:rPr>
        <w:t>is to</w:t>
      </w:r>
      <w:r w:rsidRPr="00FE589B">
        <w:rPr>
          <w:rFonts w:ascii="Calibri" w:hAnsi="Calibri" w:cs="Calibri"/>
          <w:lang w:val="en"/>
        </w:rPr>
        <w:t xml:space="preserve"> signify </w:t>
      </w:r>
      <w:r>
        <w:rPr>
          <w:rFonts w:ascii="Calibri" w:hAnsi="Calibri" w:cs="Calibri"/>
          <w:lang w:val="en"/>
        </w:rPr>
        <w:t>military,</w:t>
      </w:r>
      <w:r w:rsidRPr="00FE589B">
        <w:rPr>
          <w:rFonts w:ascii="Calibri" w:hAnsi="Calibri" w:cs="Calibri"/>
          <w:lang w:val="en"/>
        </w:rPr>
        <w:t xml:space="preserve"> royal or political statu</w:t>
      </w:r>
      <w:r>
        <w:rPr>
          <w:rFonts w:ascii="Calibri" w:hAnsi="Calibri" w:cs="Calibri"/>
          <w:lang w:val="en"/>
        </w:rPr>
        <w:t>s.</w:t>
      </w:r>
      <w:r w:rsidRPr="00FE589B">
        <w:rPr>
          <w:rFonts w:ascii="Calibri" w:hAnsi="Calibri" w:cs="Calibri"/>
          <w:vertAlign w:val="superscript"/>
          <w:lang w:val="en"/>
        </w:rPr>
        <w:footnoteReference w:id="35"/>
      </w:r>
      <w:r w:rsidRPr="00FE589B">
        <w:rPr>
          <w:rFonts w:ascii="Calibri" w:hAnsi="Calibri" w:cs="Calibri"/>
          <w:lang w:val="en"/>
        </w:rPr>
        <w:t xml:space="preserve"> This seems to fit both the status of the warband at large and the specific individuals mentioned as torc-wearers</w:t>
      </w:r>
      <w:r>
        <w:rPr>
          <w:rFonts w:ascii="Calibri" w:hAnsi="Calibri" w:cs="Calibri"/>
          <w:lang w:val="en"/>
        </w:rPr>
        <w:t>.</w:t>
      </w:r>
    </w:p>
    <w:p w14:paraId="1D385258" w14:textId="68CFE087" w:rsidR="005F1A99" w:rsidRDefault="005F1A99" w:rsidP="005F1A99">
      <w:pPr>
        <w:jc w:val="both"/>
        <w:rPr>
          <w:rFonts w:ascii="Calibri" w:hAnsi="Calibri" w:cs="Calibri"/>
        </w:rPr>
      </w:pPr>
      <w:r>
        <w:rPr>
          <w:rFonts w:ascii="Calibri" w:hAnsi="Calibri" w:cs="Calibri"/>
        </w:rPr>
        <w:t>I</w:t>
      </w:r>
      <w:r w:rsidRPr="00FE589B">
        <w:rPr>
          <w:rFonts w:ascii="Calibri" w:hAnsi="Calibri" w:cs="Calibri"/>
        </w:rPr>
        <w:t xml:space="preserve">t is the only </w:t>
      </w:r>
      <w:r>
        <w:rPr>
          <w:rFonts w:ascii="Calibri" w:hAnsi="Calibri" w:cs="Calibri"/>
        </w:rPr>
        <w:t>adornment</w:t>
      </w:r>
      <w:r w:rsidR="001501F6">
        <w:rPr>
          <w:rFonts w:ascii="Calibri" w:hAnsi="Calibri" w:cs="Calibri"/>
        </w:rPr>
        <w:t>-based epithet</w:t>
      </w:r>
      <w:r w:rsidR="006C43F7">
        <w:rPr>
          <w:rFonts w:ascii="Calibri" w:hAnsi="Calibri" w:cs="Calibri"/>
        </w:rPr>
        <w:t xml:space="preserve"> </w:t>
      </w:r>
      <w:r w:rsidR="00F860ED">
        <w:rPr>
          <w:rFonts w:ascii="Calibri" w:hAnsi="Calibri" w:cs="Calibri"/>
        </w:rPr>
        <w:t xml:space="preserve">used </w:t>
      </w:r>
      <w:r w:rsidRPr="00FE589B">
        <w:rPr>
          <w:rFonts w:ascii="Calibri" w:hAnsi="Calibri" w:cs="Calibri"/>
        </w:rPr>
        <w:t xml:space="preserve">to </w:t>
      </w:r>
      <w:r>
        <w:rPr>
          <w:rFonts w:ascii="Calibri" w:hAnsi="Calibri" w:cs="Calibri"/>
        </w:rPr>
        <w:t>refer to</w:t>
      </w:r>
      <w:r w:rsidRPr="00FE589B">
        <w:rPr>
          <w:rFonts w:ascii="Calibri" w:hAnsi="Calibri" w:cs="Calibri"/>
        </w:rPr>
        <w:t xml:space="preserve"> the war-band collectively. </w:t>
      </w:r>
      <w:r w:rsidRPr="00E7412B">
        <w:rPr>
          <w:rFonts w:ascii="Calibri" w:hAnsi="Calibri" w:cs="Calibri"/>
        </w:rPr>
        <w:t xml:space="preserve">Lines 865 and 871 begin with </w:t>
      </w:r>
      <w:r w:rsidRPr="00E7412B">
        <w:rPr>
          <w:rFonts w:ascii="Calibri" w:hAnsi="Calibri" w:cs="Calibri"/>
          <w:i/>
          <w:iCs/>
        </w:rPr>
        <w:t>‘Trychant eurdorchog’</w:t>
      </w:r>
      <w:r w:rsidRPr="00E7412B">
        <w:rPr>
          <w:rFonts w:ascii="Calibri" w:hAnsi="Calibri" w:cs="Calibri"/>
        </w:rPr>
        <w:t xml:space="preserve"> </w:t>
      </w:r>
      <w:r>
        <w:rPr>
          <w:rFonts w:ascii="Calibri" w:hAnsi="Calibri" w:cs="Calibri"/>
        </w:rPr>
        <w:t>and b</w:t>
      </w:r>
      <w:r w:rsidRPr="00E7412B">
        <w:rPr>
          <w:rFonts w:ascii="Calibri" w:hAnsi="Calibri" w:cs="Calibri"/>
        </w:rPr>
        <w:t xml:space="preserve">oth their respective stanzas refer to the warband collectively, ‘of one mind’ </w:t>
      </w:r>
      <w:r>
        <w:rPr>
          <w:rFonts w:ascii="Calibri" w:hAnsi="Calibri" w:cs="Calibri"/>
        </w:rPr>
        <w:t>(</w:t>
      </w:r>
      <w:r w:rsidRPr="00E7412B">
        <w:rPr>
          <w:rFonts w:ascii="Calibri" w:hAnsi="Calibri" w:cs="Calibri"/>
        </w:rPr>
        <w:t>line 874</w:t>
      </w:r>
      <w:r>
        <w:rPr>
          <w:rFonts w:ascii="Calibri" w:hAnsi="Calibri" w:cs="Calibri"/>
        </w:rPr>
        <w:t>)</w:t>
      </w:r>
      <w:r w:rsidRPr="00E7412B">
        <w:rPr>
          <w:rFonts w:ascii="Calibri" w:hAnsi="Calibri" w:cs="Calibri"/>
        </w:rPr>
        <w:t xml:space="preserve">. </w:t>
      </w:r>
      <w:r w:rsidRPr="00EA42F6">
        <w:rPr>
          <w:rFonts w:ascii="Calibri" w:hAnsi="Calibri" w:cs="Calibri"/>
        </w:rPr>
        <w:t>Line 634</w:t>
      </w:r>
      <w:r>
        <w:rPr>
          <w:rFonts w:ascii="Calibri" w:hAnsi="Calibri" w:cs="Calibri"/>
        </w:rPr>
        <w:t xml:space="preserve"> describes the eurdorchogion as ‘swift’</w:t>
      </w:r>
      <w:r w:rsidRPr="00EA42F6">
        <w:rPr>
          <w:rFonts w:ascii="Calibri" w:hAnsi="Calibri" w:cs="Calibri"/>
        </w:rPr>
        <w:t xml:space="preserve"> (</w:t>
      </w:r>
      <w:r w:rsidRPr="00EA42F6">
        <w:rPr>
          <w:rFonts w:ascii="Calibri" w:hAnsi="Calibri" w:cs="Calibri"/>
          <w:i/>
          <w:iCs/>
        </w:rPr>
        <w:t>Ar Gatraeth oedd ffraeth Eurdorchogion</w:t>
      </w:r>
      <w:r w:rsidRPr="00EA42F6">
        <w:rPr>
          <w:rFonts w:ascii="Calibri" w:hAnsi="Calibri" w:cs="Calibri"/>
        </w:rPr>
        <w:t xml:space="preserve">) and 865 </w:t>
      </w:r>
      <w:r>
        <w:rPr>
          <w:rFonts w:ascii="Calibri" w:hAnsi="Calibri" w:cs="Calibri"/>
        </w:rPr>
        <w:t>has them attacking</w:t>
      </w:r>
      <w:r w:rsidRPr="00EA42F6">
        <w:rPr>
          <w:rFonts w:ascii="Calibri" w:hAnsi="Calibri" w:cs="Calibri"/>
        </w:rPr>
        <w:t xml:space="preserve"> as one group</w:t>
      </w:r>
      <w:r>
        <w:rPr>
          <w:rFonts w:ascii="Calibri" w:hAnsi="Calibri" w:cs="Calibri"/>
        </w:rPr>
        <w:t xml:space="preserve"> </w:t>
      </w:r>
      <w:r w:rsidRPr="00EA42F6">
        <w:rPr>
          <w:rFonts w:ascii="Calibri" w:hAnsi="Calibri" w:cs="Calibri"/>
        </w:rPr>
        <w:t>(</w:t>
      </w:r>
      <w:r w:rsidRPr="00EA42F6">
        <w:rPr>
          <w:rFonts w:ascii="Calibri" w:hAnsi="Calibri" w:cs="Calibri"/>
          <w:i/>
          <w:iCs/>
        </w:rPr>
        <w:t>Trychant eurdorchog a grysiasant</w:t>
      </w:r>
      <w:r>
        <w:rPr>
          <w:rFonts w:ascii="Calibri" w:hAnsi="Calibri" w:cs="Calibri"/>
          <w:i/>
          <w:iCs/>
        </w:rPr>
        <w:t xml:space="preserve"> –</w:t>
      </w:r>
      <w:r w:rsidRPr="00EA42F6">
        <w:rPr>
          <w:rFonts w:ascii="Calibri" w:hAnsi="Calibri" w:cs="Calibri"/>
          <w:i/>
          <w:iCs/>
        </w:rPr>
        <w:t xml:space="preserve"> </w:t>
      </w:r>
      <w:r w:rsidRPr="00113D32">
        <w:rPr>
          <w:rFonts w:ascii="Calibri" w:hAnsi="Calibri" w:cs="Calibri"/>
        </w:rPr>
        <w:t>‘three hundred gold-torqued [warriors] attacked’</w:t>
      </w:r>
      <w:r w:rsidRPr="00EA42F6">
        <w:rPr>
          <w:rFonts w:ascii="Calibri" w:hAnsi="Calibri" w:cs="Calibri"/>
        </w:rPr>
        <w:t>)</w:t>
      </w:r>
      <w:r>
        <w:rPr>
          <w:rFonts w:ascii="Calibri" w:hAnsi="Calibri" w:cs="Calibri"/>
        </w:rPr>
        <w:t>.</w:t>
      </w:r>
      <w:r w:rsidRPr="00EA42F6">
        <w:rPr>
          <w:rFonts w:ascii="Calibri" w:hAnsi="Calibri" w:cs="Calibri"/>
        </w:rPr>
        <w:t xml:space="preserve"> </w:t>
      </w:r>
      <w:r>
        <w:rPr>
          <w:rFonts w:ascii="Calibri" w:hAnsi="Calibri" w:cs="Calibri"/>
        </w:rPr>
        <w:t>This is arguably something more</w:t>
      </w:r>
      <w:r w:rsidRPr="00EA42F6">
        <w:rPr>
          <w:rFonts w:ascii="Calibri" w:hAnsi="Calibri" w:cs="Calibri"/>
        </w:rPr>
        <w:t xml:space="preserve"> </w:t>
      </w:r>
      <w:r>
        <w:rPr>
          <w:rFonts w:ascii="Calibri" w:hAnsi="Calibri" w:cs="Calibri"/>
        </w:rPr>
        <w:t xml:space="preserve">a mere </w:t>
      </w:r>
      <w:r w:rsidRPr="00EA42F6">
        <w:rPr>
          <w:rFonts w:ascii="Calibri" w:hAnsi="Calibri" w:cs="Calibri"/>
        </w:rPr>
        <w:t>plural</w:t>
      </w:r>
      <w:r>
        <w:rPr>
          <w:rFonts w:ascii="Calibri" w:hAnsi="Calibri" w:cs="Calibri"/>
        </w:rPr>
        <w:t xml:space="preserve"> form of a generic and anachronistic epithet.  </w:t>
      </w:r>
      <w:r w:rsidRPr="00E7412B">
        <w:rPr>
          <w:rFonts w:ascii="Calibri" w:hAnsi="Calibri" w:cs="Calibri"/>
          <w:i/>
          <w:iCs/>
        </w:rPr>
        <w:t xml:space="preserve">Eurdorchog[ion] </w:t>
      </w:r>
      <w:r w:rsidRPr="00E7412B">
        <w:rPr>
          <w:rFonts w:ascii="Calibri" w:hAnsi="Calibri" w:cs="Calibri"/>
        </w:rPr>
        <w:t>becomes a collective term here.</w:t>
      </w:r>
    </w:p>
    <w:p w14:paraId="14BBBE3B" w14:textId="60714979" w:rsidR="005F1A99" w:rsidRDefault="005F1A99" w:rsidP="005F1A99">
      <w:pPr>
        <w:jc w:val="both"/>
        <w:rPr>
          <w:rFonts w:ascii="Calibri" w:hAnsi="Calibri" w:cs="Calibri"/>
        </w:rPr>
      </w:pPr>
      <w:r>
        <w:rPr>
          <w:rFonts w:ascii="Calibri" w:hAnsi="Calibri" w:cs="Calibri"/>
        </w:rPr>
        <w:t xml:space="preserve">In stanza 19, </w:t>
      </w:r>
      <w:r>
        <w:rPr>
          <w:rFonts w:ascii="Calibri" w:hAnsi="Calibri" w:cs="Calibri"/>
          <w:i/>
          <w:iCs/>
        </w:rPr>
        <w:t xml:space="preserve">eur…dorchog[ion] </w:t>
      </w:r>
      <w:r w:rsidRPr="00AC1372">
        <w:rPr>
          <w:rFonts w:ascii="Calibri" w:hAnsi="Calibri" w:cs="Calibri"/>
        </w:rPr>
        <w:t>features with the</w:t>
      </w:r>
      <w:r w:rsidRPr="00FE589B">
        <w:rPr>
          <w:rFonts w:ascii="Calibri" w:hAnsi="Calibri" w:cs="Calibri"/>
        </w:rPr>
        <w:t xml:space="preserve"> epithets </w:t>
      </w:r>
      <w:r w:rsidRPr="00FE589B">
        <w:rPr>
          <w:rFonts w:ascii="Calibri" w:hAnsi="Calibri" w:cs="Calibri"/>
          <w:i/>
          <w:iCs/>
        </w:rPr>
        <w:t>marchog[ion]</w:t>
      </w:r>
      <w:r w:rsidRPr="00FE589B">
        <w:rPr>
          <w:rFonts w:ascii="Calibri" w:hAnsi="Calibri" w:cs="Calibri"/>
        </w:rPr>
        <w:t xml:space="preserve"> and </w:t>
      </w:r>
      <w:r w:rsidRPr="00FE589B">
        <w:rPr>
          <w:rFonts w:ascii="Calibri" w:hAnsi="Calibri" w:cs="Calibri"/>
          <w:i/>
          <w:iCs/>
        </w:rPr>
        <w:t>chadfarchog[ion].</w:t>
      </w:r>
      <w:r w:rsidRPr="00FE589B">
        <w:rPr>
          <w:rFonts w:ascii="Calibri" w:hAnsi="Calibri" w:cs="Calibri"/>
        </w:rPr>
        <w:t xml:space="preserve"> </w:t>
      </w:r>
      <w:r>
        <w:rPr>
          <w:rFonts w:ascii="Calibri" w:hAnsi="Calibri" w:cs="Calibri"/>
        </w:rPr>
        <w:t xml:space="preserve">It is important to note that end-rhyme is well served by this, and that this alone may be sufficient explanation for it. Nonetheless, the poet does not simply choose terms because they rhyme: context and meaning </w:t>
      </w:r>
      <w:r w:rsidR="00DA5B69">
        <w:rPr>
          <w:rFonts w:ascii="Calibri" w:hAnsi="Calibri" w:cs="Calibri"/>
        </w:rPr>
        <w:t>are</w:t>
      </w:r>
      <w:r>
        <w:rPr>
          <w:rFonts w:ascii="Calibri" w:hAnsi="Calibri" w:cs="Calibri"/>
        </w:rPr>
        <w:t xml:space="preserve"> important too. </w:t>
      </w:r>
      <w:r w:rsidRPr="00FE589B">
        <w:rPr>
          <w:rFonts w:ascii="Calibri" w:hAnsi="Calibri" w:cs="Calibri"/>
        </w:rPr>
        <w:t xml:space="preserve"> </w:t>
      </w:r>
      <w:r>
        <w:rPr>
          <w:rFonts w:ascii="Calibri" w:hAnsi="Calibri" w:cs="Calibri"/>
        </w:rPr>
        <w:t>W</w:t>
      </w:r>
      <w:r w:rsidRPr="00FE589B">
        <w:rPr>
          <w:rFonts w:ascii="Calibri" w:hAnsi="Calibri" w:cs="Calibri"/>
        </w:rPr>
        <w:t xml:space="preserve">hile in literal translation these </w:t>
      </w:r>
      <w:r>
        <w:rPr>
          <w:rFonts w:ascii="Calibri" w:hAnsi="Calibri" w:cs="Calibri"/>
        </w:rPr>
        <w:t xml:space="preserve">terms </w:t>
      </w:r>
      <w:r w:rsidRPr="00FE589B">
        <w:rPr>
          <w:rFonts w:ascii="Calibri" w:hAnsi="Calibri" w:cs="Calibri"/>
        </w:rPr>
        <w:t xml:space="preserve">simply mean </w:t>
      </w:r>
      <w:r>
        <w:rPr>
          <w:rFonts w:ascii="Calibri" w:hAnsi="Calibri" w:cs="Calibri"/>
        </w:rPr>
        <w:t>‘</w:t>
      </w:r>
      <w:r w:rsidRPr="00FE589B">
        <w:rPr>
          <w:rFonts w:ascii="Calibri" w:hAnsi="Calibri" w:cs="Calibri"/>
        </w:rPr>
        <w:t>horsemen</w:t>
      </w:r>
      <w:r>
        <w:rPr>
          <w:rFonts w:ascii="Calibri" w:hAnsi="Calibri" w:cs="Calibri"/>
        </w:rPr>
        <w:t>’</w:t>
      </w:r>
      <w:r w:rsidRPr="00FE589B">
        <w:rPr>
          <w:rFonts w:ascii="Calibri" w:hAnsi="Calibri" w:cs="Calibri"/>
        </w:rPr>
        <w:t xml:space="preserve"> and </w:t>
      </w:r>
      <w:r>
        <w:rPr>
          <w:rFonts w:ascii="Calibri" w:hAnsi="Calibri" w:cs="Calibri"/>
        </w:rPr>
        <w:t>‘</w:t>
      </w:r>
      <w:r w:rsidRPr="00FE589B">
        <w:rPr>
          <w:rFonts w:ascii="Calibri" w:hAnsi="Calibri" w:cs="Calibri"/>
        </w:rPr>
        <w:t>battle-horsemen</w:t>
      </w:r>
      <w:r>
        <w:rPr>
          <w:rFonts w:ascii="Calibri" w:hAnsi="Calibri" w:cs="Calibri"/>
        </w:rPr>
        <w:t>’ respectively</w:t>
      </w:r>
      <w:r w:rsidRPr="00FE589B">
        <w:rPr>
          <w:rFonts w:ascii="Calibri" w:hAnsi="Calibri" w:cs="Calibri"/>
        </w:rPr>
        <w:t>, which the warband undoubtedly is comprised of, th</w:t>
      </w:r>
      <w:r w:rsidR="004E0540">
        <w:rPr>
          <w:rFonts w:ascii="Calibri" w:hAnsi="Calibri" w:cs="Calibri"/>
        </w:rPr>
        <w:t>ey</w:t>
      </w:r>
      <w:r w:rsidRPr="00FE589B">
        <w:rPr>
          <w:rFonts w:ascii="Calibri" w:hAnsi="Calibri" w:cs="Calibri"/>
        </w:rPr>
        <w:t xml:space="preserve"> could also be considered</w:t>
      </w:r>
      <w:r>
        <w:rPr>
          <w:rFonts w:ascii="Calibri" w:hAnsi="Calibri" w:cs="Calibri"/>
        </w:rPr>
        <w:t xml:space="preserve"> reference</w:t>
      </w:r>
      <w:r w:rsidR="004E0540">
        <w:rPr>
          <w:rFonts w:ascii="Calibri" w:hAnsi="Calibri" w:cs="Calibri"/>
        </w:rPr>
        <w:t>s</w:t>
      </w:r>
      <w:r>
        <w:rPr>
          <w:rFonts w:ascii="Calibri" w:hAnsi="Calibri" w:cs="Calibri"/>
        </w:rPr>
        <w:t xml:space="preserve"> to</w:t>
      </w:r>
      <w:r w:rsidRPr="00FE589B">
        <w:rPr>
          <w:rFonts w:ascii="Calibri" w:hAnsi="Calibri" w:cs="Calibri"/>
        </w:rPr>
        <w:t xml:space="preserve"> socio-military status</w:t>
      </w:r>
      <w:r w:rsidR="000404B4">
        <w:rPr>
          <w:rFonts w:ascii="Calibri" w:hAnsi="Calibri" w:cs="Calibri"/>
        </w:rPr>
        <w:t>;</w:t>
      </w:r>
      <w:r w:rsidRPr="00FE589B">
        <w:rPr>
          <w:rFonts w:ascii="Calibri" w:hAnsi="Calibri" w:cs="Calibri"/>
        </w:rPr>
        <w:t xml:space="preserve"> something </w:t>
      </w:r>
      <w:r w:rsidR="009A5481">
        <w:rPr>
          <w:rFonts w:ascii="Calibri" w:hAnsi="Calibri" w:cs="Calibri"/>
        </w:rPr>
        <w:t>similar</w:t>
      </w:r>
      <w:r w:rsidRPr="00FE589B">
        <w:rPr>
          <w:rFonts w:ascii="Calibri" w:hAnsi="Calibri" w:cs="Calibri"/>
        </w:rPr>
        <w:t xml:space="preserve">, but not identical to, the later concept of knighthood. Adam Chapman </w:t>
      </w:r>
      <w:r>
        <w:rPr>
          <w:rFonts w:ascii="Calibri" w:hAnsi="Calibri" w:cs="Calibri"/>
        </w:rPr>
        <w:t xml:space="preserve">notes that knighthood as a concept is not present in pre-conquest Welsh society, although he is principally discussing Wales rather than </w:t>
      </w:r>
      <w:r w:rsidR="00EB3FED">
        <w:rPr>
          <w:rFonts w:ascii="Calibri" w:hAnsi="Calibri" w:cs="Calibri"/>
        </w:rPr>
        <w:t>t</w:t>
      </w:r>
      <w:r>
        <w:rPr>
          <w:rFonts w:ascii="Calibri" w:hAnsi="Calibri" w:cs="Calibri"/>
        </w:rPr>
        <w:t xml:space="preserve">he Hen Ogledd. He does, however, argue that the </w:t>
      </w:r>
      <w:r w:rsidRPr="009F5FBC">
        <w:rPr>
          <w:rFonts w:ascii="Calibri" w:hAnsi="Calibri" w:cs="Calibri"/>
          <w:i/>
          <w:iCs/>
        </w:rPr>
        <w:t>Teulu</w:t>
      </w:r>
      <w:r>
        <w:rPr>
          <w:rFonts w:ascii="Calibri" w:hAnsi="Calibri" w:cs="Calibri"/>
        </w:rPr>
        <w:t xml:space="preserve"> – the household guard of the Welsh Princes - was equivalent to the </w:t>
      </w:r>
      <w:r w:rsidRPr="00C4097E">
        <w:rPr>
          <w:rFonts w:ascii="Calibri" w:hAnsi="Calibri" w:cs="Calibri"/>
          <w:i/>
          <w:iCs/>
        </w:rPr>
        <w:t>familia</w:t>
      </w:r>
      <w:r>
        <w:rPr>
          <w:rFonts w:ascii="Calibri" w:hAnsi="Calibri" w:cs="Calibri"/>
        </w:rPr>
        <w:t xml:space="preserve"> of the Norman rulers.</w:t>
      </w:r>
      <w:r w:rsidRPr="005D41F4">
        <w:rPr>
          <w:rFonts w:ascii="Calibri" w:hAnsi="Calibri" w:cs="Calibri"/>
          <w:vertAlign w:val="superscript"/>
        </w:rPr>
        <w:footnoteReference w:id="36"/>
      </w:r>
      <w:r>
        <w:rPr>
          <w:rFonts w:ascii="Calibri" w:hAnsi="Calibri" w:cs="Calibri"/>
        </w:rPr>
        <w:t xml:space="preserve"> These are more collective concepts. Perhaps </w:t>
      </w:r>
      <w:r w:rsidRPr="00C4097E">
        <w:rPr>
          <w:rFonts w:ascii="Calibri" w:hAnsi="Calibri" w:cs="Calibri"/>
          <w:i/>
          <w:iCs/>
        </w:rPr>
        <w:t>Eurdorchogion</w:t>
      </w:r>
      <w:r>
        <w:rPr>
          <w:rFonts w:ascii="Calibri" w:hAnsi="Calibri" w:cs="Calibri"/>
        </w:rPr>
        <w:t xml:space="preserve"> can be seen as the equivalent for Gododdin.</w:t>
      </w:r>
    </w:p>
    <w:p w14:paraId="017DA31F" w14:textId="7C9D99DF" w:rsidR="005F1A99" w:rsidRDefault="005F1A99" w:rsidP="005F1A99">
      <w:pPr>
        <w:jc w:val="both"/>
        <w:rPr>
          <w:rFonts w:ascii="Calibri" w:hAnsi="Calibri" w:cs="Calibri"/>
        </w:rPr>
      </w:pPr>
      <w:r>
        <w:rPr>
          <w:rFonts w:ascii="Calibri" w:hAnsi="Calibri" w:cs="Calibri"/>
        </w:rPr>
        <w:t xml:space="preserve">One potential counter to this hypothesis can be found in lines </w:t>
      </w:r>
      <w:r w:rsidRPr="00C00E1A">
        <w:rPr>
          <w:rFonts w:ascii="Calibri" w:hAnsi="Calibri" w:cs="Calibri"/>
        </w:rPr>
        <w:t>927-939</w:t>
      </w:r>
      <w:r>
        <w:rPr>
          <w:rFonts w:ascii="Calibri" w:hAnsi="Calibri" w:cs="Calibri"/>
        </w:rPr>
        <w:t xml:space="preserve">: </w:t>
      </w:r>
      <w:r w:rsidRPr="00C00E1A">
        <w:rPr>
          <w:rFonts w:ascii="Calibri" w:hAnsi="Calibri" w:cs="Calibri"/>
          <w:i/>
          <w:iCs/>
        </w:rPr>
        <w:t>‘Lladdodd [Heinif] mab Nwython / O eurdorchogion</w:t>
      </w:r>
      <w:r w:rsidRPr="00CE6A55">
        <w:rPr>
          <w:rFonts w:ascii="Calibri" w:hAnsi="Calibri" w:cs="Calibri"/>
          <w:i/>
          <w:iCs/>
        </w:rPr>
        <w:t xml:space="preserve"> </w:t>
      </w:r>
      <w:r w:rsidRPr="00C00E1A">
        <w:rPr>
          <w:rFonts w:ascii="Calibri" w:hAnsi="Calibri" w:cs="Calibri"/>
          <w:i/>
          <w:iCs/>
        </w:rPr>
        <w:t>/ Cant o dëyrnedd</w:t>
      </w:r>
      <w:r>
        <w:rPr>
          <w:rFonts w:ascii="Calibri" w:hAnsi="Calibri" w:cs="Calibri"/>
        </w:rPr>
        <w:t xml:space="preserve"> (‘</w:t>
      </w:r>
      <w:r w:rsidRPr="004838E1">
        <w:rPr>
          <w:rFonts w:ascii="Calibri" w:hAnsi="Calibri" w:cs="Calibri"/>
        </w:rPr>
        <w:t>The son of Nwython slew / Of the gold-torqued / One hundred princes/[kings]’</w:t>
      </w:r>
      <w:r>
        <w:rPr>
          <w:rFonts w:ascii="Calibri" w:hAnsi="Calibri" w:cs="Calibri"/>
        </w:rPr>
        <w:t xml:space="preserve">). </w:t>
      </w:r>
      <w:r w:rsidRPr="00E05D25">
        <w:rPr>
          <w:rFonts w:ascii="Calibri" w:hAnsi="Calibri" w:cs="Calibri"/>
          <w:i/>
          <w:iCs/>
        </w:rPr>
        <w:t>Eurdorchogion</w:t>
      </w:r>
      <w:r>
        <w:rPr>
          <w:rFonts w:ascii="Calibri" w:hAnsi="Calibri" w:cs="Calibri"/>
        </w:rPr>
        <w:t xml:space="preserve"> in this context does not appear to refer to the warriors of Gododdin, although this reference is still noteworthy for its suggestion that killing torc-wearers is a reputable act. There is</w:t>
      </w:r>
      <w:r w:rsidR="00726F3D">
        <w:rPr>
          <w:rFonts w:ascii="Calibri" w:hAnsi="Calibri" w:cs="Calibri"/>
        </w:rPr>
        <w:t xml:space="preserve"> </w:t>
      </w:r>
      <w:r>
        <w:rPr>
          <w:rFonts w:ascii="Calibri" w:hAnsi="Calibri" w:cs="Calibri"/>
        </w:rPr>
        <w:t xml:space="preserve">potentially another way to translate these lines, however, as ‘The son of Nwython of the Eurdorchogion slew one hundred princes.’ Ordinarily, this would require the definite article before the noun (so, </w:t>
      </w:r>
      <w:r>
        <w:rPr>
          <w:rFonts w:ascii="Calibri" w:hAnsi="Calibri" w:cs="Calibri"/>
          <w:i/>
          <w:iCs/>
        </w:rPr>
        <w:t>O’r Eurdorchogion</w:t>
      </w:r>
      <w:r>
        <w:rPr>
          <w:rFonts w:ascii="Calibri" w:hAnsi="Calibri" w:cs="Calibri"/>
        </w:rPr>
        <w:t xml:space="preserve">, not </w:t>
      </w:r>
      <w:r>
        <w:rPr>
          <w:rFonts w:ascii="Calibri" w:hAnsi="Calibri" w:cs="Calibri"/>
          <w:i/>
          <w:iCs/>
        </w:rPr>
        <w:t xml:space="preserve">O </w:t>
      </w:r>
      <w:r w:rsidRPr="00970B19">
        <w:rPr>
          <w:rFonts w:ascii="Calibri" w:hAnsi="Calibri" w:cs="Calibri"/>
          <w:i/>
          <w:iCs/>
        </w:rPr>
        <w:t>Eurdorchogion</w:t>
      </w:r>
      <w:r>
        <w:rPr>
          <w:rFonts w:ascii="Calibri" w:hAnsi="Calibri" w:cs="Calibri"/>
        </w:rPr>
        <w:t xml:space="preserve">) </w:t>
      </w:r>
      <w:r w:rsidRPr="005D65B6">
        <w:rPr>
          <w:rFonts w:ascii="Calibri" w:hAnsi="Calibri" w:cs="Calibri"/>
        </w:rPr>
        <w:t>but</w:t>
      </w:r>
      <w:r>
        <w:rPr>
          <w:rFonts w:ascii="Calibri" w:hAnsi="Calibri" w:cs="Calibri"/>
        </w:rPr>
        <w:t xml:space="preserve"> early Welsh poetry is inconsistent enough in applying this for it to be entertained as a possibility. In this translation, the Eurdorchogion becomes a group identity that individuals can be seen as part of, like a tribe or </w:t>
      </w:r>
      <w:r w:rsidRPr="004D3BA8">
        <w:rPr>
          <w:rFonts w:ascii="Calibri" w:hAnsi="Calibri" w:cs="Calibri"/>
          <w:i/>
          <w:iCs/>
        </w:rPr>
        <w:t>teulu</w:t>
      </w:r>
      <w:r>
        <w:rPr>
          <w:rFonts w:ascii="Calibri" w:hAnsi="Calibri" w:cs="Calibri"/>
        </w:rPr>
        <w:t>. Jarman’s translation is undoubtedly the safest one to defer to here, however.</w:t>
      </w:r>
    </w:p>
    <w:p w14:paraId="4BE78CE4" w14:textId="77777777" w:rsidR="005F1A99" w:rsidRDefault="005F1A99" w:rsidP="005F1A99">
      <w:pPr>
        <w:jc w:val="both"/>
        <w:rPr>
          <w:rFonts w:ascii="Calibri" w:hAnsi="Calibri" w:cs="Calibri"/>
        </w:rPr>
      </w:pPr>
      <w:r>
        <w:rPr>
          <w:rFonts w:ascii="Calibri" w:hAnsi="Calibri" w:cs="Calibri"/>
        </w:rPr>
        <w:lastRenderedPageBreak/>
        <w:t xml:space="preserve">In any case, the broader hypothesis that this is a collective term for the warband holds. Rowlands notes that </w:t>
      </w:r>
      <w:r w:rsidRPr="009E7950">
        <w:rPr>
          <w:rFonts w:ascii="Calibri" w:hAnsi="Calibri" w:cs="Calibri"/>
          <w:i/>
          <w:iCs/>
        </w:rPr>
        <w:t xml:space="preserve">eurdorchogion </w:t>
      </w:r>
      <w:r>
        <w:rPr>
          <w:rFonts w:ascii="Calibri" w:hAnsi="Calibri" w:cs="Calibri"/>
        </w:rPr>
        <w:t>does seem to be a term for the warband.</w:t>
      </w:r>
      <w:r>
        <w:rPr>
          <w:rStyle w:val="FootnoteReference"/>
          <w:rFonts w:ascii="Calibri" w:hAnsi="Calibri" w:cs="Calibri"/>
        </w:rPr>
        <w:footnoteReference w:id="37"/>
      </w:r>
      <w:r>
        <w:rPr>
          <w:rFonts w:ascii="Calibri" w:hAnsi="Calibri" w:cs="Calibri"/>
        </w:rPr>
        <w:t xml:space="preserve"> </w:t>
      </w:r>
    </w:p>
    <w:p w14:paraId="0D14DC40" w14:textId="6F2AF6BC" w:rsidR="005F1A99" w:rsidRDefault="005F1A99" w:rsidP="005F1A99">
      <w:pPr>
        <w:jc w:val="both"/>
        <w:rPr>
          <w:rFonts w:ascii="Calibri" w:hAnsi="Calibri" w:cs="Calibri"/>
        </w:rPr>
      </w:pPr>
      <w:r>
        <w:rPr>
          <w:rFonts w:ascii="Calibri" w:hAnsi="Calibri" w:cs="Calibri"/>
        </w:rPr>
        <w:t>There is also grounds for this collective military identity expressed through the torc in the Roman practice of awarding torcs collectively to a unit. Cessford notes that the Alia Petriana, stationed at the northern frontier</w:t>
      </w:r>
      <w:r w:rsidR="00C83BF8">
        <w:rPr>
          <w:rFonts w:ascii="Calibri" w:hAnsi="Calibri" w:cs="Calibri"/>
        </w:rPr>
        <w:t xml:space="preserve"> in the second century</w:t>
      </w:r>
      <w:r>
        <w:rPr>
          <w:rFonts w:ascii="Calibri" w:hAnsi="Calibri" w:cs="Calibri"/>
        </w:rPr>
        <w:t xml:space="preserve"> and most likely in friendly military contact with the Votadini, who may have served as allied cavalry or even within the roman ranks [and to whom the torc may have been re-introduced] were awarded torcs, which they would carry with their standards into battle. Individuals may have then acquired or commissioned their own torcs as a reflection of the collective ‘torqued status,’ but not all of the unit </w:t>
      </w:r>
      <w:r w:rsidR="00E7014E">
        <w:rPr>
          <w:rFonts w:ascii="Calibri" w:hAnsi="Calibri" w:cs="Calibri"/>
        </w:rPr>
        <w:t>need</w:t>
      </w:r>
      <w:r>
        <w:rPr>
          <w:rFonts w:ascii="Calibri" w:hAnsi="Calibri" w:cs="Calibri"/>
        </w:rPr>
        <w:t xml:space="preserve"> have </w:t>
      </w:r>
      <w:r w:rsidR="0060314B">
        <w:rPr>
          <w:rFonts w:ascii="Calibri" w:hAnsi="Calibri" w:cs="Calibri"/>
        </w:rPr>
        <w:t xml:space="preserve">worn </w:t>
      </w:r>
      <w:r>
        <w:rPr>
          <w:rFonts w:ascii="Calibri" w:hAnsi="Calibri" w:cs="Calibri"/>
        </w:rPr>
        <w:t>one.</w:t>
      </w:r>
      <w:r>
        <w:rPr>
          <w:rStyle w:val="FootnoteReference"/>
          <w:rFonts w:ascii="Calibri" w:hAnsi="Calibri" w:cs="Calibri"/>
        </w:rPr>
        <w:footnoteReference w:id="38"/>
      </w:r>
      <w:r>
        <w:rPr>
          <w:rFonts w:ascii="Calibri" w:hAnsi="Calibri" w:cs="Calibri"/>
        </w:rPr>
        <w:t xml:space="preserve"> This seems reflected in the poem, where both the warband and individuals are described as</w:t>
      </w:r>
      <w:r w:rsidR="0060314B">
        <w:rPr>
          <w:rFonts w:ascii="Calibri" w:hAnsi="Calibri" w:cs="Calibri"/>
        </w:rPr>
        <w:t xml:space="preserve"> torc-wearing</w:t>
      </w:r>
      <w:r w:rsidR="00E0742E">
        <w:rPr>
          <w:rFonts w:ascii="Calibri" w:hAnsi="Calibri" w:cs="Calibri"/>
        </w:rPr>
        <w:t xml:space="preserve">. </w:t>
      </w:r>
      <w:r>
        <w:rPr>
          <w:rFonts w:ascii="Calibri" w:hAnsi="Calibri" w:cs="Calibri"/>
        </w:rPr>
        <w:t xml:space="preserve">It would </w:t>
      </w:r>
      <w:r w:rsidR="00E0742E">
        <w:rPr>
          <w:rFonts w:ascii="Calibri" w:hAnsi="Calibri" w:cs="Calibri"/>
        </w:rPr>
        <w:t xml:space="preserve">arguably </w:t>
      </w:r>
      <w:r>
        <w:rPr>
          <w:rFonts w:ascii="Calibri" w:hAnsi="Calibri" w:cs="Calibri"/>
        </w:rPr>
        <w:t xml:space="preserve">be redundant </w:t>
      </w:r>
      <w:r w:rsidR="00E0742E">
        <w:rPr>
          <w:rFonts w:ascii="Calibri" w:hAnsi="Calibri" w:cs="Calibri"/>
        </w:rPr>
        <w:t>otherwise</w:t>
      </w:r>
      <w:r w:rsidR="00E0742E">
        <w:rPr>
          <w:rFonts w:ascii="Calibri" w:hAnsi="Calibri" w:cs="Calibri"/>
        </w:rPr>
        <w:t xml:space="preserve"> </w:t>
      </w:r>
      <w:r>
        <w:rPr>
          <w:rFonts w:ascii="Calibri" w:hAnsi="Calibri" w:cs="Calibri"/>
        </w:rPr>
        <w:t xml:space="preserve">to describe individuals wearing torcs when the whole warband is referred to that way, </w:t>
      </w:r>
      <w:r w:rsidR="00165452">
        <w:rPr>
          <w:rFonts w:ascii="Calibri" w:hAnsi="Calibri" w:cs="Calibri"/>
        </w:rPr>
        <w:t>so</w:t>
      </w:r>
      <w:r>
        <w:rPr>
          <w:rFonts w:ascii="Calibri" w:hAnsi="Calibri" w:cs="Calibri"/>
        </w:rPr>
        <w:t xml:space="preserve"> perhaps the roman example provides an explanation for this.</w:t>
      </w:r>
    </w:p>
    <w:p w14:paraId="745244E2" w14:textId="117E7247" w:rsidR="005F1A99" w:rsidRPr="00D80595" w:rsidRDefault="005F1A99" w:rsidP="005F1A99">
      <w:pPr>
        <w:jc w:val="both"/>
        <w:rPr>
          <w:rFonts w:ascii="Calibri" w:hAnsi="Calibri" w:cs="Calibri"/>
          <w:b/>
          <w:bCs/>
        </w:rPr>
      </w:pPr>
      <w:r>
        <w:rPr>
          <w:rFonts w:ascii="Calibri" w:hAnsi="Calibri" w:cs="Calibri"/>
          <w:b/>
          <w:bCs/>
        </w:rPr>
        <w:t xml:space="preserve">1.4. </w:t>
      </w:r>
      <w:r w:rsidRPr="00D80595">
        <w:rPr>
          <w:rFonts w:ascii="Calibri" w:hAnsi="Calibri" w:cs="Calibri"/>
          <w:b/>
          <w:bCs/>
        </w:rPr>
        <w:t>Concluding remarks</w:t>
      </w:r>
      <w:r w:rsidR="0060314B">
        <w:rPr>
          <w:rFonts w:ascii="Calibri" w:hAnsi="Calibri" w:cs="Calibri"/>
          <w:b/>
          <w:bCs/>
        </w:rPr>
        <w:t xml:space="preserve"> </w:t>
      </w:r>
    </w:p>
    <w:p w14:paraId="132996CD" w14:textId="0977C32D" w:rsidR="005F1A99" w:rsidRPr="00FE589B" w:rsidRDefault="005F1A99" w:rsidP="005F1A99">
      <w:pPr>
        <w:jc w:val="both"/>
        <w:rPr>
          <w:rFonts w:ascii="Calibri" w:hAnsi="Calibri" w:cs="Calibri"/>
        </w:rPr>
      </w:pPr>
      <w:r>
        <w:rPr>
          <w:rFonts w:ascii="Calibri" w:hAnsi="Calibri" w:cs="Calibri"/>
        </w:rPr>
        <w:t xml:space="preserve">The torcs of the Gododdin poem offer nothing that identify them as objects in the </w:t>
      </w:r>
      <w:r w:rsidR="00973CAD">
        <w:rPr>
          <w:rFonts w:ascii="Calibri" w:hAnsi="Calibri" w:cs="Calibri"/>
        </w:rPr>
        <w:t>I</w:t>
      </w:r>
      <w:r>
        <w:rPr>
          <w:rFonts w:ascii="Calibri" w:hAnsi="Calibri" w:cs="Calibri"/>
        </w:rPr>
        <w:t>ron-age, La-Tene</w:t>
      </w:r>
      <w:r w:rsidR="00AA3F4B">
        <w:rPr>
          <w:rFonts w:ascii="Calibri" w:hAnsi="Calibri" w:cs="Calibri"/>
        </w:rPr>
        <w:t>-</w:t>
      </w:r>
      <w:r>
        <w:rPr>
          <w:rFonts w:ascii="Calibri" w:hAnsi="Calibri" w:cs="Calibri"/>
        </w:rPr>
        <w:t xml:space="preserve">style by description. However, the contexts in which they </w:t>
      </w:r>
      <w:r w:rsidR="00AA3F4B">
        <w:rPr>
          <w:rFonts w:ascii="Calibri" w:hAnsi="Calibri" w:cs="Calibri"/>
        </w:rPr>
        <w:t>are used</w:t>
      </w:r>
      <w:r>
        <w:rPr>
          <w:rFonts w:ascii="Calibri" w:hAnsi="Calibri" w:cs="Calibri"/>
        </w:rPr>
        <w:t xml:space="preserve"> share some similarities with these objects: a warrior elite, wearing some sort of golden adornment (or other precious metal, as shall be seen) that distinguishes status. The collective epithet </w:t>
      </w:r>
      <w:r>
        <w:rPr>
          <w:rFonts w:ascii="Calibri" w:hAnsi="Calibri" w:cs="Calibri"/>
          <w:i/>
          <w:iCs/>
        </w:rPr>
        <w:t xml:space="preserve">eurdorchogion </w:t>
      </w:r>
      <w:r>
        <w:rPr>
          <w:rFonts w:ascii="Calibri" w:hAnsi="Calibri" w:cs="Calibri"/>
        </w:rPr>
        <w:t>invites comparisons with the earlier Roman practice of awarding torcs to military units</w:t>
      </w:r>
      <w:r w:rsidR="00F8377D">
        <w:rPr>
          <w:rFonts w:ascii="Calibri" w:hAnsi="Calibri" w:cs="Calibri"/>
        </w:rPr>
        <w:t>;</w:t>
      </w:r>
      <w:r>
        <w:rPr>
          <w:rFonts w:ascii="Calibri" w:hAnsi="Calibri" w:cs="Calibri"/>
        </w:rPr>
        <w:t xml:space="preserve"> and when taken together with the introduction of the loanword </w:t>
      </w:r>
      <w:r>
        <w:rPr>
          <w:rFonts w:ascii="Calibri" w:hAnsi="Calibri" w:cs="Calibri"/>
          <w:i/>
          <w:iCs/>
        </w:rPr>
        <w:t xml:space="preserve">torch </w:t>
      </w:r>
      <w:r>
        <w:rPr>
          <w:rFonts w:ascii="Calibri" w:hAnsi="Calibri" w:cs="Calibri"/>
        </w:rPr>
        <w:t>into Brittonic from Latin and the way in which this may have taken place – i.e. via Roman units in northern Britain -  the torc of the Gododdin</w:t>
      </w:r>
      <w:r w:rsidR="00F8377D">
        <w:rPr>
          <w:rFonts w:ascii="Calibri" w:hAnsi="Calibri" w:cs="Calibri"/>
        </w:rPr>
        <w:t xml:space="preserve"> can be seen</w:t>
      </w:r>
      <w:r>
        <w:rPr>
          <w:rFonts w:ascii="Calibri" w:hAnsi="Calibri" w:cs="Calibri"/>
        </w:rPr>
        <w:t xml:space="preserve"> to be a very specific object, even if it was only a symbolic one. To further explore this question, archeological evidence and arguments must now be considered.</w:t>
      </w:r>
    </w:p>
    <w:p w14:paraId="0E17297F" w14:textId="77777777" w:rsidR="00F57BF6" w:rsidRDefault="00F57BF6">
      <w:pPr>
        <w:rPr>
          <w:rFonts w:ascii="Calibri" w:hAnsi="Calibri" w:cs="Calibri"/>
        </w:rPr>
      </w:pPr>
    </w:p>
    <w:p w14:paraId="5734DFC2" w14:textId="77777777" w:rsidR="00533E27" w:rsidRDefault="00533E27">
      <w:pPr>
        <w:rPr>
          <w:rFonts w:ascii="Calibri" w:hAnsi="Calibri" w:cs="Calibri"/>
        </w:rPr>
      </w:pPr>
    </w:p>
    <w:p w14:paraId="16A9AF45" w14:textId="77777777" w:rsidR="00533E27" w:rsidRDefault="00533E27">
      <w:pPr>
        <w:rPr>
          <w:rFonts w:ascii="Calibri" w:hAnsi="Calibri" w:cs="Calibri"/>
        </w:rPr>
      </w:pPr>
    </w:p>
    <w:p w14:paraId="124FF35A" w14:textId="77777777" w:rsidR="00CE6977" w:rsidRDefault="00CE6977">
      <w:pPr>
        <w:rPr>
          <w:rFonts w:ascii="Calibri" w:hAnsi="Calibri" w:cs="Calibri"/>
        </w:rPr>
      </w:pPr>
    </w:p>
    <w:p w14:paraId="0A932848" w14:textId="77777777" w:rsidR="00CE6977" w:rsidRDefault="00CE6977">
      <w:pPr>
        <w:rPr>
          <w:rFonts w:ascii="Calibri" w:hAnsi="Calibri" w:cs="Calibri"/>
        </w:rPr>
      </w:pPr>
    </w:p>
    <w:p w14:paraId="394829C8" w14:textId="77777777" w:rsidR="00CE6977" w:rsidRDefault="00CE6977">
      <w:pPr>
        <w:rPr>
          <w:rFonts w:ascii="Calibri" w:hAnsi="Calibri" w:cs="Calibri"/>
        </w:rPr>
      </w:pPr>
    </w:p>
    <w:p w14:paraId="2CF2475C" w14:textId="77777777" w:rsidR="00CE6977" w:rsidRDefault="00CE6977">
      <w:pPr>
        <w:rPr>
          <w:rFonts w:ascii="Calibri" w:hAnsi="Calibri" w:cs="Calibri"/>
        </w:rPr>
      </w:pPr>
    </w:p>
    <w:p w14:paraId="0280571E" w14:textId="77777777" w:rsidR="00533E27" w:rsidRDefault="00533E27">
      <w:pPr>
        <w:rPr>
          <w:rFonts w:ascii="Calibri" w:hAnsi="Calibri" w:cs="Calibri"/>
        </w:rPr>
      </w:pPr>
    </w:p>
    <w:p w14:paraId="1DD12D09" w14:textId="77777777" w:rsidR="00533E27" w:rsidRDefault="00533E27">
      <w:pPr>
        <w:rPr>
          <w:rFonts w:ascii="Calibri" w:hAnsi="Calibri" w:cs="Calibri"/>
        </w:rPr>
      </w:pPr>
    </w:p>
    <w:p w14:paraId="7069F795" w14:textId="77777777" w:rsidR="00533E27" w:rsidRPr="005A1933" w:rsidRDefault="00533E27">
      <w:pPr>
        <w:rPr>
          <w:rFonts w:ascii="Calibri" w:hAnsi="Calibri" w:cs="Calibri"/>
        </w:rPr>
      </w:pPr>
    </w:p>
    <w:p w14:paraId="088C9E2C" w14:textId="77777777" w:rsidR="00CE6977" w:rsidRDefault="00CE6977">
      <w:pPr>
        <w:rPr>
          <w:rFonts w:ascii="Calibri" w:hAnsi="Calibri" w:cs="Calibri"/>
          <w:b/>
          <w:bCs/>
        </w:rPr>
      </w:pPr>
    </w:p>
    <w:p w14:paraId="684C73D9" w14:textId="77777777" w:rsidR="00E14429" w:rsidRDefault="00E14429" w:rsidP="00CE6977">
      <w:pPr>
        <w:jc w:val="both"/>
        <w:rPr>
          <w:rFonts w:ascii="Calibri" w:hAnsi="Calibri" w:cs="Calibri"/>
          <w:b/>
          <w:bCs/>
          <w:sz w:val="24"/>
          <w:szCs w:val="24"/>
          <w:u w:val="single"/>
        </w:rPr>
      </w:pPr>
    </w:p>
    <w:p w14:paraId="5A20F688" w14:textId="77777777" w:rsidR="00E14429" w:rsidRDefault="00E14429" w:rsidP="00CE6977">
      <w:pPr>
        <w:jc w:val="both"/>
        <w:rPr>
          <w:rFonts w:ascii="Calibri" w:hAnsi="Calibri" w:cs="Calibri"/>
          <w:b/>
          <w:bCs/>
          <w:sz w:val="24"/>
          <w:szCs w:val="24"/>
          <w:u w:val="single"/>
        </w:rPr>
      </w:pPr>
    </w:p>
    <w:p w14:paraId="30D107FB" w14:textId="58053076" w:rsidR="00CE6977" w:rsidRPr="00973131" w:rsidRDefault="00CE6977" w:rsidP="00CE6977">
      <w:pPr>
        <w:jc w:val="both"/>
        <w:rPr>
          <w:rFonts w:ascii="Calibri" w:hAnsi="Calibri" w:cs="Calibri"/>
          <w:b/>
          <w:bCs/>
          <w:sz w:val="24"/>
          <w:szCs w:val="24"/>
          <w:u w:val="single"/>
        </w:rPr>
      </w:pPr>
      <w:r w:rsidRPr="00973131">
        <w:rPr>
          <w:rFonts w:ascii="Calibri" w:hAnsi="Calibri" w:cs="Calibri"/>
          <w:b/>
          <w:bCs/>
          <w:sz w:val="24"/>
          <w:szCs w:val="24"/>
          <w:u w:val="single"/>
        </w:rPr>
        <w:lastRenderedPageBreak/>
        <w:t>Chapter</w:t>
      </w:r>
      <w:r>
        <w:rPr>
          <w:rFonts w:ascii="Calibri" w:hAnsi="Calibri" w:cs="Calibri"/>
          <w:b/>
          <w:bCs/>
          <w:sz w:val="24"/>
          <w:szCs w:val="24"/>
          <w:u w:val="single"/>
        </w:rPr>
        <w:t xml:space="preserve"> 2</w:t>
      </w:r>
      <w:r w:rsidRPr="00973131">
        <w:rPr>
          <w:rFonts w:ascii="Calibri" w:hAnsi="Calibri" w:cs="Calibri"/>
          <w:b/>
          <w:bCs/>
          <w:sz w:val="24"/>
          <w:szCs w:val="24"/>
          <w:u w:val="single"/>
        </w:rPr>
        <w:t xml:space="preserve">: </w:t>
      </w:r>
      <w:bookmarkStart w:id="9" w:name="_Hlk170121512"/>
      <w:r>
        <w:rPr>
          <w:rFonts w:ascii="Calibri" w:hAnsi="Calibri" w:cs="Calibri"/>
          <w:b/>
          <w:bCs/>
          <w:sz w:val="24"/>
          <w:szCs w:val="24"/>
          <w:u w:val="single"/>
        </w:rPr>
        <w:t>Torcs of the Gododdin – the archaeology</w:t>
      </w:r>
      <w:r w:rsidRPr="00973131">
        <w:rPr>
          <w:rFonts w:ascii="Calibri" w:hAnsi="Calibri" w:cs="Calibri"/>
          <w:b/>
          <w:bCs/>
          <w:sz w:val="24"/>
          <w:szCs w:val="24"/>
          <w:u w:val="single"/>
        </w:rPr>
        <w:t xml:space="preserve"> </w:t>
      </w:r>
      <w:bookmarkEnd w:id="9"/>
    </w:p>
    <w:p w14:paraId="5E2BFDC0" w14:textId="77777777" w:rsidR="00CE6977" w:rsidRPr="004540AB" w:rsidRDefault="00CE6977" w:rsidP="00CE6977">
      <w:pPr>
        <w:jc w:val="both"/>
        <w:rPr>
          <w:rFonts w:ascii="Calibri" w:hAnsi="Calibri" w:cs="Calibri"/>
          <w:b/>
          <w:bCs/>
        </w:rPr>
      </w:pPr>
      <w:r w:rsidRPr="004540AB">
        <w:rPr>
          <w:rFonts w:ascii="Calibri" w:hAnsi="Calibri" w:cs="Calibri"/>
          <w:b/>
          <w:bCs/>
        </w:rPr>
        <w:t>2.1. Introduction</w:t>
      </w:r>
    </w:p>
    <w:p w14:paraId="58B29939" w14:textId="682A6CC4" w:rsidR="00CE6977" w:rsidRPr="00973131" w:rsidRDefault="00CE6977" w:rsidP="00CE6977">
      <w:pPr>
        <w:jc w:val="both"/>
        <w:rPr>
          <w:rFonts w:ascii="Calibri" w:hAnsi="Calibri" w:cs="Calibri"/>
        </w:rPr>
      </w:pPr>
      <w:r w:rsidRPr="00973131">
        <w:rPr>
          <w:rFonts w:ascii="Calibri" w:hAnsi="Calibri" w:cs="Calibri"/>
        </w:rPr>
        <w:t>The potential existence of Torcs</w:t>
      </w:r>
      <w:r w:rsidRPr="00F44A8B">
        <w:rPr>
          <w:rFonts w:ascii="Calibri" w:hAnsi="Calibri" w:cs="Calibri"/>
        </w:rPr>
        <w:t xml:space="preserve"> </w:t>
      </w:r>
      <w:r w:rsidRPr="00973131">
        <w:rPr>
          <w:rFonts w:ascii="Calibri" w:hAnsi="Calibri" w:cs="Calibri"/>
        </w:rPr>
        <w:t xml:space="preserve">in post-roman Britain, or at least objects to which the </w:t>
      </w:r>
      <w:r>
        <w:rPr>
          <w:rFonts w:ascii="Calibri" w:hAnsi="Calibri" w:cs="Calibri"/>
        </w:rPr>
        <w:t xml:space="preserve">torcs </w:t>
      </w:r>
      <w:r w:rsidRPr="00973131">
        <w:rPr>
          <w:rFonts w:ascii="Calibri" w:hAnsi="Calibri" w:cs="Calibri"/>
        </w:rPr>
        <w:t xml:space="preserve">of The Gododdin </w:t>
      </w:r>
      <w:r w:rsidR="00E14429">
        <w:rPr>
          <w:rFonts w:ascii="Calibri" w:hAnsi="Calibri" w:cs="Calibri"/>
        </w:rPr>
        <w:t xml:space="preserve">poem might </w:t>
      </w:r>
      <w:r w:rsidRPr="00973131">
        <w:rPr>
          <w:rFonts w:ascii="Calibri" w:hAnsi="Calibri" w:cs="Calibri"/>
        </w:rPr>
        <w:t xml:space="preserve">refer, has not been widely explored, but it has been studied – from an archeological and historical perspective - by several academics. This chapter shall review </w:t>
      </w:r>
      <w:r w:rsidR="002B3606">
        <w:rPr>
          <w:rFonts w:ascii="Calibri" w:hAnsi="Calibri" w:cs="Calibri"/>
        </w:rPr>
        <w:t>scholarship</w:t>
      </w:r>
      <w:r w:rsidRPr="00973131">
        <w:rPr>
          <w:rFonts w:ascii="Calibri" w:hAnsi="Calibri" w:cs="Calibri"/>
        </w:rPr>
        <w:t xml:space="preserve"> </w:t>
      </w:r>
      <w:r w:rsidR="002B3606">
        <w:rPr>
          <w:rFonts w:ascii="Calibri" w:hAnsi="Calibri" w:cs="Calibri"/>
        </w:rPr>
        <w:t>on</w:t>
      </w:r>
      <w:r w:rsidRPr="00973131">
        <w:rPr>
          <w:rFonts w:ascii="Calibri" w:hAnsi="Calibri" w:cs="Calibri"/>
        </w:rPr>
        <w:t xml:space="preserve"> this question</w:t>
      </w:r>
      <w:r>
        <w:rPr>
          <w:rFonts w:ascii="Calibri" w:hAnsi="Calibri" w:cs="Calibri"/>
        </w:rPr>
        <w:t xml:space="preserve"> and consider the possibility that the poem refers to real and distinct objects that represent either a continuation of Iron-age or Roman-era material culture, or else an intentional reinvention of it. </w:t>
      </w:r>
    </w:p>
    <w:p w14:paraId="56ACFDD1" w14:textId="77777777" w:rsidR="00CE6977" w:rsidRPr="00973131" w:rsidRDefault="00CE6977" w:rsidP="00CE6977">
      <w:pPr>
        <w:jc w:val="both"/>
        <w:rPr>
          <w:rFonts w:ascii="Calibri" w:hAnsi="Calibri" w:cs="Calibri"/>
          <w:u w:val="single"/>
        </w:rPr>
      </w:pPr>
      <w:bookmarkStart w:id="10" w:name="_Hlk170121569"/>
      <w:r>
        <w:rPr>
          <w:rFonts w:ascii="Calibri" w:hAnsi="Calibri" w:cs="Calibri"/>
          <w:u w:val="single"/>
        </w:rPr>
        <w:t xml:space="preserve">2.2. </w:t>
      </w:r>
      <w:r w:rsidRPr="00973131">
        <w:rPr>
          <w:rFonts w:ascii="Calibri" w:hAnsi="Calibri" w:cs="Calibri"/>
          <w:u w:val="single"/>
        </w:rPr>
        <w:t>Pictish Torcs – The Norrie’s Law Hoard</w:t>
      </w:r>
    </w:p>
    <w:bookmarkEnd w:id="10"/>
    <w:p w14:paraId="45921A29" w14:textId="0D02A89B" w:rsidR="00CE6977" w:rsidRPr="00973131" w:rsidRDefault="00CE6977" w:rsidP="00CE6977">
      <w:pPr>
        <w:jc w:val="both"/>
        <w:rPr>
          <w:rFonts w:ascii="Calibri" w:hAnsi="Calibri" w:cs="Calibri"/>
        </w:rPr>
      </w:pPr>
      <w:r w:rsidRPr="00973131">
        <w:rPr>
          <w:rFonts w:ascii="Calibri" w:hAnsi="Calibri" w:cs="Calibri"/>
          <w:noProof/>
        </w:rPr>
        <w:drawing>
          <wp:anchor distT="0" distB="0" distL="114300" distR="114300" simplePos="0" relativeHeight="251662336" behindDoc="0" locked="0" layoutInCell="1" allowOverlap="1" wp14:anchorId="2475473C" wp14:editId="423A8D6E">
            <wp:simplePos x="0" y="0"/>
            <wp:positionH relativeFrom="margin">
              <wp:posOffset>-12879</wp:posOffset>
            </wp:positionH>
            <wp:positionV relativeFrom="paragraph">
              <wp:posOffset>2460822</wp:posOffset>
            </wp:positionV>
            <wp:extent cx="2541270" cy="2426335"/>
            <wp:effectExtent l="0" t="0" r="0" b="0"/>
            <wp:wrapSquare wrapText="bothSides"/>
            <wp:docPr id="3074" name="Picture 2" descr="Norries Selection">
              <a:extLst xmlns:a="http://schemas.openxmlformats.org/drawingml/2006/main">
                <a:ext uri="{FF2B5EF4-FFF2-40B4-BE49-F238E27FC236}">
                  <a16:creationId xmlns:a16="http://schemas.microsoft.com/office/drawing/2014/main" id="{F33B91A6-C48B-0A28-AA5F-8D5963BDB3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Norries Selection">
                      <a:extLst>
                        <a:ext uri="{FF2B5EF4-FFF2-40B4-BE49-F238E27FC236}">
                          <a16:creationId xmlns:a16="http://schemas.microsoft.com/office/drawing/2014/main" id="{F33B91A6-C48B-0A28-AA5F-8D5963BDB3E9}"/>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41270" cy="2426335"/>
                    </a:xfrm>
                    <a:prstGeom prst="rect">
                      <a:avLst/>
                    </a:prstGeom>
                    <a:noFill/>
                  </pic:spPr>
                </pic:pic>
              </a:graphicData>
            </a:graphic>
            <wp14:sizeRelH relativeFrom="margin">
              <wp14:pctWidth>0</wp14:pctWidth>
            </wp14:sizeRelH>
            <wp14:sizeRelV relativeFrom="margin">
              <wp14:pctHeight>0</wp14:pctHeight>
            </wp14:sizeRelV>
          </wp:anchor>
        </w:drawing>
      </w:r>
      <w:r w:rsidRPr="00973131">
        <w:rPr>
          <w:rFonts w:ascii="Calibri" w:hAnsi="Calibri" w:cs="Calibri"/>
        </w:rPr>
        <w:t>Craig Cessford proposes that several artefacts in the early-medieval Norrie’s Law Hoard</w:t>
      </w:r>
      <w:r w:rsidR="00317F5C">
        <w:rPr>
          <w:rFonts w:ascii="Calibri" w:hAnsi="Calibri" w:cs="Calibri"/>
        </w:rPr>
        <w:t>,</w:t>
      </w:r>
      <w:r w:rsidRPr="00973131">
        <w:rPr>
          <w:rFonts w:ascii="Calibri" w:hAnsi="Calibri" w:cs="Calibri"/>
        </w:rPr>
        <w:t xml:space="preserve"> a collection of silver objects attributed to the Picts, are Torcs, noting their twisting design and terminals.</w:t>
      </w:r>
      <w:r w:rsidRPr="00973131">
        <w:rPr>
          <w:rStyle w:val="FootnoteReference"/>
          <w:rFonts w:ascii="Calibri" w:hAnsi="Calibri" w:cs="Calibri"/>
        </w:rPr>
        <w:footnoteReference w:id="39"/>
      </w:r>
      <w:r w:rsidRPr="00973131">
        <w:rPr>
          <w:rFonts w:ascii="Calibri" w:hAnsi="Calibri" w:cs="Calibri"/>
        </w:rPr>
        <w:t xml:space="preserve"> At first look, these artefacts do bear a striking resemblance to torcs. However, several considerations must be made. First, the National Museum of Scotland classifies these items as brooches,</w:t>
      </w:r>
      <w:r w:rsidRPr="00973131">
        <w:rPr>
          <w:rStyle w:val="FootnoteReference"/>
          <w:rFonts w:ascii="Calibri" w:hAnsi="Calibri" w:cs="Calibri"/>
        </w:rPr>
        <w:footnoteReference w:id="40"/>
      </w:r>
      <w:r w:rsidRPr="00973131">
        <w:rPr>
          <w:rFonts w:ascii="Calibri" w:hAnsi="Calibri" w:cs="Calibri"/>
        </w:rPr>
        <w:t xml:space="preserve"> and Cessford concedes that there are different views about the Hoard. Second, they are Pictish. </w:t>
      </w:r>
      <w:r>
        <w:rPr>
          <w:rFonts w:ascii="Calibri" w:hAnsi="Calibri" w:cs="Calibri"/>
        </w:rPr>
        <w:t>As discussed in the previous chapter, it is possible that the Gododdin poem depicts a torc-wearing Pict (Llif, from beyond Bannog), but the literary p</w:t>
      </w:r>
      <w:r w:rsidR="00F53D35">
        <w:rPr>
          <w:rFonts w:ascii="Calibri" w:hAnsi="Calibri" w:cs="Calibri"/>
        </w:rPr>
        <w:t>ur</w:t>
      </w:r>
      <w:r>
        <w:rPr>
          <w:rFonts w:ascii="Calibri" w:hAnsi="Calibri" w:cs="Calibri"/>
        </w:rPr>
        <w:t xml:space="preserve">pose of inclusion in the warband may outweigh any material reality. </w:t>
      </w:r>
      <w:r w:rsidR="00BB06E9">
        <w:rPr>
          <w:rFonts w:ascii="Calibri" w:hAnsi="Calibri" w:cs="Calibri"/>
        </w:rPr>
        <w:t>I</w:t>
      </w:r>
      <w:r w:rsidRPr="00973131">
        <w:rPr>
          <w:rFonts w:ascii="Calibri" w:hAnsi="Calibri" w:cs="Calibri"/>
        </w:rPr>
        <w:t xml:space="preserve">t is </w:t>
      </w:r>
      <w:r w:rsidR="00BB06E9">
        <w:rPr>
          <w:rFonts w:ascii="Calibri" w:hAnsi="Calibri" w:cs="Calibri"/>
        </w:rPr>
        <w:t xml:space="preserve">also </w:t>
      </w:r>
      <w:r w:rsidRPr="00973131">
        <w:rPr>
          <w:rFonts w:ascii="Calibri" w:hAnsi="Calibri" w:cs="Calibri"/>
        </w:rPr>
        <w:t>no</w:t>
      </w:r>
      <w:r w:rsidR="00E35E8B">
        <w:rPr>
          <w:rFonts w:ascii="Calibri" w:hAnsi="Calibri" w:cs="Calibri"/>
        </w:rPr>
        <w:t>t a</w:t>
      </w:r>
      <w:r w:rsidRPr="00973131">
        <w:rPr>
          <w:rFonts w:ascii="Calibri" w:hAnsi="Calibri" w:cs="Calibri"/>
        </w:rPr>
        <w:t xml:space="preserve"> given that </w:t>
      </w:r>
      <w:r>
        <w:rPr>
          <w:rFonts w:ascii="Calibri" w:hAnsi="Calibri" w:cs="Calibri"/>
        </w:rPr>
        <w:t xml:space="preserve">Pictish </w:t>
      </w:r>
      <w:r w:rsidRPr="00973131">
        <w:rPr>
          <w:rFonts w:ascii="Calibri" w:hAnsi="Calibri" w:cs="Calibri"/>
        </w:rPr>
        <w:t>material culture is an</w:t>
      </w:r>
      <w:r w:rsidR="00C9368A">
        <w:rPr>
          <w:rFonts w:ascii="Calibri" w:hAnsi="Calibri" w:cs="Calibri"/>
        </w:rPr>
        <w:t>y</w:t>
      </w:r>
      <w:r w:rsidRPr="00973131">
        <w:rPr>
          <w:rFonts w:ascii="Calibri" w:hAnsi="Calibri" w:cs="Calibri"/>
        </w:rPr>
        <w:t xml:space="preserve"> indication of that of Brittonic kingdoms. Whether the Picts should be considered ethnically </w:t>
      </w:r>
      <w:r>
        <w:rPr>
          <w:rFonts w:ascii="Calibri" w:hAnsi="Calibri" w:cs="Calibri"/>
        </w:rPr>
        <w:t>distinct</w:t>
      </w:r>
      <w:r w:rsidRPr="00973131">
        <w:rPr>
          <w:rFonts w:ascii="Calibri" w:hAnsi="Calibri" w:cs="Calibri"/>
        </w:rPr>
        <w:t xml:space="preserve"> is less relevant than the fact that they were </w:t>
      </w:r>
      <w:r>
        <w:rPr>
          <w:rFonts w:ascii="Calibri" w:hAnsi="Calibri" w:cs="Calibri"/>
        </w:rPr>
        <w:t xml:space="preserve">still </w:t>
      </w:r>
      <w:r w:rsidRPr="00973131">
        <w:rPr>
          <w:rFonts w:ascii="Calibri" w:hAnsi="Calibri" w:cs="Calibri"/>
        </w:rPr>
        <w:t xml:space="preserve">a </w:t>
      </w:r>
      <w:r>
        <w:rPr>
          <w:rFonts w:ascii="Calibri" w:hAnsi="Calibri" w:cs="Calibri"/>
        </w:rPr>
        <w:t>different</w:t>
      </w:r>
      <w:r w:rsidRPr="00973131">
        <w:rPr>
          <w:rFonts w:ascii="Calibri" w:hAnsi="Calibri" w:cs="Calibri"/>
        </w:rPr>
        <w:t xml:space="preserve"> society, and their material culture would have surely differed in at least some ways, despite any similarities and overlaps arising from proximity and cultural contact. Nonetheless, it may be the case these torc-like artefacts </w:t>
      </w:r>
      <w:r w:rsidR="00FB376A">
        <w:rPr>
          <w:rFonts w:ascii="Calibri" w:hAnsi="Calibri" w:cs="Calibri"/>
        </w:rPr>
        <w:t>arise</w:t>
      </w:r>
      <w:r>
        <w:rPr>
          <w:rFonts w:ascii="Calibri" w:hAnsi="Calibri" w:cs="Calibri"/>
        </w:rPr>
        <w:t xml:space="preserve"> at least partially</w:t>
      </w:r>
      <w:r w:rsidRPr="00973131">
        <w:rPr>
          <w:rFonts w:ascii="Calibri" w:hAnsi="Calibri" w:cs="Calibri"/>
        </w:rPr>
        <w:t xml:space="preserve"> from a zone of cultural contact comprising the Picts, Britons like the Votadini/Gododdin</w:t>
      </w:r>
      <w:r>
        <w:rPr>
          <w:rFonts w:ascii="Calibri" w:hAnsi="Calibri" w:cs="Calibri"/>
        </w:rPr>
        <w:t>,</w:t>
      </w:r>
      <w:r w:rsidRPr="00973131">
        <w:rPr>
          <w:rFonts w:ascii="Calibri" w:hAnsi="Calibri" w:cs="Calibri"/>
        </w:rPr>
        <w:t xml:space="preserve"> and Romans</w:t>
      </w:r>
      <w:r>
        <w:rPr>
          <w:rFonts w:ascii="Calibri" w:hAnsi="Calibri" w:cs="Calibri"/>
        </w:rPr>
        <w:t>.</w:t>
      </w:r>
    </w:p>
    <w:p w14:paraId="11026B91" w14:textId="2C239DC6" w:rsidR="00CE6977" w:rsidRPr="00973131" w:rsidRDefault="00CE6977" w:rsidP="00CE6977">
      <w:pPr>
        <w:jc w:val="both"/>
        <w:rPr>
          <w:rFonts w:ascii="Calibri" w:hAnsi="Calibri" w:cs="Calibri"/>
        </w:rPr>
      </w:pPr>
      <w:r w:rsidRPr="00973131">
        <w:rPr>
          <w:rFonts w:ascii="Calibri" w:hAnsi="Calibri" w:cs="Calibri"/>
        </w:rPr>
        <w:t xml:space="preserve">Cessford considers torcs and brooches to be distinct items of jewellery in the Gododdin poem, but does admit there is debate over what the terms refer to, such as whether </w:t>
      </w:r>
      <w:r w:rsidRPr="00973131">
        <w:rPr>
          <w:rFonts w:ascii="Calibri" w:hAnsi="Calibri" w:cs="Calibri"/>
          <w:i/>
          <w:iCs/>
        </w:rPr>
        <w:t>cae</w:t>
      </w:r>
      <w:r w:rsidRPr="00973131">
        <w:rPr>
          <w:rFonts w:ascii="Calibri" w:hAnsi="Calibri" w:cs="Calibri"/>
        </w:rPr>
        <w:t xml:space="preserve"> means brooch or diadem.</w:t>
      </w:r>
      <w:r w:rsidRPr="00973131">
        <w:rPr>
          <w:rStyle w:val="FootnoteReference"/>
          <w:rFonts w:ascii="Calibri" w:hAnsi="Calibri" w:cs="Calibri"/>
        </w:rPr>
        <w:footnoteReference w:id="41"/>
      </w:r>
      <w:r w:rsidRPr="00973131">
        <w:rPr>
          <w:rFonts w:ascii="Calibri" w:hAnsi="Calibri" w:cs="Calibri"/>
        </w:rPr>
        <w:t xml:space="preserve"> That </w:t>
      </w:r>
      <w:r w:rsidR="00AA2934">
        <w:rPr>
          <w:rFonts w:ascii="Calibri" w:hAnsi="Calibri" w:cs="Calibri"/>
        </w:rPr>
        <w:t>it</w:t>
      </w:r>
      <w:r w:rsidRPr="00973131">
        <w:rPr>
          <w:rFonts w:ascii="Calibri" w:hAnsi="Calibri" w:cs="Calibri"/>
        </w:rPr>
        <w:t xml:space="preserve"> could </w:t>
      </w:r>
      <w:r w:rsidR="00AA2934">
        <w:rPr>
          <w:rFonts w:ascii="Calibri" w:hAnsi="Calibri" w:cs="Calibri"/>
        </w:rPr>
        <w:t xml:space="preserve">also </w:t>
      </w:r>
      <w:r w:rsidRPr="00973131">
        <w:rPr>
          <w:rFonts w:ascii="Calibri" w:hAnsi="Calibri" w:cs="Calibri"/>
        </w:rPr>
        <w:t>refer to a torc is not entertained.</w:t>
      </w:r>
    </w:p>
    <w:tbl>
      <w:tblPr>
        <w:tblStyle w:val="TableGrid"/>
        <w:tblpPr w:leftFromText="180" w:rightFromText="180" w:vertAnchor="text" w:horzAnchor="margin" w:tblpY="2154"/>
        <w:tblW w:w="0" w:type="auto"/>
        <w:tblLook w:val="04A0" w:firstRow="1" w:lastRow="0" w:firstColumn="1" w:lastColumn="0" w:noHBand="0" w:noVBand="1"/>
      </w:tblPr>
      <w:tblGrid>
        <w:gridCol w:w="4006"/>
      </w:tblGrid>
      <w:tr w:rsidR="00CE6977" w14:paraId="0D435208" w14:textId="77777777" w:rsidTr="001D568B">
        <w:trPr>
          <w:trHeight w:val="388"/>
        </w:trPr>
        <w:tc>
          <w:tcPr>
            <w:tcW w:w="4006" w:type="dxa"/>
          </w:tcPr>
          <w:p w14:paraId="24E556E5" w14:textId="77777777" w:rsidR="00CE6977" w:rsidRPr="00D87A2C" w:rsidRDefault="00CE6977" w:rsidP="001D568B">
            <w:pPr>
              <w:rPr>
                <w:i/>
                <w:iCs/>
                <w:sz w:val="20"/>
                <w:szCs w:val="20"/>
              </w:rPr>
            </w:pPr>
            <w:r w:rsidRPr="0070375F">
              <w:rPr>
                <w:i/>
                <w:iCs/>
                <w:sz w:val="20"/>
                <w:szCs w:val="20"/>
              </w:rPr>
              <w:t>Potential Torcs, Norrie’s Law Hoard, National Museum of Scotland</w:t>
            </w:r>
            <w:r>
              <w:rPr>
                <w:rStyle w:val="FootnoteReference"/>
                <w:i/>
                <w:iCs/>
                <w:sz w:val="20"/>
                <w:szCs w:val="20"/>
              </w:rPr>
              <w:footnoteReference w:id="42"/>
            </w:r>
          </w:p>
        </w:tc>
      </w:tr>
    </w:tbl>
    <w:p w14:paraId="6AAEB147" w14:textId="6CE5DEB4" w:rsidR="00CE6977" w:rsidRDefault="00CE6977" w:rsidP="00CE6977">
      <w:pPr>
        <w:jc w:val="both"/>
        <w:rPr>
          <w:rFonts w:ascii="Calibri" w:hAnsi="Calibri" w:cs="Calibri"/>
        </w:rPr>
      </w:pPr>
      <w:r w:rsidRPr="00973131">
        <w:rPr>
          <w:rFonts w:ascii="Calibri" w:hAnsi="Calibri" w:cs="Calibri"/>
        </w:rPr>
        <w:t>As noted in the previous chapter, Day rehearses a</w:t>
      </w:r>
      <w:r w:rsidR="00BA279A">
        <w:rPr>
          <w:rFonts w:ascii="Calibri" w:hAnsi="Calibri" w:cs="Calibri"/>
        </w:rPr>
        <w:t>n</w:t>
      </w:r>
      <w:r w:rsidRPr="00973131">
        <w:rPr>
          <w:rFonts w:ascii="Calibri" w:hAnsi="Calibri" w:cs="Calibri"/>
        </w:rPr>
        <w:t xml:space="preserve"> </w:t>
      </w:r>
      <w:r w:rsidR="00BA279A">
        <w:rPr>
          <w:rFonts w:ascii="Calibri" w:hAnsi="Calibri" w:cs="Calibri"/>
        </w:rPr>
        <w:t>argument</w:t>
      </w:r>
      <w:r w:rsidRPr="00973131">
        <w:rPr>
          <w:rFonts w:ascii="Calibri" w:hAnsi="Calibri" w:cs="Calibri"/>
        </w:rPr>
        <w:t xml:space="preserve"> that both </w:t>
      </w:r>
      <w:r w:rsidRPr="00973131">
        <w:rPr>
          <w:rFonts w:ascii="Calibri" w:hAnsi="Calibri" w:cs="Calibri"/>
          <w:i/>
          <w:iCs/>
        </w:rPr>
        <w:t>torch</w:t>
      </w:r>
      <w:r w:rsidRPr="00973131">
        <w:rPr>
          <w:rFonts w:ascii="Calibri" w:hAnsi="Calibri" w:cs="Calibri"/>
        </w:rPr>
        <w:t xml:space="preserve"> and </w:t>
      </w:r>
      <w:r w:rsidRPr="00973131">
        <w:rPr>
          <w:rFonts w:ascii="Calibri" w:hAnsi="Calibri" w:cs="Calibri"/>
          <w:i/>
          <w:iCs/>
        </w:rPr>
        <w:t>cae</w:t>
      </w:r>
      <w:r w:rsidRPr="00973131">
        <w:rPr>
          <w:rFonts w:ascii="Calibri" w:hAnsi="Calibri" w:cs="Calibri"/>
        </w:rPr>
        <w:t xml:space="preserve"> might refer to post-roman penannular brooches (and therefore material objects contemporary to the poem’s composition), and that these adornments could have been named thus </w:t>
      </w:r>
      <w:r w:rsidRPr="00973131">
        <w:rPr>
          <w:rFonts w:ascii="Calibri" w:hAnsi="Calibri" w:cs="Calibri"/>
          <w:i/>
          <w:iCs/>
        </w:rPr>
        <w:t>because of their</w:t>
      </w:r>
      <w:r>
        <w:rPr>
          <w:rFonts w:ascii="Calibri" w:hAnsi="Calibri" w:cs="Calibri"/>
          <w:i/>
          <w:iCs/>
        </w:rPr>
        <w:t xml:space="preserve"> </w:t>
      </w:r>
      <w:r w:rsidRPr="00973131">
        <w:rPr>
          <w:rFonts w:ascii="Calibri" w:hAnsi="Calibri" w:cs="Calibri"/>
          <w:i/>
          <w:iCs/>
        </w:rPr>
        <w:t>resemblance to earlier torcs</w:t>
      </w:r>
      <w:r w:rsidRPr="00973131">
        <w:rPr>
          <w:rFonts w:ascii="Calibri" w:hAnsi="Calibri" w:cs="Calibri"/>
        </w:rPr>
        <w:t>,</w:t>
      </w:r>
      <w:r w:rsidRPr="00973131">
        <w:rPr>
          <w:rStyle w:val="FootnoteReference"/>
          <w:rFonts w:ascii="Calibri" w:hAnsi="Calibri" w:cs="Calibri"/>
        </w:rPr>
        <w:footnoteReference w:id="43"/>
      </w:r>
      <w:r w:rsidRPr="00973131">
        <w:rPr>
          <w:rFonts w:ascii="Calibri" w:hAnsi="Calibri" w:cs="Calibri"/>
        </w:rPr>
        <w:t xml:space="preserve"> as a way to embody historic, symbolic and social meaning in the culture of the time. While Cessford does not broadly accept this, it arguably adds weight nonetheless to his </w:t>
      </w:r>
      <w:r w:rsidRPr="00973131">
        <w:rPr>
          <w:rFonts w:ascii="Calibri" w:hAnsi="Calibri" w:cs="Calibri"/>
        </w:rPr>
        <w:lastRenderedPageBreak/>
        <w:t xml:space="preserve">theory that these items could be the torcs of the poem, whether they were used as brooches or torcs in the practical sense. </w:t>
      </w:r>
    </w:p>
    <w:p w14:paraId="4AD3EFB9" w14:textId="77777777" w:rsidR="00CE6977" w:rsidRPr="00973131" w:rsidRDefault="00CE6977" w:rsidP="00CE6977">
      <w:pPr>
        <w:jc w:val="both"/>
        <w:rPr>
          <w:rFonts w:ascii="Calibri" w:hAnsi="Calibri" w:cs="Calibri"/>
        </w:rPr>
      </w:pPr>
      <w:r w:rsidRPr="00973131">
        <w:rPr>
          <w:rFonts w:ascii="Calibri" w:hAnsi="Calibri" w:cs="Calibri"/>
        </w:rPr>
        <w:t xml:space="preserve">The fact that these items are silver, not gold, is explained by Cessford by poetic licence, in which </w:t>
      </w:r>
      <w:r w:rsidRPr="00973131">
        <w:rPr>
          <w:rFonts w:ascii="Calibri" w:hAnsi="Calibri" w:cs="Calibri"/>
          <w:i/>
          <w:iCs/>
        </w:rPr>
        <w:t>‘aur/eur’</w:t>
      </w:r>
      <w:r w:rsidRPr="00973131">
        <w:rPr>
          <w:rFonts w:ascii="Calibri" w:hAnsi="Calibri" w:cs="Calibri"/>
        </w:rPr>
        <w:t xml:space="preserve"> can also mean ‘fine or splendid.’</w:t>
      </w:r>
      <w:r w:rsidRPr="00973131">
        <w:rPr>
          <w:rStyle w:val="FootnoteReference"/>
          <w:rFonts w:ascii="Calibri" w:hAnsi="Calibri" w:cs="Calibri"/>
        </w:rPr>
        <w:footnoteReference w:id="44"/>
      </w:r>
      <w:r w:rsidRPr="00973131">
        <w:rPr>
          <w:rFonts w:ascii="Calibri" w:hAnsi="Calibri" w:cs="Calibri"/>
        </w:rPr>
        <w:t xml:space="preserve"> He argues that if Gododdin Torcs were in fact silver, that would actually align with torcs in early Irish literature, which are described as silver.</w:t>
      </w:r>
      <w:r w:rsidRPr="00973131">
        <w:rPr>
          <w:rStyle w:val="FootnoteReference"/>
          <w:rFonts w:ascii="Calibri" w:hAnsi="Calibri" w:cs="Calibri"/>
        </w:rPr>
        <w:footnoteReference w:id="45"/>
      </w:r>
      <w:r w:rsidRPr="00973131">
        <w:rPr>
          <w:rFonts w:ascii="Calibri" w:hAnsi="Calibri" w:cs="Calibri"/>
        </w:rPr>
        <w:t xml:space="preserve"> While the same caution towards literature as evidence of material culture should be applied here as to the Gododdin, nonetheless the arguments layer up in a way that is at least compelling, if not convincing.</w:t>
      </w:r>
    </w:p>
    <w:p w14:paraId="3FA05A82" w14:textId="77777777" w:rsidR="00CE6977" w:rsidRPr="00973131" w:rsidRDefault="00CE6977" w:rsidP="00CE6977">
      <w:pPr>
        <w:jc w:val="both"/>
        <w:rPr>
          <w:rFonts w:ascii="Calibri" w:hAnsi="Calibri" w:cs="Calibri"/>
        </w:rPr>
      </w:pPr>
      <w:r w:rsidRPr="00973131">
        <w:rPr>
          <w:rFonts w:ascii="Calibri" w:hAnsi="Calibri" w:cs="Calibri"/>
        </w:rPr>
        <w:t>Whether the Norrie’s Law items are torcs or something else, Cessford observes that their use was likely practical, rather than symbolic, noting the wear on them. Moreover, he suggests this is evidence of it being worn ‘in the roman manner,’ on the chest suspended from a string around the neck.</w:t>
      </w:r>
      <w:r w:rsidRPr="00973131">
        <w:rPr>
          <w:rStyle w:val="FootnoteReference"/>
          <w:rFonts w:ascii="Calibri" w:hAnsi="Calibri" w:cs="Calibri"/>
        </w:rPr>
        <w:footnoteReference w:id="46"/>
      </w:r>
      <w:r w:rsidRPr="00973131">
        <w:rPr>
          <w:rFonts w:ascii="Calibri" w:hAnsi="Calibri" w:cs="Calibri"/>
        </w:rPr>
        <w:t xml:space="preserve"> If the </w:t>
      </w:r>
      <w:r w:rsidRPr="00973131">
        <w:rPr>
          <w:rFonts w:ascii="Calibri" w:hAnsi="Calibri" w:cs="Calibri"/>
          <w:i/>
          <w:iCs/>
        </w:rPr>
        <w:t>Eurdorchogion</w:t>
      </w:r>
      <w:r w:rsidRPr="00973131">
        <w:rPr>
          <w:rFonts w:ascii="Calibri" w:hAnsi="Calibri" w:cs="Calibri"/>
        </w:rPr>
        <w:t xml:space="preserve"> of the Gododdin was in a way the military descendent of the torqued </w:t>
      </w:r>
      <w:r w:rsidRPr="00973131">
        <w:rPr>
          <w:rFonts w:ascii="Calibri" w:hAnsi="Calibri" w:cs="Calibri"/>
          <w:i/>
          <w:iCs/>
        </w:rPr>
        <w:t>Alia Petriana</w:t>
      </w:r>
      <w:r w:rsidRPr="00973131">
        <w:rPr>
          <w:rFonts w:ascii="Calibri" w:hAnsi="Calibri" w:cs="Calibri"/>
        </w:rPr>
        <w:t>, then is it surely possible that the manner in which torcs were worn could have passed down also.</w:t>
      </w:r>
    </w:p>
    <w:p w14:paraId="05BCFFF4" w14:textId="77777777" w:rsidR="00CE6977" w:rsidRPr="00973131" w:rsidRDefault="00CE6977" w:rsidP="00CE6977">
      <w:pPr>
        <w:jc w:val="both"/>
        <w:rPr>
          <w:rFonts w:ascii="Calibri" w:hAnsi="Calibri" w:cs="Calibri"/>
          <w:u w:val="single"/>
        </w:rPr>
      </w:pPr>
      <w:bookmarkStart w:id="12" w:name="_Hlk170121598"/>
      <w:r>
        <w:rPr>
          <w:rFonts w:ascii="Calibri" w:hAnsi="Calibri" w:cs="Calibri"/>
          <w:u w:val="single"/>
        </w:rPr>
        <w:t xml:space="preserve">2.3. Torcs on the </w:t>
      </w:r>
      <w:r w:rsidRPr="00973131">
        <w:rPr>
          <w:rFonts w:ascii="Calibri" w:hAnsi="Calibri" w:cs="Calibri"/>
          <w:u w:val="single"/>
        </w:rPr>
        <w:t>Aberlemno Stones</w:t>
      </w:r>
    </w:p>
    <w:bookmarkEnd w:id="12"/>
    <w:p w14:paraId="3EB3D522" w14:textId="77777777" w:rsidR="00CE6977" w:rsidRPr="00973131" w:rsidRDefault="00CE6977" w:rsidP="00CE6977">
      <w:pPr>
        <w:jc w:val="both"/>
        <w:rPr>
          <w:rFonts w:ascii="Calibri" w:hAnsi="Calibri" w:cs="Calibri"/>
        </w:rPr>
      </w:pPr>
      <w:r w:rsidRPr="00973131">
        <w:rPr>
          <w:rFonts w:ascii="Calibri" w:hAnsi="Calibri" w:cs="Calibri"/>
        </w:rPr>
        <w:t>The Aberlemno stones are a group of four early medieval (ad 500-800) Pictish carved stone monuments, which depict ‘…[both] characteristic Pictish symbols [and] overtly Christian iconography.’</w:t>
      </w:r>
      <w:r w:rsidRPr="00973131">
        <w:rPr>
          <w:rStyle w:val="FootnoteReference"/>
          <w:rFonts w:ascii="Calibri" w:hAnsi="Calibri" w:cs="Calibri"/>
        </w:rPr>
        <w:footnoteReference w:id="47"/>
      </w:r>
      <w:r w:rsidRPr="00973131">
        <w:rPr>
          <w:rFonts w:ascii="Calibri" w:hAnsi="Calibri" w:cs="Calibri"/>
        </w:rPr>
        <w:t> </w:t>
      </w:r>
    </w:p>
    <w:tbl>
      <w:tblPr>
        <w:tblStyle w:val="TableGrid"/>
        <w:tblpPr w:leftFromText="180" w:rightFromText="180" w:vertAnchor="text" w:horzAnchor="margin" w:tblpY="3942"/>
        <w:tblW w:w="0" w:type="auto"/>
        <w:tblLook w:val="04A0" w:firstRow="1" w:lastRow="0" w:firstColumn="1" w:lastColumn="0" w:noHBand="0" w:noVBand="1"/>
      </w:tblPr>
      <w:tblGrid>
        <w:gridCol w:w="5475"/>
      </w:tblGrid>
      <w:tr w:rsidR="00CE6977" w14:paraId="0614E3AC" w14:textId="77777777" w:rsidTr="001D568B">
        <w:trPr>
          <w:trHeight w:val="543"/>
        </w:trPr>
        <w:tc>
          <w:tcPr>
            <w:tcW w:w="5475" w:type="dxa"/>
          </w:tcPr>
          <w:p w14:paraId="14045A9D" w14:textId="77777777" w:rsidR="00CE6977" w:rsidRDefault="00CE6977" w:rsidP="001D568B">
            <w:pPr>
              <w:rPr>
                <w:rFonts w:ascii="Calibri" w:hAnsi="Calibri" w:cs="Calibri"/>
              </w:rPr>
            </w:pPr>
            <w:r>
              <w:rPr>
                <w:rFonts w:ascii="Calibri" w:hAnsi="Calibri" w:cs="Calibri"/>
              </w:rPr>
              <w:t>Aberlemno Stone II: The ‘torc’ is faint, but can be seen next to the warrior’s head [circle added for emphasis]</w:t>
            </w:r>
            <w:r>
              <w:rPr>
                <w:rStyle w:val="FootnoteReference"/>
                <w:rFonts w:ascii="Calibri" w:hAnsi="Calibri" w:cs="Calibri"/>
              </w:rPr>
              <w:footnoteReference w:id="48"/>
            </w:r>
          </w:p>
        </w:tc>
      </w:tr>
    </w:tbl>
    <w:p w14:paraId="6A6EFE85" w14:textId="77777777" w:rsidR="00CE6977" w:rsidRDefault="00CE6977" w:rsidP="00CE6977">
      <w:pPr>
        <w:jc w:val="both"/>
        <w:rPr>
          <w:rFonts w:ascii="Calibri" w:hAnsi="Calibri" w:cs="Calibri"/>
        </w:rPr>
      </w:pPr>
      <w:r>
        <w:rPr>
          <w:rFonts w:ascii="Calibri" w:hAnsi="Calibri" w:cs="Calibri"/>
          <w:noProof/>
        </w:rPr>
        <w:drawing>
          <wp:anchor distT="0" distB="0" distL="114300" distR="114300" simplePos="0" relativeHeight="251663360" behindDoc="0" locked="0" layoutInCell="1" allowOverlap="1" wp14:anchorId="5B509D7C" wp14:editId="3EB686CC">
            <wp:simplePos x="0" y="0"/>
            <wp:positionH relativeFrom="margin">
              <wp:align>left</wp:align>
            </wp:positionH>
            <wp:positionV relativeFrom="paragraph">
              <wp:posOffset>78605</wp:posOffset>
            </wp:positionV>
            <wp:extent cx="3479165" cy="2383155"/>
            <wp:effectExtent l="0" t="0" r="6985" b="0"/>
            <wp:wrapSquare wrapText="bothSides"/>
            <wp:docPr id="1635378869" name="Picture 3" descr="A stone carving of a person riding a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78869" name="Picture 3" descr="A stone carving of a person riding a hors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02761" cy="2399291"/>
                    </a:xfrm>
                    <a:prstGeom prst="rect">
                      <a:avLst/>
                    </a:prstGeom>
                  </pic:spPr>
                </pic:pic>
              </a:graphicData>
            </a:graphic>
            <wp14:sizeRelH relativeFrom="margin">
              <wp14:pctWidth>0</wp14:pctWidth>
            </wp14:sizeRelH>
            <wp14:sizeRelV relativeFrom="margin">
              <wp14:pctHeight>0</wp14:pctHeight>
            </wp14:sizeRelV>
          </wp:anchor>
        </w:drawing>
      </w:r>
      <w:r w:rsidRPr="00973131">
        <w:rPr>
          <w:rFonts w:ascii="Calibri" w:hAnsi="Calibri" w:cs="Calibri"/>
        </w:rPr>
        <w:t xml:space="preserve">Stone II depicts what is generally agreed to be the Pictish victory over the Northumbrians at Dun Nechtain; this could date it to the late seventh century. Cessford </w:t>
      </w:r>
      <w:r>
        <w:rPr>
          <w:rFonts w:ascii="Calibri" w:hAnsi="Calibri" w:cs="Calibri"/>
        </w:rPr>
        <w:t>is</w:t>
      </w:r>
      <w:r w:rsidRPr="00973131">
        <w:rPr>
          <w:rFonts w:ascii="Calibri" w:hAnsi="Calibri" w:cs="Calibri"/>
        </w:rPr>
        <w:t xml:space="preserve"> quite confident that this carving depicts a torc (fig. 3.), noting its horseshoe shape and defined terminals</w:t>
      </w:r>
      <w:r>
        <w:rPr>
          <w:rFonts w:ascii="Calibri" w:hAnsi="Calibri" w:cs="Calibri"/>
        </w:rPr>
        <w:t>,</w:t>
      </w:r>
      <w:r w:rsidRPr="00973131">
        <w:rPr>
          <w:rStyle w:val="FootnoteReference"/>
          <w:rFonts w:ascii="Calibri" w:hAnsi="Calibri" w:cs="Calibri"/>
        </w:rPr>
        <w:footnoteReference w:id="49"/>
      </w:r>
      <w:r w:rsidRPr="00973131">
        <w:rPr>
          <w:rFonts w:ascii="Calibri" w:hAnsi="Calibri" w:cs="Calibri"/>
        </w:rPr>
        <w:t xml:space="preserve"> </w:t>
      </w:r>
      <w:r>
        <w:rPr>
          <w:rFonts w:ascii="Calibri" w:hAnsi="Calibri" w:cs="Calibri"/>
        </w:rPr>
        <w:t>but Spearman argues it depicts a Pictish chain of the sort that will be considered next.</w:t>
      </w:r>
      <w:r>
        <w:rPr>
          <w:rStyle w:val="FootnoteReference"/>
          <w:rFonts w:ascii="Calibri" w:hAnsi="Calibri" w:cs="Calibri"/>
        </w:rPr>
        <w:footnoteReference w:id="50"/>
      </w:r>
      <w:r>
        <w:rPr>
          <w:rFonts w:ascii="Calibri" w:hAnsi="Calibri" w:cs="Calibri"/>
        </w:rPr>
        <w:t xml:space="preserve"> </w:t>
      </w:r>
      <w:r w:rsidRPr="00973131">
        <w:rPr>
          <w:rFonts w:ascii="Calibri" w:hAnsi="Calibri" w:cs="Calibri"/>
        </w:rPr>
        <w:t>The ‘torc’ floats next to the head of the warrior in the image, giving us little information about how it would have been worn. Cessford proposes its purpose may be to act as a personal symbol for the rider, a shorthand for warrior status like that of the torcs in the poem.</w:t>
      </w:r>
      <w:r w:rsidRPr="00973131">
        <w:rPr>
          <w:rStyle w:val="FootnoteReference"/>
          <w:rFonts w:ascii="Calibri" w:hAnsi="Calibri" w:cs="Calibri"/>
        </w:rPr>
        <w:footnoteReference w:id="51"/>
      </w:r>
      <w:r w:rsidRPr="00973131">
        <w:rPr>
          <w:rFonts w:ascii="Calibri" w:hAnsi="Calibri" w:cs="Calibri"/>
        </w:rPr>
        <w:t xml:space="preserve"> Yet this also allows for the torc carving representing a symbolic object only, a motif of visual literature. Nonetheless, this potential </w:t>
      </w:r>
      <w:r w:rsidRPr="00973131">
        <w:rPr>
          <w:rFonts w:ascii="Calibri" w:hAnsi="Calibri" w:cs="Calibri"/>
        </w:rPr>
        <w:lastRenderedPageBreak/>
        <w:t xml:space="preserve">representation of a torqued warrior, </w:t>
      </w:r>
      <w:r>
        <w:rPr>
          <w:rFonts w:ascii="Calibri" w:hAnsi="Calibri" w:cs="Calibri"/>
        </w:rPr>
        <w:t>particularly a mounted one,</w:t>
      </w:r>
      <w:r w:rsidRPr="00973131">
        <w:rPr>
          <w:rFonts w:ascii="Calibri" w:hAnsi="Calibri" w:cs="Calibri"/>
        </w:rPr>
        <w:t xml:space="preserve"> does </w:t>
      </w:r>
      <w:r>
        <w:rPr>
          <w:rFonts w:ascii="Calibri" w:hAnsi="Calibri" w:cs="Calibri"/>
        </w:rPr>
        <w:t>bear comparison with the warriors in the Gododdin poem.</w:t>
      </w:r>
      <w:r w:rsidRPr="00973131">
        <w:rPr>
          <w:rFonts w:ascii="Calibri" w:hAnsi="Calibri" w:cs="Calibri"/>
        </w:rPr>
        <w:t xml:space="preserve"> </w:t>
      </w:r>
    </w:p>
    <w:p w14:paraId="3F2727A2" w14:textId="77777777" w:rsidR="00CE6977" w:rsidRPr="00973131" w:rsidRDefault="00CE6977" w:rsidP="00CE6977">
      <w:pPr>
        <w:jc w:val="both"/>
        <w:rPr>
          <w:rFonts w:ascii="Calibri" w:hAnsi="Calibri" w:cs="Calibri"/>
          <w:u w:val="single"/>
        </w:rPr>
      </w:pPr>
      <w:bookmarkStart w:id="13" w:name="_Hlk170121631"/>
      <w:r>
        <w:rPr>
          <w:rFonts w:ascii="Calibri" w:hAnsi="Calibri" w:cs="Calibri"/>
          <w:u w:val="single"/>
        </w:rPr>
        <w:t xml:space="preserve">2.4. </w:t>
      </w:r>
      <w:r w:rsidRPr="00973131">
        <w:rPr>
          <w:rFonts w:ascii="Calibri" w:hAnsi="Calibri" w:cs="Calibri"/>
          <w:u w:val="single"/>
        </w:rPr>
        <w:t>Chains of Power</w:t>
      </w:r>
    </w:p>
    <w:bookmarkEnd w:id="13"/>
    <w:p w14:paraId="5C283A3B" w14:textId="77777777" w:rsidR="00CE6977" w:rsidRPr="00973131" w:rsidRDefault="00CE6977" w:rsidP="00CE6977">
      <w:pPr>
        <w:jc w:val="both"/>
        <w:rPr>
          <w:rFonts w:ascii="Calibri" w:hAnsi="Calibri" w:cs="Calibri"/>
        </w:rPr>
      </w:pPr>
      <w:r w:rsidRPr="00973131">
        <w:rPr>
          <w:rFonts w:ascii="Calibri" w:hAnsi="Calibri" w:cs="Calibri"/>
        </w:rPr>
        <w:t>Silver chains found in both Pictish and British areas</w:t>
      </w:r>
      <w:r w:rsidRPr="00973131">
        <w:rPr>
          <w:rStyle w:val="FootnoteReference"/>
          <w:rFonts w:ascii="Calibri" w:hAnsi="Calibri" w:cs="Calibri"/>
        </w:rPr>
        <w:footnoteReference w:id="52"/>
      </w:r>
      <w:r w:rsidRPr="00973131">
        <w:rPr>
          <w:rFonts w:ascii="Calibri" w:hAnsi="Calibri" w:cs="Calibri"/>
        </w:rPr>
        <w:t xml:space="preserve"> from the early middle ages in Northern Britain have been considered for their potential as the torcs of the poem. </w:t>
      </w:r>
    </w:p>
    <w:p w14:paraId="0E4ED51C" w14:textId="77777777" w:rsidR="00CE6977" w:rsidRPr="00973131" w:rsidRDefault="00CE6977" w:rsidP="00CE6977">
      <w:pPr>
        <w:jc w:val="both"/>
        <w:rPr>
          <w:rFonts w:ascii="Calibri" w:hAnsi="Calibri" w:cs="Calibri"/>
        </w:rPr>
      </w:pPr>
      <w:r w:rsidRPr="00973131">
        <w:rPr>
          <w:rFonts w:ascii="Calibri" w:hAnsi="Calibri" w:cs="Calibri"/>
        </w:rPr>
        <w:t>Leslie Allcock considers the curious situation of torcs and chains, opposed both in their frequency in the Gododdin poem (torcs the most frequently mentioned item of adornment, chains mentioned only twice) and – in reverse – in the archaeology (numerous chains have been found, and no verified torcs).</w:t>
      </w:r>
      <w:r w:rsidRPr="00973131">
        <w:rPr>
          <w:rStyle w:val="FootnoteReference"/>
          <w:rFonts w:ascii="Calibri" w:hAnsi="Calibri" w:cs="Calibri"/>
        </w:rPr>
        <w:footnoteReference w:id="53"/>
      </w:r>
      <w:r w:rsidRPr="00973131">
        <w:rPr>
          <w:rFonts w:ascii="Calibri" w:hAnsi="Calibri" w:cs="Calibri"/>
        </w:rPr>
        <w:t xml:space="preserve"> He entertains the possibility that these chains are the torcs of the Gododdin.</w:t>
      </w:r>
      <w:r w:rsidRPr="00973131">
        <w:rPr>
          <w:rStyle w:val="FootnoteReference"/>
          <w:rFonts w:ascii="Calibri" w:hAnsi="Calibri" w:cs="Calibri"/>
        </w:rPr>
        <w:footnoteReference w:id="54"/>
      </w:r>
      <w:r w:rsidRPr="00973131">
        <w:rPr>
          <w:rFonts w:ascii="Calibri" w:hAnsi="Calibri" w:cs="Calibri"/>
        </w:rPr>
        <w:t xml:space="preserve"> While he is not nearly as committed to this suggestion as Cessford is to its rejection, he nonetheless observes a feature of the chains which Cessford does not pick up, and for which Cessford makes similar argument about the Norrie’s Law torcs: that the chains are too small to be worn around the neck, but could have been suspended across the chest, as Allcock notes, like the Roman torcs.</w:t>
      </w:r>
      <w:r w:rsidRPr="00973131">
        <w:rPr>
          <w:rStyle w:val="FootnoteReference"/>
          <w:rFonts w:ascii="Calibri" w:hAnsi="Calibri" w:cs="Calibri"/>
        </w:rPr>
        <w:footnoteReference w:id="55"/>
      </w:r>
      <w:r w:rsidRPr="00973131">
        <w:rPr>
          <w:rFonts w:ascii="Calibri" w:hAnsi="Calibri" w:cs="Calibri"/>
        </w:rPr>
        <w:t xml:space="preserve"> Allcock’s suggestion can surely be given equal consideration with Cessford’s vis-a-vis Norrie’s Law. Is it perhaps possible that a number of items, from brooches to chains, and more torc-like objects, could have been worn in the roman style to deliberately evoke roman or even older torcs, connecting the material culture of the 6</w:t>
      </w:r>
      <w:r w:rsidRPr="00973131">
        <w:rPr>
          <w:rFonts w:ascii="Calibri" w:hAnsi="Calibri" w:cs="Calibri"/>
          <w:vertAlign w:val="superscript"/>
        </w:rPr>
        <w:t>th</w:t>
      </w:r>
      <w:r w:rsidRPr="00973131">
        <w:rPr>
          <w:rFonts w:ascii="Calibri" w:hAnsi="Calibri" w:cs="Calibri"/>
        </w:rPr>
        <w:t xml:space="preserve"> century with the heroic past.</w:t>
      </w:r>
    </w:p>
    <w:p w14:paraId="01524753" w14:textId="77777777" w:rsidR="00CE6977" w:rsidRPr="00973131" w:rsidRDefault="00CE6977" w:rsidP="00CE6977">
      <w:pPr>
        <w:jc w:val="both"/>
        <w:rPr>
          <w:rFonts w:ascii="Calibri" w:hAnsi="Calibri" w:cs="Calibri"/>
        </w:rPr>
      </w:pPr>
      <w:r w:rsidRPr="00973131">
        <w:rPr>
          <w:rFonts w:ascii="Calibri" w:hAnsi="Calibri" w:cs="Calibri"/>
        </w:rPr>
        <w:t xml:space="preserve">Cessford rejects the chains hypothesis on the basis that </w:t>
      </w:r>
      <w:r w:rsidRPr="00973131">
        <w:rPr>
          <w:rFonts w:ascii="Calibri" w:hAnsi="Calibri" w:cs="Calibri"/>
          <w:i/>
          <w:iCs/>
        </w:rPr>
        <w:t>hual</w:t>
      </w:r>
      <w:r w:rsidRPr="00973131">
        <w:rPr>
          <w:rFonts w:ascii="Calibri" w:hAnsi="Calibri" w:cs="Calibri"/>
        </w:rPr>
        <w:t xml:space="preserve"> are clearly distinct from torcs in the poem (although, as has been shown, different words do not necessarily refer to different objects), and that these chains are symbols of royal, rather than military power.</w:t>
      </w:r>
      <w:r w:rsidRPr="00973131">
        <w:rPr>
          <w:rStyle w:val="FootnoteReference"/>
          <w:rFonts w:ascii="Calibri" w:hAnsi="Calibri" w:cs="Calibri"/>
        </w:rPr>
        <w:footnoteReference w:id="56"/>
      </w:r>
      <w:r w:rsidRPr="00973131">
        <w:rPr>
          <w:rFonts w:ascii="Calibri" w:hAnsi="Calibri" w:cs="Calibri"/>
        </w:rPr>
        <w:t xml:space="preserve"> One source on which Cessford bases this royal connection is a medieval document claiming that Welsh Kings up to Rhodri Mawr wore gold chains instead of crowns.</w:t>
      </w:r>
      <w:r w:rsidRPr="00973131">
        <w:rPr>
          <w:rStyle w:val="FootnoteReference"/>
          <w:rFonts w:ascii="Calibri" w:hAnsi="Calibri" w:cs="Calibri"/>
        </w:rPr>
        <w:footnoteReference w:id="57"/>
      </w:r>
      <w:r w:rsidRPr="00973131">
        <w:rPr>
          <w:rFonts w:ascii="Calibri" w:hAnsi="Calibri" w:cs="Calibri"/>
        </w:rPr>
        <w:t xml:space="preserve"> However, Andrew Breeze has shown this document to be a forgery by Iolo Morganwg, and thus ‘…as evidence for any royal function of the Pictish silver chains it is quite inadmissible.’</w:t>
      </w:r>
      <w:r w:rsidRPr="00973131">
        <w:rPr>
          <w:rStyle w:val="FootnoteReference"/>
          <w:rFonts w:ascii="Calibri" w:hAnsi="Calibri" w:cs="Calibri"/>
        </w:rPr>
        <w:footnoteReference w:id="58"/>
      </w:r>
      <w:r w:rsidRPr="00973131">
        <w:rPr>
          <w:rFonts w:ascii="Calibri" w:hAnsi="Calibri" w:cs="Calibri"/>
        </w:rPr>
        <w:t xml:space="preserve"> He notes that several academics have missed this. Breeze’s work on silver chains is interesting, but its relevance to the discussion here on torcs is more limited. It is nonetheless worth referring to for its value in adding nuance to Cessford’s firmer (though not absolute) separation of torcs and chains on the basis of royal symbolism, as discussed in the previous chapter. </w:t>
      </w:r>
    </w:p>
    <w:p w14:paraId="4C86FED0" w14:textId="77777777" w:rsidR="00CE6977" w:rsidRPr="00973131" w:rsidRDefault="00CE6977" w:rsidP="00CE6977">
      <w:pPr>
        <w:jc w:val="both"/>
        <w:rPr>
          <w:rFonts w:ascii="Calibri" w:hAnsi="Calibri" w:cs="Calibri"/>
        </w:rPr>
      </w:pPr>
      <w:r w:rsidRPr="00973131">
        <w:rPr>
          <w:rFonts w:ascii="Calibri" w:hAnsi="Calibri" w:cs="Calibri"/>
        </w:rPr>
        <w:t xml:space="preserve">Cessford’s suggestion of a carceral context for these chains is more convincing, and seems a sounder basis for rejecting them as the torcs of the poem, not least because Jarman translates </w:t>
      </w:r>
      <w:r w:rsidRPr="00973131">
        <w:rPr>
          <w:rFonts w:ascii="Calibri" w:hAnsi="Calibri" w:cs="Calibri"/>
          <w:i/>
          <w:iCs/>
        </w:rPr>
        <w:t>hual</w:t>
      </w:r>
      <w:r w:rsidRPr="00973131">
        <w:rPr>
          <w:rFonts w:ascii="Calibri" w:hAnsi="Calibri" w:cs="Calibri"/>
        </w:rPr>
        <w:t xml:space="preserve"> as chain or fetter.</w:t>
      </w:r>
      <w:r w:rsidRPr="00973131">
        <w:rPr>
          <w:rStyle w:val="FootnoteReference"/>
          <w:rFonts w:ascii="Calibri" w:hAnsi="Calibri" w:cs="Calibri"/>
        </w:rPr>
        <w:footnoteReference w:id="59"/>
      </w:r>
      <w:r w:rsidRPr="00973131">
        <w:rPr>
          <w:rFonts w:ascii="Calibri" w:hAnsi="Calibri" w:cs="Calibri"/>
        </w:rPr>
        <w:t xml:space="preserve"> He compares this with Gildas’ reference to ‘chafing chains; with which British Kings kept their prisoners, and St Columba’s purported imprisonment.</w:t>
      </w:r>
      <w:r w:rsidRPr="00973131">
        <w:rPr>
          <w:rStyle w:val="FootnoteReference"/>
          <w:rFonts w:ascii="Calibri" w:hAnsi="Calibri" w:cs="Calibri"/>
        </w:rPr>
        <w:footnoteReference w:id="60"/>
      </w:r>
      <w:r w:rsidRPr="00973131">
        <w:rPr>
          <w:rFonts w:ascii="Calibri" w:hAnsi="Calibri" w:cs="Calibri"/>
        </w:rPr>
        <w:t xml:space="preserve"> He regards Gildas’ reference to the ‘chains of power’ of early medieval British rulers as potentially metaphorical, comparing them with poetic chains in Irish literature.</w:t>
      </w:r>
      <w:r w:rsidRPr="00973131">
        <w:rPr>
          <w:rStyle w:val="FootnoteReference"/>
          <w:rFonts w:ascii="Calibri" w:hAnsi="Calibri" w:cs="Calibri"/>
        </w:rPr>
        <w:footnoteReference w:id="61"/>
      </w:r>
      <w:r w:rsidRPr="00973131">
        <w:rPr>
          <w:rFonts w:ascii="Calibri" w:hAnsi="Calibri" w:cs="Calibri"/>
        </w:rPr>
        <w:t xml:space="preserve">  </w:t>
      </w:r>
    </w:p>
    <w:p w14:paraId="71EA4C39" w14:textId="77777777" w:rsidR="00CE6977" w:rsidRPr="00973131" w:rsidRDefault="00CE6977" w:rsidP="00CE6977">
      <w:pPr>
        <w:jc w:val="both"/>
        <w:rPr>
          <w:rFonts w:ascii="Calibri" w:hAnsi="Calibri" w:cs="Calibri"/>
        </w:rPr>
      </w:pPr>
      <w:r w:rsidRPr="00973131">
        <w:rPr>
          <w:rFonts w:ascii="Calibri" w:hAnsi="Calibri" w:cs="Calibri"/>
        </w:rPr>
        <w:t xml:space="preserve">There are several reasons to withhold conclusion on the candidacy of the silver chains for the torcs of the Gododdin; there are perhaps better candidates in the Norrie’s Law objects, or the brooches of the </w:t>
      </w:r>
      <w:r w:rsidRPr="00973131">
        <w:rPr>
          <w:rFonts w:ascii="Calibri" w:hAnsi="Calibri" w:cs="Calibri"/>
        </w:rPr>
        <w:lastRenderedPageBreak/>
        <w:t>post-roman period. There are also considerations that cannot be ignored: that the Norrie’s Law torcs are from Pictland, while silver chains have been found in the territory of Gododdin (although they may still be Pictish in origin, or at least evidence cultural exchange, since several of these chains have Pictish symbols).</w:t>
      </w:r>
      <w:r w:rsidRPr="00973131">
        <w:rPr>
          <w:rStyle w:val="FootnoteReference"/>
          <w:rFonts w:ascii="Calibri" w:hAnsi="Calibri" w:cs="Calibri"/>
        </w:rPr>
        <w:footnoteReference w:id="62"/>
      </w:r>
    </w:p>
    <w:tbl>
      <w:tblPr>
        <w:tblStyle w:val="TableGrid"/>
        <w:tblpPr w:leftFromText="180" w:rightFromText="180" w:vertAnchor="text" w:horzAnchor="margin" w:tblpXSpec="center" w:tblpY="3380"/>
        <w:tblW w:w="0" w:type="auto"/>
        <w:tblLook w:val="04A0" w:firstRow="1" w:lastRow="0" w:firstColumn="1" w:lastColumn="0" w:noHBand="0" w:noVBand="1"/>
      </w:tblPr>
      <w:tblGrid>
        <w:gridCol w:w="5151"/>
      </w:tblGrid>
      <w:tr w:rsidR="00CE6977" w14:paraId="440C24E8" w14:textId="77777777" w:rsidTr="001D568B">
        <w:trPr>
          <w:trHeight w:val="209"/>
        </w:trPr>
        <w:tc>
          <w:tcPr>
            <w:tcW w:w="5151" w:type="dxa"/>
          </w:tcPr>
          <w:p w14:paraId="447B2A22" w14:textId="77777777" w:rsidR="00CE6977" w:rsidRDefault="00CE6977" w:rsidP="001D568B">
            <w:pPr>
              <w:rPr>
                <w:rFonts w:ascii="Calibri" w:hAnsi="Calibri" w:cs="Calibri"/>
                <w:i/>
                <w:iCs/>
              </w:rPr>
            </w:pPr>
            <w:r w:rsidRPr="00973131">
              <w:rPr>
                <w:rFonts w:ascii="Calibri" w:hAnsi="Calibri" w:cs="Calibri"/>
                <w:i/>
                <w:iCs/>
              </w:rPr>
              <w:t>‘</w:t>
            </w:r>
            <w:r w:rsidRPr="007E1F49">
              <w:rPr>
                <w:rFonts w:ascii="Calibri" w:hAnsi="Calibri" w:cs="Calibri"/>
                <w:i/>
                <w:iCs/>
              </w:rPr>
              <w:t>Pictish Chains of Silver, National Museums Scotlan</w:t>
            </w:r>
            <w:r>
              <w:rPr>
                <w:rFonts w:ascii="Calibri" w:hAnsi="Calibri" w:cs="Calibri"/>
                <w:i/>
                <w:iCs/>
              </w:rPr>
              <w:t>d</w:t>
            </w:r>
            <w:r w:rsidRPr="007E1F49">
              <w:rPr>
                <w:rFonts w:ascii="Calibri" w:hAnsi="Calibri" w:cs="Calibri"/>
                <w:i/>
                <w:iCs/>
                <w:vertAlign w:val="superscript"/>
              </w:rPr>
              <w:t xml:space="preserve"> </w:t>
            </w:r>
            <w:r w:rsidRPr="00973131">
              <w:rPr>
                <w:rStyle w:val="FootnoteReference"/>
                <w:rFonts w:ascii="Calibri" w:hAnsi="Calibri" w:cs="Calibri"/>
                <w:i/>
                <w:iCs/>
              </w:rPr>
              <w:footnoteReference w:id="63"/>
            </w:r>
          </w:p>
        </w:tc>
      </w:tr>
    </w:tbl>
    <w:p w14:paraId="20F0A7DB" w14:textId="77777777" w:rsidR="00CE6977" w:rsidRPr="00973131" w:rsidRDefault="00CE6977" w:rsidP="00CE6977">
      <w:pPr>
        <w:jc w:val="center"/>
        <w:rPr>
          <w:rFonts w:ascii="Calibri" w:hAnsi="Calibri" w:cs="Calibri"/>
        </w:rPr>
      </w:pPr>
      <w:r w:rsidRPr="00973131">
        <w:rPr>
          <w:rFonts w:ascii="Calibri" w:hAnsi="Calibri" w:cs="Calibri"/>
          <w:noProof/>
        </w:rPr>
        <w:drawing>
          <wp:inline distT="0" distB="0" distL="0" distR="0" wp14:anchorId="7B5E1766" wp14:editId="63B49558">
            <wp:extent cx="2624715" cy="2115628"/>
            <wp:effectExtent l="0" t="0" r="4445" b="0"/>
            <wp:docPr id="2050653293" name="Picture 4" descr="Postcard of Pictish chains of silv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tcard of Pictish chains of silver.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33664" cy="2122842"/>
                    </a:xfrm>
                    <a:prstGeom prst="rect">
                      <a:avLst/>
                    </a:prstGeom>
                    <a:noFill/>
                    <a:ln>
                      <a:noFill/>
                    </a:ln>
                  </pic:spPr>
                </pic:pic>
              </a:graphicData>
            </a:graphic>
          </wp:inline>
        </w:drawing>
      </w:r>
    </w:p>
    <w:p w14:paraId="359B8458" w14:textId="77777777" w:rsidR="00556507" w:rsidRDefault="00556507" w:rsidP="00CE6977">
      <w:pPr>
        <w:rPr>
          <w:rFonts w:ascii="Calibri" w:hAnsi="Calibri" w:cs="Calibri"/>
          <w:i/>
          <w:iCs/>
        </w:rPr>
      </w:pPr>
      <w:bookmarkStart w:id="14" w:name="_Hlk170131964"/>
    </w:p>
    <w:p w14:paraId="4B6452A7" w14:textId="01625D22" w:rsidR="00CE6977" w:rsidRPr="00667F20" w:rsidRDefault="00CE6977" w:rsidP="00CE6977">
      <w:pPr>
        <w:rPr>
          <w:rFonts w:ascii="Calibri" w:hAnsi="Calibri" w:cs="Calibri"/>
          <w:i/>
          <w:iCs/>
          <w:vertAlign w:val="superscript"/>
        </w:rPr>
      </w:pPr>
      <w:r>
        <w:rPr>
          <w:rFonts w:ascii="Calibri" w:hAnsi="Calibri" w:cs="Calibri"/>
          <w:i/>
          <w:iCs/>
        </w:rPr>
        <w:t xml:space="preserve"> </w:t>
      </w:r>
      <w:bookmarkStart w:id="15" w:name="_Hlk170121661"/>
      <w:bookmarkEnd w:id="14"/>
      <w:r>
        <w:rPr>
          <w:rFonts w:ascii="Calibri" w:hAnsi="Calibri" w:cs="Calibri"/>
          <w:u w:val="single"/>
        </w:rPr>
        <w:t xml:space="preserve">2.5. </w:t>
      </w:r>
      <w:r w:rsidRPr="00973131">
        <w:rPr>
          <w:rFonts w:ascii="Calibri" w:hAnsi="Calibri" w:cs="Calibri"/>
          <w:u w:val="single"/>
        </w:rPr>
        <w:t>Influence of other cultures</w:t>
      </w:r>
      <w:r>
        <w:rPr>
          <w:rFonts w:ascii="Calibri" w:hAnsi="Calibri" w:cs="Calibri"/>
          <w:u w:val="single"/>
        </w:rPr>
        <w:t>?</w:t>
      </w:r>
    </w:p>
    <w:bookmarkEnd w:id="15"/>
    <w:p w14:paraId="62C39F31" w14:textId="77777777" w:rsidR="00CE6977" w:rsidRPr="00973131" w:rsidRDefault="00CE6977" w:rsidP="00CE6977">
      <w:pPr>
        <w:jc w:val="both"/>
        <w:rPr>
          <w:rFonts w:ascii="Calibri" w:hAnsi="Calibri" w:cs="Calibri"/>
          <w:u w:val="single"/>
        </w:rPr>
      </w:pPr>
      <w:r>
        <w:rPr>
          <w:rFonts w:ascii="Calibri" w:hAnsi="Calibri" w:cs="Calibri"/>
          <w:noProof/>
        </w:rPr>
        <w:drawing>
          <wp:anchor distT="0" distB="0" distL="114300" distR="114300" simplePos="0" relativeHeight="251661312" behindDoc="0" locked="0" layoutInCell="1" allowOverlap="1" wp14:anchorId="21D24363" wp14:editId="1A6FEE74">
            <wp:simplePos x="0" y="0"/>
            <wp:positionH relativeFrom="column">
              <wp:posOffset>-33485</wp:posOffset>
            </wp:positionH>
            <wp:positionV relativeFrom="paragraph">
              <wp:posOffset>34603</wp:posOffset>
            </wp:positionV>
            <wp:extent cx="2421255" cy="2758440"/>
            <wp:effectExtent l="0" t="0" r="0" b="3810"/>
            <wp:wrapSquare wrapText="bothSides"/>
            <wp:docPr id="1627568980" name="Picture 1" descr="A close-up of a neckl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68980" name="Picture 1" descr="A close-up of a necklace&#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21255" cy="2758440"/>
                    </a:xfrm>
                    <a:prstGeom prst="rect">
                      <a:avLst/>
                    </a:prstGeom>
                    <a:noFill/>
                    <a:ln>
                      <a:noFill/>
                    </a:ln>
                  </pic:spPr>
                </pic:pic>
              </a:graphicData>
            </a:graphic>
          </wp:anchor>
        </w:drawing>
      </w:r>
      <w:r w:rsidRPr="00973131">
        <w:rPr>
          <w:rFonts w:ascii="Calibri" w:hAnsi="Calibri" w:cs="Calibri"/>
        </w:rPr>
        <w:t>Alaw Mai Jones argues that Welsh crafts were influenced by Pictish chains specifically, but also Hiberno-Norse crafts, from crosses to silver bracelets, in the 10th century.</w:t>
      </w:r>
      <w:r w:rsidRPr="00973131">
        <w:rPr>
          <w:rFonts w:ascii="Calibri" w:hAnsi="Calibri" w:cs="Calibri"/>
          <w:vertAlign w:val="superscript"/>
        </w:rPr>
        <w:footnoteReference w:id="64"/>
      </w:r>
      <w:r w:rsidRPr="00973131">
        <w:rPr>
          <w:rFonts w:ascii="Calibri" w:hAnsi="Calibri" w:cs="Calibri"/>
        </w:rPr>
        <w:t xml:space="preserve"> This allows for a material continuum across northern Britain - and later Wales - in which objects that might be referred to as Torcs in literature are developed and exchanged. Moreover, if the argument for later dating (c9-c10) of the Gododdin poem is accepted, then this potentially allows for Viking influence on it.</w:t>
      </w:r>
    </w:p>
    <w:tbl>
      <w:tblPr>
        <w:tblStyle w:val="TableGrid"/>
        <w:tblpPr w:leftFromText="180" w:rightFromText="180" w:vertAnchor="text" w:horzAnchor="margin" w:tblpY="1663"/>
        <w:tblW w:w="0" w:type="auto"/>
        <w:tblLook w:val="04A0" w:firstRow="1" w:lastRow="0" w:firstColumn="1" w:lastColumn="0" w:noHBand="0" w:noVBand="1"/>
      </w:tblPr>
      <w:tblGrid>
        <w:gridCol w:w="3745"/>
      </w:tblGrid>
      <w:tr w:rsidR="00CE6977" w14:paraId="0BCCF175" w14:textId="77777777" w:rsidTr="001D568B">
        <w:trPr>
          <w:trHeight w:val="205"/>
        </w:trPr>
        <w:tc>
          <w:tcPr>
            <w:tcW w:w="3745" w:type="dxa"/>
          </w:tcPr>
          <w:p w14:paraId="05BF026E" w14:textId="77777777" w:rsidR="00CE6977" w:rsidRDefault="00CE6977" w:rsidP="001D568B">
            <w:pPr>
              <w:jc w:val="both"/>
              <w:rPr>
                <w:rFonts w:ascii="Calibri" w:hAnsi="Calibri" w:cs="Calibri"/>
              </w:rPr>
            </w:pPr>
            <w:r w:rsidRPr="00A11367">
              <w:rPr>
                <w:i/>
                <w:iCs/>
              </w:rPr>
              <w:t>Anglo-Saxon neck ring, c5-6, British Museu</w:t>
            </w:r>
            <w:r>
              <w:rPr>
                <w:i/>
                <w:iCs/>
              </w:rPr>
              <w:t>m</w:t>
            </w:r>
            <w:r>
              <w:rPr>
                <w:rStyle w:val="FootnoteReference"/>
                <w:i/>
                <w:iCs/>
              </w:rPr>
              <w:footnoteReference w:id="65"/>
            </w:r>
          </w:p>
        </w:tc>
      </w:tr>
    </w:tbl>
    <w:p w14:paraId="5057D185" w14:textId="77777777" w:rsidR="00CE6977" w:rsidRPr="00973131" w:rsidRDefault="00CE6977" w:rsidP="00CE6977">
      <w:pPr>
        <w:jc w:val="both"/>
        <w:rPr>
          <w:rFonts w:ascii="Calibri" w:hAnsi="Calibri" w:cs="Calibri"/>
        </w:rPr>
      </w:pPr>
      <w:r w:rsidRPr="00973131">
        <w:rPr>
          <w:rFonts w:ascii="Calibri" w:hAnsi="Calibri" w:cs="Calibri"/>
        </w:rPr>
        <w:t>Anglo-Saxon neck-rings might also be added to this continuum of cross-cultural contact and influence. Interestingly, these objects can be dated back to the very early post-roman period and feature some of the same twisting design features as torcs. However, these neck-rings close with a clasp, rather than ending with terminals as more commonly seen both in quintessential Iron-age and Roman torcs, and in the brooches and chains of post-Roman British societies.</w:t>
      </w:r>
    </w:p>
    <w:p w14:paraId="540DC81D" w14:textId="77777777" w:rsidR="00CE6977" w:rsidRPr="00973131" w:rsidRDefault="00CE6977" w:rsidP="00CE6977">
      <w:pPr>
        <w:jc w:val="both"/>
        <w:rPr>
          <w:rFonts w:ascii="Calibri" w:hAnsi="Calibri" w:cs="Calibri"/>
          <w:u w:val="single"/>
        </w:rPr>
      </w:pPr>
      <w:bookmarkStart w:id="16" w:name="_Hlk170121688"/>
      <w:r>
        <w:rPr>
          <w:rFonts w:ascii="Calibri" w:hAnsi="Calibri" w:cs="Calibri"/>
          <w:u w:val="single"/>
        </w:rPr>
        <w:t xml:space="preserve">2.6. </w:t>
      </w:r>
      <w:r w:rsidRPr="00973131">
        <w:rPr>
          <w:rFonts w:ascii="Calibri" w:hAnsi="Calibri" w:cs="Calibri"/>
          <w:u w:val="single"/>
        </w:rPr>
        <w:t xml:space="preserve">Re-use or repurposing of </w:t>
      </w:r>
      <w:r>
        <w:rPr>
          <w:rFonts w:ascii="Calibri" w:hAnsi="Calibri" w:cs="Calibri"/>
          <w:u w:val="single"/>
        </w:rPr>
        <w:t>ancient objects</w:t>
      </w:r>
    </w:p>
    <w:bookmarkEnd w:id="16"/>
    <w:p w14:paraId="2FC2D07C" w14:textId="77777777" w:rsidR="00CE6977" w:rsidRPr="00973131" w:rsidRDefault="00CE6977" w:rsidP="00CE6977">
      <w:pPr>
        <w:jc w:val="both"/>
        <w:rPr>
          <w:rFonts w:ascii="Calibri" w:hAnsi="Calibri" w:cs="Calibri"/>
        </w:rPr>
      </w:pPr>
      <w:r w:rsidRPr="00973131">
        <w:rPr>
          <w:rFonts w:ascii="Calibri" w:hAnsi="Calibri" w:cs="Calibri"/>
        </w:rPr>
        <w:t xml:space="preserve">The possibility that iron-age or roman torcs continued to be possessed and used in the post-roman period has arguably not been considered at depth. As shall be seen, later medieval sources may </w:t>
      </w:r>
      <w:r w:rsidRPr="00973131">
        <w:rPr>
          <w:rFonts w:ascii="Calibri" w:hAnsi="Calibri" w:cs="Calibri"/>
        </w:rPr>
        <w:lastRenderedPageBreak/>
        <w:t xml:space="preserve">suggest one case of an heirloom torc handed down from centuries prior, and this is one possibility for the torcs of the Gododdin: that iron-age or roman era torcs were owned by the nobility of the Hen Ogledd as heirlooms; or torcs might have been found by chance and identified because of surviving motifs in heroic literature and classical Greek and Latin texts. </w:t>
      </w:r>
    </w:p>
    <w:p w14:paraId="5FC4F79E" w14:textId="77777777" w:rsidR="00CE6977" w:rsidRPr="00973131" w:rsidRDefault="00CE6977" w:rsidP="00CE6977">
      <w:pPr>
        <w:jc w:val="both"/>
        <w:rPr>
          <w:rFonts w:ascii="Calibri" w:hAnsi="Calibri" w:cs="Calibri"/>
        </w:rPr>
      </w:pPr>
      <w:r w:rsidRPr="00973131">
        <w:rPr>
          <w:rFonts w:ascii="Calibri" w:hAnsi="Calibri" w:cs="Calibri"/>
        </w:rPr>
        <w:t>Such reuse is not without precedent. Numerous objects have found re-use centuries after their creation, including the Snettisham Grotesque Torc, which can potentially be dated much earlier than its deposition due to design features, though this assumes a ‘linear theory of stylistic development’.</w:t>
      </w:r>
      <w:r w:rsidRPr="00973131">
        <w:rPr>
          <w:rStyle w:val="FootnoteReference"/>
          <w:rFonts w:ascii="Calibri" w:hAnsi="Calibri" w:cs="Calibri"/>
        </w:rPr>
        <w:footnoteReference w:id="66"/>
      </w:r>
      <w:r w:rsidRPr="00973131">
        <w:rPr>
          <w:rFonts w:ascii="Calibri" w:hAnsi="Calibri" w:cs="Calibri"/>
        </w:rPr>
        <w:t xml:space="preserve"> However, it was still deposited at a time when torcs were part of the material culture. Nonetheless, the more general point, made by Helen Chittock, that such objects could become ‘relics’ or ‘venerable objects’ associated with the past, acquiring a mythic sort of value, certainly has some value here.</w:t>
      </w:r>
      <w:r w:rsidRPr="00973131">
        <w:rPr>
          <w:rStyle w:val="FootnoteReference"/>
          <w:rFonts w:ascii="Calibri" w:hAnsi="Calibri" w:cs="Calibri"/>
        </w:rPr>
        <w:footnoteReference w:id="67"/>
      </w:r>
      <w:r w:rsidRPr="00973131">
        <w:rPr>
          <w:rFonts w:ascii="Calibri" w:hAnsi="Calibri" w:cs="Calibri"/>
        </w:rPr>
        <w:t xml:space="preserve"> </w:t>
      </w:r>
    </w:p>
    <w:p w14:paraId="225C48AF" w14:textId="77777777" w:rsidR="00CE6977" w:rsidRPr="00973131" w:rsidRDefault="00CE6977" w:rsidP="00CE6977">
      <w:pPr>
        <w:jc w:val="both"/>
        <w:rPr>
          <w:rFonts w:ascii="Calibri" w:hAnsi="Calibri" w:cs="Calibri"/>
        </w:rPr>
      </w:pPr>
      <w:r w:rsidRPr="00973131">
        <w:rPr>
          <w:rFonts w:ascii="Calibri" w:hAnsi="Calibri" w:cs="Calibri"/>
        </w:rPr>
        <w:t xml:space="preserve">Allcock observes, from excavating several sites in northern Britain, the continuous habitation and use of settlements in the Hen Ogledd, notably Carlisle both in ‘corporate and…physical existence’ from the roman era through to the early middle ages. </w:t>
      </w:r>
      <w:r w:rsidRPr="00973131">
        <w:rPr>
          <w:rStyle w:val="FootnoteReference"/>
          <w:rFonts w:ascii="Calibri" w:hAnsi="Calibri" w:cs="Calibri"/>
        </w:rPr>
        <w:footnoteReference w:id="68"/>
      </w:r>
      <w:r w:rsidRPr="00973131">
        <w:rPr>
          <w:rFonts w:ascii="Calibri" w:hAnsi="Calibri" w:cs="Calibri"/>
        </w:rPr>
        <w:t xml:space="preserve"> It is surely not unreasonable to allow that some aspects of material culture – potentially including torcs - could survive, even if such objects were retained and reused as heirlooms.</w:t>
      </w:r>
    </w:p>
    <w:p w14:paraId="495D24B6" w14:textId="77777777" w:rsidR="00CE6977" w:rsidRPr="00973131" w:rsidRDefault="00CE6977" w:rsidP="00CE6977">
      <w:pPr>
        <w:jc w:val="both"/>
        <w:rPr>
          <w:rFonts w:ascii="Calibri" w:hAnsi="Calibri" w:cs="Calibri"/>
        </w:rPr>
      </w:pPr>
      <w:r w:rsidRPr="00973131">
        <w:rPr>
          <w:rFonts w:ascii="Calibri" w:hAnsi="Calibri" w:cs="Calibri"/>
        </w:rPr>
        <w:t xml:space="preserve">Alternatively, Cessford suggests that objects such as those at Norrie’s Law might represent a </w:t>
      </w:r>
      <w:r w:rsidRPr="00973131">
        <w:rPr>
          <w:rFonts w:ascii="Calibri" w:hAnsi="Calibri" w:cs="Calibri"/>
          <w:i/>
          <w:iCs/>
        </w:rPr>
        <w:t>revived</w:t>
      </w:r>
      <w:r w:rsidRPr="00973131">
        <w:rPr>
          <w:rFonts w:ascii="Calibri" w:hAnsi="Calibri" w:cs="Calibri"/>
        </w:rPr>
        <w:t xml:space="preserve"> tradition, repurposing early medieval penannular brooches to resemble the torcs of classical writers and native heroic poetry ‘by removing the pins and giving them twisted hoops to make them into torcs.’</w:t>
      </w:r>
      <w:r w:rsidRPr="00973131">
        <w:rPr>
          <w:rStyle w:val="FootnoteReference"/>
          <w:rFonts w:ascii="Calibri" w:hAnsi="Calibri" w:cs="Calibri"/>
        </w:rPr>
        <w:footnoteReference w:id="69"/>
      </w:r>
      <w:r w:rsidRPr="00973131">
        <w:rPr>
          <w:rFonts w:ascii="Calibri" w:hAnsi="Calibri" w:cs="Calibri"/>
        </w:rPr>
        <w:t xml:space="preserve"> This might allow for the torcs of the poem to be symbolic only, with no material analogue, inspiring the recreation of the torc as a physical object only after its composition. </w:t>
      </w:r>
    </w:p>
    <w:p w14:paraId="15562A5E" w14:textId="77777777" w:rsidR="00CE6977" w:rsidRPr="00973131" w:rsidRDefault="00CE6977" w:rsidP="00CE6977">
      <w:pPr>
        <w:jc w:val="both"/>
        <w:rPr>
          <w:rFonts w:ascii="Calibri" w:hAnsi="Calibri" w:cs="Calibri"/>
          <w:u w:val="single"/>
        </w:rPr>
      </w:pPr>
      <w:bookmarkStart w:id="17" w:name="_Hlk170121707"/>
      <w:r>
        <w:rPr>
          <w:rFonts w:ascii="Calibri" w:hAnsi="Calibri" w:cs="Calibri"/>
          <w:u w:val="single"/>
        </w:rPr>
        <w:t xml:space="preserve">2.7. </w:t>
      </w:r>
      <w:r w:rsidRPr="00973131">
        <w:rPr>
          <w:rFonts w:ascii="Calibri" w:hAnsi="Calibri" w:cs="Calibri"/>
          <w:u w:val="single"/>
        </w:rPr>
        <w:t>Concluding remarks</w:t>
      </w:r>
    </w:p>
    <w:bookmarkEnd w:id="17"/>
    <w:p w14:paraId="25A4203B" w14:textId="77777777" w:rsidR="00CE6977" w:rsidRPr="00973131" w:rsidRDefault="00CE6977" w:rsidP="00CE6977">
      <w:pPr>
        <w:jc w:val="both"/>
        <w:rPr>
          <w:rFonts w:ascii="Calibri" w:hAnsi="Calibri" w:cs="Calibri"/>
        </w:rPr>
      </w:pPr>
      <w:r w:rsidRPr="00973131">
        <w:rPr>
          <w:rFonts w:ascii="Calibri" w:hAnsi="Calibri" w:cs="Calibri"/>
        </w:rPr>
        <w:t>Whether the Iron-age/Roman torc survived into the post-roman era cannot be established conclusively with the evidence currently available. It is better to suggest that a variety of objects existed in the Hen Ogledd which may have inspired, or been inspired by, native heroic literature, with different objects coming into contention depending on the dating of the poem. It is also the case that even if individuals or society-wide trends re-fashioned contemporary objects to resemble the torcs of antiquity, material culture need not have a fixed relationship with literature. There is no evidence of torc-like objects being worn or used in the later middle ages (except in one specific case, as will be discussed), and yet torcs continue to appear in literature throughout this period. It is to this literature this essay will now turn, to examine what meaning the torc might retain in later centuries.</w:t>
      </w:r>
    </w:p>
    <w:p w14:paraId="37CF47D9" w14:textId="77777777" w:rsidR="00CE6977" w:rsidRDefault="00CE6977">
      <w:pPr>
        <w:rPr>
          <w:rFonts w:ascii="Calibri" w:hAnsi="Calibri" w:cs="Calibri"/>
          <w:b/>
          <w:bCs/>
        </w:rPr>
      </w:pPr>
    </w:p>
    <w:p w14:paraId="1868A253" w14:textId="77777777" w:rsidR="00CE6977" w:rsidRDefault="00CE6977">
      <w:pPr>
        <w:rPr>
          <w:rFonts w:ascii="Calibri" w:hAnsi="Calibri" w:cs="Calibri"/>
          <w:b/>
          <w:bCs/>
        </w:rPr>
      </w:pPr>
    </w:p>
    <w:p w14:paraId="76D5142C" w14:textId="77777777" w:rsidR="00CE6977" w:rsidRDefault="00CE6977">
      <w:pPr>
        <w:rPr>
          <w:rFonts w:ascii="Calibri" w:hAnsi="Calibri" w:cs="Calibri"/>
          <w:b/>
          <w:bCs/>
        </w:rPr>
      </w:pPr>
    </w:p>
    <w:p w14:paraId="63E6EE4E" w14:textId="77777777" w:rsidR="00CE6977" w:rsidRDefault="00CE6977">
      <w:pPr>
        <w:rPr>
          <w:rFonts w:ascii="Calibri" w:hAnsi="Calibri" w:cs="Calibri"/>
          <w:b/>
          <w:bCs/>
        </w:rPr>
      </w:pPr>
    </w:p>
    <w:p w14:paraId="1C46390F" w14:textId="77777777" w:rsidR="00CE6977" w:rsidRDefault="00CE6977">
      <w:pPr>
        <w:rPr>
          <w:rFonts w:ascii="Calibri" w:hAnsi="Calibri" w:cs="Calibri"/>
          <w:b/>
          <w:bCs/>
        </w:rPr>
      </w:pPr>
    </w:p>
    <w:p w14:paraId="3BAD8AA8" w14:textId="77777777" w:rsidR="00CE6977" w:rsidRDefault="00CE6977">
      <w:pPr>
        <w:rPr>
          <w:rFonts w:ascii="Calibri" w:hAnsi="Calibri" w:cs="Calibri"/>
          <w:b/>
          <w:bCs/>
        </w:rPr>
      </w:pPr>
    </w:p>
    <w:p w14:paraId="0C503C9E" w14:textId="77777777" w:rsidR="00067686" w:rsidRPr="00161C9D" w:rsidRDefault="00067686" w:rsidP="00067686">
      <w:pPr>
        <w:rPr>
          <w:rFonts w:ascii="Calibri" w:hAnsi="Calibri" w:cs="Calibri"/>
          <w:b/>
          <w:bCs/>
          <w:sz w:val="24"/>
          <w:szCs w:val="24"/>
          <w:u w:val="single"/>
        </w:rPr>
      </w:pPr>
      <w:bookmarkStart w:id="18" w:name="_Hlk169452285"/>
      <w:r w:rsidRPr="00161C9D">
        <w:rPr>
          <w:rFonts w:ascii="Calibri" w:hAnsi="Calibri" w:cs="Calibri"/>
          <w:b/>
          <w:bCs/>
          <w:sz w:val="24"/>
          <w:szCs w:val="24"/>
          <w:u w:val="single"/>
        </w:rPr>
        <w:lastRenderedPageBreak/>
        <w:t>Chapter</w:t>
      </w:r>
      <w:r>
        <w:rPr>
          <w:rFonts w:ascii="Calibri" w:hAnsi="Calibri" w:cs="Calibri"/>
          <w:b/>
          <w:bCs/>
          <w:sz w:val="24"/>
          <w:szCs w:val="24"/>
          <w:u w:val="single"/>
        </w:rPr>
        <w:t xml:space="preserve"> 3:</w:t>
      </w:r>
      <w:r w:rsidRPr="00161C9D">
        <w:rPr>
          <w:rFonts w:ascii="Calibri" w:hAnsi="Calibri" w:cs="Calibri"/>
          <w:b/>
          <w:bCs/>
          <w:sz w:val="24"/>
          <w:szCs w:val="24"/>
          <w:u w:val="single"/>
        </w:rPr>
        <w:t xml:space="preserve"> </w:t>
      </w:r>
      <w:bookmarkStart w:id="19" w:name="_Hlk170121751"/>
      <w:r>
        <w:rPr>
          <w:rFonts w:ascii="Calibri" w:hAnsi="Calibri" w:cs="Calibri"/>
          <w:b/>
          <w:bCs/>
          <w:sz w:val="24"/>
          <w:szCs w:val="24"/>
          <w:u w:val="single"/>
        </w:rPr>
        <w:t>Torcs in</w:t>
      </w:r>
      <w:r w:rsidRPr="00161C9D">
        <w:rPr>
          <w:rFonts w:ascii="Calibri" w:hAnsi="Calibri" w:cs="Calibri"/>
          <w:b/>
          <w:bCs/>
          <w:sz w:val="24"/>
          <w:szCs w:val="24"/>
          <w:u w:val="single"/>
        </w:rPr>
        <w:t xml:space="preserve"> Later </w:t>
      </w:r>
      <w:r>
        <w:rPr>
          <w:rFonts w:ascii="Calibri" w:hAnsi="Calibri" w:cs="Calibri"/>
          <w:b/>
          <w:bCs/>
          <w:sz w:val="24"/>
          <w:szCs w:val="24"/>
          <w:u w:val="single"/>
        </w:rPr>
        <w:t xml:space="preserve">Medieval Welsh </w:t>
      </w:r>
      <w:r w:rsidRPr="00161C9D">
        <w:rPr>
          <w:rFonts w:ascii="Calibri" w:hAnsi="Calibri" w:cs="Calibri"/>
          <w:b/>
          <w:bCs/>
          <w:sz w:val="24"/>
          <w:szCs w:val="24"/>
          <w:u w:val="single"/>
        </w:rPr>
        <w:t>Literature</w:t>
      </w:r>
      <w:bookmarkEnd w:id="19"/>
    </w:p>
    <w:p w14:paraId="7D32229B" w14:textId="77777777" w:rsidR="00067686" w:rsidRPr="00355DFD" w:rsidRDefault="00067686" w:rsidP="00067686">
      <w:pPr>
        <w:jc w:val="both"/>
        <w:rPr>
          <w:rFonts w:ascii="Calibri" w:eastAsia="Calibri" w:hAnsi="Calibri" w:cs="Calibri"/>
          <w:kern w:val="0"/>
          <w:u w:val="single"/>
          <w14:ligatures w14:val="none"/>
        </w:rPr>
      </w:pPr>
      <w:r w:rsidRPr="00355DFD">
        <w:rPr>
          <w:rFonts w:ascii="Calibri" w:eastAsia="Calibri" w:hAnsi="Calibri" w:cs="Calibri"/>
          <w:kern w:val="0"/>
          <w:u w:val="single"/>
          <w14:ligatures w14:val="none"/>
        </w:rPr>
        <w:t>3.1. Introduction</w:t>
      </w:r>
    </w:p>
    <w:p w14:paraId="076690C5" w14:textId="77777777" w:rsidR="00067686" w:rsidRPr="00161C9D" w:rsidRDefault="00067686" w:rsidP="00067686">
      <w:pPr>
        <w:jc w:val="both"/>
        <w:rPr>
          <w:rFonts w:ascii="Calibri" w:eastAsia="Calibri" w:hAnsi="Calibri" w:cs="Calibri"/>
          <w:kern w:val="0"/>
          <w14:ligatures w14:val="none"/>
        </w:rPr>
      </w:pPr>
      <w:r w:rsidRPr="00161C9D">
        <w:rPr>
          <w:rFonts w:ascii="Calibri" w:eastAsia="Calibri" w:hAnsi="Calibri" w:cs="Calibri"/>
          <w:kern w:val="0"/>
          <w14:ligatures w14:val="none"/>
        </w:rPr>
        <w:t>References to torcs appear to continue in Welsh literature throughout the Middle Ages. If the torc of the Gododdin is arguably not a generic term, but rather both denotes a specific social status and can potentially be connected to real objects, then it is worth considering whether later references also have a specific meaning even though there is no evidence for torc-like objects in the material culture of later medieval Wales. This chapter shall examine a selection of material across Medieval Poetry and Prose,  concerning both native matters and other societies, and establish the contexts for and meanings of the various references to torcs.</w:t>
      </w:r>
    </w:p>
    <w:p w14:paraId="04CC7DCF" w14:textId="77777777" w:rsidR="00067686" w:rsidRPr="00161C9D" w:rsidRDefault="00067686" w:rsidP="00067686">
      <w:pPr>
        <w:jc w:val="both"/>
        <w:rPr>
          <w:rFonts w:ascii="Calibri" w:eastAsia="Calibri" w:hAnsi="Calibri" w:cs="Calibri"/>
          <w:kern w:val="0"/>
          <w14:ligatures w14:val="none"/>
        </w:rPr>
      </w:pPr>
      <w:r>
        <w:rPr>
          <w:rFonts w:ascii="Calibri" w:eastAsia="Calibri" w:hAnsi="Calibri" w:cs="Calibri"/>
          <w:kern w:val="0"/>
          <w:u w:val="single"/>
          <w14:ligatures w14:val="none"/>
        </w:rPr>
        <w:t xml:space="preserve">3.2. </w:t>
      </w:r>
      <w:bookmarkStart w:id="20" w:name="_Hlk170121823"/>
      <w:r w:rsidRPr="00161C9D">
        <w:rPr>
          <w:rFonts w:ascii="Calibri" w:eastAsia="Calibri" w:hAnsi="Calibri" w:cs="Calibri"/>
          <w:kern w:val="0"/>
          <w:u w:val="single"/>
          <w14:ligatures w14:val="none"/>
        </w:rPr>
        <w:t>The Poetry of the Princes</w:t>
      </w:r>
      <w:r w:rsidRPr="00161C9D">
        <w:rPr>
          <w:rFonts w:ascii="Calibri" w:eastAsia="Calibri" w:hAnsi="Calibri" w:cs="Calibri"/>
          <w:kern w:val="0"/>
          <w14:ligatures w14:val="none"/>
        </w:rPr>
        <w:t xml:space="preserve"> </w:t>
      </w:r>
      <w:bookmarkEnd w:id="20"/>
    </w:p>
    <w:p w14:paraId="34031011" w14:textId="77777777" w:rsidR="00067686" w:rsidRPr="00161C9D" w:rsidRDefault="00067686" w:rsidP="00067686">
      <w:pPr>
        <w:jc w:val="both"/>
        <w:rPr>
          <w:rFonts w:ascii="Calibri" w:eastAsia="Calibri" w:hAnsi="Calibri" w:cs="Calibri"/>
          <w:kern w:val="0"/>
          <w14:ligatures w14:val="none"/>
        </w:rPr>
      </w:pPr>
      <w:r w:rsidRPr="00161C9D">
        <w:rPr>
          <w:rFonts w:ascii="Calibri" w:eastAsia="Calibri" w:hAnsi="Calibri" w:cs="Calibri"/>
          <w:kern w:val="0"/>
          <w14:ligatures w14:val="none"/>
        </w:rPr>
        <w:t>This is a body of praise, prayer and elegiac poetry from the 12</w:t>
      </w:r>
      <w:r w:rsidRPr="00161C9D">
        <w:rPr>
          <w:rFonts w:ascii="Calibri" w:eastAsia="Calibri" w:hAnsi="Calibri" w:cs="Calibri"/>
          <w:kern w:val="0"/>
          <w:vertAlign w:val="superscript"/>
          <w14:ligatures w14:val="none"/>
        </w:rPr>
        <w:t>th</w:t>
      </w:r>
      <w:r w:rsidRPr="00161C9D">
        <w:rPr>
          <w:rFonts w:ascii="Calibri" w:eastAsia="Calibri" w:hAnsi="Calibri" w:cs="Calibri"/>
          <w:kern w:val="0"/>
          <w14:ligatures w14:val="none"/>
        </w:rPr>
        <w:t xml:space="preserve"> and 13</w:t>
      </w:r>
      <w:r w:rsidRPr="00161C9D">
        <w:rPr>
          <w:rFonts w:ascii="Calibri" w:eastAsia="Calibri" w:hAnsi="Calibri" w:cs="Calibri"/>
          <w:kern w:val="0"/>
          <w:vertAlign w:val="superscript"/>
          <w14:ligatures w14:val="none"/>
        </w:rPr>
        <w:t>th</w:t>
      </w:r>
      <w:r w:rsidRPr="00161C9D">
        <w:rPr>
          <w:rFonts w:ascii="Calibri" w:eastAsia="Calibri" w:hAnsi="Calibri" w:cs="Calibri"/>
          <w:kern w:val="0"/>
          <w14:ligatures w14:val="none"/>
        </w:rPr>
        <w:t xml:space="preserve"> centuries, composed in and for the courts of the rulers of the various Welsh polities at that time. Though not exclusively, it is in this genre of elegiac poetry that many of the references to torcs appear. </w:t>
      </w:r>
    </w:p>
    <w:p w14:paraId="748C39E8" w14:textId="77777777" w:rsidR="00067686" w:rsidRPr="00161C9D" w:rsidRDefault="00067686" w:rsidP="00067686">
      <w:pPr>
        <w:jc w:val="both"/>
        <w:rPr>
          <w:rFonts w:ascii="Calibri" w:eastAsia="Calibri" w:hAnsi="Calibri" w:cs="Calibri"/>
          <w:kern w:val="0"/>
          <w14:ligatures w14:val="none"/>
        </w:rPr>
      </w:pPr>
      <w:r w:rsidRPr="00161C9D">
        <w:rPr>
          <w:rFonts w:ascii="Calibri" w:eastAsia="Calibri" w:hAnsi="Calibri" w:cs="Calibri"/>
          <w:kern w:val="0"/>
          <w14:ligatures w14:val="none"/>
        </w:rPr>
        <w:t xml:space="preserve">A brief survey of terms is worthwhile here. </w:t>
      </w:r>
    </w:p>
    <w:p w14:paraId="42968266" w14:textId="77777777" w:rsidR="00067686" w:rsidRPr="00161C9D" w:rsidRDefault="00067686" w:rsidP="00067686">
      <w:pPr>
        <w:jc w:val="both"/>
        <w:rPr>
          <w:rFonts w:ascii="Calibri" w:eastAsia="Calibri" w:hAnsi="Calibri" w:cs="Calibri"/>
          <w:kern w:val="0"/>
          <w14:ligatures w14:val="none"/>
        </w:rPr>
      </w:pPr>
      <w:r w:rsidRPr="00161C9D">
        <w:rPr>
          <w:rFonts w:ascii="Calibri" w:eastAsia="Calibri" w:hAnsi="Calibri" w:cs="Calibri"/>
          <w:noProof/>
          <w:kern w:val="0"/>
        </w:rPr>
        <w:drawing>
          <wp:anchor distT="0" distB="0" distL="114300" distR="114300" simplePos="0" relativeHeight="251665408" behindDoc="0" locked="0" layoutInCell="1" allowOverlap="1" wp14:anchorId="5F636881" wp14:editId="48C4AD4B">
            <wp:simplePos x="0" y="0"/>
            <wp:positionH relativeFrom="column">
              <wp:posOffset>0</wp:posOffset>
            </wp:positionH>
            <wp:positionV relativeFrom="paragraph">
              <wp:posOffset>0</wp:posOffset>
            </wp:positionV>
            <wp:extent cx="5731510" cy="3124200"/>
            <wp:effectExtent l="0" t="0" r="2540" b="0"/>
            <wp:wrapSquare wrapText="bothSides"/>
            <wp:docPr id="11748879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887972" name="Picture 1"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24200"/>
                    </a:xfrm>
                    <a:prstGeom prst="rect">
                      <a:avLst/>
                    </a:prstGeom>
                  </pic:spPr>
                </pic:pic>
              </a:graphicData>
            </a:graphic>
          </wp:anchor>
        </w:drawing>
      </w:r>
      <w:bookmarkStart w:id="21" w:name="_Hlk170132471"/>
      <w:r>
        <w:rPr>
          <w:rFonts w:ascii="Calibri" w:eastAsia="Calibri" w:hAnsi="Calibri" w:cs="Calibri"/>
          <w:i/>
          <w:iCs/>
          <w:kern w:val="0"/>
          <w14:ligatures w14:val="none"/>
        </w:rPr>
        <w:t>Table 2</w:t>
      </w:r>
      <w:r w:rsidRPr="00161C9D">
        <w:rPr>
          <w:rFonts w:ascii="Calibri" w:eastAsia="Calibri" w:hAnsi="Calibri" w:cs="Calibri"/>
          <w:i/>
          <w:iCs/>
          <w:kern w:val="0"/>
          <w14:ligatures w14:val="none"/>
        </w:rPr>
        <w:t xml:space="preserve">: concordances of terms relating to </w:t>
      </w:r>
      <w:r>
        <w:rPr>
          <w:rFonts w:ascii="Calibri" w:eastAsia="Calibri" w:hAnsi="Calibri" w:cs="Calibri"/>
          <w:i/>
          <w:iCs/>
          <w:kern w:val="0"/>
          <w14:ligatures w14:val="none"/>
        </w:rPr>
        <w:t>‘</w:t>
      </w:r>
      <w:r w:rsidRPr="00161C9D">
        <w:rPr>
          <w:rFonts w:ascii="Calibri" w:eastAsia="Calibri" w:hAnsi="Calibri" w:cs="Calibri"/>
          <w:i/>
          <w:iCs/>
          <w:kern w:val="0"/>
          <w14:ligatures w14:val="none"/>
        </w:rPr>
        <w:t>torch</w:t>
      </w:r>
      <w:r>
        <w:rPr>
          <w:rFonts w:ascii="Calibri" w:eastAsia="Calibri" w:hAnsi="Calibri" w:cs="Calibri"/>
          <w:i/>
          <w:iCs/>
          <w:kern w:val="0"/>
          <w14:ligatures w14:val="none"/>
        </w:rPr>
        <w:t>’</w:t>
      </w:r>
      <w:r w:rsidRPr="00161C9D">
        <w:rPr>
          <w:rFonts w:ascii="Calibri" w:eastAsia="Calibri" w:hAnsi="Calibri" w:cs="Calibri"/>
          <w:i/>
          <w:iCs/>
          <w:kern w:val="0"/>
          <w14:ligatures w14:val="none"/>
        </w:rPr>
        <w:t xml:space="preserve"> in the Beirdd y Tywysogion</w:t>
      </w:r>
      <w:r w:rsidRPr="00161C9D">
        <w:rPr>
          <w:rStyle w:val="FootnoteReference"/>
          <w:rFonts w:ascii="Calibri" w:eastAsia="Calibri" w:hAnsi="Calibri" w:cs="Calibri"/>
          <w:i/>
          <w:iCs/>
          <w:kern w:val="0"/>
          <w14:ligatures w14:val="none"/>
        </w:rPr>
        <w:footnoteReference w:id="70"/>
      </w:r>
      <w:bookmarkEnd w:id="21"/>
    </w:p>
    <w:p w14:paraId="23156C7B" w14:textId="77777777" w:rsidR="00067686" w:rsidRPr="004154BF" w:rsidRDefault="00067686" w:rsidP="00067686">
      <w:pPr>
        <w:jc w:val="both"/>
        <w:rPr>
          <w:rFonts w:ascii="Calibri" w:eastAsia="Calibri" w:hAnsi="Calibri" w:cs="Calibri"/>
        </w:rPr>
      </w:pPr>
      <w:r w:rsidRPr="00161C9D">
        <w:rPr>
          <w:rFonts w:ascii="Calibri" w:eastAsia="Calibri" w:hAnsi="Calibri" w:cs="Calibri"/>
          <w:kern w:val="0"/>
          <w14:ligatures w14:val="none"/>
        </w:rPr>
        <w:t xml:space="preserve">It is important to note that by this time, the Latin term </w:t>
      </w:r>
      <w:r w:rsidRPr="00161C9D">
        <w:rPr>
          <w:rFonts w:ascii="Calibri" w:eastAsia="Calibri" w:hAnsi="Calibri" w:cs="Calibri"/>
          <w:i/>
          <w:iCs/>
          <w:kern w:val="0"/>
          <w14:ligatures w14:val="none"/>
        </w:rPr>
        <w:t>torquis</w:t>
      </w:r>
      <w:r w:rsidRPr="00161C9D">
        <w:rPr>
          <w:rFonts w:ascii="Calibri" w:eastAsia="Calibri" w:hAnsi="Calibri" w:cs="Calibri"/>
          <w:kern w:val="0"/>
          <w14:ligatures w14:val="none"/>
        </w:rPr>
        <w:t xml:space="preserve"> </w:t>
      </w:r>
      <w:r>
        <w:rPr>
          <w:rFonts w:ascii="Calibri" w:eastAsia="Calibri" w:hAnsi="Calibri" w:cs="Calibri"/>
          <w:kern w:val="0"/>
          <w14:ligatures w14:val="none"/>
        </w:rPr>
        <w:t xml:space="preserve">is used less (though still has a fairly narrow definition), but the term </w:t>
      </w:r>
      <w:r>
        <w:rPr>
          <w:rFonts w:ascii="Calibri" w:eastAsia="Calibri" w:hAnsi="Calibri" w:cs="Calibri"/>
          <w:i/>
          <w:iCs/>
          <w:kern w:val="0"/>
          <w14:ligatures w14:val="none"/>
        </w:rPr>
        <w:t xml:space="preserve">torques </w:t>
      </w:r>
      <w:r>
        <w:rPr>
          <w:rFonts w:ascii="Calibri" w:eastAsia="Calibri" w:hAnsi="Calibri" w:cs="Calibri"/>
          <w:kern w:val="0"/>
          <w14:ligatures w14:val="none"/>
        </w:rPr>
        <w:t>is used more frequently (this term does not show in the classical dictionary), which does have a slightly more</w:t>
      </w:r>
      <w:r w:rsidRPr="00161C9D">
        <w:rPr>
          <w:rFonts w:ascii="Calibri" w:eastAsia="Calibri" w:hAnsi="Calibri" w:cs="Calibri"/>
          <w:kern w:val="0"/>
          <w14:ligatures w14:val="none"/>
        </w:rPr>
        <w:t xml:space="preserve"> general</w:t>
      </w:r>
      <w:r>
        <w:rPr>
          <w:rFonts w:ascii="Calibri" w:eastAsia="Calibri" w:hAnsi="Calibri" w:cs="Calibri"/>
          <w:kern w:val="0"/>
          <w14:ligatures w14:val="none"/>
        </w:rPr>
        <w:t xml:space="preserve"> definition, meaning neck-chain, necklace or collar</w:t>
      </w:r>
      <w:r w:rsidRPr="00161C9D">
        <w:rPr>
          <w:rFonts w:ascii="Calibri" w:eastAsia="Calibri" w:hAnsi="Calibri" w:cs="Calibri"/>
          <w:kern w:val="0"/>
          <w14:ligatures w14:val="none"/>
        </w:rPr>
        <w:t>.</w:t>
      </w:r>
      <w:r w:rsidRPr="00161C9D">
        <w:rPr>
          <w:rStyle w:val="FootnoteReference"/>
          <w:rFonts w:ascii="Calibri" w:eastAsia="Calibri" w:hAnsi="Calibri" w:cs="Calibri"/>
          <w:kern w:val="0"/>
          <w14:ligatures w14:val="none"/>
        </w:rPr>
        <w:footnoteReference w:id="71"/>
      </w:r>
      <w:r w:rsidRPr="00161C9D">
        <w:rPr>
          <w:rFonts w:ascii="Calibri" w:eastAsia="Calibri" w:hAnsi="Calibri" w:cs="Calibri"/>
          <w:kern w:val="0"/>
          <w14:ligatures w14:val="none"/>
        </w:rPr>
        <w:t xml:space="preserve"> It is possible that the same happens with the Welsh </w:t>
      </w:r>
      <w:r w:rsidRPr="00161C9D">
        <w:rPr>
          <w:rFonts w:ascii="Calibri" w:eastAsia="Calibri" w:hAnsi="Calibri" w:cs="Calibri"/>
          <w:i/>
          <w:iCs/>
          <w:kern w:val="0"/>
          <w14:ligatures w14:val="none"/>
        </w:rPr>
        <w:t>torch</w:t>
      </w:r>
      <w:r>
        <w:rPr>
          <w:rFonts w:ascii="Calibri" w:eastAsia="Calibri" w:hAnsi="Calibri" w:cs="Calibri"/>
          <w:i/>
          <w:iCs/>
          <w:kern w:val="0"/>
          <w14:ligatures w14:val="none"/>
        </w:rPr>
        <w:t xml:space="preserve"> </w:t>
      </w:r>
      <w:r>
        <w:rPr>
          <w:rFonts w:ascii="Calibri" w:eastAsia="Calibri" w:hAnsi="Calibri" w:cs="Calibri"/>
          <w:kern w:val="0"/>
          <w14:ligatures w14:val="none"/>
        </w:rPr>
        <w:t>(if it had not already by the Gododdin’s composition – a later dating of the poem might allow for this)</w:t>
      </w:r>
      <w:r w:rsidRPr="00161C9D">
        <w:rPr>
          <w:rFonts w:ascii="Calibri" w:eastAsia="Calibri" w:hAnsi="Calibri" w:cs="Calibri"/>
          <w:i/>
          <w:iCs/>
          <w:kern w:val="0"/>
          <w14:ligatures w14:val="none"/>
        </w:rPr>
        <w:t>.</w:t>
      </w:r>
    </w:p>
    <w:p w14:paraId="07EF73F8" w14:textId="3DD690DD"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eastAsia="Calibri" w:hAnsi="Calibri" w:cs="Calibri"/>
        </w:rPr>
        <w:t xml:space="preserve">As with the Gododdin, the majority of terms here are epithets/adjectives rather than references to an item itself. The notable exception is </w:t>
      </w:r>
      <w:r w:rsidRPr="00161C9D">
        <w:rPr>
          <w:rFonts w:ascii="Calibri" w:eastAsia="Calibri" w:hAnsi="Calibri" w:cs="Calibri"/>
          <w:i/>
          <w:iCs/>
        </w:rPr>
        <w:t xml:space="preserve">gorthorch </w:t>
      </w:r>
      <w:r w:rsidRPr="00161C9D">
        <w:rPr>
          <w:rFonts w:ascii="Calibri" w:eastAsia="Calibri" w:hAnsi="Calibri" w:cs="Calibri"/>
        </w:rPr>
        <w:t xml:space="preserve">(great-torc). In the Owain Gwynedd poem, it with qualified with the adjective </w:t>
      </w:r>
      <w:r w:rsidRPr="00161C9D">
        <w:rPr>
          <w:rFonts w:ascii="Calibri" w:eastAsia="Calibri" w:hAnsi="Calibri" w:cs="Calibri"/>
          <w:i/>
          <w:iCs/>
        </w:rPr>
        <w:t>eur,</w:t>
      </w:r>
      <w:r w:rsidRPr="00161C9D">
        <w:rPr>
          <w:rFonts w:ascii="Calibri" w:eastAsia="Calibri" w:hAnsi="Calibri" w:cs="Calibri"/>
        </w:rPr>
        <w:t xml:space="preserve"> which continues the tradition of gold torcs and also makes this the </w:t>
      </w:r>
      <w:r w:rsidRPr="00161C9D">
        <w:rPr>
          <w:rFonts w:ascii="Calibri" w:eastAsia="Calibri" w:hAnsi="Calibri" w:cs="Calibri"/>
        </w:rPr>
        <w:lastRenderedPageBreak/>
        <w:t xml:space="preserve">most descriptive reference to a torc in poetry (being a great, gold torc). Could this perhaps identify a recognisable item to the audience of the time, a </w:t>
      </w:r>
      <w:r w:rsidRPr="00161C9D">
        <w:rPr>
          <w:rFonts w:ascii="Calibri" w:eastAsia="Calibri" w:hAnsi="Calibri" w:cs="Calibri"/>
          <w:i/>
          <w:iCs/>
        </w:rPr>
        <w:t>gorthorch</w:t>
      </w:r>
      <w:r w:rsidRPr="00161C9D">
        <w:rPr>
          <w:rFonts w:ascii="Calibri" w:eastAsia="Calibri" w:hAnsi="Calibri" w:cs="Calibri"/>
        </w:rPr>
        <w:t xml:space="preserve"> being something specific in their minds? Perhaps, but as with </w:t>
      </w:r>
      <w:r w:rsidRPr="00161C9D">
        <w:rPr>
          <w:rFonts w:ascii="Calibri" w:eastAsia="Calibri" w:hAnsi="Calibri" w:cs="Calibri"/>
          <w:i/>
          <w:iCs/>
        </w:rPr>
        <w:t>aur/eur</w:t>
      </w:r>
      <w:r w:rsidRPr="00161C9D">
        <w:rPr>
          <w:rFonts w:ascii="Calibri" w:eastAsia="Calibri" w:hAnsi="Calibri" w:cs="Calibri"/>
        </w:rPr>
        <w:t xml:space="preserve">, which can refer to gold </w:t>
      </w:r>
      <w:r w:rsidRPr="00161C9D">
        <w:rPr>
          <w:rFonts w:ascii="Calibri" w:eastAsia="Calibri" w:hAnsi="Calibri" w:cs="Calibri"/>
          <w:i/>
          <w:iCs/>
        </w:rPr>
        <w:t xml:space="preserve">or </w:t>
      </w:r>
      <w:r w:rsidRPr="00161C9D">
        <w:rPr>
          <w:rFonts w:ascii="Calibri" w:eastAsia="Calibri" w:hAnsi="Calibri" w:cs="Calibri"/>
        </w:rPr>
        <w:t xml:space="preserve">‘fine’, so </w:t>
      </w:r>
      <w:r w:rsidRPr="00161C9D">
        <w:rPr>
          <w:rFonts w:ascii="Calibri" w:eastAsia="Calibri" w:hAnsi="Calibri" w:cs="Calibri"/>
          <w:i/>
          <w:iCs/>
        </w:rPr>
        <w:t xml:space="preserve">gordd/gwrdd </w:t>
      </w:r>
      <w:r w:rsidRPr="00161C9D">
        <w:rPr>
          <w:rFonts w:ascii="Calibri" w:eastAsia="Calibri" w:hAnsi="Calibri" w:cs="Calibri"/>
        </w:rPr>
        <w:t xml:space="preserve">could simply be a generic term for ‘great’ in a qualitative rather than a physical sense. </w:t>
      </w:r>
      <w:r w:rsidRPr="00161C9D">
        <w:rPr>
          <w:rFonts w:ascii="Calibri" w:eastAsia="Calibri" w:hAnsi="Calibri" w:cs="Calibri"/>
          <w:color w:val="050505"/>
          <w:kern w:val="0"/>
          <w:shd w:val="clear" w:color="auto" w:fill="FFFFFF"/>
          <w14:ligatures w14:val="none"/>
        </w:rPr>
        <w:t>Alaw Mai Jones translates gordtorch as ‘golden chain’, but nonetheless notes it recalls gold torcs worn by the men of Gododdin and heroines of Irish mythology.</w:t>
      </w:r>
      <w:r w:rsidRPr="00161C9D">
        <w:rPr>
          <w:rStyle w:val="FootnoteReference"/>
          <w:rFonts w:ascii="Calibri" w:eastAsia="Calibri" w:hAnsi="Calibri" w:cs="Calibri"/>
          <w:color w:val="050505"/>
          <w:kern w:val="0"/>
          <w:shd w:val="clear" w:color="auto" w:fill="FFFFFF"/>
          <w14:ligatures w14:val="none"/>
        </w:rPr>
        <w:footnoteReference w:id="72"/>
      </w:r>
    </w:p>
    <w:p w14:paraId="084096F0" w14:textId="1A0C4D62" w:rsidR="00067686" w:rsidRPr="00161C9D" w:rsidRDefault="00067686" w:rsidP="00067686">
      <w:pPr>
        <w:jc w:val="both"/>
        <w:rPr>
          <w:rFonts w:ascii="Calibri" w:eastAsia="Times New Roman" w:hAnsi="Calibri" w:cs="Calibri"/>
          <w:kern w:val="0"/>
          <w14:ligatures w14:val="none"/>
        </w:rPr>
      </w:pPr>
      <w:r w:rsidRPr="00161C9D">
        <w:rPr>
          <w:rFonts w:ascii="Calibri" w:eastAsia="Calibri" w:hAnsi="Calibri" w:cs="Calibri"/>
        </w:rPr>
        <w:t xml:space="preserve">Another term that does not appear in earlier literature is </w:t>
      </w:r>
      <w:r w:rsidRPr="00161C9D">
        <w:rPr>
          <w:rFonts w:ascii="Calibri" w:eastAsia="Times New Roman" w:hAnsi="Calibri" w:cs="Calibri"/>
          <w:i/>
          <w:iCs/>
          <w:kern w:val="0"/>
          <w14:ligatures w14:val="none"/>
        </w:rPr>
        <w:t>Eurdorchoedd</w:t>
      </w:r>
      <w:r w:rsidRPr="00161C9D">
        <w:rPr>
          <w:rFonts w:ascii="Calibri" w:eastAsia="Times New Roman" w:hAnsi="Calibri" w:cs="Calibri"/>
          <w:kern w:val="0"/>
          <w14:ligatures w14:val="none"/>
        </w:rPr>
        <w:t>. While this is the proper plural noun for the object itself, the context in which this appears suggests it actually refers to torc-wearing warriors: ‘</w:t>
      </w:r>
      <w:r w:rsidRPr="00161C9D">
        <w:rPr>
          <w:rFonts w:ascii="Calibri" w:eastAsia="Times New Roman" w:hAnsi="Calibri" w:cs="Calibri"/>
          <w:i/>
          <w:iCs/>
          <w:kern w:val="0"/>
          <w14:ligatures w14:val="none"/>
        </w:rPr>
        <w:t>Torfoedd eurdorchoedd am eurdorchawg’</w:t>
      </w:r>
      <w:r w:rsidRPr="00161C9D">
        <w:rPr>
          <w:rStyle w:val="FootnoteReference"/>
          <w:rFonts w:ascii="Calibri" w:eastAsia="Times New Roman" w:hAnsi="Calibri" w:cs="Calibri"/>
          <w:i/>
          <w:iCs/>
          <w:kern w:val="0"/>
          <w14:ligatures w14:val="none"/>
        </w:rPr>
        <w:footnoteReference w:id="73"/>
      </w:r>
      <w:r w:rsidRPr="00161C9D">
        <w:rPr>
          <w:rFonts w:ascii="Calibri" w:eastAsia="Times New Roman" w:hAnsi="Calibri" w:cs="Calibri"/>
          <w:kern w:val="0"/>
          <w14:ligatures w14:val="none"/>
        </w:rPr>
        <w:t xml:space="preserve"> </w:t>
      </w:r>
      <w:r w:rsidRPr="007B477B">
        <w:rPr>
          <w:rFonts w:ascii="Calibri" w:eastAsia="Times New Roman" w:hAnsi="Calibri" w:cs="Calibri"/>
          <w:kern w:val="0"/>
          <w14:ligatures w14:val="none"/>
        </w:rPr>
        <w:t>(‘</w:t>
      </w:r>
      <w:r w:rsidR="007B477B">
        <w:rPr>
          <w:rFonts w:ascii="Aptos" w:hAnsi="Aptos"/>
          <w:color w:val="000000"/>
          <w:bdr w:val="none" w:sz="0" w:space="0" w:color="auto" w:frame="1"/>
          <w:shd w:val="clear" w:color="auto" w:fill="FFFFFF"/>
        </w:rPr>
        <w:t>hosts of gold-torc-wearers around a gold-torc-wearer’</w:t>
      </w:r>
      <w:r w:rsidRPr="007B477B">
        <w:rPr>
          <w:rFonts w:ascii="Calibri" w:eastAsia="Times New Roman" w:hAnsi="Calibri" w:cs="Calibri"/>
          <w:kern w:val="0"/>
          <w14:ligatures w14:val="none"/>
        </w:rPr>
        <w:t>)</w:t>
      </w:r>
      <w:r w:rsidR="00C46368">
        <w:rPr>
          <w:rFonts w:ascii="Calibri" w:eastAsia="Times New Roman" w:hAnsi="Calibri" w:cs="Calibri"/>
          <w:kern w:val="0"/>
          <w14:ligatures w14:val="none"/>
        </w:rPr>
        <w:t>.</w:t>
      </w:r>
      <w:r w:rsidRPr="00161C9D">
        <w:rPr>
          <w:rFonts w:ascii="Calibri" w:eastAsia="Times New Roman" w:hAnsi="Calibri" w:cs="Calibri"/>
          <w:kern w:val="0"/>
          <w14:ligatures w14:val="none"/>
        </w:rPr>
        <w:t xml:space="preserve"> It is therefore not significantly different to other terms found across the poetry, such as </w:t>
      </w:r>
      <w:r w:rsidRPr="00161C9D">
        <w:rPr>
          <w:rFonts w:ascii="Calibri" w:eastAsia="Times New Roman" w:hAnsi="Calibri" w:cs="Calibri"/>
          <w:i/>
          <w:iCs/>
          <w:kern w:val="0"/>
          <w14:ligatures w14:val="none"/>
        </w:rPr>
        <w:t>eurdorchogion</w:t>
      </w:r>
      <w:r w:rsidRPr="00161C9D">
        <w:rPr>
          <w:rFonts w:ascii="Calibri" w:eastAsia="Times New Roman" w:hAnsi="Calibri" w:cs="Calibri"/>
          <w:kern w:val="0"/>
          <w14:ligatures w14:val="none"/>
        </w:rPr>
        <w:t>.</w:t>
      </w:r>
    </w:p>
    <w:p w14:paraId="30EB1E40" w14:textId="77777777" w:rsidR="00067686" w:rsidRPr="00161C9D" w:rsidRDefault="00067686" w:rsidP="00067686">
      <w:pPr>
        <w:jc w:val="both"/>
        <w:rPr>
          <w:rFonts w:ascii="Calibri" w:eastAsia="Calibri" w:hAnsi="Calibri" w:cs="Calibri"/>
          <w:kern w:val="0"/>
          <w14:ligatures w14:val="none"/>
        </w:rPr>
      </w:pPr>
      <w:r w:rsidRPr="00161C9D">
        <w:rPr>
          <w:rFonts w:ascii="Calibri" w:eastAsia="Calibri" w:hAnsi="Calibri" w:cs="Calibri"/>
          <w:kern w:val="0"/>
          <w14:ligatures w14:val="none"/>
        </w:rPr>
        <w:t xml:space="preserve">A comparison of three separate poems in which </w:t>
      </w:r>
      <w:r w:rsidRPr="00161C9D">
        <w:rPr>
          <w:rFonts w:ascii="Calibri" w:eastAsia="Calibri" w:hAnsi="Calibri" w:cs="Calibri"/>
          <w:i/>
          <w:iCs/>
          <w:kern w:val="0"/>
          <w14:ligatures w14:val="none"/>
        </w:rPr>
        <w:t>eurdorchogion</w:t>
      </w:r>
      <w:r w:rsidRPr="00161C9D">
        <w:rPr>
          <w:rFonts w:ascii="Calibri" w:eastAsia="Calibri" w:hAnsi="Calibri" w:cs="Calibri"/>
          <w:kern w:val="0"/>
          <w14:ligatures w14:val="none"/>
        </w:rPr>
        <w:t xml:space="preserve"> is used suggests that even if the term was by this time an anachronism, it was nonetheless part of a contemporary poetic toolkit.</w:t>
      </w:r>
    </w:p>
    <w:tbl>
      <w:tblPr>
        <w:tblStyle w:val="TableGrid"/>
        <w:tblW w:w="0" w:type="auto"/>
        <w:tblLook w:val="04A0" w:firstRow="1" w:lastRow="0" w:firstColumn="1" w:lastColumn="0" w:noHBand="0" w:noVBand="1"/>
      </w:tblPr>
      <w:tblGrid>
        <w:gridCol w:w="1696"/>
        <w:gridCol w:w="7320"/>
      </w:tblGrid>
      <w:tr w:rsidR="00067686" w:rsidRPr="00161C9D" w14:paraId="6E97F732" w14:textId="77777777" w:rsidTr="001D568B">
        <w:tc>
          <w:tcPr>
            <w:tcW w:w="1696" w:type="dxa"/>
          </w:tcPr>
          <w:p w14:paraId="46F44568" w14:textId="77777777" w:rsidR="00067686" w:rsidRPr="00161C9D" w:rsidRDefault="00067686" w:rsidP="001D568B">
            <w:pPr>
              <w:jc w:val="both"/>
              <w:rPr>
                <w:rFonts w:ascii="Calibri" w:eastAsia="Calibri" w:hAnsi="Calibri" w:cs="Calibri"/>
                <w:kern w:val="0"/>
                <w14:ligatures w14:val="none"/>
              </w:rPr>
            </w:pPr>
            <w:r w:rsidRPr="00161C9D">
              <w:rPr>
                <w:rFonts w:ascii="Calibri" w:eastAsia="Calibri" w:hAnsi="Calibri" w:cs="Calibri"/>
                <w:kern w:val="0"/>
                <w14:ligatures w14:val="none"/>
              </w:rPr>
              <w:t>Cynddelw</w:t>
            </w:r>
          </w:p>
          <w:p w14:paraId="24177D8D" w14:textId="77777777" w:rsidR="00067686" w:rsidRPr="00161C9D" w:rsidRDefault="00067686" w:rsidP="001D568B">
            <w:pPr>
              <w:jc w:val="both"/>
              <w:rPr>
                <w:rFonts w:ascii="Calibri" w:eastAsia="Calibri" w:hAnsi="Calibri" w:cs="Calibri"/>
                <w:kern w:val="0"/>
                <w14:ligatures w14:val="none"/>
              </w:rPr>
            </w:pPr>
          </w:p>
        </w:tc>
        <w:tc>
          <w:tcPr>
            <w:tcW w:w="7320" w:type="dxa"/>
          </w:tcPr>
          <w:p w14:paraId="34384ABD" w14:textId="77777777" w:rsidR="00067686" w:rsidRPr="00161C9D" w:rsidRDefault="00067686" w:rsidP="001D568B">
            <w:pPr>
              <w:jc w:val="both"/>
              <w:rPr>
                <w:rFonts w:ascii="Calibri" w:eastAsia="Calibri" w:hAnsi="Calibri" w:cs="Calibri"/>
                <w:kern w:val="0"/>
                <w14:ligatures w14:val="none"/>
              </w:rPr>
            </w:pPr>
            <w:r w:rsidRPr="00161C9D">
              <w:rPr>
                <w:rFonts w:ascii="Calibri" w:eastAsia="Calibri" w:hAnsi="Calibri" w:cs="Calibri"/>
                <w:i/>
                <w:iCs/>
                <w:kern w:val="0"/>
                <w14:ligatures w14:val="none"/>
              </w:rPr>
              <w:t>A diwyd dderwyddon, / O eurdorf eurdorchogion</w:t>
            </w:r>
            <w:r w:rsidRPr="00161C9D">
              <w:rPr>
                <w:rStyle w:val="FootnoteReference"/>
                <w:rFonts w:ascii="Calibri" w:eastAsia="Calibri" w:hAnsi="Calibri" w:cs="Calibri"/>
                <w:kern w:val="0"/>
                <w14:ligatures w14:val="none"/>
              </w:rPr>
              <w:footnoteReference w:id="74"/>
            </w:r>
          </w:p>
        </w:tc>
      </w:tr>
      <w:tr w:rsidR="00067686" w:rsidRPr="00161C9D" w14:paraId="092E6B56" w14:textId="77777777" w:rsidTr="001D568B">
        <w:trPr>
          <w:trHeight w:val="324"/>
        </w:trPr>
        <w:tc>
          <w:tcPr>
            <w:tcW w:w="1696" w:type="dxa"/>
          </w:tcPr>
          <w:p w14:paraId="56F31E64" w14:textId="77777777" w:rsidR="00067686" w:rsidRPr="00161C9D" w:rsidRDefault="00067686" w:rsidP="001D568B">
            <w:pPr>
              <w:jc w:val="both"/>
              <w:rPr>
                <w:rFonts w:ascii="Calibri" w:eastAsia="Calibri" w:hAnsi="Calibri" w:cs="Calibri"/>
                <w:kern w:val="0"/>
                <w14:ligatures w14:val="none"/>
              </w:rPr>
            </w:pPr>
            <w:r w:rsidRPr="00161C9D">
              <w:rPr>
                <w:rFonts w:ascii="Calibri" w:eastAsia="Calibri" w:hAnsi="Calibri" w:cs="Calibri"/>
                <w:kern w:val="0"/>
                <w14:ligatures w14:val="none"/>
              </w:rPr>
              <w:t>Dafydd Benfras</w:t>
            </w:r>
          </w:p>
          <w:p w14:paraId="47E1CB74" w14:textId="77777777" w:rsidR="00067686" w:rsidRPr="00161C9D" w:rsidRDefault="00067686" w:rsidP="001D568B">
            <w:pPr>
              <w:jc w:val="both"/>
              <w:rPr>
                <w:rFonts w:ascii="Calibri" w:eastAsia="Calibri" w:hAnsi="Calibri" w:cs="Calibri"/>
                <w:kern w:val="0"/>
                <w14:ligatures w14:val="none"/>
              </w:rPr>
            </w:pPr>
          </w:p>
        </w:tc>
        <w:tc>
          <w:tcPr>
            <w:tcW w:w="7320" w:type="dxa"/>
          </w:tcPr>
          <w:p w14:paraId="3C46F4E9" w14:textId="77777777" w:rsidR="00067686" w:rsidRPr="00161C9D" w:rsidRDefault="00067686" w:rsidP="001D568B">
            <w:pPr>
              <w:jc w:val="both"/>
              <w:rPr>
                <w:rFonts w:ascii="Calibri" w:eastAsia="Calibri" w:hAnsi="Calibri" w:cs="Calibri"/>
                <w:kern w:val="0"/>
                <w14:ligatures w14:val="none"/>
              </w:rPr>
            </w:pPr>
            <w:r w:rsidRPr="00161C9D">
              <w:rPr>
                <w:rFonts w:ascii="Calibri" w:eastAsia="Calibri" w:hAnsi="Calibri" w:cs="Calibri"/>
                <w:i/>
                <w:iCs/>
                <w:kern w:val="0"/>
                <w14:ligatures w14:val="none"/>
              </w:rPr>
              <w:t>…rwydd, hylwydd ar eu holion, / Tri arwr, eurdwr eurdorchogion</w:t>
            </w:r>
            <w:r w:rsidRPr="00161C9D">
              <w:rPr>
                <w:rStyle w:val="FootnoteReference"/>
                <w:rFonts w:ascii="Calibri" w:eastAsia="Calibri" w:hAnsi="Calibri" w:cs="Calibri"/>
                <w:kern w:val="0"/>
                <w14:ligatures w14:val="none"/>
              </w:rPr>
              <w:footnoteReference w:id="75"/>
            </w:r>
          </w:p>
        </w:tc>
      </w:tr>
      <w:tr w:rsidR="00067686" w:rsidRPr="00161C9D" w14:paraId="34A177F4" w14:textId="77777777" w:rsidTr="001D568B">
        <w:tc>
          <w:tcPr>
            <w:tcW w:w="1696" w:type="dxa"/>
          </w:tcPr>
          <w:p w14:paraId="54D869CE" w14:textId="77777777" w:rsidR="00067686" w:rsidRPr="00161C9D" w:rsidRDefault="00067686" w:rsidP="001D568B">
            <w:pPr>
              <w:jc w:val="both"/>
              <w:rPr>
                <w:rFonts w:ascii="Calibri" w:eastAsia="Calibri" w:hAnsi="Calibri" w:cs="Calibri"/>
                <w:kern w:val="0"/>
                <w14:ligatures w14:val="none"/>
              </w:rPr>
            </w:pPr>
            <w:r>
              <w:rPr>
                <w:rFonts w:ascii="Calibri" w:eastAsia="Calibri" w:hAnsi="Calibri" w:cs="Calibri"/>
                <w:kern w:val="0"/>
                <w14:ligatures w14:val="none"/>
              </w:rPr>
              <w:t>Gwalchmai</w:t>
            </w:r>
          </w:p>
        </w:tc>
        <w:tc>
          <w:tcPr>
            <w:tcW w:w="7320" w:type="dxa"/>
          </w:tcPr>
          <w:p w14:paraId="0D5FDA15" w14:textId="77777777" w:rsidR="00067686" w:rsidRPr="00161C9D" w:rsidRDefault="00067686" w:rsidP="001D568B">
            <w:pPr>
              <w:jc w:val="both"/>
              <w:rPr>
                <w:rFonts w:ascii="Calibri" w:eastAsia="Calibri" w:hAnsi="Calibri" w:cs="Calibri"/>
                <w:i/>
                <w:iCs/>
                <w:kern w:val="0"/>
                <w14:ligatures w14:val="none"/>
              </w:rPr>
            </w:pPr>
            <w:r w:rsidRPr="00161C9D">
              <w:rPr>
                <w:rFonts w:ascii="Calibri" w:eastAsia="Calibri" w:hAnsi="Calibri" w:cs="Calibri"/>
                <w:i/>
                <w:iCs/>
                <w:kern w:val="0"/>
                <w14:ligatures w14:val="none"/>
              </w:rPr>
              <w:t>Yn eurdud derwynddrud tirion, / Yn eurdwr ar eurdorchogion /Yn eurdorf cynnorf cynreinon</w:t>
            </w:r>
            <w:r w:rsidRPr="00161C9D">
              <w:rPr>
                <w:rStyle w:val="FootnoteReference"/>
                <w:rFonts w:ascii="Calibri" w:eastAsia="Calibri" w:hAnsi="Calibri" w:cs="Calibri"/>
                <w:kern w:val="0"/>
                <w14:ligatures w14:val="none"/>
              </w:rPr>
              <w:footnoteReference w:id="76"/>
            </w:r>
          </w:p>
          <w:p w14:paraId="313E0DBA" w14:textId="77777777" w:rsidR="00067686" w:rsidRPr="00161C9D" w:rsidRDefault="00067686" w:rsidP="001D568B">
            <w:pPr>
              <w:jc w:val="both"/>
              <w:rPr>
                <w:rFonts w:ascii="Calibri" w:eastAsia="Calibri" w:hAnsi="Calibri" w:cs="Calibri"/>
                <w:kern w:val="0"/>
                <w14:ligatures w14:val="none"/>
              </w:rPr>
            </w:pPr>
          </w:p>
        </w:tc>
      </w:tr>
    </w:tbl>
    <w:p w14:paraId="3183AE3F" w14:textId="77777777" w:rsidR="00067686" w:rsidRPr="0093324A" w:rsidRDefault="00067686" w:rsidP="00067686">
      <w:pPr>
        <w:jc w:val="both"/>
        <w:rPr>
          <w:rFonts w:ascii="Calibri" w:eastAsia="Calibri" w:hAnsi="Calibri" w:cs="Calibri"/>
          <w:i/>
          <w:iCs/>
          <w:kern w:val="0"/>
          <w14:ligatures w14:val="none"/>
        </w:rPr>
      </w:pPr>
      <w:bookmarkStart w:id="25" w:name="_Hlk170132551"/>
      <w:r>
        <w:rPr>
          <w:rFonts w:ascii="Calibri" w:eastAsia="Calibri" w:hAnsi="Calibri" w:cs="Calibri"/>
          <w:i/>
          <w:iCs/>
          <w:kern w:val="0"/>
          <w14:ligatures w14:val="none"/>
        </w:rPr>
        <w:t>Table 3: poetry samples for ‘eurdorchogion.’</w:t>
      </w:r>
    </w:p>
    <w:bookmarkEnd w:id="25"/>
    <w:p w14:paraId="23C0823A" w14:textId="77777777" w:rsidR="00067686" w:rsidRPr="00161C9D" w:rsidRDefault="00067686" w:rsidP="00067686">
      <w:pPr>
        <w:jc w:val="both"/>
        <w:rPr>
          <w:rFonts w:ascii="Calibri" w:eastAsia="Calibri" w:hAnsi="Calibri" w:cs="Calibri"/>
          <w:kern w:val="0"/>
          <w14:ligatures w14:val="none"/>
        </w:rPr>
      </w:pPr>
      <w:r w:rsidRPr="00161C9D">
        <w:rPr>
          <w:rFonts w:ascii="Calibri" w:eastAsia="Calibri" w:hAnsi="Calibri" w:cs="Calibri"/>
          <w:kern w:val="0"/>
          <w14:ligatures w14:val="none"/>
        </w:rPr>
        <w:t xml:space="preserve">Note the similarities between the lines – the combinations of </w:t>
      </w:r>
      <w:r w:rsidRPr="00161C9D">
        <w:rPr>
          <w:rFonts w:ascii="Calibri" w:eastAsia="Calibri" w:hAnsi="Calibri" w:cs="Calibri"/>
          <w:i/>
          <w:iCs/>
          <w:kern w:val="0"/>
          <w14:ligatures w14:val="none"/>
        </w:rPr>
        <w:t>eudwr</w:t>
      </w:r>
      <w:r w:rsidRPr="00161C9D">
        <w:rPr>
          <w:rFonts w:ascii="Calibri" w:eastAsia="Calibri" w:hAnsi="Calibri" w:cs="Calibri"/>
          <w:kern w:val="0"/>
          <w14:ligatures w14:val="none"/>
        </w:rPr>
        <w:t xml:space="preserve">, </w:t>
      </w:r>
      <w:r w:rsidRPr="00161C9D">
        <w:rPr>
          <w:rFonts w:ascii="Calibri" w:eastAsia="Calibri" w:hAnsi="Calibri" w:cs="Calibri"/>
          <w:i/>
          <w:iCs/>
          <w:kern w:val="0"/>
          <w14:ligatures w14:val="none"/>
        </w:rPr>
        <w:t>eurdorf</w:t>
      </w:r>
      <w:r w:rsidRPr="00161C9D">
        <w:rPr>
          <w:rFonts w:ascii="Calibri" w:eastAsia="Calibri" w:hAnsi="Calibri" w:cs="Calibri"/>
          <w:kern w:val="0"/>
          <w14:ligatures w14:val="none"/>
        </w:rPr>
        <w:t xml:space="preserve"> and </w:t>
      </w:r>
      <w:r w:rsidRPr="00161C9D">
        <w:rPr>
          <w:rFonts w:ascii="Calibri" w:eastAsia="Calibri" w:hAnsi="Calibri" w:cs="Calibri"/>
          <w:i/>
          <w:iCs/>
          <w:kern w:val="0"/>
          <w14:ligatures w14:val="none"/>
        </w:rPr>
        <w:t>eurdorchogion</w:t>
      </w:r>
      <w:r w:rsidRPr="00161C9D">
        <w:rPr>
          <w:rFonts w:ascii="Calibri" w:eastAsia="Calibri" w:hAnsi="Calibri" w:cs="Calibri"/>
          <w:kern w:val="0"/>
          <w14:ligatures w14:val="none"/>
        </w:rPr>
        <w:t xml:space="preserve">. </w:t>
      </w:r>
      <w:r w:rsidRPr="00161C9D">
        <w:rPr>
          <w:rFonts w:ascii="Calibri" w:eastAsia="Calibri" w:hAnsi="Calibri" w:cs="Calibri"/>
          <w:i/>
          <w:iCs/>
          <w:kern w:val="0"/>
          <w14:ligatures w14:val="none"/>
        </w:rPr>
        <w:t>Eurdorchogion</w:t>
      </w:r>
      <w:r w:rsidRPr="00161C9D">
        <w:rPr>
          <w:rFonts w:ascii="Calibri" w:eastAsia="Calibri" w:hAnsi="Calibri" w:cs="Calibri"/>
          <w:kern w:val="0"/>
          <w14:ligatures w14:val="none"/>
        </w:rPr>
        <w:t xml:space="preserve"> is not employed in such combinations in the Gododdin, suggesting it is not simply an antiquarian device in the Poetry of the Princes, but part of a set of contemporary poetic formulae.  </w:t>
      </w:r>
    </w:p>
    <w:p w14:paraId="2B50AEA8" w14:textId="77777777" w:rsidR="00067686" w:rsidRPr="00161C9D" w:rsidRDefault="00067686" w:rsidP="00067686">
      <w:pPr>
        <w:jc w:val="both"/>
        <w:rPr>
          <w:rFonts w:ascii="Calibri" w:eastAsia="Calibri" w:hAnsi="Calibri" w:cs="Calibri"/>
          <w:kern w:val="0"/>
          <w14:ligatures w14:val="none"/>
        </w:rPr>
      </w:pPr>
      <w:r w:rsidRPr="00161C9D">
        <w:rPr>
          <w:rFonts w:ascii="Calibri" w:eastAsia="Calibri" w:hAnsi="Calibri" w:cs="Calibri"/>
          <w:kern w:val="0"/>
          <w14:ligatures w14:val="none"/>
        </w:rPr>
        <w:t xml:space="preserve">Nonetheless, the poems do bear close comparison with The Gododdin. </w:t>
      </w:r>
      <w:r w:rsidRPr="00161C9D">
        <w:rPr>
          <w:rFonts w:ascii="Calibri" w:eastAsia="Calibri" w:hAnsi="Calibri" w:cs="Calibri"/>
          <w:i/>
          <w:iCs/>
          <w:kern w:val="0"/>
          <w14:ligatures w14:val="none"/>
        </w:rPr>
        <w:t>Eurdwr eurdorchogion, f</w:t>
      </w:r>
      <w:r w:rsidRPr="00161C9D">
        <w:rPr>
          <w:rFonts w:ascii="Calibri" w:eastAsia="Calibri" w:hAnsi="Calibri" w:cs="Calibri"/>
          <w:kern w:val="0"/>
          <w14:ligatures w14:val="none"/>
        </w:rPr>
        <w:t xml:space="preserve">or example (‘fine [gold] tower of/for gold-torc-wearers’, or a ‘defence for gold-torc wearers’), arguably evokes the heroic steadfastness of both individuals of the warband and the warband itself. </w:t>
      </w:r>
      <w:r w:rsidRPr="00161C9D">
        <w:rPr>
          <w:rFonts w:ascii="Calibri" w:eastAsia="Calibri" w:hAnsi="Calibri" w:cs="Calibri"/>
          <w:i/>
          <w:iCs/>
          <w:kern w:val="0"/>
          <w14:ligatures w14:val="none"/>
        </w:rPr>
        <w:t xml:space="preserve">Eurdorf </w:t>
      </w:r>
      <w:r w:rsidRPr="00161C9D">
        <w:rPr>
          <w:rFonts w:ascii="Calibri" w:eastAsia="Calibri" w:hAnsi="Calibri" w:cs="Calibri"/>
          <w:kern w:val="0"/>
          <w14:ligatures w14:val="none"/>
        </w:rPr>
        <w:t>(a ‘fine/gold host/throng’) collectivises the gold-torc-wearers in a way that also reminds of the Gododdin war-band.</w:t>
      </w:r>
    </w:p>
    <w:p w14:paraId="2D190FEE" w14:textId="01F5A6E8" w:rsidR="00067686" w:rsidRPr="00161C9D" w:rsidRDefault="00067686" w:rsidP="00067686">
      <w:pPr>
        <w:jc w:val="both"/>
        <w:rPr>
          <w:rFonts w:ascii="Calibri" w:eastAsia="Calibri" w:hAnsi="Calibri" w:cs="Calibri"/>
          <w:kern w:val="0"/>
          <w14:ligatures w14:val="none"/>
        </w:rPr>
      </w:pPr>
      <w:r w:rsidRPr="00161C9D">
        <w:rPr>
          <w:rFonts w:ascii="Calibri" w:eastAsia="Calibri" w:hAnsi="Calibri" w:cs="Calibri"/>
          <w:kern w:val="0"/>
          <w14:ligatures w14:val="none"/>
        </w:rPr>
        <w:t xml:space="preserve">Other comparisons can be made. Cynddelw’s Elegy for Madog ap Maredudd, his son Llywelyn and the Warband of Powys describes a great band of gold-torc-wearers, </w:t>
      </w:r>
      <w:r w:rsidRPr="00161C9D">
        <w:rPr>
          <w:rFonts w:ascii="Calibri" w:eastAsia="Calibri" w:hAnsi="Calibri" w:cs="Calibri"/>
          <w:i/>
          <w:iCs/>
          <w:kern w:val="0"/>
          <w14:ligatures w14:val="none"/>
        </w:rPr>
        <w:t xml:space="preserve">A llawer gwr gwrdd yn ing </w:t>
      </w:r>
      <w:r w:rsidRPr="00161C9D">
        <w:rPr>
          <w:rFonts w:ascii="Calibri" w:eastAsia="Calibri" w:hAnsi="Calibri" w:cs="Calibri"/>
          <w:kern w:val="0"/>
          <w14:ligatures w14:val="none"/>
        </w:rPr>
        <w:t>(‘many brave men in the throes of battle.</w:t>
      </w:r>
      <w:r>
        <w:rPr>
          <w:rFonts w:ascii="Calibri" w:eastAsia="Calibri" w:hAnsi="Calibri" w:cs="Calibri"/>
          <w:kern w:val="0"/>
          <w14:ligatures w14:val="none"/>
        </w:rPr>
        <w:t>)</w:t>
      </w:r>
      <w:r w:rsidRPr="00161C9D">
        <w:rPr>
          <w:rStyle w:val="FootnoteReference"/>
          <w:rFonts w:ascii="Calibri" w:eastAsia="Calibri" w:hAnsi="Calibri" w:cs="Calibri"/>
          <w:kern w:val="0"/>
          <w14:ligatures w14:val="none"/>
        </w:rPr>
        <w:footnoteReference w:id="77"/>
      </w:r>
      <w:r w:rsidRPr="00161C9D">
        <w:rPr>
          <w:rFonts w:ascii="Calibri" w:eastAsia="Calibri" w:hAnsi="Calibri" w:cs="Calibri"/>
          <w:kern w:val="0"/>
          <w14:ligatures w14:val="none"/>
        </w:rPr>
        <w:t xml:space="preserve"> </w:t>
      </w:r>
      <w:r w:rsidR="007B77EC">
        <w:rPr>
          <w:rFonts w:ascii="Calibri" w:eastAsia="Calibri" w:hAnsi="Calibri" w:cs="Calibri"/>
          <w:kern w:val="0"/>
          <w14:ligatures w14:val="none"/>
        </w:rPr>
        <w:t>It also laments the total loss of a 300-strong warband (line 3)</w:t>
      </w:r>
      <w:r w:rsidR="007E52FB">
        <w:rPr>
          <w:rFonts w:ascii="Calibri" w:eastAsia="Calibri" w:hAnsi="Calibri" w:cs="Calibri"/>
          <w:kern w:val="0"/>
          <w14:ligatures w14:val="none"/>
        </w:rPr>
        <w:t>,</w:t>
      </w:r>
      <w:r>
        <w:rPr>
          <w:rStyle w:val="FootnoteReference"/>
          <w:rFonts w:ascii="Calibri" w:eastAsia="Calibri" w:hAnsi="Calibri" w:cs="Calibri"/>
          <w:kern w:val="0"/>
          <w14:ligatures w14:val="none"/>
        </w:rPr>
        <w:footnoteReference w:id="78"/>
      </w:r>
      <w:r w:rsidR="007E52FB">
        <w:rPr>
          <w:rFonts w:ascii="Calibri" w:eastAsia="Calibri" w:hAnsi="Calibri" w:cs="Calibri"/>
          <w:kern w:val="0"/>
          <w14:ligatures w14:val="none"/>
        </w:rPr>
        <w:t xml:space="preserve"> which </w:t>
      </w:r>
      <w:r w:rsidRPr="00161C9D">
        <w:rPr>
          <w:rFonts w:ascii="Calibri" w:eastAsia="Calibri" w:hAnsi="Calibri" w:cs="Calibri"/>
          <w:kern w:val="0"/>
          <w14:ligatures w14:val="none"/>
        </w:rPr>
        <w:t>would surely have lent itself to evoking the Gododdin wholesale, torcs included. It would arguably have felt appropriate for the poet to draw from such material, as it would have been an accessible vein of heroic imagery easily superimposed on current circumstances.</w:t>
      </w:r>
    </w:p>
    <w:p w14:paraId="3584F355" w14:textId="77777777"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eastAsia="Calibri" w:hAnsi="Calibri" w:cs="Calibri"/>
          <w:color w:val="050505"/>
          <w:kern w:val="0"/>
          <w:shd w:val="clear" w:color="auto" w:fill="FFFFFF"/>
          <w14:ligatures w14:val="none"/>
        </w:rPr>
        <w:lastRenderedPageBreak/>
        <w:t xml:space="preserve">This allows for the Gododdin and these later elegies to be considered parts of an ongoing tradition, stretching back (or, more importantly, seen to be stretching back) into the past, consisting of heroic motifs like three heroes (or kings/princes), three-hundred-strong warbands, dead to the last man in battle against overwhelming odds, and gold-torcs. These poets of the Princes clearly evoke the heroic age and are inspired by the Gododdin poem. </w:t>
      </w:r>
    </w:p>
    <w:p w14:paraId="4877C900" w14:textId="77777777"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eastAsia="Calibri" w:hAnsi="Calibri" w:cs="Calibri"/>
          <w:kern w:val="0"/>
          <w14:ligatures w14:val="none"/>
        </w:rPr>
        <w:t>Despite being set in, and most likely composed in the Hen Ogledd, The Gododdin found its way to Wales and was being copied and re-copied in manuscripts at the same time these poems were being composed. Its influence cannot be underestimated, and it is worth considering the possibility that both it and the Taliesin poetry (also traditionally attributed to the Hen Ogledd) introduced the literary motif of the torc to Wales, which would account for the similarities in the poetry of the Princes.</w:t>
      </w:r>
    </w:p>
    <w:p w14:paraId="3666E150" w14:textId="77777777" w:rsidR="00067686" w:rsidRPr="00161C9D" w:rsidRDefault="00067686" w:rsidP="00067686">
      <w:pPr>
        <w:jc w:val="both"/>
        <w:rPr>
          <w:rFonts w:ascii="Calibri" w:eastAsia="Calibri" w:hAnsi="Calibri" w:cs="Calibri"/>
          <w:color w:val="050505"/>
          <w:kern w:val="0"/>
          <w:u w:val="single"/>
          <w:shd w:val="clear" w:color="auto" w:fill="FFFFFF"/>
          <w14:ligatures w14:val="none"/>
        </w:rPr>
      </w:pPr>
      <w:r>
        <w:rPr>
          <w:rFonts w:ascii="Calibri" w:eastAsia="Calibri" w:hAnsi="Calibri" w:cs="Calibri"/>
          <w:color w:val="050505"/>
          <w:kern w:val="0"/>
          <w:u w:val="single"/>
          <w:shd w:val="clear" w:color="auto" w:fill="FFFFFF"/>
          <w14:ligatures w14:val="none"/>
        </w:rPr>
        <w:t xml:space="preserve">3.3. </w:t>
      </w:r>
      <w:bookmarkStart w:id="26" w:name="_Hlk170121882"/>
      <w:r w:rsidRPr="00161C9D">
        <w:rPr>
          <w:rFonts w:ascii="Calibri" w:eastAsia="Calibri" w:hAnsi="Calibri" w:cs="Calibri"/>
          <w:color w:val="050505"/>
          <w:kern w:val="0"/>
          <w:u w:val="single"/>
          <w:shd w:val="clear" w:color="auto" w:fill="FFFFFF"/>
          <w14:ligatures w14:val="none"/>
        </w:rPr>
        <w:t xml:space="preserve">Late </w:t>
      </w:r>
      <w:r>
        <w:rPr>
          <w:rFonts w:ascii="Calibri" w:eastAsia="Calibri" w:hAnsi="Calibri" w:cs="Calibri"/>
          <w:color w:val="050505"/>
          <w:kern w:val="0"/>
          <w:u w:val="single"/>
          <w:shd w:val="clear" w:color="auto" w:fill="FFFFFF"/>
          <w14:ligatures w14:val="none"/>
        </w:rPr>
        <w:t>M</w:t>
      </w:r>
      <w:r w:rsidRPr="00161C9D">
        <w:rPr>
          <w:rFonts w:ascii="Calibri" w:eastAsia="Calibri" w:hAnsi="Calibri" w:cs="Calibri"/>
          <w:color w:val="050505"/>
          <w:kern w:val="0"/>
          <w:u w:val="single"/>
          <w:shd w:val="clear" w:color="auto" w:fill="FFFFFF"/>
          <w14:ligatures w14:val="none"/>
        </w:rPr>
        <w:t xml:space="preserve">edieval </w:t>
      </w:r>
      <w:r>
        <w:rPr>
          <w:rFonts w:ascii="Calibri" w:eastAsia="Calibri" w:hAnsi="Calibri" w:cs="Calibri"/>
          <w:color w:val="050505"/>
          <w:kern w:val="0"/>
          <w:u w:val="single"/>
          <w:shd w:val="clear" w:color="auto" w:fill="FFFFFF"/>
          <w14:ligatures w14:val="none"/>
        </w:rPr>
        <w:t xml:space="preserve">Welsh </w:t>
      </w:r>
      <w:r w:rsidRPr="00161C9D">
        <w:rPr>
          <w:rFonts w:ascii="Calibri" w:eastAsia="Calibri" w:hAnsi="Calibri" w:cs="Calibri"/>
          <w:color w:val="050505"/>
          <w:kern w:val="0"/>
          <w:u w:val="single"/>
          <w:shd w:val="clear" w:color="auto" w:fill="FFFFFF"/>
          <w14:ligatures w14:val="none"/>
        </w:rPr>
        <w:t>poetry</w:t>
      </w:r>
      <w:bookmarkEnd w:id="26"/>
    </w:p>
    <w:p w14:paraId="23DE8B83" w14:textId="77777777"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eastAsia="Calibri" w:hAnsi="Calibri" w:cs="Calibri"/>
          <w:i/>
          <w:iCs/>
          <w:color w:val="050505"/>
          <w:kern w:val="0"/>
          <w:shd w:val="clear" w:color="auto" w:fill="FFFFFF"/>
          <w14:ligatures w14:val="none"/>
        </w:rPr>
        <w:t>Torch</w:t>
      </w:r>
      <w:r w:rsidRPr="00161C9D">
        <w:rPr>
          <w:rFonts w:ascii="Calibri" w:eastAsia="Calibri" w:hAnsi="Calibri" w:cs="Calibri"/>
          <w:color w:val="050505"/>
          <w:kern w:val="0"/>
          <w:shd w:val="clear" w:color="auto" w:fill="FFFFFF"/>
          <w14:ligatures w14:val="none"/>
        </w:rPr>
        <w:t xml:space="preserve">-related terms appear to reduce considerably in later poetry. It shall not be explored here as to why, although it would be worth at some point considering the extent to which a newly conquered Wales might look back at more recent history for themes of glory and heroism, rather than the deep past. </w:t>
      </w:r>
    </w:p>
    <w:p w14:paraId="2B9AE513" w14:textId="77777777"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eastAsia="Calibri" w:hAnsi="Calibri" w:cs="Calibri"/>
          <w:color w:val="050505"/>
          <w:kern w:val="0"/>
          <w:shd w:val="clear" w:color="auto" w:fill="FFFFFF"/>
          <w14:ligatures w14:val="none"/>
        </w:rPr>
        <w:t>The later poets patronised by the Uchelwyr – the native aristocracy which succeeded the Welsh Princes after the Edwardian Conquest –  and even later poets, do not drop torcs completely, though.</w:t>
      </w:r>
    </w:p>
    <w:p w14:paraId="7052E47D" w14:textId="77777777"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eastAsia="Calibri" w:hAnsi="Calibri" w:cs="Calibri"/>
          <w:color w:val="050505"/>
          <w:kern w:val="0"/>
          <w:shd w:val="clear" w:color="auto" w:fill="FFFFFF"/>
          <w14:ligatures w14:val="none"/>
        </w:rPr>
        <w:t xml:space="preserve">Dafydd ap Gwylim (fl. 1340-1370) uses the term </w:t>
      </w:r>
      <w:r w:rsidRPr="00161C9D">
        <w:rPr>
          <w:rFonts w:ascii="Calibri" w:eastAsia="Calibri" w:hAnsi="Calibri" w:cs="Calibri"/>
          <w:i/>
          <w:iCs/>
          <w:color w:val="050505"/>
          <w:kern w:val="0"/>
          <w:shd w:val="clear" w:color="auto" w:fill="FFFFFF"/>
          <w14:ligatures w14:val="none"/>
        </w:rPr>
        <w:t>Eurdorch</w:t>
      </w:r>
      <w:r w:rsidRPr="00161C9D">
        <w:rPr>
          <w:rFonts w:ascii="Calibri" w:eastAsia="Calibri" w:hAnsi="Calibri" w:cs="Calibri"/>
          <w:color w:val="050505"/>
          <w:kern w:val="0"/>
          <w:shd w:val="clear" w:color="auto" w:fill="FFFFFF"/>
          <w14:ligatures w14:val="none"/>
        </w:rPr>
        <w:t xml:space="preserve">, albeit figuratively - it describes the plaits of Morfudd’s hair: </w:t>
      </w:r>
      <w:r w:rsidRPr="00161C9D">
        <w:rPr>
          <w:rFonts w:ascii="Calibri" w:eastAsia="Calibri" w:hAnsi="Calibri" w:cs="Calibri"/>
          <w:i/>
          <w:iCs/>
          <w:color w:val="050505"/>
          <w:kern w:val="0"/>
          <w:shd w:val="clear" w:color="auto" w:fill="FFFFFF"/>
          <w14:ligatures w14:val="none"/>
        </w:rPr>
        <w:t xml:space="preserve">Dwybleth i hudo deublwyf…Eurdyrch a chynnyrch annwyl </w:t>
      </w:r>
      <w:r w:rsidRPr="00161C9D">
        <w:rPr>
          <w:rFonts w:ascii="Calibri" w:eastAsia="Calibri" w:hAnsi="Calibri" w:cs="Calibri"/>
          <w:color w:val="050505"/>
          <w:kern w:val="0"/>
          <w:shd w:val="clear" w:color="auto" w:fill="FFFFFF"/>
          <w14:ligatures w14:val="none"/>
        </w:rPr>
        <w:t>(‘two plaits to enchant two parishes…golden torques and dear produce’).</w:t>
      </w:r>
      <w:r w:rsidRPr="00161C9D">
        <w:rPr>
          <w:rStyle w:val="FootnoteReference"/>
          <w:rFonts w:ascii="Calibri" w:eastAsia="Calibri" w:hAnsi="Calibri" w:cs="Calibri"/>
          <w:color w:val="050505"/>
          <w:kern w:val="0"/>
          <w:shd w:val="clear" w:color="auto" w:fill="FFFFFF"/>
          <w14:ligatures w14:val="none"/>
        </w:rPr>
        <w:footnoteReference w:id="79"/>
      </w:r>
      <w:r w:rsidRPr="00161C9D">
        <w:rPr>
          <w:rFonts w:ascii="Calibri" w:eastAsia="Calibri" w:hAnsi="Calibri" w:cs="Calibri"/>
          <w:color w:val="050505"/>
          <w:kern w:val="0"/>
          <w:shd w:val="clear" w:color="auto" w:fill="FFFFFF"/>
          <w14:ligatures w14:val="none"/>
        </w:rPr>
        <w:t xml:space="preserve"> Such imagery does arguably suggest that </w:t>
      </w:r>
      <w:r w:rsidRPr="00161C9D">
        <w:rPr>
          <w:rFonts w:ascii="Calibri" w:eastAsia="Calibri" w:hAnsi="Calibri" w:cs="Calibri"/>
          <w:i/>
          <w:iCs/>
          <w:color w:val="050505"/>
          <w:kern w:val="0"/>
          <w:shd w:val="clear" w:color="auto" w:fill="FFFFFF"/>
          <w14:ligatures w14:val="none"/>
        </w:rPr>
        <w:t>torch</w:t>
      </w:r>
      <w:r w:rsidRPr="00161C9D">
        <w:rPr>
          <w:rFonts w:ascii="Calibri" w:eastAsia="Calibri" w:hAnsi="Calibri" w:cs="Calibri"/>
          <w:color w:val="050505"/>
          <w:kern w:val="0"/>
          <w:shd w:val="clear" w:color="auto" w:fill="FFFFFF"/>
          <w14:ligatures w14:val="none"/>
        </w:rPr>
        <w:t xml:space="preserve"> retains an association with a twisted, golden, circular object of great worth and high status. Nonetheless, it is worth noting the context in which the ‘torc’ here is applied, to a woman. This is not a total anomaly: there are some references to Torc-wearing women in Medieval Welsh prose, as shall be demonstrated presently, and as has already been noted, torc-wearing women appear in Irish literature.</w:t>
      </w:r>
    </w:p>
    <w:p w14:paraId="37148067" w14:textId="77777777"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eastAsia="Calibri" w:hAnsi="Calibri" w:cs="Calibri"/>
          <w:color w:val="050505"/>
          <w:kern w:val="0"/>
          <w:shd w:val="clear" w:color="auto" w:fill="FFFFFF"/>
          <w14:ligatures w14:val="none"/>
        </w:rPr>
        <w:t xml:space="preserve">Guto’r Glun (1440-1493) refers to torcs in only 2 out of 126 poems. One of them, a request for a Greyhound, uses </w:t>
      </w:r>
      <w:r w:rsidRPr="00161C9D">
        <w:rPr>
          <w:rFonts w:ascii="Calibri" w:eastAsia="Calibri" w:hAnsi="Calibri" w:cs="Calibri"/>
          <w:i/>
          <w:iCs/>
          <w:color w:val="050505"/>
          <w:kern w:val="0"/>
          <w:shd w:val="clear" w:color="auto" w:fill="FFFFFF"/>
          <w14:ligatures w14:val="none"/>
        </w:rPr>
        <w:t xml:space="preserve">gorthorch </w:t>
      </w:r>
      <w:r w:rsidRPr="00161C9D">
        <w:rPr>
          <w:rFonts w:ascii="Calibri" w:eastAsia="Calibri" w:hAnsi="Calibri" w:cs="Calibri"/>
          <w:color w:val="050505"/>
          <w:kern w:val="0"/>
          <w:shd w:val="clear" w:color="auto" w:fill="FFFFFF"/>
          <w14:ligatures w14:val="none"/>
        </w:rPr>
        <w:t>for the collars or harnesses of dogs, something also found in prose.</w:t>
      </w:r>
      <w:r w:rsidRPr="00161C9D">
        <w:rPr>
          <w:rStyle w:val="FootnoteReference"/>
          <w:rFonts w:ascii="Calibri" w:eastAsia="Calibri" w:hAnsi="Calibri" w:cs="Calibri"/>
          <w:color w:val="050505"/>
          <w:kern w:val="0"/>
          <w:shd w:val="clear" w:color="auto" w:fill="FFFFFF"/>
          <w14:ligatures w14:val="none"/>
        </w:rPr>
        <w:footnoteReference w:id="80"/>
      </w:r>
      <w:r w:rsidRPr="00161C9D">
        <w:rPr>
          <w:rFonts w:ascii="Calibri" w:eastAsia="Calibri" w:hAnsi="Calibri" w:cs="Calibri"/>
          <w:color w:val="050505"/>
          <w:kern w:val="0"/>
          <w:shd w:val="clear" w:color="auto" w:fill="FFFFFF"/>
          <w14:ligatures w14:val="none"/>
        </w:rPr>
        <w:t xml:space="preserve"> He makes a curious comparison of these collars with the </w:t>
      </w:r>
      <w:r w:rsidRPr="00161C9D">
        <w:rPr>
          <w:rFonts w:ascii="Calibri" w:eastAsia="Calibri" w:hAnsi="Calibri" w:cs="Calibri"/>
          <w:i/>
          <w:iCs/>
          <w:color w:val="050505"/>
          <w:kern w:val="0"/>
          <w:shd w:val="clear" w:color="auto" w:fill="FFFFFF"/>
          <w14:ligatures w14:val="none"/>
        </w:rPr>
        <w:t>dorch[au]</w:t>
      </w:r>
      <w:r w:rsidRPr="00161C9D">
        <w:rPr>
          <w:rFonts w:ascii="Calibri" w:eastAsia="Calibri" w:hAnsi="Calibri" w:cs="Calibri"/>
          <w:color w:val="050505"/>
          <w:kern w:val="0"/>
          <w:shd w:val="clear" w:color="auto" w:fill="FFFFFF"/>
          <w14:ligatures w14:val="none"/>
        </w:rPr>
        <w:t xml:space="preserve"> of Priests,</w:t>
      </w:r>
      <w:r w:rsidRPr="00161C9D">
        <w:rPr>
          <w:rStyle w:val="FootnoteReference"/>
          <w:rFonts w:ascii="Calibri" w:eastAsia="Calibri" w:hAnsi="Calibri" w:cs="Calibri"/>
          <w:color w:val="050505"/>
          <w:kern w:val="0"/>
          <w:shd w:val="clear" w:color="auto" w:fill="FFFFFF"/>
          <w14:ligatures w14:val="none"/>
        </w:rPr>
        <w:footnoteReference w:id="81"/>
      </w:r>
      <w:r w:rsidRPr="00161C9D">
        <w:rPr>
          <w:rFonts w:ascii="Calibri" w:eastAsia="Calibri" w:hAnsi="Calibri" w:cs="Calibri"/>
          <w:color w:val="050505"/>
          <w:kern w:val="0"/>
          <w:shd w:val="clear" w:color="auto" w:fill="FFFFFF"/>
          <w14:ligatures w14:val="none"/>
        </w:rPr>
        <w:t xml:space="preserve"> which might, as shall be explored in the next chapter, refer to penitential bands; in any case, this certainly does suggest a more general use for torc-related terms in Welsh literature in this period.</w:t>
      </w:r>
    </w:p>
    <w:p w14:paraId="288EC5F6" w14:textId="77777777"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eastAsia="Calibri" w:hAnsi="Calibri" w:cs="Calibri"/>
          <w:color w:val="050505"/>
          <w:kern w:val="0"/>
          <w:shd w:val="clear" w:color="auto" w:fill="FFFFFF"/>
          <w14:ligatures w14:val="none"/>
        </w:rPr>
        <w:t xml:space="preserve">His second poem to reference a torc is more interesting: </w:t>
      </w:r>
      <w:r w:rsidRPr="00161C9D">
        <w:rPr>
          <w:rFonts w:ascii="Calibri" w:eastAsia="Calibri" w:hAnsi="Calibri" w:cs="Calibri"/>
          <w:i/>
          <w:iCs/>
          <w:color w:val="050505"/>
          <w:kern w:val="0"/>
          <w:shd w:val="clear" w:color="auto" w:fill="FFFFFF"/>
          <w14:ligatures w14:val="none"/>
        </w:rPr>
        <w:t>Llwyth Hywel â’r llath haearn / A dorrai’r dorch yn dair darn</w:t>
      </w:r>
      <w:r w:rsidRPr="00161C9D">
        <w:rPr>
          <w:rFonts w:ascii="Calibri" w:eastAsia="Calibri" w:hAnsi="Calibri" w:cs="Calibri"/>
          <w:color w:val="050505"/>
          <w:kern w:val="0"/>
          <w:shd w:val="clear" w:color="auto" w:fill="FFFFFF"/>
          <w14:ligatures w14:val="none"/>
        </w:rPr>
        <w:t xml:space="preserve"> (‘Hywel’s tribe with the iron rod / cut the torque in three parts’).</w:t>
      </w:r>
      <w:r w:rsidRPr="00161C9D">
        <w:rPr>
          <w:rStyle w:val="FootnoteReference"/>
          <w:rFonts w:ascii="Calibri" w:eastAsia="Calibri" w:hAnsi="Calibri" w:cs="Calibri"/>
          <w:color w:val="050505"/>
          <w:kern w:val="0"/>
          <w:shd w:val="clear" w:color="auto" w:fill="FFFFFF"/>
          <w14:ligatures w14:val="none"/>
        </w:rPr>
        <w:footnoteReference w:id="82"/>
      </w:r>
      <w:r w:rsidRPr="00161C9D">
        <w:rPr>
          <w:rFonts w:ascii="Calibri" w:eastAsia="Calibri" w:hAnsi="Calibri" w:cs="Calibri"/>
          <w:color w:val="050505"/>
          <w:kern w:val="0"/>
          <w:shd w:val="clear" w:color="auto" w:fill="FFFFFF"/>
          <w14:ligatures w14:val="none"/>
        </w:rPr>
        <w:t xml:space="preserve"> As R. Iestyn Daniel notes, this likely symbolically represents the division of inheritance among Hywel ap Cynwrig ab Iorwerth Fychan’s three sons.</w:t>
      </w:r>
      <w:r w:rsidRPr="00161C9D">
        <w:rPr>
          <w:rStyle w:val="FootnoteReference"/>
          <w:rFonts w:ascii="Calibri" w:eastAsia="Calibri" w:hAnsi="Calibri" w:cs="Calibri"/>
          <w:color w:val="050505"/>
          <w:kern w:val="0"/>
          <w:shd w:val="clear" w:color="auto" w:fill="FFFFFF"/>
          <w14:ligatures w14:val="none"/>
        </w:rPr>
        <w:footnoteReference w:id="83"/>
      </w:r>
      <w:r w:rsidRPr="00161C9D">
        <w:rPr>
          <w:rFonts w:ascii="Calibri" w:eastAsia="Calibri" w:hAnsi="Calibri" w:cs="Calibri"/>
          <w:color w:val="050505"/>
          <w:kern w:val="0"/>
          <w:shd w:val="clear" w:color="auto" w:fill="FFFFFF"/>
          <w14:ligatures w14:val="none"/>
        </w:rPr>
        <w:t xml:space="preserve"> As shall be seen in the next chapter, this motif of a torc broken into three parts is found in other accounts. It is possible that such a motif was relatively well-known, or else the symbolism was accessible enough for audiences of the time. As with Dafydd ap Gwilym’s highly poetic use of the torc,  it is possible to argue that this symbolism implies a mental image of a golden, twisted object, perhaps with connotations of heirloom status (hence its use here as a metaphor for inheritance and tribe).</w:t>
      </w:r>
    </w:p>
    <w:p w14:paraId="084D4058" w14:textId="77777777" w:rsidR="00067686" w:rsidRPr="00161C9D" w:rsidRDefault="00067686" w:rsidP="00067686">
      <w:pPr>
        <w:jc w:val="both"/>
        <w:rPr>
          <w:rFonts w:ascii="Calibri" w:hAnsi="Calibri" w:cs="Calibri"/>
          <w:u w:val="single"/>
        </w:rPr>
      </w:pPr>
      <w:r w:rsidRPr="00355DFD">
        <w:rPr>
          <w:rFonts w:ascii="Calibri" w:eastAsia="Calibri" w:hAnsi="Calibri" w:cs="Calibri"/>
          <w:color w:val="050505"/>
          <w:kern w:val="0"/>
          <w:u w:val="single"/>
          <w:shd w:val="clear" w:color="auto" w:fill="FFFFFF"/>
          <w14:ligatures w14:val="none"/>
        </w:rPr>
        <w:lastRenderedPageBreak/>
        <w:t xml:space="preserve">3.4. </w:t>
      </w:r>
      <w:r w:rsidRPr="00161C9D">
        <w:rPr>
          <w:rFonts w:ascii="Calibri" w:hAnsi="Calibri" w:cs="Calibri"/>
          <w:u w:val="single"/>
        </w:rPr>
        <w:t>Prose texts</w:t>
      </w:r>
    </w:p>
    <w:p w14:paraId="16AA1882" w14:textId="77777777" w:rsidR="00067686" w:rsidRPr="00161C9D" w:rsidRDefault="00067686" w:rsidP="00067686">
      <w:pPr>
        <w:jc w:val="both"/>
        <w:rPr>
          <w:rFonts w:ascii="Calibri" w:hAnsi="Calibri" w:cs="Calibri"/>
        </w:rPr>
      </w:pPr>
      <w:r w:rsidRPr="00161C9D">
        <w:rPr>
          <w:rFonts w:ascii="Calibri" w:hAnsi="Calibri" w:cs="Calibri"/>
        </w:rPr>
        <w:t>Torc-related terms are found in the prose tales ‘How Culhwch won Olwen’ and ‘The Dream of Macsen Wledig’, both contained in the Mabinogion. However, these references are very few, and none appear in the Four Branches themselves. This could suggest that the torc is a largely poetic motif.  As in the poetry, torcs in the prose texts should be treated with some caution, for as Patricia Williams observes,  ‘the redactors of these tales exploit [dress and adornments] imaginatively to present the characters and to show their status in society.’</w:t>
      </w:r>
      <w:r w:rsidRPr="00161C9D">
        <w:rPr>
          <w:rStyle w:val="FootnoteReference"/>
          <w:rFonts w:ascii="Calibri" w:hAnsi="Calibri" w:cs="Calibri"/>
        </w:rPr>
        <w:footnoteReference w:id="84"/>
      </w:r>
    </w:p>
    <w:p w14:paraId="167AF0F8" w14:textId="77777777" w:rsidR="00067686" w:rsidRPr="00161C9D" w:rsidRDefault="00067686" w:rsidP="00067686">
      <w:pPr>
        <w:jc w:val="both"/>
        <w:rPr>
          <w:rFonts w:ascii="Calibri" w:hAnsi="Calibri" w:cs="Calibri"/>
        </w:rPr>
      </w:pPr>
      <w:r w:rsidRPr="00161C9D">
        <w:rPr>
          <w:rFonts w:ascii="Calibri" w:hAnsi="Calibri" w:cs="Calibri"/>
        </w:rPr>
        <w:t xml:space="preserve">This is no more apparent than in </w:t>
      </w:r>
      <w:r w:rsidRPr="00161C9D">
        <w:rPr>
          <w:rFonts w:ascii="Calibri" w:hAnsi="Calibri" w:cs="Calibri"/>
          <w:i/>
          <w:iCs/>
        </w:rPr>
        <w:t>Culhwch</w:t>
      </w:r>
      <w:r w:rsidRPr="00161C9D">
        <w:rPr>
          <w:rFonts w:ascii="Calibri" w:hAnsi="Calibri" w:cs="Calibri"/>
        </w:rPr>
        <w:t xml:space="preserve">. Olwen is described as wearing a </w:t>
      </w:r>
      <w:r w:rsidRPr="00161C9D">
        <w:rPr>
          <w:rFonts w:ascii="Calibri" w:hAnsi="Calibri" w:cs="Calibri"/>
          <w:i/>
          <w:iCs/>
        </w:rPr>
        <w:t>torch rudeur</w:t>
      </w:r>
      <w:r w:rsidRPr="00161C9D">
        <w:rPr>
          <w:rFonts w:ascii="Calibri" w:hAnsi="Calibri" w:cs="Calibri"/>
        </w:rPr>
        <w:t xml:space="preserve"> (‘a torque of red gold around …[her] neck’).</w:t>
      </w:r>
      <w:r w:rsidRPr="00161C9D">
        <w:rPr>
          <w:rStyle w:val="FootnoteReference"/>
          <w:rFonts w:ascii="Calibri" w:hAnsi="Calibri" w:cs="Calibri"/>
        </w:rPr>
        <w:footnoteReference w:id="85"/>
      </w:r>
      <w:r w:rsidRPr="00161C9D">
        <w:rPr>
          <w:rFonts w:ascii="Calibri" w:hAnsi="Calibri" w:cs="Calibri"/>
        </w:rPr>
        <w:t xml:space="preserve"> Once again, the wearer is a women. This further suggests that the word either has a far more general meaning than is useful for trying to establish a connection between it and a more specific and antique artefact; or that it is understood differently in various contexts and genres. Given the heroic milieu of the poetry previously discussed, the latter seems somewhat possible.</w:t>
      </w:r>
    </w:p>
    <w:p w14:paraId="057B2759" w14:textId="77777777" w:rsidR="00067686" w:rsidRPr="00161C9D" w:rsidRDefault="00067686" w:rsidP="00067686">
      <w:pPr>
        <w:jc w:val="both"/>
        <w:rPr>
          <w:rFonts w:ascii="Calibri" w:hAnsi="Calibri" w:cs="Calibri"/>
        </w:rPr>
      </w:pPr>
      <w:r w:rsidRPr="00161C9D">
        <w:rPr>
          <w:rFonts w:ascii="Calibri" w:hAnsi="Calibri" w:cs="Calibri"/>
        </w:rPr>
        <w:t>Williams suggests Olwen’s torc serves to emphasise an ‘aristocratic milieu,’</w:t>
      </w:r>
      <w:r w:rsidRPr="00161C9D">
        <w:rPr>
          <w:rStyle w:val="FootnoteReference"/>
          <w:rFonts w:ascii="Calibri" w:hAnsi="Calibri" w:cs="Calibri"/>
        </w:rPr>
        <w:footnoteReference w:id="86"/>
      </w:r>
      <w:r w:rsidRPr="00161C9D">
        <w:rPr>
          <w:rFonts w:ascii="Calibri" w:hAnsi="Calibri" w:cs="Calibri"/>
        </w:rPr>
        <w:t xml:space="preserve"> or a ‘mark of her nobility.’</w:t>
      </w:r>
      <w:r w:rsidRPr="00161C9D">
        <w:rPr>
          <w:rStyle w:val="FootnoteReference"/>
          <w:rFonts w:ascii="Calibri" w:hAnsi="Calibri" w:cs="Calibri"/>
        </w:rPr>
        <w:footnoteReference w:id="87"/>
      </w:r>
      <w:r w:rsidRPr="00161C9D">
        <w:rPr>
          <w:rFonts w:ascii="Calibri" w:hAnsi="Calibri" w:cs="Calibri"/>
        </w:rPr>
        <w:t xml:space="preserve"> The torc is one of a set of adornments and personal aesthetic qualities that serve this purpose, from jewels and pearls to fair eyes and red cheeks.</w:t>
      </w:r>
      <w:r w:rsidRPr="00161C9D">
        <w:rPr>
          <w:rStyle w:val="FootnoteReference"/>
          <w:rFonts w:ascii="Calibri" w:hAnsi="Calibri" w:cs="Calibri"/>
        </w:rPr>
        <w:footnoteReference w:id="88"/>
      </w:r>
      <w:r w:rsidRPr="00161C9D">
        <w:rPr>
          <w:rFonts w:ascii="Calibri" w:hAnsi="Calibri" w:cs="Calibri"/>
        </w:rPr>
        <w:t xml:space="preserve"> Curious, then, is the other instance in which torcs are referred to in this tale (and specifically red-gold torcs at that): the greyhounds that ride out with Culhwch in his quest are also described using this term.</w:t>
      </w:r>
      <w:r w:rsidRPr="00161C9D">
        <w:rPr>
          <w:rStyle w:val="FootnoteReference"/>
          <w:rFonts w:ascii="Calibri" w:hAnsi="Calibri" w:cs="Calibri"/>
        </w:rPr>
        <w:footnoteReference w:id="89"/>
      </w:r>
      <w:r w:rsidRPr="00161C9D">
        <w:rPr>
          <w:rFonts w:ascii="Calibri" w:hAnsi="Calibri" w:cs="Calibri"/>
        </w:rPr>
        <w:t xml:space="preserve"> As shown previously with the Guto’r Glun, this is not unprecedented. While the use of </w:t>
      </w:r>
      <w:r w:rsidRPr="00161C9D">
        <w:rPr>
          <w:rFonts w:ascii="Calibri" w:hAnsi="Calibri" w:cs="Calibri"/>
          <w:i/>
          <w:iCs/>
        </w:rPr>
        <w:t xml:space="preserve">torch </w:t>
      </w:r>
      <w:r w:rsidRPr="00161C9D">
        <w:rPr>
          <w:rFonts w:ascii="Calibri" w:hAnsi="Calibri" w:cs="Calibri"/>
        </w:rPr>
        <w:t xml:space="preserve">potentially attaches ideas of loyalty, bravery and prestige to the dogs in this case, it nonetheless suggests a wider set of meanings for torch-related terms at this time. This is arguably supported by the text’s later use of </w:t>
      </w:r>
      <w:r w:rsidRPr="00161C9D">
        <w:rPr>
          <w:rFonts w:ascii="Calibri" w:hAnsi="Calibri" w:cs="Calibri"/>
          <w:i/>
          <w:iCs/>
        </w:rPr>
        <w:t>torch</w:t>
      </w:r>
      <w:r w:rsidRPr="00161C9D">
        <w:rPr>
          <w:rFonts w:ascii="Calibri" w:hAnsi="Calibri" w:cs="Calibri"/>
        </w:rPr>
        <w:t xml:space="preserve"> to refer to the collar needed to hold the dog Drudwyn in order to hunt the Boar Twrch Trwyth.</w:t>
      </w:r>
      <w:r w:rsidRPr="00161C9D">
        <w:rPr>
          <w:rStyle w:val="FootnoteReference"/>
          <w:rFonts w:ascii="Calibri" w:hAnsi="Calibri" w:cs="Calibri"/>
        </w:rPr>
        <w:footnoteReference w:id="90"/>
      </w:r>
      <w:r w:rsidRPr="00161C9D">
        <w:rPr>
          <w:rFonts w:ascii="Calibri" w:hAnsi="Calibri" w:cs="Calibri"/>
        </w:rPr>
        <w:t xml:space="preserve"> Indeed, Davies opts to translate this as collar, rather than torque, on this occasion.</w:t>
      </w:r>
      <w:r w:rsidRPr="00161C9D">
        <w:rPr>
          <w:rStyle w:val="FootnoteReference"/>
          <w:rFonts w:ascii="Calibri" w:hAnsi="Calibri" w:cs="Calibri"/>
        </w:rPr>
        <w:footnoteReference w:id="91"/>
      </w:r>
    </w:p>
    <w:p w14:paraId="60A13F39" w14:textId="77777777" w:rsidR="00067686" w:rsidRPr="00161C9D" w:rsidRDefault="00067686" w:rsidP="00067686">
      <w:pPr>
        <w:jc w:val="both"/>
        <w:rPr>
          <w:rFonts w:ascii="Calibri" w:hAnsi="Calibri" w:cs="Calibri"/>
        </w:rPr>
      </w:pPr>
      <w:r w:rsidRPr="00161C9D">
        <w:rPr>
          <w:rFonts w:ascii="Calibri" w:hAnsi="Calibri" w:cs="Calibri"/>
        </w:rPr>
        <w:t>In Macsen’s dream, the Welsh ruler Eudaf Hen is described as wearing ‘…gold bracelets on his arms, and many gold rings on his fingers; and a gold torque around his neck.’</w:t>
      </w:r>
      <w:r w:rsidRPr="00161C9D">
        <w:rPr>
          <w:rStyle w:val="FootnoteReference"/>
          <w:rFonts w:ascii="Calibri" w:hAnsi="Calibri" w:cs="Calibri"/>
        </w:rPr>
        <w:footnoteReference w:id="92"/>
      </w:r>
      <w:r w:rsidRPr="00161C9D">
        <w:rPr>
          <w:rFonts w:ascii="Calibri" w:hAnsi="Calibri" w:cs="Calibri"/>
        </w:rPr>
        <w:t xml:space="preserve"> The Welsh text uses the term ‘</w:t>
      </w:r>
      <w:r w:rsidRPr="00161C9D">
        <w:rPr>
          <w:rFonts w:ascii="Calibri" w:hAnsi="Calibri" w:cs="Calibri"/>
          <w:i/>
          <w:iCs/>
        </w:rPr>
        <w:t>gordtorch eur,’</w:t>
      </w:r>
      <w:r w:rsidRPr="00161C9D">
        <w:rPr>
          <w:rStyle w:val="FootnoteReference"/>
          <w:rFonts w:ascii="Calibri" w:hAnsi="Calibri" w:cs="Calibri"/>
        </w:rPr>
        <w:footnoteReference w:id="93"/>
      </w:r>
      <w:r w:rsidRPr="00161C9D">
        <w:rPr>
          <w:rFonts w:ascii="Calibri" w:hAnsi="Calibri" w:cs="Calibri"/>
        </w:rPr>
        <w:t xml:space="preserve"> and it is the only time the torc is referenced. The torc is part of a larger setting including Eudaf’s adornments that suggest royal wealth and splendour; he is also described as carving gwyddbwyll pieces out of a solid bar of gold. It is clearly a hyperbolic description of wealth, and serves to set the tale in another place and time, and instil awe and wonder in the audience. It is possible that the torc might have been understood by audiences or readers as a signifier for a legendary or historic age. Davies notes that ‘The author…clearly had antiquarian interests…[it is]…heavily indebted to historical sources’ and it ‘combine[s] pseudo-historical traditions with folk-tale motifs.’</w:t>
      </w:r>
      <w:r w:rsidRPr="00161C9D">
        <w:rPr>
          <w:rStyle w:val="FootnoteReference"/>
          <w:rFonts w:ascii="Calibri" w:hAnsi="Calibri" w:cs="Calibri"/>
        </w:rPr>
        <w:footnoteReference w:id="94"/>
      </w:r>
      <w:r w:rsidRPr="00161C9D">
        <w:rPr>
          <w:rFonts w:ascii="Calibri" w:hAnsi="Calibri" w:cs="Calibri"/>
        </w:rPr>
        <w:t xml:space="preserve"> </w:t>
      </w:r>
    </w:p>
    <w:p w14:paraId="250348E6" w14:textId="77777777" w:rsidR="00067686" w:rsidRPr="00161C9D" w:rsidRDefault="00067686" w:rsidP="00067686">
      <w:pPr>
        <w:jc w:val="both"/>
        <w:rPr>
          <w:rFonts w:ascii="Calibri" w:hAnsi="Calibri" w:cs="Calibri"/>
        </w:rPr>
      </w:pPr>
      <w:r w:rsidRPr="00161C9D">
        <w:rPr>
          <w:rFonts w:ascii="Calibri" w:hAnsi="Calibri" w:cs="Calibri"/>
        </w:rPr>
        <w:t xml:space="preserve">If the torc can be seen in some contexts as a signifier of ethnic Brittonic identity, here it is also arguably connected to the Roman origins of Wales too. The joining of Eudaf Hen and Macsen’s lines - of Britain and Rome - through Elen provides an origin of sorts for the British post-roman successor states (and </w:t>
      </w:r>
      <w:r w:rsidRPr="00161C9D">
        <w:rPr>
          <w:rFonts w:ascii="Calibri" w:hAnsi="Calibri" w:cs="Calibri"/>
        </w:rPr>
        <w:lastRenderedPageBreak/>
        <w:t xml:space="preserve">Brittany, through Elen’s brother Conan). It is tempting to suggest that this indicates some knowledge in medieval Welsh societies of the torc as an antique artefact both ‘Celtic’ and Roman but there are no other sources that suggest this. </w:t>
      </w:r>
    </w:p>
    <w:p w14:paraId="0A105535" w14:textId="3D66B3B0" w:rsidR="00067686" w:rsidRPr="00161C9D" w:rsidRDefault="00067686" w:rsidP="00067686">
      <w:pPr>
        <w:jc w:val="both"/>
        <w:rPr>
          <w:rFonts w:ascii="Calibri" w:eastAsia="Calibri" w:hAnsi="Calibri" w:cs="Calibri"/>
          <w:color w:val="050505"/>
          <w:kern w:val="0"/>
          <w:shd w:val="clear" w:color="auto" w:fill="FFFFFF"/>
          <w14:ligatures w14:val="none"/>
        </w:rPr>
      </w:pPr>
      <w:r w:rsidRPr="00161C9D">
        <w:rPr>
          <w:rFonts w:ascii="Calibri" w:hAnsi="Calibri" w:cs="Calibri"/>
        </w:rPr>
        <w:t xml:space="preserve">The Life of Gruffudd ap Cynan is a </w:t>
      </w:r>
      <w:r w:rsidR="005222B1">
        <w:rPr>
          <w:rFonts w:ascii="Calibri" w:hAnsi="Calibri" w:cs="Calibri"/>
        </w:rPr>
        <w:t>12</w:t>
      </w:r>
      <w:r w:rsidR="005222B1" w:rsidRPr="005222B1">
        <w:rPr>
          <w:rFonts w:ascii="Calibri" w:hAnsi="Calibri" w:cs="Calibri"/>
          <w:vertAlign w:val="superscript"/>
        </w:rPr>
        <w:t>th</w:t>
      </w:r>
      <w:r w:rsidR="005222B1">
        <w:rPr>
          <w:rFonts w:ascii="Calibri" w:hAnsi="Calibri" w:cs="Calibri"/>
        </w:rPr>
        <w:t xml:space="preserve"> century </w:t>
      </w:r>
      <w:r w:rsidRPr="00161C9D">
        <w:rPr>
          <w:rFonts w:ascii="Calibri" w:hAnsi="Calibri" w:cs="Calibri"/>
        </w:rPr>
        <w:t>historical text, written in Latin but popularised through Welsh translations and then Latin re-translations.</w:t>
      </w:r>
      <w:r w:rsidRPr="00161C9D">
        <w:rPr>
          <w:rStyle w:val="FootnoteReference"/>
          <w:rFonts w:ascii="Calibri" w:hAnsi="Calibri" w:cs="Calibri"/>
        </w:rPr>
        <w:footnoteReference w:id="95"/>
      </w:r>
      <w:r w:rsidRPr="00161C9D">
        <w:rPr>
          <w:rFonts w:ascii="Calibri" w:hAnsi="Calibri" w:cs="Calibri"/>
        </w:rPr>
        <w:t xml:space="preserve"> It is notable for referring to a torc worn by a warrior of Gruffudd’s Hiberno-Norse ancestral line. Vikings wore twisted, silver neck-rings that could have reminded Welsh writers of the torcs described both in classical literature and native heroic poetry (and perhaps inspired the motif’s use anew), so it is not surprising to see the term used for it.</w:t>
      </w:r>
      <w:r w:rsidRPr="00161C9D">
        <w:rPr>
          <w:rStyle w:val="FootnoteReference"/>
          <w:rFonts w:ascii="Calibri" w:hAnsi="Calibri" w:cs="Calibri"/>
        </w:rPr>
        <w:footnoteReference w:id="96"/>
      </w:r>
      <w:r w:rsidRPr="00161C9D">
        <w:rPr>
          <w:rFonts w:ascii="Calibri" w:hAnsi="Calibri" w:cs="Calibri"/>
        </w:rPr>
        <w:t xml:space="preserve"> </w:t>
      </w:r>
    </w:p>
    <w:p w14:paraId="2FA187D4" w14:textId="77777777" w:rsidR="00067686" w:rsidRPr="00161C9D" w:rsidRDefault="00067686" w:rsidP="00067686">
      <w:pPr>
        <w:jc w:val="both"/>
        <w:rPr>
          <w:rFonts w:ascii="Calibri" w:hAnsi="Calibri" w:cs="Calibri"/>
        </w:rPr>
      </w:pPr>
      <w:r w:rsidRPr="00161C9D">
        <w:rPr>
          <w:rFonts w:ascii="Calibri" w:hAnsi="Calibri" w:cs="Calibri"/>
        </w:rPr>
        <w:t>This implies a certain definition still attached to the term, whether in Welsh or Latin, at this time in Wales; an object made by twisting thread of precious metal into a ring worn around the neck, and worn by high status persons, potentially in a martial context. Of interest too is the author’s additional observation that the torc an item ‘which Kings and Nobles used to wear of yore.’</w:t>
      </w:r>
      <w:r w:rsidRPr="00161C9D">
        <w:rPr>
          <w:rStyle w:val="FootnoteReference"/>
          <w:rFonts w:ascii="Calibri" w:hAnsi="Calibri" w:cs="Calibri"/>
        </w:rPr>
        <w:footnoteReference w:id="97"/>
      </w:r>
      <w:r w:rsidRPr="00161C9D">
        <w:rPr>
          <w:rFonts w:ascii="Calibri" w:hAnsi="Calibri" w:cs="Calibri"/>
        </w:rPr>
        <w:t xml:space="preserve"> Whether this refers to Norse Kings, or Welsh/British ones, it nonetheless suggests that the torc being described was a distinct object, understood by the audience, signifying a previous time period. </w:t>
      </w:r>
    </w:p>
    <w:p w14:paraId="62E4A4FC" w14:textId="1E7726A7" w:rsidR="00067686" w:rsidRPr="00161C9D" w:rsidRDefault="00067686" w:rsidP="00067686">
      <w:pPr>
        <w:jc w:val="both"/>
        <w:rPr>
          <w:rFonts w:ascii="Calibri" w:eastAsia="Calibri" w:hAnsi="Calibri" w:cs="Calibri"/>
        </w:rPr>
      </w:pPr>
      <w:r w:rsidRPr="00161C9D">
        <w:rPr>
          <w:rFonts w:ascii="Calibri" w:eastAsia="Calibri" w:hAnsi="Calibri" w:cs="Calibri"/>
        </w:rPr>
        <w:t>Whether Welsh writers might have been inspired by literary representations of neck-rings is uncertain, but it is worth briefly noting some parallels in the Anglo-Saxon epic poem Beowulf (dated to c</w:t>
      </w:r>
      <w:r w:rsidR="002455E2">
        <w:rPr>
          <w:rFonts w:ascii="Calibri" w:eastAsia="Calibri" w:hAnsi="Calibri" w:cs="Calibri"/>
        </w:rPr>
        <w:t xml:space="preserve">. </w:t>
      </w:r>
      <w:r w:rsidRPr="00161C9D">
        <w:rPr>
          <w:rFonts w:ascii="Calibri" w:eastAsia="Calibri" w:hAnsi="Calibri" w:cs="Calibri"/>
        </w:rPr>
        <w:t>8 at the earliest, but set in c</w:t>
      </w:r>
      <w:r w:rsidR="007C69C6">
        <w:rPr>
          <w:rFonts w:ascii="Calibri" w:eastAsia="Calibri" w:hAnsi="Calibri" w:cs="Calibri"/>
        </w:rPr>
        <w:t xml:space="preserve">. </w:t>
      </w:r>
      <w:r w:rsidRPr="00161C9D">
        <w:rPr>
          <w:rFonts w:ascii="Calibri" w:eastAsia="Calibri" w:hAnsi="Calibri" w:cs="Calibri"/>
        </w:rPr>
        <w:t>5/6).</w:t>
      </w:r>
      <w:r w:rsidRPr="00161C9D">
        <w:rPr>
          <w:rStyle w:val="FootnoteReference"/>
          <w:rFonts w:ascii="Calibri" w:eastAsia="Calibri" w:hAnsi="Calibri" w:cs="Calibri"/>
        </w:rPr>
        <w:footnoteReference w:id="98"/>
      </w:r>
      <w:r w:rsidRPr="00161C9D">
        <w:rPr>
          <w:rFonts w:ascii="Calibri" w:eastAsia="Calibri" w:hAnsi="Calibri" w:cs="Calibri"/>
        </w:rPr>
        <w:t xml:space="preserve"> In it, Wiglaf is given a golden neck ring, which Barbara Raw argues is a status of rank, though its function varies between personal and public, sometimes connected to Kingship, and sometimes not.</w:t>
      </w:r>
      <w:r w:rsidRPr="00161C9D">
        <w:rPr>
          <w:rStyle w:val="FootnoteReference"/>
          <w:rFonts w:ascii="Calibri" w:eastAsia="Calibri" w:hAnsi="Calibri" w:cs="Calibri"/>
        </w:rPr>
        <w:footnoteReference w:id="99"/>
      </w:r>
      <w:r w:rsidRPr="00161C9D">
        <w:rPr>
          <w:rFonts w:ascii="Calibri" w:eastAsia="Calibri" w:hAnsi="Calibri" w:cs="Calibri"/>
        </w:rPr>
        <w:t xml:space="preserve"> It is sensible to allow for both material and literary cross-cultural contact occurring throughout the Middle Ages in Britain, which could have played a part in shaping the literary motif of the torc.</w:t>
      </w:r>
    </w:p>
    <w:p w14:paraId="789A30A2" w14:textId="77777777" w:rsidR="00067686" w:rsidRPr="00161C9D" w:rsidRDefault="00067686" w:rsidP="00067686">
      <w:pPr>
        <w:jc w:val="both"/>
        <w:rPr>
          <w:rFonts w:ascii="Calibri" w:hAnsi="Calibri" w:cs="Calibri"/>
          <w:u w:val="single"/>
        </w:rPr>
      </w:pPr>
      <w:r>
        <w:rPr>
          <w:rFonts w:ascii="Calibri" w:hAnsi="Calibri" w:cs="Calibri"/>
          <w:u w:val="single"/>
        </w:rPr>
        <w:t xml:space="preserve">3.5. </w:t>
      </w:r>
      <w:r w:rsidRPr="00161C9D">
        <w:rPr>
          <w:rFonts w:ascii="Calibri" w:hAnsi="Calibri" w:cs="Calibri"/>
          <w:u w:val="single"/>
        </w:rPr>
        <w:t>Concluding remarks</w:t>
      </w:r>
    </w:p>
    <w:p w14:paraId="567847B2" w14:textId="3C5D03C6" w:rsidR="00067686" w:rsidRPr="00161C9D" w:rsidRDefault="00067686" w:rsidP="00067686">
      <w:pPr>
        <w:jc w:val="both"/>
        <w:rPr>
          <w:rFonts w:ascii="Calibri" w:hAnsi="Calibri" w:cs="Calibri"/>
        </w:rPr>
      </w:pPr>
      <w:r w:rsidRPr="00161C9D">
        <w:rPr>
          <w:rFonts w:ascii="Calibri" w:hAnsi="Calibri" w:cs="Calibri"/>
        </w:rPr>
        <w:t>In the later middle ages, torc-related terms are used more generally across a wider range of contexts and possible objects; they are also used more figuratively. Nonetheless, in each of these cases it is possible to demonstrate certain object characteristics that still evoke the torcs of native heroic and classical literature, most notably their twisting design, which arguably set them apart from other collars and necklaces. Indeed, Alaw Mai Jones posits that Medieval Welsh literature builds up a set of clothing and adornments – socks, hats, feathers, and torcs – that can be viewed as something like a Welsh style of dress.</w:t>
      </w:r>
      <w:r w:rsidRPr="00161C9D">
        <w:rPr>
          <w:rStyle w:val="FootnoteReference"/>
          <w:rFonts w:ascii="Calibri" w:hAnsi="Calibri" w:cs="Calibri"/>
        </w:rPr>
        <w:footnoteReference w:id="100"/>
      </w:r>
      <w:r>
        <w:rPr>
          <w:rFonts w:ascii="Calibri" w:hAnsi="Calibri" w:cs="Calibri"/>
        </w:rPr>
        <w:t xml:space="preserve"> </w:t>
      </w:r>
      <w:r w:rsidRPr="00161C9D">
        <w:rPr>
          <w:rFonts w:ascii="Calibri" w:hAnsi="Calibri" w:cs="Calibri"/>
        </w:rPr>
        <w:t>Contemporary objects and literatures from other societies may have reinforced the torc motif, though it is less unlikely that extant native objects did; though it is not impossible that in rare cases an heirloom or relic might have done so, as shall be seen in the next chapter.</w:t>
      </w:r>
      <w:bookmarkEnd w:id="18"/>
    </w:p>
    <w:p w14:paraId="4D7F4ACE" w14:textId="77777777" w:rsidR="002455E2" w:rsidRDefault="002455E2" w:rsidP="00B740B7">
      <w:pPr>
        <w:tabs>
          <w:tab w:val="left" w:pos="6144"/>
        </w:tabs>
        <w:jc w:val="both"/>
        <w:rPr>
          <w:b/>
          <w:bCs/>
          <w:sz w:val="24"/>
          <w:szCs w:val="24"/>
          <w:u w:val="single"/>
        </w:rPr>
      </w:pPr>
    </w:p>
    <w:p w14:paraId="7E480366" w14:textId="77777777" w:rsidR="002455E2" w:rsidRDefault="002455E2" w:rsidP="00B740B7">
      <w:pPr>
        <w:tabs>
          <w:tab w:val="left" w:pos="6144"/>
        </w:tabs>
        <w:jc w:val="both"/>
        <w:rPr>
          <w:b/>
          <w:bCs/>
          <w:sz w:val="24"/>
          <w:szCs w:val="24"/>
          <w:u w:val="single"/>
        </w:rPr>
      </w:pPr>
    </w:p>
    <w:p w14:paraId="3311AB74" w14:textId="77777777" w:rsidR="002455E2" w:rsidRDefault="002455E2" w:rsidP="00B740B7">
      <w:pPr>
        <w:tabs>
          <w:tab w:val="left" w:pos="6144"/>
        </w:tabs>
        <w:jc w:val="both"/>
        <w:rPr>
          <w:b/>
          <w:bCs/>
          <w:sz w:val="24"/>
          <w:szCs w:val="24"/>
          <w:u w:val="single"/>
        </w:rPr>
      </w:pPr>
    </w:p>
    <w:p w14:paraId="268D74B8" w14:textId="77777777" w:rsidR="002455E2" w:rsidRDefault="002455E2" w:rsidP="00B740B7">
      <w:pPr>
        <w:tabs>
          <w:tab w:val="left" w:pos="6144"/>
        </w:tabs>
        <w:jc w:val="both"/>
        <w:rPr>
          <w:b/>
          <w:bCs/>
          <w:sz w:val="24"/>
          <w:szCs w:val="24"/>
          <w:u w:val="single"/>
        </w:rPr>
      </w:pPr>
    </w:p>
    <w:p w14:paraId="77528E84" w14:textId="47EB3CEF" w:rsidR="00B740B7" w:rsidRPr="003347ED" w:rsidRDefault="00B740B7" w:rsidP="00B740B7">
      <w:pPr>
        <w:tabs>
          <w:tab w:val="left" w:pos="6144"/>
        </w:tabs>
        <w:jc w:val="both"/>
        <w:rPr>
          <w:b/>
          <w:bCs/>
          <w:sz w:val="24"/>
          <w:szCs w:val="24"/>
          <w:u w:val="single"/>
        </w:rPr>
      </w:pPr>
      <w:r w:rsidRPr="003347ED">
        <w:rPr>
          <w:b/>
          <w:bCs/>
          <w:sz w:val="24"/>
          <w:szCs w:val="24"/>
          <w:u w:val="single"/>
        </w:rPr>
        <w:lastRenderedPageBreak/>
        <w:t>Chapter 4: The Torc of St Cynog</w:t>
      </w:r>
    </w:p>
    <w:p w14:paraId="3532534B" w14:textId="77777777" w:rsidR="00B740B7" w:rsidRPr="00B82328" w:rsidRDefault="00B740B7" w:rsidP="00B740B7">
      <w:pPr>
        <w:tabs>
          <w:tab w:val="left" w:pos="6144"/>
        </w:tabs>
        <w:jc w:val="both"/>
        <w:rPr>
          <w:b/>
          <w:bCs/>
          <w:sz w:val="2"/>
          <w:szCs w:val="2"/>
        </w:rPr>
      </w:pPr>
    </w:p>
    <w:p w14:paraId="66B2291A" w14:textId="77777777" w:rsidR="00B740B7" w:rsidRPr="000F47E5" w:rsidRDefault="00B740B7" w:rsidP="00B740B7">
      <w:pPr>
        <w:tabs>
          <w:tab w:val="left" w:pos="6144"/>
        </w:tabs>
        <w:jc w:val="both"/>
        <w:rPr>
          <w:b/>
          <w:bCs/>
        </w:rPr>
      </w:pPr>
      <w:r>
        <w:rPr>
          <w:b/>
          <w:bCs/>
        </w:rPr>
        <w:t xml:space="preserve">4.1. </w:t>
      </w:r>
      <w:r w:rsidRPr="000F47E5">
        <w:rPr>
          <w:b/>
          <w:bCs/>
        </w:rPr>
        <w:t>Introduction</w:t>
      </w:r>
    </w:p>
    <w:p w14:paraId="5BDFC7E0" w14:textId="77777777" w:rsidR="00B740B7" w:rsidRDefault="00B740B7" w:rsidP="00B740B7">
      <w:pPr>
        <w:tabs>
          <w:tab w:val="left" w:pos="6144"/>
        </w:tabs>
        <w:jc w:val="both"/>
      </w:pPr>
      <w:r>
        <w:t>In the late 12</w:t>
      </w:r>
      <w:r w:rsidRPr="00531C48">
        <w:rPr>
          <w:vertAlign w:val="superscript"/>
        </w:rPr>
        <w:t>th</w:t>
      </w:r>
      <w:r>
        <w:t xml:space="preserve"> century</w:t>
      </w:r>
      <w:r>
        <w:rPr>
          <w:i/>
          <w:iCs/>
        </w:rPr>
        <w:t xml:space="preserve"> The Journey Through Wales, </w:t>
      </w:r>
      <w:r>
        <w:t xml:space="preserve">Gerald of Wales writes of seeing an object he calls the </w:t>
      </w:r>
      <w:r w:rsidRPr="00086120">
        <w:rPr>
          <w:i/>
          <w:iCs/>
        </w:rPr>
        <w:t>torque</w:t>
      </w:r>
      <w:r>
        <w:rPr>
          <w:i/>
          <w:iCs/>
        </w:rPr>
        <w:t xml:space="preserve"> </w:t>
      </w:r>
      <w:r>
        <w:t>of St Cynog.</w:t>
      </w:r>
      <w:r w:rsidRPr="00C743BC">
        <w:rPr>
          <w:rStyle w:val="FootnoteReference"/>
        </w:rPr>
        <w:footnoteReference w:id="101"/>
      </w:r>
      <w:r>
        <w:t xml:space="preserve"> He describes it in some detail: it is made of four parts, joined, even welded together, and divided in the middle by a dog’s head, teeth bared. It is made of gold, or at least looks like it is. It has some damage, which he explains by an attempted robbery and dismantling of it.</w:t>
      </w:r>
      <w:r>
        <w:rPr>
          <w:rStyle w:val="FootnoteReference"/>
        </w:rPr>
        <w:footnoteReference w:id="102"/>
      </w:r>
    </w:p>
    <w:tbl>
      <w:tblPr>
        <w:tblStyle w:val="TableGrid"/>
        <w:tblpPr w:leftFromText="180" w:rightFromText="180" w:vertAnchor="text" w:tblpY="3498"/>
        <w:tblW w:w="0" w:type="auto"/>
        <w:tblLook w:val="04A0" w:firstRow="1" w:lastRow="0" w:firstColumn="1" w:lastColumn="0" w:noHBand="0" w:noVBand="1"/>
      </w:tblPr>
      <w:tblGrid>
        <w:gridCol w:w="5058"/>
      </w:tblGrid>
      <w:tr w:rsidR="00B740B7" w14:paraId="30D3E942" w14:textId="77777777" w:rsidTr="001D568B">
        <w:trPr>
          <w:trHeight w:val="302"/>
        </w:trPr>
        <w:tc>
          <w:tcPr>
            <w:tcW w:w="5058" w:type="dxa"/>
          </w:tcPr>
          <w:p w14:paraId="3303B8C3" w14:textId="77777777" w:rsidR="00B740B7" w:rsidRPr="005C7857" w:rsidRDefault="00B740B7" w:rsidP="001D568B">
            <w:pPr>
              <w:rPr>
                <w:i/>
                <w:iCs/>
              </w:rPr>
            </w:pPr>
            <w:r w:rsidRPr="002E46E5">
              <w:rPr>
                <w:i/>
                <w:iCs/>
              </w:rPr>
              <w:t>Artist’s impression of the Torc of St Cynog</w:t>
            </w:r>
            <w:r>
              <w:rPr>
                <w:rStyle w:val="FootnoteReference"/>
                <w:i/>
                <w:iCs/>
              </w:rPr>
              <w:footnoteReference w:id="103"/>
            </w:r>
          </w:p>
        </w:tc>
      </w:tr>
    </w:tbl>
    <w:p w14:paraId="4CA84957" w14:textId="424576D6" w:rsidR="00B740B7" w:rsidRDefault="00B740B7" w:rsidP="00B740B7">
      <w:pPr>
        <w:tabs>
          <w:tab w:val="left" w:pos="6144"/>
        </w:tabs>
        <w:jc w:val="both"/>
      </w:pPr>
      <w:r w:rsidRPr="002E46E5">
        <w:rPr>
          <w:noProof/>
        </w:rPr>
        <w:drawing>
          <wp:anchor distT="0" distB="0" distL="114300" distR="114300" simplePos="0" relativeHeight="251667456" behindDoc="0" locked="0" layoutInCell="1" allowOverlap="1" wp14:anchorId="5CE96C91" wp14:editId="01F6D7F0">
            <wp:simplePos x="0" y="0"/>
            <wp:positionH relativeFrom="margin">
              <wp:posOffset>-22860</wp:posOffset>
            </wp:positionH>
            <wp:positionV relativeFrom="paragraph">
              <wp:posOffset>40640</wp:posOffset>
            </wp:positionV>
            <wp:extent cx="3238500" cy="2155190"/>
            <wp:effectExtent l="0" t="0" r="0" b="0"/>
            <wp:wrapSquare wrapText="bothSides"/>
            <wp:docPr id="5" name="Picture 4" descr="A drawing of a necklace&#10;&#10;Description automatically generated">
              <a:extLst xmlns:a="http://schemas.openxmlformats.org/drawingml/2006/main">
                <a:ext uri="{FF2B5EF4-FFF2-40B4-BE49-F238E27FC236}">
                  <a16:creationId xmlns:a16="http://schemas.microsoft.com/office/drawing/2014/main" id="{06FC9B83-57B9-AA06-AA77-01D3B95C71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drawing of a necklace&#10;&#10;Description automatically generated">
                      <a:extLst>
                        <a:ext uri="{FF2B5EF4-FFF2-40B4-BE49-F238E27FC236}">
                          <a16:creationId xmlns:a16="http://schemas.microsoft.com/office/drawing/2014/main" id="{06FC9B83-57B9-AA06-AA77-01D3B95C711A}"/>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38500" cy="2155190"/>
                    </a:xfrm>
                    <a:prstGeom prst="rect">
                      <a:avLst/>
                    </a:prstGeom>
                  </pic:spPr>
                </pic:pic>
              </a:graphicData>
            </a:graphic>
            <wp14:sizeRelH relativeFrom="margin">
              <wp14:pctWidth>0</wp14:pctWidth>
            </wp14:sizeRelH>
            <wp14:sizeRelV relativeFrom="margin">
              <wp14:pctHeight>0</wp14:pctHeight>
            </wp14:sizeRelV>
          </wp:anchor>
        </w:drawing>
      </w:r>
      <w:r>
        <w:t>This is by far the most detailed description of a torc in almost any source,  so far as the research for this essay can determine, and its features invite comparisons with La-Tene style Torcs with animal motifs</w:t>
      </w:r>
      <w:r w:rsidR="008F76B5">
        <w:t xml:space="preserve"> (see image at the end of this chapter. </w:t>
      </w:r>
      <w:r>
        <w:t>The detail suggests that Gerald, or else the source he draws from (Price argues that much of Gerald’s writing draws extensively from written sources, especially where it concerns saints)</w:t>
      </w:r>
      <w:r>
        <w:rPr>
          <w:rStyle w:val="FootnoteReference"/>
        </w:rPr>
        <w:footnoteReference w:id="104"/>
      </w:r>
      <w:r>
        <w:t xml:space="preserve"> saw this object</w:t>
      </w:r>
      <w:r w:rsidRPr="00710E6B">
        <w:t xml:space="preserve"> </w:t>
      </w:r>
      <w:r>
        <w:t>(Thorpe argues that Gerald would have examined the torc, based on the detail he provides),</w:t>
      </w:r>
      <w:r>
        <w:rPr>
          <w:rStyle w:val="FootnoteReference"/>
        </w:rPr>
        <w:footnoteReference w:id="105"/>
      </w:r>
      <w:r>
        <w:t xml:space="preserve"> and that the term </w:t>
      </w:r>
      <w:r w:rsidRPr="00710E6B">
        <w:rPr>
          <w:i/>
          <w:iCs/>
        </w:rPr>
        <w:t>torque</w:t>
      </w:r>
      <w:r>
        <w:t xml:space="preserve"> could be meaningfully applied to it. </w:t>
      </w:r>
    </w:p>
    <w:p w14:paraId="6F126991" w14:textId="77777777" w:rsidR="00B740B7" w:rsidRDefault="00B740B7" w:rsidP="00B740B7">
      <w:pPr>
        <w:tabs>
          <w:tab w:val="left" w:pos="6144"/>
        </w:tabs>
        <w:jc w:val="both"/>
      </w:pPr>
      <w:r>
        <w:t>Gerald claims that the torc was once stolen, and that the thief attempted to break it, resulting in the loss of his sight,</w:t>
      </w:r>
      <w:r>
        <w:rPr>
          <w:rStyle w:val="FootnoteReference"/>
        </w:rPr>
        <w:footnoteReference w:id="106"/>
      </w:r>
      <w:r>
        <w:t xml:space="preserve"> and that it was later stolen by the Lord Rhys of Deheubarth, and taken to Dinefwr.</w:t>
      </w:r>
      <w:r>
        <w:rPr>
          <w:rStyle w:val="FootnoteReference"/>
        </w:rPr>
        <w:footnoteReference w:id="107"/>
      </w:r>
    </w:p>
    <w:p w14:paraId="3068CD26" w14:textId="77777777" w:rsidR="00B740B7" w:rsidRDefault="00B740B7" w:rsidP="00B740B7">
      <w:pPr>
        <w:tabs>
          <w:tab w:val="left" w:pos="6144"/>
        </w:tabs>
        <w:jc w:val="both"/>
      </w:pPr>
      <w:r>
        <w:t>Several other sources for this object also exist, presenting the quite singular opportunity for verifying the actual existence of a specific object referred to as a torc in Medieval Wales. The extent to which these sources are independent of each other shall be examined, and therefore their support for its existence. If it did exist, what it might have been will also be briefly considered.</w:t>
      </w:r>
    </w:p>
    <w:p w14:paraId="3F92ECD1" w14:textId="77777777" w:rsidR="00B740B7" w:rsidRDefault="00B740B7" w:rsidP="00B740B7">
      <w:pPr>
        <w:tabs>
          <w:tab w:val="left" w:pos="6144"/>
        </w:tabs>
        <w:jc w:val="both"/>
        <w:rPr>
          <w:b/>
          <w:bCs/>
        </w:rPr>
      </w:pPr>
    </w:p>
    <w:p w14:paraId="0293E8BE" w14:textId="77777777" w:rsidR="00B740B7" w:rsidRDefault="00B740B7" w:rsidP="00B740B7">
      <w:pPr>
        <w:tabs>
          <w:tab w:val="left" w:pos="6144"/>
        </w:tabs>
        <w:jc w:val="both"/>
        <w:rPr>
          <w:b/>
          <w:bCs/>
        </w:rPr>
      </w:pPr>
    </w:p>
    <w:p w14:paraId="66E09A58" w14:textId="77777777" w:rsidR="00B740B7" w:rsidRPr="000F47E5" w:rsidRDefault="00B740B7" w:rsidP="00B740B7">
      <w:pPr>
        <w:tabs>
          <w:tab w:val="left" w:pos="6144"/>
        </w:tabs>
        <w:jc w:val="both"/>
        <w:rPr>
          <w:b/>
          <w:bCs/>
        </w:rPr>
      </w:pPr>
      <w:r>
        <w:rPr>
          <w:b/>
          <w:bCs/>
        </w:rPr>
        <w:lastRenderedPageBreak/>
        <w:t>4.2. Sources</w:t>
      </w:r>
    </w:p>
    <w:p w14:paraId="518E0C24" w14:textId="77777777" w:rsidR="00B740B7" w:rsidRPr="009C44DB" w:rsidRDefault="00B740B7" w:rsidP="00B740B7">
      <w:pPr>
        <w:tabs>
          <w:tab w:val="left" w:pos="6144"/>
        </w:tabs>
        <w:jc w:val="both"/>
        <w:rPr>
          <w:u w:val="single"/>
        </w:rPr>
      </w:pPr>
      <w:r w:rsidRPr="009C44DB">
        <w:rPr>
          <w:u w:val="single"/>
        </w:rPr>
        <w:t xml:space="preserve">Di Situ Brecheiniauc </w:t>
      </w:r>
      <w:r>
        <w:rPr>
          <w:u w:val="single"/>
        </w:rPr>
        <w:t>(The Description of Brecon)</w:t>
      </w:r>
    </w:p>
    <w:p w14:paraId="5174A9AD" w14:textId="77777777" w:rsidR="00B740B7" w:rsidRDefault="00B740B7" w:rsidP="00B740B7">
      <w:pPr>
        <w:tabs>
          <w:tab w:val="left" w:pos="6144"/>
        </w:tabs>
        <w:jc w:val="both"/>
      </w:pPr>
      <w:r>
        <w:t>This is a historical text in Latin dating to at least the thirteenth century and perhaps copied from sources dating to the eleventh.</w:t>
      </w:r>
      <w:r>
        <w:rPr>
          <w:rStyle w:val="FootnoteReference"/>
        </w:rPr>
        <w:footnoteReference w:id="108"/>
      </w:r>
      <w:r>
        <w:t xml:space="preserve"> It outlines the pseudo-historical roots of the Kingdom of Brycheiniog, with its namesake ruler, Brychan, giving his son Cynog – who would become the saint – his </w:t>
      </w:r>
      <w:r>
        <w:rPr>
          <w:i/>
          <w:iCs/>
        </w:rPr>
        <w:t>armilla abrachio.</w:t>
      </w:r>
      <w:r>
        <w:rPr>
          <w:rStyle w:val="FootnoteReference"/>
          <w:i/>
          <w:iCs/>
        </w:rPr>
        <w:footnoteReference w:id="109"/>
      </w:r>
      <w:r>
        <w:rPr>
          <w:i/>
          <w:iCs/>
        </w:rPr>
        <w:t xml:space="preserve"> </w:t>
      </w:r>
      <w:r>
        <w:t>Evans translates this as a ‘torque from his arm.’</w:t>
      </w:r>
      <w:r>
        <w:rPr>
          <w:rStyle w:val="FootnoteReference"/>
        </w:rPr>
        <w:footnoteReference w:id="110"/>
      </w:r>
      <w:r>
        <w:t xml:space="preserve">  This departs from the  definition of torcs as neck-rings, but as has been shown in previous chapters, the boundaries between various objects to which </w:t>
      </w:r>
      <w:r w:rsidRPr="00B90D3F">
        <w:rPr>
          <w:i/>
          <w:iCs/>
        </w:rPr>
        <w:t>torque/torch</w:t>
      </w:r>
      <w:r>
        <w:t xml:space="preserve"> might refer are porous. </w:t>
      </w:r>
    </w:p>
    <w:p w14:paraId="039E4192" w14:textId="77777777" w:rsidR="00B740B7" w:rsidRDefault="00B740B7" w:rsidP="00B740B7">
      <w:pPr>
        <w:tabs>
          <w:tab w:val="left" w:pos="6144"/>
        </w:tabs>
        <w:jc w:val="both"/>
      </w:pPr>
      <w:r>
        <w:t>It does not describe this object, but the specificity of where it is worn is important, especially when compared with other sources for the torc. Most crucially, it states that the torc survives into the time of writing, among other relics. It could be argued that De situ either draws on existing, pseudo-historical or hagiographical traditions for the origins of the torc, or else develops a backstory for an extant object already associated with the Cynon legend.</w:t>
      </w:r>
      <w:r w:rsidRPr="008D1DF0">
        <w:t xml:space="preserve"> </w:t>
      </w:r>
      <w:r>
        <w:t>Either way, it is reasonable to conclude that the writer of de situ was aware of a real cult connected to a real object.</w:t>
      </w:r>
    </w:p>
    <w:p w14:paraId="69462AD8" w14:textId="77777777" w:rsidR="00B740B7" w:rsidRDefault="00B740B7" w:rsidP="00B740B7">
      <w:pPr>
        <w:tabs>
          <w:tab w:val="left" w:pos="6144"/>
        </w:tabs>
        <w:jc w:val="both"/>
        <w:rPr>
          <w:u w:val="single"/>
        </w:rPr>
      </w:pPr>
      <w:r>
        <w:rPr>
          <w:u w:val="single"/>
        </w:rPr>
        <w:t>Hywel Dafi’s</w:t>
      </w:r>
      <w:r w:rsidRPr="007F5114">
        <w:rPr>
          <w:u w:val="single"/>
        </w:rPr>
        <w:t xml:space="preserve">  St Cynog of Merthyr Cynog</w:t>
      </w:r>
    </w:p>
    <w:p w14:paraId="43E69223" w14:textId="77777777" w:rsidR="00B740B7" w:rsidRDefault="00B740B7" w:rsidP="00B740B7">
      <w:pPr>
        <w:tabs>
          <w:tab w:val="left" w:pos="6144"/>
        </w:tabs>
        <w:jc w:val="both"/>
      </w:pPr>
      <w:r>
        <w:t>This fifteenth century poem praises the life of St Cynan, listing his virtues and achievements. It suggests a far more expansive hagiographical tradition than is captured in either Gerald’s writing or De Situ, or else the poet invents it to a large extent. The Torc is of significant focus. It is described as welded together by Jesus himself; a holy weapon from Heaven to fight the Devil, an almost unbreakable object, though it mentions an ill-fated and ambiguously consequential attempt: ‘by breaking it, there was long-lasting trouble’ - which might correspond with Gerald’s account of attempted breaking. Interestingly, Dafi describes it as being in three parts, in this case fixed back together after breaking. This invites comparison with the later repairs on the Snettisham grotesque Torc, perhaps implying a reused and repurposed older object.</w:t>
      </w:r>
      <w:r>
        <w:rPr>
          <w:rStyle w:val="FootnoteReference"/>
        </w:rPr>
        <w:footnoteReference w:id="111"/>
      </w:r>
      <w:r>
        <w:t xml:space="preserve"> </w:t>
      </w:r>
    </w:p>
    <w:p w14:paraId="7F81113E" w14:textId="77777777" w:rsidR="00B740B7" w:rsidRDefault="00B740B7" w:rsidP="00B740B7">
      <w:pPr>
        <w:tabs>
          <w:tab w:val="left" w:pos="6144"/>
        </w:tabs>
        <w:jc w:val="both"/>
      </w:pPr>
      <w:r>
        <w:t>Dafi further elaborates the torc’s miraculous power. When St Cynog is decapitated, his body remains alive until the Torc is taken from beneath his shirt.</w:t>
      </w:r>
      <w:r>
        <w:rPr>
          <w:rStyle w:val="FootnoteReference"/>
        </w:rPr>
        <w:footnoteReference w:id="112"/>
      </w:r>
      <w:r>
        <w:t xml:space="preserve"> </w:t>
      </w:r>
    </w:p>
    <w:p w14:paraId="157F7123" w14:textId="77777777" w:rsidR="00B740B7" w:rsidRDefault="00B740B7" w:rsidP="00B740B7">
      <w:pPr>
        <w:tabs>
          <w:tab w:val="left" w:pos="6144"/>
        </w:tabs>
        <w:jc w:val="both"/>
        <w:rPr>
          <w:u w:val="single"/>
        </w:rPr>
      </w:pPr>
      <w:r w:rsidRPr="007F5114">
        <w:rPr>
          <w:u w:val="single"/>
        </w:rPr>
        <w:t>Dafydd Epynt’s St Cynog of Merthyr Cynog</w:t>
      </w:r>
    </w:p>
    <w:p w14:paraId="5523F7B2" w14:textId="77777777" w:rsidR="00B740B7" w:rsidRPr="00034D36" w:rsidRDefault="00B740B7" w:rsidP="00B740B7">
      <w:pPr>
        <w:tabs>
          <w:tab w:val="left" w:pos="6144"/>
        </w:tabs>
        <w:jc w:val="both"/>
      </w:pPr>
      <w:r>
        <w:t>Another c. 15 poem, this work seems to be drawing from the same tradition. Epynt also notes the power of the Torc to preserve the body of St Cynog after decapitation, though initially this is expressed in far more abstract terms – it is the ‘gold he wears on his bone’,</w:t>
      </w:r>
      <w:r>
        <w:rPr>
          <w:rStyle w:val="FootnoteReference"/>
        </w:rPr>
        <w:footnoteReference w:id="113"/>
      </w:r>
      <w:r>
        <w:t xml:space="preserve"> or the ‘gold in his </w:t>
      </w:r>
      <w:r>
        <w:lastRenderedPageBreak/>
        <w:t>hand’ which prevents his body from perishing.</w:t>
      </w:r>
      <w:r>
        <w:rPr>
          <w:rStyle w:val="FootnoteReference"/>
        </w:rPr>
        <w:footnoteReference w:id="114"/>
      </w:r>
      <w:r>
        <w:t xml:space="preserve"> Epynt describes the shape of the torc with a highly original and obscure phrase: ‘It is the name of the Word in Greek / A fair yellow O, like the one God.’</w:t>
      </w:r>
      <w:r>
        <w:rPr>
          <w:rStyle w:val="FootnoteReference"/>
        </w:rPr>
        <w:footnoteReference w:id="115"/>
      </w:r>
      <w:r>
        <w:t xml:space="preserve"> Lewis notes this refers to the Greek letter Omega, which looks like a torc, open with terminals.</w:t>
      </w:r>
      <w:r>
        <w:rPr>
          <w:rStyle w:val="FootnoteReference"/>
        </w:rPr>
        <w:footnoteReference w:id="116"/>
      </w:r>
    </w:p>
    <w:p w14:paraId="5FE25967" w14:textId="77777777" w:rsidR="00B740B7" w:rsidRPr="00641392" w:rsidRDefault="00B740B7" w:rsidP="00B740B7">
      <w:pPr>
        <w:tabs>
          <w:tab w:val="left" w:pos="6144"/>
        </w:tabs>
        <w:jc w:val="both"/>
        <w:rPr>
          <w:b/>
          <w:bCs/>
        </w:rPr>
      </w:pPr>
      <w:r>
        <w:rPr>
          <w:b/>
          <w:bCs/>
        </w:rPr>
        <w:t>4.3. Comparative analysis: the sources as independent confirmation of the torc</w:t>
      </w:r>
    </w:p>
    <w:p w14:paraId="098CBA49" w14:textId="77777777" w:rsidR="00B740B7" w:rsidRDefault="00B740B7" w:rsidP="00B740B7">
      <w:pPr>
        <w:tabs>
          <w:tab w:val="left" w:pos="6144"/>
        </w:tabs>
        <w:jc w:val="both"/>
      </w:pPr>
      <w:r>
        <w:t xml:space="preserve">Could Gerald have been influenced by De Situ? It was relatively contemporary with his floruit, or even earlier, so there is no reason to argue that he would not have read it. Gerald does not, however, rehearse any of the biographical and genealogical details with which De Situ is primarily concerned. Indeed, Gerald is arguably ambivalent as to the torc’s connection to St Cynog, saying only that it was </w:t>
      </w:r>
      <w:r w:rsidRPr="00A82F5C">
        <w:rPr>
          <w:i/>
          <w:iCs/>
        </w:rPr>
        <w:t>said</w:t>
      </w:r>
      <w:r>
        <w:t xml:space="preserve"> to be the saint’s.</w:t>
      </w:r>
      <w:r>
        <w:rPr>
          <w:rStyle w:val="FootnoteReference"/>
        </w:rPr>
        <w:footnoteReference w:id="117"/>
      </w:r>
      <w:r>
        <w:t xml:space="preserve"> Instead, he focuses on physical description wholly absent from de situ. It also seems unlikely that Gerald would change the Latin word used from </w:t>
      </w:r>
      <w:r w:rsidRPr="00C84F8C">
        <w:rPr>
          <w:i/>
          <w:iCs/>
        </w:rPr>
        <w:t>armilla</w:t>
      </w:r>
      <w:r>
        <w:t xml:space="preserve"> to </w:t>
      </w:r>
      <w:r w:rsidRPr="00C84F8C">
        <w:rPr>
          <w:i/>
          <w:iCs/>
        </w:rPr>
        <w:t>torque</w:t>
      </w:r>
      <w:r>
        <w:t xml:space="preserve"> if he had simply drawn from de situ. This suggests independent witness of the torc itself. Moreover, Gerald was the Arch-deacon of Brecon, so would have had close contact with the cult and the object, if it was there. He would not have needed to rely on other sources.</w:t>
      </w:r>
    </w:p>
    <w:p w14:paraId="76D32B47" w14:textId="77777777" w:rsidR="00B740B7" w:rsidRDefault="00B740B7" w:rsidP="00B740B7">
      <w:pPr>
        <w:tabs>
          <w:tab w:val="left" w:pos="6144"/>
        </w:tabs>
        <w:jc w:val="both"/>
      </w:pPr>
      <w:r>
        <w:t xml:space="preserve">What of the two poets? They both use the term </w:t>
      </w:r>
      <w:r w:rsidRPr="00B57F53">
        <w:rPr>
          <w:i/>
          <w:iCs/>
        </w:rPr>
        <w:t>torch</w:t>
      </w:r>
      <w:r>
        <w:t xml:space="preserve">, though it is not impossible that they could have translated the </w:t>
      </w:r>
      <w:r w:rsidRPr="004E7A6D">
        <w:rPr>
          <w:i/>
          <w:iCs/>
        </w:rPr>
        <w:t>armilla</w:t>
      </w:r>
      <w:r>
        <w:t xml:space="preserve"> of De Situ into the more poetic motif of the </w:t>
      </w:r>
      <w:r w:rsidRPr="004E7A6D">
        <w:rPr>
          <w:i/>
          <w:iCs/>
        </w:rPr>
        <w:t>eurdorch</w:t>
      </w:r>
      <w:r>
        <w:t xml:space="preserve">, thus connecting their work to a tradition going back to The Gododdin. Yet the poems do not use the torc as an epithet; like Gerald (and unlike earlier poets) they are quite concerned with the detail of the object itself. Therefore, it can be inferred that the contrasting terms of </w:t>
      </w:r>
      <w:r w:rsidRPr="00C84F8C">
        <w:rPr>
          <w:i/>
          <w:iCs/>
        </w:rPr>
        <w:t>torch/torque</w:t>
      </w:r>
      <w:r>
        <w:t xml:space="preserve"> and armilla reflect at the very least separate sources if not actual separate observations of the torc.</w:t>
      </w:r>
    </w:p>
    <w:p w14:paraId="1E303BCE" w14:textId="77777777" w:rsidR="00B740B7" w:rsidRPr="00641392" w:rsidRDefault="00B740B7" w:rsidP="00B740B7">
      <w:pPr>
        <w:tabs>
          <w:tab w:val="left" w:pos="6144"/>
        </w:tabs>
        <w:jc w:val="both"/>
        <w:rPr>
          <w:u w:val="single"/>
        </w:rPr>
      </w:pPr>
      <w:r w:rsidRPr="00641392">
        <w:rPr>
          <w:u w:val="single"/>
        </w:rPr>
        <w:t>Physical descriptions of the torc</w:t>
      </w:r>
    </w:p>
    <w:p w14:paraId="3B730ECD" w14:textId="77777777" w:rsidR="00B740B7" w:rsidRDefault="00B740B7" w:rsidP="00B740B7">
      <w:pPr>
        <w:tabs>
          <w:tab w:val="left" w:pos="6144"/>
        </w:tabs>
        <w:jc w:val="both"/>
      </w:pPr>
      <w:r>
        <w:t>Gerald’s is the only account to describe the dog motif. Such a detail should presumably have been picked up by the poets, but it is not, which might suggest that by the fifteenth century the torc was gone but descriptions of it remained, as well as a local cult (Gerald writes plainly that it was stolen in a military campaign and moved to Dinefwr,</w:t>
      </w:r>
      <w:r>
        <w:rPr>
          <w:rStyle w:val="FootnoteReference"/>
        </w:rPr>
        <w:footnoteReference w:id="118"/>
      </w:r>
      <w:r>
        <w:t xml:space="preserve"> although Lewis suggests this might be a second hand account).</w:t>
      </w:r>
      <w:r>
        <w:rPr>
          <w:rStyle w:val="FootnoteReference"/>
        </w:rPr>
        <w:footnoteReference w:id="119"/>
      </w:r>
      <w:r>
        <w:t xml:space="preserve"> However, if the poets, having not seen the torc themselves, drew instead from Gerald’s account, then the dog motif would surely have been included? Additionally, the poems include hagiographical details that do not appear in Gerald’s description. At the very least, they must have drawn from a range of sources, or encountered the still extant cult of the torc in their time, if not seen it themselves (or something that had come to stand in for the torc following the loss of the object seen by Gerald, perhaps: Hurlock notes that ‘both poets [were] local to the area of Cynog’s cult, suggesting that…it was still active.’)</w:t>
      </w:r>
      <w:r>
        <w:rPr>
          <w:rStyle w:val="FootnoteReference"/>
        </w:rPr>
        <w:footnoteReference w:id="120"/>
      </w:r>
    </w:p>
    <w:p w14:paraId="480B9475" w14:textId="77777777" w:rsidR="00B740B7" w:rsidRDefault="00B740B7" w:rsidP="00B740B7">
      <w:pPr>
        <w:tabs>
          <w:tab w:val="left" w:pos="6144"/>
        </w:tabs>
        <w:jc w:val="both"/>
      </w:pPr>
      <w:r>
        <w:t xml:space="preserve">The number of ‘parts’ of the torc differs between Gerald and Dafi: Gerald says it is in four parts while Dafi says three. This is arguably good evidence for independent eyewitness of the object. However, some caution is needed. Lewis suggests that Gerald was probably describing four intertwined threads (which would make it very typically a torc), while Dafi says the torc was </w:t>
      </w:r>
      <w:r>
        <w:lastRenderedPageBreak/>
        <w:t>broken into three parts.</w:t>
      </w:r>
      <w:r>
        <w:rPr>
          <w:rStyle w:val="FootnoteReference"/>
        </w:rPr>
        <w:footnoteReference w:id="121"/>
      </w:r>
      <w:r>
        <w:t xml:space="preserve"> This potentially allows for Dafi to be working from a description, written or oral, which might be based on Gerald, but misread and/or misinterpreted, conflating attempts to damage the torc and the description of its ‘parts.’ More likely, it draws from a potential established tradition of a torc broken in three parts, as discussed in relation to the Guto’r Glun poem in the previous chapter. This invites the possibility that Gerald also drew on this and other traditions. As previously discussed, Gerald claimed that the Lord Rhys stole Cynog’s torc: he had three sons, who, according to Gerald, imprisoned him as a direct, arguably divine result of this theft.</w:t>
      </w:r>
      <w:r>
        <w:rPr>
          <w:rStyle w:val="FootnoteReference"/>
        </w:rPr>
        <w:footnoteReference w:id="122"/>
      </w:r>
      <w:r w:rsidRPr="00766DE8">
        <w:t xml:space="preserve"> </w:t>
      </w:r>
      <w:r>
        <w:t xml:space="preserve">representing the division of </w:t>
      </w:r>
      <w:r w:rsidRPr="00B55E33">
        <w:t>Hywel ap Cynwrig ab Iorwerth Fychan</w:t>
      </w:r>
      <w:r>
        <w:t>’s three sons. This draws comparison with Guto’r Glyn’s Torc in three parts representing the three sons of</w:t>
      </w:r>
      <w:r w:rsidRPr="00766DE8">
        <w:rPr>
          <w:rFonts w:ascii="Calibri" w:eastAsia="Calibri" w:hAnsi="Calibri" w:cs="Calibri"/>
          <w:color w:val="050505"/>
          <w:kern w:val="0"/>
          <w:shd w:val="clear" w:color="auto" w:fill="FFFFFF"/>
          <w14:ligatures w14:val="none"/>
        </w:rPr>
        <w:t xml:space="preserve"> </w:t>
      </w:r>
      <w:r w:rsidRPr="00766DE8">
        <w:t>Hywel ap Cynwrig ab Iorwerth Fychan</w:t>
      </w:r>
      <w:r>
        <w:t>. It also bears similarity to the fateful consequences faced by Twr for killing Alyn and stealing his Torc.  Epynt, who is arguably drawing from the same milieu surrounding the object and/or its cult as Dafi, does not mention the theft or breaking of the torc at all, however.</w:t>
      </w:r>
    </w:p>
    <w:p w14:paraId="7F4B1901" w14:textId="77777777" w:rsidR="00B740B7" w:rsidRDefault="00B740B7" w:rsidP="00B740B7">
      <w:pPr>
        <w:tabs>
          <w:tab w:val="left" w:pos="6144"/>
        </w:tabs>
        <w:jc w:val="both"/>
      </w:pPr>
      <w:r>
        <w:t xml:space="preserve">Briefly returning to the torc in the Life of Gruffudd ap Cynan: Russell suggests that it might have some connection to St Cynog’s. Twr, who killed Alyn and took his torc, was thereafter known as </w:t>
      </w:r>
      <w:r w:rsidRPr="00256C2C">
        <w:rPr>
          <w:i/>
          <w:iCs/>
        </w:rPr>
        <w:t>Thurkiawl</w:t>
      </w:r>
      <w:r>
        <w:t>, perhaps an epithet for dog. Russell refers to Gerald’s description of the dog motif on St Cynog’s Torc and raises the question as to whether there might be a common legendary source for both torcs.</w:t>
      </w:r>
      <w:r>
        <w:rPr>
          <w:rStyle w:val="FootnoteReference"/>
        </w:rPr>
        <w:footnoteReference w:id="123"/>
      </w:r>
      <w:r>
        <w:t xml:space="preserve"> While the dog connection is far from convincing on its own, a comparison of both texts does also suggest a common tradition of torcs as having powers: Gerald recounts the seemingly supernatural consequences of stealing St Cynog’s torc – the loss of sight; In Vita Griffini, Twr’s knees lock and the torc sticks to his hands when he steals it, which causes people to venerate Alyn as a saint. While miraculous consequences for thieves of holy relics is common enough (indeed, Gerald has similar to say of the Horn of St Patrick, another relic supposedly at Merthyr Cynog), in this case the relic is a torc, and that is singularly rare. </w:t>
      </w:r>
    </w:p>
    <w:p w14:paraId="70A3EB80" w14:textId="5B8E70EE" w:rsidR="0039456E" w:rsidRDefault="00B740B7" w:rsidP="00B740B7">
      <w:pPr>
        <w:tabs>
          <w:tab w:val="left" w:pos="6144"/>
        </w:tabs>
        <w:jc w:val="both"/>
      </w:pPr>
      <w:r>
        <w:t xml:space="preserve">In summary, Gerald’s account is independent of De Situ. Whether the poems are sufficiently independent or draw from a source which misreads or misinterprets Gerald is more difficult to establish, but there are other differences between them and Gerald that nonetheless allow for other, independent sources in addition to him. It is reasonable therefore to conclude that there was something real at Merthyr Cynog for a time, and that this object was something to which the term </w:t>
      </w:r>
      <w:r w:rsidRPr="003A7D56">
        <w:rPr>
          <w:i/>
          <w:iCs/>
        </w:rPr>
        <w:t>torch</w:t>
      </w:r>
      <w:r>
        <w:t>/</w:t>
      </w:r>
      <w:r>
        <w:rPr>
          <w:i/>
          <w:iCs/>
        </w:rPr>
        <w:t>torque</w:t>
      </w:r>
      <w:r>
        <w:t xml:space="preserve"> fairly applied. </w:t>
      </w:r>
    </w:p>
    <w:p w14:paraId="3D42C42A" w14:textId="77777777" w:rsidR="0039456E" w:rsidRPr="004E2C9C" w:rsidRDefault="0039456E" w:rsidP="00B740B7">
      <w:pPr>
        <w:tabs>
          <w:tab w:val="left" w:pos="6144"/>
        </w:tabs>
        <w:jc w:val="both"/>
        <w:rPr>
          <w:sz w:val="18"/>
          <w:szCs w:val="18"/>
        </w:rPr>
      </w:pPr>
    </w:p>
    <w:p w14:paraId="69D6FF6D" w14:textId="77777777" w:rsidR="00B740B7" w:rsidRPr="00394C62" w:rsidRDefault="00B740B7" w:rsidP="00B740B7">
      <w:pPr>
        <w:tabs>
          <w:tab w:val="left" w:pos="6144"/>
        </w:tabs>
        <w:jc w:val="both"/>
        <w:rPr>
          <w:b/>
          <w:bCs/>
        </w:rPr>
      </w:pPr>
      <w:r w:rsidRPr="00394C62">
        <w:rPr>
          <w:b/>
          <w:bCs/>
        </w:rPr>
        <w:t xml:space="preserve">4.4. </w:t>
      </w:r>
      <w:bookmarkStart w:id="34" w:name="_Hlk170122283"/>
      <w:r w:rsidRPr="00394C62">
        <w:rPr>
          <w:b/>
          <w:bCs/>
        </w:rPr>
        <w:t>Was it a ‘torc’?</w:t>
      </w:r>
      <w:bookmarkEnd w:id="34"/>
    </w:p>
    <w:p w14:paraId="7811F74C" w14:textId="77777777" w:rsidR="00B740B7" w:rsidRDefault="00B740B7" w:rsidP="00B740B7">
      <w:pPr>
        <w:tabs>
          <w:tab w:val="left" w:pos="6144"/>
        </w:tabs>
        <w:jc w:val="both"/>
      </w:pPr>
      <w:r>
        <w:t>A La Tene-style relic, either passed down or rediscovered, must be possible. Indeed, such an object could be inferred from Gerald’s description specifically, as has been discussed. Cessford argues Gerald’s description is the best evidence for the survival of a Torc into the middle ages and agrees that it ‘seems to be of a pre-roman torc.’</w:t>
      </w:r>
      <w:r>
        <w:rPr>
          <w:rStyle w:val="FootnoteReference"/>
        </w:rPr>
        <w:footnoteReference w:id="124"/>
      </w:r>
      <w:r>
        <w:t xml:space="preserve"> It is also difficult not to see a quintessential torc in the omega-shaped object Epynt describes, but such imagery is highly abstract and imaginative.  </w:t>
      </w:r>
    </w:p>
    <w:p w14:paraId="644924BB" w14:textId="1633F9C4" w:rsidR="00B740B7" w:rsidRDefault="00B740B7" w:rsidP="00B740B7">
      <w:pPr>
        <w:tabs>
          <w:tab w:val="left" w:pos="6144"/>
        </w:tabs>
        <w:jc w:val="both"/>
      </w:pPr>
      <w:r>
        <w:t xml:space="preserve">It could also have been a </w:t>
      </w:r>
      <w:r w:rsidRPr="009725B2">
        <w:t xml:space="preserve">Viking </w:t>
      </w:r>
      <w:r w:rsidR="009725B2">
        <w:t>object</w:t>
      </w:r>
      <w:r>
        <w:t xml:space="preserve">. T.D. Kendrick, who wrote about Viking History and after 1950 was the Director of the British Museum, thought it could be Welsh or Irish work of the Viking </w:t>
      </w:r>
      <w:r>
        <w:lastRenderedPageBreak/>
        <w:t>period (c10-11),</w:t>
      </w:r>
      <w:r>
        <w:rPr>
          <w:rStyle w:val="FootnoteReference"/>
        </w:rPr>
        <w:footnoteReference w:id="125"/>
      </w:r>
      <w:r>
        <w:t xml:space="preserve"> by which he might have meant a Viking-style object, or even perhaps of Viking Dublin, since it is highly unlikely that the torc was part of Welsh material culture by this time. Lewis notes the alternative theory of Hugh Thomas that it could have been a penitential band, made by Cynog himself.</w:t>
      </w:r>
      <w:r>
        <w:rPr>
          <w:rStyle w:val="FootnoteReference"/>
        </w:rPr>
        <w:footnoteReference w:id="126"/>
      </w:r>
      <w:r>
        <w:t xml:space="preserve"> Given the specific design and function of such bands – a c15 example shows the straps and inward facing spikes that would have dug into the ankle</w:t>
      </w:r>
      <w:r>
        <w:rPr>
          <w:rStyle w:val="FootnoteReference"/>
        </w:rPr>
        <w:footnoteReference w:id="127"/>
      </w:r>
      <w:r>
        <w:t xml:space="preserve"> - it does not seem to be a credible candidate, too discreetly worn to be revered as a torc. Even if it were, the cult of the saint, as well as the literature about the object, appears to have recast it as a torc in the grander sense and style in any case.</w:t>
      </w:r>
      <w:r w:rsidR="009725B2">
        <w:t xml:space="preserve"> That the Description of Brecon calls it an arm-ring complicates the matter somewhat, and requires a broader definition of the Iron-age torc in order to be connected with it. Nonetheless, Iron-age arm-rings with the same design and manufacturing features as neck-rings could feasibly be contained in this definition</w:t>
      </w:r>
      <w:r w:rsidR="00287950">
        <w:t>, and have been found alongside torcs proper in Iron-age hoards</w:t>
      </w:r>
      <w:r w:rsidR="009725B2">
        <w:t>.</w:t>
      </w:r>
    </w:p>
    <w:p w14:paraId="6512F92A" w14:textId="77777777" w:rsidR="00B740B7" w:rsidRDefault="00B740B7" w:rsidP="00B740B7">
      <w:pPr>
        <w:tabs>
          <w:tab w:val="left" w:pos="6144"/>
        </w:tabs>
        <w:jc w:val="both"/>
      </w:pPr>
      <w:r>
        <w:t>Whatever it was, as a saint’s relic the Torc appears in a very different context to those of heroic literature. However, some comparisons can still be made. St Cynog’s Torc is seen in an antiquarian light, belonging to and connecting its devotees with the past. As a symbolic weapon against evil it could be argued to retain some of the martial significance of heroic age torcs, and the poetic image of Christ as the torc’s goldsmith could be said to evoke the reverence Allcock describes early medieval literature as having towards such craftsmen (‘‘respect, not unmixed with awe’, if not actual superstitious dread’)</w:t>
      </w:r>
      <w:r>
        <w:rPr>
          <w:rStyle w:val="FootnoteReference"/>
        </w:rPr>
        <w:footnoteReference w:id="128"/>
      </w:r>
      <w:r>
        <w:t xml:space="preserve"> Additionally, the torc only derives its power and symbolic status from being connected to a saint, and to a King of ages past. This is not dissimilar to the Torcs of heroic literature, notable in their lack of description, serving mainly to illustrate the qualities of the warriors who wore them. </w:t>
      </w:r>
    </w:p>
    <w:p w14:paraId="23EDBB4B" w14:textId="77777777" w:rsidR="00B740B7" w:rsidRPr="00BF345A" w:rsidRDefault="00B740B7" w:rsidP="00B740B7">
      <w:pPr>
        <w:tabs>
          <w:tab w:val="left" w:pos="6144"/>
        </w:tabs>
        <w:jc w:val="both"/>
        <w:rPr>
          <w:b/>
          <w:bCs/>
        </w:rPr>
      </w:pPr>
      <w:r>
        <w:rPr>
          <w:b/>
          <w:bCs/>
        </w:rPr>
        <w:t xml:space="preserve">4.5. </w:t>
      </w:r>
      <w:r w:rsidRPr="00BF345A">
        <w:rPr>
          <w:b/>
          <w:bCs/>
        </w:rPr>
        <w:t>Concluding remarks</w:t>
      </w:r>
    </w:p>
    <w:p w14:paraId="7236E976" w14:textId="76B4EBBF" w:rsidR="00B740B7" w:rsidRDefault="00B740B7" w:rsidP="00B740B7">
      <w:pPr>
        <w:tabs>
          <w:tab w:val="left" w:pos="6144"/>
        </w:tabs>
        <w:jc w:val="both"/>
      </w:pPr>
      <w:r>
        <w:t>Day argues that St Cynog’s Torc gave the medieval Welsh the opportunity to see the torc of their poems and prose for real, with their own eyes, even if it was no longer worn around the necks of their princes.</w:t>
      </w:r>
      <w:r>
        <w:rPr>
          <w:rStyle w:val="FootnoteReference"/>
        </w:rPr>
        <w:footnoteReference w:id="129"/>
      </w:r>
      <w:r>
        <w:t xml:space="preserve"> Such an opportunity does not seem to have been widely known, however, and there is no evidence for similar torcs being curated as heirlooms or relics in religious or secular contexts in Wales. Hurlock agrees that ‘its reach was local.’</w:t>
      </w:r>
      <w:r>
        <w:rPr>
          <w:rStyle w:val="FootnoteReference"/>
        </w:rPr>
        <w:footnoteReference w:id="130"/>
      </w:r>
      <w:r>
        <w:t xml:space="preserve"> It therefore seems likely that St Cynog’s Torc was a one-off object, attracting its own legendary history and local cult. But it was most likely a real object, or objects, and it is reasonable to suggest that it could have been an iron-age torc, either passed down or discovered. St Cynog’s torc may well have been the only extant ‘true’ torc in medieval Wales.</w:t>
      </w:r>
    </w:p>
    <w:p w14:paraId="3FA73D11" w14:textId="7F90BD97" w:rsidR="00B740B7" w:rsidRDefault="00B740B7" w:rsidP="00B740B7">
      <w:pPr>
        <w:tabs>
          <w:tab w:val="left" w:pos="6144"/>
        </w:tabs>
        <w:jc w:val="both"/>
      </w:pPr>
    </w:p>
    <w:p w14:paraId="0DDE8FEB" w14:textId="77777777" w:rsidR="00B740B7" w:rsidRDefault="00B740B7" w:rsidP="00B740B7">
      <w:pPr>
        <w:tabs>
          <w:tab w:val="left" w:pos="6144"/>
        </w:tabs>
        <w:jc w:val="both"/>
      </w:pPr>
    </w:p>
    <w:p w14:paraId="36E8A4EA" w14:textId="796836DC" w:rsidR="004B0C82" w:rsidRDefault="004E2C9C" w:rsidP="00AC1730">
      <w:pPr>
        <w:rPr>
          <w:rFonts w:ascii="Calibri" w:hAnsi="Calibri" w:cs="Calibri"/>
          <w:b/>
          <w:bCs/>
        </w:rPr>
      </w:pPr>
      <w:r>
        <w:rPr>
          <w:noProof/>
        </w:rPr>
        <w:lastRenderedPageBreak/>
        <w:drawing>
          <wp:anchor distT="0" distB="0" distL="114300" distR="114300" simplePos="0" relativeHeight="251669504" behindDoc="0" locked="0" layoutInCell="1" allowOverlap="1" wp14:anchorId="2E0D9753" wp14:editId="133E6DAB">
            <wp:simplePos x="0" y="0"/>
            <wp:positionH relativeFrom="column">
              <wp:posOffset>0</wp:posOffset>
            </wp:positionH>
            <wp:positionV relativeFrom="paragraph">
              <wp:posOffset>285750</wp:posOffset>
            </wp:positionV>
            <wp:extent cx="2110740" cy="1960880"/>
            <wp:effectExtent l="0" t="0" r="3810" b="1270"/>
            <wp:wrapSquare wrapText="bothSides"/>
            <wp:docPr id="1492350509" name="Picture 1" descr="The Trichtingen Tor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350509" name="Picture 1" descr="The Trichtingen Torc"/>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10740" cy="1960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314692" w14:textId="77777777" w:rsidR="004E2C9C" w:rsidRDefault="004E2C9C" w:rsidP="00BF472D">
      <w:pPr>
        <w:jc w:val="both"/>
        <w:rPr>
          <w:b/>
          <w:bCs/>
        </w:rPr>
      </w:pPr>
    </w:p>
    <w:p w14:paraId="1E75C08B" w14:textId="77777777" w:rsidR="004E2C9C" w:rsidRDefault="004E2C9C" w:rsidP="00BF472D">
      <w:pPr>
        <w:jc w:val="both"/>
        <w:rPr>
          <w:b/>
          <w:bCs/>
        </w:rPr>
      </w:pPr>
    </w:p>
    <w:p w14:paraId="0CD12846" w14:textId="77777777" w:rsidR="004E2C9C" w:rsidRDefault="004E2C9C" w:rsidP="004E2C9C">
      <w:pPr>
        <w:jc w:val="center"/>
        <w:rPr>
          <w:b/>
          <w:bCs/>
        </w:rPr>
      </w:pPr>
    </w:p>
    <w:p w14:paraId="38A17541" w14:textId="77777777" w:rsidR="004E2C9C" w:rsidRDefault="004E2C9C" w:rsidP="00BF472D">
      <w:pPr>
        <w:jc w:val="both"/>
        <w:rPr>
          <w:b/>
          <w:bCs/>
        </w:rPr>
      </w:pPr>
    </w:p>
    <w:p w14:paraId="3ED7EEDC" w14:textId="77777777" w:rsidR="004E2C9C" w:rsidRDefault="004E2C9C" w:rsidP="00BF472D">
      <w:pPr>
        <w:jc w:val="both"/>
        <w:rPr>
          <w:b/>
          <w:bCs/>
        </w:rPr>
      </w:pPr>
    </w:p>
    <w:p w14:paraId="6702AB9B" w14:textId="77777777" w:rsidR="004E2C9C" w:rsidRDefault="004E2C9C" w:rsidP="00BF472D">
      <w:pPr>
        <w:jc w:val="both"/>
        <w:rPr>
          <w:b/>
          <w:bCs/>
        </w:rPr>
      </w:pPr>
    </w:p>
    <w:p w14:paraId="5444F9F3" w14:textId="77777777" w:rsidR="004E2C9C" w:rsidRDefault="004E2C9C" w:rsidP="00BF472D">
      <w:pPr>
        <w:jc w:val="both"/>
        <w:rPr>
          <w:b/>
          <w:bCs/>
        </w:rPr>
      </w:pPr>
    </w:p>
    <w:tbl>
      <w:tblPr>
        <w:tblStyle w:val="TableGrid"/>
        <w:tblpPr w:leftFromText="180" w:rightFromText="180" w:vertAnchor="text" w:horzAnchor="margin" w:tblpY="139"/>
        <w:tblW w:w="0" w:type="auto"/>
        <w:tblLook w:val="04A0" w:firstRow="1" w:lastRow="0" w:firstColumn="1" w:lastColumn="0" w:noHBand="0" w:noVBand="1"/>
      </w:tblPr>
      <w:tblGrid>
        <w:gridCol w:w="2573"/>
      </w:tblGrid>
      <w:tr w:rsidR="004E2C9C" w14:paraId="6CA76C0B" w14:textId="77777777" w:rsidTr="004E2C9C">
        <w:trPr>
          <w:trHeight w:val="363"/>
        </w:trPr>
        <w:tc>
          <w:tcPr>
            <w:tcW w:w="2573" w:type="dxa"/>
          </w:tcPr>
          <w:p w14:paraId="72ACDD01" w14:textId="77777777" w:rsidR="004E2C9C" w:rsidRDefault="004E2C9C" w:rsidP="004E2C9C">
            <w:pPr>
              <w:rPr>
                <w:i/>
                <w:iCs/>
              </w:rPr>
            </w:pPr>
            <w:bookmarkStart w:id="36" w:name="_Hlk170132823"/>
            <w:r w:rsidRPr="00034D36">
              <w:rPr>
                <w:i/>
                <w:iCs/>
              </w:rPr>
              <w:t>The Trichtingen Torc</w:t>
            </w:r>
            <w:bookmarkEnd w:id="36"/>
            <w:r>
              <w:rPr>
                <w:rStyle w:val="FootnoteReference"/>
                <w:i/>
                <w:iCs/>
              </w:rPr>
              <w:footnoteReference w:id="131"/>
            </w:r>
          </w:p>
        </w:tc>
      </w:tr>
    </w:tbl>
    <w:p w14:paraId="2AB21290" w14:textId="77777777" w:rsidR="004E2C9C" w:rsidRDefault="004E2C9C" w:rsidP="00BF472D">
      <w:pPr>
        <w:jc w:val="both"/>
        <w:rPr>
          <w:b/>
          <w:bCs/>
        </w:rPr>
      </w:pPr>
    </w:p>
    <w:p w14:paraId="6A1ED7D8" w14:textId="77777777" w:rsidR="004E2C9C" w:rsidRDefault="004E2C9C" w:rsidP="00BF472D">
      <w:pPr>
        <w:jc w:val="both"/>
        <w:rPr>
          <w:b/>
          <w:bCs/>
        </w:rPr>
      </w:pPr>
    </w:p>
    <w:p w14:paraId="51F27140" w14:textId="77777777" w:rsidR="00AC1730" w:rsidRDefault="00AC1730" w:rsidP="00BF472D">
      <w:pPr>
        <w:jc w:val="both"/>
        <w:rPr>
          <w:b/>
          <w:bCs/>
        </w:rPr>
      </w:pPr>
    </w:p>
    <w:p w14:paraId="6339352A" w14:textId="77777777" w:rsidR="00AC1730" w:rsidRDefault="00AC1730" w:rsidP="00BF472D">
      <w:pPr>
        <w:jc w:val="both"/>
        <w:rPr>
          <w:b/>
          <w:bCs/>
        </w:rPr>
      </w:pPr>
    </w:p>
    <w:p w14:paraId="7CC462BE" w14:textId="77777777" w:rsidR="00AC1730" w:rsidRDefault="00AC1730" w:rsidP="00BF472D">
      <w:pPr>
        <w:jc w:val="both"/>
        <w:rPr>
          <w:b/>
          <w:bCs/>
        </w:rPr>
      </w:pPr>
    </w:p>
    <w:p w14:paraId="327C2040" w14:textId="77777777" w:rsidR="00AC1730" w:rsidRDefault="00AC1730" w:rsidP="00BF472D">
      <w:pPr>
        <w:jc w:val="both"/>
        <w:rPr>
          <w:b/>
          <w:bCs/>
        </w:rPr>
      </w:pPr>
    </w:p>
    <w:p w14:paraId="699784A0" w14:textId="77777777" w:rsidR="00AC1730" w:rsidRDefault="00AC1730" w:rsidP="00BF472D">
      <w:pPr>
        <w:jc w:val="both"/>
        <w:rPr>
          <w:b/>
          <w:bCs/>
        </w:rPr>
      </w:pPr>
    </w:p>
    <w:p w14:paraId="34318826" w14:textId="77777777" w:rsidR="00AC1730" w:rsidRDefault="00AC1730" w:rsidP="00BF472D">
      <w:pPr>
        <w:jc w:val="both"/>
        <w:rPr>
          <w:b/>
          <w:bCs/>
        </w:rPr>
      </w:pPr>
    </w:p>
    <w:p w14:paraId="31914380" w14:textId="77777777" w:rsidR="00AC1730" w:rsidRDefault="00AC1730" w:rsidP="00BF472D">
      <w:pPr>
        <w:jc w:val="both"/>
        <w:rPr>
          <w:b/>
          <w:bCs/>
        </w:rPr>
      </w:pPr>
    </w:p>
    <w:p w14:paraId="5B1B792D" w14:textId="77777777" w:rsidR="00AC1730" w:rsidRDefault="00AC1730" w:rsidP="00BF472D">
      <w:pPr>
        <w:jc w:val="both"/>
        <w:rPr>
          <w:b/>
          <w:bCs/>
        </w:rPr>
      </w:pPr>
    </w:p>
    <w:p w14:paraId="7391E61F" w14:textId="77777777" w:rsidR="00AC1730" w:rsidRDefault="00AC1730" w:rsidP="00BF472D">
      <w:pPr>
        <w:jc w:val="both"/>
        <w:rPr>
          <w:b/>
          <w:bCs/>
        </w:rPr>
      </w:pPr>
    </w:p>
    <w:p w14:paraId="1BCEC016" w14:textId="77777777" w:rsidR="00AC1730" w:rsidRDefault="00AC1730" w:rsidP="00BF472D">
      <w:pPr>
        <w:jc w:val="both"/>
        <w:rPr>
          <w:b/>
          <w:bCs/>
        </w:rPr>
      </w:pPr>
    </w:p>
    <w:p w14:paraId="0A10C26E" w14:textId="77777777" w:rsidR="00AC1730" w:rsidRDefault="00AC1730" w:rsidP="00BF472D">
      <w:pPr>
        <w:jc w:val="both"/>
        <w:rPr>
          <w:b/>
          <w:bCs/>
        </w:rPr>
      </w:pPr>
    </w:p>
    <w:p w14:paraId="50EB3EA4" w14:textId="77777777" w:rsidR="00AC1730" w:rsidRDefault="00AC1730" w:rsidP="00BF472D">
      <w:pPr>
        <w:jc w:val="both"/>
        <w:rPr>
          <w:b/>
          <w:bCs/>
        </w:rPr>
      </w:pPr>
    </w:p>
    <w:p w14:paraId="7C464E16" w14:textId="77777777" w:rsidR="00AC1730" w:rsidRDefault="00AC1730" w:rsidP="00BF472D">
      <w:pPr>
        <w:jc w:val="both"/>
        <w:rPr>
          <w:b/>
          <w:bCs/>
        </w:rPr>
      </w:pPr>
    </w:p>
    <w:p w14:paraId="04AD10F9" w14:textId="77777777" w:rsidR="00AC1730" w:rsidRDefault="00AC1730" w:rsidP="00BF472D">
      <w:pPr>
        <w:jc w:val="both"/>
        <w:rPr>
          <w:b/>
          <w:bCs/>
        </w:rPr>
      </w:pPr>
    </w:p>
    <w:p w14:paraId="4743433B" w14:textId="77777777" w:rsidR="00AC1730" w:rsidRDefault="00AC1730" w:rsidP="00BF472D">
      <w:pPr>
        <w:jc w:val="both"/>
        <w:rPr>
          <w:b/>
          <w:bCs/>
        </w:rPr>
      </w:pPr>
    </w:p>
    <w:p w14:paraId="5F809036" w14:textId="77777777" w:rsidR="00AC1730" w:rsidRDefault="00AC1730" w:rsidP="00BF472D">
      <w:pPr>
        <w:jc w:val="both"/>
        <w:rPr>
          <w:b/>
          <w:bCs/>
        </w:rPr>
      </w:pPr>
    </w:p>
    <w:p w14:paraId="6339F441" w14:textId="77777777" w:rsidR="00AC1730" w:rsidRDefault="00AC1730" w:rsidP="00BF472D">
      <w:pPr>
        <w:jc w:val="both"/>
        <w:rPr>
          <w:b/>
          <w:bCs/>
        </w:rPr>
      </w:pPr>
    </w:p>
    <w:p w14:paraId="0EFC2DCB" w14:textId="77777777" w:rsidR="00AC1730" w:rsidRDefault="00AC1730" w:rsidP="00BF472D">
      <w:pPr>
        <w:jc w:val="both"/>
        <w:rPr>
          <w:b/>
          <w:bCs/>
        </w:rPr>
      </w:pPr>
    </w:p>
    <w:p w14:paraId="64417800" w14:textId="77777777" w:rsidR="00AC1730" w:rsidRDefault="00AC1730" w:rsidP="00BF472D">
      <w:pPr>
        <w:jc w:val="both"/>
        <w:rPr>
          <w:b/>
          <w:bCs/>
        </w:rPr>
      </w:pPr>
    </w:p>
    <w:p w14:paraId="13B0436F" w14:textId="7B75761F" w:rsidR="000E6922" w:rsidRPr="00BF472D" w:rsidRDefault="000E6922" w:rsidP="00BF472D">
      <w:pPr>
        <w:jc w:val="both"/>
        <w:rPr>
          <w:i/>
          <w:iCs/>
        </w:rPr>
      </w:pPr>
      <w:r w:rsidRPr="00161016">
        <w:rPr>
          <w:b/>
          <w:bCs/>
        </w:rPr>
        <w:lastRenderedPageBreak/>
        <w:t>Conclusion</w:t>
      </w:r>
    </w:p>
    <w:p w14:paraId="6C17BA36" w14:textId="77777777" w:rsidR="000E6922" w:rsidRDefault="000E6922" w:rsidP="000E6922">
      <w:pPr>
        <w:jc w:val="both"/>
        <w:rPr>
          <w:rFonts w:ascii="Calibri" w:hAnsi="Calibri" w:cs="Calibri"/>
        </w:rPr>
      </w:pPr>
      <w:r>
        <w:rPr>
          <w:rFonts w:ascii="Calibri" w:hAnsi="Calibri" w:cs="Calibri"/>
        </w:rPr>
        <w:t>Having analysed and compared various primary sources and considered secondary literature, several conclusions can be made regarding the research questions asked in this dissertation.</w:t>
      </w:r>
    </w:p>
    <w:p w14:paraId="654F8EFE" w14:textId="77777777" w:rsidR="000E6922" w:rsidRPr="00341F89" w:rsidRDefault="000E6922" w:rsidP="000E6922">
      <w:pPr>
        <w:jc w:val="both"/>
        <w:rPr>
          <w:rFonts w:ascii="Calibri" w:hAnsi="Calibri" w:cs="Calibri"/>
        </w:rPr>
      </w:pPr>
      <w:r w:rsidRPr="00F5534B">
        <w:rPr>
          <w:rFonts w:ascii="Calibri" w:hAnsi="Calibri" w:cs="Calibri"/>
        </w:rPr>
        <w:t xml:space="preserve">The Gododdin poem </w:t>
      </w:r>
      <w:r>
        <w:rPr>
          <w:rFonts w:ascii="Calibri" w:hAnsi="Calibri" w:cs="Calibri"/>
        </w:rPr>
        <w:t xml:space="preserve">most likely does </w:t>
      </w:r>
      <w:r w:rsidRPr="00F5534B">
        <w:rPr>
          <w:rFonts w:ascii="Calibri" w:hAnsi="Calibri" w:cs="Calibri"/>
        </w:rPr>
        <w:t>refer to iron-age torcs</w:t>
      </w:r>
      <w:r>
        <w:rPr>
          <w:rFonts w:ascii="Calibri" w:hAnsi="Calibri" w:cs="Calibri"/>
        </w:rPr>
        <w:t xml:space="preserve">, or at least objects that existed in society at the time of its composition, which may have in turn inspired or been inspired by the </w:t>
      </w:r>
      <w:r>
        <w:rPr>
          <w:rFonts w:ascii="Calibri" w:hAnsi="Calibri" w:cs="Calibri"/>
          <w:i/>
          <w:iCs/>
        </w:rPr>
        <w:t xml:space="preserve">eurdorch </w:t>
      </w:r>
      <w:r>
        <w:rPr>
          <w:rFonts w:ascii="Calibri" w:hAnsi="Calibri" w:cs="Calibri"/>
        </w:rPr>
        <w:t xml:space="preserve"> of heroic poetry. Objects with this connection can be argued for each possible dating of the poem, from the Pictish torc-like brooches and silver chains of the 6</w:t>
      </w:r>
      <w:r w:rsidRPr="00524B04">
        <w:rPr>
          <w:rFonts w:ascii="Calibri" w:hAnsi="Calibri" w:cs="Calibri"/>
          <w:vertAlign w:val="superscript"/>
        </w:rPr>
        <w:t>th</w:t>
      </w:r>
      <w:r>
        <w:rPr>
          <w:rFonts w:ascii="Calibri" w:hAnsi="Calibri" w:cs="Calibri"/>
        </w:rPr>
        <w:t xml:space="preserve"> century to Viking neck-rings in the later first millennium C.E. Even if this connection could not be made, the context of torcs in the Gododdin Poem compares with that of Iron-age Torc-wearing; and even more so with collectively torqued mounted Roman units stationed near, and interacting with, the Votadini, the predecessors of the Gododdin. It can therefore be established that the epithet </w:t>
      </w:r>
      <w:r>
        <w:rPr>
          <w:rFonts w:ascii="Calibri" w:hAnsi="Calibri" w:cs="Calibri"/>
          <w:i/>
          <w:iCs/>
        </w:rPr>
        <w:t xml:space="preserve">Eurdorchogion </w:t>
      </w:r>
      <w:r>
        <w:rPr>
          <w:rFonts w:ascii="Calibri" w:hAnsi="Calibri" w:cs="Calibri"/>
        </w:rPr>
        <w:t>is most likely a collective term for the warband of the Gododdin, and whether it actually possessed torcs as its Roman forebears did, the torc was nonetheless a unit of its identity as a cohesive fighting force.</w:t>
      </w:r>
    </w:p>
    <w:p w14:paraId="382D9D56" w14:textId="77777777" w:rsidR="000E6922" w:rsidRDefault="000E6922" w:rsidP="000E6922">
      <w:pPr>
        <w:jc w:val="both"/>
        <w:rPr>
          <w:rFonts w:ascii="Calibri" w:hAnsi="Calibri" w:cs="Calibri"/>
        </w:rPr>
      </w:pPr>
      <w:r>
        <w:rPr>
          <w:rFonts w:ascii="Calibri" w:hAnsi="Calibri" w:cs="Calibri"/>
        </w:rPr>
        <w:t xml:space="preserve">Later Welsh poetry appears to mostly draw its use of torcs from early heroic poetry. The torc, therefore, in the later Middle Ages becomes a signifier of antiquity, perhaps a historic or legendary sense of ancient Brittonic identity, and of course the heroic ideal. Prose texts vary in their use of Torcs, but these either conform to these same conventions, or else can be considered evidence of a more general use of torc-related terms. Nonetheless, it is reasonable to conclude that in specific contexts, and paired with other genre motifs of heroic literature, the torc did become a specific object in the minds of the audience/reader. </w:t>
      </w:r>
    </w:p>
    <w:p w14:paraId="48F9B7C5" w14:textId="77777777" w:rsidR="000E6922" w:rsidRDefault="000E6922" w:rsidP="000E6922">
      <w:pPr>
        <w:jc w:val="both"/>
        <w:rPr>
          <w:rFonts w:ascii="Calibri" w:hAnsi="Calibri" w:cs="Calibri"/>
        </w:rPr>
      </w:pPr>
      <w:r>
        <w:rPr>
          <w:rFonts w:ascii="Calibri" w:hAnsi="Calibri" w:cs="Calibri"/>
        </w:rPr>
        <w:t xml:space="preserve">One such example is the Torc of St Cynog. It can be concluded that the Torc existed, indeed that it is the only object referred to as a Torc in the entire Welsh Middle Ages which can be relatively well verified. It can also be argued with some confidence that it was an Iron-age object, though it might not have been a Torc worn around the neck. </w:t>
      </w:r>
    </w:p>
    <w:p w14:paraId="2F0BDE01" w14:textId="77777777" w:rsidR="000E6922" w:rsidRDefault="000E6922" w:rsidP="000E6922">
      <w:pPr>
        <w:jc w:val="both"/>
      </w:pPr>
      <w:r>
        <w:t>Further research would encompass Irish, as well as a more comprehensive survey of both Welsh and Latin literatures. It would also be interesting to explore post-medieval literary torcs and assess to what extent they can be considered a symbol of ‘Celtic’ continuity, a potentially useful  contribution to the debate on the validity of the entire ‘Celtic’ paradigm.</w:t>
      </w:r>
    </w:p>
    <w:p w14:paraId="0802C15F" w14:textId="77777777" w:rsidR="00AC1730" w:rsidRDefault="00AC1730" w:rsidP="00E472E7">
      <w:pPr>
        <w:jc w:val="both"/>
        <w:rPr>
          <w:rFonts w:ascii="Calibri" w:hAnsi="Calibri" w:cs="Calibri"/>
          <w:b/>
          <w:bCs/>
          <w:sz w:val="24"/>
          <w:szCs w:val="24"/>
        </w:rPr>
      </w:pPr>
    </w:p>
    <w:p w14:paraId="2D9E2A91" w14:textId="0840F58F" w:rsidR="00D44ACD" w:rsidRPr="000E6922" w:rsidRDefault="00D44ACD" w:rsidP="00E472E7">
      <w:pPr>
        <w:jc w:val="both"/>
        <w:rPr>
          <w:rFonts w:ascii="Calibri" w:hAnsi="Calibri" w:cs="Calibri"/>
          <w:b/>
          <w:bCs/>
          <w:sz w:val="24"/>
          <w:szCs w:val="24"/>
        </w:rPr>
      </w:pPr>
      <w:r w:rsidRPr="000E6922">
        <w:rPr>
          <w:rFonts w:ascii="Calibri" w:hAnsi="Calibri" w:cs="Calibri"/>
          <w:b/>
          <w:bCs/>
          <w:sz w:val="24"/>
          <w:szCs w:val="24"/>
        </w:rPr>
        <w:t>Bibliography</w:t>
      </w:r>
    </w:p>
    <w:p w14:paraId="14FBB987" w14:textId="77777777" w:rsidR="009D7E17" w:rsidRPr="005A1933" w:rsidRDefault="009D7E17" w:rsidP="002451F7">
      <w:pPr>
        <w:ind w:left="284" w:hanging="284"/>
        <w:rPr>
          <w:rFonts w:ascii="Calibri" w:hAnsi="Calibri" w:cs="Calibri"/>
        </w:rPr>
      </w:pPr>
      <w:bookmarkStart w:id="37" w:name="_Hlk170047693"/>
      <w:r w:rsidRPr="005A1933">
        <w:rPr>
          <w:rFonts w:ascii="Calibri" w:hAnsi="Calibri" w:cs="Calibri"/>
          <w:i/>
          <w:iCs/>
        </w:rPr>
        <w:t xml:space="preserve">Aberlemno Sculptured Stones, </w:t>
      </w:r>
      <w:r w:rsidRPr="005A1933">
        <w:rPr>
          <w:rFonts w:ascii="Calibri" w:hAnsi="Calibri" w:cs="Calibri"/>
        </w:rPr>
        <w:t xml:space="preserve">Historic Environment Scotland, </w:t>
      </w:r>
      <w:hyperlink r:id="rId24" w:history="1">
        <w:r w:rsidRPr="005A1933">
          <w:rPr>
            <w:rStyle w:val="Hyperlink"/>
            <w:rFonts w:ascii="Calibri" w:hAnsi="Calibri" w:cs="Calibri"/>
          </w:rPr>
          <w:t>https://www.historicenvironment.scot/visit-a-place/places/aberlemno-sculptured-stones/</w:t>
        </w:r>
      </w:hyperlink>
      <w:r w:rsidRPr="005A1933">
        <w:rPr>
          <w:rFonts w:ascii="Calibri" w:hAnsi="Calibri" w:cs="Calibri"/>
        </w:rPr>
        <w:t xml:space="preserve"> [first accessed 03/13/23].</w:t>
      </w:r>
    </w:p>
    <w:p w14:paraId="3B6F473F" w14:textId="77777777" w:rsidR="00722976" w:rsidRPr="005A1933" w:rsidRDefault="00722976" w:rsidP="002451F7">
      <w:pPr>
        <w:ind w:left="284" w:hanging="284"/>
        <w:rPr>
          <w:rFonts w:ascii="Calibri" w:hAnsi="Calibri" w:cs="Calibri"/>
        </w:rPr>
      </w:pPr>
      <w:r w:rsidRPr="005A1933">
        <w:rPr>
          <w:rFonts w:ascii="Calibri" w:hAnsi="Calibri" w:cs="Calibri"/>
        </w:rPr>
        <w:t xml:space="preserve">Alcock, L., ‘Gwŷr y Gogledd: an Archaeological Appraisal’, in </w:t>
      </w:r>
      <w:r w:rsidRPr="005A1933">
        <w:rPr>
          <w:rFonts w:ascii="Calibri" w:hAnsi="Calibri" w:cs="Calibri"/>
          <w:i/>
          <w:iCs/>
        </w:rPr>
        <w:t>Archaeologia Cambrensis</w:t>
      </w:r>
      <w:r w:rsidRPr="005A1933">
        <w:rPr>
          <w:rFonts w:ascii="Calibri" w:hAnsi="Calibri" w:cs="Calibri"/>
        </w:rPr>
        <w:t xml:space="preserve">, vol. 132 (1983), pp. 1-18. </w:t>
      </w:r>
      <w:hyperlink r:id="rId25" w:anchor="?xywh=-1669%2C-2%2C6271%2C4025" w:history="1">
        <w:r w:rsidRPr="005A1933">
          <w:rPr>
            <w:rStyle w:val="Hyperlink"/>
            <w:rFonts w:ascii="Calibri" w:hAnsi="Calibri" w:cs="Calibri"/>
          </w:rPr>
          <w:t>https://journals.library.wales/view/4718179/4748682/6#?xywh=-1669%2C-2%2C6271%2C4025</w:t>
        </w:r>
      </w:hyperlink>
      <w:r w:rsidRPr="005A1933">
        <w:rPr>
          <w:rFonts w:ascii="Calibri" w:hAnsi="Calibri" w:cs="Calibri"/>
        </w:rPr>
        <w:t xml:space="preserve"> [first accessed 12/12/23].</w:t>
      </w:r>
    </w:p>
    <w:p w14:paraId="6EE3399D" w14:textId="3C54BCBC" w:rsidR="0050304F" w:rsidRDefault="0050304F" w:rsidP="002451F7">
      <w:pPr>
        <w:ind w:left="284" w:hanging="284"/>
        <w:jc w:val="both"/>
        <w:rPr>
          <w:rFonts w:ascii="Calibri" w:hAnsi="Calibri" w:cs="Calibri"/>
        </w:rPr>
      </w:pPr>
      <w:r w:rsidRPr="005A1933">
        <w:rPr>
          <w:rFonts w:ascii="Calibri" w:hAnsi="Calibri" w:cs="Calibri"/>
        </w:rPr>
        <w:t xml:space="preserve">Bromwich, R., Evans, D. S., and Evans, D. H., (Foster, I., original version), </w:t>
      </w:r>
      <w:r w:rsidRPr="005A1933">
        <w:rPr>
          <w:rFonts w:ascii="Calibri" w:hAnsi="Calibri" w:cs="Calibri"/>
          <w:i/>
          <w:iCs/>
        </w:rPr>
        <w:t>Culhwch Ac Olwen</w:t>
      </w:r>
      <w:r w:rsidRPr="005A1933">
        <w:rPr>
          <w:rFonts w:ascii="Calibri" w:hAnsi="Calibri" w:cs="Calibri"/>
        </w:rPr>
        <w:t>, (University of Wales Press 1997)</w:t>
      </w:r>
      <w:r>
        <w:rPr>
          <w:rFonts w:ascii="Calibri" w:hAnsi="Calibri" w:cs="Calibri"/>
        </w:rPr>
        <w:t>.</w:t>
      </w:r>
    </w:p>
    <w:p w14:paraId="48FD71DA" w14:textId="7728AF8A" w:rsidR="00AE0298" w:rsidRPr="005A1933" w:rsidRDefault="00AE0298" w:rsidP="002451F7">
      <w:pPr>
        <w:ind w:left="284" w:hanging="284"/>
        <w:jc w:val="both"/>
        <w:rPr>
          <w:rFonts w:ascii="Calibri" w:hAnsi="Calibri" w:cs="Calibri"/>
        </w:rPr>
      </w:pPr>
      <w:r w:rsidRPr="005A1933">
        <w:rPr>
          <w:rFonts w:ascii="Calibri" w:hAnsi="Calibri" w:cs="Calibri"/>
        </w:rPr>
        <w:t xml:space="preserve">Cessford, C., ‘Jewellery and the Gododdin Poem,’ in </w:t>
      </w:r>
      <w:r w:rsidRPr="005A1933">
        <w:rPr>
          <w:rFonts w:ascii="Calibri" w:hAnsi="Calibri" w:cs="Calibri"/>
          <w:i/>
          <w:iCs/>
        </w:rPr>
        <w:t>Jewellery Studies</w:t>
      </w:r>
      <w:r w:rsidRPr="005A1933">
        <w:rPr>
          <w:rFonts w:ascii="Calibri" w:hAnsi="Calibri" w:cs="Calibri"/>
        </w:rPr>
        <w:t xml:space="preserve"> vol. 7 (1996), pp. 57-61.</w:t>
      </w:r>
    </w:p>
    <w:p w14:paraId="68B1B1E8" w14:textId="77777777" w:rsidR="00F032A1" w:rsidRPr="005A1933" w:rsidRDefault="00F032A1" w:rsidP="002451F7">
      <w:pPr>
        <w:ind w:left="284" w:hanging="284"/>
        <w:jc w:val="both"/>
        <w:rPr>
          <w:rFonts w:ascii="Calibri" w:hAnsi="Calibri" w:cs="Calibri"/>
        </w:rPr>
      </w:pPr>
      <w:bookmarkStart w:id="38" w:name="_Hlk170047507"/>
      <w:bookmarkStart w:id="39" w:name="_Hlk170048090"/>
      <w:bookmarkEnd w:id="37"/>
      <w:r w:rsidRPr="005A1933">
        <w:rPr>
          <w:rFonts w:ascii="Calibri" w:hAnsi="Calibri" w:cs="Calibri"/>
        </w:rPr>
        <w:t xml:space="preserve">Cessford, C., ‘Torcs in Early Historic Scotland,’ in </w:t>
      </w:r>
      <w:r w:rsidRPr="005A1933">
        <w:rPr>
          <w:rFonts w:ascii="Calibri" w:hAnsi="Calibri" w:cs="Calibri"/>
          <w:i/>
          <w:iCs/>
        </w:rPr>
        <w:t xml:space="preserve">Oxford Journal of Archaeology, </w:t>
      </w:r>
      <w:r w:rsidRPr="005A1933">
        <w:rPr>
          <w:rFonts w:ascii="Calibri" w:hAnsi="Calibri" w:cs="Calibri"/>
        </w:rPr>
        <w:t>vol. 14. (1995), pp. 229-242.</w:t>
      </w:r>
    </w:p>
    <w:p w14:paraId="0451EDE8" w14:textId="77777777" w:rsidR="00F032A1" w:rsidRDefault="00F032A1" w:rsidP="002451F7">
      <w:pPr>
        <w:ind w:left="284" w:hanging="284"/>
        <w:jc w:val="both"/>
        <w:rPr>
          <w:rFonts w:ascii="Calibri" w:hAnsi="Calibri" w:cs="Calibri"/>
        </w:rPr>
      </w:pPr>
      <w:r w:rsidRPr="005A1933">
        <w:rPr>
          <w:rFonts w:ascii="Calibri" w:hAnsi="Calibri" w:cs="Calibri"/>
        </w:rPr>
        <w:lastRenderedPageBreak/>
        <w:t xml:space="preserve">Chapman, A., ‘Rebels, Uchelwyr and Parvenus: Welsh Knights in the Fourteenth Century’, in Chapman, A., et al. and Bell, A. R. and Curry, A. (eds.), </w:t>
      </w:r>
      <w:r w:rsidRPr="005A1933">
        <w:rPr>
          <w:rFonts w:ascii="Calibri" w:hAnsi="Calibri" w:cs="Calibri"/>
          <w:i/>
          <w:iCs/>
        </w:rPr>
        <w:t xml:space="preserve">The Soldier Experience in the Fourteenth Century </w:t>
      </w:r>
      <w:r w:rsidRPr="005A1933">
        <w:rPr>
          <w:rFonts w:ascii="Calibri" w:hAnsi="Calibri" w:cs="Calibri"/>
        </w:rPr>
        <w:t>(Woodbridge, 2011), pp. 145–56.</w:t>
      </w:r>
    </w:p>
    <w:p w14:paraId="69A1C51F" w14:textId="3875E2D8" w:rsidR="00104AB5" w:rsidRPr="005A1933" w:rsidRDefault="00104AB5" w:rsidP="002451F7">
      <w:pPr>
        <w:ind w:left="284" w:hanging="284"/>
        <w:jc w:val="both"/>
        <w:rPr>
          <w:rFonts w:ascii="Calibri" w:hAnsi="Calibri" w:cs="Calibri"/>
        </w:rPr>
      </w:pPr>
      <w:r w:rsidRPr="005A1933">
        <w:rPr>
          <w:rFonts w:ascii="Calibri" w:hAnsi="Calibri" w:cs="Calibri"/>
        </w:rPr>
        <w:t xml:space="preserve">Chittock, H., ‘Iron Age antiques: Assessing the function of old objects in Britain from 400 BC to AD 100,’ in Knight, M. G., Boughton, D., and. Wilkinson, R. E. (eds), </w:t>
      </w:r>
      <w:r w:rsidRPr="005A1933">
        <w:rPr>
          <w:rFonts w:ascii="Calibri" w:hAnsi="Calibri" w:cs="Calibri"/>
          <w:i/>
          <w:iCs/>
        </w:rPr>
        <w:t xml:space="preserve">Objects of the Past in the Past: Investigating the significance of earlier artefacts in later contexts, </w:t>
      </w:r>
      <w:r w:rsidRPr="005A1933">
        <w:rPr>
          <w:rFonts w:ascii="Calibri" w:hAnsi="Calibri" w:cs="Calibri"/>
        </w:rPr>
        <w:t>(Archaeopress, 2019), pp. 77-97.</w:t>
      </w:r>
    </w:p>
    <w:bookmarkEnd w:id="39"/>
    <w:p w14:paraId="554215A1" w14:textId="77777777" w:rsidR="00381EEE" w:rsidRPr="005A1933" w:rsidRDefault="00381EEE" w:rsidP="002451F7">
      <w:pPr>
        <w:ind w:left="284" w:hanging="284"/>
        <w:jc w:val="both"/>
        <w:rPr>
          <w:rFonts w:ascii="Calibri" w:hAnsi="Calibri" w:cs="Calibri"/>
        </w:rPr>
      </w:pPr>
      <w:r w:rsidRPr="005A1933">
        <w:rPr>
          <w:rFonts w:ascii="Calibri" w:hAnsi="Calibri" w:cs="Calibri"/>
        </w:rPr>
        <w:t>Costigan N.G. (Bosco) et al. (eds), </w:t>
      </w:r>
      <w:r w:rsidRPr="005A1933">
        <w:rPr>
          <w:rFonts w:ascii="Calibri" w:hAnsi="Calibri" w:cs="Calibri"/>
          <w:i/>
          <w:iCs/>
        </w:rPr>
        <w:t>Gwaith Dafydd Benfras ac Eraill o Feirdd Hanner Cyntaf y Drydedd Ganrif ar Ddeg </w:t>
      </w:r>
      <w:r w:rsidRPr="005A1933">
        <w:rPr>
          <w:rFonts w:ascii="Calibri" w:hAnsi="Calibri" w:cs="Calibri"/>
        </w:rPr>
        <w:t>(Cardiff: University of Wales Press, 1995)</w:t>
      </w:r>
      <w:r>
        <w:rPr>
          <w:rFonts w:ascii="Calibri" w:hAnsi="Calibri" w:cs="Calibri"/>
        </w:rPr>
        <w:t>.</w:t>
      </w:r>
    </w:p>
    <w:p w14:paraId="7E70D368" w14:textId="3082B324" w:rsidR="002C066C" w:rsidRDefault="002C066C" w:rsidP="002451F7">
      <w:pPr>
        <w:ind w:left="284" w:hanging="284"/>
        <w:jc w:val="both"/>
        <w:rPr>
          <w:rFonts w:ascii="Calibri" w:hAnsi="Calibri" w:cs="Calibri"/>
        </w:rPr>
      </w:pPr>
      <w:r w:rsidRPr="005A1933">
        <w:rPr>
          <w:rFonts w:ascii="Calibri" w:hAnsi="Calibri" w:cs="Calibri"/>
        </w:rPr>
        <w:t xml:space="preserve">Dafydd Ap Gwylim.net: </w:t>
      </w:r>
      <w:hyperlink r:id="rId26" w:history="1">
        <w:r w:rsidRPr="005A1933">
          <w:rPr>
            <w:rStyle w:val="Hyperlink"/>
            <w:rFonts w:ascii="Calibri" w:hAnsi="Calibri" w:cs="Calibri"/>
          </w:rPr>
          <w:t>https://dafyddapgwilym.net/eng/3win.htm</w:t>
        </w:r>
      </w:hyperlink>
      <w:r w:rsidRPr="005A1933">
        <w:rPr>
          <w:rFonts w:ascii="Calibri" w:hAnsi="Calibri" w:cs="Calibri"/>
        </w:rPr>
        <w:t xml:space="preserve"> [first accessed 10/5/24].</w:t>
      </w:r>
    </w:p>
    <w:p w14:paraId="6FDBB012" w14:textId="14FBCFB6" w:rsidR="00AA5FEC" w:rsidRDefault="00AA5FEC" w:rsidP="002451F7">
      <w:pPr>
        <w:ind w:left="284" w:hanging="284"/>
        <w:jc w:val="both"/>
        <w:rPr>
          <w:rFonts w:ascii="Calibri" w:hAnsi="Calibri" w:cs="Calibri"/>
        </w:rPr>
      </w:pPr>
      <w:r w:rsidRPr="005A1933">
        <w:rPr>
          <w:rFonts w:ascii="Calibri" w:hAnsi="Calibri" w:cs="Calibri"/>
        </w:rPr>
        <w:t xml:space="preserve">Davies, S. (Trans. Ed.), </w:t>
      </w:r>
      <w:r w:rsidRPr="005A1933">
        <w:rPr>
          <w:rFonts w:ascii="Calibri" w:hAnsi="Calibri" w:cs="Calibri"/>
          <w:i/>
          <w:iCs/>
        </w:rPr>
        <w:t>The Mabinogion</w:t>
      </w:r>
      <w:r w:rsidRPr="005A1933">
        <w:rPr>
          <w:rFonts w:ascii="Calibri" w:hAnsi="Calibri" w:cs="Calibri"/>
        </w:rPr>
        <w:t>, (Oxford University Press, 2007).</w:t>
      </w:r>
    </w:p>
    <w:p w14:paraId="1862B95C" w14:textId="5617F340" w:rsidR="00AE0298" w:rsidRPr="005A1933" w:rsidRDefault="00AE0298" w:rsidP="002451F7">
      <w:pPr>
        <w:ind w:left="284" w:hanging="284"/>
        <w:jc w:val="both"/>
        <w:rPr>
          <w:rFonts w:ascii="Calibri" w:hAnsi="Calibri" w:cs="Calibri"/>
        </w:rPr>
      </w:pPr>
      <w:r w:rsidRPr="005A1933">
        <w:rPr>
          <w:rFonts w:ascii="Calibri" w:hAnsi="Calibri" w:cs="Calibri"/>
        </w:rPr>
        <w:t xml:space="preserve">Day, J., </w:t>
      </w:r>
      <w:r w:rsidRPr="005A1933">
        <w:rPr>
          <w:rFonts w:ascii="Calibri" w:hAnsi="Calibri" w:cs="Calibri"/>
          <w:i/>
          <w:iCs/>
        </w:rPr>
        <w:t xml:space="preserve">Arfau yn yr Hengerdd a Cherddi Beirdd y Tywysogion, </w:t>
      </w:r>
      <w:r w:rsidRPr="005A1933">
        <w:rPr>
          <w:rFonts w:ascii="Calibri" w:hAnsi="Calibri" w:cs="Calibri"/>
        </w:rPr>
        <w:t>PHD, (Prifysgol Aberystwyth, 2010).</w:t>
      </w:r>
    </w:p>
    <w:bookmarkEnd w:id="38"/>
    <w:p w14:paraId="33276342" w14:textId="77777777" w:rsidR="00AE0298" w:rsidRPr="005A1933" w:rsidRDefault="00AE0298" w:rsidP="002451F7">
      <w:pPr>
        <w:ind w:left="284" w:hanging="284"/>
        <w:jc w:val="both"/>
        <w:rPr>
          <w:rFonts w:ascii="Calibri" w:hAnsi="Calibri" w:cs="Calibri"/>
        </w:rPr>
      </w:pPr>
      <w:r w:rsidRPr="005A1933">
        <w:rPr>
          <w:rFonts w:ascii="Calibri" w:hAnsi="Calibri" w:cs="Calibri"/>
        </w:rPr>
        <w:t xml:space="preserve">Day, J., ‘Weapons and Fighting in Y Gododdin’, in </w:t>
      </w:r>
      <w:r w:rsidRPr="005A1933">
        <w:rPr>
          <w:rFonts w:ascii="Calibri" w:hAnsi="Calibri" w:cs="Calibri"/>
          <w:i/>
          <w:iCs/>
        </w:rPr>
        <w:t>Studia Celtica</w:t>
      </w:r>
      <w:r w:rsidRPr="005A1933">
        <w:rPr>
          <w:rFonts w:ascii="Calibri" w:hAnsi="Calibri" w:cs="Calibri"/>
        </w:rPr>
        <w:t>, 49.1 (2015), pp. 121–47.</w:t>
      </w:r>
    </w:p>
    <w:p w14:paraId="25921770" w14:textId="491EB619" w:rsidR="00647799" w:rsidRDefault="00DF30D5" w:rsidP="002451F7">
      <w:pPr>
        <w:ind w:left="284" w:hanging="284"/>
        <w:jc w:val="both"/>
        <w:rPr>
          <w:rFonts w:ascii="Calibri" w:hAnsi="Calibri" w:cs="Calibri"/>
        </w:rPr>
      </w:pPr>
      <w:r w:rsidRPr="005A1933">
        <w:rPr>
          <w:rFonts w:ascii="Calibri" w:hAnsi="Calibri" w:cs="Calibri"/>
        </w:rPr>
        <w:t xml:space="preserve">Dumville, D.N., ‘Early Welsh Poetry: Problems of Historicity’, in Roberts, B.F., (ed.) </w:t>
      </w:r>
      <w:r w:rsidRPr="005A1933">
        <w:rPr>
          <w:rFonts w:ascii="Calibri" w:hAnsi="Calibri" w:cs="Calibri"/>
          <w:i/>
          <w:iCs/>
        </w:rPr>
        <w:t>Early Welsh Poetry Studies in the Book of Aneirin</w:t>
      </w:r>
      <w:r w:rsidRPr="005A1933">
        <w:rPr>
          <w:rFonts w:ascii="Calibri" w:hAnsi="Calibri" w:cs="Calibri"/>
        </w:rPr>
        <w:t xml:space="preserve"> (Aberystwyth 1988), pp.1-16.</w:t>
      </w:r>
      <w:bookmarkStart w:id="40" w:name="_Hlk170046662"/>
    </w:p>
    <w:p w14:paraId="44117202" w14:textId="77777777" w:rsidR="009C4E21" w:rsidRPr="005A1933" w:rsidRDefault="009C4E21" w:rsidP="002451F7">
      <w:pPr>
        <w:ind w:left="284" w:hanging="284"/>
        <w:jc w:val="both"/>
        <w:rPr>
          <w:rFonts w:ascii="Calibri" w:hAnsi="Calibri" w:cs="Calibri"/>
        </w:rPr>
      </w:pPr>
      <w:r w:rsidRPr="005A1933">
        <w:rPr>
          <w:rFonts w:ascii="Calibri" w:hAnsi="Calibri" w:cs="Calibri"/>
        </w:rPr>
        <w:t xml:space="preserve">Evans, D.S., </w:t>
      </w:r>
      <w:r w:rsidRPr="005A1933">
        <w:rPr>
          <w:rFonts w:ascii="Calibri" w:hAnsi="Calibri" w:cs="Calibri"/>
          <w:i/>
          <w:iCs/>
        </w:rPr>
        <w:t xml:space="preserve">Historia Gruffud Vab Kenan </w:t>
      </w:r>
      <w:r w:rsidRPr="005A1933">
        <w:rPr>
          <w:rFonts w:ascii="Calibri" w:hAnsi="Calibri" w:cs="Calibri"/>
        </w:rPr>
        <w:t>(Cardiff, 1977).</w:t>
      </w:r>
    </w:p>
    <w:p w14:paraId="318E1D5F" w14:textId="14449197" w:rsidR="00F032A1" w:rsidRPr="005A1933" w:rsidRDefault="00F032A1" w:rsidP="002451F7">
      <w:pPr>
        <w:ind w:left="284" w:hanging="284"/>
        <w:jc w:val="both"/>
        <w:rPr>
          <w:rFonts w:ascii="Calibri" w:hAnsi="Calibri" w:cs="Calibri"/>
        </w:rPr>
      </w:pPr>
      <w:r w:rsidRPr="005A1933">
        <w:rPr>
          <w:rFonts w:ascii="Calibri" w:hAnsi="Calibri" w:cs="Calibri"/>
        </w:rPr>
        <w:t xml:space="preserve">Geiriadur Prifysgol Cymru, </w:t>
      </w:r>
      <w:hyperlink r:id="rId27" w:history="1">
        <w:r w:rsidRPr="005A1933">
          <w:rPr>
            <w:rStyle w:val="Hyperlink"/>
            <w:rFonts w:ascii="Calibri" w:hAnsi="Calibri" w:cs="Calibri"/>
          </w:rPr>
          <w:t>https://geiriadur.ac.uk/gpc/gpc.html</w:t>
        </w:r>
      </w:hyperlink>
      <w:r w:rsidRPr="005A1933">
        <w:rPr>
          <w:rFonts w:ascii="Calibri" w:hAnsi="Calibri" w:cs="Calibri"/>
        </w:rPr>
        <w:t xml:space="preserve"> </w:t>
      </w:r>
    </w:p>
    <w:p w14:paraId="3A3CA730" w14:textId="77777777" w:rsidR="00647799" w:rsidRPr="005A1933" w:rsidRDefault="00647799" w:rsidP="002451F7">
      <w:pPr>
        <w:ind w:left="284" w:hanging="284"/>
        <w:jc w:val="both"/>
        <w:rPr>
          <w:rFonts w:ascii="Calibri" w:hAnsi="Calibri" w:cs="Calibri"/>
        </w:rPr>
      </w:pPr>
      <w:r w:rsidRPr="005A1933">
        <w:rPr>
          <w:rFonts w:ascii="Calibri" w:hAnsi="Calibri" w:cs="Calibri"/>
        </w:rPr>
        <w:t>Guto’r Glun. Net:</w:t>
      </w:r>
      <w:hyperlink r:id="rId28" w:history="1">
        <w:r w:rsidRPr="005A1933">
          <w:rPr>
            <w:rStyle w:val="Hyperlink"/>
            <w:rFonts w:ascii="Calibri" w:hAnsi="Calibri" w:cs="Calibri"/>
          </w:rPr>
          <w:t>http://www.gutorglyn.net/gutorglyn/poem/?poem-selection=062&amp;first-line=%23</w:t>
        </w:r>
      </w:hyperlink>
      <w:r w:rsidRPr="005A1933">
        <w:rPr>
          <w:rFonts w:ascii="Calibri" w:hAnsi="Calibri" w:cs="Calibri"/>
        </w:rPr>
        <w:t xml:space="preserve"> [first accessed 12/5/24].</w:t>
      </w:r>
    </w:p>
    <w:p w14:paraId="23DD309A" w14:textId="77777777" w:rsidR="0090205D" w:rsidRPr="005A1933" w:rsidRDefault="0090205D" w:rsidP="002451F7">
      <w:pPr>
        <w:ind w:left="284" w:hanging="284"/>
        <w:jc w:val="both"/>
        <w:rPr>
          <w:rFonts w:ascii="Calibri" w:hAnsi="Calibri" w:cs="Calibri"/>
        </w:rPr>
      </w:pPr>
      <w:r w:rsidRPr="005A1933">
        <w:rPr>
          <w:rFonts w:ascii="Calibri" w:hAnsi="Calibri" w:cs="Calibri"/>
        </w:rPr>
        <w:t xml:space="preserve">Hurlock, K. </w:t>
      </w:r>
      <w:r w:rsidRPr="005A1933">
        <w:rPr>
          <w:rFonts w:ascii="Calibri" w:hAnsi="Calibri" w:cs="Calibri"/>
          <w:i/>
          <w:iCs/>
        </w:rPr>
        <w:t>Medieval Welsh Pilgrimage, c.1100–1500</w:t>
      </w:r>
      <w:r w:rsidRPr="005A1933">
        <w:rPr>
          <w:rFonts w:ascii="Calibri" w:hAnsi="Calibri" w:cs="Calibri"/>
        </w:rPr>
        <w:t xml:space="preserve"> Palgrave and McMillian, USA, 2018. (uncorrected version).</w:t>
      </w:r>
    </w:p>
    <w:p w14:paraId="3DE597D1" w14:textId="77777777" w:rsidR="00AE0298" w:rsidRPr="005A1933" w:rsidRDefault="00AE0298" w:rsidP="002451F7">
      <w:pPr>
        <w:ind w:left="284" w:hanging="284"/>
        <w:jc w:val="both"/>
        <w:rPr>
          <w:rFonts w:ascii="Calibri" w:hAnsi="Calibri" w:cs="Calibri"/>
        </w:rPr>
      </w:pPr>
      <w:r w:rsidRPr="005A1933">
        <w:rPr>
          <w:rFonts w:ascii="Calibri" w:hAnsi="Calibri" w:cs="Calibri"/>
        </w:rPr>
        <w:t xml:space="preserve">Jarman, A.O.H., (trans. Ed.), </w:t>
      </w:r>
      <w:r w:rsidRPr="005A1933">
        <w:rPr>
          <w:rFonts w:ascii="Calibri" w:hAnsi="Calibri" w:cs="Calibri"/>
          <w:i/>
          <w:iCs/>
        </w:rPr>
        <w:t xml:space="preserve">Y Gododdin: Britain’s Oldest Heroic Poem, </w:t>
      </w:r>
      <w:r w:rsidRPr="005A1933">
        <w:rPr>
          <w:rFonts w:ascii="Calibri" w:hAnsi="Calibri" w:cs="Calibri"/>
        </w:rPr>
        <w:t>Gomer, Llandysul, 1990).</w:t>
      </w:r>
    </w:p>
    <w:p w14:paraId="6BFD383C" w14:textId="77777777" w:rsidR="00AE0298" w:rsidRPr="005A1933" w:rsidRDefault="00AE0298" w:rsidP="002451F7">
      <w:pPr>
        <w:ind w:left="284" w:hanging="284"/>
        <w:jc w:val="both"/>
        <w:rPr>
          <w:rFonts w:ascii="Calibri" w:hAnsi="Calibri" w:cs="Calibri"/>
        </w:rPr>
      </w:pPr>
      <w:r w:rsidRPr="005A1933">
        <w:rPr>
          <w:rFonts w:ascii="Calibri" w:hAnsi="Calibri" w:cs="Calibri"/>
        </w:rPr>
        <w:t xml:space="preserve">Jones, A, M., </w:t>
      </w:r>
      <w:r w:rsidRPr="005A1933">
        <w:rPr>
          <w:rFonts w:ascii="Calibri" w:hAnsi="Calibri" w:cs="Calibri"/>
          <w:i/>
          <w:iCs/>
        </w:rPr>
        <w:t>Gwisgoedd ac Ategolion yn Llenyddiaeth yr Oesoedd Canol: c. 700-c. 1600</w:t>
      </w:r>
      <w:r w:rsidRPr="005A1933">
        <w:rPr>
          <w:rFonts w:ascii="Calibri" w:hAnsi="Calibri" w:cs="Calibri"/>
        </w:rPr>
        <w:t>, PhD (Prifysgol Cymru Aberystwyth 2007)</w:t>
      </w:r>
    </w:p>
    <w:p w14:paraId="42F30D40" w14:textId="77777777" w:rsidR="0024523A" w:rsidRPr="005A1933" w:rsidRDefault="0024523A" w:rsidP="002451F7">
      <w:pPr>
        <w:ind w:left="284" w:hanging="284"/>
        <w:jc w:val="both"/>
        <w:rPr>
          <w:rFonts w:ascii="Calibri" w:hAnsi="Calibri" w:cs="Calibri"/>
        </w:rPr>
      </w:pPr>
      <w:r w:rsidRPr="005A1933">
        <w:rPr>
          <w:rFonts w:ascii="Calibri" w:hAnsi="Calibri" w:cs="Calibri"/>
        </w:rPr>
        <w:t>Jones, N. A. and Parry Owen, A. (eds), </w:t>
      </w:r>
      <w:r w:rsidRPr="005A1933">
        <w:rPr>
          <w:rFonts w:ascii="Calibri" w:hAnsi="Calibri" w:cs="Calibri"/>
          <w:i/>
          <w:iCs/>
        </w:rPr>
        <w:t>Gwaith Cynddelw Brydydd Mawr, I </w:t>
      </w:r>
      <w:r w:rsidRPr="005A1933">
        <w:rPr>
          <w:rFonts w:ascii="Calibri" w:hAnsi="Calibri" w:cs="Calibri"/>
        </w:rPr>
        <w:t>(Cardiff: University of Wales Press, 1991).</w:t>
      </w:r>
    </w:p>
    <w:p w14:paraId="0E694414" w14:textId="77777777" w:rsidR="00AE0298" w:rsidRDefault="00AE0298" w:rsidP="002451F7">
      <w:pPr>
        <w:ind w:left="284" w:hanging="284"/>
        <w:jc w:val="both"/>
        <w:rPr>
          <w:rFonts w:ascii="Calibri" w:hAnsi="Calibri" w:cs="Calibri"/>
        </w:rPr>
      </w:pPr>
      <w:r w:rsidRPr="00EF2DB1">
        <w:rPr>
          <w:rFonts w:ascii="Calibri" w:hAnsi="Calibri" w:cs="Calibri"/>
        </w:rPr>
        <w:t xml:space="preserve">Karl, R., ‘Torc’ in Koch, J. T. (ed.), </w:t>
      </w:r>
      <w:r w:rsidRPr="00EF2DB1">
        <w:rPr>
          <w:rFonts w:ascii="Calibri" w:hAnsi="Calibri" w:cs="Calibri"/>
          <w:i/>
          <w:iCs/>
        </w:rPr>
        <w:t>Encyclopedia of Celtic Culture</w:t>
      </w:r>
      <w:r w:rsidRPr="00EF2DB1">
        <w:rPr>
          <w:rFonts w:ascii="Calibri" w:hAnsi="Calibri" w:cs="Calibri"/>
        </w:rPr>
        <w:t xml:space="preserve"> pp. 1681-1683, (digital, accessed 23/5).</w:t>
      </w:r>
    </w:p>
    <w:p w14:paraId="75F9A92B" w14:textId="77777777" w:rsidR="00AE0298" w:rsidRPr="005A1933" w:rsidRDefault="00AE0298" w:rsidP="002451F7">
      <w:pPr>
        <w:ind w:left="284" w:hanging="284"/>
        <w:jc w:val="both"/>
        <w:rPr>
          <w:rFonts w:ascii="Calibri" w:hAnsi="Calibri" w:cs="Calibri"/>
        </w:rPr>
      </w:pPr>
      <w:r w:rsidRPr="005A1933">
        <w:rPr>
          <w:rFonts w:ascii="Calibri" w:hAnsi="Calibri" w:cs="Calibri"/>
        </w:rPr>
        <w:t>Koch, J. T., ‘</w:t>
      </w:r>
      <w:r w:rsidRPr="005A1933">
        <w:rPr>
          <w:rFonts w:ascii="Calibri" w:hAnsi="Calibri" w:cs="Calibri"/>
          <w:i/>
          <w:iCs/>
        </w:rPr>
        <w:t xml:space="preserve">llawr en asseδ </w:t>
      </w:r>
      <w:r w:rsidRPr="005A1933">
        <w:rPr>
          <w:rFonts w:ascii="Calibri" w:hAnsi="Calibri" w:cs="Calibri"/>
        </w:rPr>
        <w:t xml:space="preserve">(C[anu] A[neirin] 932): “The Laureate Hero in the War-Chariot”: some Recollections of the Iron Age in the Gododdin’ in </w:t>
      </w:r>
      <w:r w:rsidRPr="005A1933">
        <w:rPr>
          <w:rFonts w:ascii="Calibri" w:hAnsi="Calibri" w:cs="Calibri"/>
          <w:i/>
          <w:iCs/>
        </w:rPr>
        <w:t>Études Celtiques</w:t>
      </w:r>
      <w:r w:rsidRPr="005A1933">
        <w:rPr>
          <w:rFonts w:ascii="Calibri" w:hAnsi="Calibri" w:cs="Calibri"/>
        </w:rPr>
        <w:t xml:space="preserve"> vol. 24 (1987), pp. 253–278.</w:t>
      </w:r>
    </w:p>
    <w:bookmarkEnd w:id="40"/>
    <w:p w14:paraId="2226F249" w14:textId="5464E807" w:rsidR="00DF30D5" w:rsidRPr="005A1933" w:rsidRDefault="004A289D" w:rsidP="002451F7">
      <w:pPr>
        <w:ind w:left="284" w:hanging="284"/>
        <w:jc w:val="both"/>
        <w:rPr>
          <w:rFonts w:ascii="Calibri" w:hAnsi="Calibri" w:cs="Calibri"/>
        </w:rPr>
      </w:pPr>
      <w:r w:rsidRPr="005A1933">
        <w:rPr>
          <w:rFonts w:ascii="Calibri" w:hAnsi="Calibri" w:cs="Calibri"/>
        </w:rPr>
        <w:t xml:space="preserve">Koch, J. T. (1997), </w:t>
      </w:r>
      <w:r w:rsidRPr="005A1933">
        <w:rPr>
          <w:rFonts w:ascii="Calibri" w:hAnsi="Calibri" w:cs="Calibri"/>
          <w:i/>
          <w:iCs/>
        </w:rPr>
        <w:t>The Gododdin of Aneirin: Text and Context from Dark-Age North Britain</w:t>
      </w:r>
      <w:r w:rsidRPr="005A1933">
        <w:rPr>
          <w:rFonts w:ascii="Calibri" w:hAnsi="Calibri" w:cs="Calibri"/>
        </w:rPr>
        <w:t xml:space="preserve"> (Cardiff, 1980).</w:t>
      </w:r>
    </w:p>
    <w:p w14:paraId="273782CC" w14:textId="77777777" w:rsidR="003A209A" w:rsidRPr="005A1933" w:rsidRDefault="003A209A" w:rsidP="002451F7">
      <w:pPr>
        <w:ind w:left="284" w:hanging="284"/>
        <w:jc w:val="both"/>
        <w:rPr>
          <w:rFonts w:ascii="Calibri" w:hAnsi="Calibri" w:cs="Calibri"/>
        </w:rPr>
      </w:pPr>
      <w:bookmarkStart w:id="41" w:name="_Hlk170059373"/>
      <w:bookmarkStart w:id="42" w:name="_Hlk170059487"/>
      <w:r w:rsidRPr="005A1933">
        <w:rPr>
          <w:rFonts w:ascii="Calibri" w:hAnsi="Calibri" w:cs="Calibri"/>
        </w:rPr>
        <w:t>Lewis, B., (ed.), </w:t>
      </w:r>
      <w:r w:rsidRPr="005A1933">
        <w:rPr>
          <w:rFonts w:ascii="Calibri" w:hAnsi="Calibri" w:cs="Calibri"/>
          <w:i/>
          <w:iCs/>
        </w:rPr>
        <w:t>Medieval Welsh Poems to Saints and Shrines</w:t>
      </w:r>
      <w:r w:rsidRPr="005A1933">
        <w:rPr>
          <w:rFonts w:ascii="Calibri" w:hAnsi="Calibri" w:cs="Calibri"/>
        </w:rPr>
        <w:t> (Dublin, 2015).</w:t>
      </w:r>
    </w:p>
    <w:p w14:paraId="57CCE539" w14:textId="4CFEB795" w:rsidR="00F032A1" w:rsidRDefault="002B6668" w:rsidP="002451F7">
      <w:pPr>
        <w:ind w:left="284" w:hanging="284"/>
        <w:rPr>
          <w:rFonts w:ascii="Calibri" w:hAnsi="Calibri" w:cs="Calibri"/>
        </w:rPr>
      </w:pPr>
      <w:r w:rsidRPr="005A1933">
        <w:rPr>
          <w:rFonts w:ascii="Calibri" w:hAnsi="Calibri" w:cs="Calibri"/>
        </w:rPr>
        <w:t>Lewis and Short</w:t>
      </w:r>
      <w:r>
        <w:rPr>
          <w:rFonts w:ascii="Calibri" w:hAnsi="Calibri" w:cs="Calibri"/>
        </w:rPr>
        <w:t>,</w:t>
      </w:r>
      <w:r w:rsidRPr="005A1933">
        <w:rPr>
          <w:rFonts w:ascii="Calibri" w:hAnsi="Calibri" w:cs="Calibri"/>
        </w:rPr>
        <w:t xml:space="preserve"> </w:t>
      </w:r>
      <w:r w:rsidR="00F032A1" w:rsidRPr="005A1933">
        <w:rPr>
          <w:rFonts w:ascii="Calibri" w:hAnsi="Calibri" w:cs="Calibri"/>
        </w:rPr>
        <w:t xml:space="preserve">Perseus, </w:t>
      </w:r>
      <w:bookmarkEnd w:id="41"/>
      <w:r w:rsidR="00F032A1" w:rsidRPr="005A1933">
        <w:rPr>
          <w:rFonts w:ascii="Calibri" w:hAnsi="Calibri" w:cs="Calibri"/>
        </w:rPr>
        <w:t>Latin Study Tool,</w:t>
      </w:r>
      <w:r w:rsidR="00AA5FEC">
        <w:rPr>
          <w:rFonts w:ascii="Calibri" w:hAnsi="Calibri" w:cs="Calibri"/>
        </w:rPr>
        <w:t xml:space="preserve"> </w:t>
      </w:r>
      <w:r w:rsidR="00F032A1" w:rsidRPr="005A1933">
        <w:rPr>
          <w:rFonts w:ascii="Calibri" w:hAnsi="Calibri" w:cs="Calibri"/>
        </w:rPr>
        <w:t>Classical Latin</w:t>
      </w:r>
      <w:r w:rsidR="00AA5FEC">
        <w:rPr>
          <w:rFonts w:ascii="Calibri" w:hAnsi="Calibri" w:cs="Calibri"/>
        </w:rPr>
        <w:t>:</w:t>
      </w:r>
      <w:r w:rsidR="00F032A1" w:rsidRPr="005A1933">
        <w:rPr>
          <w:rFonts w:ascii="Calibri" w:hAnsi="Calibri" w:cs="Calibri"/>
        </w:rPr>
        <w:t> </w:t>
      </w:r>
      <w:bookmarkEnd w:id="42"/>
      <w:r w:rsidR="00AA5FEC">
        <w:rPr>
          <w:rFonts w:ascii="Calibri" w:hAnsi="Calibri" w:cs="Calibri"/>
        </w:rPr>
        <w:fldChar w:fldCharType="begin"/>
      </w:r>
      <w:r w:rsidR="00AA5FEC">
        <w:rPr>
          <w:rFonts w:ascii="Calibri" w:hAnsi="Calibri" w:cs="Calibri"/>
        </w:rPr>
        <w:instrText>HYPERLINK "</w:instrText>
      </w:r>
      <w:r w:rsidR="00AA5FEC" w:rsidRPr="00AA5FEC">
        <w:rPr>
          <w:rFonts w:ascii="Calibri" w:hAnsi="Calibri" w:cs="Calibri"/>
        </w:rPr>
        <w:instrText>https://www.perseus.tufts.edu/hopper/morph?l=torquis&amp;la=la&amp;can=torquis0&amp;prior=torqueo</w:instrText>
      </w:r>
      <w:r w:rsidR="00AA5FEC">
        <w:rPr>
          <w:rFonts w:ascii="Calibri" w:hAnsi="Calibri" w:cs="Calibri"/>
        </w:rPr>
        <w:instrText>"</w:instrText>
      </w:r>
      <w:r w:rsidR="00AA5FEC">
        <w:rPr>
          <w:rFonts w:ascii="Calibri" w:hAnsi="Calibri" w:cs="Calibri"/>
        </w:rPr>
        <w:fldChar w:fldCharType="separate"/>
      </w:r>
      <w:r w:rsidR="00AA5FEC" w:rsidRPr="00D527CC">
        <w:rPr>
          <w:rStyle w:val="Hyperlink"/>
          <w:rFonts w:ascii="Calibri" w:hAnsi="Calibri" w:cs="Calibri"/>
        </w:rPr>
        <w:t>https://www.perseus.tufts.edu/hopper/morph?l=torquis&amp;la=la&amp;can=torquis0&amp;prior=torqueo</w:t>
      </w:r>
      <w:r w:rsidR="00AA5FEC">
        <w:rPr>
          <w:rFonts w:ascii="Calibri" w:hAnsi="Calibri" w:cs="Calibri"/>
        </w:rPr>
        <w:fldChar w:fldCharType="end"/>
      </w:r>
      <w:r w:rsidR="00F032A1" w:rsidRPr="005A1933">
        <w:rPr>
          <w:rFonts w:ascii="Calibri" w:hAnsi="Calibri" w:cs="Calibri"/>
          <w:u w:val="single"/>
        </w:rPr>
        <w:t>:</w:t>
      </w:r>
      <w:r w:rsidR="00F032A1" w:rsidRPr="005A1933">
        <w:rPr>
          <w:rFonts w:ascii="Calibri" w:hAnsi="Calibri" w:cs="Calibri"/>
        </w:rPr>
        <w:t xml:space="preserve">  [first accesse</w:t>
      </w:r>
      <w:r>
        <w:rPr>
          <w:rFonts w:ascii="Calibri" w:hAnsi="Calibri" w:cs="Calibri"/>
        </w:rPr>
        <w:t>d</w:t>
      </w:r>
      <w:r w:rsidR="00F032A1" w:rsidRPr="005A1933">
        <w:rPr>
          <w:rFonts w:ascii="Calibri" w:hAnsi="Calibri" w:cs="Calibri"/>
        </w:rPr>
        <w:t xml:space="preserve"> 06/06/24].</w:t>
      </w:r>
    </w:p>
    <w:p w14:paraId="56D463CC" w14:textId="77777777" w:rsidR="003A209A" w:rsidRPr="005A1933" w:rsidRDefault="003A209A" w:rsidP="002451F7">
      <w:pPr>
        <w:ind w:left="284" w:hanging="284"/>
        <w:jc w:val="both"/>
        <w:rPr>
          <w:rFonts w:ascii="Calibri" w:hAnsi="Calibri" w:cs="Calibri"/>
        </w:rPr>
      </w:pPr>
      <w:bookmarkStart w:id="43" w:name="_Hlk170150945"/>
      <w:r w:rsidRPr="005A1933">
        <w:rPr>
          <w:rFonts w:ascii="Calibri" w:hAnsi="Calibri" w:cs="Calibri"/>
        </w:rPr>
        <w:t xml:space="preserve">Lloyd, J.E., </w:t>
      </w:r>
      <w:r w:rsidRPr="005A1933">
        <w:rPr>
          <w:rFonts w:ascii="Calibri" w:hAnsi="Calibri" w:cs="Calibri"/>
          <w:i/>
          <w:iCs/>
        </w:rPr>
        <w:t xml:space="preserve">CYNOG (fl. 500?), saint, </w:t>
      </w:r>
      <w:r w:rsidRPr="005A1933">
        <w:rPr>
          <w:rFonts w:ascii="Calibri" w:hAnsi="Calibri" w:cs="Calibri"/>
        </w:rPr>
        <w:t xml:space="preserve">at Dictionary of Welsh Biography: </w:t>
      </w:r>
      <w:hyperlink r:id="rId29" w:history="1">
        <w:r w:rsidRPr="005A1933">
          <w:rPr>
            <w:rStyle w:val="Hyperlink"/>
            <w:rFonts w:ascii="Calibri" w:hAnsi="Calibri" w:cs="Calibri"/>
          </w:rPr>
          <w:t>https://biography.wales/article/s-CYNO-APB-0500</w:t>
        </w:r>
      </w:hyperlink>
      <w:r w:rsidRPr="005A1933">
        <w:rPr>
          <w:rFonts w:ascii="Calibri" w:hAnsi="Calibri" w:cs="Calibri"/>
        </w:rPr>
        <w:t xml:space="preserve"> [first accessed 10/12/23].</w:t>
      </w:r>
    </w:p>
    <w:p w14:paraId="1C63FB90" w14:textId="77777777" w:rsidR="00A255E0" w:rsidRPr="005A1933" w:rsidRDefault="00A255E0" w:rsidP="002451F7">
      <w:pPr>
        <w:ind w:left="284" w:hanging="284"/>
        <w:jc w:val="both"/>
        <w:rPr>
          <w:rFonts w:ascii="Calibri" w:hAnsi="Calibri" w:cs="Calibri"/>
        </w:rPr>
      </w:pPr>
      <w:r w:rsidRPr="005A1933">
        <w:rPr>
          <w:rFonts w:ascii="Calibri" w:hAnsi="Calibri" w:cs="Calibri"/>
        </w:rPr>
        <w:lastRenderedPageBreak/>
        <w:t xml:space="preserve">Logeion, Dictionary of Medieval Latin from British Sources, </w:t>
      </w:r>
      <w:hyperlink r:id="rId30" w:history="1">
        <w:r w:rsidRPr="005A1933">
          <w:rPr>
            <w:rStyle w:val="Hyperlink"/>
            <w:rFonts w:ascii="Calibri" w:hAnsi="Calibri" w:cs="Calibri"/>
          </w:rPr>
          <w:t>https://logeion.uchicago.edu/torques</w:t>
        </w:r>
      </w:hyperlink>
      <w:r w:rsidRPr="005A1933">
        <w:rPr>
          <w:rFonts w:ascii="Calibri" w:hAnsi="Calibri" w:cs="Calibri"/>
        </w:rPr>
        <w:t xml:space="preserve"> [first accessed 30/05/24].</w:t>
      </w:r>
    </w:p>
    <w:p w14:paraId="3A736E69" w14:textId="77777777" w:rsidR="0090205D" w:rsidRPr="005A1933" w:rsidRDefault="0090205D" w:rsidP="002451F7">
      <w:pPr>
        <w:ind w:left="284" w:hanging="284"/>
        <w:jc w:val="both"/>
        <w:rPr>
          <w:rFonts w:ascii="Calibri" w:hAnsi="Calibri" w:cs="Calibri"/>
        </w:rPr>
      </w:pPr>
      <w:r w:rsidRPr="005A1933">
        <w:rPr>
          <w:rFonts w:ascii="Calibri" w:hAnsi="Calibri" w:cs="Calibri"/>
        </w:rPr>
        <w:t xml:space="preserve">Machling, T. &amp; Williamson, R., </w:t>
      </w:r>
      <w:r w:rsidRPr="005A1933">
        <w:rPr>
          <w:rFonts w:ascii="Calibri" w:hAnsi="Calibri" w:cs="Calibri"/>
          <w:i/>
          <w:iCs/>
        </w:rPr>
        <w:t xml:space="preserve">Thoughts on the Grotesque torc and the Snettisham (Ken Hill) hoards in the light of new research, </w:t>
      </w:r>
      <w:r w:rsidRPr="005A1933">
        <w:rPr>
          <w:rFonts w:ascii="Calibri" w:hAnsi="Calibri" w:cs="Calibri"/>
        </w:rPr>
        <w:t xml:space="preserve">online article at ‘The Big Book of Torcs:’ </w:t>
      </w:r>
      <w:hyperlink r:id="rId31" w:anchor=":~:text=Above%20this%20torc%20lay%20the,section%20of%20gold%20tubular%20torc" w:history="1">
        <w:r w:rsidRPr="005A1933">
          <w:rPr>
            <w:rStyle w:val="Hyperlink"/>
            <w:rFonts w:ascii="Calibri" w:hAnsi="Calibri" w:cs="Calibri"/>
          </w:rPr>
          <w:t>https://bigbookoftorcs.com/2020/09/22/thoughts-on-the-grotesque-torc/#:~:text=Above%20this%20torc%20lay%20the,section%20of%20gold%20tubular%20torc</w:t>
        </w:r>
      </w:hyperlink>
      <w:r w:rsidRPr="005A1933">
        <w:rPr>
          <w:rFonts w:ascii="Calibri" w:hAnsi="Calibri" w:cs="Calibri"/>
        </w:rPr>
        <w:t xml:space="preserve"> [first accessed 02/11/23].</w:t>
      </w:r>
    </w:p>
    <w:p w14:paraId="74770900" w14:textId="77777777" w:rsidR="001E2E65" w:rsidRPr="005A1933" w:rsidRDefault="001E2E65" w:rsidP="002451F7">
      <w:pPr>
        <w:ind w:left="284" w:hanging="284"/>
        <w:jc w:val="both"/>
        <w:rPr>
          <w:rFonts w:ascii="Calibri" w:hAnsi="Calibri" w:cs="Calibri"/>
        </w:rPr>
      </w:pPr>
      <w:r w:rsidRPr="005A1933">
        <w:rPr>
          <w:rFonts w:ascii="Calibri" w:hAnsi="Calibri" w:cs="Calibri"/>
          <w:i/>
          <w:iCs/>
        </w:rPr>
        <w:t xml:space="preserve">Pair of penitent's spiked leg bands, Europe, 1501-1800, </w:t>
      </w:r>
      <w:r w:rsidRPr="005A1933">
        <w:rPr>
          <w:rFonts w:ascii="Calibri" w:hAnsi="Calibri" w:cs="Calibri"/>
        </w:rPr>
        <w:t xml:space="preserve">Science Museum Group: </w:t>
      </w:r>
      <w:hyperlink r:id="rId32" w:history="1">
        <w:r w:rsidRPr="005A1933">
          <w:rPr>
            <w:rStyle w:val="Hyperlink"/>
            <w:rFonts w:ascii="Calibri" w:hAnsi="Calibri" w:cs="Calibri"/>
          </w:rPr>
          <w:t>https://collection.sciencemuseumgroup.org.uk/objects/co155107/pair-of-penitents-spiked-leg-bands-europe-1501-1800-leg-bands</w:t>
        </w:r>
      </w:hyperlink>
      <w:r w:rsidRPr="005A1933">
        <w:rPr>
          <w:rFonts w:ascii="Calibri" w:hAnsi="Calibri" w:cs="Calibri"/>
        </w:rPr>
        <w:t xml:space="preserve"> [first accessed 10/6/24].</w:t>
      </w:r>
    </w:p>
    <w:p w14:paraId="792B3CD5" w14:textId="7888F5CE" w:rsidR="007C7C40" w:rsidRPr="005A1933" w:rsidRDefault="007C7C40" w:rsidP="002451F7">
      <w:pPr>
        <w:ind w:left="284" w:hanging="284"/>
        <w:jc w:val="both"/>
        <w:rPr>
          <w:rFonts w:ascii="Calibri" w:hAnsi="Calibri" w:cs="Calibri"/>
        </w:rPr>
      </w:pPr>
      <w:r w:rsidRPr="005A1933">
        <w:rPr>
          <w:rFonts w:ascii="Calibri" w:hAnsi="Calibri" w:cs="Calibri"/>
        </w:rPr>
        <w:t>Parry Owen</w:t>
      </w:r>
      <w:r>
        <w:rPr>
          <w:rFonts w:ascii="Calibri" w:hAnsi="Calibri" w:cs="Calibri"/>
        </w:rPr>
        <w:t>, Anne,</w:t>
      </w:r>
      <w:r w:rsidRPr="005A1933">
        <w:rPr>
          <w:rFonts w:ascii="Calibri" w:hAnsi="Calibri" w:cs="Calibri"/>
        </w:rPr>
        <w:t xml:space="preserve"> </w:t>
      </w:r>
      <w:r w:rsidRPr="005A1933">
        <w:rPr>
          <w:rFonts w:ascii="Calibri" w:hAnsi="Calibri" w:cs="Calibri"/>
          <w:i/>
          <w:iCs/>
        </w:rPr>
        <w:t>Concordances for Cyfres Beirdd y Twysogion</w:t>
      </w:r>
      <w:r w:rsidRPr="005A1933">
        <w:rPr>
          <w:rFonts w:ascii="Calibri" w:hAnsi="Calibri" w:cs="Calibri"/>
        </w:rPr>
        <w:t xml:space="preserve">, </w:t>
      </w:r>
      <w:bookmarkEnd w:id="43"/>
      <w:r w:rsidRPr="005A1933">
        <w:rPr>
          <w:rFonts w:ascii="Calibri" w:hAnsi="Calibri" w:cs="Calibri"/>
        </w:rPr>
        <w:t>available on Academia.edu.</w:t>
      </w:r>
    </w:p>
    <w:p w14:paraId="12A12E98" w14:textId="77777777" w:rsidR="002B6668" w:rsidRPr="002B6668" w:rsidRDefault="002B6668" w:rsidP="002451F7">
      <w:pPr>
        <w:ind w:left="284" w:hanging="284"/>
        <w:rPr>
          <w:rFonts w:ascii="Calibri" w:hAnsi="Calibri" w:cs="Calibri"/>
        </w:rPr>
      </w:pPr>
      <w:r w:rsidRPr="002B6668">
        <w:rPr>
          <w:rFonts w:ascii="Calibri" w:hAnsi="Calibri" w:cs="Calibri"/>
          <w:i/>
          <w:iCs/>
        </w:rPr>
        <w:t xml:space="preserve">Pictish Chains of Silver, </w:t>
      </w:r>
      <w:r w:rsidRPr="002B6668">
        <w:rPr>
          <w:rFonts w:ascii="Calibri" w:hAnsi="Calibri" w:cs="Calibri"/>
        </w:rPr>
        <w:t xml:space="preserve">National Museums Scotland: </w:t>
      </w:r>
      <w:hyperlink r:id="rId33" w:history="1">
        <w:r w:rsidRPr="002B6668">
          <w:rPr>
            <w:rStyle w:val="Hyperlink"/>
            <w:rFonts w:ascii="Calibri" w:hAnsi="Calibri" w:cs="Calibri"/>
          </w:rPr>
          <w:t>https://nms.scran.ac.uk/database/record.php?usi=000-100-036-326-C</w:t>
        </w:r>
      </w:hyperlink>
      <w:r w:rsidRPr="002B6668">
        <w:rPr>
          <w:rFonts w:ascii="Calibri" w:hAnsi="Calibri" w:cs="Calibri"/>
        </w:rPr>
        <w:t xml:space="preserve"> [first accessed 23/3/24].</w:t>
      </w:r>
    </w:p>
    <w:p w14:paraId="395144C1" w14:textId="77777777" w:rsidR="0024523A" w:rsidRPr="005A1933" w:rsidRDefault="0024523A" w:rsidP="002451F7">
      <w:pPr>
        <w:ind w:left="284" w:hanging="284"/>
        <w:jc w:val="both"/>
        <w:rPr>
          <w:rFonts w:ascii="Calibri" w:hAnsi="Calibri" w:cs="Calibri"/>
        </w:rPr>
      </w:pPr>
      <w:r w:rsidRPr="005A1933">
        <w:rPr>
          <w:rFonts w:ascii="Calibri" w:hAnsi="Calibri" w:cs="Calibri"/>
        </w:rPr>
        <w:t xml:space="preserve">Price, H., ‘Gerald of Wales and the Welsh Past,’ in Henley, G, and McMullen, A.J., (eds.), </w:t>
      </w:r>
      <w:r w:rsidRPr="005A1933">
        <w:rPr>
          <w:rFonts w:ascii="Calibri" w:hAnsi="Calibri" w:cs="Calibri"/>
          <w:i/>
          <w:iCs/>
        </w:rPr>
        <w:t>Gerald of Wales: New Perspectives on a Medieval Writer and Critic</w:t>
      </w:r>
      <w:r w:rsidRPr="005A1933">
        <w:rPr>
          <w:rFonts w:ascii="Calibri" w:hAnsi="Calibri" w:cs="Calibri"/>
        </w:rPr>
        <w:t>, (University of Wales Press, 2018), pp. 19-45.</w:t>
      </w:r>
    </w:p>
    <w:p w14:paraId="5F74D7B9" w14:textId="1E04694D" w:rsidR="004B25BC" w:rsidRDefault="004B25BC" w:rsidP="002451F7">
      <w:pPr>
        <w:ind w:left="284" w:hanging="284"/>
        <w:jc w:val="both"/>
        <w:rPr>
          <w:rFonts w:ascii="Calibri" w:hAnsi="Calibri" w:cs="Calibri"/>
        </w:rPr>
      </w:pPr>
      <w:r w:rsidRPr="005A1933">
        <w:rPr>
          <w:rFonts w:ascii="Calibri" w:hAnsi="Calibri" w:cs="Calibri"/>
        </w:rPr>
        <w:t xml:space="preserve">Raw, B. ‘Royal Power and Royal Symbols in </w:t>
      </w:r>
      <w:r w:rsidRPr="005A1933">
        <w:rPr>
          <w:rFonts w:ascii="Calibri" w:hAnsi="Calibri" w:cs="Calibri"/>
          <w:i/>
          <w:iCs/>
        </w:rPr>
        <w:t xml:space="preserve">Beowulf,’ </w:t>
      </w:r>
      <w:r w:rsidRPr="005A1933">
        <w:rPr>
          <w:rFonts w:ascii="Calibri" w:hAnsi="Calibri" w:cs="Calibri"/>
        </w:rPr>
        <w:t xml:space="preserve">in Carver, M. (ed.), </w:t>
      </w:r>
      <w:r w:rsidRPr="005A1933">
        <w:rPr>
          <w:rFonts w:ascii="Calibri" w:hAnsi="Calibri" w:cs="Calibri"/>
          <w:i/>
          <w:iCs/>
        </w:rPr>
        <w:t>The Age of Sutton Hoo: the Seventh Century in North-Western Europe</w:t>
      </w:r>
      <w:r w:rsidRPr="005A1933">
        <w:rPr>
          <w:rFonts w:ascii="Calibri" w:hAnsi="Calibri" w:cs="Calibri"/>
        </w:rPr>
        <w:t xml:space="preserve"> (Woodridge, 1992)., pp. 167-174</w:t>
      </w:r>
      <w:r>
        <w:rPr>
          <w:rFonts w:ascii="Calibri" w:hAnsi="Calibri" w:cs="Calibri"/>
        </w:rPr>
        <w:t>.</w:t>
      </w:r>
    </w:p>
    <w:p w14:paraId="2084B444" w14:textId="77777777" w:rsidR="004B25BC" w:rsidRPr="005A1933" w:rsidRDefault="004B25BC" w:rsidP="002451F7">
      <w:pPr>
        <w:ind w:left="284" w:hanging="284"/>
        <w:jc w:val="both"/>
        <w:rPr>
          <w:rFonts w:ascii="Calibri" w:hAnsi="Calibri" w:cs="Calibri"/>
        </w:rPr>
      </w:pPr>
      <w:r w:rsidRPr="005A1933">
        <w:rPr>
          <w:rFonts w:ascii="Calibri" w:hAnsi="Calibri" w:cs="Calibri"/>
        </w:rPr>
        <w:t xml:space="preserve">Russell, P., </w:t>
      </w:r>
      <w:r w:rsidRPr="005A1933">
        <w:rPr>
          <w:rFonts w:ascii="Calibri" w:hAnsi="Calibri" w:cs="Calibri"/>
          <w:i/>
          <w:iCs/>
        </w:rPr>
        <w:t>Vita Griffini Filii Conani: The Medieval Life of Grufudd ap Cynan,</w:t>
      </w:r>
      <w:r w:rsidRPr="005A1933">
        <w:rPr>
          <w:rFonts w:ascii="Calibri" w:hAnsi="Calibri" w:cs="Calibri"/>
        </w:rPr>
        <w:t xml:space="preserve"> Legonna Celtic Research Prize (2003).</w:t>
      </w:r>
    </w:p>
    <w:p w14:paraId="726EE194" w14:textId="77777777" w:rsidR="00F032A1" w:rsidRPr="005A1933" w:rsidRDefault="00F032A1" w:rsidP="002451F7">
      <w:pPr>
        <w:ind w:left="284" w:hanging="284"/>
        <w:jc w:val="both"/>
        <w:rPr>
          <w:rFonts w:ascii="Calibri" w:hAnsi="Calibri" w:cs="Calibri"/>
        </w:rPr>
      </w:pPr>
      <w:r w:rsidRPr="005A1933">
        <w:rPr>
          <w:rFonts w:ascii="Calibri" w:hAnsi="Calibri" w:cs="Calibri"/>
        </w:rPr>
        <w:t xml:space="preserve">Rowland, J., </w:t>
      </w:r>
      <w:r w:rsidRPr="005A1933">
        <w:rPr>
          <w:rFonts w:ascii="Calibri" w:hAnsi="Calibri" w:cs="Calibri"/>
          <w:i/>
          <w:iCs/>
        </w:rPr>
        <w:t xml:space="preserve">A Selection of Early Welsh Saga Poems, </w:t>
      </w:r>
      <w:r w:rsidRPr="005A1933">
        <w:rPr>
          <w:rFonts w:ascii="Calibri" w:hAnsi="Calibri" w:cs="Calibri"/>
        </w:rPr>
        <w:t xml:space="preserve">Modern Humanities Research Association (2014). </w:t>
      </w:r>
      <w:hyperlink r:id="rId34" w:history="1">
        <w:r w:rsidRPr="005A1933">
          <w:rPr>
            <w:rStyle w:val="Hyperlink"/>
            <w:rFonts w:ascii="Calibri" w:hAnsi="Calibri" w:cs="Calibri"/>
          </w:rPr>
          <w:t>https://www.jstor.org/stable/j.ctt9qfb96?turn_away=true</w:t>
        </w:r>
      </w:hyperlink>
      <w:r w:rsidRPr="005A1933">
        <w:rPr>
          <w:rFonts w:ascii="Calibri" w:hAnsi="Calibri" w:cs="Calibri"/>
        </w:rPr>
        <w:t xml:space="preserve"> </w:t>
      </w:r>
      <w:bookmarkStart w:id="44" w:name="_Hlk170048943"/>
      <w:r w:rsidRPr="005A1933">
        <w:rPr>
          <w:rFonts w:ascii="Calibri" w:hAnsi="Calibri" w:cs="Calibri"/>
        </w:rPr>
        <w:t>[first accessed 17/6/24].</w:t>
      </w:r>
      <w:bookmarkEnd w:id="44"/>
    </w:p>
    <w:p w14:paraId="02A98E11" w14:textId="2DCDA72A" w:rsidR="005F02EC" w:rsidRPr="005A1933" w:rsidRDefault="005F02EC" w:rsidP="002451F7">
      <w:pPr>
        <w:ind w:left="284" w:hanging="284"/>
        <w:jc w:val="both"/>
        <w:rPr>
          <w:rFonts w:ascii="Calibri" w:hAnsi="Calibri" w:cs="Calibri"/>
        </w:rPr>
      </w:pPr>
      <w:r w:rsidRPr="005A1933">
        <w:rPr>
          <w:rFonts w:ascii="Calibri" w:hAnsi="Calibri" w:cs="Calibri"/>
        </w:rPr>
        <w:t xml:space="preserve">Rowland, J., ‘Warfare and Horses in the </w:t>
      </w:r>
      <w:r w:rsidRPr="005A1933">
        <w:rPr>
          <w:rFonts w:ascii="Calibri" w:hAnsi="Calibri" w:cs="Calibri"/>
          <w:i/>
          <w:iCs/>
        </w:rPr>
        <w:t>Gododdin</w:t>
      </w:r>
      <w:r w:rsidRPr="005A1933">
        <w:rPr>
          <w:rFonts w:ascii="Calibri" w:hAnsi="Calibri" w:cs="Calibri"/>
        </w:rPr>
        <w:t xml:space="preserve"> and the problem of Catraeth,’ in </w:t>
      </w:r>
      <w:r w:rsidRPr="005A1933">
        <w:rPr>
          <w:rFonts w:ascii="Calibri" w:hAnsi="Calibri" w:cs="Calibri"/>
          <w:i/>
          <w:iCs/>
        </w:rPr>
        <w:t>Cambrian Medieval Celtic Studies</w:t>
      </w:r>
      <w:r w:rsidRPr="005A1933">
        <w:rPr>
          <w:rFonts w:ascii="Calibri" w:hAnsi="Calibri" w:cs="Calibri"/>
        </w:rPr>
        <w:t xml:space="preserve"> vol. 30 (Aberystwyth 1995) pp. 13-40.</w:t>
      </w:r>
    </w:p>
    <w:p w14:paraId="6F2E1E0C" w14:textId="77777777" w:rsidR="008A522E" w:rsidRPr="005A1933" w:rsidRDefault="008A522E" w:rsidP="002451F7">
      <w:pPr>
        <w:ind w:left="284" w:hanging="284"/>
        <w:jc w:val="both"/>
        <w:rPr>
          <w:rFonts w:ascii="Calibri" w:hAnsi="Calibri" w:cs="Calibri"/>
        </w:rPr>
      </w:pPr>
      <w:r w:rsidRPr="005A1933">
        <w:rPr>
          <w:rFonts w:ascii="Calibri" w:hAnsi="Calibri" w:cs="Calibri"/>
        </w:rPr>
        <w:t xml:space="preserve">Sir Richard Colt Hoare’s edition of David Powell’s </w:t>
      </w:r>
      <w:r w:rsidRPr="005A1933">
        <w:rPr>
          <w:rFonts w:ascii="Calibri" w:hAnsi="Calibri" w:cs="Calibri"/>
          <w:i/>
          <w:iCs/>
        </w:rPr>
        <w:t>Itinerarium Cambriae: seu laboriosae Balduini,</w:t>
      </w:r>
      <w:r w:rsidRPr="005A1933">
        <w:rPr>
          <w:rFonts w:ascii="Calibri" w:hAnsi="Calibri" w:cs="Calibri"/>
        </w:rPr>
        <w:t xml:space="preserve"> (London, 1804).</w:t>
      </w:r>
    </w:p>
    <w:p w14:paraId="155B19BB" w14:textId="4C43171C" w:rsidR="00F95B82" w:rsidRPr="005A1933" w:rsidRDefault="00F95B82" w:rsidP="002451F7">
      <w:pPr>
        <w:ind w:left="284" w:hanging="284"/>
        <w:jc w:val="both"/>
        <w:rPr>
          <w:rFonts w:ascii="Calibri" w:hAnsi="Calibri" w:cs="Calibri"/>
        </w:rPr>
      </w:pPr>
      <w:r w:rsidRPr="005A1933">
        <w:rPr>
          <w:rFonts w:ascii="Calibri" w:hAnsi="Calibri" w:cs="Calibri"/>
        </w:rPr>
        <w:t>Spearman, R.M., ‘Chain’ [Early Pictish metalwork, 6</w:t>
      </w:r>
      <w:r w:rsidRPr="005A1933">
        <w:rPr>
          <w:rFonts w:ascii="Calibri" w:hAnsi="Calibri" w:cs="Calibri"/>
          <w:vertAlign w:val="superscript"/>
        </w:rPr>
        <w:t>th</w:t>
      </w:r>
      <w:r w:rsidRPr="005A1933">
        <w:rPr>
          <w:rFonts w:ascii="Calibri" w:hAnsi="Calibri" w:cs="Calibri"/>
        </w:rPr>
        <w:t xml:space="preserve"> – 7</w:t>
      </w:r>
      <w:r w:rsidRPr="005A1933">
        <w:rPr>
          <w:rFonts w:ascii="Calibri" w:hAnsi="Calibri" w:cs="Calibri"/>
          <w:vertAlign w:val="superscript"/>
        </w:rPr>
        <w:t>th</w:t>
      </w:r>
      <w:r w:rsidRPr="005A1933">
        <w:rPr>
          <w:rFonts w:ascii="Calibri" w:hAnsi="Calibri" w:cs="Calibri"/>
        </w:rPr>
        <w:t xml:space="preserve"> centuries] In Youngs, S.,(ed.), </w:t>
      </w:r>
      <w:r w:rsidRPr="005A1933">
        <w:rPr>
          <w:rFonts w:ascii="Calibri" w:hAnsi="Calibri" w:cs="Calibri"/>
          <w:i/>
          <w:iCs/>
        </w:rPr>
        <w:t xml:space="preserve">‘The Work of Angels’: Masterpieces of Celtic Metalwork 6th-9th Centuries AD </w:t>
      </w:r>
      <w:r w:rsidRPr="005A1933">
        <w:rPr>
          <w:rFonts w:ascii="Calibri" w:hAnsi="Calibri" w:cs="Calibri"/>
        </w:rPr>
        <w:t>(London, 1989) p. 28.</w:t>
      </w:r>
    </w:p>
    <w:p w14:paraId="622DECD8" w14:textId="77777777" w:rsidR="0090205D" w:rsidRPr="005A1933" w:rsidRDefault="0090205D" w:rsidP="002451F7">
      <w:pPr>
        <w:ind w:left="284" w:hanging="284"/>
        <w:jc w:val="both"/>
        <w:rPr>
          <w:rFonts w:ascii="Calibri" w:hAnsi="Calibri" w:cs="Calibri"/>
        </w:rPr>
      </w:pPr>
      <w:r w:rsidRPr="005A1933">
        <w:rPr>
          <w:rFonts w:ascii="Calibri" w:hAnsi="Calibri" w:cs="Calibri"/>
        </w:rPr>
        <w:t xml:space="preserve">Thorpe, L. (trans.), </w:t>
      </w:r>
      <w:r w:rsidRPr="005A1933">
        <w:rPr>
          <w:rFonts w:ascii="Calibri" w:hAnsi="Calibri" w:cs="Calibri"/>
          <w:i/>
          <w:iCs/>
        </w:rPr>
        <w:t>Gerald of Wales, The journey through Wales and The Description of Wales</w:t>
      </w:r>
      <w:r w:rsidRPr="005A1933">
        <w:rPr>
          <w:rFonts w:ascii="Calibri" w:hAnsi="Calibri" w:cs="Calibri"/>
        </w:rPr>
        <w:t>, (Penguin Classics, 2004).</w:t>
      </w:r>
    </w:p>
    <w:p w14:paraId="6A92925C" w14:textId="77777777" w:rsidR="00016D27" w:rsidRPr="005A1933" w:rsidRDefault="00016D27" w:rsidP="002451F7">
      <w:pPr>
        <w:ind w:left="284" w:hanging="284"/>
        <w:jc w:val="both"/>
        <w:rPr>
          <w:rFonts w:ascii="Calibri" w:hAnsi="Calibri" w:cs="Calibri"/>
        </w:rPr>
      </w:pPr>
      <w:r w:rsidRPr="005A1933">
        <w:rPr>
          <w:rFonts w:ascii="Calibri" w:hAnsi="Calibri" w:cs="Calibri"/>
        </w:rPr>
        <w:t xml:space="preserve">Wade Evans, Rev. A. W., ‘The Brychan Documents’ in </w:t>
      </w:r>
      <w:r w:rsidRPr="005A1933">
        <w:rPr>
          <w:rFonts w:ascii="Calibri" w:hAnsi="Calibri" w:cs="Calibri"/>
          <w:i/>
          <w:iCs/>
        </w:rPr>
        <w:t>Y Cymmrodor: The Magazine of the Honourable Society of the Cymmrodorion</w:t>
      </w:r>
      <w:r w:rsidRPr="005A1933">
        <w:rPr>
          <w:rFonts w:ascii="Calibri" w:hAnsi="Calibri" w:cs="Calibri"/>
        </w:rPr>
        <w:t xml:space="preserve"> vol. XIX. (London 1906), pp. 18-50.</w:t>
      </w:r>
    </w:p>
    <w:p w14:paraId="0A1BE97A" w14:textId="77777777" w:rsidR="00634368" w:rsidRPr="005A1933" w:rsidRDefault="00634368" w:rsidP="002451F7">
      <w:pPr>
        <w:ind w:left="284" w:hanging="284"/>
        <w:jc w:val="both"/>
        <w:rPr>
          <w:rFonts w:ascii="Calibri" w:hAnsi="Calibri" w:cs="Calibri"/>
        </w:rPr>
      </w:pPr>
      <w:r w:rsidRPr="005A1933">
        <w:rPr>
          <w:rFonts w:ascii="Calibri" w:hAnsi="Calibri" w:cs="Calibri"/>
        </w:rPr>
        <w:t>Williams, P., ‘Dress and Dignity in the Mabinogion’, in </w:t>
      </w:r>
      <w:r w:rsidRPr="005A1933">
        <w:rPr>
          <w:rFonts w:ascii="Calibri" w:hAnsi="Calibri" w:cs="Calibri"/>
          <w:i/>
          <w:iCs/>
        </w:rPr>
        <w:t>Medieval Clothing and Textiles 8</w:t>
      </w:r>
      <w:r w:rsidRPr="005A1933">
        <w:rPr>
          <w:rFonts w:ascii="Calibri" w:hAnsi="Calibri" w:cs="Calibri"/>
        </w:rPr>
        <w:t> (Woodbridge, 2012), viii pp. 83–114.</w:t>
      </w:r>
    </w:p>
    <w:p w14:paraId="29F898EA" w14:textId="77777777" w:rsidR="00016D27" w:rsidRPr="005A1933" w:rsidRDefault="00016D27" w:rsidP="002451F7">
      <w:pPr>
        <w:ind w:left="284" w:hanging="284"/>
        <w:jc w:val="both"/>
        <w:rPr>
          <w:rFonts w:ascii="Calibri" w:hAnsi="Calibri" w:cs="Calibri"/>
        </w:rPr>
      </w:pPr>
      <w:r w:rsidRPr="005A1933">
        <w:rPr>
          <w:rFonts w:ascii="Calibri" w:hAnsi="Calibri" w:cs="Calibri"/>
        </w:rPr>
        <w:t>Williams, J.E.C., Lynch, P. I. and Gruffydd, R. G. (eds), </w:t>
      </w:r>
      <w:r w:rsidRPr="005A1933">
        <w:rPr>
          <w:rFonts w:ascii="Calibri" w:hAnsi="Calibri" w:cs="Calibri"/>
          <w:i/>
          <w:iCs/>
        </w:rPr>
        <w:t>Gwaith Meilyr Brydydd a’i Ddisgynyddion, ynghyd â Dwy Awdl Fawl Ddienw o Ddeheubarth </w:t>
      </w:r>
      <w:r w:rsidRPr="005A1933">
        <w:rPr>
          <w:rFonts w:ascii="Calibri" w:hAnsi="Calibri" w:cs="Calibri"/>
        </w:rPr>
        <w:t xml:space="preserve">(Cardiff: University of Wales Press, 1994). </w:t>
      </w:r>
    </w:p>
    <w:p w14:paraId="62D6323B" w14:textId="06C8C687" w:rsidR="004254BA" w:rsidRPr="005A1933" w:rsidRDefault="00431BFF" w:rsidP="002451F7">
      <w:pPr>
        <w:ind w:left="284" w:hanging="284"/>
        <w:jc w:val="both"/>
        <w:rPr>
          <w:rFonts w:ascii="Calibri" w:hAnsi="Calibri" w:cs="Calibri"/>
        </w:rPr>
      </w:pPr>
      <w:r w:rsidRPr="005A1933">
        <w:rPr>
          <w:rFonts w:ascii="Calibri" w:hAnsi="Calibri" w:cs="Calibri"/>
        </w:rPr>
        <w:t xml:space="preserve">‘White Book of Rhydderch,’ manuscript scan at NLW, </w:t>
      </w:r>
      <w:hyperlink r:id="rId35" w:history="1">
        <w:r w:rsidRPr="005A1933">
          <w:rPr>
            <w:rStyle w:val="Hyperlink"/>
            <w:rFonts w:ascii="Calibri" w:hAnsi="Calibri" w:cs="Calibri"/>
          </w:rPr>
          <w:t>White Book of Rhydderch - National Library of Wales</w:t>
        </w:r>
      </w:hyperlink>
      <w:r w:rsidRPr="005A1933">
        <w:rPr>
          <w:rFonts w:ascii="Calibri" w:hAnsi="Calibri" w:cs="Calibri"/>
        </w:rPr>
        <w:t xml:space="preserve"> [first accessed 09/11/23].</w:t>
      </w:r>
      <w:r w:rsidR="00020BF9" w:rsidRPr="005A1933">
        <w:rPr>
          <w:rFonts w:ascii="Calibri" w:hAnsi="Calibri" w:cs="Calibri"/>
        </w:rPr>
        <w:t xml:space="preserve"> Manuscript reference: Peniarth MS 4.</w:t>
      </w:r>
    </w:p>
    <w:sectPr w:rsidR="004254BA" w:rsidRPr="005A1933" w:rsidSect="00261729">
      <w:head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B58D57" w14:textId="77777777" w:rsidR="004717DD" w:rsidRDefault="004717DD" w:rsidP="00371B3E">
      <w:pPr>
        <w:spacing w:after="0" w:line="240" w:lineRule="auto"/>
      </w:pPr>
      <w:r>
        <w:separator/>
      </w:r>
    </w:p>
  </w:endnote>
  <w:endnote w:type="continuationSeparator" w:id="0">
    <w:p w14:paraId="55E6B904" w14:textId="77777777" w:rsidR="004717DD" w:rsidRDefault="004717DD" w:rsidP="00371B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4A4E95" w14:textId="77777777" w:rsidR="004717DD" w:rsidRDefault="004717DD" w:rsidP="00371B3E">
      <w:pPr>
        <w:spacing w:after="0" w:line="240" w:lineRule="auto"/>
      </w:pPr>
      <w:r>
        <w:separator/>
      </w:r>
    </w:p>
  </w:footnote>
  <w:footnote w:type="continuationSeparator" w:id="0">
    <w:p w14:paraId="7094BE46" w14:textId="77777777" w:rsidR="004717DD" w:rsidRDefault="004717DD" w:rsidP="00371B3E">
      <w:pPr>
        <w:spacing w:after="0" w:line="240" w:lineRule="auto"/>
      </w:pPr>
      <w:r>
        <w:continuationSeparator/>
      </w:r>
    </w:p>
  </w:footnote>
  <w:footnote w:id="1">
    <w:p w14:paraId="4EBC9144" w14:textId="77777777" w:rsidR="009048AD" w:rsidRPr="00DC64DE" w:rsidRDefault="009048AD" w:rsidP="009048AD">
      <w:pPr>
        <w:pStyle w:val="FootnoteText"/>
        <w:rPr>
          <w:i/>
          <w:iCs/>
          <w:sz w:val="16"/>
          <w:szCs w:val="16"/>
        </w:rPr>
      </w:pPr>
      <w:r w:rsidRPr="00DC64DE">
        <w:rPr>
          <w:rStyle w:val="FootnoteReference"/>
          <w:sz w:val="16"/>
          <w:szCs w:val="16"/>
        </w:rPr>
        <w:footnoteRef/>
      </w:r>
      <w:r w:rsidRPr="00DC64DE">
        <w:rPr>
          <w:sz w:val="16"/>
          <w:szCs w:val="16"/>
        </w:rPr>
        <w:t xml:space="preserve"> </w:t>
      </w:r>
      <w:r w:rsidRPr="00DC64DE">
        <w:rPr>
          <w:i/>
          <w:iCs/>
          <w:sz w:val="16"/>
          <w:szCs w:val="16"/>
        </w:rPr>
        <w:t>Snettisham Great Torc, British Museum:</w:t>
      </w:r>
    </w:p>
    <w:p w14:paraId="331DC448" w14:textId="77777777" w:rsidR="009048AD" w:rsidRPr="00DC64DE" w:rsidRDefault="00000000" w:rsidP="009048AD">
      <w:pPr>
        <w:pStyle w:val="FootnoteText"/>
        <w:rPr>
          <w:i/>
          <w:iCs/>
        </w:rPr>
      </w:pPr>
      <w:hyperlink r:id="rId1" w:history="1">
        <w:r w:rsidR="009048AD" w:rsidRPr="00DC64DE">
          <w:rPr>
            <w:rStyle w:val="Hyperlink"/>
            <w:i/>
            <w:iCs/>
            <w:sz w:val="16"/>
            <w:szCs w:val="16"/>
          </w:rPr>
          <w:t>https://www.britishmuseum.org/collection/object/H_1951-0402-2</w:t>
        </w:r>
      </w:hyperlink>
      <w:r w:rsidR="009048AD" w:rsidRPr="00DC64DE">
        <w:rPr>
          <w:i/>
          <w:iCs/>
          <w:sz w:val="16"/>
          <w:szCs w:val="16"/>
        </w:rPr>
        <w:t xml:space="preserve"> [first accessed 12/10/23].</w:t>
      </w:r>
    </w:p>
  </w:footnote>
  <w:footnote w:id="2">
    <w:p w14:paraId="36B45D40" w14:textId="2C6FE6F3" w:rsidR="00664885" w:rsidRDefault="00664885">
      <w:pPr>
        <w:pStyle w:val="FootnoteText"/>
      </w:pPr>
      <w:r w:rsidRPr="001C6338">
        <w:rPr>
          <w:rStyle w:val="FootnoteReference"/>
          <w:sz w:val="16"/>
          <w:szCs w:val="16"/>
        </w:rPr>
        <w:footnoteRef/>
      </w:r>
      <w:r w:rsidRPr="001C6338">
        <w:rPr>
          <w:sz w:val="16"/>
          <w:szCs w:val="16"/>
        </w:rPr>
        <w:t xml:space="preserve"> </w:t>
      </w:r>
      <w:r w:rsidR="001C6338">
        <w:rPr>
          <w:sz w:val="16"/>
          <w:szCs w:val="16"/>
        </w:rPr>
        <w:t xml:space="preserve">The ‘Prince of Glauberg’ is an excellent example of this: </w:t>
      </w:r>
      <w:hyperlink r:id="rId2" w:history="1">
        <w:r w:rsidR="001C6338" w:rsidRPr="00D527CC">
          <w:rPr>
            <w:rStyle w:val="Hyperlink"/>
            <w:sz w:val="16"/>
            <w:szCs w:val="16"/>
          </w:rPr>
          <w:t>https://www.worldhistory.org/image/9799/prince-of-glauberg/</w:t>
        </w:r>
      </w:hyperlink>
      <w:r w:rsidR="001C6338">
        <w:rPr>
          <w:sz w:val="16"/>
          <w:szCs w:val="16"/>
        </w:rPr>
        <w:t xml:space="preserve"> [first accessed 10/12/24].</w:t>
      </w:r>
    </w:p>
  </w:footnote>
  <w:footnote w:id="3">
    <w:p w14:paraId="4D589EFA" w14:textId="77777777" w:rsidR="00761F5A" w:rsidRDefault="00761F5A" w:rsidP="00761F5A">
      <w:pPr>
        <w:pStyle w:val="FootnoteText"/>
        <w:rPr>
          <w:sz w:val="16"/>
          <w:szCs w:val="16"/>
        </w:rPr>
      </w:pPr>
      <w:r w:rsidRPr="006E145B">
        <w:rPr>
          <w:rStyle w:val="FootnoteReference"/>
          <w:sz w:val="16"/>
          <w:szCs w:val="16"/>
        </w:rPr>
        <w:footnoteRef/>
      </w:r>
      <w:r w:rsidRPr="006E145B">
        <w:rPr>
          <w:sz w:val="16"/>
          <w:szCs w:val="16"/>
        </w:rPr>
        <w:t xml:space="preserve"> </w:t>
      </w:r>
      <w:r>
        <w:rPr>
          <w:sz w:val="16"/>
          <w:szCs w:val="16"/>
        </w:rPr>
        <w:t xml:space="preserve">Raymund Karl’s entry for ‘Torc’ in the Encyclopedia of Celtic Culture provides a useful overview of the Torc in the ancient Celtic world, and briefly considers the question - central to this dissertation – of whether it survived into the post-roman era: </w:t>
      </w:r>
    </w:p>
    <w:p w14:paraId="5BD7B3BC" w14:textId="77777777" w:rsidR="00761F5A" w:rsidRDefault="00761F5A" w:rsidP="00761F5A">
      <w:pPr>
        <w:pStyle w:val="FootnoteText"/>
      </w:pPr>
      <w:r w:rsidRPr="006E145B">
        <w:rPr>
          <w:sz w:val="16"/>
          <w:szCs w:val="16"/>
        </w:rPr>
        <w:t xml:space="preserve">Karl, R., ‘Torc’ in </w:t>
      </w:r>
      <w:r>
        <w:rPr>
          <w:sz w:val="16"/>
          <w:szCs w:val="16"/>
        </w:rPr>
        <w:t xml:space="preserve">Koch, J. T. (ed.), </w:t>
      </w:r>
      <w:r w:rsidRPr="006E145B">
        <w:rPr>
          <w:i/>
          <w:iCs/>
          <w:sz w:val="16"/>
          <w:szCs w:val="16"/>
        </w:rPr>
        <w:t>Encyclopedia of Celtic Culture</w:t>
      </w:r>
      <w:r w:rsidRPr="006E145B">
        <w:rPr>
          <w:sz w:val="16"/>
          <w:szCs w:val="16"/>
        </w:rPr>
        <w:t xml:space="preserve"> pp. 1681-1683, </w:t>
      </w:r>
      <w:r>
        <w:rPr>
          <w:sz w:val="16"/>
          <w:szCs w:val="16"/>
        </w:rPr>
        <w:t>(</w:t>
      </w:r>
      <w:r w:rsidRPr="006E145B">
        <w:rPr>
          <w:sz w:val="16"/>
          <w:szCs w:val="16"/>
        </w:rPr>
        <w:t>digital, accessed 23/5)</w:t>
      </w:r>
      <w:r>
        <w:rPr>
          <w:sz w:val="16"/>
          <w:szCs w:val="16"/>
        </w:rPr>
        <w:t>.</w:t>
      </w:r>
    </w:p>
  </w:footnote>
  <w:footnote w:id="4">
    <w:p w14:paraId="7C6A9AD3" w14:textId="7CBF2786" w:rsidR="00761F5A" w:rsidRPr="004033AC" w:rsidRDefault="00761F5A" w:rsidP="00761F5A">
      <w:pPr>
        <w:pStyle w:val="FootnoteText"/>
        <w:rPr>
          <w:sz w:val="16"/>
          <w:szCs w:val="16"/>
        </w:rPr>
      </w:pPr>
      <w:r w:rsidRPr="005840DF">
        <w:rPr>
          <w:rStyle w:val="FootnoteReference"/>
          <w:sz w:val="16"/>
          <w:szCs w:val="16"/>
        </w:rPr>
        <w:footnoteRef/>
      </w:r>
      <w:r w:rsidRPr="005840DF">
        <w:rPr>
          <w:sz w:val="16"/>
          <w:szCs w:val="16"/>
        </w:rPr>
        <w:t xml:space="preserve"> Cessford, C., ‘Torcs in Early Historic Scotland,’ in </w:t>
      </w:r>
      <w:r w:rsidRPr="005840DF">
        <w:rPr>
          <w:i/>
          <w:iCs/>
          <w:sz w:val="16"/>
          <w:szCs w:val="16"/>
        </w:rPr>
        <w:t xml:space="preserve">Oxford Journal of Archaeology, </w:t>
      </w:r>
      <w:r w:rsidRPr="005840DF">
        <w:rPr>
          <w:sz w:val="16"/>
          <w:szCs w:val="16"/>
        </w:rPr>
        <w:t>vol. 14. (1995), pp. 229-242.</w:t>
      </w:r>
      <w:r>
        <w:rPr>
          <w:sz w:val="16"/>
          <w:szCs w:val="16"/>
        </w:rPr>
        <w:t>, p. 233.</w:t>
      </w:r>
    </w:p>
  </w:footnote>
  <w:footnote w:id="5">
    <w:p w14:paraId="20C29D25" w14:textId="77777777" w:rsidR="00761F5A" w:rsidRDefault="00761F5A" w:rsidP="00761F5A">
      <w:pPr>
        <w:pStyle w:val="FootnoteText"/>
      </w:pPr>
      <w:r>
        <w:rPr>
          <w:rStyle w:val="FootnoteReference"/>
        </w:rPr>
        <w:footnoteRef/>
      </w:r>
      <w:r>
        <w:t xml:space="preserve"> </w:t>
      </w:r>
      <w:r w:rsidRPr="006E145B">
        <w:rPr>
          <w:sz w:val="16"/>
          <w:szCs w:val="16"/>
        </w:rPr>
        <w:t xml:space="preserve">Karl, ‘Torc’ in </w:t>
      </w:r>
      <w:r w:rsidRPr="006E145B">
        <w:rPr>
          <w:i/>
          <w:iCs/>
          <w:sz w:val="16"/>
          <w:szCs w:val="16"/>
        </w:rPr>
        <w:t>Encyclopedia of Celtic Culture</w:t>
      </w:r>
      <w:r>
        <w:rPr>
          <w:sz w:val="16"/>
          <w:szCs w:val="16"/>
        </w:rPr>
        <w:t xml:space="preserve">, </w:t>
      </w:r>
      <w:r w:rsidRPr="006D59C9">
        <w:rPr>
          <w:sz w:val="16"/>
          <w:szCs w:val="16"/>
        </w:rPr>
        <w:t>p. 1682.</w:t>
      </w:r>
    </w:p>
  </w:footnote>
  <w:footnote w:id="6">
    <w:p w14:paraId="2586057E" w14:textId="77777777" w:rsidR="00A46BD2" w:rsidRPr="007F1C0F" w:rsidRDefault="00A46BD2" w:rsidP="00A46BD2">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The poem does at one point give the number 363 (line 243), but this is likely, as Jarman says in his note on this line (p.93.) that this is likely a later interpolation, since the number formula is part of the popular antiquarian tastes of the later middle-ages.</w:t>
      </w:r>
    </w:p>
  </w:footnote>
  <w:footnote w:id="7">
    <w:p w14:paraId="1931B36E" w14:textId="77777777" w:rsidR="005F1A99" w:rsidRPr="007F1C0F" w:rsidRDefault="005F1A99" w:rsidP="005F1A99">
      <w:pPr>
        <w:pStyle w:val="FootnoteText"/>
        <w:rPr>
          <w:sz w:val="16"/>
          <w:szCs w:val="16"/>
        </w:rPr>
      </w:pPr>
      <w:r w:rsidRPr="007F1C0F">
        <w:rPr>
          <w:rStyle w:val="FootnoteReference"/>
          <w:sz w:val="16"/>
          <w:szCs w:val="16"/>
        </w:rPr>
        <w:footnoteRef/>
      </w:r>
      <w:r w:rsidRPr="007F1C0F">
        <w:rPr>
          <w:sz w:val="16"/>
          <w:szCs w:val="16"/>
        </w:rPr>
        <w:t xml:space="preserve"> </w:t>
      </w:r>
      <w:r w:rsidRPr="007F1C0F">
        <w:rPr>
          <w:rFonts w:cs="Calibri"/>
          <w:sz w:val="16"/>
          <w:szCs w:val="16"/>
        </w:rPr>
        <w:t xml:space="preserve">Jarman, A.O.H., (trans. Ed.), </w:t>
      </w:r>
      <w:r w:rsidRPr="007F1C0F">
        <w:rPr>
          <w:rFonts w:cs="Calibri"/>
          <w:i/>
          <w:iCs/>
          <w:sz w:val="16"/>
          <w:szCs w:val="16"/>
        </w:rPr>
        <w:t xml:space="preserve">Y Gododdin: Britain’s Oldest Heroic Poem, </w:t>
      </w:r>
      <w:r>
        <w:rPr>
          <w:rFonts w:cs="Calibri"/>
          <w:sz w:val="16"/>
          <w:szCs w:val="16"/>
        </w:rPr>
        <w:t>(</w:t>
      </w:r>
      <w:r w:rsidRPr="007F1C0F">
        <w:rPr>
          <w:rFonts w:cs="Calibri"/>
          <w:sz w:val="16"/>
          <w:szCs w:val="16"/>
        </w:rPr>
        <w:t>Gomer</w:t>
      </w:r>
      <w:r>
        <w:rPr>
          <w:rFonts w:cs="Calibri"/>
          <w:sz w:val="16"/>
          <w:szCs w:val="16"/>
        </w:rPr>
        <w:t xml:space="preserve"> Press, </w:t>
      </w:r>
      <w:r w:rsidRPr="007F1C0F">
        <w:rPr>
          <w:rFonts w:cs="Calibri"/>
          <w:sz w:val="16"/>
          <w:szCs w:val="16"/>
        </w:rPr>
        <w:t>Llandysul, 1990), p. xvi.</w:t>
      </w:r>
    </w:p>
  </w:footnote>
  <w:footnote w:id="8">
    <w:p w14:paraId="22BD3D2F" w14:textId="77777777" w:rsidR="005F1A99" w:rsidRPr="007F1C0F" w:rsidRDefault="005F1A99" w:rsidP="005F1A99">
      <w:pPr>
        <w:pStyle w:val="FootnoteText"/>
        <w:rPr>
          <w:rFonts w:cs="Calibri"/>
          <w:i/>
          <w:iCs/>
          <w:sz w:val="16"/>
          <w:szCs w:val="16"/>
        </w:rPr>
      </w:pPr>
      <w:r w:rsidRPr="007F1C0F">
        <w:rPr>
          <w:rStyle w:val="FootnoteReference"/>
          <w:rFonts w:cs="Calibri"/>
          <w:sz w:val="16"/>
          <w:szCs w:val="16"/>
        </w:rPr>
        <w:footnoteRef/>
      </w:r>
      <w:r w:rsidRPr="007F1C0F">
        <w:rPr>
          <w:rFonts w:cs="Calibri"/>
          <w:sz w:val="16"/>
          <w:szCs w:val="16"/>
        </w:rPr>
        <w:t xml:space="preserve"> Dumville, D.N., ‘Early Welsh Poetry: Problems of Historicity’, in Roberts, B.F., (ed.) </w:t>
      </w:r>
      <w:r w:rsidRPr="007F1C0F">
        <w:rPr>
          <w:rFonts w:cs="Calibri"/>
          <w:i/>
          <w:iCs/>
          <w:sz w:val="16"/>
          <w:szCs w:val="16"/>
        </w:rPr>
        <w:t>Early Welsh Poetry Studies in the Book of Aneirin (Aberystwyth 1988), pp.1-16., p. 1.</w:t>
      </w:r>
    </w:p>
  </w:footnote>
  <w:footnote w:id="9">
    <w:p w14:paraId="50E0ECB8" w14:textId="62B90679"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w:t>
      </w:r>
      <w:r w:rsidR="00AD5703">
        <w:rPr>
          <w:rFonts w:cs="Calibri"/>
          <w:sz w:val="16"/>
          <w:szCs w:val="16"/>
        </w:rPr>
        <w:t xml:space="preserve">Drumville, </w:t>
      </w:r>
      <w:r w:rsidR="00AD5703" w:rsidRPr="007F1C0F">
        <w:rPr>
          <w:rFonts w:cs="Calibri"/>
          <w:sz w:val="16"/>
          <w:szCs w:val="16"/>
        </w:rPr>
        <w:t>‘Early Welsh Poetry: Problems of Historicity</w:t>
      </w:r>
      <w:r w:rsidR="00AD5703">
        <w:rPr>
          <w:rFonts w:cs="Calibri"/>
          <w:sz w:val="16"/>
          <w:szCs w:val="16"/>
        </w:rPr>
        <w:t>,</w:t>
      </w:r>
      <w:r w:rsidR="00AD5703" w:rsidRPr="007F1C0F">
        <w:rPr>
          <w:rFonts w:cs="Calibri"/>
          <w:sz w:val="16"/>
          <w:szCs w:val="16"/>
        </w:rPr>
        <w:t>’</w:t>
      </w:r>
      <w:r w:rsidR="00AD5703">
        <w:rPr>
          <w:rFonts w:cs="Calibri"/>
          <w:sz w:val="16"/>
          <w:szCs w:val="16"/>
        </w:rPr>
        <w:t xml:space="preserve"> </w:t>
      </w:r>
      <w:r w:rsidRPr="007F1C0F">
        <w:rPr>
          <w:rFonts w:cs="Calibri"/>
          <w:sz w:val="16"/>
          <w:szCs w:val="16"/>
        </w:rPr>
        <w:t xml:space="preserve"> p. 3.</w:t>
      </w:r>
    </w:p>
  </w:footnote>
  <w:footnote w:id="10">
    <w:p w14:paraId="5FE634F8"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Ibid., p. 8.</w:t>
      </w:r>
    </w:p>
  </w:footnote>
  <w:footnote w:id="11">
    <w:p w14:paraId="1D8AFE0A"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Ibid., p. 5</w:t>
      </w:r>
    </w:p>
  </w:footnote>
  <w:footnote w:id="12">
    <w:p w14:paraId="78408758"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Koch, J. T. (1997), </w:t>
      </w:r>
      <w:r w:rsidRPr="007F1C0F">
        <w:rPr>
          <w:rFonts w:cs="Calibri"/>
          <w:i/>
          <w:iCs/>
          <w:sz w:val="16"/>
          <w:szCs w:val="16"/>
        </w:rPr>
        <w:t>The Gododdin of Aneirin: Text and Context from Dark-Age North Britain</w:t>
      </w:r>
      <w:r w:rsidRPr="007F1C0F">
        <w:rPr>
          <w:rFonts w:cs="Calibri"/>
          <w:sz w:val="16"/>
          <w:szCs w:val="16"/>
        </w:rPr>
        <w:t xml:space="preserve"> (Cardiff, 1980), p. xii.</w:t>
      </w:r>
    </w:p>
  </w:footnote>
  <w:footnote w:id="13">
    <w:p w14:paraId="5E952045"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Koch, J. T., ‘</w:t>
      </w:r>
      <w:r w:rsidRPr="007F1C0F">
        <w:rPr>
          <w:rFonts w:cs="Calibri"/>
          <w:i/>
          <w:iCs/>
          <w:sz w:val="16"/>
          <w:szCs w:val="16"/>
        </w:rPr>
        <w:t xml:space="preserve">llawr en asseδ </w:t>
      </w:r>
      <w:r w:rsidRPr="007F1C0F">
        <w:rPr>
          <w:rFonts w:cs="Calibri"/>
          <w:sz w:val="16"/>
          <w:szCs w:val="16"/>
        </w:rPr>
        <w:t xml:space="preserve">(C[anu] A[neirin] 932): “The Laureate Hero in the War-Chariot”: some Recollections of the Iron Age in the Gododdin’ in </w:t>
      </w:r>
      <w:r w:rsidRPr="007F1C0F">
        <w:rPr>
          <w:rFonts w:cs="Calibri"/>
          <w:i/>
          <w:iCs/>
          <w:sz w:val="16"/>
          <w:szCs w:val="16"/>
        </w:rPr>
        <w:t>Études Celtiques</w:t>
      </w:r>
      <w:r w:rsidRPr="007F1C0F">
        <w:rPr>
          <w:rFonts w:cs="Calibri"/>
          <w:sz w:val="16"/>
          <w:szCs w:val="16"/>
        </w:rPr>
        <w:t xml:space="preserve"> vol. 24 (1987), pp. 253–278., p. 253.</w:t>
      </w:r>
    </w:p>
  </w:footnote>
  <w:footnote w:id="14">
    <w:p w14:paraId="1A03E716"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w:t>
      </w:r>
      <w:r w:rsidRPr="007F1C0F">
        <w:rPr>
          <w:rFonts w:cs="Calibri"/>
          <w:i/>
          <w:iCs/>
          <w:sz w:val="16"/>
          <w:szCs w:val="16"/>
        </w:rPr>
        <w:t xml:space="preserve"> </w:t>
      </w:r>
      <w:r w:rsidRPr="007F1C0F">
        <w:rPr>
          <w:rFonts w:cs="Calibri"/>
          <w:sz w:val="16"/>
          <w:szCs w:val="16"/>
        </w:rPr>
        <w:t>Line 718 in the Jarman version; he transcribes it as ‘llawr yn arswyd,’ which he translates as ‘champion…in a conflict.’</w:t>
      </w:r>
    </w:p>
  </w:footnote>
  <w:footnote w:id="15">
    <w:p w14:paraId="22C4FFAD"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Koch, </w:t>
      </w:r>
      <w:r w:rsidRPr="007F1C0F">
        <w:rPr>
          <w:rFonts w:cs="Calibri"/>
          <w:i/>
          <w:iCs/>
          <w:sz w:val="16"/>
          <w:szCs w:val="16"/>
        </w:rPr>
        <w:t>llawr en asseδ,</w:t>
      </w:r>
      <w:r w:rsidRPr="007F1C0F">
        <w:rPr>
          <w:rFonts w:cs="Calibri"/>
          <w:sz w:val="16"/>
          <w:szCs w:val="16"/>
        </w:rPr>
        <w:t xml:space="preserve"> p. 257.</w:t>
      </w:r>
    </w:p>
  </w:footnote>
  <w:footnote w:id="16">
    <w:p w14:paraId="7A914AAA"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Cessford, C., ‘Jewellery and the Gododdin Poem,’ in </w:t>
      </w:r>
      <w:r w:rsidRPr="007F1C0F">
        <w:rPr>
          <w:rFonts w:cs="Calibri"/>
          <w:i/>
          <w:iCs/>
          <w:sz w:val="16"/>
          <w:szCs w:val="16"/>
        </w:rPr>
        <w:t>Jewellery Studies</w:t>
      </w:r>
      <w:r w:rsidRPr="007F1C0F">
        <w:rPr>
          <w:rFonts w:cs="Calibri"/>
          <w:sz w:val="16"/>
          <w:szCs w:val="16"/>
        </w:rPr>
        <w:t xml:space="preserve"> vol. 7 (1996), pp. 57-61., p 57.</w:t>
      </w:r>
    </w:p>
  </w:footnote>
  <w:footnote w:id="17">
    <w:p w14:paraId="32EA4C27"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Koch, ‘</w:t>
      </w:r>
      <w:r w:rsidRPr="007F1C0F">
        <w:rPr>
          <w:rFonts w:cs="Calibri"/>
          <w:i/>
          <w:iCs/>
          <w:sz w:val="16"/>
          <w:szCs w:val="16"/>
        </w:rPr>
        <w:t>llawr en asseδ</w:t>
      </w:r>
      <w:r>
        <w:rPr>
          <w:rFonts w:cs="Calibri"/>
          <w:i/>
          <w:iCs/>
          <w:sz w:val="16"/>
          <w:szCs w:val="16"/>
        </w:rPr>
        <w:t>,</w:t>
      </w:r>
      <w:r w:rsidRPr="007F1C0F">
        <w:rPr>
          <w:rFonts w:cs="Calibri"/>
          <w:sz w:val="16"/>
          <w:szCs w:val="16"/>
        </w:rPr>
        <w:t xml:space="preserve"> p. 270.</w:t>
      </w:r>
    </w:p>
  </w:footnote>
  <w:footnote w:id="18">
    <w:p w14:paraId="61783953" w14:textId="77777777" w:rsidR="005F1A99" w:rsidRPr="007F1C0F" w:rsidRDefault="005F1A99" w:rsidP="005F1A99">
      <w:pPr>
        <w:spacing w:line="240" w:lineRule="auto"/>
        <w:jc w:val="both"/>
        <w:rPr>
          <w:rFonts w:cs="Calibri"/>
          <w:sz w:val="16"/>
          <w:szCs w:val="16"/>
        </w:rPr>
      </w:pPr>
      <w:r w:rsidRPr="007F1C0F">
        <w:rPr>
          <w:rStyle w:val="FootnoteReference"/>
          <w:rFonts w:cs="Calibri"/>
          <w:sz w:val="16"/>
          <w:szCs w:val="16"/>
        </w:rPr>
        <w:footnoteRef/>
      </w:r>
      <w:r w:rsidRPr="007F1C0F">
        <w:rPr>
          <w:rFonts w:cs="Calibri"/>
          <w:sz w:val="16"/>
          <w:szCs w:val="16"/>
        </w:rPr>
        <w:t xml:space="preserve"> </w:t>
      </w:r>
      <w:bookmarkStart w:id="3" w:name="_Hlk170046804"/>
      <w:r w:rsidRPr="007F1C0F">
        <w:rPr>
          <w:rFonts w:eastAsia="Calibri" w:cs="Calibri"/>
          <w:kern w:val="0"/>
          <w:sz w:val="16"/>
          <w:szCs w:val="16"/>
          <w14:ligatures w14:val="none"/>
        </w:rPr>
        <w:t>Day, J., ‘Weapons and Fighting in Y Gododdin’,</w:t>
      </w:r>
      <w:r>
        <w:rPr>
          <w:rFonts w:eastAsia="Calibri" w:cs="Calibri"/>
          <w:kern w:val="0"/>
          <w:sz w:val="16"/>
          <w:szCs w:val="16"/>
          <w14:ligatures w14:val="none"/>
        </w:rPr>
        <w:t xml:space="preserve"> in</w:t>
      </w:r>
      <w:r w:rsidRPr="007F1C0F">
        <w:rPr>
          <w:rFonts w:eastAsia="Calibri" w:cs="Calibri"/>
          <w:kern w:val="0"/>
          <w:sz w:val="16"/>
          <w:szCs w:val="16"/>
          <w14:ligatures w14:val="none"/>
        </w:rPr>
        <w:t xml:space="preserve"> </w:t>
      </w:r>
      <w:r w:rsidRPr="007F1C0F">
        <w:rPr>
          <w:rFonts w:eastAsia="Calibri" w:cs="Calibri"/>
          <w:i/>
          <w:iCs/>
          <w:kern w:val="0"/>
          <w:sz w:val="16"/>
          <w:szCs w:val="16"/>
          <w14:ligatures w14:val="none"/>
        </w:rPr>
        <w:t>Studia Celtica</w:t>
      </w:r>
      <w:r w:rsidRPr="007F1C0F">
        <w:rPr>
          <w:rFonts w:eastAsia="Calibri" w:cs="Calibri"/>
          <w:kern w:val="0"/>
          <w:sz w:val="16"/>
          <w:szCs w:val="16"/>
          <w14:ligatures w14:val="none"/>
        </w:rPr>
        <w:t>, 49.1 (2015), pp. 121–47.</w:t>
      </w:r>
      <w:bookmarkEnd w:id="3"/>
      <w:r w:rsidRPr="007F1C0F">
        <w:rPr>
          <w:rFonts w:eastAsia="Calibri" w:cs="Calibri"/>
          <w:kern w:val="0"/>
          <w:sz w:val="16"/>
          <w:szCs w:val="16"/>
          <w14:ligatures w14:val="none"/>
        </w:rPr>
        <w:t>, p.</w:t>
      </w:r>
      <w:r w:rsidRPr="007F1C0F">
        <w:rPr>
          <w:rFonts w:cs="Calibri"/>
          <w:sz w:val="16"/>
          <w:szCs w:val="16"/>
        </w:rPr>
        <w:t xml:space="preserve"> 123.</w:t>
      </w:r>
    </w:p>
  </w:footnote>
  <w:footnote w:id="19">
    <w:p w14:paraId="5C3C1817"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w:t>
      </w:r>
      <w:bookmarkStart w:id="4" w:name="_Hlk170047266"/>
      <w:r w:rsidRPr="007F1C0F">
        <w:rPr>
          <w:rFonts w:cs="Calibri"/>
          <w:sz w:val="16"/>
          <w:szCs w:val="16"/>
        </w:rPr>
        <w:t xml:space="preserve">Rowland, J., ‘Warfare and Horses in the </w:t>
      </w:r>
      <w:r w:rsidRPr="007F1C0F">
        <w:rPr>
          <w:rFonts w:cs="Calibri"/>
          <w:i/>
          <w:iCs/>
          <w:sz w:val="16"/>
          <w:szCs w:val="16"/>
        </w:rPr>
        <w:t>Gododdin</w:t>
      </w:r>
      <w:r w:rsidRPr="007F1C0F">
        <w:rPr>
          <w:rFonts w:cs="Calibri"/>
          <w:sz w:val="16"/>
          <w:szCs w:val="16"/>
        </w:rPr>
        <w:t xml:space="preserve"> and the problem of Catraeth,’ in </w:t>
      </w:r>
      <w:r w:rsidRPr="007F1C0F">
        <w:rPr>
          <w:rFonts w:cs="Calibri"/>
          <w:i/>
          <w:iCs/>
          <w:sz w:val="16"/>
          <w:szCs w:val="16"/>
        </w:rPr>
        <w:t>Cambrian Medieval Celtic Studies</w:t>
      </w:r>
      <w:r w:rsidRPr="007F1C0F">
        <w:rPr>
          <w:rFonts w:cs="Calibri"/>
          <w:sz w:val="16"/>
          <w:szCs w:val="16"/>
        </w:rPr>
        <w:t xml:space="preserve"> vol. 30 (Aberystwyth 1995) pp. 13-40.</w:t>
      </w:r>
      <w:bookmarkEnd w:id="4"/>
      <w:r w:rsidRPr="007F1C0F">
        <w:rPr>
          <w:rFonts w:cs="Calibri"/>
          <w:sz w:val="16"/>
          <w:szCs w:val="16"/>
        </w:rPr>
        <w:t xml:space="preserve">, p.13 </w:t>
      </w:r>
    </w:p>
  </w:footnote>
  <w:footnote w:id="20">
    <w:p w14:paraId="08751CA0"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Geiriadur Prifysgol Cymru S.V. </w:t>
      </w:r>
      <w:r w:rsidRPr="007F1C0F">
        <w:rPr>
          <w:rFonts w:cs="Calibri"/>
          <w:i/>
          <w:iCs/>
          <w:sz w:val="16"/>
          <w:szCs w:val="16"/>
        </w:rPr>
        <w:t>‘torch’</w:t>
      </w:r>
      <w:r w:rsidRPr="007F1C0F">
        <w:rPr>
          <w:rFonts w:cs="Calibri"/>
          <w:sz w:val="16"/>
          <w:szCs w:val="16"/>
        </w:rPr>
        <w:t xml:space="preserve"> (2000). (</w:t>
      </w:r>
      <w:hyperlink r:id="rId3" w:history="1">
        <w:r w:rsidRPr="007F1C0F">
          <w:rPr>
            <w:rStyle w:val="Hyperlink"/>
            <w:rFonts w:cs="Calibri"/>
            <w:sz w:val="16"/>
            <w:szCs w:val="16"/>
          </w:rPr>
          <w:t>https://www.geiriadur.ac.uk/gpc/gpc.html</w:t>
        </w:r>
      </w:hyperlink>
      <w:r w:rsidRPr="007F1C0F">
        <w:rPr>
          <w:rFonts w:cs="Calibri"/>
          <w:sz w:val="16"/>
          <w:szCs w:val="16"/>
        </w:rPr>
        <w:t>) [First accessed 07/01/24]</w:t>
      </w:r>
    </w:p>
  </w:footnote>
  <w:footnote w:id="21">
    <w:p w14:paraId="0FD7D9AE"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w:t>
      </w:r>
      <w:bookmarkStart w:id="5" w:name="_Hlk170048899"/>
      <w:r w:rsidRPr="008C41BB">
        <w:rPr>
          <w:rFonts w:cs="Calibri"/>
          <w:sz w:val="16"/>
          <w:szCs w:val="16"/>
        </w:rPr>
        <w:t xml:space="preserve">Perseus, Latin Study Tool, Classical Latin (Lewis and Short) </w:t>
      </w:r>
      <w:hyperlink r:id="rId4" w:history="1">
        <w:r w:rsidRPr="007F1C0F">
          <w:rPr>
            <w:rStyle w:val="Hyperlink"/>
            <w:rFonts w:cs="Calibri"/>
            <w:sz w:val="16"/>
            <w:szCs w:val="16"/>
          </w:rPr>
          <w:t>https://www.perseus.tufts.edu/hopper/morph?l=torquis&amp;la=la&amp;can=torquis0&amp;prior=torqueo</w:t>
        </w:r>
      </w:hyperlink>
      <w:r w:rsidRPr="007F1C0F">
        <w:rPr>
          <w:rStyle w:val="Hyperlink"/>
          <w:rFonts w:cs="Calibri"/>
          <w:sz w:val="16"/>
          <w:szCs w:val="16"/>
        </w:rPr>
        <w:t xml:space="preserve">: </w:t>
      </w:r>
      <w:r w:rsidRPr="007F1C0F">
        <w:rPr>
          <w:rFonts w:cs="Calibri"/>
          <w:sz w:val="16"/>
          <w:szCs w:val="16"/>
        </w:rPr>
        <w:t xml:space="preserve"> [first accessed 06/06/24]. </w:t>
      </w:r>
      <w:bookmarkEnd w:id="5"/>
    </w:p>
  </w:footnote>
  <w:footnote w:id="22">
    <w:p w14:paraId="66C69A7C"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w:t>
      </w:r>
      <w:bookmarkStart w:id="6" w:name="_Hlk170046900"/>
      <w:r w:rsidRPr="007F1C0F">
        <w:rPr>
          <w:rFonts w:cs="Calibri"/>
          <w:sz w:val="16"/>
          <w:szCs w:val="16"/>
        </w:rPr>
        <w:t xml:space="preserve">Jones, A, M., </w:t>
      </w:r>
      <w:r w:rsidRPr="007F1C0F">
        <w:rPr>
          <w:rFonts w:cs="Calibri"/>
          <w:i/>
          <w:iCs/>
          <w:sz w:val="16"/>
          <w:szCs w:val="16"/>
        </w:rPr>
        <w:t>Gwisgoedd ac Ategolion yn Llenyddiaeth yr Oesoedd Canol: c. 700-c. 1600</w:t>
      </w:r>
      <w:r w:rsidRPr="007F1C0F">
        <w:rPr>
          <w:rFonts w:cs="Calibri"/>
          <w:sz w:val="16"/>
          <w:szCs w:val="16"/>
        </w:rPr>
        <w:t>, PhD (Prifysgol Cymru Aberystwyth 2007)</w:t>
      </w:r>
      <w:bookmarkEnd w:id="6"/>
      <w:r w:rsidRPr="007F1C0F">
        <w:rPr>
          <w:rFonts w:cs="Calibri"/>
          <w:sz w:val="16"/>
          <w:szCs w:val="16"/>
        </w:rPr>
        <w:t>, p. 72.</w:t>
      </w:r>
    </w:p>
  </w:footnote>
  <w:footnote w:id="23">
    <w:p w14:paraId="6C2182AD"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w:t>
      </w:r>
      <w:bookmarkStart w:id="7" w:name="_Hlk170046936"/>
      <w:r w:rsidRPr="007F1C0F">
        <w:rPr>
          <w:rFonts w:cs="Calibri"/>
          <w:sz w:val="16"/>
          <w:szCs w:val="16"/>
        </w:rPr>
        <w:t xml:space="preserve">Jarman, </w:t>
      </w:r>
      <w:r w:rsidRPr="007F1C0F">
        <w:rPr>
          <w:rFonts w:cs="Calibri"/>
          <w:i/>
          <w:iCs/>
          <w:sz w:val="16"/>
          <w:szCs w:val="16"/>
        </w:rPr>
        <w:t>Y Gododdin</w:t>
      </w:r>
      <w:bookmarkEnd w:id="7"/>
      <w:r>
        <w:rPr>
          <w:rFonts w:cs="Calibri"/>
          <w:i/>
          <w:iCs/>
          <w:sz w:val="16"/>
          <w:szCs w:val="16"/>
        </w:rPr>
        <w:t xml:space="preserve">, </w:t>
      </w:r>
      <w:r w:rsidRPr="007F1C0F">
        <w:rPr>
          <w:rFonts w:cs="Calibri"/>
          <w:sz w:val="16"/>
          <w:szCs w:val="16"/>
        </w:rPr>
        <w:t>lines 31, 40, 49, 56.</w:t>
      </w:r>
    </w:p>
  </w:footnote>
  <w:footnote w:id="24">
    <w:p w14:paraId="5C9F1BCF" w14:textId="7230C519"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w:t>
      </w:r>
      <w:r w:rsidR="00EF2DB1" w:rsidRPr="006E145B">
        <w:rPr>
          <w:sz w:val="16"/>
          <w:szCs w:val="16"/>
        </w:rPr>
        <w:t xml:space="preserve">Karl, R., ‘Torc’ in </w:t>
      </w:r>
      <w:r w:rsidR="00EF2DB1">
        <w:rPr>
          <w:sz w:val="16"/>
          <w:szCs w:val="16"/>
        </w:rPr>
        <w:t xml:space="preserve">Koch, J. T. (ed.), </w:t>
      </w:r>
      <w:r w:rsidR="00EF2DB1" w:rsidRPr="006E145B">
        <w:rPr>
          <w:i/>
          <w:iCs/>
          <w:sz w:val="16"/>
          <w:szCs w:val="16"/>
        </w:rPr>
        <w:t>Encyclopedia of Celtic Culture</w:t>
      </w:r>
      <w:r w:rsidR="00EF2DB1" w:rsidRPr="006E145B">
        <w:rPr>
          <w:sz w:val="16"/>
          <w:szCs w:val="16"/>
        </w:rPr>
        <w:t xml:space="preserve"> pp. 1681-1683, </w:t>
      </w:r>
      <w:r w:rsidR="00EF2DB1">
        <w:rPr>
          <w:sz w:val="16"/>
          <w:szCs w:val="16"/>
        </w:rPr>
        <w:t>(</w:t>
      </w:r>
      <w:r w:rsidR="00EF2DB1" w:rsidRPr="006E145B">
        <w:rPr>
          <w:sz w:val="16"/>
          <w:szCs w:val="16"/>
        </w:rPr>
        <w:t>digital, accessed 23/5)</w:t>
      </w:r>
      <w:r w:rsidR="00EF2DB1">
        <w:rPr>
          <w:sz w:val="16"/>
          <w:szCs w:val="16"/>
        </w:rPr>
        <w:t>.</w:t>
      </w:r>
    </w:p>
  </w:footnote>
  <w:footnote w:id="25">
    <w:p w14:paraId="5EFAC2DE"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Day, J., </w:t>
      </w:r>
      <w:r w:rsidRPr="007F1C0F">
        <w:rPr>
          <w:rFonts w:cs="Calibri"/>
          <w:i/>
          <w:iCs/>
          <w:sz w:val="16"/>
          <w:szCs w:val="16"/>
        </w:rPr>
        <w:t xml:space="preserve">Arfau yn yr Hengerdd a Cherddi Beirdd y Tywysogion, </w:t>
      </w:r>
      <w:r w:rsidRPr="007F1C0F">
        <w:rPr>
          <w:rFonts w:cs="Calibri"/>
          <w:sz w:val="16"/>
          <w:szCs w:val="16"/>
        </w:rPr>
        <w:t>PHD, (Prifysgol Aberystwyth, 2010).</w:t>
      </w:r>
      <w:r w:rsidRPr="007F1C0F">
        <w:rPr>
          <w:rFonts w:cs="Calibri"/>
          <w:i/>
          <w:iCs/>
          <w:sz w:val="16"/>
          <w:szCs w:val="16"/>
        </w:rPr>
        <w:t xml:space="preserve">, </w:t>
      </w:r>
      <w:r w:rsidRPr="007F1C0F">
        <w:rPr>
          <w:rFonts w:cs="Calibri"/>
          <w:sz w:val="16"/>
          <w:szCs w:val="16"/>
        </w:rPr>
        <w:t>p. 454.</w:t>
      </w:r>
    </w:p>
  </w:footnote>
  <w:footnote w:id="26">
    <w:p w14:paraId="5512A35A"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GPC, s.v. </w:t>
      </w:r>
      <w:r w:rsidRPr="007F1C0F">
        <w:rPr>
          <w:rFonts w:cs="Calibri"/>
          <w:i/>
          <w:iCs/>
          <w:sz w:val="16"/>
          <w:szCs w:val="16"/>
        </w:rPr>
        <w:t xml:space="preserve">mynweir, </w:t>
      </w:r>
      <w:r w:rsidRPr="007F1C0F">
        <w:rPr>
          <w:rFonts w:cs="Calibri"/>
          <w:sz w:val="16"/>
          <w:szCs w:val="16"/>
        </w:rPr>
        <w:t xml:space="preserve">(1989) ; </w:t>
      </w:r>
      <w:r w:rsidRPr="007F1C0F">
        <w:rPr>
          <w:rFonts w:cs="Calibri"/>
          <w:i/>
          <w:iCs/>
          <w:sz w:val="16"/>
          <w:szCs w:val="16"/>
        </w:rPr>
        <w:t>mŵn</w:t>
      </w:r>
      <w:r w:rsidRPr="007F1C0F">
        <w:rPr>
          <w:rFonts w:cs="Calibri"/>
          <w:i/>
          <w:iCs/>
          <w:sz w:val="16"/>
          <w:szCs w:val="16"/>
          <w:vertAlign w:val="superscript"/>
        </w:rPr>
        <w:t>1</w:t>
      </w:r>
      <w:r w:rsidRPr="007F1C0F">
        <w:rPr>
          <w:rFonts w:cs="Calibri"/>
          <w:i/>
          <w:iCs/>
          <w:sz w:val="16"/>
          <w:szCs w:val="16"/>
        </w:rPr>
        <w:t>,</w:t>
      </w:r>
      <w:r w:rsidRPr="007F1C0F">
        <w:rPr>
          <w:rFonts w:cs="Calibri"/>
          <w:sz w:val="16"/>
          <w:szCs w:val="16"/>
        </w:rPr>
        <w:t xml:space="preserve"> (1987);</w:t>
      </w:r>
      <w:r w:rsidRPr="007F1C0F">
        <w:rPr>
          <w:rFonts w:cs="Calibri"/>
          <w:i/>
          <w:iCs/>
          <w:sz w:val="16"/>
          <w:szCs w:val="16"/>
        </w:rPr>
        <w:t xml:space="preserve"> </w:t>
      </w:r>
      <w:r w:rsidRPr="007F1C0F">
        <w:rPr>
          <w:rFonts w:cs="Calibri"/>
          <w:sz w:val="16"/>
          <w:szCs w:val="16"/>
        </w:rPr>
        <w:t xml:space="preserve"> </w:t>
      </w:r>
      <w:r w:rsidRPr="007F1C0F">
        <w:rPr>
          <w:rFonts w:cs="Calibri"/>
          <w:i/>
          <w:iCs/>
          <w:sz w:val="16"/>
          <w:szCs w:val="16"/>
        </w:rPr>
        <w:t xml:space="preserve">gwair, </w:t>
      </w:r>
      <w:r w:rsidRPr="007F1C0F">
        <w:rPr>
          <w:rFonts w:cs="Calibri"/>
          <w:sz w:val="16"/>
          <w:szCs w:val="16"/>
        </w:rPr>
        <w:t>(1973). [first accessed, 04/05/24].</w:t>
      </w:r>
    </w:p>
  </w:footnote>
  <w:footnote w:id="27">
    <w:p w14:paraId="47119254"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Note the GPC entry in the previous footnote and its survey of times and contexts the term appears in later literature.</w:t>
      </w:r>
    </w:p>
  </w:footnote>
  <w:footnote w:id="28">
    <w:p w14:paraId="08278A2B"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For this analysis, the translation and notes of A.O.H. Jarman shall be used, as will his updated orthography for the most part, though the original will be noted. Jarman’s English translations shall also be used, unless stated otherwise.</w:t>
      </w:r>
    </w:p>
  </w:footnote>
  <w:footnote w:id="29">
    <w:p w14:paraId="6FEC4B71"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In Jarman’s translation, the orthography is updated so that </w:t>
      </w:r>
      <w:r w:rsidRPr="007F1C0F">
        <w:rPr>
          <w:rFonts w:cs="Calibri"/>
          <w:i/>
          <w:iCs/>
          <w:sz w:val="16"/>
          <w:szCs w:val="16"/>
        </w:rPr>
        <w:t>eurdorchawg</w:t>
      </w:r>
      <w:r w:rsidRPr="007F1C0F">
        <w:rPr>
          <w:rFonts w:cs="Calibri"/>
          <w:sz w:val="16"/>
          <w:szCs w:val="16"/>
        </w:rPr>
        <w:t>/</w:t>
      </w:r>
      <w:r w:rsidRPr="007F1C0F">
        <w:rPr>
          <w:rFonts w:cs="Calibri"/>
          <w:i/>
          <w:iCs/>
          <w:sz w:val="16"/>
          <w:szCs w:val="16"/>
        </w:rPr>
        <w:t>eurdorchauc</w:t>
      </w:r>
      <w:r w:rsidRPr="007F1C0F">
        <w:rPr>
          <w:rFonts w:cs="Calibri"/>
          <w:sz w:val="16"/>
          <w:szCs w:val="16"/>
        </w:rPr>
        <w:t xml:space="preserve"> in the original text becomes </w:t>
      </w:r>
      <w:r w:rsidRPr="007F1C0F">
        <w:rPr>
          <w:rFonts w:cs="Calibri"/>
          <w:i/>
          <w:iCs/>
          <w:sz w:val="16"/>
          <w:szCs w:val="16"/>
        </w:rPr>
        <w:t>eurdorchog</w:t>
      </w:r>
      <w:r w:rsidRPr="007F1C0F">
        <w:rPr>
          <w:rFonts w:cs="Calibri"/>
          <w:sz w:val="16"/>
          <w:szCs w:val="16"/>
        </w:rPr>
        <w:t xml:space="preserve">. Nonetheless, where end-rhyme requires, he retains </w:t>
      </w:r>
      <w:r w:rsidRPr="007F1C0F">
        <w:rPr>
          <w:rFonts w:cs="Calibri"/>
          <w:i/>
          <w:iCs/>
          <w:sz w:val="16"/>
          <w:szCs w:val="16"/>
        </w:rPr>
        <w:t>eurdorchawg</w:t>
      </w:r>
      <w:r w:rsidRPr="007F1C0F">
        <w:rPr>
          <w:rFonts w:cs="Calibri"/>
          <w:sz w:val="16"/>
          <w:szCs w:val="16"/>
        </w:rPr>
        <w:t xml:space="preserve">, but they are the same term, and should be seen as such. </w:t>
      </w:r>
    </w:p>
  </w:footnote>
  <w:footnote w:id="30">
    <w:p w14:paraId="57171440"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The Gorchanau – additional stanzas not central to the main poem, will not be considered here. A potential torc-reference could be argued for in the Gorchan of Cynfelin, but it could equally be a reference to the legendary boar </w:t>
      </w:r>
      <w:r w:rsidRPr="007F1C0F">
        <w:rPr>
          <w:rFonts w:cs="Calibri"/>
          <w:i/>
          <w:iCs/>
          <w:sz w:val="16"/>
          <w:szCs w:val="16"/>
        </w:rPr>
        <w:t>Twrch Trwyth.</w:t>
      </w:r>
    </w:p>
  </w:footnote>
  <w:footnote w:id="31">
    <w:p w14:paraId="2B70D22A"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Jarman,</w:t>
      </w:r>
      <w:r>
        <w:rPr>
          <w:rFonts w:cs="Calibri"/>
          <w:i/>
          <w:iCs/>
          <w:sz w:val="16"/>
          <w:szCs w:val="16"/>
        </w:rPr>
        <w:t xml:space="preserve"> </w:t>
      </w:r>
      <w:r w:rsidRPr="007F1C0F">
        <w:rPr>
          <w:rFonts w:cs="Calibri"/>
          <w:i/>
          <w:iCs/>
          <w:sz w:val="16"/>
          <w:szCs w:val="16"/>
        </w:rPr>
        <w:t>Y Gododdin</w:t>
      </w:r>
      <w:r>
        <w:rPr>
          <w:rFonts w:cs="Calibri"/>
          <w:i/>
          <w:iCs/>
          <w:sz w:val="16"/>
          <w:szCs w:val="16"/>
        </w:rPr>
        <w:t xml:space="preserve">,’ </w:t>
      </w:r>
      <w:r w:rsidRPr="007F1C0F">
        <w:rPr>
          <w:rFonts w:cs="Calibri"/>
          <w:sz w:val="16"/>
          <w:szCs w:val="16"/>
        </w:rPr>
        <w:t>p.</w:t>
      </w:r>
      <w:r>
        <w:rPr>
          <w:rFonts w:cs="Calibri"/>
          <w:sz w:val="16"/>
          <w:szCs w:val="16"/>
        </w:rPr>
        <w:t xml:space="preserve"> </w:t>
      </w:r>
      <w:r w:rsidRPr="007F1C0F">
        <w:rPr>
          <w:rFonts w:cs="Calibri"/>
          <w:sz w:val="16"/>
          <w:szCs w:val="16"/>
        </w:rPr>
        <w:t>90.</w:t>
      </w:r>
    </w:p>
  </w:footnote>
  <w:footnote w:id="32">
    <w:p w14:paraId="223B52DA" w14:textId="77777777" w:rsidR="005F1A99" w:rsidRPr="007F1C0F" w:rsidRDefault="005F1A99" w:rsidP="005F1A99">
      <w:pPr>
        <w:pStyle w:val="FootnoteText"/>
        <w:rPr>
          <w:sz w:val="16"/>
          <w:szCs w:val="16"/>
        </w:rPr>
      </w:pPr>
      <w:r w:rsidRPr="007F1C0F">
        <w:rPr>
          <w:rStyle w:val="FootnoteReference"/>
          <w:sz w:val="16"/>
          <w:szCs w:val="16"/>
        </w:rPr>
        <w:footnoteRef/>
      </w:r>
      <w:r w:rsidRPr="007F1C0F">
        <w:rPr>
          <w:sz w:val="16"/>
          <w:szCs w:val="16"/>
        </w:rPr>
        <w:t xml:space="preserve"> </w:t>
      </w:r>
      <w:r w:rsidRPr="007F1C0F">
        <w:rPr>
          <w:rFonts w:cs="Calibri"/>
          <w:sz w:val="16"/>
          <w:szCs w:val="16"/>
        </w:rPr>
        <w:t xml:space="preserve">Jarman, </w:t>
      </w:r>
      <w:r w:rsidRPr="007F1C0F">
        <w:rPr>
          <w:rFonts w:cs="Calibri"/>
          <w:i/>
          <w:iCs/>
          <w:sz w:val="16"/>
          <w:szCs w:val="16"/>
        </w:rPr>
        <w:t>Y Gododdin</w:t>
      </w:r>
      <w:r>
        <w:rPr>
          <w:rFonts w:cs="Calibri"/>
          <w:i/>
          <w:iCs/>
          <w:sz w:val="16"/>
          <w:szCs w:val="16"/>
        </w:rPr>
        <w:t xml:space="preserve">,’ </w:t>
      </w:r>
      <w:r w:rsidRPr="007F1C0F">
        <w:rPr>
          <w:rFonts w:cs="Calibri"/>
          <w:sz w:val="16"/>
          <w:szCs w:val="16"/>
        </w:rPr>
        <w:t xml:space="preserve">p. </w:t>
      </w:r>
      <w:r w:rsidRPr="007F1C0F">
        <w:rPr>
          <w:sz w:val="16"/>
          <w:szCs w:val="16"/>
        </w:rPr>
        <w:t>xl.</w:t>
      </w:r>
    </w:p>
  </w:footnote>
  <w:footnote w:id="33">
    <w:p w14:paraId="58E63482" w14:textId="77777777" w:rsidR="005F1A99" w:rsidRPr="007F1C0F" w:rsidRDefault="005F1A99" w:rsidP="005F1A99">
      <w:pPr>
        <w:pStyle w:val="FootnoteText"/>
        <w:rPr>
          <w:sz w:val="16"/>
          <w:szCs w:val="16"/>
        </w:rPr>
      </w:pPr>
      <w:r w:rsidRPr="007F1C0F">
        <w:rPr>
          <w:rStyle w:val="FootnoteReference"/>
          <w:sz w:val="16"/>
          <w:szCs w:val="16"/>
        </w:rPr>
        <w:footnoteRef/>
      </w:r>
      <w:r w:rsidRPr="007F1C0F">
        <w:rPr>
          <w:sz w:val="16"/>
          <w:szCs w:val="16"/>
        </w:rPr>
        <w:t xml:space="preserve"> Cessford, ‘Jewellery and the Gododdin Poem,’ p. 60.</w:t>
      </w:r>
    </w:p>
  </w:footnote>
  <w:footnote w:id="34">
    <w:p w14:paraId="12794BBA" w14:textId="77777777" w:rsidR="005F1A99" w:rsidRDefault="005F1A99" w:rsidP="005F1A99">
      <w:pPr>
        <w:pStyle w:val="FootnoteText"/>
      </w:pPr>
      <w:r w:rsidRPr="00FE1F30">
        <w:rPr>
          <w:rStyle w:val="FootnoteReference"/>
          <w:sz w:val="16"/>
          <w:szCs w:val="16"/>
        </w:rPr>
        <w:footnoteRef/>
      </w:r>
      <w:r w:rsidRPr="00FE1F30">
        <w:rPr>
          <w:sz w:val="16"/>
          <w:szCs w:val="16"/>
        </w:rPr>
        <w:t xml:space="preserve"> Cessford, Craig, ‘Torcs in Early Historic Scotland’,</w:t>
      </w:r>
      <w:r>
        <w:rPr>
          <w:sz w:val="16"/>
          <w:szCs w:val="16"/>
        </w:rPr>
        <w:t xml:space="preserve"> in</w:t>
      </w:r>
      <w:r w:rsidRPr="00FE1F30">
        <w:rPr>
          <w:sz w:val="16"/>
          <w:szCs w:val="16"/>
        </w:rPr>
        <w:t xml:space="preserve"> </w:t>
      </w:r>
      <w:r w:rsidRPr="00FE1F30">
        <w:rPr>
          <w:i/>
          <w:iCs/>
          <w:sz w:val="16"/>
          <w:szCs w:val="16"/>
        </w:rPr>
        <w:t>Oxford Journal of Archaeology</w:t>
      </w:r>
      <w:r w:rsidRPr="00FE1F30">
        <w:rPr>
          <w:sz w:val="16"/>
          <w:szCs w:val="16"/>
        </w:rPr>
        <w:t xml:space="preserve">, </w:t>
      </w:r>
      <w:r>
        <w:rPr>
          <w:sz w:val="16"/>
          <w:szCs w:val="16"/>
        </w:rPr>
        <w:t xml:space="preserve"> vol. </w:t>
      </w:r>
      <w:r w:rsidRPr="00FE1F30">
        <w:rPr>
          <w:sz w:val="16"/>
          <w:szCs w:val="16"/>
        </w:rPr>
        <w:t>14 (1995), pp. 229-42.</w:t>
      </w:r>
      <w:r>
        <w:rPr>
          <w:sz w:val="16"/>
          <w:szCs w:val="16"/>
        </w:rPr>
        <w:t>, p. 231.</w:t>
      </w:r>
    </w:p>
  </w:footnote>
  <w:footnote w:id="35">
    <w:p w14:paraId="525AD2A5"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Jones, A. M., </w:t>
      </w:r>
      <w:r w:rsidRPr="007F1C0F">
        <w:rPr>
          <w:rFonts w:cs="Calibri"/>
          <w:i/>
          <w:iCs/>
          <w:sz w:val="16"/>
          <w:szCs w:val="16"/>
        </w:rPr>
        <w:t>Gwisgoedd ac Ategolion yn Llenyddiaeth yr Oesoedd Canol: c. 700-c. 1600</w:t>
      </w:r>
      <w:r w:rsidRPr="007F1C0F">
        <w:rPr>
          <w:rFonts w:cs="Calibri"/>
          <w:sz w:val="16"/>
          <w:szCs w:val="16"/>
        </w:rPr>
        <w:t>, PhD (Prifysgol Cymru Aberystwyth 2007), p. 71.</w:t>
      </w:r>
    </w:p>
  </w:footnote>
  <w:footnote w:id="36">
    <w:p w14:paraId="014FE700" w14:textId="77777777" w:rsidR="005F1A99" w:rsidRPr="007F1C0F" w:rsidRDefault="005F1A99" w:rsidP="005F1A99">
      <w:pPr>
        <w:pStyle w:val="FootnoteText"/>
        <w:rPr>
          <w:rFonts w:cs="Calibri"/>
          <w:sz w:val="16"/>
          <w:szCs w:val="16"/>
        </w:rPr>
      </w:pPr>
      <w:r w:rsidRPr="007F1C0F">
        <w:rPr>
          <w:rStyle w:val="FootnoteReference"/>
          <w:rFonts w:cs="Calibri"/>
          <w:sz w:val="16"/>
          <w:szCs w:val="16"/>
        </w:rPr>
        <w:footnoteRef/>
      </w:r>
      <w:r w:rsidRPr="007F1C0F">
        <w:rPr>
          <w:rFonts w:cs="Calibri"/>
          <w:sz w:val="16"/>
          <w:szCs w:val="16"/>
        </w:rPr>
        <w:t xml:space="preserve"> Chapman, A., ‘Rebels, Uchelwyr and Parvenus: Welsh Knights in the Fourteenth Century’, in Chapman, A., et al. and Bell, A. R. and Curry, A. (eds.), </w:t>
      </w:r>
      <w:r w:rsidRPr="007F1C0F">
        <w:rPr>
          <w:rFonts w:cs="Calibri"/>
          <w:i/>
          <w:iCs/>
          <w:sz w:val="16"/>
          <w:szCs w:val="16"/>
        </w:rPr>
        <w:t xml:space="preserve">The Soldier Experience in the Fourteenth Century </w:t>
      </w:r>
      <w:r w:rsidRPr="007F1C0F">
        <w:rPr>
          <w:rFonts w:cs="Calibri"/>
          <w:sz w:val="16"/>
          <w:szCs w:val="16"/>
        </w:rPr>
        <w:t>(Woodbridge, 2011), pp. 145–56., p. 146.</w:t>
      </w:r>
    </w:p>
  </w:footnote>
  <w:footnote w:id="37">
    <w:p w14:paraId="715DA36B" w14:textId="77777777" w:rsidR="005F1A99" w:rsidRPr="007F1C0F" w:rsidRDefault="005F1A99" w:rsidP="005F1A99">
      <w:pPr>
        <w:pStyle w:val="FootnoteText"/>
        <w:rPr>
          <w:sz w:val="16"/>
          <w:szCs w:val="16"/>
        </w:rPr>
      </w:pPr>
      <w:r w:rsidRPr="007F1C0F">
        <w:rPr>
          <w:rStyle w:val="FootnoteReference"/>
          <w:sz w:val="16"/>
          <w:szCs w:val="16"/>
        </w:rPr>
        <w:footnoteRef/>
      </w:r>
      <w:r w:rsidRPr="007F1C0F">
        <w:rPr>
          <w:sz w:val="16"/>
          <w:szCs w:val="16"/>
        </w:rPr>
        <w:t xml:space="preserve"> Rowland, J., </w:t>
      </w:r>
      <w:r w:rsidRPr="007F1C0F">
        <w:rPr>
          <w:i/>
          <w:iCs/>
          <w:sz w:val="16"/>
          <w:szCs w:val="16"/>
        </w:rPr>
        <w:t xml:space="preserve">A Selection of Early Welsh Saga Poems, </w:t>
      </w:r>
      <w:r w:rsidRPr="007F1C0F">
        <w:rPr>
          <w:sz w:val="16"/>
          <w:szCs w:val="16"/>
        </w:rPr>
        <w:t xml:space="preserve">Modern Humanities Research Association (2014). </w:t>
      </w:r>
      <w:hyperlink r:id="rId5" w:history="1">
        <w:r w:rsidRPr="007F1C0F">
          <w:rPr>
            <w:rStyle w:val="Hyperlink"/>
            <w:sz w:val="16"/>
            <w:szCs w:val="16"/>
          </w:rPr>
          <w:t>https://www.jstor.org/stable/j.ctt9qfb96?turn_away=true</w:t>
        </w:r>
      </w:hyperlink>
      <w:r w:rsidRPr="007F1C0F">
        <w:rPr>
          <w:sz w:val="16"/>
          <w:szCs w:val="16"/>
        </w:rPr>
        <w:t xml:space="preserve"> [first accessed 17/6/24].</w:t>
      </w:r>
    </w:p>
  </w:footnote>
  <w:footnote w:id="38">
    <w:p w14:paraId="30533776" w14:textId="77777777" w:rsidR="005F1A99" w:rsidRPr="00334E16" w:rsidRDefault="005F1A99" w:rsidP="005F1A99">
      <w:pPr>
        <w:pStyle w:val="FootnoteText"/>
        <w:rPr>
          <w:sz w:val="16"/>
          <w:szCs w:val="16"/>
        </w:rPr>
      </w:pPr>
      <w:r w:rsidRPr="00334E16">
        <w:rPr>
          <w:rStyle w:val="FootnoteReference"/>
          <w:sz w:val="16"/>
          <w:szCs w:val="16"/>
        </w:rPr>
        <w:footnoteRef/>
      </w:r>
      <w:r w:rsidRPr="00334E16">
        <w:rPr>
          <w:sz w:val="16"/>
          <w:szCs w:val="16"/>
        </w:rPr>
        <w:t xml:space="preserve"> Cessford, C., ‘Torcs in Early Historic Scotland,’ in </w:t>
      </w:r>
      <w:r w:rsidRPr="00334E16">
        <w:rPr>
          <w:i/>
          <w:iCs/>
          <w:sz w:val="16"/>
          <w:szCs w:val="16"/>
        </w:rPr>
        <w:t xml:space="preserve">Oxford Journal of Archaeology, </w:t>
      </w:r>
      <w:r w:rsidRPr="00334E16">
        <w:rPr>
          <w:sz w:val="16"/>
          <w:szCs w:val="16"/>
        </w:rPr>
        <w:t>vol. 14. (1995), pp. 229-242., pp.232-233.</w:t>
      </w:r>
    </w:p>
  </w:footnote>
  <w:footnote w:id="39">
    <w:p w14:paraId="531BA88A"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sidRPr="00433F11">
        <w:rPr>
          <w:sz w:val="16"/>
          <w:szCs w:val="16"/>
        </w:rPr>
        <w:t>Cessford, C</w:t>
      </w:r>
      <w:r>
        <w:rPr>
          <w:sz w:val="16"/>
          <w:szCs w:val="16"/>
        </w:rPr>
        <w:t>.</w:t>
      </w:r>
      <w:r w:rsidRPr="00433F11">
        <w:rPr>
          <w:sz w:val="16"/>
          <w:szCs w:val="16"/>
        </w:rPr>
        <w:t xml:space="preserve">, ‘Jewellery and the Gododdin poem’, in </w:t>
      </w:r>
      <w:r w:rsidRPr="00433F11">
        <w:rPr>
          <w:i/>
          <w:iCs/>
          <w:sz w:val="16"/>
          <w:szCs w:val="16"/>
        </w:rPr>
        <w:t>Jewellery Studies</w:t>
      </w:r>
      <w:r w:rsidRPr="00433F11">
        <w:rPr>
          <w:sz w:val="16"/>
          <w:szCs w:val="16"/>
        </w:rPr>
        <w:t>, 7 (1996), pp. 57-62.</w:t>
      </w:r>
      <w:r>
        <w:rPr>
          <w:sz w:val="16"/>
          <w:szCs w:val="16"/>
        </w:rPr>
        <w:t>, p. 57.</w:t>
      </w:r>
    </w:p>
  </w:footnote>
  <w:footnote w:id="40">
    <w:p w14:paraId="671D8C26"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 xml:space="preserve">‘Norrie’s Law Hoard’ at </w:t>
      </w:r>
      <w:r w:rsidRPr="0070375F">
        <w:rPr>
          <w:sz w:val="16"/>
          <w:szCs w:val="16"/>
        </w:rPr>
        <w:t>National Museum of Scotland</w:t>
      </w:r>
      <w:r>
        <w:rPr>
          <w:sz w:val="16"/>
          <w:szCs w:val="16"/>
        </w:rPr>
        <w:t xml:space="preserve">, </w:t>
      </w:r>
      <w:hyperlink r:id="rId6" w:anchor=":~:text=Made%20up%20of%20170%20pieces,brooch%20with%20a%20twisted%20hoop" w:history="1">
        <w:r w:rsidRPr="00B2151C">
          <w:rPr>
            <w:rStyle w:val="Hyperlink"/>
            <w:sz w:val="16"/>
            <w:szCs w:val="16"/>
          </w:rPr>
          <w:t>https://www.nms.ac.uk/explore-our-collections/stories/scottish-history-and-archaeology/norries-law-hoard/#:~:text=Made%20up%20of%20170%20pieces,brooch%20with%20a%20twisted%20hoop</w:t>
        </w:r>
      </w:hyperlink>
      <w:r w:rsidRPr="00107559">
        <w:rPr>
          <w:sz w:val="16"/>
          <w:szCs w:val="16"/>
        </w:rPr>
        <w:t>.</w:t>
      </w:r>
      <w:r>
        <w:rPr>
          <w:sz w:val="16"/>
          <w:szCs w:val="16"/>
        </w:rPr>
        <w:t xml:space="preserve"> [first accessed 10/11/23].</w:t>
      </w:r>
    </w:p>
  </w:footnote>
  <w:footnote w:id="41">
    <w:p w14:paraId="73967BB9"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Cessford, ‘Jewellery and the Gododdin poem,’ p. 58.</w:t>
      </w:r>
    </w:p>
  </w:footnote>
  <w:footnote w:id="42">
    <w:p w14:paraId="6F1553F4" w14:textId="77777777" w:rsidR="00CE6977" w:rsidRPr="00D87A2C" w:rsidRDefault="00CE6977" w:rsidP="00CE6977">
      <w:pPr>
        <w:pStyle w:val="FootnoteText"/>
        <w:rPr>
          <w:sz w:val="16"/>
          <w:szCs w:val="16"/>
        </w:rPr>
      </w:pPr>
      <w:r w:rsidRPr="00D87A2C">
        <w:rPr>
          <w:rStyle w:val="FootnoteReference"/>
          <w:sz w:val="16"/>
          <w:szCs w:val="16"/>
        </w:rPr>
        <w:footnoteRef/>
      </w:r>
      <w:r w:rsidRPr="00D87A2C">
        <w:rPr>
          <w:sz w:val="16"/>
          <w:szCs w:val="16"/>
        </w:rPr>
        <w:t xml:space="preserve"> Potential Torcs, Norrie’s Law Hoard, National Museum of Scotland, ‘Norrie’s Law Hoard’ at National Museum of Scotland:</w:t>
      </w:r>
    </w:p>
    <w:p w14:paraId="20429946" w14:textId="77777777" w:rsidR="00CE6977" w:rsidRDefault="00000000" w:rsidP="00CE6977">
      <w:pPr>
        <w:pStyle w:val="FootnoteText"/>
      </w:pPr>
      <w:hyperlink r:id="rId7" w:anchor=":~:text=Made%20up%20of%20170%20pieces,brooch%20with%20a%20twisted%20hoop" w:history="1">
        <w:r w:rsidR="00CE6977" w:rsidRPr="001C1245">
          <w:rPr>
            <w:rStyle w:val="Hyperlink"/>
            <w:sz w:val="16"/>
            <w:szCs w:val="16"/>
          </w:rPr>
          <w:t>https://www.nms.ac.uk/explore-our-collections/stories/scottish-history-and-archaeology/norries-law-hoard/#:~:text=Made%20up%20of%20170%20pieces,brooch%20with%20a%20twisted%20hoop</w:t>
        </w:r>
      </w:hyperlink>
      <w:r w:rsidR="00CE6977" w:rsidRPr="00D87A2C">
        <w:rPr>
          <w:sz w:val="16"/>
          <w:szCs w:val="16"/>
        </w:rPr>
        <w:t>.</w:t>
      </w:r>
      <w:r w:rsidR="00CE6977">
        <w:rPr>
          <w:sz w:val="16"/>
          <w:szCs w:val="16"/>
        </w:rPr>
        <w:t xml:space="preserve"> </w:t>
      </w:r>
      <w:r w:rsidR="00CE6977" w:rsidRPr="00D87A2C">
        <w:rPr>
          <w:sz w:val="16"/>
          <w:szCs w:val="16"/>
        </w:rPr>
        <w:t>[first accessed 10/11/23].</w:t>
      </w:r>
    </w:p>
  </w:footnote>
  <w:footnote w:id="43">
    <w:p w14:paraId="35FEDFFB"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Day, </w:t>
      </w:r>
      <w:r w:rsidRPr="0070375F">
        <w:rPr>
          <w:i/>
          <w:iCs/>
          <w:sz w:val="16"/>
          <w:szCs w:val="16"/>
        </w:rPr>
        <w:t xml:space="preserve">Arfau yn yr Hengerdd, </w:t>
      </w:r>
      <w:r w:rsidRPr="0070375F">
        <w:rPr>
          <w:sz w:val="16"/>
          <w:szCs w:val="16"/>
        </w:rPr>
        <w:t>p. 454.</w:t>
      </w:r>
    </w:p>
  </w:footnote>
  <w:footnote w:id="44">
    <w:p w14:paraId="0DE379F3"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Cessford, ‘J</w:t>
      </w:r>
      <w:r w:rsidRPr="0070375F">
        <w:rPr>
          <w:sz w:val="16"/>
          <w:szCs w:val="16"/>
        </w:rPr>
        <w:t>ewellery</w:t>
      </w:r>
      <w:r>
        <w:rPr>
          <w:sz w:val="16"/>
          <w:szCs w:val="16"/>
        </w:rPr>
        <w:t xml:space="preserve"> and the Gododdin poem,’</w:t>
      </w:r>
      <w:r w:rsidRPr="0070375F">
        <w:rPr>
          <w:sz w:val="16"/>
          <w:szCs w:val="16"/>
        </w:rPr>
        <w:t xml:space="preserve"> p.57</w:t>
      </w:r>
    </w:p>
  </w:footnote>
  <w:footnote w:id="45">
    <w:p w14:paraId="6ACA29FB"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bookmarkStart w:id="11" w:name="_Hlk170052478"/>
      <w:r w:rsidRPr="004D4F70">
        <w:rPr>
          <w:sz w:val="16"/>
          <w:szCs w:val="16"/>
        </w:rPr>
        <w:t xml:space="preserve">Cessford, C., ‘Torcs in Early Historic Scotland’, in </w:t>
      </w:r>
      <w:r w:rsidRPr="004D4F70">
        <w:rPr>
          <w:i/>
          <w:iCs/>
          <w:sz w:val="16"/>
          <w:szCs w:val="16"/>
        </w:rPr>
        <w:t>Oxford Journal of Archaeology</w:t>
      </w:r>
      <w:r w:rsidRPr="004D4F70">
        <w:rPr>
          <w:sz w:val="16"/>
          <w:szCs w:val="16"/>
        </w:rPr>
        <w:t>, 14 (1995), pp. 229-42.</w:t>
      </w:r>
      <w:bookmarkEnd w:id="11"/>
      <w:r>
        <w:rPr>
          <w:sz w:val="16"/>
          <w:szCs w:val="16"/>
        </w:rPr>
        <w:t xml:space="preserve">, </w:t>
      </w:r>
      <w:r w:rsidRPr="0070375F">
        <w:rPr>
          <w:sz w:val="16"/>
          <w:szCs w:val="16"/>
        </w:rPr>
        <w:t>p. 231.</w:t>
      </w:r>
    </w:p>
  </w:footnote>
  <w:footnote w:id="46">
    <w:p w14:paraId="68B95FB1"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Cessford, ‘</w:t>
      </w:r>
      <w:r w:rsidRPr="0070375F">
        <w:rPr>
          <w:sz w:val="16"/>
          <w:szCs w:val="16"/>
        </w:rPr>
        <w:t>Torcs</w:t>
      </w:r>
      <w:r>
        <w:rPr>
          <w:sz w:val="16"/>
          <w:szCs w:val="16"/>
        </w:rPr>
        <w:t xml:space="preserve"> in Early Historic Scotland,’</w:t>
      </w:r>
      <w:r w:rsidRPr="0070375F">
        <w:rPr>
          <w:sz w:val="16"/>
          <w:szCs w:val="16"/>
        </w:rPr>
        <w:t xml:space="preserve"> p.</w:t>
      </w:r>
      <w:r>
        <w:rPr>
          <w:sz w:val="16"/>
          <w:szCs w:val="16"/>
        </w:rPr>
        <w:t xml:space="preserve"> </w:t>
      </w:r>
      <w:r w:rsidRPr="0070375F">
        <w:rPr>
          <w:sz w:val="16"/>
          <w:szCs w:val="16"/>
        </w:rPr>
        <w:t>237</w:t>
      </w:r>
      <w:r>
        <w:rPr>
          <w:sz w:val="16"/>
          <w:szCs w:val="16"/>
        </w:rPr>
        <w:t>.</w:t>
      </w:r>
    </w:p>
  </w:footnote>
  <w:footnote w:id="47">
    <w:p w14:paraId="2A98FD84"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i/>
          <w:iCs/>
          <w:sz w:val="16"/>
          <w:szCs w:val="16"/>
        </w:rPr>
        <w:t xml:space="preserve">Aberlemno Sculptured Stones, </w:t>
      </w:r>
      <w:r>
        <w:rPr>
          <w:sz w:val="16"/>
          <w:szCs w:val="16"/>
        </w:rPr>
        <w:t xml:space="preserve">Historic Environment Scotland, </w:t>
      </w:r>
      <w:hyperlink r:id="rId8" w:history="1">
        <w:r w:rsidRPr="00B2151C">
          <w:rPr>
            <w:rStyle w:val="Hyperlink"/>
            <w:sz w:val="16"/>
            <w:szCs w:val="16"/>
          </w:rPr>
          <w:t>https://www.historicenvironment.scot/visit-a-place/places/aberlemno-sculptured-stones/</w:t>
        </w:r>
      </w:hyperlink>
      <w:r w:rsidRPr="0070375F">
        <w:rPr>
          <w:sz w:val="16"/>
          <w:szCs w:val="16"/>
        </w:rPr>
        <w:t xml:space="preserve"> </w:t>
      </w:r>
      <w:r>
        <w:rPr>
          <w:sz w:val="16"/>
          <w:szCs w:val="16"/>
        </w:rPr>
        <w:t>[first accessed 03/13/23].</w:t>
      </w:r>
    </w:p>
  </w:footnote>
  <w:footnote w:id="48">
    <w:p w14:paraId="4A42803A" w14:textId="77777777" w:rsidR="00CE6977" w:rsidRPr="00472B4F" w:rsidRDefault="00CE6977" w:rsidP="00CE6977">
      <w:pPr>
        <w:pStyle w:val="FootnoteText"/>
        <w:rPr>
          <w:i/>
          <w:iCs/>
          <w:sz w:val="16"/>
          <w:szCs w:val="16"/>
        </w:rPr>
      </w:pPr>
      <w:r w:rsidRPr="00B374BD">
        <w:rPr>
          <w:rStyle w:val="FootnoteReference"/>
          <w:sz w:val="16"/>
          <w:szCs w:val="16"/>
        </w:rPr>
        <w:footnoteRef/>
      </w:r>
      <w:r w:rsidRPr="00B374BD">
        <w:rPr>
          <w:sz w:val="16"/>
          <w:szCs w:val="16"/>
        </w:rPr>
        <w:t xml:space="preserve"> </w:t>
      </w:r>
      <w:r w:rsidRPr="00472B4F">
        <w:rPr>
          <w:i/>
          <w:iCs/>
          <w:sz w:val="16"/>
          <w:szCs w:val="16"/>
        </w:rPr>
        <w:t xml:space="preserve">‘Torc’ on Aberlemno Stone II, image from 3D model developed by Nick Parish for National Museum of Scotland’s Early Peoples galleries: </w:t>
      </w:r>
      <w:hyperlink r:id="rId9" w:history="1">
        <w:r w:rsidRPr="00472B4F">
          <w:rPr>
            <w:rStyle w:val="Hyperlink"/>
            <w:i/>
            <w:iCs/>
            <w:sz w:val="16"/>
            <w:szCs w:val="16"/>
          </w:rPr>
          <w:t>https://sketchfab.com/3d-models/aberlemno-stone-pictish-symbol-stone-nms-e5de967efde24a42a21bea02296d4afe</w:t>
        </w:r>
      </w:hyperlink>
      <w:r w:rsidRPr="00472B4F">
        <w:rPr>
          <w:i/>
          <w:iCs/>
          <w:sz w:val="16"/>
          <w:szCs w:val="16"/>
        </w:rPr>
        <w:t xml:space="preserve"> [first accessed 01/06/24].</w:t>
      </w:r>
    </w:p>
  </w:footnote>
  <w:footnote w:id="49">
    <w:p w14:paraId="743E11A6"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Cessford, ‘</w:t>
      </w:r>
      <w:r w:rsidRPr="0070375F">
        <w:rPr>
          <w:sz w:val="16"/>
          <w:szCs w:val="16"/>
        </w:rPr>
        <w:t>Torcs</w:t>
      </w:r>
      <w:r>
        <w:rPr>
          <w:sz w:val="16"/>
          <w:szCs w:val="16"/>
        </w:rPr>
        <w:t xml:space="preserve"> in Early Historic Scotland,’</w:t>
      </w:r>
      <w:r w:rsidRPr="0070375F">
        <w:rPr>
          <w:sz w:val="16"/>
          <w:szCs w:val="16"/>
        </w:rPr>
        <w:t xml:space="preserve"> p. 239.</w:t>
      </w:r>
    </w:p>
  </w:footnote>
  <w:footnote w:id="50">
    <w:p w14:paraId="0C3812AE" w14:textId="77777777" w:rsidR="00CE6977" w:rsidRDefault="00CE6977" w:rsidP="00CE6977">
      <w:pPr>
        <w:pStyle w:val="FootnoteText"/>
      </w:pPr>
      <w:r w:rsidRPr="006C6816">
        <w:rPr>
          <w:rStyle w:val="FootnoteReference"/>
          <w:sz w:val="16"/>
          <w:szCs w:val="16"/>
        </w:rPr>
        <w:footnoteRef/>
      </w:r>
      <w:r w:rsidRPr="006C6816">
        <w:rPr>
          <w:sz w:val="16"/>
          <w:szCs w:val="16"/>
        </w:rPr>
        <w:t xml:space="preserve"> Spearman, R.M., ‘Chain’ [Early Pictish metalwork, 6</w:t>
      </w:r>
      <w:r w:rsidRPr="006C6816">
        <w:rPr>
          <w:sz w:val="16"/>
          <w:szCs w:val="16"/>
          <w:vertAlign w:val="superscript"/>
        </w:rPr>
        <w:t>th</w:t>
      </w:r>
      <w:r w:rsidRPr="006C6816">
        <w:rPr>
          <w:sz w:val="16"/>
          <w:szCs w:val="16"/>
        </w:rPr>
        <w:t xml:space="preserve"> – 7</w:t>
      </w:r>
      <w:r w:rsidRPr="006C6816">
        <w:rPr>
          <w:sz w:val="16"/>
          <w:szCs w:val="16"/>
          <w:vertAlign w:val="superscript"/>
        </w:rPr>
        <w:t>th</w:t>
      </w:r>
      <w:r w:rsidRPr="006C6816">
        <w:rPr>
          <w:sz w:val="16"/>
          <w:szCs w:val="16"/>
        </w:rPr>
        <w:t xml:space="preserve"> centuries] In Youngs, S.</w:t>
      </w:r>
      <w:r>
        <w:rPr>
          <w:sz w:val="16"/>
          <w:szCs w:val="16"/>
        </w:rPr>
        <w:t xml:space="preserve"> (ed.) </w:t>
      </w:r>
      <w:r w:rsidRPr="006C6816">
        <w:rPr>
          <w:sz w:val="16"/>
          <w:szCs w:val="16"/>
        </w:rPr>
        <w:t xml:space="preserve">, </w:t>
      </w:r>
      <w:r w:rsidRPr="006C6816">
        <w:rPr>
          <w:i/>
          <w:iCs/>
          <w:sz w:val="16"/>
          <w:szCs w:val="16"/>
        </w:rPr>
        <w:t xml:space="preserve">‘The Work of Angels’: Masterpieces of Celtic Metalwork 6th-9th Centuries AD </w:t>
      </w:r>
      <w:r w:rsidRPr="006C6816">
        <w:rPr>
          <w:sz w:val="16"/>
          <w:szCs w:val="16"/>
        </w:rPr>
        <w:t>(London, 1989) p. 28.</w:t>
      </w:r>
    </w:p>
  </w:footnote>
  <w:footnote w:id="51">
    <w:p w14:paraId="5E315CF9"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Cessford, ‘</w:t>
      </w:r>
      <w:r w:rsidRPr="0070375F">
        <w:rPr>
          <w:sz w:val="16"/>
          <w:szCs w:val="16"/>
        </w:rPr>
        <w:t>Torcs</w:t>
      </w:r>
      <w:r>
        <w:rPr>
          <w:sz w:val="16"/>
          <w:szCs w:val="16"/>
        </w:rPr>
        <w:t xml:space="preserve"> in Early Historic Scotland,’</w:t>
      </w:r>
      <w:r w:rsidRPr="0070375F">
        <w:rPr>
          <w:sz w:val="16"/>
          <w:szCs w:val="16"/>
        </w:rPr>
        <w:t xml:space="preserve"> p. 239</w:t>
      </w:r>
    </w:p>
  </w:footnote>
  <w:footnote w:id="52">
    <w:p w14:paraId="26C8AC67"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The chains are typically classified as Pictish even when found in what corresponds to the territory and time of the Gododdin.  </w:t>
      </w:r>
    </w:p>
  </w:footnote>
  <w:footnote w:id="53">
    <w:p w14:paraId="7B8AAD20"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sidRPr="00BB27AD">
        <w:rPr>
          <w:sz w:val="16"/>
          <w:szCs w:val="16"/>
        </w:rPr>
        <w:t>Alcock, L</w:t>
      </w:r>
      <w:r>
        <w:rPr>
          <w:sz w:val="16"/>
          <w:szCs w:val="16"/>
        </w:rPr>
        <w:t>.</w:t>
      </w:r>
      <w:r w:rsidRPr="00BB27AD">
        <w:rPr>
          <w:sz w:val="16"/>
          <w:szCs w:val="16"/>
        </w:rPr>
        <w:t xml:space="preserve">, ‘Gwŷr y Gogledd: an Archaeological Appraisal’, in </w:t>
      </w:r>
      <w:r w:rsidRPr="00BB27AD">
        <w:rPr>
          <w:i/>
          <w:iCs/>
          <w:sz w:val="16"/>
          <w:szCs w:val="16"/>
        </w:rPr>
        <w:t>Archaeologia Cambrensis</w:t>
      </w:r>
      <w:r w:rsidRPr="00BB27AD">
        <w:rPr>
          <w:sz w:val="16"/>
          <w:szCs w:val="16"/>
        </w:rPr>
        <w:t xml:space="preserve">, vol. 132 (1983), pp. 1-18. </w:t>
      </w:r>
      <w:hyperlink r:id="rId10" w:anchor="?xywh=-1669%2C-2%2C6271%2C4025" w:history="1">
        <w:r w:rsidRPr="00BB27AD">
          <w:rPr>
            <w:rStyle w:val="Hyperlink"/>
            <w:sz w:val="16"/>
            <w:szCs w:val="16"/>
          </w:rPr>
          <w:t>https://journals.library.wales/view/4718179/4748682/6#?xywh=-1669%2C-2%2C6271%2C4025</w:t>
        </w:r>
      </w:hyperlink>
      <w:r w:rsidRPr="00BB27AD">
        <w:rPr>
          <w:sz w:val="16"/>
          <w:szCs w:val="16"/>
        </w:rPr>
        <w:t xml:space="preserve"> [first accessed 12/12/23].</w:t>
      </w:r>
      <w:r>
        <w:rPr>
          <w:sz w:val="16"/>
          <w:szCs w:val="16"/>
        </w:rPr>
        <w:t xml:space="preserve"> </w:t>
      </w:r>
      <w:r w:rsidRPr="0070375F">
        <w:rPr>
          <w:sz w:val="16"/>
          <w:szCs w:val="16"/>
        </w:rPr>
        <w:t xml:space="preserve"> p. 14.</w:t>
      </w:r>
    </w:p>
  </w:footnote>
  <w:footnote w:id="54">
    <w:p w14:paraId="1220B04B"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Allcock,</w:t>
      </w:r>
      <w:r>
        <w:rPr>
          <w:sz w:val="16"/>
          <w:szCs w:val="16"/>
        </w:rPr>
        <w:t xml:space="preserve"> ‘</w:t>
      </w:r>
      <w:r w:rsidRPr="00BB27AD">
        <w:rPr>
          <w:sz w:val="16"/>
          <w:szCs w:val="16"/>
        </w:rPr>
        <w:t>Gwŷr y Gogledd</w:t>
      </w:r>
      <w:r>
        <w:rPr>
          <w:sz w:val="16"/>
          <w:szCs w:val="16"/>
        </w:rPr>
        <w:t>,’</w:t>
      </w:r>
      <w:r w:rsidRPr="0070375F">
        <w:rPr>
          <w:sz w:val="16"/>
          <w:szCs w:val="16"/>
        </w:rPr>
        <w:t xml:space="preserve"> p. 14.</w:t>
      </w:r>
    </w:p>
  </w:footnote>
  <w:footnote w:id="55">
    <w:p w14:paraId="0B17F6E7"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Allcock,</w:t>
      </w:r>
      <w:r>
        <w:rPr>
          <w:sz w:val="16"/>
          <w:szCs w:val="16"/>
        </w:rPr>
        <w:t xml:space="preserve"> ‘</w:t>
      </w:r>
      <w:r w:rsidRPr="00BB27AD">
        <w:rPr>
          <w:sz w:val="16"/>
          <w:szCs w:val="16"/>
        </w:rPr>
        <w:t>Gwŷr y Gogledd</w:t>
      </w:r>
      <w:r>
        <w:rPr>
          <w:sz w:val="16"/>
          <w:szCs w:val="16"/>
        </w:rPr>
        <w:t>,’</w:t>
      </w:r>
      <w:r w:rsidRPr="0070375F">
        <w:rPr>
          <w:sz w:val="16"/>
          <w:szCs w:val="16"/>
        </w:rPr>
        <w:t xml:space="preserve"> p 14.</w:t>
      </w:r>
    </w:p>
  </w:footnote>
  <w:footnote w:id="56">
    <w:p w14:paraId="3167C49A"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Cessford, ‘J</w:t>
      </w:r>
      <w:r w:rsidRPr="0070375F">
        <w:rPr>
          <w:sz w:val="16"/>
          <w:szCs w:val="16"/>
        </w:rPr>
        <w:t>ewellery</w:t>
      </w:r>
      <w:r>
        <w:rPr>
          <w:sz w:val="16"/>
          <w:szCs w:val="16"/>
        </w:rPr>
        <w:t xml:space="preserve"> and the Gododdin Poem</w:t>
      </w:r>
      <w:r w:rsidRPr="0070375F">
        <w:rPr>
          <w:sz w:val="16"/>
          <w:szCs w:val="16"/>
        </w:rPr>
        <w:t>,</w:t>
      </w:r>
      <w:r>
        <w:rPr>
          <w:sz w:val="16"/>
          <w:szCs w:val="16"/>
        </w:rPr>
        <w:t>’</w:t>
      </w:r>
      <w:r w:rsidRPr="0070375F">
        <w:rPr>
          <w:sz w:val="16"/>
          <w:szCs w:val="16"/>
        </w:rPr>
        <w:t xml:space="preserve"> p. 58.  </w:t>
      </w:r>
    </w:p>
  </w:footnote>
  <w:footnote w:id="57">
    <w:p w14:paraId="74EE02C3"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Ibid. p. 58.</w:t>
      </w:r>
    </w:p>
  </w:footnote>
  <w:footnote w:id="58">
    <w:p w14:paraId="69ECE33B"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Breeze,</w:t>
      </w:r>
      <w:r>
        <w:rPr>
          <w:sz w:val="16"/>
          <w:szCs w:val="16"/>
        </w:rPr>
        <w:t xml:space="preserve"> R., ‘Pictish Chains and Welsh</w:t>
      </w:r>
      <w:r w:rsidRPr="0070375F">
        <w:rPr>
          <w:sz w:val="16"/>
          <w:szCs w:val="16"/>
        </w:rPr>
        <w:t xml:space="preserve"> forgeries,</w:t>
      </w:r>
      <w:r>
        <w:rPr>
          <w:sz w:val="16"/>
          <w:szCs w:val="16"/>
        </w:rPr>
        <w:t>’</w:t>
      </w:r>
      <w:r w:rsidRPr="0070375F">
        <w:rPr>
          <w:sz w:val="16"/>
          <w:szCs w:val="16"/>
        </w:rPr>
        <w:t xml:space="preserve"> </w:t>
      </w:r>
      <w:r>
        <w:rPr>
          <w:sz w:val="16"/>
          <w:szCs w:val="16"/>
        </w:rPr>
        <w:t xml:space="preserve">in </w:t>
      </w:r>
      <w:r w:rsidRPr="008A79DD">
        <w:rPr>
          <w:i/>
          <w:iCs/>
          <w:sz w:val="16"/>
          <w:szCs w:val="16"/>
        </w:rPr>
        <w:t>Proceedings of the Society of Antiquaries of</w:t>
      </w:r>
      <w:r>
        <w:rPr>
          <w:i/>
          <w:iCs/>
          <w:sz w:val="16"/>
          <w:szCs w:val="16"/>
        </w:rPr>
        <w:t xml:space="preserve"> Scotland, </w:t>
      </w:r>
      <w:r>
        <w:rPr>
          <w:sz w:val="16"/>
          <w:szCs w:val="16"/>
        </w:rPr>
        <w:t>vol. 128 (1998) pp. 481-484.,</w:t>
      </w:r>
      <w:r>
        <w:rPr>
          <w:i/>
          <w:iCs/>
          <w:sz w:val="16"/>
          <w:szCs w:val="16"/>
        </w:rPr>
        <w:t xml:space="preserve"> </w:t>
      </w:r>
      <w:r>
        <w:rPr>
          <w:sz w:val="16"/>
          <w:szCs w:val="16"/>
        </w:rPr>
        <w:t xml:space="preserve"> p. </w:t>
      </w:r>
      <w:r w:rsidRPr="0070375F">
        <w:rPr>
          <w:sz w:val="16"/>
          <w:szCs w:val="16"/>
        </w:rPr>
        <w:t>483.</w:t>
      </w:r>
    </w:p>
  </w:footnote>
  <w:footnote w:id="59">
    <w:p w14:paraId="3FD639F5"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Jarman</w:t>
      </w:r>
      <w:r>
        <w:rPr>
          <w:sz w:val="16"/>
          <w:szCs w:val="16"/>
        </w:rPr>
        <w:t>,</w:t>
      </w:r>
      <w:r w:rsidRPr="0070375F">
        <w:rPr>
          <w:sz w:val="16"/>
          <w:szCs w:val="16"/>
        </w:rPr>
        <w:t xml:space="preserve"> </w:t>
      </w:r>
      <w:r w:rsidRPr="00027FF3">
        <w:rPr>
          <w:i/>
          <w:iCs/>
          <w:sz w:val="16"/>
          <w:szCs w:val="16"/>
        </w:rPr>
        <w:t>Y Gododdin</w:t>
      </w:r>
      <w:r w:rsidRPr="0070375F">
        <w:rPr>
          <w:sz w:val="16"/>
          <w:szCs w:val="16"/>
        </w:rPr>
        <w:t>, p. 184.</w:t>
      </w:r>
    </w:p>
  </w:footnote>
  <w:footnote w:id="60">
    <w:p w14:paraId="187A3895"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Cessford, ‘J</w:t>
      </w:r>
      <w:r w:rsidRPr="0070375F">
        <w:rPr>
          <w:sz w:val="16"/>
          <w:szCs w:val="16"/>
        </w:rPr>
        <w:t>ewellery</w:t>
      </w:r>
      <w:r>
        <w:rPr>
          <w:sz w:val="16"/>
          <w:szCs w:val="16"/>
        </w:rPr>
        <w:t xml:space="preserve"> and the Gododdin Poem</w:t>
      </w:r>
      <w:r w:rsidRPr="0070375F">
        <w:rPr>
          <w:sz w:val="16"/>
          <w:szCs w:val="16"/>
        </w:rPr>
        <w:t>,</w:t>
      </w:r>
      <w:r>
        <w:rPr>
          <w:sz w:val="16"/>
          <w:szCs w:val="16"/>
        </w:rPr>
        <w:t>’</w:t>
      </w:r>
      <w:r w:rsidRPr="0070375F">
        <w:rPr>
          <w:sz w:val="16"/>
          <w:szCs w:val="16"/>
        </w:rPr>
        <w:t xml:space="preserve"> p. 20.</w:t>
      </w:r>
    </w:p>
  </w:footnote>
  <w:footnote w:id="61">
    <w:p w14:paraId="23D97809"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Ibid.</w:t>
      </w:r>
      <w:r w:rsidRPr="0070375F">
        <w:rPr>
          <w:sz w:val="16"/>
          <w:szCs w:val="16"/>
        </w:rPr>
        <w:t xml:space="preserve"> p. 22.</w:t>
      </w:r>
    </w:p>
  </w:footnote>
  <w:footnote w:id="62">
    <w:p w14:paraId="68DEA4D1"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sidRPr="006C6816">
        <w:rPr>
          <w:sz w:val="16"/>
          <w:szCs w:val="16"/>
        </w:rPr>
        <w:t>Spearman, R.M., ‘Chain’</w:t>
      </w:r>
      <w:r>
        <w:rPr>
          <w:sz w:val="16"/>
          <w:szCs w:val="16"/>
        </w:rPr>
        <w:t>,</w:t>
      </w:r>
      <w:r w:rsidRPr="006C6816">
        <w:rPr>
          <w:sz w:val="16"/>
          <w:szCs w:val="16"/>
        </w:rPr>
        <w:t xml:space="preserve"> p. 28.</w:t>
      </w:r>
    </w:p>
  </w:footnote>
  <w:footnote w:id="63">
    <w:p w14:paraId="4065E4EE" w14:textId="77777777" w:rsidR="00CE6977" w:rsidRPr="0070375F" w:rsidRDefault="00CE6977" w:rsidP="00CE6977">
      <w:pPr>
        <w:pStyle w:val="FootnoteText"/>
        <w:rPr>
          <w:sz w:val="16"/>
          <w:szCs w:val="16"/>
        </w:rPr>
      </w:pPr>
      <w:r w:rsidRPr="0070375F">
        <w:rPr>
          <w:rStyle w:val="FootnoteReference"/>
          <w:sz w:val="16"/>
          <w:szCs w:val="16"/>
        </w:rPr>
        <w:footnoteRef/>
      </w:r>
      <w:r>
        <w:rPr>
          <w:sz w:val="16"/>
          <w:szCs w:val="16"/>
        </w:rPr>
        <w:t xml:space="preserve"> </w:t>
      </w:r>
      <w:r>
        <w:rPr>
          <w:i/>
          <w:iCs/>
          <w:sz w:val="16"/>
          <w:szCs w:val="16"/>
        </w:rPr>
        <w:t xml:space="preserve">Pictish Chains of Silver, </w:t>
      </w:r>
      <w:r>
        <w:rPr>
          <w:sz w:val="16"/>
          <w:szCs w:val="16"/>
        </w:rPr>
        <w:t>National Museums Scotland:</w:t>
      </w:r>
      <w:r w:rsidRPr="0070375F">
        <w:rPr>
          <w:sz w:val="16"/>
          <w:szCs w:val="16"/>
        </w:rPr>
        <w:t xml:space="preserve"> </w:t>
      </w:r>
      <w:hyperlink r:id="rId11" w:history="1">
        <w:r w:rsidRPr="0070375F">
          <w:rPr>
            <w:rStyle w:val="Hyperlink"/>
            <w:sz w:val="16"/>
            <w:szCs w:val="16"/>
          </w:rPr>
          <w:t>https://nms.scran.ac.uk/database/record.php?usi=000-100-036-326-C</w:t>
        </w:r>
      </w:hyperlink>
      <w:r w:rsidRPr="0070375F">
        <w:rPr>
          <w:sz w:val="16"/>
          <w:szCs w:val="16"/>
        </w:rPr>
        <w:t xml:space="preserve"> </w:t>
      </w:r>
      <w:r>
        <w:rPr>
          <w:sz w:val="16"/>
          <w:szCs w:val="16"/>
        </w:rPr>
        <w:t>[first accessed 23/3/24]. Note that the chains are grouped together as Pictish: no reference to Brittonic societies is made.</w:t>
      </w:r>
    </w:p>
  </w:footnote>
  <w:footnote w:id="64">
    <w:p w14:paraId="200C53BB"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Jones,</w:t>
      </w:r>
      <w:r>
        <w:rPr>
          <w:sz w:val="16"/>
          <w:szCs w:val="16"/>
        </w:rPr>
        <w:t xml:space="preserve"> A. M.</w:t>
      </w:r>
      <w:r w:rsidRPr="00007EC1">
        <w:rPr>
          <w:i/>
          <w:iCs/>
          <w:sz w:val="22"/>
          <w:szCs w:val="22"/>
        </w:rPr>
        <w:t xml:space="preserve"> </w:t>
      </w:r>
      <w:r w:rsidRPr="00007EC1">
        <w:rPr>
          <w:i/>
          <w:iCs/>
          <w:sz w:val="16"/>
          <w:szCs w:val="16"/>
        </w:rPr>
        <w:t>Gwisgoedd ac Ategolion</w:t>
      </w:r>
      <w:r>
        <w:rPr>
          <w:i/>
          <w:iCs/>
          <w:sz w:val="16"/>
          <w:szCs w:val="16"/>
        </w:rPr>
        <w:t>,</w:t>
      </w:r>
      <w:r w:rsidRPr="0070375F">
        <w:rPr>
          <w:sz w:val="16"/>
          <w:szCs w:val="16"/>
        </w:rPr>
        <w:t xml:space="preserve"> </w:t>
      </w:r>
      <w:r w:rsidRPr="0070375F">
        <w:rPr>
          <w:rFonts w:eastAsia="Calibri" w:cs="Calibri"/>
          <w:color w:val="050505"/>
          <w:kern w:val="0"/>
          <w:sz w:val="16"/>
          <w:szCs w:val="16"/>
          <w:shd w:val="clear" w:color="auto" w:fill="FFFFFF"/>
          <w14:ligatures w14:val="none"/>
        </w:rPr>
        <w:t>pp. 71-72.</w:t>
      </w:r>
    </w:p>
  </w:footnote>
  <w:footnote w:id="65">
    <w:p w14:paraId="13F4FB89" w14:textId="77777777" w:rsidR="00CE6977" w:rsidRPr="00D67A27" w:rsidRDefault="00CE6977" w:rsidP="00CE6977">
      <w:pPr>
        <w:pStyle w:val="FootnoteText"/>
        <w:rPr>
          <w:i/>
          <w:iCs/>
        </w:rPr>
      </w:pPr>
      <w:r w:rsidRPr="00D67A27">
        <w:rPr>
          <w:rStyle w:val="FootnoteReference"/>
          <w:sz w:val="16"/>
          <w:szCs w:val="16"/>
        </w:rPr>
        <w:footnoteRef/>
      </w:r>
      <w:r w:rsidRPr="00D67A27">
        <w:rPr>
          <w:sz w:val="16"/>
          <w:szCs w:val="16"/>
        </w:rPr>
        <w:t xml:space="preserve"> </w:t>
      </w:r>
      <w:r w:rsidRPr="00D67A27">
        <w:rPr>
          <w:i/>
          <w:iCs/>
          <w:sz w:val="16"/>
          <w:szCs w:val="16"/>
        </w:rPr>
        <w:t xml:space="preserve">Anglo-Saxon neck ring, c5-6, British Museum: </w:t>
      </w:r>
      <w:hyperlink r:id="rId12" w:history="1">
        <w:r w:rsidRPr="00D67A27">
          <w:rPr>
            <w:rStyle w:val="Hyperlink"/>
            <w:i/>
            <w:iCs/>
            <w:sz w:val="16"/>
            <w:szCs w:val="16"/>
          </w:rPr>
          <w:t>https://www.britishmuseum.org/collection/object/H_1925-0404-1</w:t>
        </w:r>
      </w:hyperlink>
      <w:r w:rsidRPr="00D67A27">
        <w:rPr>
          <w:i/>
          <w:iCs/>
          <w:sz w:val="16"/>
          <w:szCs w:val="16"/>
        </w:rPr>
        <w:t xml:space="preserve"> [first accessed 11/04/24].</w:t>
      </w:r>
    </w:p>
  </w:footnote>
  <w:footnote w:id="66">
    <w:p w14:paraId="38627F00"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Chittock, H., ‘Iron Age antiques: Assessing the function of old objects in Britain from 400 BC to AD 100,’ in Knight, M. G., Boughton, D., and. Wilkinson, R. E. (eds), </w:t>
      </w:r>
      <w:r w:rsidRPr="0070375F">
        <w:rPr>
          <w:i/>
          <w:iCs/>
          <w:sz w:val="16"/>
          <w:szCs w:val="16"/>
        </w:rPr>
        <w:t xml:space="preserve">Objects of the Past in the Past: Investigating the significance of earlier artefacts in later contexts, </w:t>
      </w:r>
      <w:r w:rsidRPr="0070375F">
        <w:rPr>
          <w:sz w:val="16"/>
          <w:szCs w:val="16"/>
        </w:rPr>
        <w:t>(Archaeopress, 2019), pp. 77-97., p. 81.</w:t>
      </w:r>
    </w:p>
  </w:footnote>
  <w:footnote w:id="67">
    <w:p w14:paraId="35AF00BC"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Chittock, ‘Iron Age antiques</w:t>
      </w:r>
      <w:r>
        <w:rPr>
          <w:sz w:val="16"/>
          <w:szCs w:val="16"/>
        </w:rPr>
        <w:t>,’</w:t>
      </w:r>
      <w:r w:rsidRPr="0070375F">
        <w:rPr>
          <w:sz w:val="16"/>
          <w:szCs w:val="16"/>
        </w:rPr>
        <w:t xml:space="preserve"> p. 81.</w:t>
      </w:r>
    </w:p>
  </w:footnote>
  <w:footnote w:id="68">
    <w:p w14:paraId="15BC0F0E"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Allcock, </w:t>
      </w:r>
      <w:r>
        <w:rPr>
          <w:sz w:val="16"/>
          <w:szCs w:val="16"/>
        </w:rPr>
        <w:t>‘</w:t>
      </w:r>
      <w:r w:rsidRPr="00BB27AD">
        <w:rPr>
          <w:sz w:val="16"/>
          <w:szCs w:val="16"/>
        </w:rPr>
        <w:t>Gwŷr y Gogledd</w:t>
      </w:r>
      <w:r>
        <w:rPr>
          <w:sz w:val="16"/>
          <w:szCs w:val="16"/>
        </w:rPr>
        <w:t>,’</w:t>
      </w:r>
      <w:r w:rsidRPr="0070375F">
        <w:rPr>
          <w:sz w:val="16"/>
          <w:szCs w:val="16"/>
        </w:rPr>
        <w:t xml:space="preserve"> p. 4.</w:t>
      </w:r>
    </w:p>
  </w:footnote>
  <w:footnote w:id="69">
    <w:p w14:paraId="6A9A4EFF" w14:textId="77777777" w:rsidR="00CE6977" w:rsidRPr="0070375F" w:rsidRDefault="00CE6977" w:rsidP="00CE6977">
      <w:pPr>
        <w:pStyle w:val="FootnoteText"/>
        <w:rPr>
          <w:sz w:val="16"/>
          <w:szCs w:val="16"/>
        </w:rPr>
      </w:pPr>
      <w:r w:rsidRPr="0070375F">
        <w:rPr>
          <w:rStyle w:val="FootnoteReference"/>
          <w:sz w:val="16"/>
          <w:szCs w:val="16"/>
        </w:rPr>
        <w:footnoteRef/>
      </w:r>
      <w:r w:rsidRPr="0070375F">
        <w:rPr>
          <w:sz w:val="16"/>
          <w:szCs w:val="16"/>
        </w:rPr>
        <w:t xml:space="preserve"> </w:t>
      </w:r>
      <w:r>
        <w:rPr>
          <w:sz w:val="16"/>
          <w:szCs w:val="16"/>
        </w:rPr>
        <w:t>Cessford, ‘</w:t>
      </w:r>
      <w:r w:rsidRPr="0070375F">
        <w:rPr>
          <w:sz w:val="16"/>
          <w:szCs w:val="16"/>
        </w:rPr>
        <w:t>Torcs</w:t>
      </w:r>
      <w:r>
        <w:rPr>
          <w:sz w:val="16"/>
          <w:szCs w:val="16"/>
        </w:rPr>
        <w:t xml:space="preserve"> in Early Historic Scotland,’</w:t>
      </w:r>
      <w:r w:rsidRPr="0070375F">
        <w:rPr>
          <w:sz w:val="16"/>
          <w:szCs w:val="16"/>
        </w:rPr>
        <w:t xml:space="preserve"> </w:t>
      </w:r>
      <w:r>
        <w:rPr>
          <w:sz w:val="16"/>
          <w:szCs w:val="16"/>
        </w:rPr>
        <w:t xml:space="preserve">p. </w:t>
      </w:r>
      <w:r w:rsidRPr="0070375F">
        <w:rPr>
          <w:sz w:val="16"/>
          <w:szCs w:val="16"/>
        </w:rPr>
        <w:t>238</w:t>
      </w:r>
      <w:r>
        <w:rPr>
          <w:sz w:val="16"/>
          <w:szCs w:val="16"/>
        </w:rPr>
        <w:t>.</w:t>
      </w:r>
    </w:p>
  </w:footnote>
  <w:footnote w:id="70">
    <w:p w14:paraId="20ABC498" w14:textId="77777777" w:rsidR="00067686" w:rsidRPr="009A5373"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bookmarkStart w:id="22" w:name="_Hlk170059731"/>
      <w:r w:rsidRPr="002828D7">
        <w:rPr>
          <w:sz w:val="16"/>
          <w:szCs w:val="16"/>
        </w:rPr>
        <w:t>Ann Parry Owen</w:t>
      </w:r>
      <w:r>
        <w:rPr>
          <w:sz w:val="16"/>
          <w:szCs w:val="16"/>
        </w:rPr>
        <w:t>’s</w:t>
      </w:r>
      <w:r w:rsidRPr="002828D7">
        <w:rPr>
          <w:sz w:val="16"/>
          <w:szCs w:val="16"/>
        </w:rPr>
        <w:t xml:space="preserve">, </w:t>
      </w:r>
      <w:r w:rsidRPr="00262C6A">
        <w:rPr>
          <w:i/>
          <w:iCs/>
          <w:sz w:val="16"/>
          <w:szCs w:val="16"/>
        </w:rPr>
        <w:t>Concordances for Cyfres Beirdd y Twysogion</w:t>
      </w:r>
      <w:r w:rsidRPr="002828D7">
        <w:rPr>
          <w:sz w:val="16"/>
          <w:szCs w:val="16"/>
        </w:rPr>
        <w:t xml:space="preserve">, </w:t>
      </w:r>
      <w:r>
        <w:rPr>
          <w:sz w:val="16"/>
          <w:szCs w:val="16"/>
        </w:rPr>
        <w:t>available on A</w:t>
      </w:r>
      <w:r w:rsidRPr="002828D7">
        <w:rPr>
          <w:sz w:val="16"/>
          <w:szCs w:val="16"/>
        </w:rPr>
        <w:t>cademia</w:t>
      </w:r>
      <w:r>
        <w:rPr>
          <w:sz w:val="16"/>
          <w:szCs w:val="16"/>
        </w:rPr>
        <w:t>.edu</w:t>
      </w:r>
      <w:r w:rsidRPr="002828D7">
        <w:rPr>
          <w:sz w:val="16"/>
          <w:szCs w:val="16"/>
        </w:rPr>
        <w:t xml:space="preserve">. </w:t>
      </w:r>
      <w:bookmarkEnd w:id="22"/>
      <w:r w:rsidRPr="002828D7">
        <w:rPr>
          <w:sz w:val="16"/>
          <w:szCs w:val="16"/>
        </w:rPr>
        <w:t xml:space="preserve">As with the Gododdin, orthography has been updated. For example, </w:t>
      </w:r>
      <w:r w:rsidRPr="002828D7">
        <w:rPr>
          <w:i/>
          <w:iCs/>
          <w:sz w:val="16"/>
          <w:szCs w:val="16"/>
        </w:rPr>
        <w:t xml:space="preserve">eurdorch </w:t>
      </w:r>
      <w:r w:rsidRPr="002828D7">
        <w:rPr>
          <w:sz w:val="16"/>
          <w:szCs w:val="16"/>
        </w:rPr>
        <w:t xml:space="preserve">appears in many manuscripts as </w:t>
      </w:r>
      <w:r w:rsidRPr="002828D7">
        <w:rPr>
          <w:i/>
          <w:iCs/>
          <w:sz w:val="16"/>
          <w:szCs w:val="16"/>
        </w:rPr>
        <w:t>eurdyrch.</w:t>
      </w:r>
      <w:r>
        <w:rPr>
          <w:i/>
          <w:iCs/>
          <w:sz w:val="16"/>
          <w:szCs w:val="16"/>
        </w:rPr>
        <w:t xml:space="preserve"> </w:t>
      </w:r>
      <w:r>
        <w:rPr>
          <w:sz w:val="16"/>
          <w:szCs w:val="16"/>
        </w:rPr>
        <w:t>References to poems/poets will correspond to this table unless otherwise.</w:t>
      </w:r>
    </w:p>
  </w:footnote>
  <w:footnote w:id="71">
    <w:p w14:paraId="78A1C95E" w14:textId="558F6F76" w:rsidR="00067686" w:rsidRPr="002828D7" w:rsidRDefault="00067686" w:rsidP="00067686">
      <w:pPr>
        <w:pStyle w:val="FootnoteText"/>
        <w:rPr>
          <w:sz w:val="16"/>
          <w:szCs w:val="16"/>
        </w:rPr>
      </w:pPr>
      <w:r w:rsidRPr="002828D7">
        <w:rPr>
          <w:rStyle w:val="FootnoteReference"/>
          <w:sz w:val="16"/>
          <w:szCs w:val="16"/>
        </w:rPr>
        <w:footnoteRef/>
      </w:r>
      <w:r>
        <w:rPr>
          <w:sz w:val="16"/>
          <w:szCs w:val="16"/>
        </w:rPr>
        <w:t xml:space="preserve"> </w:t>
      </w:r>
      <w:bookmarkStart w:id="23" w:name="_Hlk170059593"/>
      <w:r w:rsidRPr="004154BF">
        <w:rPr>
          <w:sz w:val="16"/>
          <w:szCs w:val="16"/>
        </w:rPr>
        <w:t>Logeion, Dictionary of Med</w:t>
      </w:r>
      <w:r w:rsidR="00793CD6">
        <w:rPr>
          <w:sz w:val="16"/>
          <w:szCs w:val="16"/>
        </w:rPr>
        <w:t>ie</w:t>
      </w:r>
      <w:r w:rsidRPr="004154BF">
        <w:rPr>
          <w:sz w:val="16"/>
          <w:szCs w:val="16"/>
        </w:rPr>
        <w:t xml:space="preserve">val Latin from British Sources, </w:t>
      </w:r>
      <w:hyperlink r:id="rId13" w:history="1">
        <w:r w:rsidRPr="004154BF">
          <w:rPr>
            <w:rStyle w:val="Hyperlink"/>
            <w:sz w:val="16"/>
            <w:szCs w:val="16"/>
          </w:rPr>
          <w:t>https://logeion.uchicago.edu/torques</w:t>
        </w:r>
      </w:hyperlink>
      <w:r w:rsidRPr="004154BF">
        <w:rPr>
          <w:sz w:val="16"/>
          <w:szCs w:val="16"/>
        </w:rPr>
        <w:t xml:space="preserve"> [first accessed 30/05/24].</w:t>
      </w:r>
      <w:bookmarkEnd w:id="23"/>
    </w:p>
  </w:footnote>
  <w:footnote w:id="72">
    <w:p w14:paraId="71B7064B"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sidRPr="00262C6A">
        <w:rPr>
          <w:sz w:val="16"/>
          <w:szCs w:val="16"/>
        </w:rPr>
        <w:t xml:space="preserve">Jones, </w:t>
      </w:r>
      <w:r w:rsidRPr="00262C6A">
        <w:rPr>
          <w:i/>
          <w:iCs/>
          <w:sz w:val="16"/>
          <w:szCs w:val="16"/>
        </w:rPr>
        <w:t>Gwisgoedd ac Ategolion</w:t>
      </w:r>
      <w:r>
        <w:rPr>
          <w:i/>
          <w:iCs/>
          <w:sz w:val="16"/>
          <w:szCs w:val="16"/>
        </w:rPr>
        <w:t>,</w:t>
      </w:r>
      <w:r w:rsidRPr="00262C6A">
        <w:rPr>
          <w:i/>
          <w:iCs/>
          <w:sz w:val="16"/>
          <w:szCs w:val="16"/>
        </w:rPr>
        <w:t xml:space="preserve"> </w:t>
      </w:r>
      <w:r w:rsidRPr="002828D7">
        <w:rPr>
          <w:sz w:val="16"/>
          <w:szCs w:val="16"/>
        </w:rPr>
        <w:t xml:space="preserve">p.162. </w:t>
      </w:r>
    </w:p>
  </w:footnote>
  <w:footnote w:id="73">
    <w:p w14:paraId="157961DC"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sidRPr="009A5373">
        <w:rPr>
          <w:sz w:val="16"/>
          <w:szCs w:val="16"/>
        </w:rPr>
        <w:t>GM   I   11  43</w:t>
      </w:r>
    </w:p>
  </w:footnote>
  <w:footnote w:id="74">
    <w:p w14:paraId="6CABFD13"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sidRPr="00986FAE">
        <w:rPr>
          <w:sz w:val="16"/>
          <w:szCs w:val="16"/>
        </w:rPr>
        <w:t>Jones</w:t>
      </w:r>
      <w:r>
        <w:rPr>
          <w:sz w:val="16"/>
          <w:szCs w:val="16"/>
        </w:rPr>
        <w:t>,</w:t>
      </w:r>
      <w:r w:rsidRPr="00986FAE">
        <w:rPr>
          <w:sz w:val="16"/>
          <w:szCs w:val="16"/>
        </w:rPr>
        <w:t xml:space="preserve"> N</w:t>
      </w:r>
      <w:r>
        <w:rPr>
          <w:sz w:val="16"/>
          <w:szCs w:val="16"/>
        </w:rPr>
        <w:t>.</w:t>
      </w:r>
      <w:r w:rsidRPr="00986FAE">
        <w:rPr>
          <w:sz w:val="16"/>
          <w:szCs w:val="16"/>
        </w:rPr>
        <w:t xml:space="preserve"> </w:t>
      </w:r>
      <w:r>
        <w:rPr>
          <w:sz w:val="16"/>
          <w:szCs w:val="16"/>
        </w:rPr>
        <w:t>A.</w:t>
      </w:r>
      <w:r w:rsidRPr="00986FAE">
        <w:rPr>
          <w:sz w:val="16"/>
          <w:szCs w:val="16"/>
        </w:rPr>
        <w:t xml:space="preserve"> and Parry Owen</w:t>
      </w:r>
      <w:r>
        <w:rPr>
          <w:sz w:val="16"/>
          <w:szCs w:val="16"/>
        </w:rPr>
        <w:t>,</w:t>
      </w:r>
      <w:r w:rsidRPr="00986FAE">
        <w:rPr>
          <w:sz w:val="16"/>
          <w:szCs w:val="16"/>
        </w:rPr>
        <w:t xml:space="preserve"> A</w:t>
      </w:r>
      <w:r>
        <w:rPr>
          <w:sz w:val="16"/>
          <w:szCs w:val="16"/>
        </w:rPr>
        <w:t>.</w:t>
      </w:r>
      <w:r w:rsidRPr="00986FAE">
        <w:rPr>
          <w:sz w:val="16"/>
          <w:szCs w:val="16"/>
        </w:rPr>
        <w:t xml:space="preserve"> (eds), </w:t>
      </w:r>
      <w:r w:rsidRPr="00986FAE">
        <w:rPr>
          <w:i/>
          <w:iCs/>
          <w:sz w:val="16"/>
          <w:szCs w:val="16"/>
        </w:rPr>
        <w:t>Gwaith Cynddelw Brydydd Mawr, I </w:t>
      </w:r>
      <w:r w:rsidRPr="00986FAE">
        <w:rPr>
          <w:sz w:val="16"/>
          <w:szCs w:val="16"/>
        </w:rPr>
        <w:t>(Cardiff: University of Wales Press, 1991)</w:t>
      </w:r>
      <w:r>
        <w:rPr>
          <w:sz w:val="16"/>
          <w:szCs w:val="16"/>
        </w:rPr>
        <w:t xml:space="preserve">, poem </w:t>
      </w:r>
      <w:r w:rsidRPr="002828D7">
        <w:rPr>
          <w:sz w:val="16"/>
          <w:szCs w:val="16"/>
        </w:rPr>
        <w:t>8</w:t>
      </w:r>
      <w:r>
        <w:rPr>
          <w:sz w:val="16"/>
          <w:szCs w:val="16"/>
        </w:rPr>
        <w:t>, line</w:t>
      </w:r>
      <w:r w:rsidRPr="002828D7">
        <w:rPr>
          <w:sz w:val="16"/>
          <w:szCs w:val="16"/>
        </w:rPr>
        <w:t xml:space="preserve"> 23</w:t>
      </w:r>
      <w:r>
        <w:rPr>
          <w:sz w:val="16"/>
          <w:szCs w:val="16"/>
        </w:rPr>
        <w:t>.</w:t>
      </w:r>
      <w:r w:rsidRPr="002828D7">
        <w:rPr>
          <w:sz w:val="16"/>
          <w:szCs w:val="16"/>
        </w:rPr>
        <w:t xml:space="preserve">  </w:t>
      </w:r>
    </w:p>
  </w:footnote>
  <w:footnote w:id="75">
    <w:p w14:paraId="1D18BF09"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sidRPr="00986FAE">
        <w:rPr>
          <w:sz w:val="16"/>
          <w:szCs w:val="16"/>
        </w:rPr>
        <w:t>Costigan N.G. (Bosco) et al. (eds), </w:t>
      </w:r>
      <w:r w:rsidRPr="00986FAE">
        <w:rPr>
          <w:i/>
          <w:iCs/>
          <w:sz w:val="16"/>
          <w:szCs w:val="16"/>
        </w:rPr>
        <w:t>Gwaith Dafydd Benfras ac Eraill o Feirdd Hanner Cyntaf y Drydedd Ganrif ar Ddeg </w:t>
      </w:r>
      <w:r w:rsidRPr="00986FAE">
        <w:rPr>
          <w:sz w:val="16"/>
          <w:szCs w:val="16"/>
        </w:rPr>
        <w:t>(Cardiff: University of Wales Press, 1995)</w:t>
      </w:r>
      <w:r>
        <w:rPr>
          <w:sz w:val="16"/>
          <w:szCs w:val="16"/>
        </w:rPr>
        <w:t xml:space="preserve">, poem </w:t>
      </w:r>
      <w:r w:rsidRPr="002828D7">
        <w:rPr>
          <w:sz w:val="16"/>
          <w:szCs w:val="16"/>
        </w:rPr>
        <w:t>31</w:t>
      </w:r>
      <w:r>
        <w:rPr>
          <w:sz w:val="16"/>
          <w:szCs w:val="16"/>
        </w:rPr>
        <w:t>, line</w:t>
      </w:r>
      <w:r w:rsidRPr="002828D7">
        <w:rPr>
          <w:sz w:val="16"/>
          <w:szCs w:val="16"/>
        </w:rPr>
        <w:t xml:space="preserve">  62</w:t>
      </w:r>
      <w:r>
        <w:rPr>
          <w:sz w:val="16"/>
          <w:szCs w:val="16"/>
        </w:rPr>
        <w:t>.</w:t>
      </w:r>
      <w:r w:rsidRPr="002828D7">
        <w:rPr>
          <w:sz w:val="16"/>
          <w:szCs w:val="16"/>
        </w:rPr>
        <w:t xml:space="preserve">  </w:t>
      </w:r>
    </w:p>
  </w:footnote>
  <w:footnote w:id="76">
    <w:p w14:paraId="59657CEE"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bookmarkStart w:id="24" w:name="_Hlk170064881"/>
      <w:r w:rsidRPr="00986FAE">
        <w:rPr>
          <w:sz w:val="16"/>
          <w:szCs w:val="16"/>
        </w:rPr>
        <w:t>Williams, J.E.C</w:t>
      </w:r>
      <w:r>
        <w:rPr>
          <w:sz w:val="16"/>
          <w:szCs w:val="16"/>
        </w:rPr>
        <w:t>.,</w:t>
      </w:r>
      <w:r w:rsidRPr="00986FAE">
        <w:rPr>
          <w:sz w:val="16"/>
          <w:szCs w:val="16"/>
        </w:rPr>
        <w:t xml:space="preserve"> Lynch</w:t>
      </w:r>
      <w:r>
        <w:rPr>
          <w:sz w:val="16"/>
          <w:szCs w:val="16"/>
        </w:rPr>
        <w:t>,</w:t>
      </w:r>
      <w:r w:rsidRPr="00986FAE">
        <w:rPr>
          <w:sz w:val="16"/>
          <w:szCs w:val="16"/>
        </w:rPr>
        <w:t xml:space="preserve"> P</w:t>
      </w:r>
      <w:r>
        <w:rPr>
          <w:sz w:val="16"/>
          <w:szCs w:val="16"/>
        </w:rPr>
        <w:t>.</w:t>
      </w:r>
      <w:r w:rsidRPr="00986FAE">
        <w:rPr>
          <w:sz w:val="16"/>
          <w:szCs w:val="16"/>
        </w:rPr>
        <w:t xml:space="preserve"> I. and Gruffydd</w:t>
      </w:r>
      <w:r>
        <w:rPr>
          <w:sz w:val="16"/>
          <w:szCs w:val="16"/>
        </w:rPr>
        <w:t>,</w:t>
      </w:r>
      <w:r w:rsidRPr="00986FAE">
        <w:rPr>
          <w:sz w:val="16"/>
          <w:szCs w:val="16"/>
        </w:rPr>
        <w:t xml:space="preserve"> R. G</w:t>
      </w:r>
      <w:r>
        <w:rPr>
          <w:sz w:val="16"/>
          <w:szCs w:val="16"/>
        </w:rPr>
        <w:t>.</w:t>
      </w:r>
      <w:r w:rsidRPr="00986FAE">
        <w:rPr>
          <w:sz w:val="16"/>
          <w:szCs w:val="16"/>
        </w:rPr>
        <w:t xml:space="preserve"> (eds), </w:t>
      </w:r>
      <w:r w:rsidRPr="00986FAE">
        <w:rPr>
          <w:i/>
          <w:iCs/>
          <w:sz w:val="16"/>
          <w:szCs w:val="16"/>
        </w:rPr>
        <w:t>Gwaith Meilyr Brydydd a’i Ddisgynyddion, ynghyd â Dwy Awdl Fawl Ddienw o Ddeheubarth </w:t>
      </w:r>
      <w:r w:rsidRPr="00986FAE">
        <w:rPr>
          <w:sz w:val="16"/>
          <w:szCs w:val="16"/>
        </w:rPr>
        <w:t>(Cardiff: University of Wales Press, 1994)</w:t>
      </w:r>
      <w:r>
        <w:rPr>
          <w:sz w:val="16"/>
          <w:szCs w:val="16"/>
        </w:rPr>
        <w:t xml:space="preserve">, </w:t>
      </w:r>
      <w:bookmarkEnd w:id="24"/>
      <w:r>
        <w:rPr>
          <w:sz w:val="16"/>
          <w:szCs w:val="16"/>
        </w:rPr>
        <w:t xml:space="preserve">poem </w:t>
      </w:r>
      <w:r w:rsidRPr="002828D7">
        <w:rPr>
          <w:sz w:val="16"/>
          <w:szCs w:val="16"/>
        </w:rPr>
        <w:t>4</w:t>
      </w:r>
      <w:r>
        <w:rPr>
          <w:sz w:val="16"/>
          <w:szCs w:val="16"/>
        </w:rPr>
        <w:t>, line</w:t>
      </w:r>
      <w:r w:rsidRPr="002828D7">
        <w:rPr>
          <w:sz w:val="16"/>
          <w:szCs w:val="16"/>
        </w:rPr>
        <w:t xml:space="preserve">  52</w:t>
      </w:r>
      <w:r>
        <w:rPr>
          <w:sz w:val="16"/>
          <w:szCs w:val="16"/>
        </w:rPr>
        <w:t>.</w:t>
      </w:r>
      <w:r w:rsidRPr="002828D7">
        <w:rPr>
          <w:sz w:val="16"/>
          <w:szCs w:val="16"/>
        </w:rPr>
        <w:t xml:space="preserve">   </w:t>
      </w:r>
    </w:p>
  </w:footnote>
  <w:footnote w:id="77">
    <w:p w14:paraId="2576AD4D"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Pr>
          <w:sz w:val="16"/>
          <w:szCs w:val="16"/>
        </w:rPr>
        <w:t xml:space="preserve">Jones and Parry Owen, </w:t>
      </w:r>
      <w:r w:rsidRPr="00986FAE">
        <w:rPr>
          <w:i/>
          <w:iCs/>
          <w:sz w:val="16"/>
          <w:szCs w:val="16"/>
        </w:rPr>
        <w:t>Gwaith Cynddelw Brydydd Mawr</w:t>
      </w:r>
      <w:r>
        <w:rPr>
          <w:i/>
          <w:iCs/>
          <w:sz w:val="16"/>
          <w:szCs w:val="16"/>
        </w:rPr>
        <w:t>,</w:t>
      </w:r>
      <w:r>
        <w:rPr>
          <w:sz w:val="16"/>
          <w:szCs w:val="16"/>
        </w:rPr>
        <w:t xml:space="preserve"> poem 8, </w:t>
      </w:r>
      <w:r w:rsidRPr="002828D7">
        <w:rPr>
          <w:rFonts w:eastAsia="Calibri" w:cs="Calibri"/>
          <w:kern w:val="0"/>
          <w:sz w:val="16"/>
          <w:szCs w:val="16"/>
          <w14:ligatures w14:val="none"/>
        </w:rPr>
        <w:t>line 31</w:t>
      </w:r>
      <w:r>
        <w:rPr>
          <w:rFonts w:eastAsia="Calibri" w:cs="Calibri"/>
          <w:kern w:val="0"/>
          <w:sz w:val="16"/>
          <w:szCs w:val="16"/>
          <w14:ligatures w14:val="none"/>
        </w:rPr>
        <w:t>.</w:t>
      </w:r>
    </w:p>
  </w:footnote>
  <w:footnote w:id="78">
    <w:p w14:paraId="54E31998" w14:textId="77777777" w:rsidR="00067686" w:rsidRDefault="00067686" w:rsidP="00067686">
      <w:pPr>
        <w:pStyle w:val="FootnoteText"/>
      </w:pPr>
      <w:r w:rsidRPr="005259E8">
        <w:rPr>
          <w:rStyle w:val="FootnoteReference"/>
          <w:sz w:val="16"/>
          <w:szCs w:val="16"/>
        </w:rPr>
        <w:footnoteRef/>
      </w:r>
      <w:r w:rsidRPr="005259E8">
        <w:rPr>
          <w:sz w:val="16"/>
          <w:szCs w:val="16"/>
        </w:rPr>
        <w:t xml:space="preserve"> </w:t>
      </w:r>
      <w:r>
        <w:rPr>
          <w:sz w:val="16"/>
          <w:szCs w:val="16"/>
        </w:rPr>
        <w:t>Ibid., poem 8, line 3.</w:t>
      </w:r>
    </w:p>
  </w:footnote>
  <w:footnote w:id="79">
    <w:p w14:paraId="2759C605" w14:textId="77777777" w:rsidR="00067686" w:rsidRPr="002828D7" w:rsidRDefault="00067686" w:rsidP="00067686">
      <w:pPr>
        <w:pStyle w:val="FootnoteText"/>
        <w:tabs>
          <w:tab w:val="left" w:pos="6693"/>
        </w:tabs>
        <w:rPr>
          <w:sz w:val="16"/>
          <w:szCs w:val="16"/>
        </w:rPr>
      </w:pPr>
      <w:r w:rsidRPr="002828D7">
        <w:rPr>
          <w:rStyle w:val="FootnoteReference"/>
          <w:sz w:val="16"/>
          <w:szCs w:val="16"/>
        </w:rPr>
        <w:footnoteRef/>
      </w:r>
      <w:r w:rsidRPr="002828D7">
        <w:rPr>
          <w:sz w:val="16"/>
          <w:szCs w:val="16"/>
        </w:rPr>
        <w:t xml:space="preserve"> D</w:t>
      </w:r>
      <w:r>
        <w:rPr>
          <w:sz w:val="16"/>
          <w:szCs w:val="16"/>
        </w:rPr>
        <w:t>afydd Ap Gwylim.net</w:t>
      </w:r>
      <w:r w:rsidRPr="002828D7">
        <w:rPr>
          <w:sz w:val="16"/>
          <w:szCs w:val="16"/>
        </w:rPr>
        <w:t xml:space="preserve">, </w:t>
      </w:r>
      <w:r>
        <w:rPr>
          <w:sz w:val="16"/>
          <w:szCs w:val="16"/>
        </w:rPr>
        <w:t>p</w:t>
      </w:r>
      <w:r w:rsidRPr="002828D7">
        <w:rPr>
          <w:sz w:val="16"/>
          <w:szCs w:val="16"/>
        </w:rPr>
        <w:t xml:space="preserve">oem 114, lines 2-6. </w:t>
      </w:r>
      <w:hyperlink r:id="rId14" w:history="1">
        <w:r w:rsidRPr="002828D7">
          <w:rPr>
            <w:rStyle w:val="Hyperlink"/>
            <w:sz w:val="16"/>
            <w:szCs w:val="16"/>
          </w:rPr>
          <w:t>https://dafyddapgwilym.net/eng/3win.htm</w:t>
        </w:r>
      </w:hyperlink>
      <w:r>
        <w:rPr>
          <w:sz w:val="16"/>
          <w:szCs w:val="16"/>
        </w:rPr>
        <w:t xml:space="preserve"> [first accessed 10/5/24].</w:t>
      </w:r>
    </w:p>
  </w:footnote>
  <w:footnote w:id="80">
    <w:p w14:paraId="3A0E7393"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Guto’r Glun</w:t>
      </w:r>
      <w:r>
        <w:rPr>
          <w:sz w:val="16"/>
          <w:szCs w:val="16"/>
        </w:rPr>
        <w:t xml:space="preserve">. net </w:t>
      </w:r>
      <w:r w:rsidRPr="002828D7">
        <w:rPr>
          <w:sz w:val="16"/>
          <w:szCs w:val="16"/>
        </w:rPr>
        <w:t xml:space="preserve">, poem 100, lines 34, 40, 62. </w:t>
      </w:r>
      <w:hyperlink r:id="rId15" w:history="1">
        <w:r w:rsidRPr="002828D7">
          <w:rPr>
            <w:rStyle w:val="Hyperlink"/>
            <w:sz w:val="16"/>
            <w:szCs w:val="16"/>
          </w:rPr>
          <w:t>http://www.gutorglyn.net/gutorglyn/poem/?poem-selection=062&amp;first-line=%23</w:t>
        </w:r>
      </w:hyperlink>
      <w:r w:rsidRPr="002828D7">
        <w:rPr>
          <w:sz w:val="16"/>
          <w:szCs w:val="16"/>
        </w:rPr>
        <w:t xml:space="preserve"> </w:t>
      </w:r>
      <w:r>
        <w:rPr>
          <w:sz w:val="16"/>
          <w:szCs w:val="16"/>
        </w:rPr>
        <w:t>[first accessed 12/5/24].</w:t>
      </w:r>
    </w:p>
  </w:footnote>
  <w:footnote w:id="81">
    <w:p w14:paraId="5774AC5C"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Guto’r Glun, poem 100, line 52. </w:t>
      </w:r>
    </w:p>
  </w:footnote>
  <w:footnote w:id="82">
    <w:p w14:paraId="32053D15"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Pr>
          <w:sz w:val="16"/>
          <w:szCs w:val="16"/>
        </w:rPr>
        <w:t>Ibid.,</w:t>
      </w:r>
      <w:r w:rsidRPr="002828D7">
        <w:rPr>
          <w:sz w:val="16"/>
          <w:szCs w:val="16"/>
        </w:rPr>
        <w:t xml:space="preserve"> poem 62, lines 19-20 </w:t>
      </w:r>
    </w:p>
  </w:footnote>
  <w:footnote w:id="83">
    <w:p w14:paraId="0E052B8B"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Pr>
          <w:sz w:val="16"/>
          <w:szCs w:val="16"/>
        </w:rPr>
        <w:t>Ibid.,</w:t>
      </w:r>
      <w:r w:rsidRPr="002828D7">
        <w:rPr>
          <w:sz w:val="16"/>
          <w:szCs w:val="16"/>
        </w:rPr>
        <w:t xml:space="preserve"> Notes</w:t>
      </w:r>
      <w:r>
        <w:rPr>
          <w:sz w:val="16"/>
          <w:szCs w:val="16"/>
        </w:rPr>
        <w:t xml:space="preserve"> for</w:t>
      </w:r>
      <w:r w:rsidRPr="002828D7">
        <w:rPr>
          <w:sz w:val="16"/>
          <w:szCs w:val="16"/>
        </w:rPr>
        <w:t xml:space="preserve"> poem 62, lines 19-20 </w:t>
      </w:r>
    </w:p>
  </w:footnote>
  <w:footnote w:id="84">
    <w:p w14:paraId="77642FF6"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sidRPr="006F4EAA">
        <w:rPr>
          <w:sz w:val="16"/>
          <w:szCs w:val="16"/>
        </w:rPr>
        <w:t>Williams, P., ‘Dress and Dignity in the Mabinogion’, in </w:t>
      </w:r>
      <w:r w:rsidRPr="006F4EAA">
        <w:rPr>
          <w:i/>
          <w:iCs/>
          <w:sz w:val="16"/>
          <w:szCs w:val="16"/>
        </w:rPr>
        <w:t>Medieval Clothing and Textiles 8</w:t>
      </w:r>
      <w:r w:rsidRPr="006F4EAA">
        <w:rPr>
          <w:sz w:val="16"/>
          <w:szCs w:val="16"/>
        </w:rPr>
        <w:t> (Woodbridge, 2012), viii pp. 83–114</w:t>
      </w:r>
      <w:r>
        <w:rPr>
          <w:sz w:val="16"/>
          <w:szCs w:val="16"/>
        </w:rPr>
        <w:t>.</w:t>
      </w:r>
      <w:r w:rsidRPr="002828D7">
        <w:rPr>
          <w:sz w:val="16"/>
          <w:szCs w:val="16"/>
        </w:rPr>
        <w:t>, p. 84.</w:t>
      </w:r>
    </w:p>
  </w:footnote>
  <w:footnote w:id="85">
    <w:p w14:paraId="5990E09C"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Davies, S. (Trans. Ed.), </w:t>
      </w:r>
      <w:r w:rsidRPr="002828D7">
        <w:rPr>
          <w:i/>
          <w:iCs/>
          <w:sz w:val="16"/>
          <w:szCs w:val="16"/>
        </w:rPr>
        <w:t>The Mabinogion</w:t>
      </w:r>
      <w:r w:rsidRPr="002828D7">
        <w:rPr>
          <w:sz w:val="16"/>
          <w:szCs w:val="16"/>
        </w:rPr>
        <w:t>, (Oxford University Press, 2007), p. 192.</w:t>
      </w:r>
    </w:p>
  </w:footnote>
  <w:footnote w:id="86">
    <w:p w14:paraId="26059E69"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Pr>
          <w:sz w:val="16"/>
          <w:szCs w:val="16"/>
        </w:rPr>
        <w:t>Wiliams, ‘</w:t>
      </w:r>
      <w:r w:rsidRPr="002828D7">
        <w:rPr>
          <w:sz w:val="16"/>
          <w:szCs w:val="16"/>
        </w:rPr>
        <w:t>Dress and Dignity in the Mabinogion</w:t>
      </w:r>
      <w:r>
        <w:rPr>
          <w:sz w:val="16"/>
          <w:szCs w:val="16"/>
        </w:rPr>
        <w:t>’</w:t>
      </w:r>
      <w:r w:rsidRPr="002828D7">
        <w:rPr>
          <w:sz w:val="16"/>
          <w:szCs w:val="16"/>
        </w:rPr>
        <w:t>, p. 97.</w:t>
      </w:r>
    </w:p>
  </w:footnote>
  <w:footnote w:id="87">
    <w:p w14:paraId="409ADE89"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Pr>
          <w:sz w:val="16"/>
          <w:szCs w:val="16"/>
        </w:rPr>
        <w:t>Ibid.</w:t>
      </w:r>
      <w:r w:rsidRPr="002828D7">
        <w:rPr>
          <w:sz w:val="16"/>
          <w:szCs w:val="16"/>
        </w:rPr>
        <w:t>, p. 111.</w:t>
      </w:r>
    </w:p>
  </w:footnote>
  <w:footnote w:id="88">
    <w:p w14:paraId="1058170C"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Davies, </w:t>
      </w:r>
      <w:r w:rsidRPr="002828D7">
        <w:rPr>
          <w:i/>
          <w:iCs/>
          <w:sz w:val="16"/>
          <w:szCs w:val="16"/>
        </w:rPr>
        <w:t>The Mabinogion</w:t>
      </w:r>
      <w:r w:rsidRPr="002828D7">
        <w:rPr>
          <w:sz w:val="16"/>
          <w:szCs w:val="16"/>
        </w:rPr>
        <w:t>, p. 192.</w:t>
      </w:r>
    </w:p>
  </w:footnote>
  <w:footnote w:id="89">
    <w:p w14:paraId="1E78E2B4"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Pr>
          <w:sz w:val="16"/>
          <w:szCs w:val="16"/>
        </w:rPr>
        <w:t>Ibid.,</w:t>
      </w:r>
      <w:r w:rsidRPr="002828D7">
        <w:rPr>
          <w:sz w:val="16"/>
          <w:szCs w:val="16"/>
        </w:rPr>
        <w:t xml:space="preserve"> p.</w:t>
      </w:r>
      <w:r>
        <w:rPr>
          <w:sz w:val="16"/>
          <w:szCs w:val="16"/>
        </w:rPr>
        <w:t xml:space="preserve"> 181.</w:t>
      </w:r>
    </w:p>
  </w:footnote>
  <w:footnote w:id="90">
    <w:p w14:paraId="1E9DE7D6"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Bromwich, R., Evans, D. S., and Evans, D. H., (Foster, I., original version), </w:t>
      </w:r>
      <w:r w:rsidRPr="002828D7">
        <w:rPr>
          <w:i/>
          <w:iCs/>
          <w:sz w:val="16"/>
          <w:szCs w:val="16"/>
        </w:rPr>
        <w:t>Culhwch Ac Olwen</w:t>
      </w:r>
      <w:r w:rsidRPr="002828D7">
        <w:rPr>
          <w:sz w:val="16"/>
          <w:szCs w:val="16"/>
        </w:rPr>
        <w:t>, (University of Wales Press 1997), p. 25.</w:t>
      </w:r>
    </w:p>
  </w:footnote>
  <w:footnote w:id="91">
    <w:p w14:paraId="2AD3CB6B"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Davies</w:t>
      </w:r>
      <w:r>
        <w:rPr>
          <w:sz w:val="16"/>
          <w:szCs w:val="16"/>
        </w:rPr>
        <w:t xml:space="preserve">, </w:t>
      </w:r>
      <w:r w:rsidRPr="002828D7">
        <w:rPr>
          <w:i/>
          <w:iCs/>
          <w:sz w:val="16"/>
          <w:szCs w:val="16"/>
        </w:rPr>
        <w:t>The Mabinogion</w:t>
      </w:r>
      <w:r w:rsidRPr="002828D7">
        <w:rPr>
          <w:sz w:val="16"/>
          <w:szCs w:val="16"/>
        </w:rPr>
        <w:t>, p. 198.</w:t>
      </w:r>
    </w:p>
  </w:footnote>
  <w:footnote w:id="92">
    <w:p w14:paraId="1A2F9713"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Pr>
          <w:sz w:val="16"/>
          <w:szCs w:val="16"/>
        </w:rPr>
        <w:t>Ibid.,</w:t>
      </w:r>
      <w:r w:rsidRPr="002828D7">
        <w:rPr>
          <w:sz w:val="16"/>
          <w:szCs w:val="16"/>
        </w:rPr>
        <w:t xml:space="preserve"> </w:t>
      </w:r>
      <w:r w:rsidRPr="002828D7">
        <w:rPr>
          <w:rFonts w:cs="Calibri"/>
          <w:sz w:val="16"/>
          <w:szCs w:val="16"/>
        </w:rPr>
        <w:t>p. 104.</w:t>
      </w:r>
    </w:p>
  </w:footnote>
  <w:footnote w:id="93">
    <w:p w14:paraId="2EC36728" w14:textId="77777777" w:rsidR="00067686" w:rsidRPr="00FD5E83"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bookmarkStart w:id="27" w:name="_Hlk170063617"/>
      <w:r>
        <w:rPr>
          <w:sz w:val="16"/>
          <w:szCs w:val="16"/>
        </w:rPr>
        <w:t xml:space="preserve">‘White Book of Rhydderch,’ manuscript scan at NLW, </w:t>
      </w:r>
      <w:hyperlink r:id="rId16" w:history="1">
        <w:r w:rsidRPr="002828D7">
          <w:rPr>
            <w:rStyle w:val="Hyperlink"/>
            <w:sz w:val="16"/>
            <w:szCs w:val="16"/>
          </w:rPr>
          <w:t>White Book of Rhydderch - National Library of Wales</w:t>
        </w:r>
      </w:hyperlink>
      <w:r>
        <w:rPr>
          <w:rStyle w:val="Hyperlink"/>
          <w:sz w:val="16"/>
          <w:szCs w:val="16"/>
          <w:u w:val="none"/>
        </w:rPr>
        <w:t xml:space="preserve"> </w:t>
      </w:r>
      <w:r w:rsidRPr="00FD5E83">
        <w:rPr>
          <w:rStyle w:val="Hyperlink"/>
          <w:color w:val="auto"/>
          <w:sz w:val="16"/>
          <w:szCs w:val="16"/>
          <w:u w:val="none"/>
        </w:rPr>
        <w:t>[first accessed 09/11/23].</w:t>
      </w:r>
      <w:r>
        <w:rPr>
          <w:rStyle w:val="Hyperlink"/>
          <w:color w:val="auto"/>
          <w:sz w:val="16"/>
          <w:szCs w:val="16"/>
          <w:u w:val="none"/>
        </w:rPr>
        <w:t xml:space="preserve"> </w:t>
      </w:r>
      <w:bookmarkEnd w:id="27"/>
      <w:r>
        <w:rPr>
          <w:sz w:val="16"/>
          <w:szCs w:val="16"/>
        </w:rPr>
        <w:t xml:space="preserve">Manuscript reference: </w:t>
      </w:r>
      <w:r w:rsidRPr="00963C19">
        <w:rPr>
          <w:sz w:val="16"/>
          <w:szCs w:val="16"/>
        </w:rPr>
        <w:t>Peniarth MS 4</w:t>
      </w:r>
      <w:r>
        <w:rPr>
          <w:sz w:val="16"/>
          <w:szCs w:val="16"/>
        </w:rPr>
        <w:t>,</w:t>
      </w:r>
      <w:r w:rsidRPr="00963C19">
        <w:rPr>
          <w:sz w:val="16"/>
          <w:szCs w:val="16"/>
        </w:rPr>
        <w:t xml:space="preserve"> </w:t>
      </w:r>
      <w:r w:rsidRPr="002828D7">
        <w:rPr>
          <w:sz w:val="16"/>
          <w:szCs w:val="16"/>
        </w:rPr>
        <w:t>f. 46. r.</w:t>
      </w:r>
    </w:p>
  </w:footnote>
  <w:footnote w:id="94">
    <w:p w14:paraId="1959264D"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Davies, </w:t>
      </w:r>
      <w:r w:rsidRPr="002828D7">
        <w:rPr>
          <w:i/>
          <w:iCs/>
          <w:sz w:val="16"/>
          <w:szCs w:val="16"/>
        </w:rPr>
        <w:t>The Mabinogion</w:t>
      </w:r>
      <w:r w:rsidRPr="002828D7">
        <w:rPr>
          <w:sz w:val="16"/>
          <w:szCs w:val="16"/>
        </w:rPr>
        <w:t>, pp. xii-xiii,</w:t>
      </w:r>
    </w:p>
  </w:footnote>
  <w:footnote w:id="95">
    <w:p w14:paraId="0C1F175E" w14:textId="77777777" w:rsidR="00067686"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bookmarkStart w:id="28" w:name="_Hlk170063998"/>
      <w:r w:rsidRPr="002828D7">
        <w:rPr>
          <w:sz w:val="16"/>
          <w:szCs w:val="16"/>
        </w:rPr>
        <w:t xml:space="preserve">Russell, P., </w:t>
      </w:r>
      <w:r w:rsidRPr="007B20E5">
        <w:rPr>
          <w:i/>
          <w:iCs/>
          <w:sz w:val="16"/>
          <w:szCs w:val="16"/>
        </w:rPr>
        <w:t>Vita Griffini Filii Conani: The Medieval Life of Grufudd ap Cynan,</w:t>
      </w:r>
      <w:r w:rsidRPr="002828D7">
        <w:rPr>
          <w:sz w:val="16"/>
          <w:szCs w:val="16"/>
        </w:rPr>
        <w:t xml:space="preserve"> Legonna Celtic Research Prize </w:t>
      </w:r>
      <w:r>
        <w:rPr>
          <w:sz w:val="16"/>
          <w:szCs w:val="16"/>
        </w:rPr>
        <w:t>(</w:t>
      </w:r>
      <w:r w:rsidRPr="002828D7">
        <w:rPr>
          <w:sz w:val="16"/>
          <w:szCs w:val="16"/>
        </w:rPr>
        <w:t>2003</w:t>
      </w:r>
      <w:r>
        <w:rPr>
          <w:sz w:val="16"/>
          <w:szCs w:val="16"/>
        </w:rPr>
        <w:t>),</w:t>
      </w:r>
      <w:r w:rsidRPr="002828D7">
        <w:rPr>
          <w:sz w:val="16"/>
          <w:szCs w:val="16"/>
        </w:rPr>
        <w:t xml:space="preserve"> </w:t>
      </w:r>
      <w:bookmarkEnd w:id="28"/>
      <w:r>
        <w:rPr>
          <w:sz w:val="16"/>
          <w:szCs w:val="16"/>
        </w:rPr>
        <w:t>p</w:t>
      </w:r>
      <w:r w:rsidRPr="002828D7">
        <w:rPr>
          <w:sz w:val="16"/>
          <w:szCs w:val="16"/>
        </w:rPr>
        <w:t>. 2</w:t>
      </w:r>
      <w:r>
        <w:rPr>
          <w:sz w:val="16"/>
          <w:szCs w:val="16"/>
        </w:rPr>
        <w:t xml:space="preserve">. </w:t>
      </w:r>
    </w:p>
    <w:p w14:paraId="1FD017E3" w14:textId="77777777" w:rsidR="00067686" w:rsidRPr="00BE4E73" w:rsidRDefault="00067686" w:rsidP="00067686">
      <w:pPr>
        <w:pStyle w:val="FootnoteText"/>
        <w:rPr>
          <w:i/>
          <w:iCs/>
          <w:sz w:val="16"/>
          <w:szCs w:val="16"/>
        </w:rPr>
      </w:pPr>
      <w:r w:rsidRPr="00BE4E73">
        <w:rPr>
          <w:i/>
          <w:iCs/>
          <w:sz w:val="16"/>
          <w:szCs w:val="16"/>
        </w:rPr>
        <w:t>Russel proves that the original text was written in Latin, despite most extant Latin copies being translations of a Welsh version.</w:t>
      </w:r>
    </w:p>
  </w:footnote>
  <w:footnote w:id="96">
    <w:p w14:paraId="0D3135C9"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An example of  Viking neck-ring, c</w:t>
      </w:r>
      <w:r>
        <w:rPr>
          <w:sz w:val="16"/>
          <w:szCs w:val="16"/>
        </w:rPr>
        <w:t>.</w:t>
      </w:r>
      <w:r w:rsidRPr="002828D7">
        <w:rPr>
          <w:sz w:val="16"/>
          <w:szCs w:val="16"/>
        </w:rPr>
        <w:t xml:space="preserve"> 9-10</w:t>
      </w:r>
      <w:r>
        <w:rPr>
          <w:sz w:val="16"/>
          <w:szCs w:val="16"/>
        </w:rPr>
        <w:t>, at The Walters Art Museum Online Collection:</w:t>
      </w:r>
      <w:r w:rsidRPr="002828D7">
        <w:rPr>
          <w:sz w:val="16"/>
          <w:szCs w:val="16"/>
        </w:rPr>
        <w:t xml:space="preserve"> </w:t>
      </w:r>
      <w:hyperlink r:id="rId17" w:history="1">
        <w:r w:rsidRPr="00B2151C">
          <w:rPr>
            <w:rStyle w:val="Hyperlink"/>
            <w:sz w:val="16"/>
            <w:szCs w:val="16"/>
          </w:rPr>
          <w:t>https://art.thewalters.org/detail/2826/neck-ring/</w:t>
        </w:r>
      </w:hyperlink>
      <w:r>
        <w:rPr>
          <w:sz w:val="16"/>
          <w:szCs w:val="16"/>
        </w:rPr>
        <w:t xml:space="preserve"> [first accessed 07/02/24].</w:t>
      </w:r>
    </w:p>
  </w:footnote>
  <w:footnote w:id="97">
    <w:p w14:paraId="33E91D16" w14:textId="77777777" w:rsidR="00067686" w:rsidRPr="00D029D0"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bookmarkStart w:id="29" w:name="_Hlk170064355"/>
      <w:r>
        <w:rPr>
          <w:sz w:val="16"/>
          <w:szCs w:val="16"/>
        </w:rPr>
        <w:t xml:space="preserve">Evans, D.S., </w:t>
      </w:r>
      <w:r w:rsidRPr="00D029D0">
        <w:rPr>
          <w:i/>
          <w:iCs/>
          <w:sz w:val="16"/>
          <w:szCs w:val="16"/>
        </w:rPr>
        <w:t>Historia Gruffud Vab Kenan</w:t>
      </w:r>
      <w:r>
        <w:rPr>
          <w:i/>
          <w:iCs/>
          <w:sz w:val="16"/>
          <w:szCs w:val="16"/>
        </w:rPr>
        <w:t xml:space="preserve"> </w:t>
      </w:r>
      <w:r>
        <w:rPr>
          <w:sz w:val="16"/>
          <w:szCs w:val="16"/>
        </w:rPr>
        <w:t xml:space="preserve">(Cardiff, 1977)., </w:t>
      </w:r>
      <w:bookmarkEnd w:id="29"/>
      <w:r>
        <w:rPr>
          <w:sz w:val="16"/>
          <w:szCs w:val="16"/>
        </w:rPr>
        <w:t>p. 55.</w:t>
      </w:r>
    </w:p>
  </w:footnote>
  <w:footnote w:id="98">
    <w:p w14:paraId="110DB042"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bookmarkStart w:id="30" w:name="_Hlk170064560"/>
      <w:r w:rsidRPr="002828D7">
        <w:rPr>
          <w:sz w:val="16"/>
          <w:szCs w:val="16"/>
        </w:rPr>
        <w:t>Raw,</w:t>
      </w:r>
      <w:r>
        <w:rPr>
          <w:sz w:val="16"/>
          <w:szCs w:val="16"/>
        </w:rPr>
        <w:t xml:space="preserve"> B. ‘Royal Power and Royal Symbols in </w:t>
      </w:r>
      <w:r>
        <w:rPr>
          <w:i/>
          <w:iCs/>
          <w:sz w:val="16"/>
          <w:szCs w:val="16"/>
        </w:rPr>
        <w:t xml:space="preserve">Beowulf,’ </w:t>
      </w:r>
      <w:r>
        <w:rPr>
          <w:sz w:val="16"/>
          <w:szCs w:val="16"/>
        </w:rPr>
        <w:t xml:space="preserve">in Carver, M. (ed.), </w:t>
      </w:r>
      <w:r>
        <w:rPr>
          <w:i/>
          <w:iCs/>
          <w:sz w:val="16"/>
          <w:szCs w:val="16"/>
        </w:rPr>
        <w:t>The Age of Sutton Hoo: the Seventh Century in North-Western Europe</w:t>
      </w:r>
      <w:r w:rsidRPr="002828D7">
        <w:rPr>
          <w:sz w:val="16"/>
          <w:szCs w:val="16"/>
        </w:rPr>
        <w:t xml:space="preserve"> </w:t>
      </w:r>
      <w:r>
        <w:rPr>
          <w:sz w:val="16"/>
          <w:szCs w:val="16"/>
        </w:rPr>
        <w:t>(Woodridge, 1992)., pp. 167-174</w:t>
      </w:r>
      <w:bookmarkEnd w:id="30"/>
      <w:r>
        <w:rPr>
          <w:sz w:val="16"/>
          <w:szCs w:val="16"/>
        </w:rPr>
        <w:t xml:space="preserve">., p. </w:t>
      </w:r>
      <w:r w:rsidRPr="002828D7">
        <w:rPr>
          <w:rFonts w:eastAsia="Calibri" w:cs="Calibri"/>
          <w:sz w:val="16"/>
          <w:szCs w:val="16"/>
        </w:rPr>
        <w:t>174</w:t>
      </w:r>
      <w:r>
        <w:rPr>
          <w:rFonts w:eastAsia="Calibri" w:cs="Calibri"/>
          <w:sz w:val="16"/>
          <w:szCs w:val="16"/>
        </w:rPr>
        <w:t>.</w:t>
      </w:r>
    </w:p>
  </w:footnote>
  <w:footnote w:id="99">
    <w:p w14:paraId="552F9098"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sidRPr="002828D7">
        <w:rPr>
          <w:rFonts w:eastAsia="Calibri" w:cs="Calibri"/>
          <w:sz w:val="16"/>
          <w:szCs w:val="16"/>
        </w:rPr>
        <w:t>Raw,</w:t>
      </w:r>
      <w:r w:rsidRPr="005D45EF">
        <w:rPr>
          <w:sz w:val="16"/>
          <w:szCs w:val="16"/>
        </w:rPr>
        <w:t xml:space="preserve"> </w:t>
      </w:r>
      <w:r>
        <w:rPr>
          <w:sz w:val="16"/>
          <w:szCs w:val="16"/>
        </w:rPr>
        <w:t xml:space="preserve">‘Royal Power and Royal Symbols in </w:t>
      </w:r>
      <w:r>
        <w:rPr>
          <w:i/>
          <w:iCs/>
          <w:sz w:val="16"/>
          <w:szCs w:val="16"/>
        </w:rPr>
        <w:t xml:space="preserve">Beowulf,’ </w:t>
      </w:r>
      <w:r w:rsidRPr="002828D7">
        <w:rPr>
          <w:rFonts w:eastAsia="Calibri" w:cs="Calibri"/>
          <w:sz w:val="16"/>
          <w:szCs w:val="16"/>
        </w:rPr>
        <w:t>pp. 172-173.</w:t>
      </w:r>
    </w:p>
  </w:footnote>
  <w:footnote w:id="100">
    <w:p w14:paraId="1CCAEF0A" w14:textId="77777777" w:rsidR="00067686" w:rsidRPr="002828D7" w:rsidRDefault="00067686" w:rsidP="00067686">
      <w:pPr>
        <w:pStyle w:val="FootnoteText"/>
        <w:rPr>
          <w:sz w:val="16"/>
          <w:szCs w:val="16"/>
        </w:rPr>
      </w:pPr>
      <w:r w:rsidRPr="002828D7">
        <w:rPr>
          <w:rStyle w:val="FootnoteReference"/>
          <w:sz w:val="16"/>
          <w:szCs w:val="16"/>
        </w:rPr>
        <w:footnoteRef/>
      </w:r>
      <w:r w:rsidRPr="002828D7">
        <w:rPr>
          <w:sz w:val="16"/>
          <w:szCs w:val="16"/>
        </w:rPr>
        <w:t xml:space="preserve"> </w:t>
      </w:r>
      <w:r w:rsidRPr="00262C6A">
        <w:rPr>
          <w:sz w:val="16"/>
          <w:szCs w:val="16"/>
        </w:rPr>
        <w:t xml:space="preserve">Jones, </w:t>
      </w:r>
      <w:r w:rsidRPr="00262C6A">
        <w:rPr>
          <w:i/>
          <w:iCs/>
          <w:sz w:val="16"/>
          <w:szCs w:val="16"/>
        </w:rPr>
        <w:t>Gwisgoedd ac Ategolion</w:t>
      </w:r>
      <w:r w:rsidRPr="002828D7">
        <w:rPr>
          <w:sz w:val="16"/>
          <w:szCs w:val="16"/>
        </w:rPr>
        <w:t>, p. 10.</w:t>
      </w:r>
    </w:p>
  </w:footnote>
  <w:footnote w:id="101">
    <w:p w14:paraId="06358955" w14:textId="77777777" w:rsidR="00B740B7" w:rsidRDefault="00B740B7" w:rsidP="00B740B7">
      <w:pPr>
        <w:pStyle w:val="FootnoteText"/>
      </w:pPr>
      <w:r>
        <w:rPr>
          <w:rStyle w:val="FootnoteReference"/>
        </w:rPr>
        <w:footnoteRef/>
      </w:r>
      <w:r>
        <w:t xml:space="preserve"> ‘</w:t>
      </w:r>
      <w:r w:rsidRPr="002901FE">
        <w:rPr>
          <w:i/>
          <w:iCs/>
        </w:rPr>
        <w:t>Praeterea de torque quam S. Canauci dicunt, tacendum non censui</w:t>
      </w:r>
      <w:r w:rsidRPr="00086120">
        <w:t>.</w:t>
      </w:r>
      <w:r>
        <w:t>’ (‘I should not be silent about the Torque said to belong to St Cynog’),</w:t>
      </w:r>
      <w:r w:rsidRPr="00B651BE">
        <w:t xml:space="preserve"> </w:t>
      </w:r>
      <w:bookmarkStart w:id="31" w:name="_Hlk170069685"/>
      <w:r w:rsidRPr="00B651BE">
        <w:t>Sir Richard Colt Hoare</w:t>
      </w:r>
      <w:r>
        <w:t xml:space="preserve">’s edition of David Powell’s </w:t>
      </w:r>
      <w:r w:rsidRPr="00B651BE">
        <w:rPr>
          <w:i/>
          <w:iCs/>
        </w:rPr>
        <w:t>Itinerarium Cambriae: seu laboriosae Balduini</w:t>
      </w:r>
      <w:r>
        <w:rPr>
          <w:i/>
          <w:iCs/>
        </w:rPr>
        <w:t>,</w:t>
      </w:r>
      <w:r>
        <w:t xml:space="preserve"> (London, 1804), </w:t>
      </w:r>
      <w:bookmarkEnd w:id="31"/>
      <w:r>
        <w:t xml:space="preserve">p. 15. </w:t>
      </w:r>
      <w:hyperlink r:id="rId18" w:history="1">
        <w:r w:rsidRPr="00B2151C">
          <w:rPr>
            <w:rStyle w:val="Hyperlink"/>
          </w:rPr>
          <w:t>https://archive.org/details/b22010774/page/14/mode/2up?view=theater</w:t>
        </w:r>
      </w:hyperlink>
      <w:r>
        <w:t xml:space="preserve"> </w:t>
      </w:r>
    </w:p>
  </w:footnote>
  <w:footnote w:id="102">
    <w:p w14:paraId="4EE24829" w14:textId="77777777" w:rsidR="00B740B7" w:rsidRDefault="00B740B7" w:rsidP="00B740B7">
      <w:pPr>
        <w:pStyle w:val="FootnoteText"/>
      </w:pPr>
      <w:r>
        <w:rPr>
          <w:rStyle w:val="FootnoteReference"/>
        </w:rPr>
        <w:footnoteRef/>
      </w:r>
      <w:r>
        <w:t xml:space="preserve"> Thorpe, L. (trans.), </w:t>
      </w:r>
      <w:r w:rsidRPr="004F4BAA">
        <w:rPr>
          <w:i/>
          <w:iCs/>
        </w:rPr>
        <w:t>Gerald of Wales, The journey through Wales and The Description of Wales</w:t>
      </w:r>
      <w:r>
        <w:t>, (Penguin Classics, 2004), p. 86.</w:t>
      </w:r>
    </w:p>
  </w:footnote>
  <w:footnote w:id="103">
    <w:p w14:paraId="59F73545" w14:textId="77777777" w:rsidR="00B740B7" w:rsidRPr="00442363" w:rsidRDefault="00B740B7" w:rsidP="00B740B7">
      <w:pPr>
        <w:pStyle w:val="FootnoteText"/>
        <w:rPr>
          <w:i/>
          <w:iCs/>
        </w:rPr>
      </w:pPr>
      <w:r>
        <w:rPr>
          <w:rStyle w:val="FootnoteReference"/>
        </w:rPr>
        <w:footnoteRef/>
      </w:r>
      <w:r>
        <w:t xml:space="preserve"> </w:t>
      </w:r>
      <w:r w:rsidRPr="00442363">
        <w:rPr>
          <w:i/>
          <w:iCs/>
        </w:rPr>
        <w:t>Artist’s impression of the Torc of St Cynog: Tessa Marshall, 2024 (</w:t>
      </w:r>
      <w:hyperlink r:id="rId19" w:history="1">
        <w:r w:rsidRPr="00442363">
          <w:rPr>
            <w:rStyle w:val="Hyperlink"/>
            <w:i/>
            <w:iCs/>
          </w:rPr>
          <w:t>tmarshall1096@gmail.com</w:t>
        </w:r>
      </w:hyperlink>
      <w:r w:rsidRPr="00442363">
        <w:rPr>
          <w:i/>
          <w:iCs/>
        </w:rPr>
        <w:t>)</w:t>
      </w:r>
    </w:p>
  </w:footnote>
  <w:footnote w:id="104">
    <w:p w14:paraId="7BC372E0" w14:textId="77777777" w:rsidR="00B740B7" w:rsidRDefault="00B740B7" w:rsidP="00B740B7">
      <w:pPr>
        <w:pStyle w:val="FootnoteText"/>
      </w:pPr>
      <w:r>
        <w:rPr>
          <w:rStyle w:val="FootnoteReference"/>
        </w:rPr>
        <w:footnoteRef/>
      </w:r>
      <w:r>
        <w:t xml:space="preserve"> </w:t>
      </w:r>
      <w:bookmarkStart w:id="32" w:name="_Hlk170069923"/>
      <w:r>
        <w:t>Price, H., ‘</w:t>
      </w:r>
      <w:r w:rsidRPr="00834209">
        <w:t>Gerald of Wales and the Welsh Past</w:t>
      </w:r>
      <w:r>
        <w:t>,’ in</w:t>
      </w:r>
      <w:r w:rsidRPr="00834209">
        <w:t xml:space="preserve"> Henley,</w:t>
      </w:r>
      <w:r>
        <w:t xml:space="preserve"> G, and </w:t>
      </w:r>
      <w:r w:rsidRPr="00834209">
        <w:t>McMulle</w:t>
      </w:r>
      <w:r>
        <w:t xml:space="preserve">n, A.J., (eds.), </w:t>
      </w:r>
      <w:r w:rsidRPr="00834209">
        <w:rPr>
          <w:i/>
          <w:iCs/>
        </w:rPr>
        <w:t>Gerald of Wales: New Perspectives on a Medieval Writer and Critic</w:t>
      </w:r>
      <w:r>
        <w:t xml:space="preserve">, (University of Wales Press, 2018), pp. 19-45., </w:t>
      </w:r>
      <w:bookmarkEnd w:id="32"/>
      <w:r>
        <w:t>p. 22.</w:t>
      </w:r>
    </w:p>
  </w:footnote>
  <w:footnote w:id="105">
    <w:p w14:paraId="141B0146" w14:textId="77777777" w:rsidR="00B740B7" w:rsidRDefault="00B740B7" w:rsidP="00B740B7">
      <w:pPr>
        <w:pStyle w:val="FootnoteText"/>
      </w:pPr>
      <w:r>
        <w:rPr>
          <w:rStyle w:val="FootnoteReference"/>
        </w:rPr>
        <w:footnoteRef/>
      </w:r>
      <w:r>
        <w:t xml:space="preserve"> Thorpe, </w:t>
      </w:r>
      <w:r w:rsidRPr="004F4BAA">
        <w:rPr>
          <w:i/>
          <w:iCs/>
        </w:rPr>
        <w:t>Gerald of Wales</w:t>
      </w:r>
      <w:r>
        <w:t>, p. 86.</w:t>
      </w:r>
    </w:p>
  </w:footnote>
  <w:footnote w:id="106">
    <w:p w14:paraId="6B0CA4AE" w14:textId="77777777" w:rsidR="00B740B7" w:rsidRDefault="00B740B7" w:rsidP="00B740B7">
      <w:pPr>
        <w:pStyle w:val="FootnoteText"/>
      </w:pPr>
      <w:r>
        <w:rPr>
          <w:rStyle w:val="FootnoteReference"/>
        </w:rPr>
        <w:footnoteRef/>
      </w:r>
      <w:r>
        <w:t xml:space="preserve"> Ibid., p. 86.</w:t>
      </w:r>
    </w:p>
  </w:footnote>
  <w:footnote w:id="107">
    <w:p w14:paraId="5F16A7A3" w14:textId="77777777" w:rsidR="00B740B7" w:rsidRDefault="00B740B7" w:rsidP="00B740B7">
      <w:pPr>
        <w:pStyle w:val="FootnoteText"/>
      </w:pPr>
      <w:r>
        <w:rPr>
          <w:rStyle w:val="FootnoteReference"/>
        </w:rPr>
        <w:footnoteRef/>
      </w:r>
      <w:r>
        <w:t xml:space="preserve"> Ibid., p. 171.</w:t>
      </w:r>
    </w:p>
  </w:footnote>
  <w:footnote w:id="108">
    <w:p w14:paraId="0329FEF2" w14:textId="77777777" w:rsidR="00B740B7" w:rsidRDefault="00B740B7" w:rsidP="00B740B7">
      <w:pPr>
        <w:pStyle w:val="FootnoteText"/>
      </w:pPr>
      <w:r>
        <w:rPr>
          <w:rStyle w:val="FootnoteReference"/>
        </w:rPr>
        <w:footnoteRef/>
      </w:r>
      <w:r>
        <w:t xml:space="preserve"> </w:t>
      </w:r>
      <w:bookmarkStart w:id="33" w:name="_Hlk170070170"/>
      <w:r w:rsidRPr="00FD60C0">
        <w:t>Wade Evans</w:t>
      </w:r>
      <w:r>
        <w:t>,</w:t>
      </w:r>
      <w:r w:rsidRPr="0043430B">
        <w:t xml:space="preserve"> </w:t>
      </w:r>
      <w:r w:rsidRPr="00FD60C0">
        <w:t xml:space="preserve">Rev. A. W., </w:t>
      </w:r>
      <w:r>
        <w:t>‘</w:t>
      </w:r>
      <w:r w:rsidRPr="0043430B">
        <w:t>The Brychan Documents</w:t>
      </w:r>
      <w:r>
        <w:t>’</w:t>
      </w:r>
      <w:r w:rsidRPr="00FD60C0">
        <w:t xml:space="preserve"> in </w:t>
      </w:r>
      <w:r w:rsidRPr="0043430B">
        <w:rPr>
          <w:i/>
          <w:iCs/>
        </w:rPr>
        <w:t>Y Cymmrodor: The Magazine of the Honourable Society of the Cymmrodorion</w:t>
      </w:r>
      <w:r w:rsidRPr="00FD60C0">
        <w:t xml:space="preserve"> </w:t>
      </w:r>
      <w:r>
        <w:t>vol.</w:t>
      </w:r>
      <w:r w:rsidRPr="00FD60C0">
        <w:t xml:space="preserve"> XIX. (London 1906), pp. 18-50</w:t>
      </w:r>
      <w:bookmarkEnd w:id="33"/>
      <w:r w:rsidRPr="00FD60C0">
        <w:t>.</w:t>
      </w:r>
      <w:r>
        <w:t>,</w:t>
      </w:r>
      <w:r w:rsidRPr="00FD60C0">
        <w:t xml:space="preserve"> </w:t>
      </w:r>
      <w:r>
        <w:t>p.18.</w:t>
      </w:r>
    </w:p>
  </w:footnote>
  <w:footnote w:id="109">
    <w:p w14:paraId="7D263E83" w14:textId="77777777" w:rsidR="00B740B7" w:rsidRDefault="00B740B7" w:rsidP="00B740B7">
      <w:pPr>
        <w:pStyle w:val="FootnoteText"/>
      </w:pPr>
      <w:r>
        <w:rPr>
          <w:rStyle w:val="FootnoteReference"/>
        </w:rPr>
        <w:footnoteRef/>
      </w:r>
      <w:r>
        <w:t xml:space="preserve"> Wade Evans, </w:t>
      </w:r>
      <w:r w:rsidRPr="00FD60C0">
        <w:rPr>
          <w:i/>
          <w:iCs/>
        </w:rPr>
        <w:t>The Brychan Documents</w:t>
      </w:r>
      <w:r>
        <w:t>, p. 25.</w:t>
      </w:r>
    </w:p>
  </w:footnote>
  <w:footnote w:id="110">
    <w:p w14:paraId="3F391510" w14:textId="77777777" w:rsidR="00B740B7" w:rsidRDefault="00B740B7" w:rsidP="00B740B7">
      <w:pPr>
        <w:pStyle w:val="FootnoteText"/>
      </w:pPr>
      <w:r>
        <w:rPr>
          <w:rStyle w:val="FootnoteReference"/>
        </w:rPr>
        <w:footnoteRef/>
      </w:r>
      <w:r>
        <w:t xml:space="preserve"> Ibid. p. 32.</w:t>
      </w:r>
    </w:p>
  </w:footnote>
  <w:footnote w:id="111">
    <w:p w14:paraId="0BE9DFC2" w14:textId="77777777" w:rsidR="00B740B7" w:rsidRPr="00D300A6" w:rsidRDefault="00B740B7" w:rsidP="00B740B7">
      <w:pPr>
        <w:pStyle w:val="FootnoteText"/>
      </w:pPr>
      <w:r>
        <w:rPr>
          <w:rStyle w:val="FootnoteReference"/>
        </w:rPr>
        <w:footnoteRef/>
      </w:r>
      <w:r>
        <w:t xml:space="preserve"> </w:t>
      </w:r>
      <w:r w:rsidRPr="00D300A6">
        <w:t>Machling</w:t>
      </w:r>
      <w:r>
        <w:t>, T.</w:t>
      </w:r>
      <w:r w:rsidRPr="00D300A6">
        <w:t xml:space="preserve"> &amp; Williamson</w:t>
      </w:r>
      <w:r>
        <w:t xml:space="preserve">, R., </w:t>
      </w:r>
      <w:r w:rsidRPr="00D300A6">
        <w:rPr>
          <w:i/>
          <w:iCs/>
        </w:rPr>
        <w:t>Thoughts on the Grotesque torc and the Snettisham (Ken Hill) hoards in the light of new research</w:t>
      </w:r>
      <w:r>
        <w:rPr>
          <w:i/>
          <w:iCs/>
        </w:rPr>
        <w:t xml:space="preserve">, </w:t>
      </w:r>
      <w:r>
        <w:t>online article at ‘The Big Book of Torcs:’</w:t>
      </w:r>
    </w:p>
    <w:p w14:paraId="2639B9E5" w14:textId="77777777" w:rsidR="00B740B7" w:rsidRDefault="00000000" w:rsidP="00B740B7">
      <w:pPr>
        <w:pStyle w:val="FootnoteText"/>
      </w:pPr>
      <w:hyperlink r:id="rId20" w:anchor=":~:text=Above%20this%20torc%20lay%20the,section%20of%20gold%20tubular%20torc" w:history="1">
        <w:r w:rsidR="00B740B7" w:rsidRPr="0066452D">
          <w:rPr>
            <w:rStyle w:val="Hyperlink"/>
          </w:rPr>
          <w:t>https://bigbookoftorcs.com/2020/09/22/thoughts-on-the-grotesque-torc/#:~:text=Above%20this%20torc%20lay%20the,section%20of%20gold%20tubular%20torc</w:t>
        </w:r>
      </w:hyperlink>
      <w:r w:rsidR="00B740B7">
        <w:t xml:space="preserve"> [first accessed 02/11/23].</w:t>
      </w:r>
    </w:p>
  </w:footnote>
  <w:footnote w:id="112">
    <w:p w14:paraId="0F9D444F" w14:textId="77777777" w:rsidR="00B740B7" w:rsidRDefault="00B740B7" w:rsidP="00B740B7">
      <w:pPr>
        <w:pStyle w:val="FootnoteText"/>
      </w:pPr>
      <w:r>
        <w:rPr>
          <w:rStyle w:val="FootnoteReference"/>
        </w:rPr>
        <w:footnoteRef/>
      </w:r>
      <w:r>
        <w:t xml:space="preserve"> </w:t>
      </w:r>
      <w:r w:rsidRPr="00327BD6">
        <w:t>Lewis</w:t>
      </w:r>
      <w:r>
        <w:t>, B.,</w:t>
      </w:r>
      <w:r w:rsidRPr="00327BD6">
        <w:t xml:space="preserve"> (ed.), </w:t>
      </w:r>
      <w:r w:rsidRPr="00327BD6">
        <w:rPr>
          <w:i/>
          <w:iCs/>
        </w:rPr>
        <w:t>Medieval Welsh Poems to Saints and Shrines</w:t>
      </w:r>
      <w:r w:rsidRPr="00327BD6">
        <w:t> (Dublin, 2015)</w:t>
      </w:r>
      <w:r>
        <w:t>,</w:t>
      </w:r>
      <w:r w:rsidRPr="00327BD6">
        <w:t> </w:t>
      </w:r>
      <w:r>
        <w:t>poem 14 translation, lines 55-62. (p. 375)</w:t>
      </w:r>
    </w:p>
  </w:footnote>
  <w:footnote w:id="113">
    <w:p w14:paraId="1F52546E" w14:textId="77777777" w:rsidR="00B740B7" w:rsidRDefault="00B740B7" w:rsidP="00B740B7">
      <w:pPr>
        <w:pStyle w:val="FootnoteText"/>
      </w:pPr>
      <w:r>
        <w:rPr>
          <w:rStyle w:val="FootnoteReference"/>
        </w:rPr>
        <w:footnoteRef/>
      </w:r>
      <w:r>
        <w:t xml:space="preserve"> </w:t>
      </w:r>
      <w:r w:rsidRPr="00327BD6">
        <w:t>Lewis</w:t>
      </w:r>
      <w:r>
        <w:t xml:space="preserve">, </w:t>
      </w:r>
      <w:r w:rsidRPr="00327BD6">
        <w:rPr>
          <w:i/>
          <w:iCs/>
        </w:rPr>
        <w:t>Medieval Welsh Poems to Saints and Shrines</w:t>
      </w:r>
      <w:r>
        <w:rPr>
          <w:i/>
          <w:iCs/>
        </w:rPr>
        <w:t xml:space="preserve">, </w:t>
      </w:r>
      <w:r>
        <w:t>poem 15, line 8.</w:t>
      </w:r>
      <w:r w:rsidRPr="00327BD6">
        <w:t> </w:t>
      </w:r>
    </w:p>
  </w:footnote>
  <w:footnote w:id="114">
    <w:p w14:paraId="347DCF9C" w14:textId="77777777" w:rsidR="00B740B7" w:rsidRDefault="00B740B7" w:rsidP="00B740B7">
      <w:pPr>
        <w:pStyle w:val="FootnoteText"/>
      </w:pPr>
      <w:r>
        <w:rPr>
          <w:rStyle w:val="FootnoteReference"/>
        </w:rPr>
        <w:footnoteRef/>
      </w:r>
      <w:r>
        <w:t xml:space="preserve"> Lewis, </w:t>
      </w:r>
      <w:r w:rsidRPr="00327BD6">
        <w:rPr>
          <w:i/>
          <w:iCs/>
        </w:rPr>
        <w:t xml:space="preserve">Medieval Welsh Poems to Saints and </w:t>
      </w:r>
      <w:r>
        <w:rPr>
          <w:i/>
          <w:iCs/>
        </w:rPr>
        <w:t>Shrines,</w:t>
      </w:r>
      <w:r>
        <w:t xml:space="preserve"> poem 15, lines 43-44.</w:t>
      </w:r>
    </w:p>
  </w:footnote>
  <w:footnote w:id="115">
    <w:p w14:paraId="599270BB" w14:textId="77777777" w:rsidR="00B740B7" w:rsidRDefault="00B740B7" w:rsidP="00B740B7">
      <w:pPr>
        <w:pStyle w:val="FootnoteText"/>
      </w:pPr>
      <w:r>
        <w:rPr>
          <w:rStyle w:val="FootnoteReference"/>
        </w:rPr>
        <w:footnoteRef/>
      </w:r>
      <w:r>
        <w:t xml:space="preserve"> Ibid., poem 15, lines 55-56.</w:t>
      </w:r>
    </w:p>
  </w:footnote>
  <w:footnote w:id="116">
    <w:p w14:paraId="61FBA6B3" w14:textId="77777777" w:rsidR="00B740B7" w:rsidRDefault="00B740B7" w:rsidP="00B740B7">
      <w:pPr>
        <w:pStyle w:val="FootnoteText"/>
      </w:pPr>
      <w:r>
        <w:rPr>
          <w:rStyle w:val="FootnoteReference"/>
        </w:rPr>
        <w:footnoteRef/>
      </w:r>
      <w:r>
        <w:t xml:space="preserve"> Ibid., pp. 259-260.</w:t>
      </w:r>
    </w:p>
  </w:footnote>
  <w:footnote w:id="117">
    <w:p w14:paraId="0E370908" w14:textId="77777777" w:rsidR="00B740B7" w:rsidRDefault="00B740B7" w:rsidP="00B740B7">
      <w:pPr>
        <w:pStyle w:val="FootnoteText"/>
      </w:pPr>
      <w:r>
        <w:rPr>
          <w:rStyle w:val="FootnoteReference"/>
        </w:rPr>
        <w:footnoteRef/>
      </w:r>
      <w:r>
        <w:t xml:space="preserve"> Thorpe, </w:t>
      </w:r>
      <w:r w:rsidRPr="004F4BAA">
        <w:rPr>
          <w:i/>
          <w:iCs/>
        </w:rPr>
        <w:t>Gerald of Wales</w:t>
      </w:r>
      <w:r>
        <w:t>, p. 86.</w:t>
      </w:r>
    </w:p>
  </w:footnote>
  <w:footnote w:id="118">
    <w:p w14:paraId="70622FE0" w14:textId="77777777" w:rsidR="00B740B7" w:rsidRDefault="00B740B7" w:rsidP="00B740B7">
      <w:pPr>
        <w:pStyle w:val="FootnoteText"/>
      </w:pPr>
      <w:r>
        <w:rPr>
          <w:rStyle w:val="FootnoteReference"/>
        </w:rPr>
        <w:footnoteRef/>
      </w:r>
      <w:r>
        <w:t xml:space="preserve"> Ibid., p. 171.</w:t>
      </w:r>
    </w:p>
  </w:footnote>
  <w:footnote w:id="119">
    <w:p w14:paraId="01D39885" w14:textId="77777777" w:rsidR="00B740B7" w:rsidRDefault="00B740B7" w:rsidP="00B740B7">
      <w:pPr>
        <w:pStyle w:val="FootnoteText"/>
      </w:pPr>
      <w:r>
        <w:rPr>
          <w:rStyle w:val="FootnoteReference"/>
        </w:rPr>
        <w:footnoteRef/>
      </w:r>
      <w:r>
        <w:t xml:space="preserve"> Price, ‘</w:t>
      </w:r>
      <w:r w:rsidRPr="00834209">
        <w:t>Gerald of Wales and the Welsh Past</w:t>
      </w:r>
      <w:r>
        <w:t>,’ pp. 22-23.</w:t>
      </w:r>
    </w:p>
  </w:footnote>
  <w:footnote w:id="120">
    <w:p w14:paraId="2D8EC869" w14:textId="77777777" w:rsidR="00B740B7" w:rsidRDefault="00B740B7" w:rsidP="00B740B7">
      <w:pPr>
        <w:pStyle w:val="FootnoteText"/>
      </w:pPr>
      <w:r>
        <w:rPr>
          <w:rStyle w:val="FootnoteReference"/>
        </w:rPr>
        <w:footnoteRef/>
      </w:r>
      <w:r>
        <w:t xml:space="preserve"> </w:t>
      </w:r>
      <w:r w:rsidRPr="00230BBA">
        <w:t>Hurlock</w:t>
      </w:r>
      <w:r>
        <w:t>,</w:t>
      </w:r>
      <w:r w:rsidRPr="00230BBA">
        <w:t xml:space="preserve"> K</w:t>
      </w:r>
      <w:r>
        <w:t>.</w:t>
      </w:r>
      <w:r w:rsidRPr="00230BBA">
        <w:t xml:space="preserve"> </w:t>
      </w:r>
      <w:r w:rsidRPr="00773926">
        <w:rPr>
          <w:i/>
          <w:iCs/>
        </w:rPr>
        <w:t>Medieval Welsh Pilgrimage, c.1100–1500</w:t>
      </w:r>
      <w:r>
        <w:t xml:space="preserve"> </w:t>
      </w:r>
      <w:r w:rsidRPr="00230BBA">
        <w:t xml:space="preserve">Palgrave and McMillian, USA, 2018. </w:t>
      </w:r>
      <w:r>
        <w:t>(</w:t>
      </w:r>
      <w:r w:rsidRPr="00230BBA">
        <w:t>uncorrected version</w:t>
      </w:r>
      <w:r>
        <w:t>), p. 27.</w:t>
      </w:r>
    </w:p>
  </w:footnote>
  <w:footnote w:id="121">
    <w:p w14:paraId="59AB306C" w14:textId="77777777" w:rsidR="00B740B7" w:rsidRDefault="00B740B7" w:rsidP="00B740B7">
      <w:pPr>
        <w:pStyle w:val="FootnoteText"/>
      </w:pPr>
      <w:r>
        <w:rPr>
          <w:rStyle w:val="FootnoteReference"/>
        </w:rPr>
        <w:footnoteRef/>
      </w:r>
      <w:r>
        <w:t xml:space="preserve"> Lewis, </w:t>
      </w:r>
      <w:r w:rsidRPr="00327BD6">
        <w:rPr>
          <w:i/>
          <w:iCs/>
        </w:rPr>
        <w:t xml:space="preserve">Medieval Welsh Poems to Saints and </w:t>
      </w:r>
      <w:r>
        <w:rPr>
          <w:i/>
          <w:iCs/>
        </w:rPr>
        <w:t>Shrines</w:t>
      </w:r>
      <w:r>
        <w:t>, p. 250.</w:t>
      </w:r>
    </w:p>
  </w:footnote>
  <w:footnote w:id="122">
    <w:p w14:paraId="176D8CA2" w14:textId="77777777" w:rsidR="00B740B7" w:rsidRDefault="00B740B7" w:rsidP="00B740B7">
      <w:pPr>
        <w:pStyle w:val="FootnoteText"/>
      </w:pPr>
      <w:r>
        <w:rPr>
          <w:rStyle w:val="FootnoteReference"/>
        </w:rPr>
        <w:footnoteRef/>
      </w:r>
      <w:r>
        <w:t xml:space="preserve"> Thorpe, </w:t>
      </w:r>
      <w:r w:rsidRPr="004F4BAA">
        <w:rPr>
          <w:i/>
          <w:iCs/>
        </w:rPr>
        <w:t>Gerald of Wales</w:t>
      </w:r>
      <w:r>
        <w:t>, p. 171.</w:t>
      </w:r>
    </w:p>
  </w:footnote>
  <w:footnote w:id="123">
    <w:p w14:paraId="60B8DDD2" w14:textId="77777777" w:rsidR="00B740B7" w:rsidRDefault="00B740B7" w:rsidP="00B740B7">
      <w:pPr>
        <w:pStyle w:val="FootnoteText"/>
      </w:pPr>
      <w:r>
        <w:rPr>
          <w:rStyle w:val="FootnoteReference"/>
        </w:rPr>
        <w:footnoteRef/>
      </w:r>
      <w:r>
        <w:t xml:space="preserve"> Russell, </w:t>
      </w:r>
      <w:r w:rsidRPr="00275864">
        <w:rPr>
          <w:i/>
          <w:iCs/>
        </w:rPr>
        <w:t>Vita Griffini</w:t>
      </w:r>
      <w:r>
        <w:t>, p. 159.</w:t>
      </w:r>
    </w:p>
  </w:footnote>
  <w:footnote w:id="124">
    <w:p w14:paraId="2F229942" w14:textId="77777777" w:rsidR="00B740B7" w:rsidRDefault="00B740B7" w:rsidP="00B740B7">
      <w:pPr>
        <w:pStyle w:val="FootnoteText"/>
      </w:pPr>
      <w:r>
        <w:rPr>
          <w:rStyle w:val="FootnoteReference"/>
        </w:rPr>
        <w:footnoteRef/>
      </w:r>
      <w:r>
        <w:t xml:space="preserve"> Cessford,  ‘Torcs in Early Historic Scotland,’ p. 238.</w:t>
      </w:r>
    </w:p>
  </w:footnote>
  <w:footnote w:id="125">
    <w:p w14:paraId="5D5E35E4" w14:textId="77777777" w:rsidR="00B740B7" w:rsidRDefault="00B740B7" w:rsidP="00B740B7">
      <w:pPr>
        <w:pStyle w:val="FootnoteText"/>
      </w:pPr>
      <w:r>
        <w:rPr>
          <w:rStyle w:val="FootnoteReference"/>
        </w:rPr>
        <w:footnoteRef/>
      </w:r>
      <w:r>
        <w:t xml:space="preserve"> </w:t>
      </w:r>
      <w:bookmarkStart w:id="35" w:name="_Hlk170075408"/>
      <w:r w:rsidRPr="003133C5">
        <w:t>Lloyd</w:t>
      </w:r>
      <w:r>
        <w:t xml:space="preserve">, J.E., </w:t>
      </w:r>
      <w:r w:rsidRPr="003133C5">
        <w:rPr>
          <w:i/>
          <w:iCs/>
        </w:rPr>
        <w:t>CYNOG (fl. 500?), saint</w:t>
      </w:r>
      <w:r>
        <w:rPr>
          <w:i/>
          <w:iCs/>
        </w:rPr>
        <w:t xml:space="preserve">, </w:t>
      </w:r>
      <w:r>
        <w:t xml:space="preserve">at Dictionary of Welsh Biography: </w:t>
      </w:r>
      <w:hyperlink r:id="rId21" w:history="1">
        <w:r w:rsidRPr="00B2151C">
          <w:rPr>
            <w:rStyle w:val="Hyperlink"/>
          </w:rPr>
          <w:t>https://biography.wales/article/s-CYNO-APB-0500</w:t>
        </w:r>
      </w:hyperlink>
      <w:r>
        <w:t xml:space="preserve"> [first accessed 10/12/23].</w:t>
      </w:r>
      <w:bookmarkEnd w:id="35"/>
    </w:p>
  </w:footnote>
  <w:footnote w:id="126">
    <w:p w14:paraId="02465F86" w14:textId="77777777" w:rsidR="00B740B7" w:rsidRDefault="00B740B7" w:rsidP="00B740B7">
      <w:pPr>
        <w:pStyle w:val="FootnoteText"/>
      </w:pPr>
      <w:r>
        <w:rPr>
          <w:rStyle w:val="FootnoteReference"/>
        </w:rPr>
        <w:footnoteRef/>
      </w:r>
      <w:r>
        <w:t xml:space="preserve"> Lewis, </w:t>
      </w:r>
      <w:r w:rsidRPr="00327BD6">
        <w:rPr>
          <w:i/>
          <w:iCs/>
        </w:rPr>
        <w:t xml:space="preserve">Medieval Welsh Poems to Saints and </w:t>
      </w:r>
      <w:r>
        <w:rPr>
          <w:i/>
          <w:iCs/>
        </w:rPr>
        <w:t>Shrines</w:t>
      </w:r>
      <w:r>
        <w:t xml:space="preserve">, p. 243. </w:t>
      </w:r>
    </w:p>
  </w:footnote>
  <w:footnote w:id="127">
    <w:p w14:paraId="60CB362D" w14:textId="77777777" w:rsidR="00B740B7" w:rsidRPr="00C1037C" w:rsidRDefault="00B740B7" w:rsidP="00B740B7">
      <w:pPr>
        <w:pStyle w:val="FootnoteText"/>
      </w:pPr>
      <w:r>
        <w:rPr>
          <w:rStyle w:val="FootnoteReference"/>
        </w:rPr>
        <w:footnoteRef/>
      </w:r>
      <w:r>
        <w:t xml:space="preserve"> </w:t>
      </w:r>
      <w:r w:rsidRPr="00C1037C">
        <w:rPr>
          <w:i/>
          <w:iCs/>
        </w:rPr>
        <w:t>Pair of penitent's spiked leg bands, Europe, 1501-1800</w:t>
      </w:r>
      <w:r>
        <w:rPr>
          <w:i/>
          <w:iCs/>
        </w:rPr>
        <w:t xml:space="preserve">, </w:t>
      </w:r>
      <w:r>
        <w:t>Science Museum Group:</w:t>
      </w:r>
    </w:p>
    <w:p w14:paraId="6EEA336A" w14:textId="77777777" w:rsidR="00B740B7" w:rsidRDefault="00000000" w:rsidP="00B740B7">
      <w:pPr>
        <w:pStyle w:val="FootnoteText"/>
      </w:pPr>
      <w:hyperlink r:id="rId22" w:history="1">
        <w:r w:rsidR="00B740B7" w:rsidRPr="00672D21">
          <w:rPr>
            <w:rStyle w:val="Hyperlink"/>
          </w:rPr>
          <w:t>https://collection.sciencemuseumgroup.org.uk/objects/co155107/pair-of-penitents-spiked-leg-bands-europe-1501-1800-leg-bands</w:t>
        </w:r>
      </w:hyperlink>
      <w:r w:rsidR="00B740B7">
        <w:t xml:space="preserve"> [first accessed 10/6/24].</w:t>
      </w:r>
    </w:p>
  </w:footnote>
  <w:footnote w:id="128">
    <w:p w14:paraId="29C35CE6" w14:textId="77777777" w:rsidR="00B740B7" w:rsidRDefault="00B740B7" w:rsidP="00B740B7">
      <w:pPr>
        <w:pStyle w:val="FootnoteText"/>
      </w:pPr>
      <w:r>
        <w:rPr>
          <w:rStyle w:val="FootnoteReference"/>
        </w:rPr>
        <w:footnoteRef/>
      </w:r>
      <w:r>
        <w:t xml:space="preserve"> </w:t>
      </w:r>
      <w:r w:rsidRPr="009F49C3">
        <w:rPr>
          <w:rFonts w:cstheme="minorHAnsi"/>
          <w:sz w:val="21"/>
          <w:szCs w:val="21"/>
        </w:rPr>
        <w:t xml:space="preserve">Alcock, Leslie, ‘Gwŷr y Gogledd, </w:t>
      </w:r>
      <w:r>
        <w:rPr>
          <w:rFonts w:cstheme="minorHAnsi"/>
          <w:sz w:val="21"/>
          <w:szCs w:val="21"/>
        </w:rPr>
        <w:t>pp. 4-5.</w:t>
      </w:r>
    </w:p>
  </w:footnote>
  <w:footnote w:id="129">
    <w:p w14:paraId="46CFB2E7" w14:textId="77777777" w:rsidR="00B740B7" w:rsidRDefault="00B740B7" w:rsidP="00B740B7">
      <w:pPr>
        <w:pStyle w:val="FootnoteText"/>
      </w:pPr>
      <w:r>
        <w:rPr>
          <w:rStyle w:val="FootnoteReference"/>
        </w:rPr>
        <w:footnoteRef/>
      </w:r>
      <w:r>
        <w:t xml:space="preserve"> Day, J., </w:t>
      </w:r>
      <w:r w:rsidRPr="005F02EC">
        <w:rPr>
          <w:i/>
          <w:iCs/>
        </w:rPr>
        <w:t>Arfau yn yr Hengerdd</w:t>
      </w:r>
      <w:r w:rsidRPr="005E5B1B">
        <w:t>, p480</w:t>
      </w:r>
      <w:r>
        <w:t>.</w:t>
      </w:r>
    </w:p>
  </w:footnote>
  <w:footnote w:id="130">
    <w:p w14:paraId="290F2F78" w14:textId="77777777" w:rsidR="00B740B7" w:rsidRDefault="00B740B7" w:rsidP="00B740B7">
      <w:pPr>
        <w:pStyle w:val="FootnoteText"/>
      </w:pPr>
      <w:r>
        <w:rPr>
          <w:rStyle w:val="FootnoteReference"/>
        </w:rPr>
        <w:footnoteRef/>
      </w:r>
      <w:r>
        <w:t xml:space="preserve"> </w:t>
      </w:r>
      <w:r w:rsidRPr="00230BBA">
        <w:t>Hurlock</w:t>
      </w:r>
      <w:r>
        <w:t>,</w:t>
      </w:r>
      <w:r w:rsidRPr="00230BBA">
        <w:t xml:space="preserve"> </w:t>
      </w:r>
      <w:r w:rsidRPr="00B85C31">
        <w:rPr>
          <w:i/>
          <w:iCs/>
        </w:rPr>
        <w:t>Medieval Welsh Pilgrimage</w:t>
      </w:r>
      <w:r w:rsidRPr="00C214BD">
        <w:t xml:space="preserve">, </w:t>
      </w:r>
      <w:r>
        <w:t>p.27.</w:t>
      </w:r>
    </w:p>
  </w:footnote>
  <w:footnote w:id="131">
    <w:p w14:paraId="093C5DA9" w14:textId="79634A1F" w:rsidR="004E2C9C" w:rsidRDefault="004E2C9C" w:rsidP="004E2C9C">
      <w:pPr>
        <w:pStyle w:val="FootnoteText"/>
      </w:pPr>
      <w:r>
        <w:rPr>
          <w:rStyle w:val="FootnoteReference"/>
        </w:rPr>
        <w:footnoteRef/>
      </w:r>
      <w:r>
        <w:t xml:space="preserve"> </w:t>
      </w:r>
      <w:r w:rsidRPr="004E2C9C">
        <w:rPr>
          <w:i/>
          <w:iCs/>
        </w:rPr>
        <w:t>The Trichtingen Torc (illustration) at World History Encyclopedia:</w:t>
      </w:r>
    </w:p>
    <w:p w14:paraId="6DE8C56C" w14:textId="6BE1E30D" w:rsidR="004E2C9C" w:rsidRDefault="004E2C9C" w:rsidP="004E2C9C">
      <w:pPr>
        <w:pStyle w:val="FootnoteText"/>
      </w:pPr>
      <w:r>
        <w:t>https://www.worldhistory.org/image/13450/the-trichtingen-torc/ [first accessed 13/6/24].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2779479"/>
      <w:docPartObj>
        <w:docPartGallery w:val="Page Numbers (Top of Page)"/>
        <w:docPartUnique/>
      </w:docPartObj>
    </w:sdtPr>
    <w:sdtEndPr>
      <w:rPr>
        <w:noProof/>
      </w:rPr>
    </w:sdtEndPr>
    <w:sdtContent>
      <w:p w14:paraId="20173E73" w14:textId="7FDEFFCD" w:rsidR="00261729" w:rsidRDefault="0026172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6F1D29A" w14:textId="77777777" w:rsidR="00261729" w:rsidRDefault="002617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677D85"/>
    <w:multiLevelType w:val="hybridMultilevel"/>
    <w:tmpl w:val="528C4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9124B"/>
    <w:multiLevelType w:val="hybridMultilevel"/>
    <w:tmpl w:val="1722D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FF5B82"/>
    <w:multiLevelType w:val="hybridMultilevel"/>
    <w:tmpl w:val="8D7E9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A18A1"/>
    <w:multiLevelType w:val="hybridMultilevel"/>
    <w:tmpl w:val="08841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365FE"/>
    <w:multiLevelType w:val="hybridMultilevel"/>
    <w:tmpl w:val="1EEA7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EA2C7E"/>
    <w:multiLevelType w:val="hybridMultilevel"/>
    <w:tmpl w:val="54BE4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0545AC"/>
    <w:multiLevelType w:val="hybridMultilevel"/>
    <w:tmpl w:val="462ED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BA637A"/>
    <w:multiLevelType w:val="hybridMultilevel"/>
    <w:tmpl w:val="0CA8E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7198900">
    <w:abstractNumId w:val="1"/>
  </w:num>
  <w:num w:numId="2" w16cid:durableId="492530896">
    <w:abstractNumId w:val="4"/>
  </w:num>
  <w:num w:numId="3" w16cid:durableId="739601576">
    <w:abstractNumId w:val="5"/>
  </w:num>
  <w:num w:numId="4" w16cid:durableId="1346008319">
    <w:abstractNumId w:val="6"/>
  </w:num>
  <w:num w:numId="5" w16cid:durableId="749929553">
    <w:abstractNumId w:val="7"/>
  </w:num>
  <w:num w:numId="6" w16cid:durableId="91439492">
    <w:abstractNumId w:val="2"/>
  </w:num>
  <w:num w:numId="7" w16cid:durableId="542523646">
    <w:abstractNumId w:val="0"/>
  </w:num>
  <w:num w:numId="8" w16cid:durableId="20050388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bestFit" w:percent="14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6D3"/>
    <w:rsid w:val="00016D27"/>
    <w:rsid w:val="00020BF9"/>
    <w:rsid w:val="00021C64"/>
    <w:rsid w:val="000404B4"/>
    <w:rsid w:val="00051BBE"/>
    <w:rsid w:val="0006707C"/>
    <w:rsid w:val="00067686"/>
    <w:rsid w:val="00090249"/>
    <w:rsid w:val="00096018"/>
    <w:rsid w:val="000A7F26"/>
    <w:rsid w:val="000C230B"/>
    <w:rsid w:val="000E6922"/>
    <w:rsid w:val="000E712F"/>
    <w:rsid w:val="00100B49"/>
    <w:rsid w:val="00104AB5"/>
    <w:rsid w:val="00110852"/>
    <w:rsid w:val="001109B8"/>
    <w:rsid w:val="001165DA"/>
    <w:rsid w:val="00117E7B"/>
    <w:rsid w:val="001233BA"/>
    <w:rsid w:val="001359AF"/>
    <w:rsid w:val="00147770"/>
    <w:rsid w:val="001501F6"/>
    <w:rsid w:val="00153F04"/>
    <w:rsid w:val="00165452"/>
    <w:rsid w:val="001673C9"/>
    <w:rsid w:val="00172AA2"/>
    <w:rsid w:val="001828F2"/>
    <w:rsid w:val="001B76DF"/>
    <w:rsid w:val="001C6338"/>
    <w:rsid w:val="001D73CD"/>
    <w:rsid w:val="001E2E65"/>
    <w:rsid w:val="001F1646"/>
    <w:rsid w:val="001F3433"/>
    <w:rsid w:val="002007E9"/>
    <w:rsid w:val="002106A9"/>
    <w:rsid w:val="00210D21"/>
    <w:rsid w:val="00223D24"/>
    <w:rsid w:val="00237AF4"/>
    <w:rsid w:val="002451F7"/>
    <w:rsid w:val="0024523A"/>
    <w:rsid w:val="002455E2"/>
    <w:rsid w:val="00253434"/>
    <w:rsid w:val="00255DA9"/>
    <w:rsid w:val="00261729"/>
    <w:rsid w:val="00274FA9"/>
    <w:rsid w:val="00287950"/>
    <w:rsid w:val="00295EB6"/>
    <w:rsid w:val="002A685B"/>
    <w:rsid w:val="002B3606"/>
    <w:rsid w:val="002B6668"/>
    <w:rsid w:val="002B7AA4"/>
    <w:rsid w:val="002C066C"/>
    <w:rsid w:val="002D6A59"/>
    <w:rsid w:val="002D7579"/>
    <w:rsid w:val="002F07CF"/>
    <w:rsid w:val="002F16D3"/>
    <w:rsid w:val="002F2B60"/>
    <w:rsid w:val="00317F5C"/>
    <w:rsid w:val="003222E1"/>
    <w:rsid w:val="003241C1"/>
    <w:rsid w:val="00324B7D"/>
    <w:rsid w:val="003261A2"/>
    <w:rsid w:val="00330A09"/>
    <w:rsid w:val="00343EBF"/>
    <w:rsid w:val="00351E93"/>
    <w:rsid w:val="00356FD3"/>
    <w:rsid w:val="00371B3E"/>
    <w:rsid w:val="00381EEE"/>
    <w:rsid w:val="003873F8"/>
    <w:rsid w:val="0039456E"/>
    <w:rsid w:val="003A209A"/>
    <w:rsid w:val="003C45DA"/>
    <w:rsid w:val="003D759A"/>
    <w:rsid w:val="003F06D8"/>
    <w:rsid w:val="004033AC"/>
    <w:rsid w:val="004254BA"/>
    <w:rsid w:val="00431BFF"/>
    <w:rsid w:val="004337DE"/>
    <w:rsid w:val="004717DD"/>
    <w:rsid w:val="00480F42"/>
    <w:rsid w:val="00484277"/>
    <w:rsid w:val="004958D4"/>
    <w:rsid w:val="004A289D"/>
    <w:rsid w:val="004B0C82"/>
    <w:rsid w:val="004B25BC"/>
    <w:rsid w:val="004C1F6C"/>
    <w:rsid w:val="004D2170"/>
    <w:rsid w:val="004D376B"/>
    <w:rsid w:val="004E0540"/>
    <w:rsid w:val="004E2C9C"/>
    <w:rsid w:val="004F1763"/>
    <w:rsid w:val="004F655A"/>
    <w:rsid w:val="0050304F"/>
    <w:rsid w:val="00515F92"/>
    <w:rsid w:val="00516750"/>
    <w:rsid w:val="005222B1"/>
    <w:rsid w:val="00533E27"/>
    <w:rsid w:val="00556507"/>
    <w:rsid w:val="005676EB"/>
    <w:rsid w:val="005700D3"/>
    <w:rsid w:val="00583F56"/>
    <w:rsid w:val="00585D71"/>
    <w:rsid w:val="00587381"/>
    <w:rsid w:val="005919E1"/>
    <w:rsid w:val="0059341D"/>
    <w:rsid w:val="005950CA"/>
    <w:rsid w:val="00595BDF"/>
    <w:rsid w:val="005A1933"/>
    <w:rsid w:val="005A52F3"/>
    <w:rsid w:val="005B06C3"/>
    <w:rsid w:val="005C23ED"/>
    <w:rsid w:val="005C7FB1"/>
    <w:rsid w:val="005D41F4"/>
    <w:rsid w:val="005F02EC"/>
    <w:rsid w:val="005F1A99"/>
    <w:rsid w:val="005F6BBC"/>
    <w:rsid w:val="0060314B"/>
    <w:rsid w:val="006033AE"/>
    <w:rsid w:val="006214EB"/>
    <w:rsid w:val="00634368"/>
    <w:rsid w:val="00647799"/>
    <w:rsid w:val="00664885"/>
    <w:rsid w:val="0066653E"/>
    <w:rsid w:val="006741B9"/>
    <w:rsid w:val="00683A4E"/>
    <w:rsid w:val="00691A42"/>
    <w:rsid w:val="006C1EEA"/>
    <w:rsid w:val="006C43F7"/>
    <w:rsid w:val="006C48B9"/>
    <w:rsid w:val="006D63C4"/>
    <w:rsid w:val="00706E45"/>
    <w:rsid w:val="00722976"/>
    <w:rsid w:val="00726F3D"/>
    <w:rsid w:val="007537A5"/>
    <w:rsid w:val="00757CF7"/>
    <w:rsid w:val="00760325"/>
    <w:rsid w:val="00761F5A"/>
    <w:rsid w:val="00774677"/>
    <w:rsid w:val="00791E7B"/>
    <w:rsid w:val="00793CD6"/>
    <w:rsid w:val="007A63F3"/>
    <w:rsid w:val="007B27F0"/>
    <w:rsid w:val="007B477B"/>
    <w:rsid w:val="007B77EC"/>
    <w:rsid w:val="007C69C6"/>
    <w:rsid w:val="007C77E7"/>
    <w:rsid w:val="007C7C40"/>
    <w:rsid w:val="007E09CC"/>
    <w:rsid w:val="007E52FB"/>
    <w:rsid w:val="00805920"/>
    <w:rsid w:val="00831FD6"/>
    <w:rsid w:val="0083404B"/>
    <w:rsid w:val="00835CAD"/>
    <w:rsid w:val="00841278"/>
    <w:rsid w:val="00864C70"/>
    <w:rsid w:val="008768EB"/>
    <w:rsid w:val="0088108B"/>
    <w:rsid w:val="00881CFA"/>
    <w:rsid w:val="00883ED3"/>
    <w:rsid w:val="00897622"/>
    <w:rsid w:val="008A522E"/>
    <w:rsid w:val="008A7C59"/>
    <w:rsid w:val="008E575A"/>
    <w:rsid w:val="008F6334"/>
    <w:rsid w:val="008F67CB"/>
    <w:rsid w:val="008F76B5"/>
    <w:rsid w:val="0090205D"/>
    <w:rsid w:val="009048AD"/>
    <w:rsid w:val="0090790D"/>
    <w:rsid w:val="00907E09"/>
    <w:rsid w:val="00910CC1"/>
    <w:rsid w:val="00931FC9"/>
    <w:rsid w:val="009349E0"/>
    <w:rsid w:val="00934BE0"/>
    <w:rsid w:val="00943BA3"/>
    <w:rsid w:val="00967A21"/>
    <w:rsid w:val="009725B2"/>
    <w:rsid w:val="00973CAD"/>
    <w:rsid w:val="009805E3"/>
    <w:rsid w:val="00986FAE"/>
    <w:rsid w:val="009A5481"/>
    <w:rsid w:val="009B0612"/>
    <w:rsid w:val="009C0101"/>
    <w:rsid w:val="009C4E21"/>
    <w:rsid w:val="009D7E17"/>
    <w:rsid w:val="009E7950"/>
    <w:rsid w:val="009F0FBD"/>
    <w:rsid w:val="00A028CC"/>
    <w:rsid w:val="00A05BF1"/>
    <w:rsid w:val="00A11029"/>
    <w:rsid w:val="00A12A56"/>
    <w:rsid w:val="00A248BF"/>
    <w:rsid w:val="00A255E0"/>
    <w:rsid w:val="00A3652A"/>
    <w:rsid w:val="00A406A9"/>
    <w:rsid w:val="00A4138D"/>
    <w:rsid w:val="00A46BD2"/>
    <w:rsid w:val="00A57C4F"/>
    <w:rsid w:val="00A623E8"/>
    <w:rsid w:val="00A67133"/>
    <w:rsid w:val="00A84A30"/>
    <w:rsid w:val="00A84ADB"/>
    <w:rsid w:val="00A91DD0"/>
    <w:rsid w:val="00A96D81"/>
    <w:rsid w:val="00AA2934"/>
    <w:rsid w:val="00AA3F4B"/>
    <w:rsid w:val="00AA5FEC"/>
    <w:rsid w:val="00AB0227"/>
    <w:rsid w:val="00AB49EF"/>
    <w:rsid w:val="00AC1730"/>
    <w:rsid w:val="00AD5703"/>
    <w:rsid w:val="00AE0298"/>
    <w:rsid w:val="00AE3AF3"/>
    <w:rsid w:val="00AF15F3"/>
    <w:rsid w:val="00B12B91"/>
    <w:rsid w:val="00B13BC4"/>
    <w:rsid w:val="00B33AC6"/>
    <w:rsid w:val="00B354E6"/>
    <w:rsid w:val="00B64789"/>
    <w:rsid w:val="00B67283"/>
    <w:rsid w:val="00B740B7"/>
    <w:rsid w:val="00B938DD"/>
    <w:rsid w:val="00BA279A"/>
    <w:rsid w:val="00BB06E9"/>
    <w:rsid w:val="00BB7E60"/>
    <w:rsid w:val="00BD40F0"/>
    <w:rsid w:val="00BE35ED"/>
    <w:rsid w:val="00BF472D"/>
    <w:rsid w:val="00C018DA"/>
    <w:rsid w:val="00C052E2"/>
    <w:rsid w:val="00C12E2D"/>
    <w:rsid w:val="00C2533A"/>
    <w:rsid w:val="00C4078E"/>
    <w:rsid w:val="00C44781"/>
    <w:rsid w:val="00C46368"/>
    <w:rsid w:val="00C47CDE"/>
    <w:rsid w:val="00C500C0"/>
    <w:rsid w:val="00C607E2"/>
    <w:rsid w:val="00C726F3"/>
    <w:rsid w:val="00C83BF8"/>
    <w:rsid w:val="00C92514"/>
    <w:rsid w:val="00C9368A"/>
    <w:rsid w:val="00CA05FB"/>
    <w:rsid w:val="00CA40E4"/>
    <w:rsid w:val="00CC697F"/>
    <w:rsid w:val="00CE6977"/>
    <w:rsid w:val="00D0213A"/>
    <w:rsid w:val="00D05CD0"/>
    <w:rsid w:val="00D20B0E"/>
    <w:rsid w:val="00D44ACD"/>
    <w:rsid w:val="00D63A0F"/>
    <w:rsid w:val="00D7299A"/>
    <w:rsid w:val="00D95505"/>
    <w:rsid w:val="00DA1515"/>
    <w:rsid w:val="00DA5B69"/>
    <w:rsid w:val="00DB3D32"/>
    <w:rsid w:val="00DC64DE"/>
    <w:rsid w:val="00DD3787"/>
    <w:rsid w:val="00DF30D5"/>
    <w:rsid w:val="00DF4846"/>
    <w:rsid w:val="00DF5FB4"/>
    <w:rsid w:val="00E05D25"/>
    <w:rsid w:val="00E0742E"/>
    <w:rsid w:val="00E11570"/>
    <w:rsid w:val="00E14329"/>
    <w:rsid w:val="00E14429"/>
    <w:rsid w:val="00E2046A"/>
    <w:rsid w:val="00E27CCA"/>
    <w:rsid w:val="00E34639"/>
    <w:rsid w:val="00E355AA"/>
    <w:rsid w:val="00E35E8B"/>
    <w:rsid w:val="00E43E1B"/>
    <w:rsid w:val="00E472E7"/>
    <w:rsid w:val="00E55967"/>
    <w:rsid w:val="00E60B19"/>
    <w:rsid w:val="00E65B4C"/>
    <w:rsid w:val="00E7014E"/>
    <w:rsid w:val="00E73749"/>
    <w:rsid w:val="00E8477F"/>
    <w:rsid w:val="00E93937"/>
    <w:rsid w:val="00E93AD9"/>
    <w:rsid w:val="00E94C1E"/>
    <w:rsid w:val="00EB3CB6"/>
    <w:rsid w:val="00EB3FED"/>
    <w:rsid w:val="00EE38E1"/>
    <w:rsid w:val="00EE6A4C"/>
    <w:rsid w:val="00EF2DB1"/>
    <w:rsid w:val="00F032A1"/>
    <w:rsid w:val="00F15499"/>
    <w:rsid w:val="00F23170"/>
    <w:rsid w:val="00F25085"/>
    <w:rsid w:val="00F361A8"/>
    <w:rsid w:val="00F4468C"/>
    <w:rsid w:val="00F47B83"/>
    <w:rsid w:val="00F525F6"/>
    <w:rsid w:val="00F53D35"/>
    <w:rsid w:val="00F5732A"/>
    <w:rsid w:val="00F57BF6"/>
    <w:rsid w:val="00F6710F"/>
    <w:rsid w:val="00F70097"/>
    <w:rsid w:val="00F82A55"/>
    <w:rsid w:val="00F8377D"/>
    <w:rsid w:val="00F839C7"/>
    <w:rsid w:val="00F860ED"/>
    <w:rsid w:val="00F910B9"/>
    <w:rsid w:val="00F95B82"/>
    <w:rsid w:val="00FB14D2"/>
    <w:rsid w:val="00FB376A"/>
    <w:rsid w:val="00FF50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8C5181"/>
  <w15:chartTrackingRefBased/>
  <w15:docId w15:val="{521B5B2D-CBAE-4ADD-9438-B8F275FB4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6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16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6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6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6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6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6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6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6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6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16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6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6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6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6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6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6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6D3"/>
    <w:rPr>
      <w:rFonts w:eastAsiaTheme="majorEastAsia" w:cstheme="majorBidi"/>
      <w:color w:val="272727" w:themeColor="text1" w:themeTint="D8"/>
    </w:rPr>
  </w:style>
  <w:style w:type="paragraph" w:styleId="Title">
    <w:name w:val="Title"/>
    <w:basedOn w:val="Normal"/>
    <w:next w:val="Normal"/>
    <w:link w:val="TitleChar"/>
    <w:uiPriority w:val="10"/>
    <w:qFormat/>
    <w:rsid w:val="002F16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6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6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6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6D3"/>
    <w:pPr>
      <w:spacing w:before="160"/>
      <w:jc w:val="center"/>
    </w:pPr>
    <w:rPr>
      <w:i/>
      <w:iCs/>
      <w:color w:val="404040" w:themeColor="text1" w:themeTint="BF"/>
    </w:rPr>
  </w:style>
  <w:style w:type="character" w:customStyle="1" w:styleId="QuoteChar">
    <w:name w:val="Quote Char"/>
    <w:basedOn w:val="DefaultParagraphFont"/>
    <w:link w:val="Quote"/>
    <w:uiPriority w:val="29"/>
    <w:rsid w:val="002F16D3"/>
    <w:rPr>
      <w:i/>
      <w:iCs/>
      <w:color w:val="404040" w:themeColor="text1" w:themeTint="BF"/>
    </w:rPr>
  </w:style>
  <w:style w:type="paragraph" w:styleId="ListParagraph">
    <w:name w:val="List Paragraph"/>
    <w:basedOn w:val="Normal"/>
    <w:uiPriority w:val="34"/>
    <w:qFormat/>
    <w:rsid w:val="002F16D3"/>
    <w:pPr>
      <w:ind w:left="720"/>
      <w:contextualSpacing/>
    </w:pPr>
  </w:style>
  <w:style w:type="character" w:styleId="IntenseEmphasis">
    <w:name w:val="Intense Emphasis"/>
    <w:basedOn w:val="DefaultParagraphFont"/>
    <w:uiPriority w:val="21"/>
    <w:qFormat/>
    <w:rsid w:val="002F16D3"/>
    <w:rPr>
      <w:i/>
      <w:iCs/>
      <w:color w:val="0F4761" w:themeColor="accent1" w:themeShade="BF"/>
    </w:rPr>
  </w:style>
  <w:style w:type="paragraph" w:styleId="IntenseQuote">
    <w:name w:val="Intense Quote"/>
    <w:basedOn w:val="Normal"/>
    <w:next w:val="Normal"/>
    <w:link w:val="IntenseQuoteChar"/>
    <w:uiPriority w:val="30"/>
    <w:qFormat/>
    <w:rsid w:val="002F16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6D3"/>
    <w:rPr>
      <w:i/>
      <w:iCs/>
      <w:color w:val="0F4761" w:themeColor="accent1" w:themeShade="BF"/>
    </w:rPr>
  </w:style>
  <w:style w:type="character" w:styleId="IntenseReference">
    <w:name w:val="Intense Reference"/>
    <w:basedOn w:val="DefaultParagraphFont"/>
    <w:uiPriority w:val="32"/>
    <w:qFormat/>
    <w:rsid w:val="002F16D3"/>
    <w:rPr>
      <w:b/>
      <w:bCs/>
      <w:smallCaps/>
      <w:color w:val="0F4761" w:themeColor="accent1" w:themeShade="BF"/>
      <w:spacing w:val="5"/>
    </w:rPr>
  </w:style>
  <w:style w:type="character" w:styleId="Hyperlink">
    <w:name w:val="Hyperlink"/>
    <w:basedOn w:val="DefaultParagraphFont"/>
    <w:uiPriority w:val="99"/>
    <w:unhideWhenUsed/>
    <w:rsid w:val="00343EBF"/>
    <w:rPr>
      <w:color w:val="467886" w:themeColor="hyperlink"/>
      <w:u w:val="single"/>
    </w:rPr>
  </w:style>
  <w:style w:type="character" w:styleId="UnresolvedMention">
    <w:name w:val="Unresolved Mention"/>
    <w:basedOn w:val="DefaultParagraphFont"/>
    <w:uiPriority w:val="99"/>
    <w:semiHidden/>
    <w:unhideWhenUsed/>
    <w:rsid w:val="00343EBF"/>
    <w:rPr>
      <w:color w:val="605E5C"/>
      <w:shd w:val="clear" w:color="auto" w:fill="E1DFDD"/>
    </w:rPr>
  </w:style>
  <w:style w:type="character" w:styleId="FollowedHyperlink">
    <w:name w:val="FollowedHyperlink"/>
    <w:basedOn w:val="DefaultParagraphFont"/>
    <w:uiPriority w:val="99"/>
    <w:semiHidden/>
    <w:unhideWhenUsed/>
    <w:rsid w:val="00090249"/>
    <w:rPr>
      <w:color w:val="96607D" w:themeColor="followedHyperlink"/>
      <w:u w:val="single"/>
    </w:rPr>
  </w:style>
  <w:style w:type="paragraph" w:styleId="FootnoteText">
    <w:name w:val="footnote text"/>
    <w:basedOn w:val="Normal"/>
    <w:link w:val="FootnoteTextChar"/>
    <w:uiPriority w:val="99"/>
    <w:semiHidden/>
    <w:unhideWhenUsed/>
    <w:rsid w:val="00691A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1A42"/>
    <w:rPr>
      <w:sz w:val="20"/>
      <w:szCs w:val="20"/>
    </w:rPr>
  </w:style>
  <w:style w:type="character" w:styleId="FootnoteReference">
    <w:name w:val="footnote reference"/>
    <w:basedOn w:val="DefaultParagraphFont"/>
    <w:uiPriority w:val="99"/>
    <w:semiHidden/>
    <w:unhideWhenUsed/>
    <w:rsid w:val="00371B3E"/>
    <w:rPr>
      <w:vertAlign w:val="superscript"/>
    </w:rPr>
  </w:style>
  <w:style w:type="paragraph" w:styleId="Header">
    <w:name w:val="header"/>
    <w:basedOn w:val="Normal"/>
    <w:link w:val="HeaderChar"/>
    <w:uiPriority w:val="99"/>
    <w:unhideWhenUsed/>
    <w:rsid w:val="00261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729"/>
  </w:style>
  <w:style w:type="paragraph" w:styleId="Footer">
    <w:name w:val="footer"/>
    <w:basedOn w:val="Normal"/>
    <w:link w:val="FooterChar"/>
    <w:uiPriority w:val="99"/>
    <w:unhideWhenUsed/>
    <w:rsid w:val="00261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729"/>
  </w:style>
  <w:style w:type="paragraph" w:styleId="NoSpacing">
    <w:name w:val="No Spacing"/>
    <w:link w:val="NoSpacingChar"/>
    <w:uiPriority w:val="1"/>
    <w:qFormat/>
    <w:rsid w:val="0026172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61729"/>
    <w:rPr>
      <w:rFonts w:eastAsiaTheme="minorEastAsia"/>
      <w:kern w:val="0"/>
      <w:lang w:val="en-US"/>
      <w14:ligatures w14:val="none"/>
    </w:rPr>
  </w:style>
  <w:style w:type="table" w:styleId="TableGrid">
    <w:name w:val="Table Grid"/>
    <w:basedOn w:val="TableNormal"/>
    <w:uiPriority w:val="39"/>
    <w:rsid w:val="00DC64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44142">
      <w:bodyDiv w:val="1"/>
      <w:marLeft w:val="0"/>
      <w:marRight w:val="0"/>
      <w:marTop w:val="0"/>
      <w:marBottom w:val="0"/>
      <w:divBdr>
        <w:top w:val="none" w:sz="0" w:space="0" w:color="auto"/>
        <w:left w:val="none" w:sz="0" w:space="0" w:color="auto"/>
        <w:bottom w:val="none" w:sz="0" w:space="0" w:color="auto"/>
        <w:right w:val="none" w:sz="0" w:space="0" w:color="auto"/>
      </w:divBdr>
    </w:div>
    <w:div w:id="117770426">
      <w:bodyDiv w:val="1"/>
      <w:marLeft w:val="0"/>
      <w:marRight w:val="0"/>
      <w:marTop w:val="0"/>
      <w:marBottom w:val="0"/>
      <w:divBdr>
        <w:top w:val="none" w:sz="0" w:space="0" w:color="auto"/>
        <w:left w:val="none" w:sz="0" w:space="0" w:color="auto"/>
        <w:bottom w:val="none" w:sz="0" w:space="0" w:color="auto"/>
        <w:right w:val="none" w:sz="0" w:space="0" w:color="auto"/>
      </w:divBdr>
    </w:div>
    <w:div w:id="1569460074">
      <w:bodyDiv w:val="1"/>
      <w:marLeft w:val="0"/>
      <w:marRight w:val="0"/>
      <w:marTop w:val="0"/>
      <w:marBottom w:val="0"/>
      <w:divBdr>
        <w:top w:val="none" w:sz="0" w:space="0" w:color="auto"/>
        <w:left w:val="none" w:sz="0" w:space="0" w:color="auto"/>
        <w:bottom w:val="none" w:sz="0" w:space="0" w:color="auto"/>
        <w:right w:val="none" w:sz="0" w:space="0" w:color="auto"/>
      </w:divBdr>
    </w:div>
    <w:div w:id="1867785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ms.scran.ac.uk/database/record.php?usi=000-100-036-326-C" TargetMode="External"/><Relationship Id="rId18" Type="http://schemas.openxmlformats.org/officeDocument/2006/relationships/image" Target="media/image3.jpeg"/><Relationship Id="rId26" Type="http://schemas.openxmlformats.org/officeDocument/2006/relationships/hyperlink" Target="https://dafyddapgwilym.net/eng/3win.htm" TargetMode="External"/><Relationship Id="rId3" Type="http://schemas.openxmlformats.org/officeDocument/2006/relationships/numbering" Target="numbering.xml"/><Relationship Id="rId21" Type="http://schemas.openxmlformats.org/officeDocument/2006/relationships/image" Target="media/image6.png"/><Relationship Id="rId34" Type="http://schemas.openxmlformats.org/officeDocument/2006/relationships/hyperlink" Target="https://www.jstor.org/stable/j.ctt9qfb96?turn_away=true" TargetMode="External"/><Relationship Id="rId7" Type="http://schemas.openxmlformats.org/officeDocument/2006/relationships/footnotes" Target="footnotes.xml"/><Relationship Id="rId12" Type="http://schemas.openxmlformats.org/officeDocument/2006/relationships/hyperlink" Target="https://sketchfab.com/3d-models/aberlemno-stone-pictish-symbol-stone-nms-e5de967efde24a42a21bea02296d4afe" TargetMode="External"/><Relationship Id="rId17" Type="http://schemas.openxmlformats.org/officeDocument/2006/relationships/image" Target="media/image2.jpeg"/><Relationship Id="rId25" Type="http://schemas.openxmlformats.org/officeDocument/2006/relationships/hyperlink" Target="https://journals.library.wales/view/4718179/4748682/6" TargetMode="External"/><Relationship Id="rId33" Type="http://schemas.openxmlformats.org/officeDocument/2006/relationships/hyperlink" Target="https://nms.scran.ac.uk/database/record.php?usi=000-100-036-326-C"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worldhistory.org/image/13450/the-trichtingen-torc/" TargetMode="External"/><Relationship Id="rId20" Type="http://schemas.openxmlformats.org/officeDocument/2006/relationships/image" Target="media/image5.jpeg"/><Relationship Id="rId29" Type="http://schemas.openxmlformats.org/officeDocument/2006/relationships/hyperlink" Target="https://biography.wales/article/s-CYNO-APB-05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ms.ac.uk/explore-our-collections/stories/scottish-history-and-archaeology/norries-law-hoard/" TargetMode="External"/><Relationship Id="rId24" Type="http://schemas.openxmlformats.org/officeDocument/2006/relationships/hyperlink" Target="https://www.historicenvironment.scot/visit-a-place/places/aberlemno-sculptured-stones/" TargetMode="External"/><Relationship Id="rId32" Type="http://schemas.openxmlformats.org/officeDocument/2006/relationships/hyperlink" Target="https://collection.sciencemuseumgroup.org.uk/objects/co155107/pair-of-penitents-spiked-leg-bands-europe-1501-1800-leg-bands"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mailto:tmarshall1096@gmail.com" TargetMode="External"/><Relationship Id="rId23" Type="http://schemas.openxmlformats.org/officeDocument/2006/relationships/image" Target="media/image8.jpeg"/><Relationship Id="rId28" Type="http://schemas.openxmlformats.org/officeDocument/2006/relationships/hyperlink" Target="http://www.gutorglyn.net/gutorglyn/poem/?poem-selection=062&amp;first-line=%23" TargetMode="External"/><Relationship Id="rId36" Type="http://schemas.openxmlformats.org/officeDocument/2006/relationships/header" Target="header1.xml"/><Relationship Id="rId10" Type="http://schemas.openxmlformats.org/officeDocument/2006/relationships/hyperlink" Target="https://www.britishmuseum.org/collection/object/H_1951-0402-2" TargetMode="External"/><Relationship Id="rId19" Type="http://schemas.openxmlformats.org/officeDocument/2006/relationships/image" Target="media/image4.jpeg"/><Relationship Id="rId31" Type="http://schemas.openxmlformats.org/officeDocument/2006/relationships/hyperlink" Target="https://bigbookoftorcs.com/2020/09/22/thoughts-on-the-grotesque-torc/"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britishmuseum.org/collection/object/H_1925-0404-1" TargetMode="External"/><Relationship Id="rId22" Type="http://schemas.openxmlformats.org/officeDocument/2006/relationships/image" Target="media/image7.jpeg"/><Relationship Id="rId27" Type="http://schemas.openxmlformats.org/officeDocument/2006/relationships/hyperlink" Target="https://geiriadur.ac.uk/gpc/gpc.html" TargetMode="External"/><Relationship Id="rId30" Type="http://schemas.openxmlformats.org/officeDocument/2006/relationships/hyperlink" Target="https://logeion.uchicago.edu/torques" TargetMode="External"/><Relationship Id="rId35" Type="http://schemas.openxmlformats.org/officeDocument/2006/relationships/hyperlink" Target="https://www.library.wales/discover-learn/digital-exhibitions/manuscripts/the-middle-ages/white-book-of-rhydderch"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historicenvironment.scot/visit-a-place/places/aberlemno-sculptured-stones/" TargetMode="External"/><Relationship Id="rId13" Type="http://schemas.openxmlformats.org/officeDocument/2006/relationships/hyperlink" Target="https://logeion.uchicago.edu/torques" TargetMode="External"/><Relationship Id="rId18" Type="http://schemas.openxmlformats.org/officeDocument/2006/relationships/hyperlink" Target="https://archive.org/details/b22010774/page/14/mode/2up?view=theater" TargetMode="External"/><Relationship Id="rId3" Type="http://schemas.openxmlformats.org/officeDocument/2006/relationships/hyperlink" Target="https://www.geiriadur.ac.uk/gpc/gpc.html" TargetMode="External"/><Relationship Id="rId21" Type="http://schemas.openxmlformats.org/officeDocument/2006/relationships/hyperlink" Target="https://biography.wales/article/s-CYNO-APB-0500" TargetMode="External"/><Relationship Id="rId7" Type="http://schemas.openxmlformats.org/officeDocument/2006/relationships/hyperlink" Target="https://www.nms.ac.uk/explore-our-collections/stories/scottish-history-and-archaeology/norries-law-hoard/" TargetMode="External"/><Relationship Id="rId12" Type="http://schemas.openxmlformats.org/officeDocument/2006/relationships/hyperlink" Target="https://www.britishmuseum.org/collection/object/H_1925-0404-1" TargetMode="External"/><Relationship Id="rId17" Type="http://schemas.openxmlformats.org/officeDocument/2006/relationships/hyperlink" Target="https://art.thewalters.org/detail/2826/neck-ring/" TargetMode="External"/><Relationship Id="rId2" Type="http://schemas.openxmlformats.org/officeDocument/2006/relationships/hyperlink" Target="https://www.worldhistory.org/image/9799/prince-of-glauberg/" TargetMode="External"/><Relationship Id="rId16" Type="http://schemas.openxmlformats.org/officeDocument/2006/relationships/hyperlink" Target="https://www.library.wales/discover-learn/digital-exhibitions/manuscripts/the-middle-ages/white-book-of-rhydderch" TargetMode="External"/><Relationship Id="rId20" Type="http://schemas.openxmlformats.org/officeDocument/2006/relationships/hyperlink" Target="https://bigbookoftorcs.com/2020/09/22/thoughts-on-the-grotesque-torc/" TargetMode="External"/><Relationship Id="rId1" Type="http://schemas.openxmlformats.org/officeDocument/2006/relationships/hyperlink" Target="https://www.britishmuseum.org/collection/object/H_1951-0402-2" TargetMode="External"/><Relationship Id="rId6" Type="http://schemas.openxmlformats.org/officeDocument/2006/relationships/hyperlink" Target="https://www.nms.ac.uk/explore-our-collections/stories/scottish-history-and-archaeology/norries-law-hoard/" TargetMode="External"/><Relationship Id="rId11" Type="http://schemas.openxmlformats.org/officeDocument/2006/relationships/hyperlink" Target="https://nms.scran.ac.uk/database/record.php?usi=000-100-036-326-C" TargetMode="External"/><Relationship Id="rId5" Type="http://schemas.openxmlformats.org/officeDocument/2006/relationships/hyperlink" Target="https://www.jstor.org/stable/j.ctt9qfb96?turn_away=true" TargetMode="External"/><Relationship Id="rId15" Type="http://schemas.openxmlformats.org/officeDocument/2006/relationships/hyperlink" Target="http://www.gutorglyn.net/gutorglyn/poem/?poem-selection=062&amp;first-line=%23" TargetMode="External"/><Relationship Id="rId10" Type="http://schemas.openxmlformats.org/officeDocument/2006/relationships/hyperlink" Target="https://journals.library.wales/view/4718179/4748682/6" TargetMode="External"/><Relationship Id="rId19" Type="http://schemas.openxmlformats.org/officeDocument/2006/relationships/hyperlink" Target="mailto:tmarshall1096@gmail.com" TargetMode="External"/><Relationship Id="rId4" Type="http://schemas.openxmlformats.org/officeDocument/2006/relationships/hyperlink" Target="https://www.perseus.tufts.edu/hopper/morph?l=torquis&amp;la=la&amp;can=torquis0&amp;prior=torqueo" TargetMode="External"/><Relationship Id="rId9" Type="http://schemas.openxmlformats.org/officeDocument/2006/relationships/hyperlink" Target="https://sketchfab.com/3d-models/aberlemno-stone-pictish-symbol-stone-nms-e5de967efde24a42a21bea02296d4afe" TargetMode="External"/><Relationship Id="rId14" Type="http://schemas.openxmlformats.org/officeDocument/2006/relationships/hyperlink" Target="https://dafyddapgwilym.net/eng/3win.htm" TargetMode="External"/><Relationship Id="rId22" Type="http://schemas.openxmlformats.org/officeDocument/2006/relationships/hyperlink" Target="https://collection.sciencemuseumgroup.org.uk/objects/co155107/pair-of-penitents-spiked-leg-bands-europe-1501-1800-leg-b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BB23A9-BEC7-4ACF-8FBA-5B22994D6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31</Pages>
  <Words>11806</Words>
  <Characters>67300</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The Torc in Medieval Wales: real object or literary motif?</vt:lpstr>
    </vt:vector>
  </TitlesOfParts>
  <Company/>
  <LinksUpToDate>false</LinksUpToDate>
  <CharactersWithSpaces>78949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Torc in Medieval Wales: real object or literary motif?</dc:title>
  <dc:subject/>
  <dc:creator>Matthew Paul Youde (1806027)</dc:creator>
  <cp:keywords/>
  <dc:description/>
  <cp:lastModifiedBy>Matthew Youde</cp:lastModifiedBy>
  <cp:revision>285</cp:revision>
  <dcterms:created xsi:type="dcterms:W3CDTF">2024-06-22T22:59:00Z</dcterms:created>
  <dcterms:modified xsi:type="dcterms:W3CDTF">2024-06-24T22:38:00Z</dcterms:modified>
  <cp:category>BA Celtic Studies Dissertation HPHP6902                           University of Wales Trinity St. David,                                                       June 2024</cp:category>
</cp:coreProperties>
</file>