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Calibri" w:cs="Calibri" w:eastAsia="Calibri" w:hAnsi="Calibri"/>
          <w:sz w:val="22"/>
          <w:szCs w:val="22"/>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jc w:val="center"/>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0" distR="0">
            <wp:extent cx="1634959" cy="644316"/>
            <wp:effectExtent b="0" l="0" r="0" t="0"/>
            <wp:docPr id="4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22"/>
          <w:szCs w:val="22"/>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b w:val="1"/>
                <w:rtl w:val="0"/>
              </w:rPr>
              <w:t xml:space="preserve">UNDERGRADUATE DISSERTATION</w:t>
            </w:r>
          </w:p>
          <w:p w:rsidR="00000000" w:rsidDel="00000000" w:rsidP="00000000" w:rsidRDefault="00000000" w:rsidRPr="00000000" w14:paraId="00000006">
            <w:pPr>
              <w:jc w:val="center"/>
              <w:rPr>
                <w:b w:val="1"/>
              </w:rPr>
            </w:pPr>
            <w:r w:rsidDel="00000000" w:rsidR="00000000" w:rsidRPr="00000000">
              <w:rPr>
                <w:b w:val="1"/>
                <w:rtl w:val="0"/>
              </w:rPr>
              <w:t xml:space="preserve">RESEARCH PROPOSAL FORM</w:t>
            </w:r>
          </w:p>
          <w:p w:rsidR="00000000" w:rsidDel="00000000" w:rsidP="00000000" w:rsidRDefault="00000000" w:rsidRPr="00000000" w14:paraId="00000007">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08">
      <w:pPr>
        <w:ind w:right="-199"/>
        <w:rPr>
          <w:rFonts w:ascii="Calibri" w:cs="Calibri" w:eastAsia="Calibri" w:hAnsi="Calibri"/>
          <w:sz w:val="22"/>
          <w:szCs w:val="22"/>
        </w:rPr>
      </w:pPr>
      <w:r w:rsidDel="00000000" w:rsidR="00000000" w:rsidRPr="00000000">
        <w:rPr>
          <w:rFonts w:ascii="Calibri" w:cs="Calibri" w:eastAsia="Calibri" w:hAnsi="Calibri"/>
          <w:b w:val="1"/>
          <w:sz w:val="22"/>
          <w:szCs w:val="22"/>
          <w:rtl w:val="0"/>
        </w:rPr>
        <w:t xml:space="preserve"> </w:t>
      </w:r>
      <w:r w:rsidDel="00000000" w:rsidR="00000000" w:rsidRPr="00000000">
        <w:rPr>
          <w:rtl w:val="0"/>
        </w:rPr>
      </w:r>
    </w:p>
    <w:p w:rsidR="00000000" w:rsidDel="00000000" w:rsidP="00000000" w:rsidRDefault="00000000" w:rsidRPr="00000000" w14:paraId="00000009">
      <w:pPr>
        <w:rPr>
          <w:sz w:val="22"/>
          <w:szCs w:val="22"/>
        </w:rPr>
      </w:pPr>
      <w:r w:rsidDel="00000000" w:rsidR="00000000" w:rsidRPr="00000000">
        <w:rPr>
          <w:sz w:val="22"/>
          <w:szCs w:val="22"/>
          <w:rtl w:val="0"/>
        </w:rPr>
        <w:t xml:space="preserve">Please complete the following research proposal and email to </w:t>
      </w:r>
      <w:hyperlink r:id="rId8">
        <w:r w:rsidDel="00000000" w:rsidR="00000000" w:rsidRPr="00000000">
          <w:rPr>
            <w:color w:val="0000ff"/>
            <w:sz w:val="22"/>
            <w:szCs w:val="22"/>
            <w:u w:val="single"/>
            <w:rtl w:val="0"/>
          </w:rPr>
          <w:t xml:space="preserve">mike.durke@uwtsd.ac.uk</w:t>
        </w:r>
      </w:hyperlink>
      <w:r w:rsidDel="00000000" w:rsidR="00000000" w:rsidRPr="00000000">
        <w:rPr>
          <w:sz w:val="22"/>
          <w:szCs w:val="22"/>
          <w:rtl w:val="0"/>
        </w:rPr>
        <w:t xml:space="preserve"> </w:t>
      </w:r>
    </w:p>
    <w:p w:rsidR="00000000" w:rsidDel="00000000" w:rsidP="00000000" w:rsidRDefault="00000000" w:rsidRPr="00000000" w14:paraId="0000000A">
      <w:pPr>
        <w:jc w:val="both"/>
        <w:rPr>
          <w:rFonts w:ascii="Calibri" w:cs="Calibri" w:eastAsia="Calibri" w:hAnsi="Calibri"/>
          <w:sz w:val="22"/>
          <w:szCs w:val="22"/>
        </w:rPr>
      </w:pPr>
      <w:r w:rsidDel="00000000" w:rsidR="00000000" w:rsidRPr="00000000">
        <w:rPr>
          <w:rtl w:val="0"/>
        </w:rPr>
      </w:r>
    </w:p>
    <w:tbl>
      <w:tblPr>
        <w:tblStyle w:val="Table2"/>
        <w:tblW w:w="90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42"/>
        <w:gridCol w:w="2835"/>
        <w:tblGridChange w:id="0">
          <w:tblGrid>
            <w:gridCol w:w="6242"/>
            <w:gridCol w:w="2835"/>
          </w:tblGrid>
        </w:tblGridChange>
      </w:tblGrid>
      <w:tr>
        <w:trPr>
          <w:cantSplit w:val="0"/>
          <w:tblHeader w:val="0"/>
        </w:trPr>
        <w:tc>
          <w:tcPr>
            <w:tcMar>
              <w:top w:w="0.0" w:type="dxa"/>
              <w:left w:w="108.0" w:type="dxa"/>
              <w:bottom w:w="0.0" w:type="dxa"/>
              <w:right w:w="108.0" w:type="dxa"/>
            </w:tcMar>
          </w:tcPr>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Leo Pietrapertosa</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D">
            <w:pPr>
              <w:jc w:val="both"/>
              <w:rPr>
                <w:sz w:val="22"/>
                <w:szCs w:val="22"/>
              </w:rPr>
            </w:pPr>
            <w:r w:rsidDel="00000000" w:rsidR="00000000" w:rsidRPr="00000000">
              <w:rPr>
                <w:rFonts w:ascii="Calibri" w:cs="Calibri" w:eastAsia="Calibri" w:hAnsi="Calibri"/>
                <w:b w:val="1"/>
                <w:sz w:val="22"/>
                <w:szCs w:val="22"/>
                <w:rtl w:val="0"/>
              </w:rPr>
              <w:t xml:space="preserve"> </w:t>
            </w:r>
            <w:r w:rsidDel="00000000" w:rsidR="00000000" w:rsidRPr="00000000">
              <w:rPr>
                <w:b w:val="1"/>
                <w:sz w:val="22"/>
                <w:szCs w:val="22"/>
                <w:rtl w:val="0"/>
              </w:rPr>
              <w:t xml:space="preserve">ID No.: 2219977</w:t>
            </w:r>
            <w:r w:rsidDel="00000000" w:rsidR="00000000" w:rsidRPr="00000000">
              <w:rPr>
                <w:rtl w:val="0"/>
              </w:rPr>
            </w:r>
          </w:p>
        </w:tc>
      </w:tr>
      <w:tr>
        <w:trPr>
          <w:cantSplit w:val="0"/>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0E">
            <w:pPr>
              <w:jc w:val="both"/>
              <w:rPr>
                <w:sz w:val="22"/>
                <w:szCs w:val="22"/>
              </w:rPr>
            </w:pPr>
            <w:r w:rsidDel="00000000" w:rsidR="00000000" w:rsidRPr="00000000">
              <w:rPr>
                <w:b w:val="1"/>
                <w:sz w:val="22"/>
                <w:szCs w:val="22"/>
                <w:rtl w:val="0"/>
              </w:rPr>
              <w:t xml:space="preserve">DRAFT RESEARCH TITLE QUESTION:</w:t>
            </w:r>
            <w:r w:rsidDel="00000000" w:rsidR="00000000" w:rsidRPr="00000000">
              <w:rPr>
                <w:rtl w:val="0"/>
              </w:rPr>
            </w:r>
          </w:p>
          <w:p w:rsidR="00000000" w:rsidDel="00000000" w:rsidP="00000000" w:rsidRDefault="00000000" w:rsidRPr="00000000" w14:paraId="0000000F">
            <w:pPr>
              <w:jc w:val="both"/>
              <w:rPr>
                <w:sz w:val="22"/>
                <w:szCs w:val="22"/>
              </w:rPr>
            </w:pPr>
            <w:r w:rsidDel="00000000" w:rsidR="00000000" w:rsidRPr="00000000">
              <w:rPr>
                <w:sz w:val="22"/>
                <w:szCs w:val="22"/>
                <w:rtl w:val="0"/>
              </w:rPr>
              <w:t xml:space="preserve">Why this topic?  Why is it worthy of consideration for an undergraduate dissertation? recet literature</w:t>
            </w:r>
          </w:p>
          <w:p w:rsidR="00000000" w:rsidDel="00000000" w:rsidP="00000000" w:rsidRDefault="00000000" w:rsidRPr="00000000" w14:paraId="00000010">
            <w:pPr>
              <w:jc w:val="both"/>
              <w:rPr>
                <w:sz w:val="22"/>
                <w:szCs w:val="22"/>
              </w:rPr>
            </w:pPr>
            <w:r w:rsidDel="00000000" w:rsidR="00000000" w:rsidRPr="00000000">
              <w:rPr>
                <w:rtl w:val="0"/>
              </w:rPr>
            </w:r>
          </w:p>
          <w:p w:rsidR="00000000" w:rsidDel="00000000" w:rsidP="00000000" w:rsidRDefault="00000000" w:rsidRPr="00000000" w14:paraId="00000011">
            <w:pPr>
              <w:tabs>
                <w:tab w:val="left" w:leader="none" w:pos="1860"/>
              </w:tabs>
              <w:jc w:val="both"/>
              <w:rPr/>
            </w:pPr>
            <w:r w:rsidDel="00000000" w:rsidR="00000000" w:rsidRPr="00000000">
              <w:rPr>
                <w:sz w:val="22"/>
                <w:szCs w:val="22"/>
                <w:rtl w:val="0"/>
              </w:rPr>
              <w:t xml:space="preserve"> </w:t>
            </w:r>
            <w:r w:rsidDel="00000000" w:rsidR="00000000" w:rsidRPr="00000000">
              <w:rPr>
                <w:b w:val="1"/>
                <w:rtl w:val="0"/>
              </w:rPr>
              <w:t xml:space="preserve">Children and young people involved in county lines : their role as victims. </w:t>
            </w:r>
            <w:r w:rsidDel="00000000" w:rsidR="00000000" w:rsidRPr="00000000">
              <w:rPr>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tabs>
                <w:tab w:val="left" w:leader="none" w:pos="1860"/>
              </w:tabs>
              <w:spacing w:after="240" w:before="240" w:lineRule="auto"/>
              <w:jc w:val="both"/>
              <w:rPr/>
            </w:pPr>
            <w:r w:rsidDel="00000000" w:rsidR="00000000" w:rsidRPr="00000000">
              <w:rPr>
                <w:rtl w:val="0"/>
              </w:rPr>
              <w:t xml:space="preserve">This was the title chosen, this research project will be focused on the young people involved in county lines gangs. County lines can be described as being an organised crime organisation or “gang” usually involved in drug supply in one or more areas in the UK (Home Office, 2023). In 2017, 74% of police forces in the UK reported incidents of exploitation of vulnerable people and 65% of police forces reported incidents of exploitation of young people (National Crime Agency, 2017). Young, vulnerable people play a huge role within organised crime groups such as county line gangs. The focus will be on their roles and how they are perceived by the public in the UK. Wiltshire police, (cited in, Moyle, 2019), explained how they are moving towards understanding county lines and dealing with the young, vulnerable people as people who are exploited rather than suspects. This, however, has not been seen in practice as police forces still have a "zero tolerance" approach to dealing with low-level street dealers (Moyle, 2019). When reading the Modern Slavery Act (2015), it is evident that there are opportunities to build on this act and create clear definitions of criminal exploitation, in order to fill in the gaps of research and to protect young, vulnerable people (The Centre for Social Justice, 2024). This piece of research will be used to see how the public views and perceives these young people and whether they do play a role as "victims" rather than "criminals".  </w:t>
            </w:r>
          </w:p>
          <w:p w:rsidR="00000000" w:rsidDel="00000000" w:rsidP="00000000" w:rsidRDefault="00000000" w:rsidRPr="00000000" w14:paraId="00000013">
            <w:pPr>
              <w:tabs>
                <w:tab w:val="left" w:leader="none" w:pos="1860"/>
              </w:tabs>
              <w:jc w:val="both"/>
              <w:rPr>
                <w:sz w:val="22"/>
                <w:szCs w:val="22"/>
                <w:highlight w:val="yellow"/>
              </w:rPr>
            </w:pPr>
            <w:r w:rsidDel="00000000" w:rsidR="00000000" w:rsidRPr="00000000">
              <w:rPr>
                <w:rtl w:val="0"/>
              </w:rPr>
            </w:r>
          </w:p>
          <w:p w:rsidR="00000000" w:rsidDel="00000000" w:rsidP="00000000" w:rsidRDefault="00000000" w:rsidRPr="00000000" w14:paraId="00000014">
            <w:pPr>
              <w:tabs>
                <w:tab w:val="left" w:leader="none" w:pos="1860"/>
              </w:tabs>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16">
            <w:pPr>
              <w:jc w:val="both"/>
              <w:rPr>
                <w:b w:val="1"/>
                <w:sz w:val="22"/>
                <w:szCs w:val="22"/>
              </w:rPr>
            </w:pPr>
            <w:r w:rsidDel="00000000" w:rsidR="00000000" w:rsidRPr="00000000">
              <w:rPr>
                <w:b w:val="1"/>
                <w:sz w:val="22"/>
                <w:szCs w:val="22"/>
                <w:rtl w:val="0"/>
              </w:rPr>
              <w:t xml:space="preserve">SUMMARY OF RESEARCH AIM &amp; OBJECTIVES: </w:t>
            </w:r>
          </w:p>
          <w:p w:rsidR="00000000" w:rsidDel="00000000" w:rsidP="00000000" w:rsidRDefault="00000000" w:rsidRPr="00000000" w14:paraId="00000017">
            <w:pPr>
              <w:rPr>
                <w:sz w:val="22"/>
                <w:szCs w:val="22"/>
              </w:rPr>
            </w:pPr>
            <w:r w:rsidDel="00000000" w:rsidR="00000000" w:rsidRPr="00000000">
              <w:rPr>
                <w:sz w:val="22"/>
                <w:szCs w:val="22"/>
                <w:rtl w:val="0"/>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Aim : Evaluate the public perceptions of children and young people involved in county lines.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i w:val="1"/>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Objective 1: Explore the role of children and young people in county lines.</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Objective 2: Assess the impact of criminal exploitation on children and young people.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 Objective 3: Evaluate public perception on children and young people who became involved in county lines in the UK.  </w:t>
            </w:r>
          </w:p>
          <w:p w:rsidR="00000000" w:rsidDel="00000000" w:rsidP="00000000" w:rsidRDefault="00000000" w:rsidRPr="00000000" w14:paraId="0000001E">
            <w:pPr>
              <w:rPr>
                <w:sz w:val="22"/>
                <w:szCs w:val="22"/>
              </w:rPr>
            </w:pPr>
            <w:r w:rsidDel="00000000" w:rsidR="00000000" w:rsidRPr="00000000">
              <w:rPr>
                <w:rtl w:val="0"/>
              </w:rPr>
            </w:r>
          </w:p>
          <w:p w:rsidR="00000000" w:rsidDel="00000000" w:rsidP="00000000" w:rsidRDefault="00000000" w:rsidRPr="00000000" w14:paraId="0000001F">
            <w:pPr>
              <w:jc w:val="both"/>
              <w:rPr>
                <w:sz w:val="22"/>
                <w:szCs w:val="22"/>
              </w:rPr>
            </w:pPr>
            <w:r w:rsidDel="00000000" w:rsidR="00000000" w:rsidRPr="00000000">
              <w:rPr>
                <w:rtl w:val="0"/>
              </w:rPr>
            </w:r>
          </w:p>
          <w:p w:rsidR="00000000" w:rsidDel="00000000" w:rsidP="00000000" w:rsidRDefault="00000000" w:rsidRPr="00000000" w14:paraId="00000020">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2">
            <w:pPr>
              <w:rPr>
                <w:b w:val="1"/>
                <w:sz w:val="22"/>
                <w:szCs w:val="22"/>
              </w:rPr>
            </w:pPr>
            <w:r w:rsidDel="00000000" w:rsidR="00000000" w:rsidRPr="00000000">
              <w:rPr>
                <w:b w:val="1"/>
                <w:sz w:val="22"/>
                <w:szCs w:val="22"/>
                <w:rtl w:val="0"/>
              </w:rPr>
              <w:t xml:space="preserve">THEORETICAL CONTEXT:</w:t>
            </w:r>
          </w:p>
          <w:p w:rsidR="00000000" w:rsidDel="00000000" w:rsidP="00000000" w:rsidRDefault="00000000" w:rsidRPr="00000000" w14:paraId="00000023">
            <w:pPr>
              <w:rPr>
                <w:sz w:val="22"/>
                <w:szCs w:val="22"/>
              </w:rPr>
            </w:pPr>
            <w:r w:rsidDel="00000000" w:rsidR="00000000" w:rsidRPr="00000000">
              <w:rPr>
                <w:sz w:val="22"/>
                <w:szCs w:val="22"/>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24">
            <w:pPr>
              <w:rPr>
                <w:sz w:val="22"/>
                <w:szCs w:val="22"/>
              </w:rPr>
            </w:pPr>
            <w:r w:rsidDel="00000000" w:rsidR="00000000" w:rsidRPr="00000000">
              <w:rPr>
                <w:sz w:val="22"/>
                <w:szCs w:val="22"/>
                <w:rtl w:val="0"/>
              </w:rPr>
              <w:t xml:space="preserve">more recent literature </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b w:val="1"/>
                <w:rtl w:val="0"/>
              </w:rPr>
              <w:t xml:space="preserve">THEORETICAL CONTEXT:</w:t>
            </w:r>
            <w:r w:rsidDel="00000000" w:rsidR="00000000" w:rsidRPr="00000000">
              <w:rPr>
                <w:rtl w:val="0"/>
              </w:rPr>
              <w:t xml:space="preserve">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Home Office (2023) describes county lines as being an organised crime organisation or “gang” usually involved in drug supply in one or more areas in the UK. These “gangs” operate using mobile phone lines which can make it difficult for police to identify the leaders (Home Office, 2023). To support this the National Crime agency (2018), explains the use of mobile phone lines to order and manage drugs into importing areas. County lines gangs are gangs which expand into smaller towns and cities coming from big cities in the UK such as London, utilising mobile phone lines to carry out their drug supply (Bonning and Cleaver, 2020). This can make it harder for police to arrest the leaders of the “gangs” as the leader will usually be in different cities to where the line is active.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highlight w:val="yellow"/>
              </w:rPr>
            </w:pPr>
            <w:r w:rsidDel="00000000" w:rsidR="00000000" w:rsidRPr="00000000">
              <w:rPr>
                <w:rtl w:val="0"/>
              </w:rPr>
              <w:t xml:space="preserve">Young people can become involved in these county lines gangs through uses of grooming and coercion. Children as young as 9 years old can be approached outside school gates and groomed into being involved in gangs and exploited. The role young people play in county lines is usually transporting money and drugs into one of the areas where they operate in (White, 2021). Also in addition, leaders of the county lines gangs will use intimidation tactics through psychological and physical harm including the use of sexual violence to coerce young and vulnerable people into performing criminal activity for their “gang” (National Crime Agency, 2018). Furthermore, offenders will take advantage of vulnerable people and take over the resident's home with intentions of having a “base” to deal from (Moyle, 2019). An example of how this affects young people in the UK is from a case in 2019. A 15-year-old orphan was taken from London to Swansea and forced to live in a “crack den”. He was coerced and exploited by Jerome Tarek, 20, to drug deal on behalf of the county lines gang. On one occasion the victim did not pay all the money he was meant to and received several threats (BBC, 2019). Tarek pleaded guilty to supplying class A drugs and an offence under the Modern Slavery Act (BBC, 2019). In addition to this the young people could be held by “debt bondage” which can also be passed down to friends and family members, causing the young people to “repay” their debt (Crown Prosecution Service, 2022). </w:t>
            </w: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As 65% of police forces in the UK have reported cases of exploitation involving young people it is evidently a problem in the UK (National Crime Agency, 2017). Wiltshire police, (cited in, Moyle, 2019), explained how there are movements towards understanding county lines and dealing with the young, vulnerable people as people who are exploited rather than suspects. However, this has not been used in practice as police forces still have a "zero tolerance" approach to dealing with low-level street dealers (Moyle, 2019). In addition to this, the police are not always able to recognise the risk, how vulnerable the young person is and how the offence can be linked to county lines (Pearson and Cavener, 2024). This can be interpreted as there being a lack of knowledge and training with police officers to deal with situations like this.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Shaw and Greenhow (2019), shows how young and vulnerable people can be perceived as criminals but some legislation can label them as victims. According to the Modern Slavery Act (2015), people can be identified as victims of extortion if the person is subject to sexual exploitation, if they are subject to use of force and threats and if the person is a child or a vulnerable person (UK Public General Acts, 2015). This piece of legislation is a positive move to better help and understand young people who become involved in county lines. Many organisations want to build on this existing legislation and recommend there being a specific offence for, “cuckooing” and to include a set definition for criminal exploitation in the Modern Slavery Act (2015) (The Centre for Social Justice, 2024).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jc w:val="center"/>
              <w:rPr/>
            </w:pPr>
            <w:r w:rsidDel="00000000" w:rsidR="00000000" w:rsidRPr="00000000">
              <w:rPr>
                <w:rtl w:val="0"/>
              </w:rPr>
              <w:t xml:space="preserve">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pPr>
            <w:r w:rsidDel="00000000" w:rsidR="00000000" w:rsidRPr="00000000">
              <w:rPr>
                <w:rtl w:val="0"/>
              </w:rPr>
              <w:t xml:space="preserve"> </w:t>
            </w:r>
          </w:p>
          <w:tbl>
            <w:tblPr>
              <w:tblStyle w:val="Table3"/>
              <w:tblW w:w="8865.0" w:type="dxa"/>
              <w:jc w:val="lef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8865"/>
              <w:tblGridChange w:id="0">
                <w:tblGrid>
                  <w:gridCol w:w="8865"/>
                </w:tblGrid>
              </w:tblGridChange>
            </w:tblGrid>
            <w:tr>
              <w:trPr>
                <w:cantSplit w:val="0"/>
                <w:trHeight w:val="2010" w:hRule="atLeast"/>
                <w:tblHeader w:val="0"/>
              </w:trPr>
              <w:tc>
                <w:tcPr>
                  <w:tcBorders>
                    <w:top w:color="000000" w:space="0" w:sz="0" w:val="nil"/>
                    <w:left w:color="000000" w:space="0" w:sz="0" w:val="nil"/>
                    <w:bottom w:color="000000" w:space="0" w:sz="0" w:val="nil"/>
                    <w:right w:color="000000" w:space="0" w:sz="0" w:val="nil"/>
                  </w:tcBorders>
                  <w:tcMar>
                    <w:top w:w="0.0" w:type="dxa"/>
                    <w:left w:w="0.0" w:type="dxa"/>
                    <w:bottom w:w="0.0" w:type="dxa"/>
                    <w:right w:w="0.0" w:type="dxa"/>
                  </w:tcMar>
                  <w:vAlign w:val="center"/>
                </w:tcPr>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after="280" w:before="280" w:lineRule="auto"/>
                    <w:rPr/>
                  </w:pPr>
                  <w:r w:rsidDel="00000000" w:rsidR="00000000" w:rsidRPr="00000000">
                    <w:rPr>
                      <w:rtl w:val="0"/>
                    </w:rPr>
                    <w:t xml:space="preserve">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after="280" w:before="280" w:lineRule="auto"/>
                    <w:jc w:val="both"/>
                    <w:rPr/>
                  </w:pPr>
                  <w:r w:rsidDel="00000000" w:rsidR="00000000" w:rsidRPr="00000000">
                    <w:rPr>
                      <w:rtl w:val="0"/>
                    </w:rPr>
                    <w:t xml:space="preserve">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after="280" w:before="280" w:lineRule="auto"/>
                    <w:jc w:val="both"/>
                    <w:rPr/>
                  </w:pPr>
                  <w:r w:rsidDel="00000000" w:rsidR="00000000" w:rsidRPr="00000000">
                    <w:rPr>
                      <w:rtl w:val="0"/>
                    </w:rPr>
                    <w:t xml:space="preserve"> </w:t>
                  </w:r>
                </w:p>
              </w:tc>
            </w:tr>
            <w:tr>
              <w:trPr>
                <w:cantSplit w:val="0"/>
                <w:trHeight w:val="3795" w:hRule="atLeast"/>
                <w:tblHeader w:val="0"/>
              </w:trPr>
              <w:tc>
                <w:tcPr>
                  <w:tcBorders>
                    <w:top w:color="000000" w:space="0" w:sz="0" w:val="nil"/>
                    <w:left w:color="000000" w:space="0" w:sz="0" w:val="nil"/>
                    <w:bottom w:color="000000" w:space="0" w:sz="0" w:val="nil"/>
                    <w:right w:color="000000" w:space="0" w:sz="0" w:val="nil"/>
                  </w:tcBorders>
                  <w:tcMar>
                    <w:top w:w="0.0" w:type="dxa"/>
                    <w:left w:w="0.0" w:type="dxa"/>
                    <w:bottom w:w="0.0" w:type="dxa"/>
                    <w:right w:w="0.0" w:type="dxa"/>
                  </w:tcMar>
                  <w:vAlign w:val="center"/>
                </w:tcPr>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pacing w:after="280" w:before="280" w:lineRule="auto"/>
                    <w:jc w:val="both"/>
                    <w:rPr/>
                  </w:pPr>
                  <w:r w:rsidDel="00000000" w:rsidR="00000000" w:rsidRPr="00000000">
                    <w:rPr>
                      <w:rtl w:val="0"/>
                    </w:rPr>
                  </w:r>
                </w:p>
              </w:tc>
            </w:tr>
          </w:tbl>
          <w:p w:rsidR="00000000" w:rsidDel="00000000" w:rsidP="00000000" w:rsidRDefault="00000000" w:rsidRPr="00000000" w14:paraId="00000031">
            <w:pPr>
              <w:rPr>
                <w:sz w:val="22"/>
                <w:szCs w:val="22"/>
              </w:rPr>
            </w:pPr>
            <w:r w:rsidDel="00000000" w:rsidR="00000000" w:rsidRPr="00000000">
              <w:rPr>
                <w:rtl w:val="0"/>
              </w:rPr>
            </w:r>
          </w:p>
          <w:p w:rsidR="00000000" w:rsidDel="00000000" w:rsidP="00000000" w:rsidRDefault="00000000" w:rsidRPr="00000000" w14:paraId="00000032">
            <w:pPr>
              <w:jc w:val="both"/>
              <w:rPr>
                <w:b w:val="1"/>
                <w:sz w:val="22"/>
                <w:szCs w:val="22"/>
              </w:rPr>
            </w:pPr>
            <w:r w:rsidDel="00000000" w:rsidR="00000000" w:rsidRPr="00000000">
              <w:rPr>
                <w:rtl w:val="0"/>
              </w:rPr>
            </w:r>
          </w:p>
          <w:p w:rsidR="00000000" w:rsidDel="00000000" w:rsidP="00000000" w:rsidRDefault="00000000" w:rsidRPr="00000000" w14:paraId="00000033">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5">
            <w:pPr>
              <w:rPr>
                <w:b w:val="1"/>
                <w:sz w:val="22"/>
                <w:szCs w:val="22"/>
              </w:rPr>
            </w:pPr>
            <w:r w:rsidDel="00000000" w:rsidR="00000000" w:rsidRPr="00000000">
              <w:rPr>
                <w:b w:val="1"/>
                <w:sz w:val="22"/>
                <w:szCs w:val="22"/>
                <w:rtl w:val="0"/>
              </w:rPr>
              <w:t xml:space="preserve">SUMMARY OF RESEARCH –SURVEY METHOD: </w:t>
            </w:r>
          </w:p>
          <w:p w:rsidR="00000000" w:rsidDel="00000000" w:rsidP="00000000" w:rsidRDefault="00000000" w:rsidRPr="00000000" w14:paraId="00000036">
            <w:pPr>
              <w:rPr>
                <w:sz w:val="22"/>
                <w:szCs w:val="22"/>
              </w:rPr>
            </w:pPr>
            <w:r w:rsidDel="00000000" w:rsidR="00000000" w:rsidRPr="00000000">
              <w:rPr>
                <w:sz w:val="22"/>
                <w:szCs w:val="22"/>
                <w:rtl w:val="0"/>
              </w:rPr>
              <w:t xml:space="preserve">Summary of qualitative or quantitative methods, and survey techniques being considered.</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after="280" w:before="280" w:lineRule="auto"/>
              <w:rPr>
                <w:sz w:val="22"/>
                <w:szCs w:val="22"/>
              </w:rPr>
            </w:pPr>
            <w:r w:rsidDel="00000000" w:rsidR="00000000" w:rsidRPr="00000000">
              <w:rPr>
                <w:rtl w:val="0"/>
              </w:rPr>
              <w:t xml:space="preserve">The research method this research project will use is a questionnaire. Using a questionnaire means the research can be easily distributed to get a large quantity of participants. As this is a research project on public perception I will be using qualitative methods to gather opinions from people but I will also include quantitative methods to identify overall trends of peoples opinions and perceptions of young people in county lines. The questionnaire will be available online using “google forms”. As this questionnaire is aimed at people over the age of 18, there will be a compulsory question identifying the participants' age group before the questionnaire. It will be distributed on social media using existing social media accounts. </w:t>
            </w:r>
            <w:r w:rsidDel="00000000" w:rsidR="00000000" w:rsidRPr="00000000">
              <w:rPr>
                <w:rtl w:val="0"/>
              </w:rPr>
            </w:r>
          </w:p>
          <w:p w:rsidR="00000000" w:rsidDel="00000000" w:rsidP="00000000" w:rsidRDefault="00000000" w:rsidRPr="00000000" w14:paraId="00000038">
            <w:pPr>
              <w:rPr>
                <w:sz w:val="22"/>
                <w:szCs w:val="22"/>
              </w:rPr>
            </w:pPr>
            <w:r w:rsidDel="00000000" w:rsidR="00000000" w:rsidRPr="00000000">
              <w:rPr>
                <w:sz w:val="22"/>
                <w:szCs w:val="22"/>
                <w:rtl w:val="0"/>
              </w:rPr>
              <w:t xml:space="preserve"> </w:t>
            </w:r>
          </w:p>
          <w:p w:rsidR="00000000" w:rsidDel="00000000" w:rsidP="00000000" w:rsidRDefault="00000000" w:rsidRPr="00000000" w14:paraId="00000039">
            <w:pPr>
              <w:jc w:val="both"/>
              <w:rPr>
                <w:rFonts w:ascii="Calibri" w:cs="Calibri" w:eastAsia="Calibri" w:hAnsi="Calibri"/>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B">
            <w:pPr>
              <w:rPr>
                <w:rFonts w:ascii="Calibri" w:cs="Calibri" w:eastAsia="Calibri" w:hAnsi="Calibri"/>
                <w:sz w:val="22"/>
                <w:szCs w:val="22"/>
              </w:rPr>
            </w:pPr>
            <w:r w:rsidDel="00000000" w:rsidR="00000000" w:rsidRPr="00000000">
              <w:rPr>
                <w:b w:val="1"/>
                <w:sz w:val="22"/>
                <w:szCs w:val="22"/>
                <w:rtl w:val="0"/>
              </w:rPr>
              <w:t xml:space="preserve">SUMMARY OF SAMPLING FRAMEWORK:</w:t>
            </w: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3C">
            <w:pPr>
              <w:rPr>
                <w:rFonts w:ascii="Calibri" w:cs="Calibri" w:eastAsia="Calibri" w:hAnsi="Calibri"/>
                <w:sz w:val="22"/>
                <w:szCs w:val="22"/>
              </w:rPr>
            </w:pPr>
            <w:r w:rsidDel="00000000" w:rsidR="00000000" w:rsidRPr="00000000">
              <w:rPr>
                <w:sz w:val="22"/>
                <w:szCs w:val="22"/>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Del="00000000" w:rsidR="00000000" w:rsidRPr="00000000">
              <w:rPr>
                <w:rtl w:val="0"/>
              </w:rPr>
            </w:r>
          </w:p>
          <w:p w:rsidR="00000000" w:rsidDel="00000000" w:rsidP="00000000" w:rsidRDefault="00000000" w:rsidRPr="00000000" w14:paraId="0000003D">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E">
            <w:pPr>
              <w:jc w:val="both"/>
              <w:rPr>
                <w:rFonts w:ascii="Calibri" w:cs="Calibri" w:eastAsia="Calibri" w:hAnsi="Calibri"/>
                <w:sz w:val="22"/>
                <w:szCs w:val="22"/>
              </w:rPr>
            </w:pPr>
            <w:r w:rsidDel="00000000" w:rsidR="00000000" w:rsidRPr="00000000">
              <w:rPr>
                <w:highlight w:val="white"/>
                <w:rtl w:val="0"/>
              </w:rPr>
              <w:t xml:space="preserve">This research project is focused on the public perceptions of young offenders involved in county lines. Therefore the sample I will be using will be from a general questionnaire to members of the public, over the age of 18, to gather their thoughts and opinions. The questionnaire will be asked to people in Swansea through existing social media accounts. </w:t>
            </w:r>
            <w:r w:rsidDel="00000000" w:rsidR="00000000" w:rsidRPr="00000000">
              <w:rPr>
                <w:rtl w:val="0"/>
              </w:rPr>
            </w:r>
          </w:p>
          <w:p w:rsidR="00000000" w:rsidDel="00000000" w:rsidP="00000000" w:rsidRDefault="00000000" w:rsidRPr="00000000" w14:paraId="0000003F">
            <w:pPr>
              <w:jc w:val="both"/>
              <w:rPr>
                <w:rFonts w:ascii="Calibri" w:cs="Calibri" w:eastAsia="Calibri" w:hAnsi="Calibri"/>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41">
            <w:pPr>
              <w:jc w:val="both"/>
              <w:rPr>
                <w:b w:val="1"/>
                <w:sz w:val="22"/>
                <w:szCs w:val="22"/>
              </w:rPr>
            </w:pPr>
            <w:r w:rsidDel="00000000" w:rsidR="00000000" w:rsidRPr="00000000">
              <w:rPr>
                <w:b w:val="1"/>
                <w:sz w:val="22"/>
                <w:szCs w:val="22"/>
                <w:rtl w:val="0"/>
              </w:rPr>
              <w:t xml:space="preserve">INITIAL REFERENCE LIST:</w:t>
            </w:r>
          </w:p>
          <w:p w:rsidR="00000000" w:rsidDel="00000000" w:rsidP="00000000" w:rsidRDefault="00000000" w:rsidRPr="00000000" w14:paraId="00000042">
            <w:pPr>
              <w:jc w:val="both"/>
              <w:rPr>
                <w:sz w:val="22"/>
                <w:szCs w:val="22"/>
              </w:rPr>
            </w:pPr>
            <w:r w:rsidDel="00000000" w:rsidR="00000000" w:rsidRPr="00000000">
              <w:rPr>
                <w:sz w:val="22"/>
                <w:szCs w:val="22"/>
                <w:rtl w:val="0"/>
              </w:rPr>
              <w:t xml:space="preserve">Please follow the Harvard referencing system</w:t>
            </w:r>
          </w:p>
          <w:p w:rsidR="00000000" w:rsidDel="00000000" w:rsidP="00000000" w:rsidRDefault="00000000" w:rsidRPr="00000000" w14:paraId="00000043">
            <w:pPr>
              <w:pStyle w:val="Heading1"/>
              <w:keepNext w:val="0"/>
              <w:spacing w:after="360" w:before="0" w:line="360" w:lineRule="auto"/>
              <w:ind w:right="0"/>
              <w:rPr>
                <w:rFonts w:ascii="Times New Roman" w:cs="Times New Roman" w:eastAsia="Times New Roman" w:hAnsi="Times New Roman"/>
                <w:i w:val="1"/>
                <w:sz w:val="36"/>
                <w:szCs w:val="36"/>
              </w:rPr>
            </w:pPr>
            <w:bookmarkStart w:colFirst="0" w:colLast="0" w:name="_heading=h.ebrpk8qpr1lu" w:id="1"/>
            <w:bookmarkEnd w:id="1"/>
            <w:r w:rsidDel="00000000" w:rsidR="00000000" w:rsidRPr="00000000">
              <w:rPr>
                <w:rtl w:val="0"/>
              </w:rPr>
            </w:r>
          </w:p>
          <w:p w:rsidR="00000000" w:rsidDel="00000000" w:rsidP="00000000" w:rsidRDefault="00000000" w:rsidRPr="00000000" w14:paraId="00000044">
            <w:pPr>
              <w:spacing w:after="240" w:line="360" w:lineRule="auto"/>
              <w:ind w:right="0"/>
              <w:rPr/>
            </w:pPr>
            <w:r w:rsidDel="00000000" w:rsidR="00000000" w:rsidRPr="00000000">
              <w:rPr>
                <w:rtl w:val="0"/>
              </w:rPr>
              <w:t xml:space="preserve">BBC (2019). County Lines: London drugs gang in Swansea jailed. BBC News. [online] 24 Jan. Available at: https://www.bbc.co.uk/news/uk-wales-46980497.</w:t>
            </w:r>
          </w:p>
          <w:p w:rsidR="00000000" w:rsidDel="00000000" w:rsidP="00000000" w:rsidRDefault="00000000" w:rsidRPr="00000000" w14:paraId="00000045">
            <w:pPr>
              <w:spacing w:after="240" w:line="360" w:lineRule="auto"/>
              <w:ind w:right="0"/>
              <w:rPr/>
            </w:pPr>
            <w:r w:rsidDel="00000000" w:rsidR="00000000" w:rsidRPr="00000000">
              <w:rPr>
                <w:rtl w:val="0"/>
              </w:rPr>
              <w:t xml:space="preserve">Bonning, J. and Cleaver, K. (2020). ‘There is no “war on drugs”’: An investigation into county line drug networks from the perspective of a London borough. The Police Journal: Theory, Practice and Principles, [online] 94(4), p.0032258X2095668. doi:https://doi.org/10.1177/0032258x20956682.</w:t>
            </w:r>
          </w:p>
          <w:p w:rsidR="00000000" w:rsidDel="00000000" w:rsidP="00000000" w:rsidRDefault="00000000" w:rsidRPr="00000000" w14:paraId="00000046">
            <w:pPr>
              <w:spacing w:after="240" w:line="360" w:lineRule="auto"/>
              <w:ind w:right="0"/>
              <w:rPr/>
            </w:pPr>
            <w:r w:rsidDel="00000000" w:rsidR="00000000" w:rsidRPr="00000000">
              <w:rPr>
                <w:rtl w:val="0"/>
              </w:rPr>
              <w:t xml:space="preserve">Crown Prosecution Service (2022). County Lines Offending | the Crown Prosecution Service. [online] www.cps.gov.uk. Available at: https://www.cps.gov.uk/legal-guidance/county-lines-offending.</w:t>
            </w:r>
          </w:p>
          <w:p w:rsidR="00000000" w:rsidDel="00000000" w:rsidP="00000000" w:rsidRDefault="00000000" w:rsidRPr="00000000" w14:paraId="00000047">
            <w:pPr>
              <w:spacing w:after="240" w:line="360" w:lineRule="auto"/>
              <w:ind w:right="0"/>
              <w:rPr/>
            </w:pPr>
            <w:r w:rsidDel="00000000" w:rsidR="00000000" w:rsidRPr="00000000">
              <w:rPr>
                <w:rtl w:val="0"/>
              </w:rPr>
              <w:t xml:space="preserve">Firmin, C.E., Wroe, L. and Lloyd, J. (2019). Safeguarding and exploitation - complex, contextual and holistic approaches: strategic briefing. [online] uobrep.openrepository.com. Available at: https://uobrep.openrepository.com/handle/10547/624866.</w:t>
            </w:r>
          </w:p>
          <w:p w:rsidR="00000000" w:rsidDel="00000000" w:rsidP="00000000" w:rsidRDefault="00000000" w:rsidRPr="00000000" w14:paraId="00000048">
            <w:pPr>
              <w:spacing w:after="240" w:line="360" w:lineRule="auto"/>
              <w:ind w:right="0"/>
              <w:rPr/>
            </w:pPr>
            <w:r w:rsidDel="00000000" w:rsidR="00000000" w:rsidRPr="00000000">
              <w:rPr>
                <w:rtl w:val="0"/>
              </w:rPr>
              <w:t xml:space="preserve">Home Office (2023). County Lines Programme Overview. [online] GOV.UK. Available at: https://www.gov.uk/government/publications/county-lines-programme/county-lines-programme-overview.</w:t>
            </w:r>
          </w:p>
          <w:p w:rsidR="00000000" w:rsidDel="00000000" w:rsidP="00000000" w:rsidRDefault="00000000" w:rsidRPr="00000000" w14:paraId="00000049">
            <w:pPr>
              <w:spacing w:after="240" w:line="360" w:lineRule="auto"/>
              <w:ind w:right="0"/>
              <w:rPr/>
            </w:pPr>
            <w:r w:rsidDel="00000000" w:rsidR="00000000" w:rsidRPr="00000000">
              <w:rPr>
                <w:rtl w:val="0"/>
              </w:rPr>
              <w:t xml:space="preserve">Moyle, L. (2019). Situating Vulnerability and Exploitation in Street-Level Drug Markets: Cuckooing, Commuting, and the ‘County Lines’ Drug Supply Model. Journal of Drug Issues, 49(4), pp.739–755.</w:t>
            </w:r>
          </w:p>
          <w:p w:rsidR="00000000" w:rsidDel="00000000" w:rsidP="00000000" w:rsidRDefault="00000000" w:rsidRPr="00000000" w14:paraId="0000004A">
            <w:pPr>
              <w:spacing w:after="240" w:line="360" w:lineRule="auto"/>
              <w:ind w:right="0"/>
              <w:rPr/>
            </w:pPr>
            <w:r w:rsidDel="00000000" w:rsidR="00000000" w:rsidRPr="00000000">
              <w:rPr>
                <w:rtl w:val="0"/>
              </w:rPr>
              <w:t xml:space="preserve">National Crime Agency (2017). County Lines Violence, Exploitation &amp; Drug Supply 2017 National Briefing Report. [online] Available at: https://nationalcrimeagency.gov.uk/who-we-are/publications/234-county-lines-violen-ce-exploitation-drug-supply-2017/file.</w:t>
            </w:r>
          </w:p>
          <w:p w:rsidR="00000000" w:rsidDel="00000000" w:rsidP="00000000" w:rsidRDefault="00000000" w:rsidRPr="00000000" w14:paraId="0000004B">
            <w:pPr>
              <w:spacing w:after="240" w:line="360" w:lineRule="auto"/>
              <w:ind w:right="0"/>
              <w:rPr/>
            </w:pPr>
            <w:r w:rsidDel="00000000" w:rsidR="00000000" w:rsidRPr="00000000">
              <w:rPr>
                <w:rtl w:val="0"/>
              </w:rPr>
              <w:t xml:space="preserve">National Crime Agency (2018). County Lines - National Crime Agency. [online] Nationalcrimeagency.gov.uk. Available at: https://nationalcrimeagency.gov.uk/what-we-do/crime-threats/drug-trafficking/county-lines.</w:t>
            </w:r>
          </w:p>
          <w:p w:rsidR="00000000" w:rsidDel="00000000" w:rsidP="00000000" w:rsidRDefault="00000000" w:rsidRPr="00000000" w14:paraId="0000004C">
            <w:pPr>
              <w:spacing w:after="240" w:line="360" w:lineRule="auto"/>
              <w:ind w:right="0"/>
              <w:rPr/>
            </w:pPr>
            <w:r w:rsidDel="00000000" w:rsidR="00000000" w:rsidRPr="00000000">
              <w:rPr>
                <w:rtl w:val="0"/>
              </w:rPr>
              <w:t xml:space="preserve">Pearson, J. and Cavener, J. (2024). Professionals’ understanding of the County Lines phenomenon: Insights from a study exploring the perceptions of young peoples’ supported accommodation staff. Children and Youth Services Review, [online] 156, p.107331. doi:https://doi.org/10.1016/j.childyouth.2023.107331.</w:t>
            </w:r>
          </w:p>
          <w:p w:rsidR="00000000" w:rsidDel="00000000" w:rsidP="00000000" w:rsidRDefault="00000000" w:rsidRPr="00000000" w14:paraId="0000004D">
            <w:pPr>
              <w:spacing w:after="240" w:line="360" w:lineRule="auto"/>
              <w:ind w:right="0"/>
              <w:rPr/>
            </w:pPr>
            <w:r w:rsidDel="00000000" w:rsidR="00000000" w:rsidRPr="00000000">
              <w:rPr>
                <w:rtl w:val="0"/>
              </w:rPr>
              <w:t xml:space="preserve">Shaw, J. and Greenhow, S. (2019). Children in Care: Exploitation, Offending and the Denial of Victimhood in a Prosecution-led Culture of Practice. The British Journal of Social Work, 50(5), pp.1551–1569. doi:https://doi.org/10.1093/bjsw/bcz137.</w:t>
            </w:r>
          </w:p>
          <w:p w:rsidR="00000000" w:rsidDel="00000000" w:rsidP="00000000" w:rsidRDefault="00000000" w:rsidRPr="00000000" w14:paraId="0000004E">
            <w:pPr>
              <w:spacing w:after="240" w:line="360" w:lineRule="auto"/>
              <w:ind w:right="0"/>
              <w:rPr/>
            </w:pPr>
            <w:r w:rsidDel="00000000" w:rsidR="00000000" w:rsidRPr="00000000">
              <w:rPr>
                <w:rtl w:val="0"/>
              </w:rPr>
              <w:t xml:space="preserve">The Centre for Social Justice (2024). Criminal exploitation: Modern slavery by another name. [online] The Centre for Social Justice. Available at: https://www.centreforsocialjustice.org.uk/library/criminal-exploitation#:~:text=Yet%20the%20most%20prevalent%20form%20of%20modern%20slavery [Accessed 16 Apr. 2024].</w:t>
            </w:r>
          </w:p>
          <w:p w:rsidR="00000000" w:rsidDel="00000000" w:rsidP="00000000" w:rsidRDefault="00000000" w:rsidRPr="00000000" w14:paraId="0000004F">
            <w:pPr>
              <w:spacing w:after="240" w:line="360" w:lineRule="auto"/>
              <w:ind w:right="0"/>
              <w:rPr/>
            </w:pPr>
            <w:r w:rsidDel="00000000" w:rsidR="00000000" w:rsidRPr="00000000">
              <w:rPr>
                <w:rtl w:val="0"/>
              </w:rPr>
              <w:t xml:space="preserve">UK Public General Acts (2015). Modern Slavery Act 2015. [online] Legislation.gov.uk. Available at: https://www.legislation.gov.uk/ukpga/2015/30/section/3/enacted.</w:t>
            </w:r>
          </w:p>
          <w:p w:rsidR="00000000" w:rsidDel="00000000" w:rsidP="00000000" w:rsidRDefault="00000000" w:rsidRPr="00000000" w14:paraId="00000050">
            <w:pPr>
              <w:spacing w:after="240" w:line="360" w:lineRule="auto"/>
              <w:ind w:right="0"/>
              <w:rPr/>
            </w:pPr>
            <w:r w:rsidDel="00000000" w:rsidR="00000000" w:rsidRPr="00000000">
              <w:rPr>
                <w:rtl w:val="0"/>
              </w:rPr>
              <w:t xml:space="preserve">White, N. (2021). Explained: What ‘County Lines’ Is And How It Works. [online] HuffPost UK. Available at: https://www.huffingtonpost.co.uk/entry/county-lines-how-drug-dealing-works-in-uk_uk_6033d072c5b66da5dba32b2c.</w:t>
            </w:r>
          </w:p>
          <w:p w:rsidR="00000000" w:rsidDel="00000000" w:rsidP="00000000" w:rsidRDefault="00000000" w:rsidRPr="00000000" w14:paraId="00000051">
            <w:pPr>
              <w:spacing w:after="240" w:line="360" w:lineRule="auto"/>
              <w:ind w:right="0"/>
              <w:rPr/>
            </w:pPr>
            <w:r w:rsidDel="00000000" w:rsidR="00000000" w:rsidRPr="00000000">
              <w:rPr>
                <w:rtl w:val="0"/>
              </w:rPr>
              <w:t xml:space="preserve">Windle, J., Moyle, L. and Coomber, R. (2020). ‘Vulnerable’ Kids Going Country: Children and Young People’s Involvement in County Lines Drug Dealing. Youth Justice, [online] 20(1-2), pp.64–78. Available at: https://journals.sagepub.com/doi/10.1177/1473225420902840.</w:t>
            </w:r>
          </w:p>
          <w:p w:rsidR="00000000" w:rsidDel="00000000" w:rsidP="00000000" w:rsidRDefault="00000000" w:rsidRPr="00000000" w14:paraId="00000052">
            <w:pPr>
              <w:jc w:val="both"/>
              <w:rPr>
                <w:rFonts w:ascii="Calibri" w:cs="Calibri" w:eastAsia="Calibri" w:hAnsi="Calibri"/>
                <w:i w:val="1"/>
                <w:sz w:val="22"/>
                <w:szCs w:val="22"/>
              </w:rPr>
            </w:pPr>
            <w:r w:rsidDel="00000000" w:rsidR="00000000" w:rsidRPr="00000000">
              <w:rPr>
                <w:rtl w:val="0"/>
              </w:rPr>
            </w:r>
          </w:p>
          <w:p w:rsidR="00000000" w:rsidDel="00000000" w:rsidP="00000000" w:rsidRDefault="00000000" w:rsidRPr="00000000" w14:paraId="00000053">
            <w:pPr>
              <w:jc w:val="both"/>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55">
      <w:pPr>
        <w:jc w:val="both"/>
        <w:rPr>
          <w:rFonts w:ascii="Calibri" w:cs="Calibri" w:eastAsia="Calibri" w:hAnsi="Calibri"/>
          <w:b w:val="1"/>
          <w:sz w:val="22"/>
          <w:szCs w:val="22"/>
        </w:rPr>
      </w:pPr>
      <w:r w:rsidDel="00000000" w:rsidR="00000000" w:rsidRPr="00000000">
        <w:rPr>
          <w:rtl w:val="0"/>
        </w:rPr>
      </w:r>
    </w:p>
    <w:sectPr>
      <w:footerReference r:id="rId9" w:type="firs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center"/>
      <w:rPr>
        <w:rFonts w:ascii="Arial" w:cs="Arial" w:eastAsia="Arial" w:hAnsi="Arial"/>
        <w:b w:val="0"/>
        <w:i w:val="0"/>
        <w:smallCaps w:val="0"/>
        <w:strike w:val="0"/>
        <w:color w:val="000000"/>
        <w:sz w:val="10"/>
        <w:szCs w:val="1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10"/>
        <w:szCs w:val="10"/>
        <w:u w:val="none"/>
        <w:shd w:fill="auto" w:val="clear"/>
        <w:vertAlign w:val="baseline"/>
        <w:rtl w:val="0"/>
      </w:rPr>
      <w:tab/>
      <w:tab/>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32"/>
      <w:szCs w:val="32"/>
    </w:rPr>
  </w:style>
  <w:style w:type="paragraph" w:styleId="Heading2">
    <w:name w:val="heading 2"/>
    <w:basedOn w:val="Normal"/>
    <w:next w:val="Normal"/>
    <w:pPr>
      <w:keepNext w:val="1"/>
      <w:spacing w:after="60" w:before="240" w:lineRule="auto"/>
    </w:pPr>
    <w:rPr>
      <w:b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color w:val="4f81bd"/>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630" w:right="-616"/>
    </w:pPr>
    <w:rPr>
      <w:b w:val="1"/>
      <w:i w:val="1"/>
      <w:sz w:val="28"/>
      <w:szCs w:val="28"/>
      <w:u w:val="single"/>
    </w:rPr>
  </w:style>
  <w:style w:type="paragraph" w:styleId="Heading6">
    <w:name w:val="heading 6"/>
    <w:basedOn w:val="Normal"/>
    <w:next w:val="Normal"/>
    <w:pPr>
      <w:spacing w:after="60" w:before="240" w:lineRule="auto"/>
    </w:pPr>
    <w:rPr>
      <w:b w:val="1"/>
      <w:sz w:val="22"/>
      <w:szCs w:val="22"/>
    </w:rPr>
  </w:style>
  <w:style w:type="paragraph" w:styleId="Title">
    <w:name w:val="Title"/>
    <w:basedOn w:val="Normal"/>
    <w:next w:val="Normal"/>
    <w:pPr>
      <w:jc w:val="center"/>
    </w:pPr>
    <w:rPr>
      <w:b w:val="1"/>
    </w:rPr>
  </w:style>
  <w:style w:type="paragraph" w:styleId="Normal" w:default="1">
    <w:name w:val="Normal"/>
    <w:qFormat w:val="1"/>
    <w:rsid w:val="00F65000"/>
    <w:rPr>
      <w:rFonts w:ascii="Arial" w:hAnsi="Arial"/>
      <w:sz w:val="24"/>
      <w:lang w:eastAsia="en-US"/>
    </w:rPr>
  </w:style>
  <w:style w:type="paragraph" w:styleId="Heading1">
    <w:name w:val="heading 1"/>
    <w:basedOn w:val="Normal"/>
    <w:next w:val="Normal"/>
    <w:link w:val="Heading1Char"/>
    <w:uiPriority w:val="99"/>
    <w:qFormat w:val="1"/>
    <w:rsid w:val="00A01FCE"/>
    <w:pPr>
      <w:keepNext w:val="1"/>
      <w:spacing w:after="60" w:before="240"/>
      <w:outlineLvl w:val="0"/>
    </w:pPr>
    <w:rPr>
      <w:rFonts w:cs="Arial"/>
      <w:b w:val="1"/>
      <w:bCs w:val="1"/>
      <w:kern w:val="32"/>
      <w:sz w:val="32"/>
      <w:szCs w:val="32"/>
    </w:rPr>
  </w:style>
  <w:style w:type="paragraph" w:styleId="Heading2">
    <w:name w:val="heading 2"/>
    <w:basedOn w:val="Normal"/>
    <w:next w:val="Normal"/>
    <w:link w:val="Heading2Char"/>
    <w:uiPriority w:val="9"/>
    <w:qFormat w:val="1"/>
    <w:rsid w:val="00680B0E"/>
    <w:pPr>
      <w:keepNext w:val="1"/>
      <w:spacing w:after="60" w:before="240"/>
      <w:outlineLvl w:val="1"/>
    </w:pPr>
    <w:rPr>
      <w:rFonts w:cs="Arial"/>
      <w:b w:val="1"/>
      <w:bCs w:val="1"/>
      <w:iCs w:val="1"/>
      <w:sz w:val="28"/>
      <w:szCs w:val="28"/>
    </w:rPr>
  </w:style>
  <w:style w:type="paragraph" w:styleId="Heading3">
    <w:name w:val="heading 3"/>
    <w:basedOn w:val="Normal"/>
    <w:next w:val="Normal"/>
    <w:link w:val="Heading3Char"/>
    <w:semiHidden w:val="1"/>
    <w:unhideWhenUsed w:val="1"/>
    <w:qFormat w:val="1"/>
    <w:rsid w:val="008B2529"/>
    <w:pPr>
      <w:keepNext w:val="1"/>
      <w:keepLines w:val="1"/>
      <w:spacing w:before="200"/>
      <w:outlineLvl w:val="2"/>
    </w:pPr>
    <w:rPr>
      <w:rFonts w:ascii="Cambria" w:hAnsi="Cambria"/>
      <w:b w:val="1"/>
      <w:bCs w:val="1"/>
      <w:color w:val="4f81bd"/>
    </w:rPr>
  </w:style>
  <w:style w:type="paragraph" w:styleId="Heading4">
    <w:name w:val="heading 4"/>
    <w:basedOn w:val="Normal"/>
    <w:next w:val="Normal"/>
    <w:link w:val="Heading4Char"/>
    <w:uiPriority w:val="99"/>
    <w:qFormat w:val="1"/>
    <w:rsid w:val="00B20215"/>
    <w:pPr>
      <w:keepNext w:val="1"/>
      <w:spacing w:after="60" w:before="240"/>
      <w:outlineLvl w:val="3"/>
    </w:pPr>
    <w:rPr>
      <w:b w:val="1"/>
      <w:bCs w:val="1"/>
      <w:sz w:val="28"/>
      <w:szCs w:val="28"/>
    </w:rPr>
  </w:style>
  <w:style w:type="paragraph" w:styleId="Heading5">
    <w:name w:val="heading 5"/>
    <w:basedOn w:val="Normal"/>
    <w:next w:val="Normal"/>
    <w:link w:val="Heading5Char"/>
    <w:uiPriority w:val="9"/>
    <w:qFormat w:val="1"/>
    <w:rsid w:val="00A01FCE"/>
    <w:pPr>
      <w:keepNext w:v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val="1"/>
      <w:i w:val="1"/>
      <w:sz w:val="28"/>
      <w:u w:val="single"/>
    </w:rPr>
  </w:style>
  <w:style w:type="paragraph" w:styleId="Heading6">
    <w:name w:val="heading 6"/>
    <w:basedOn w:val="Normal"/>
    <w:next w:val="Normal"/>
    <w:link w:val="Heading6Char"/>
    <w:uiPriority w:val="9"/>
    <w:qFormat w:val="1"/>
    <w:rsid w:val="00663786"/>
    <w:pPr>
      <w:spacing w:after="60" w:before="240"/>
      <w:outlineLvl w:val="5"/>
    </w:pPr>
    <w:rPr>
      <w:b w:val="1"/>
      <w:bCs w:val="1"/>
      <w:sz w:val="22"/>
      <w:szCs w:val="22"/>
    </w:rPr>
  </w:style>
  <w:style w:type="paragraph" w:styleId="Heading7">
    <w:name w:val="heading 7"/>
    <w:aliases w:val="Sub heading"/>
    <w:basedOn w:val="Normal"/>
    <w:next w:val="Normal"/>
    <w:link w:val="Heading7Char"/>
    <w:uiPriority w:val="99"/>
    <w:qFormat w:val="1"/>
    <w:rsid w:val="00940A08"/>
    <w:pPr>
      <w:numPr>
        <w:ilvl w:val="1"/>
        <w:numId w:val="10"/>
      </w:numPr>
      <w:spacing w:before="240"/>
      <w:outlineLvl w:val="6"/>
    </w:pPr>
    <w:rPr>
      <w:rFonts w:cs="Arial"/>
      <w:b w:val="1"/>
      <w:bCs w:val="1"/>
      <w:sz w:val="22"/>
      <w:szCs w:val="22"/>
      <w:lang w:eastAsia="en-GB"/>
    </w:rPr>
  </w:style>
  <w:style w:type="paragraph" w:styleId="Heading8">
    <w:name w:val="heading 8"/>
    <w:basedOn w:val="Normal"/>
    <w:next w:val="Normal"/>
    <w:link w:val="Heading8Char"/>
    <w:uiPriority w:val="9"/>
    <w:qFormat w:val="1"/>
    <w:rsid w:val="00A01FCE"/>
    <w:pPr>
      <w:keepNext w:val="1"/>
      <w:jc w:val="center"/>
      <w:outlineLvl w:val="7"/>
    </w:pPr>
    <w:rPr>
      <w:b w:val="1"/>
      <w:sz w:val="4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8E4A17"/>
    <w:rPr>
      <w:rFonts w:ascii="Cambria" w:cs="Times New Roman" w:eastAsia="Times New Roman" w:hAnsi="Cambria"/>
      <w:b w:val="1"/>
      <w:bCs w:val="1"/>
      <w:kern w:val="32"/>
      <w:sz w:val="32"/>
      <w:szCs w:val="32"/>
      <w:lang w:eastAsia="en-US"/>
    </w:rPr>
  </w:style>
  <w:style w:type="character" w:styleId="Heading2Char" w:customStyle="1">
    <w:name w:val="Heading 2 Char"/>
    <w:link w:val="Heading2"/>
    <w:uiPriority w:val="9"/>
    <w:rsid w:val="00680B0E"/>
    <w:rPr>
      <w:rFonts w:ascii="Arial" w:cs="Arial" w:hAnsi="Arial"/>
      <w:b w:val="1"/>
      <w:bCs w:val="1"/>
      <w:iCs w:val="1"/>
      <w:sz w:val="28"/>
      <w:szCs w:val="28"/>
      <w:lang w:eastAsia="en-US"/>
    </w:rPr>
  </w:style>
  <w:style w:type="character" w:styleId="Heading4Char" w:customStyle="1">
    <w:name w:val="Heading 4 Char"/>
    <w:link w:val="Heading4"/>
    <w:uiPriority w:val="99"/>
    <w:semiHidden w:val="1"/>
    <w:rsid w:val="008E4A17"/>
    <w:rPr>
      <w:rFonts w:ascii="Calibri" w:cs="Times New Roman" w:eastAsia="Times New Roman" w:hAnsi="Calibri"/>
      <w:b w:val="1"/>
      <w:bCs w:val="1"/>
      <w:sz w:val="28"/>
      <w:szCs w:val="28"/>
      <w:lang w:eastAsia="en-US"/>
    </w:rPr>
  </w:style>
  <w:style w:type="character" w:styleId="Heading5Char" w:customStyle="1">
    <w:name w:val="Heading 5 Char"/>
    <w:link w:val="Heading5"/>
    <w:uiPriority w:val="9"/>
    <w:semiHidden w:val="1"/>
    <w:rsid w:val="008E4A17"/>
    <w:rPr>
      <w:rFonts w:ascii="Calibri" w:cs="Times New Roman" w:eastAsia="Times New Roman" w:hAnsi="Calibri"/>
      <w:b w:val="1"/>
      <w:bCs w:val="1"/>
      <w:i w:val="1"/>
      <w:iCs w:val="1"/>
      <w:sz w:val="26"/>
      <w:szCs w:val="26"/>
      <w:lang w:eastAsia="en-US"/>
    </w:rPr>
  </w:style>
  <w:style w:type="character" w:styleId="Heading6Char" w:customStyle="1">
    <w:name w:val="Heading 6 Char"/>
    <w:link w:val="Heading6"/>
    <w:uiPriority w:val="9"/>
    <w:semiHidden w:val="1"/>
    <w:rsid w:val="008E4A17"/>
    <w:rPr>
      <w:rFonts w:ascii="Calibri" w:cs="Times New Roman" w:eastAsia="Times New Roman" w:hAnsi="Calibri"/>
      <w:b w:val="1"/>
      <w:bCs w:val="1"/>
      <w:sz w:val="22"/>
      <w:szCs w:val="22"/>
      <w:lang w:eastAsia="en-US"/>
    </w:rPr>
  </w:style>
  <w:style w:type="character" w:styleId="Heading8Char" w:customStyle="1">
    <w:name w:val="Heading 8 Char"/>
    <w:link w:val="Heading8"/>
    <w:uiPriority w:val="9"/>
    <w:semiHidden w:val="1"/>
    <w:rsid w:val="008E4A17"/>
    <w:rPr>
      <w:rFonts w:ascii="Calibri" w:cs="Times New Roman" w:eastAsia="Times New Roman" w:hAnsi="Calibri"/>
      <w:i w:val="1"/>
      <w:iCs w:val="1"/>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styleId="FooterChar" w:customStyle="1">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styleId="HeaderChar" w:customStyle="1">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styleId="BodyTextChar" w:customStyle="1">
    <w:name w:val="Body Text Char"/>
    <w:link w:val="BodyText"/>
    <w:uiPriority w:val="99"/>
    <w:rsid w:val="008E4A17"/>
    <w:rPr>
      <w:sz w:val="24"/>
      <w:lang w:eastAsia="en-US"/>
    </w:rPr>
  </w:style>
  <w:style w:type="paragraph" w:styleId="t3" w:customStyle="1">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styleId="BodyText2Char" w:customStyle="1">
    <w:name w:val="Body Text 2 Char"/>
    <w:link w:val="BodyText2"/>
    <w:uiPriority w:val="99"/>
    <w:semiHidden w:val="1"/>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3">
    <w:name w:val="Body Text 3"/>
    <w:basedOn w:val="Normal"/>
    <w:link w:val="BodyText3Char"/>
    <w:uiPriority w:val="99"/>
    <w:rsid w:val="00E939AC"/>
    <w:pPr>
      <w:spacing w:after="120"/>
    </w:pPr>
    <w:rPr>
      <w:sz w:val="16"/>
      <w:szCs w:val="16"/>
    </w:rPr>
  </w:style>
  <w:style w:type="character" w:styleId="BodyText3Char" w:customStyle="1">
    <w:name w:val="Body Text 3 Char"/>
    <w:link w:val="BodyText3"/>
    <w:uiPriority w:val="99"/>
    <w:semiHidden w:val="1"/>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styleId="BodyTextIndent2Char" w:customStyle="1">
    <w:name w:val="Body Text Indent 2 Char"/>
    <w:link w:val="BodyTextIndent2"/>
    <w:uiPriority w:val="99"/>
    <w:semiHidden w:val="1"/>
    <w:rsid w:val="008E4A17"/>
    <w:rPr>
      <w:sz w:val="24"/>
      <w:lang w:eastAsia="en-US"/>
    </w:rPr>
  </w:style>
  <w:style w:type="paragraph" w:styleId="Default" w:customStyle="1">
    <w:name w:val="Default"/>
    <w:rsid w:val="00EE32BC"/>
    <w:pPr>
      <w:widowControl w:val="0"/>
      <w:autoSpaceDE w:val="0"/>
      <w:autoSpaceDN w:val="0"/>
      <w:adjustRightInd w:val="0"/>
    </w:pPr>
    <w:rPr>
      <w:color w:val="000000"/>
      <w:sz w:val="24"/>
      <w:szCs w:val="24"/>
      <w:lang w:eastAsia="en-US" w:val="en-US"/>
    </w:rPr>
  </w:style>
  <w:style w:type="paragraph" w:styleId="NormalWeb">
    <w:name w:val="Normal (Web)"/>
    <w:basedOn w:val="Default"/>
    <w:next w:val="Default"/>
    <w:uiPriority w:val="99"/>
    <w:rsid w:val="00AF05ED"/>
    <w:pPr>
      <w:spacing w:after="100" w:before="100"/>
    </w:pPr>
    <w:rPr>
      <w:color w:val="auto"/>
    </w:rPr>
  </w:style>
  <w:style w:type="paragraph" w:styleId="BodyTextIndent">
    <w:name w:val="Body Text Indent"/>
    <w:basedOn w:val="Normal"/>
    <w:link w:val="BodyTextIndentChar"/>
    <w:uiPriority w:val="99"/>
    <w:unhideWhenUsed w:val="1"/>
    <w:rsid w:val="006F69A1"/>
    <w:pPr>
      <w:widowControl w:val="0"/>
      <w:autoSpaceDE w:val="0"/>
      <w:autoSpaceDN w:val="0"/>
      <w:adjustRightInd w:val="0"/>
      <w:spacing w:after="120"/>
      <w:ind w:left="283"/>
    </w:pPr>
    <w:rPr>
      <w:szCs w:val="24"/>
    </w:rPr>
  </w:style>
  <w:style w:type="character" w:styleId="BodyTextIndentChar" w:customStyle="1">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cs="Tahoma" w:hAnsi="Tahoma"/>
      <w:sz w:val="16"/>
      <w:szCs w:val="16"/>
    </w:rPr>
  </w:style>
  <w:style w:type="character" w:styleId="BalloonTextChar" w:customStyle="1">
    <w:name w:val="Balloon Text Char"/>
    <w:link w:val="BalloonText"/>
    <w:uiPriority w:val="99"/>
    <w:rsid w:val="006221DF"/>
    <w:rPr>
      <w:rFonts w:ascii="Tahoma" w:cs="Tahoma" w:hAnsi="Tahoma"/>
      <w:sz w:val="16"/>
      <w:szCs w:val="16"/>
      <w:lang w:eastAsia="en-US"/>
    </w:rPr>
  </w:style>
  <w:style w:type="paragraph" w:styleId="ListParagraph">
    <w:name w:val="List Paragraph"/>
    <w:basedOn w:val="Normal"/>
    <w:link w:val="ListParagraphChar"/>
    <w:uiPriority w:val="34"/>
    <w:qFormat w:val="1"/>
    <w:rsid w:val="00680B0E"/>
    <w:pPr>
      <w:ind w:left="720"/>
      <w:contextualSpacing w:val="1"/>
    </w:pPr>
  </w:style>
  <w:style w:type="paragraph" w:styleId="TOC1">
    <w:name w:val="toc 1"/>
    <w:basedOn w:val="Normal"/>
    <w:next w:val="Normal"/>
    <w:autoRedefine w:val="1"/>
    <w:uiPriority w:val="39"/>
    <w:rsid w:val="003B45E8"/>
    <w:pPr>
      <w:spacing w:after="120" w:before="120"/>
    </w:pPr>
    <w:rPr>
      <w:rFonts w:ascii="Calibri" w:hAnsi="Calibri"/>
      <w:b w:val="1"/>
      <w:bCs w:val="1"/>
      <w:caps w:val="1"/>
      <w:sz w:val="20"/>
    </w:rPr>
  </w:style>
  <w:style w:type="paragraph" w:styleId="TOC2">
    <w:name w:val="toc 2"/>
    <w:basedOn w:val="Normal"/>
    <w:next w:val="Normal"/>
    <w:autoRedefine w:val="1"/>
    <w:uiPriority w:val="39"/>
    <w:rsid w:val="003B45E8"/>
    <w:pPr>
      <w:ind w:left="240"/>
    </w:pPr>
    <w:rPr>
      <w:rFonts w:ascii="Calibri" w:hAnsi="Calibri"/>
      <w:smallCaps w:val="1"/>
      <w:sz w:val="20"/>
    </w:rPr>
  </w:style>
  <w:style w:type="paragraph" w:styleId="TOC3">
    <w:name w:val="toc 3"/>
    <w:basedOn w:val="Normal"/>
    <w:next w:val="Normal"/>
    <w:autoRedefine w:val="1"/>
    <w:uiPriority w:val="39"/>
    <w:rsid w:val="003B45E8"/>
    <w:pPr>
      <w:ind w:left="480"/>
    </w:pPr>
    <w:rPr>
      <w:rFonts w:ascii="Calibri" w:hAnsi="Calibri"/>
      <w:i w:val="1"/>
      <w:iCs w:val="1"/>
      <w:sz w:val="20"/>
    </w:rPr>
  </w:style>
  <w:style w:type="paragraph" w:styleId="TOC4">
    <w:name w:val="toc 4"/>
    <w:basedOn w:val="Normal"/>
    <w:next w:val="Normal"/>
    <w:autoRedefine w:val="1"/>
    <w:uiPriority w:val="39"/>
    <w:rsid w:val="003B45E8"/>
    <w:pPr>
      <w:ind w:left="720"/>
    </w:pPr>
    <w:rPr>
      <w:rFonts w:ascii="Calibri" w:hAnsi="Calibri"/>
      <w:sz w:val="18"/>
      <w:szCs w:val="18"/>
    </w:rPr>
  </w:style>
  <w:style w:type="paragraph" w:styleId="TOC5">
    <w:name w:val="toc 5"/>
    <w:basedOn w:val="Normal"/>
    <w:next w:val="Normal"/>
    <w:autoRedefine w:val="1"/>
    <w:uiPriority w:val="39"/>
    <w:rsid w:val="003B45E8"/>
    <w:pPr>
      <w:ind w:left="960"/>
    </w:pPr>
    <w:rPr>
      <w:rFonts w:ascii="Calibri" w:hAnsi="Calibri"/>
      <w:sz w:val="18"/>
      <w:szCs w:val="18"/>
    </w:rPr>
  </w:style>
  <w:style w:type="paragraph" w:styleId="TOC6">
    <w:name w:val="toc 6"/>
    <w:basedOn w:val="Normal"/>
    <w:next w:val="Normal"/>
    <w:autoRedefine w:val="1"/>
    <w:uiPriority w:val="39"/>
    <w:rsid w:val="003B45E8"/>
    <w:pPr>
      <w:ind w:left="1200"/>
    </w:pPr>
    <w:rPr>
      <w:rFonts w:ascii="Calibri" w:hAnsi="Calibri"/>
      <w:sz w:val="18"/>
      <w:szCs w:val="18"/>
    </w:rPr>
  </w:style>
  <w:style w:type="paragraph" w:styleId="TOC7">
    <w:name w:val="toc 7"/>
    <w:basedOn w:val="Normal"/>
    <w:next w:val="Normal"/>
    <w:autoRedefine w:val="1"/>
    <w:uiPriority w:val="39"/>
    <w:rsid w:val="003B45E8"/>
    <w:pPr>
      <w:ind w:left="1440"/>
    </w:pPr>
    <w:rPr>
      <w:rFonts w:ascii="Calibri" w:hAnsi="Calibri"/>
      <w:sz w:val="18"/>
      <w:szCs w:val="18"/>
    </w:rPr>
  </w:style>
  <w:style w:type="paragraph" w:styleId="TOC8">
    <w:name w:val="toc 8"/>
    <w:basedOn w:val="Normal"/>
    <w:next w:val="Normal"/>
    <w:autoRedefine w:val="1"/>
    <w:uiPriority w:val="39"/>
    <w:rsid w:val="003B45E8"/>
    <w:pPr>
      <w:ind w:left="1680"/>
    </w:pPr>
    <w:rPr>
      <w:rFonts w:ascii="Calibri" w:hAnsi="Calibri"/>
      <w:sz w:val="18"/>
      <w:szCs w:val="18"/>
    </w:rPr>
  </w:style>
  <w:style w:type="paragraph" w:styleId="TOC9">
    <w:name w:val="toc 9"/>
    <w:basedOn w:val="Normal"/>
    <w:next w:val="Normal"/>
    <w:autoRedefine w:val="1"/>
    <w:uiPriority w:val="39"/>
    <w:rsid w:val="003B45E8"/>
    <w:pPr>
      <w:ind w:left="1920"/>
    </w:pPr>
    <w:rPr>
      <w:rFonts w:ascii="Calibri" w:hAnsi="Calibri"/>
      <w:sz w:val="18"/>
      <w:szCs w:val="18"/>
    </w:rPr>
  </w:style>
  <w:style w:type="paragraph" w:styleId="SMUNORMALARIAL" w:customStyle="1">
    <w:name w:val="SMU NORMAL ARIAL"/>
    <w:basedOn w:val="Normal"/>
    <w:rsid w:val="00BF2A01"/>
    <w:rPr>
      <w:sz w:val="22"/>
      <w:szCs w:val="24"/>
      <w:lang w:eastAsia="en-GB"/>
    </w:rPr>
  </w:style>
  <w:style w:type="paragraph" w:styleId="SMUARIAL14BOLD" w:customStyle="1">
    <w:name w:val="SMU ARIAL 14 BOLD"/>
    <w:rsid w:val="00BF2A01"/>
    <w:pPr>
      <w:spacing w:before="240"/>
    </w:pPr>
    <w:rPr>
      <w:rFonts w:ascii="Arial" w:cs="Arial" w:hAnsi="Arial"/>
      <w:b w:val="1"/>
      <w:bCs w:val="1"/>
      <w:caps w:val="1"/>
      <w:kern w:val="32"/>
      <w:sz w:val="28"/>
      <w:szCs w:val="32"/>
    </w:rPr>
  </w:style>
  <w:style w:type="character" w:styleId="Heading3Char" w:customStyle="1">
    <w:name w:val="Heading 3 Char"/>
    <w:link w:val="Heading3"/>
    <w:semiHidden w:val="1"/>
    <w:rsid w:val="008B2529"/>
    <w:rPr>
      <w:rFonts w:ascii="Cambria" w:cs="Times New Roman" w:eastAsia="Times New Roman" w:hAnsi="Cambria"/>
      <w:b w:val="1"/>
      <w:bCs w:val="1"/>
      <w:color w:val="4f81bd"/>
      <w:sz w:val="24"/>
      <w:lang w:eastAsia="en-US"/>
    </w:rPr>
  </w:style>
  <w:style w:type="character" w:styleId="Strong">
    <w:name w:val="Strong"/>
    <w:uiPriority w:val="22"/>
    <w:qFormat w:val="1"/>
    <w:rsid w:val="008B2529"/>
    <w:rPr>
      <w:b w:val="1"/>
      <w:bCs w:val="1"/>
    </w:rPr>
  </w:style>
  <w:style w:type="paragraph" w:styleId="Title">
    <w:name w:val="Title"/>
    <w:basedOn w:val="Normal"/>
    <w:link w:val="TitleChar"/>
    <w:qFormat w:val="1"/>
    <w:rsid w:val="008B2529"/>
    <w:pPr>
      <w:jc w:val="center"/>
    </w:pPr>
    <w:rPr>
      <w:b w:val="1"/>
      <w:bCs w:val="1"/>
      <w:lang w:val="en-US"/>
    </w:rPr>
  </w:style>
  <w:style w:type="character" w:styleId="TitleChar" w:customStyle="1">
    <w:name w:val="Title Char"/>
    <w:link w:val="Title"/>
    <w:uiPriority w:val="99"/>
    <w:rsid w:val="008B2529"/>
    <w:rPr>
      <w:b w:val="1"/>
      <w:bCs w:val="1"/>
      <w:sz w:val="24"/>
      <w:lang w:eastAsia="en-US" w:val="en-US"/>
    </w:rPr>
  </w:style>
  <w:style w:type="paragraph" w:styleId="BodyText1" w:customStyle="1">
    <w:name w:val="Body Text1"/>
    <w:basedOn w:val="Normal"/>
    <w:rsid w:val="000971B7"/>
    <w:pPr>
      <w:tabs>
        <w:tab w:val="left" w:pos="720"/>
        <w:tab w:val="left" w:pos="1440"/>
      </w:tabs>
    </w:pPr>
    <w:rPr>
      <w:rFonts w:ascii="CG Times (WN)" w:hAnsi="CG Times (WN)"/>
    </w:rPr>
  </w:style>
  <w:style w:type="character" w:styleId="Emphasis">
    <w:name w:val="Emphasis"/>
    <w:qFormat w:val="1"/>
    <w:rsid w:val="00212E76"/>
    <w:rPr>
      <w:i w:val="1"/>
      <w:iCs w:val="1"/>
    </w:rPr>
  </w:style>
  <w:style w:type="character" w:styleId="apple-style-span" w:customStyle="1">
    <w:name w:val="apple-style-span"/>
    <w:rsid w:val="00557E08"/>
  </w:style>
  <w:style w:type="paragraph" w:styleId="NormalWeb1" w:customStyle="1">
    <w:name w:val="Normal (Web)1"/>
    <w:basedOn w:val="Normal"/>
    <w:uiPriority w:val="99"/>
    <w:rsid w:val="00557E08"/>
    <w:rPr>
      <w:rFonts w:eastAsia="Calibri"/>
      <w:szCs w:val="24"/>
      <w:lang w:eastAsia="en-GB"/>
    </w:rPr>
  </w:style>
  <w:style w:type="character" w:styleId="nw1" w:customStyle="1">
    <w:name w:val="nw1"/>
    <w:uiPriority w:val="99"/>
    <w:rsid w:val="00557E08"/>
  </w:style>
  <w:style w:type="character" w:styleId="hps" w:customStyle="1">
    <w:name w:val="hps"/>
    <w:rsid w:val="00557E08"/>
  </w:style>
  <w:style w:type="character" w:styleId="FollowedHyperlink">
    <w:name w:val="FollowedHyperlink"/>
    <w:uiPriority w:val="99"/>
    <w:rsid w:val="00037D7A"/>
    <w:rPr>
      <w:color w:val="800080"/>
      <w:u w:val="single"/>
    </w:rPr>
  </w:style>
  <w:style w:type="paragraph" w:styleId="heading" w:customStyle="1">
    <w:name w:val="heading"/>
    <w:basedOn w:val="Normal"/>
    <w:link w:val="headingChar"/>
    <w:rsid w:val="006C5084"/>
    <w:pPr>
      <w:tabs>
        <w:tab w:val="left" w:pos="720"/>
        <w:tab w:val="left" w:pos="1440"/>
        <w:tab w:val="left" w:pos="2160"/>
        <w:tab w:val="left" w:pos="2880"/>
      </w:tabs>
      <w:overflowPunct w:val="0"/>
      <w:autoSpaceDE w:val="0"/>
      <w:autoSpaceDN w:val="0"/>
      <w:adjustRightInd w:val="0"/>
      <w:spacing w:after="120" w:before="240"/>
      <w:ind w:left="3600" w:hanging="3600"/>
      <w:textAlignment w:val="baseline"/>
    </w:pPr>
    <w:rPr>
      <w:b w:val="1"/>
      <w:lang w:eastAsia="en-GB"/>
    </w:rPr>
  </w:style>
  <w:style w:type="character" w:styleId="headingChar" w:customStyle="1">
    <w:name w:val="heading Char"/>
    <w:link w:val="heading"/>
    <w:rsid w:val="006C5084"/>
    <w:rPr>
      <w:b w:val="1"/>
      <w:sz w:val="24"/>
    </w:rPr>
  </w:style>
  <w:style w:type="character" w:styleId="Heading7Char" w:customStyle="1">
    <w:name w:val="Heading 7 Char"/>
    <w:aliases w:val="Sub heading Char"/>
    <w:link w:val="Heading7"/>
    <w:uiPriority w:val="99"/>
    <w:rsid w:val="00940A08"/>
    <w:rPr>
      <w:rFonts w:ascii="Arial" w:cs="Arial" w:hAnsi="Arial"/>
      <w:b w:val="1"/>
      <w:bCs w:val="1"/>
      <w:sz w:val="22"/>
      <w:szCs w:val="22"/>
    </w:rPr>
  </w:style>
  <w:style w:type="character" w:styleId="lookup-resultcontent" w:customStyle="1">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color="7ba0cd" w:space="0" w:sz="8" w:val="single"/>
        <w:left w:color="7ba0cd" w:space="0" w:sz="8" w:val="single"/>
        <w:bottom w:color="7ba0cd" w:space="0" w:sz="8" w:val="single"/>
        <w:right w:color="7ba0cd" w:space="0" w:sz="8" w:val="single"/>
        <w:insideH w:color="7ba0cd" w:space="0" w:sz="8" w:val="single"/>
        <w:insideV w:color="7ba0cd" w:space="0" w:sz="8" w:val="single"/>
      </w:tblBorders>
    </w:tblPr>
    <w:tcPr>
      <w:shd w:color="auto" w:fill="d3dfee" w:val="clear"/>
    </w:tcPr>
    <w:tblStylePr w:type="firstRow">
      <w:rPr>
        <w:b w:val="1"/>
        <w:bCs w:val="1"/>
      </w:rPr>
    </w:tblStylePr>
    <w:tblStylePr w:type="lastRow">
      <w:rPr>
        <w:b w:val="1"/>
        <w:bCs w:val="1"/>
      </w:rPr>
      <w:tblPr/>
      <w:tcPr>
        <w:tcBorders>
          <w:top w:color="7ba0cd" w:space="0" w:sz="18" w:val="single"/>
        </w:tcBorders>
      </w:tcPr>
    </w:tblStylePr>
    <w:tblStylePr w:type="firstCol">
      <w:rPr>
        <w:b w:val="1"/>
        <w:bCs w:val="1"/>
      </w:rPr>
    </w:tblStylePr>
    <w:tblStylePr w:type="lastCol">
      <w:rPr>
        <w:b w:val="1"/>
        <w:bCs w:val="1"/>
      </w:rPr>
    </w:tblStylePr>
    <w:tblStylePr w:type="band1Vert">
      <w:tblPr/>
      <w:tcPr>
        <w:shd w:color="auto" w:fill="a7bfde" w:val="clear"/>
      </w:tcPr>
    </w:tblStylePr>
    <w:tblStylePr w:type="band1Horz">
      <w:tblPr/>
      <w:tcPr>
        <w:shd w:color="auto" w:fill="a7bfde" w:val="clear"/>
      </w:tcPr>
    </w:tblStylePr>
  </w:style>
  <w:style w:type="paragraph" w:styleId="deannah1" w:customStyle="1">
    <w:name w:val="deannah1"/>
    <w:basedOn w:val="Normal"/>
    <w:uiPriority w:val="99"/>
    <w:rsid w:val="00336342"/>
    <w:pPr>
      <w:keepNext w:val="1"/>
      <w:spacing w:after="240"/>
    </w:pPr>
    <w:rPr>
      <w:b w:val="1"/>
      <w:bCs w:val="1"/>
      <w:szCs w:val="24"/>
    </w:rPr>
  </w:style>
  <w:style w:type="character" w:styleId="Hyperlink1" w:customStyle="1">
    <w:name w:val="Hyperlink1"/>
    <w:uiPriority w:val="99"/>
    <w:rsid w:val="00336342"/>
    <w:rPr>
      <w:color w:val="535353"/>
      <w:u w:val="single"/>
      <w:effect w:val="none"/>
    </w:rPr>
  </w:style>
  <w:style w:type="character" w:styleId="CommentReference">
    <w:name w:val="annotation reference"/>
    <w:uiPriority w:val="99"/>
    <w:unhideWhenUsed w:val="1"/>
    <w:rsid w:val="00336342"/>
    <w:rPr>
      <w:sz w:val="16"/>
      <w:szCs w:val="16"/>
    </w:rPr>
  </w:style>
  <w:style w:type="paragraph" w:styleId="CommentText">
    <w:name w:val="annotation text"/>
    <w:basedOn w:val="Normal"/>
    <w:link w:val="CommentTextChar"/>
    <w:uiPriority w:val="99"/>
    <w:unhideWhenUsed w:val="1"/>
    <w:rsid w:val="00336342"/>
    <w:rPr>
      <w:sz w:val="20"/>
    </w:rPr>
  </w:style>
  <w:style w:type="character" w:styleId="CommentTextChar" w:customStyle="1">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val="1"/>
    <w:rsid w:val="00336342"/>
    <w:rPr>
      <w:b w:val="1"/>
      <w:bCs w:val="1"/>
    </w:rPr>
  </w:style>
  <w:style w:type="character" w:styleId="CommentSubjectChar" w:customStyle="1">
    <w:name w:val="Comment Subject Char"/>
    <w:link w:val="CommentSubject"/>
    <w:uiPriority w:val="99"/>
    <w:rsid w:val="00336342"/>
    <w:rPr>
      <w:b w:val="1"/>
      <w:bCs w:val="1"/>
      <w:lang w:eastAsia="en-US"/>
    </w:rPr>
  </w:style>
  <w:style w:type="table" w:styleId="GridTable1Light-Accent21" w:customStyle="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0" w:type="nil"/>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GridTable1Light-Accent2">
    <w:name w:val="Grid Table 1 Light Accent 2"/>
    <w:basedOn w:val="TableNormal"/>
    <w:uiPriority w:val="46"/>
    <w:rsid w:val="00C5678B"/>
    <w:tblPr>
      <w:tblStyleRowBandSize w:val="1"/>
      <w:tblStyleColBandSize w:val="1"/>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TableGrid2">
    <w:name w:val="Table Grid 2"/>
    <w:basedOn w:val="TableNormal"/>
    <w:rsid w:val="00180E5F"/>
    <w:tblPr>
      <w:tblBorders>
        <w:insideH w:color="000000" w:space="0" w:sz="6" w:val="single"/>
        <w:insideV w:color="000000" w:space="0" w:sz="6" w:val="single"/>
      </w:tblBorders>
    </w:tblPr>
    <w:tcPr>
      <w:shd w:color="auto" w:fill="auto" w:val="clear"/>
    </w:tcPr>
    <w:tblStylePr w:type="firstRow">
      <w:rPr>
        <w:b w:val="1"/>
        <w:bCs w:val="1"/>
      </w:rPr>
      <w:tblPr/>
      <w:tcPr>
        <w:tcBorders>
          <w:tl2br w:color="auto" w:space="0" w:sz="0" w:val="none"/>
          <w:tr2bl w:color="auto" w:space="0" w:sz="0" w:val="none"/>
        </w:tcBorders>
      </w:tcPr>
    </w:tblStylePr>
    <w:tblStylePr w:type="lastRow">
      <w:rPr>
        <w:b w:val="1"/>
        <w:bCs w:val="1"/>
      </w:rPr>
      <w:tblPr/>
      <w:tcPr>
        <w:tcBorders>
          <w:top w:color="000000" w:space="0" w:sz="6" w:val="single"/>
          <w:tl2br w:color="auto" w:space="0" w:sz="0" w:val="none"/>
          <w:tr2bl w:color="auto" w:space="0" w:sz="0" w:val="none"/>
        </w:tcBorders>
      </w:tcPr>
    </w:tblStylePr>
    <w:tblStylePr w:type="firstCol">
      <w:rPr>
        <w:b w:val="1"/>
        <w:bCs w:val="1"/>
      </w:rPr>
      <w:tblPr/>
      <w:tcPr>
        <w:tcBorders>
          <w:tl2br w:color="auto" w:space="0" w:sz="0" w:val="none"/>
          <w:tr2bl w:color="auto" w:space="0" w:sz="0" w:val="none"/>
        </w:tcBorders>
      </w:tcPr>
    </w:tblStylePr>
    <w:tblStylePr w:type="lastCol">
      <w:rPr>
        <w:b w:val="1"/>
        <w:bCs w:val="1"/>
      </w:rPr>
      <w:tblPr/>
      <w:tcPr>
        <w:tcBorders>
          <w:tl2br w:color="auto" w:space="0" w:sz="0" w:val="none"/>
          <w:tr2bl w:color="auto" w:space="0" w:sz="0" w:val="none"/>
        </w:tcBorders>
      </w:tcPr>
    </w:tblStylePr>
  </w:style>
  <w:style w:type="table" w:styleId="GridTable5Dark-Accent4">
    <w:name w:val="Grid Table 5 Dark Accent 4"/>
    <w:basedOn w:val="TableNormal"/>
    <w:uiPriority w:val="50"/>
    <w:rsid w:val="00180E5F"/>
    <w:tblPr>
      <w:tblStyleRowBandSize w:val="1"/>
      <w:tblStyleColBandSize w:val="1"/>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Pr>
    <w:tcPr>
      <w:shd w:color="auto" w:fill="fff2cc" w:val="clear"/>
    </w:tcPr>
    <w:tblStylePr w:type="firstRow">
      <w:rPr>
        <w:b w:val="1"/>
        <w:bCs w:val="1"/>
        <w:color w:val="ffffff"/>
      </w:rPr>
      <w:tblPr/>
      <w:tcPr>
        <w:tcBorders>
          <w:top w:color="ffffff" w:space="0" w:sz="4" w:val="single"/>
          <w:left w:color="ffffff" w:space="0" w:sz="4" w:val="single"/>
          <w:right w:color="ffffff" w:space="0" w:sz="4" w:val="single"/>
          <w:insideH w:space="0" w:sz="0" w:val="nil"/>
          <w:insideV w:space="0" w:sz="0" w:val="nil"/>
        </w:tcBorders>
        <w:shd w:color="auto" w:fill="ffc000" w:val="clear"/>
      </w:tcPr>
    </w:tblStylePr>
    <w:tblStylePr w:type="lastRow">
      <w:rPr>
        <w:b w:val="1"/>
        <w:bCs w:val="1"/>
        <w:color w:val="ffffff"/>
      </w:rPr>
      <w:tblPr/>
      <w:tcPr>
        <w:tcBorders>
          <w:left w:color="ffffff" w:space="0" w:sz="4" w:val="single"/>
          <w:bottom w:color="ffffff" w:space="0" w:sz="4" w:val="single"/>
          <w:right w:color="ffffff" w:space="0" w:sz="4" w:val="single"/>
          <w:insideH w:space="0" w:sz="0" w:val="nil"/>
          <w:insideV w:space="0" w:sz="0" w:val="nil"/>
        </w:tcBorders>
        <w:shd w:color="auto" w:fill="ffc000" w:val="clear"/>
      </w:tcPr>
    </w:tblStylePr>
    <w:tblStylePr w:type="firstCol">
      <w:rPr>
        <w:b w:val="1"/>
        <w:bCs w:val="1"/>
        <w:color w:val="ffffff"/>
      </w:rPr>
      <w:tblPr/>
      <w:tcPr>
        <w:tcBorders>
          <w:top w:color="ffffff" w:space="0" w:sz="4" w:val="single"/>
          <w:left w:color="ffffff" w:space="0" w:sz="4" w:val="single"/>
          <w:bottom w:color="ffffff" w:space="0" w:sz="4" w:val="single"/>
          <w:insideV w:space="0" w:sz="0" w:val="nil"/>
        </w:tcBorders>
        <w:shd w:color="auto" w:fill="ffc000" w:val="clear"/>
      </w:tcPr>
    </w:tblStylePr>
    <w:tblStylePr w:type="lastCol">
      <w:rPr>
        <w:b w:val="1"/>
        <w:bCs w:val="1"/>
        <w:color w:val="ffffff"/>
      </w:rPr>
      <w:tblPr/>
      <w:tcPr>
        <w:tcBorders>
          <w:top w:color="ffffff" w:space="0" w:sz="4" w:val="single"/>
          <w:bottom w:color="ffffff" w:space="0" w:sz="4" w:val="single"/>
          <w:right w:color="ffffff" w:space="0" w:sz="4" w:val="single"/>
          <w:insideV w:space="0" w:sz="0" w:val="nil"/>
        </w:tcBorders>
        <w:shd w:color="auto" w:fill="ffc000" w:val="clear"/>
      </w:tcPr>
    </w:tblStylePr>
    <w:tblStylePr w:type="band1Vert">
      <w:tblPr/>
      <w:tcPr>
        <w:shd w:color="auto" w:fill="ffe599" w:val="clear"/>
      </w:tcPr>
    </w:tblStylePr>
    <w:tblStylePr w:type="band1Horz">
      <w:tblPr/>
      <w:tcPr>
        <w:shd w:color="auto" w:fill="ffe599" w:val="clear"/>
      </w:tcPr>
    </w:tblStylePr>
  </w:style>
  <w:style w:type="table" w:styleId="MediumGrid3-Accent4">
    <w:name w:val="Medium Grid 3 Accent 4"/>
    <w:basedOn w:val="TableNormal"/>
    <w:uiPriority w:val="69"/>
    <w:rsid w:val="00180E5F"/>
    <w:tblPr>
      <w:tblStyleRowBandSize w:val="1"/>
      <w:tblStyleColBandSize w:val="1"/>
      <w:tblBorders>
        <w:top w:color="ffffff" w:space="0" w:sz="8" w:val="single"/>
        <w:left w:color="ffffff" w:space="0" w:sz="8" w:val="single"/>
        <w:bottom w:color="ffffff" w:space="0" w:sz="8" w:val="single"/>
        <w:right w:color="ffffff" w:space="0" w:sz="8" w:val="single"/>
        <w:insideH w:color="ffffff" w:space="0" w:sz="6" w:val="single"/>
        <w:insideV w:color="ffffff" w:space="0" w:sz="6" w:val="single"/>
      </w:tblBorders>
    </w:tblPr>
    <w:tcPr>
      <w:shd w:color="auto" w:fill="ffefc0" w:val="clear"/>
    </w:tcPr>
    <w:tblStylePr w:type="firstRow">
      <w:rPr>
        <w:b w:val="1"/>
        <w:bCs w:val="1"/>
        <w:i w:val="0"/>
        <w:iCs w:val="0"/>
        <w:color w:val="ffffff"/>
      </w:rPr>
      <w:tblPr/>
      <w:tcPr>
        <w:tcBorders>
          <w:top w:color="ffffff" w:space="0" w:sz="8" w:val="single"/>
          <w:left w:color="ffffff" w:space="0" w:sz="8" w:val="single"/>
          <w:bottom w:color="ffffff" w:space="0" w:sz="24" w:val="single"/>
          <w:right w:color="ffffff" w:space="0" w:sz="8" w:val="single"/>
          <w:insideH w:space="0" w:sz="0" w:val="nil"/>
          <w:insideV w:color="ffffff" w:space="0" w:sz="8" w:val="single"/>
        </w:tcBorders>
        <w:shd w:color="auto" w:fill="ffc000" w:val="clear"/>
      </w:tcPr>
    </w:tblStylePr>
    <w:tblStylePr w:type="lastRow">
      <w:rPr>
        <w:b w:val="1"/>
        <w:bCs w:val="1"/>
        <w:i w:val="0"/>
        <w:iCs w:val="0"/>
        <w:color w:val="ffffff"/>
      </w:rPr>
      <w:tblPr/>
      <w:tcPr>
        <w:tcBorders>
          <w:top w:color="ffffff" w:space="0" w:sz="24" w:val="single"/>
          <w:left w:color="ffffff" w:space="0" w:sz="8" w:val="single"/>
          <w:bottom w:color="ffffff" w:space="0" w:sz="8" w:val="single"/>
          <w:right w:color="ffffff" w:space="0" w:sz="8" w:val="single"/>
          <w:insideH w:space="0" w:sz="0" w:val="nil"/>
          <w:insideV w:color="ffffff" w:space="0" w:sz="8" w:val="single"/>
        </w:tcBorders>
        <w:shd w:color="auto" w:fill="ffc000" w:val="clear"/>
      </w:tcPr>
    </w:tblStylePr>
    <w:tblStylePr w:type="firstCol">
      <w:rPr>
        <w:b w:val="1"/>
        <w:bCs w:val="1"/>
        <w:i w:val="0"/>
        <w:iCs w:val="0"/>
        <w:color w:val="ffffff"/>
      </w:rPr>
      <w:tblPr/>
      <w:tcPr>
        <w:tcBorders>
          <w:left w:color="ffffff" w:space="0" w:sz="8" w:val="single"/>
          <w:right w:color="ffffff" w:space="0" w:sz="24" w:val="single"/>
          <w:insideH w:space="0" w:sz="0" w:val="nil"/>
          <w:insideV w:space="0" w:sz="0" w:val="nil"/>
        </w:tcBorders>
        <w:shd w:color="auto" w:fill="ffc000" w:val="clear"/>
      </w:tcPr>
    </w:tblStylePr>
    <w:tblStylePr w:type="lastCol">
      <w:rPr>
        <w:b w:val="1"/>
        <w:bCs w:val="1"/>
        <w:i w:val="0"/>
        <w:iCs w:val="0"/>
        <w:color w:val="ffffff"/>
      </w:rPr>
      <w:tblPr/>
      <w:tcPr>
        <w:tcBorders>
          <w:top w:space="0" w:sz="0" w:val="nil"/>
          <w:left w:color="ffffff" w:space="0" w:sz="24" w:val="single"/>
          <w:bottom w:space="0" w:sz="0" w:val="nil"/>
          <w:right w:space="0" w:sz="0" w:val="nil"/>
          <w:insideH w:space="0" w:sz="0" w:val="nil"/>
          <w:insideV w:space="0" w:sz="0" w:val="nil"/>
        </w:tcBorders>
        <w:shd w:color="auto" w:fill="ffc000" w:val="clear"/>
      </w:tcPr>
    </w:tblStylePr>
    <w:tblStylePr w:type="band1Vert">
      <w:tblPr/>
      <w:tcPr>
        <w:tcBorders>
          <w:top w:color="ffffff" w:space="0" w:sz="8" w:val="single"/>
          <w:left w:color="ffffff" w:space="0" w:sz="8" w:val="single"/>
          <w:bottom w:color="ffffff" w:space="0" w:sz="8" w:val="single"/>
          <w:right w:color="ffffff" w:space="0" w:sz="8" w:val="single"/>
          <w:insideH w:space="0" w:sz="0" w:val="nil"/>
          <w:insideV w:space="0" w:sz="0" w:val="nil"/>
        </w:tcBorders>
        <w:shd w:color="auto" w:fill="ffdf80" w:val="clear"/>
      </w:tcPr>
    </w:tblStylePr>
    <w:tblStylePr w:type="band1Horz">
      <w:tblPr/>
      <w:tcPr>
        <w:tcBorders>
          <w:top w:color="ffffff" w:space="0" w:sz="8" w:val="single"/>
          <w:left w:color="ffffff" w:space="0" w:sz="8" w:val="single"/>
          <w:bottom w:color="ffffff" w:space="0" w:sz="8" w:val="single"/>
          <w:right w:color="ffffff" w:space="0" w:sz="8" w:val="single"/>
          <w:insideH w:color="ffffff" w:space="0" w:sz="8" w:val="single"/>
          <w:insideV w:color="ffffff" w:space="0" w:sz="8" w:val="single"/>
        </w:tcBorders>
        <w:shd w:color="auto" w:fill="ffdf80" w:val="clear"/>
      </w:tcPr>
    </w:tblStylePr>
  </w:style>
  <w:style w:type="paragraph" w:styleId="fixed" w:customStyle="1">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val="1"/>
      <w:sz w:val="24"/>
    </w:rPr>
  </w:style>
  <w:style w:type="paragraph" w:styleId="bullet" w:customStyle="1">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styleId="fixedChar" w:customStyle="1">
    <w:name w:val="fixed Char"/>
    <w:link w:val="fixed"/>
    <w:rsid w:val="00180E5F"/>
    <w:rPr>
      <w:b w:val="1"/>
      <w:sz w:val="24"/>
    </w:rPr>
  </w:style>
  <w:style w:type="character" w:styleId="bulletChar" w:customStyle="1">
    <w:name w:val="bullet Char"/>
    <w:link w:val="bullet"/>
    <w:rsid w:val="00180E5F"/>
    <w:rPr>
      <w:sz w:val="24"/>
    </w:rPr>
  </w:style>
  <w:style w:type="character" w:styleId="ListParagraphChar" w:customStyle="1">
    <w:name w:val="List Paragraph Char"/>
    <w:link w:val="ListParagraph"/>
    <w:uiPriority w:val="34"/>
    <w:locked w:val="1"/>
    <w:rsid w:val="00180E5F"/>
    <w:rPr>
      <w:sz w:val="24"/>
      <w:lang w:eastAsia="en-US"/>
    </w:rPr>
  </w:style>
  <w:style w:type="paragraph" w:styleId="StyleCJ1" w:customStyle="1">
    <w:name w:val="StyleCJ1"/>
    <w:basedOn w:val="Heading1"/>
    <w:link w:val="StyleCJ1Char"/>
    <w:qFormat w:val="1"/>
    <w:rsid w:val="009903DA"/>
    <w:rPr>
      <w:rFonts w:ascii="Calibri" w:cs="Calibri" w:hAnsi="Calibri"/>
      <w:sz w:val="28"/>
      <w:szCs w:val="22"/>
    </w:rPr>
  </w:style>
  <w:style w:type="paragraph" w:styleId="Style1CJ2" w:customStyle="1">
    <w:name w:val="Style1CJ2"/>
    <w:basedOn w:val="Heading1"/>
    <w:link w:val="Style1CJ2Char"/>
    <w:qFormat w:val="1"/>
    <w:rsid w:val="009903DA"/>
    <w:rPr>
      <w:rFonts w:ascii="Calibri" w:cs="Calibri" w:hAnsi="Calibri"/>
      <w:sz w:val="22"/>
      <w:szCs w:val="22"/>
      <w:lang w:eastAsia="en-GB"/>
    </w:rPr>
  </w:style>
  <w:style w:type="character" w:styleId="StyleCJ1Char" w:customStyle="1">
    <w:name w:val="StyleCJ1 Char"/>
    <w:link w:val="StyleCJ1"/>
    <w:rsid w:val="009903DA"/>
    <w:rPr>
      <w:rFonts w:ascii="Calibri" w:cs="Calibri" w:eastAsia="Times New Roman" w:hAnsi="Calibri"/>
      <w:b w:val="1"/>
      <w:bCs w:val="1"/>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Pr>
    <w:tblStylePr w:type="firstRow">
      <w:rPr>
        <w:b w:val="1"/>
        <w:bCs w:val="1"/>
        <w:color w:val="ffffff"/>
      </w:rPr>
      <w:tblPr/>
      <w:tcPr>
        <w:tcBorders>
          <w:top w:color="ed7d31" w:space="0" w:sz="4" w:val="single"/>
          <w:left w:color="ed7d31" w:space="0" w:sz="4" w:val="single"/>
          <w:bottom w:color="ed7d31" w:space="0" w:sz="4" w:val="single"/>
          <w:right w:color="ed7d31" w:space="0" w:sz="4" w:val="single"/>
          <w:insideH w:space="0" w:sz="0" w:val="nil"/>
          <w:insideV w:space="0" w:sz="0" w:val="nil"/>
        </w:tcBorders>
        <w:shd w:color="auto" w:fill="ed7d31" w:val="clear"/>
      </w:tcPr>
    </w:tblStylePr>
    <w:tblStylePr w:type="lastRow">
      <w:rPr>
        <w:b w:val="1"/>
        <w:bCs w:val="1"/>
      </w:rPr>
      <w:tblPr/>
      <w:tcPr>
        <w:tcBorders>
          <w:top w:color="ed7d31" w:space="0" w:sz="4" w:val="double"/>
        </w:tcBorders>
      </w:tcPr>
    </w:tblStylePr>
    <w:tblStylePr w:type="firstCol">
      <w:rPr>
        <w:b w:val="1"/>
        <w:bCs w:val="1"/>
      </w:rPr>
    </w:tblStylePr>
    <w:tblStylePr w:type="lastCol">
      <w:rPr>
        <w:b w:val="1"/>
        <w:bCs w:val="1"/>
      </w:rPr>
    </w:tblStylePr>
    <w:tblStylePr w:type="band1Vert">
      <w:tblPr/>
      <w:tcPr>
        <w:shd w:color="auto" w:fill="fbe4d5" w:val="clear"/>
      </w:tcPr>
    </w:tblStylePr>
    <w:tblStylePr w:type="band1Horz">
      <w:tblPr/>
      <w:tcPr>
        <w:shd w:color="auto" w:fill="fbe4d5" w:val="clear"/>
      </w:tcPr>
    </w:tblStylePr>
  </w:style>
  <w:style w:type="character" w:styleId="Style1CJ2Char" w:customStyle="1">
    <w:name w:val="Style1CJ2 Char"/>
    <w:link w:val="Style1CJ2"/>
    <w:rsid w:val="009903DA"/>
    <w:rPr>
      <w:rFonts w:ascii="Calibri" w:cs="Calibri" w:eastAsia="Times New Roman" w:hAnsi="Calibri"/>
      <w:b w:val="1"/>
      <w:bCs w:val="1"/>
      <w:kern w:val="32"/>
      <w:sz w:val="22"/>
      <w:szCs w:val="22"/>
      <w:lang w:eastAsia="en-US"/>
    </w:rPr>
  </w:style>
  <w:style w:type="character" w:styleId="UnresolvedMention">
    <w:name w:val="Unresolved Mention"/>
    <w:uiPriority w:val="99"/>
    <w:semiHidden w:val="1"/>
    <w:unhideWhenUsed w:val="1"/>
    <w:rsid w:val="0079068F"/>
    <w:rPr>
      <w:color w:val="605e5c"/>
      <w:shd w:color="auto" w:fill="e1dfdd" w:val="clear"/>
    </w:rPr>
  </w:style>
  <w:style w:type="paragraph" w:styleId="TOCHeading">
    <w:name w:val="TOC Heading"/>
    <w:basedOn w:val="Heading1"/>
    <w:next w:val="Normal"/>
    <w:uiPriority w:val="39"/>
    <w:unhideWhenUsed w:val="1"/>
    <w:qFormat w:val="1"/>
    <w:rsid w:val="00D977FF"/>
    <w:pPr>
      <w:keepLines w:val="1"/>
      <w:spacing w:after="0" w:line="259" w:lineRule="auto"/>
      <w:outlineLvl w:val="9"/>
    </w:pPr>
    <w:rPr>
      <w:rFonts w:ascii="Calibri Light" w:cs="Times New Roman" w:hAnsi="Calibri Light"/>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color="ffd966" w:space="0" w:sz="4" w:val="single"/>
        <w:left w:color="ffd966" w:space="0" w:sz="4" w:val="single"/>
        <w:bottom w:color="ffd966" w:space="0" w:sz="4" w:val="single"/>
        <w:right w:color="ffd966" w:space="0" w:sz="4" w:val="single"/>
        <w:insideH w:color="ffd966" w:space="0" w:sz="4" w:val="single"/>
        <w:insideV w:color="ffd966" w:space="0" w:sz="4" w:val="single"/>
      </w:tblBorders>
    </w:tblPr>
    <w:tblStylePr w:type="firstRow">
      <w:rPr>
        <w:b w:val="1"/>
        <w:bCs w:val="1"/>
      </w:rPr>
      <w:tblPr/>
      <w:tcPr>
        <w:tcBorders>
          <w:bottom w:color="ffd966" w:space="0" w:sz="12" w:val="single"/>
        </w:tcBorders>
      </w:tcPr>
    </w:tblStylePr>
    <w:tblStylePr w:type="lastRow">
      <w:rPr>
        <w:b w:val="1"/>
        <w:bCs w:val="1"/>
      </w:rPr>
      <w:tblPr/>
      <w:tcPr>
        <w:tcBorders>
          <w:top w:color="ffd966" w:space="0" w:sz="4" w:val="double"/>
        </w:tcBorders>
      </w:tcPr>
    </w:tblStylePr>
    <w:tblStylePr w:type="firstCol">
      <w:rPr>
        <w:b w:val="1"/>
        <w:bCs w:val="1"/>
      </w:rPr>
    </w:tblStylePr>
    <w:tblStylePr w:type="lastCol">
      <w:rPr>
        <w:b w:val="1"/>
        <w:bCs w:val="1"/>
      </w:rPr>
    </w:tblStylePr>
    <w:tblStylePr w:type="band1Vert">
      <w:tblPr/>
      <w:tcPr>
        <w:shd w:color="auto" w:fill="fff2cc" w:val="clear"/>
      </w:tcPr>
    </w:tblStylePr>
    <w:tblStylePr w:type="band1Horz">
      <w:tblPr/>
      <w:tcPr>
        <w:shd w:color="auto" w:fill="fff2cc" w:val="clear"/>
      </w:tcPr>
    </w:tblStylePr>
  </w:style>
  <w:style w:type="table" w:styleId="MediumGrid1-Accent4">
    <w:name w:val="Medium Grid 1 Accent 4"/>
    <w:basedOn w:val="TableNormal"/>
    <w:uiPriority w:val="67"/>
    <w:rsid w:val="00D977FF"/>
    <w:tblPr>
      <w:tblStyleRowBandSize w:val="1"/>
      <w:tblStyleColBandSize w:val="1"/>
      <w:tblBorders>
        <w:top w:color="ffcf40" w:space="0" w:sz="8" w:val="single"/>
        <w:left w:color="ffcf40" w:space="0" w:sz="8" w:val="single"/>
        <w:bottom w:color="ffcf40" w:space="0" w:sz="8" w:val="single"/>
        <w:right w:color="ffcf40" w:space="0" w:sz="8" w:val="single"/>
        <w:insideH w:color="ffcf40" w:space="0" w:sz="8" w:val="single"/>
        <w:insideV w:color="ffcf40" w:space="0" w:sz="8" w:val="single"/>
      </w:tblBorders>
    </w:tblPr>
    <w:tcPr>
      <w:shd w:color="auto" w:fill="ffefc0" w:val="clear"/>
    </w:tcPr>
    <w:tblStylePr w:type="firstRow">
      <w:rPr>
        <w:b w:val="1"/>
        <w:bCs w:val="1"/>
      </w:rPr>
    </w:tblStylePr>
    <w:tblStylePr w:type="lastRow">
      <w:rPr>
        <w:b w:val="1"/>
        <w:bCs w:val="1"/>
      </w:rPr>
      <w:tblPr/>
      <w:tcPr>
        <w:tcBorders>
          <w:top w:color="ffcf40" w:space="0" w:sz="18" w:val="single"/>
        </w:tcBorders>
      </w:tcPr>
    </w:tblStylePr>
    <w:tblStylePr w:type="firstCol">
      <w:rPr>
        <w:b w:val="1"/>
        <w:bCs w:val="1"/>
      </w:rPr>
    </w:tblStylePr>
    <w:tblStylePr w:type="lastCol">
      <w:rPr>
        <w:b w:val="1"/>
        <w:bCs w:val="1"/>
      </w:rPr>
    </w:tblStylePr>
    <w:tblStylePr w:type="band1Vert">
      <w:tblPr/>
      <w:tcPr>
        <w:shd w:color="auto" w:fill="ffdf80" w:val="clear"/>
      </w:tcPr>
    </w:tblStylePr>
    <w:tblStylePr w:type="band1Horz">
      <w:tblPr/>
      <w:tcPr>
        <w:shd w:color="auto" w:fill="ffdf80" w:val="clear"/>
      </w:tcPr>
    </w:tblStylePr>
  </w:style>
  <w:style w:type="table" w:styleId="GridTable5Dark-Accent5">
    <w:name w:val="Grid Table 5 Dark Accent 5"/>
    <w:basedOn w:val="TableNormal"/>
    <w:uiPriority w:val="50"/>
    <w:rsid w:val="00D82F4E"/>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5" w:val="clear"/>
      </w:tcPr>
    </w:tblStylePr>
    <w:tblStylePr w:type="band1Vert">
      <w:tblPr/>
      <w:tcPr>
        <w:shd w:color="auto" w:fill="bdd6ee" w:themeFill="accent5" w:themeFillTint="000066" w:val="clear"/>
      </w:tcPr>
    </w:tblStylePr>
    <w:tblStylePr w:type="band1Horz">
      <w:tblPr/>
      <w:tcPr>
        <w:shd w:color="auto" w:fill="bdd6ee" w:themeFill="accent5" w:themeFillTint="000066" w:val="clear"/>
      </w:tcPr>
    </w:tblStylePr>
  </w:style>
  <w:style w:type="paragraph" w:styleId="Subheadingcj" w:customStyle="1">
    <w:name w:val="Subheadingcj"/>
    <w:basedOn w:val="Normal"/>
    <w:link w:val="SubheadingcjChar"/>
    <w:qFormat w:val="1"/>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cstheme="minorHAnsi" w:hAnsiTheme="minorHAnsi"/>
    </w:rPr>
  </w:style>
  <w:style w:type="character" w:styleId="SubheadingcjChar" w:customStyle="1">
    <w:name w:val="Subheadingcj Char"/>
    <w:basedOn w:val="DefaultParagraphFont"/>
    <w:link w:val="Subheadingcj"/>
    <w:rsid w:val="00165440"/>
    <w:rPr>
      <w:rFonts w:asciiTheme="minorHAnsi" w:cstheme="minorHAnsi" w:hAnsiTheme="minorHAnsi"/>
      <w:sz w:val="24"/>
      <w:lang w:eastAsia="en-US"/>
    </w:rPr>
  </w:style>
  <w:style w:type="table" w:styleId="TableGrid39" w:customStyle="1">
    <w:name w:val="Table Grid39"/>
    <w:basedOn w:val="TableNormal"/>
    <w:next w:val="TableGrid"/>
    <w:uiPriority w:val="59"/>
    <w:rsid w:val="00F6500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rPr>
      <w:rFonts w:ascii="Calibri" w:cs="Calibri" w:eastAsia="Calibri" w:hAnsi="Calibri"/>
      <w:color w:val="bf8f00"/>
      <w:sz w:val="22"/>
      <w:szCs w:val="22"/>
    </w:rPr>
    <w:tblPr>
      <w:tblStyleRowBandSize w:val="1"/>
      <w:tblStyleColBandSize w:val="1"/>
      <w:tblCellMar>
        <w:top w:w="0.0" w:type="dxa"/>
        <w:left w:w="115.0" w:type="dxa"/>
        <w:bottom w:w="0.0" w:type="dxa"/>
        <w:right w:w="115.0" w:type="dxa"/>
      </w:tblCellMar>
    </w:tblPr>
    <w:tcPr>
      <w:shd w:fill="deebf6" w:val="clear"/>
    </w:tc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mailto:mike.durk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5OloBHCjrGfU+LvpyqJri4rlGw==">CgMxLjAyCGguZ2pkZ3hzMg5oLmVicnBrOHFwcjFsdTgAciExLVdKbVQxNUdQajF5bG5oWW1lbDZQSGtGRXY1OTBLUGI=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2021-10-08T16:31:00Z</dcterms:created>
  <dc:creator>bus-sh</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