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46B74" w14:textId="77777777" w:rsidR="00A5617D" w:rsidRPr="00CB74C8" w:rsidRDefault="00A5617D" w:rsidP="00A5617D">
      <w:pPr>
        <w:spacing w:before="200"/>
        <w:jc w:val="center"/>
        <w:rPr>
          <w:rFonts w:ascii="Arial" w:hAnsi="Arial" w:cs="Arial"/>
        </w:rPr>
      </w:pPr>
      <w:r w:rsidRPr="00CB74C8">
        <w:rPr>
          <w:rFonts w:ascii="Arial" w:hAnsi="Arial" w:cs="Arial"/>
          <w:noProof/>
        </w:rPr>
        <w:drawing>
          <wp:inline distT="0" distB="0" distL="0" distR="0" wp14:anchorId="79FE7AD5" wp14:editId="32BB2E99">
            <wp:extent cx="323850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1295400"/>
                    </a:xfrm>
                    <a:prstGeom prst="rect">
                      <a:avLst/>
                    </a:prstGeom>
                  </pic:spPr>
                </pic:pic>
              </a:graphicData>
            </a:graphic>
          </wp:inline>
        </w:drawing>
      </w:r>
    </w:p>
    <w:p w14:paraId="1A6B07CD" w14:textId="77777777" w:rsidR="00A5617D" w:rsidRPr="00CB74C8" w:rsidRDefault="00A5617D" w:rsidP="00A5617D">
      <w:pPr>
        <w:jc w:val="center"/>
        <w:rPr>
          <w:rFonts w:ascii="Arial" w:hAnsi="Arial" w:cs="Arial"/>
          <w:b/>
          <w:bCs w:val="0"/>
          <w:color w:val="0070C0"/>
          <w:sz w:val="72"/>
          <w:szCs w:val="72"/>
        </w:rPr>
      </w:pPr>
      <w:r w:rsidRPr="00CB74C8">
        <w:rPr>
          <w:rFonts w:ascii="Arial" w:hAnsi="Arial" w:cs="Arial"/>
          <w:b/>
          <w:i/>
          <w:iCs/>
          <w:color w:val="0070C0"/>
          <w:sz w:val="48"/>
          <w:szCs w:val="48"/>
        </w:rPr>
        <w:t>University of Wales Trinity Saint David</w:t>
      </w:r>
    </w:p>
    <w:p w14:paraId="171701F7" w14:textId="77777777" w:rsidR="00A5617D" w:rsidRPr="00CB74C8" w:rsidRDefault="00A5617D" w:rsidP="00A5617D">
      <w:pPr>
        <w:jc w:val="center"/>
        <w:rPr>
          <w:rFonts w:ascii="Arial" w:hAnsi="Arial" w:cs="Arial"/>
        </w:rPr>
      </w:pPr>
      <w:r w:rsidRPr="00CB74C8">
        <w:rPr>
          <w:rFonts w:ascii="Arial" w:hAnsi="Arial" w:cs="Arial"/>
          <w:b/>
          <w:color w:val="12294D"/>
          <w:sz w:val="32"/>
          <w:szCs w:val="32"/>
        </w:rPr>
        <w:t>Master of Business Administration</w:t>
      </w:r>
    </w:p>
    <w:p w14:paraId="68B326F0" w14:textId="6E0E40BB" w:rsidR="00A5617D" w:rsidRPr="00CB74C8" w:rsidRDefault="00A5617D" w:rsidP="00A5617D">
      <w:pPr>
        <w:jc w:val="center"/>
        <w:rPr>
          <w:rFonts w:ascii="Arial" w:hAnsi="Arial" w:cs="Arial"/>
        </w:rPr>
      </w:pPr>
      <w:r w:rsidRPr="00CB74C8">
        <w:rPr>
          <w:rFonts w:ascii="Arial" w:hAnsi="Arial" w:cs="Arial"/>
          <w:b/>
          <w:color w:val="2E6BB0"/>
          <w:sz w:val="26"/>
          <w:szCs w:val="26"/>
        </w:rPr>
        <w:t>Financial Management (LCMB7002)</w:t>
      </w:r>
    </w:p>
    <w:p w14:paraId="1ACCD725" w14:textId="56E2B7B0" w:rsidR="00495765" w:rsidRPr="00CB74C8" w:rsidRDefault="00495765" w:rsidP="00A5617D">
      <w:pPr>
        <w:jc w:val="center"/>
        <w:rPr>
          <w:rFonts w:ascii="Arial" w:hAnsi="Arial" w:cs="Arial"/>
          <w:b/>
          <w:color w:val="12294D"/>
          <w:sz w:val="36"/>
          <w:szCs w:val="28"/>
        </w:rPr>
      </w:pPr>
      <w:r w:rsidRPr="00CB74C8">
        <w:rPr>
          <w:rFonts w:ascii="Arial" w:hAnsi="Arial" w:cs="Arial"/>
          <w:b/>
          <w:color w:val="12294D"/>
          <w:sz w:val="36"/>
          <w:szCs w:val="28"/>
        </w:rPr>
        <w:t xml:space="preserve">Financial performance &amp; management report for Marriott International </w:t>
      </w:r>
    </w:p>
    <w:p w14:paraId="0DA8F428" w14:textId="13BED3B7" w:rsidR="00A5617D" w:rsidRPr="00CB74C8" w:rsidRDefault="00A5617D" w:rsidP="00A5617D">
      <w:pPr>
        <w:jc w:val="center"/>
        <w:rPr>
          <w:rFonts w:ascii="Arial" w:hAnsi="Arial" w:cs="Arial"/>
          <w:b/>
          <w:bCs w:val="0"/>
          <w:color w:val="7030A0"/>
          <w:sz w:val="36"/>
          <w:szCs w:val="36"/>
        </w:rPr>
      </w:pPr>
      <w:r w:rsidRPr="00CB74C8">
        <w:rPr>
          <w:rFonts w:ascii="Arial" w:hAnsi="Arial" w:cs="Arial"/>
          <w:b/>
          <w:color w:val="7030A0"/>
          <w:sz w:val="32"/>
          <w:szCs w:val="32"/>
        </w:rPr>
        <w:t>Assessment Component 1: Individual Report</w:t>
      </w:r>
    </w:p>
    <w:p w14:paraId="25AB5B54" w14:textId="77777777" w:rsidR="00A5617D" w:rsidRPr="00CB74C8" w:rsidRDefault="00A5617D" w:rsidP="00A5617D">
      <w:pPr>
        <w:rPr>
          <w:rFonts w:ascii="Arial" w:hAnsi="Arial" w:cs="Arial"/>
        </w:rPr>
      </w:pPr>
    </w:p>
    <w:tbl>
      <w:tblPr>
        <w:tblStyle w:val="TableGrid"/>
        <w:tblW w:w="0" w:type="auto"/>
        <w:jc w:val="center"/>
        <w:tblLook w:val="04A0" w:firstRow="1" w:lastRow="0" w:firstColumn="1" w:lastColumn="0" w:noHBand="0" w:noVBand="1"/>
      </w:tblPr>
      <w:tblGrid>
        <w:gridCol w:w="3000"/>
        <w:gridCol w:w="6000"/>
      </w:tblGrid>
      <w:tr w:rsidR="00A5617D" w:rsidRPr="00CB74C8" w14:paraId="5387B809" w14:textId="77777777" w:rsidTr="00F73D7A">
        <w:trPr>
          <w:jc w:val="center"/>
        </w:trPr>
        <w:tc>
          <w:tcPr>
            <w:tcW w:w="3000" w:type="dxa"/>
            <w:shd w:val="clear" w:color="EAF0F8" w:fill="EAF0F8"/>
            <w:vAlign w:val="center"/>
          </w:tcPr>
          <w:p w14:paraId="39DB7338" w14:textId="77777777" w:rsidR="00A5617D" w:rsidRPr="00CB74C8" w:rsidRDefault="00A5617D" w:rsidP="00F73D7A">
            <w:pPr>
              <w:spacing w:before="240" w:line="360" w:lineRule="auto"/>
              <w:jc w:val="center"/>
              <w:rPr>
                <w:b/>
                <w:color w:val="0070C0"/>
              </w:rPr>
            </w:pPr>
            <w:r w:rsidRPr="00CB74C8">
              <w:rPr>
                <w:b/>
                <w:color w:val="0070C0"/>
              </w:rPr>
              <w:t>Assessment Component</w:t>
            </w:r>
          </w:p>
        </w:tc>
        <w:tc>
          <w:tcPr>
            <w:tcW w:w="6000" w:type="dxa"/>
            <w:vAlign w:val="center"/>
          </w:tcPr>
          <w:p w14:paraId="32DFECAF" w14:textId="5021C9FF" w:rsidR="00A5617D" w:rsidRPr="00CB74C8" w:rsidRDefault="00A5617D" w:rsidP="00F73D7A">
            <w:pPr>
              <w:spacing w:before="240" w:line="360" w:lineRule="auto"/>
              <w:jc w:val="center"/>
              <w:rPr>
                <w:color w:val="0070C0"/>
              </w:rPr>
            </w:pPr>
            <w:r w:rsidRPr="00CB74C8">
              <w:rPr>
                <w:color w:val="0070C0"/>
              </w:rPr>
              <w:t>Individual Report</w:t>
            </w:r>
          </w:p>
        </w:tc>
      </w:tr>
      <w:tr w:rsidR="00A5617D" w:rsidRPr="00CB74C8" w14:paraId="793B5967" w14:textId="77777777" w:rsidTr="00F73D7A">
        <w:trPr>
          <w:jc w:val="center"/>
        </w:trPr>
        <w:tc>
          <w:tcPr>
            <w:tcW w:w="3000" w:type="dxa"/>
            <w:shd w:val="clear" w:color="EAF0F8" w:fill="EAF0F8"/>
            <w:vAlign w:val="center"/>
          </w:tcPr>
          <w:p w14:paraId="18AC0F88" w14:textId="77777777" w:rsidR="00A5617D" w:rsidRPr="00CB74C8" w:rsidRDefault="00A5617D" w:rsidP="00F73D7A">
            <w:pPr>
              <w:spacing w:before="240" w:line="360" w:lineRule="auto"/>
              <w:jc w:val="center"/>
              <w:rPr>
                <w:b/>
                <w:color w:val="0070C0"/>
              </w:rPr>
            </w:pPr>
            <w:r w:rsidRPr="00CB74C8">
              <w:rPr>
                <w:b/>
                <w:color w:val="0070C0"/>
              </w:rPr>
              <w:t>Student Name</w:t>
            </w:r>
          </w:p>
        </w:tc>
        <w:tc>
          <w:tcPr>
            <w:tcW w:w="6000" w:type="dxa"/>
            <w:vAlign w:val="center"/>
          </w:tcPr>
          <w:p w14:paraId="1BDC9B37" w14:textId="77777777" w:rsidR="00A5617D" w:rsidRPr="00CB74C8" w:rsidRDefault="00A5617D" w:rsidP="00F73D7A">
            <w:pPr>
              <w:spacing w:before="240" w:line="360" w:lineRule="auto"/>
              <w:jc w:val="center"/>
              <w:rPr>
                <w:color w:val="0070C0"/>
              </w:rPr>
            </w:pPr>
            <w:r w:rsidRPr="00CB74C8">
              <w:rPr>
                <w:color w:val="0070C0"/>
              </w:rPr>
              <w:t>Kathan Sanjaykumar Joshi</w:t>
            </w:r>
          </w:p>
        </w:tc>
      </w:tr>
      <w:tr w:rsidR="00A5617D" w:rsidRPr="00CB74C8" w14:paraId="6567195A" w14:textId="77777777" w:rsidTr="00F73D7A">
        <w:trPr>
          <w:jc w:val="center"/>
        </w:trPr>
        <w:tc>
          <w:tcPr>
            <w:tcW w:w="3000" w:type="dxa"/>
            <w:shd w:val="clear" w:color="EAF0F8" w:fill="EAF0F8"/>
            <w:vAlign w:val="center"/>
          </w:tcPr>
          <w:p w14:paraId="74E1CF1B" w14:textId="77777777" w:rsidR="00A5617D" w:rsidRPr="00CB74C8" w:rsidRDefault="00A5617D" w:rsidP="00F73D7A">
            <w:pPr>
              <w:spacing w:before="240" w:line="360" w:lineRule="auto"/>
              <w:jc w:val="center"/>
              <w:rPr>
                <w:b/>
                <w:color w:val="0070C0"/>
              </w:rPr>
            </w:pPr>
            <w:r w:rsidRPr="00CB74C8">
              <w:rPr>
                <w:b/>
                <w:color w:val="0070C0"/>
              </w:rPr>
              <w:t>Student ID</w:t>
            </w:r>
          </w:p>
        </w:tc>
        <w:tc>
          <w:tcPr>
            <w:tcW w:w="6000" w:type="dxa"/>
            <w:vAlign w:val="center"/>
          </w:tcPr>
          <w:p w14:paraId="15D34768" w14:textId="77777777" w:rsidR="00A5617D" w:rsidRPr="00CB74C8" w:rsidRDefault="00A5617D" w:rsidP="00F73D7A">
            <w:pPr>
              <w:spacing w:before="240" w:line="360" w:lineRule="auto"/>
              <w:jc w:val="center"/>
              <w:rPr>
                <w:color w:val="0070C0"/>
              </w:rPr>
            </w:pPr>
            <w:r w:rsidRPr="00CB74C8">
              <w:rPr>
                <w:color w:val="0070C0"/>
              </w:rPr>
              <w:t>2538334</w:t>
            </w:r>
          </w:p>
        </w:tc>
      </w:tr>
      <w:tr w:rsidR="00A5617D" w:rsidRPr="00CB74C8" w14:paraId="03AF7EAE" w14:textId="77777777" w:rsidTr="00F73D7A">
        <w:trPr>
          <w:jc w:val="center"/>
        </w:trPr>
        <w:tc>
          <w:tcPr>
            <w:tcW w:w="3000" w:type="dxa"/>
            <w:shd w:val="clear" w:color="EAF0F8" w:fill="EAF0F8"/>
            <w:vAlign w:val="center"/>
          </w:tcPr>
          <w:p w14:paraId="3F4470DB" w14:textId="77777777" w:rsidR="00A5617D" w:rsidRPr="00CB74C8" w:rsidRDefault="00A5617D" w:rsidP="00F73D7A">
            <w:pPr>
              <w:spacing w:before="240" w:line="360" w:lineRule="auto"/>
              <w:jc w:val="center"/>
              <w:rPr>
                <w:b/>
                <w:color w:val="0070C0"/>
              </w:rPr>
            </w:pPr>
            <w:r w:rsidRPr="00CB74C8">
              <w:rPr>
                <w:b/>
                <w:color w:val="0070C0"/>
              </w:rPr>
              <w:t>Programme</w:t>
            </w:r>
          </w:p>
        </w:tc>
        <w:tc>
          <w:tcPr>
            <w:tcW w:w="6000" w:type="dxa"/>
            <w:vAlign w:val="center"/>
          </w:tcPr>
          <w:p w14:paraId="3FAA4F42" w14:textId="77777777" w:rsidR="00A5617D" w:rsidRPr="00CB74C8" w:rsidRDefault="00A5617D" w:rsidP="00F73D7A">
            <w:pPr>
              <w:spacing w:before="240" w:line="360" w:lineRule="auto"/>
              <w:jc w:val="center"/>
              <w:rPr>
                <w:color w:val="0070C0"/>
              </w:rPr>
            </w:pPr>
            <w:r w:rsidRPr="00CB74C8">
              <w:rPr>
                <w:color w:val="0070C0"/>
              </w:rPr>
              <w:t>Master of Business Administration</w:t>
            </w:r>
          </w:p>
        </w:tc>
      </w:tr>
      <w:tr w:rsidR="00A5617D" w:rsidRPr="00CB74C8" w14:paraId="2326AD59" w14:textId="77777777" w:rsidTr="00F73D7A">
        <w:trPr>
          <w:jc w:val="center"/>
        </w:trPr>
        <w:tc>
          <w:tcPr>
            <w:tcW w:w="3000" w:type="dxa"/>
            <w:shd w:val="clear" w:color="EAF0F8" w:fill="EAF0F8"/>
            <w:vAlign w:val="center"/>
          </w:tcPr>
          <w:p w14:paraId="7E9B9BAB" w14:textId="77777777" w:rsidR="00A5617D" w:rsidRPr="00CB74C8" w:rsidRDefault="00A5617D" w:rsidP="00F73D7A">
            <w:pPr>
              <w:spacing w:before="240" w:line="360" w:lineRule="auto"/>
              <w:jc w:val="center"/>
              <w:rPr>
                <w:b/>
                <w:color w:val="0070C0"/>
              </w:rPr>
            </w:pPr>
            <w:r w:rsidRPr="00CB74C8">
              <w:rPr>
                <w:b/>
                <w:color w:val="0070C0"/>
              </w:rPr>
              <w:t>Module</w:t>
            </w:r>
          </w:p>
        </w:tc>
        <w:tc>
          <w:tcPr>
            <w:tcW w:w="6000" w:type="dxa"/>
            <w:vAlign w:val="center"/>
          </w:tcPr>
          <w:p w14:paraId="32AFF3BF" w14:textId="2E7238F8" w:rsidR="00A5617D" w:rsidRPr="00CB74C8" w:rsidRDefault="00495765" w:rsidP="00F73D7A">
            <w:pPr>
              <w:spacing w:before="240" w:line="360" w:lineRule="auto"/>
              <w:jc w:val="center"/>
              <w:rPr>
                <w:color w:val="0070C0"/>
              </w:rPr>
            </w:pPr>
            <w:r w:rsidRPr="00CB74C8">
              <w:rPr>
                <w:color w:val="0070C0"/>
              </w:rPr>
              <w:t>Financial</w:t>
            </w:r>
            <w:r w:rsidR="00A5617D" w:rsidRPr="00CB74C8">
              <w:rPr>
                <w:color w:val="0070C0"/>
              </w:rPr>
              <w:t xml:space="preserve"> Management (LCMB70</w:t>
            </w:r>
            <w:r w:rsidRPr="00CB74C8">
              <w:rPr>
                <w:color w:val="0070C0"/>
              </w:rPr>
              <w:t>02</w:t>
            </w:r>
            <w:r w:rsidR="00A5617D" w:rsidRPr="00CB74C8">
              <w:rPr>
                <w:color w:val="0070C0"/>
              </w:rPr>
              <w:t>)</w:t>
            </w:r>
          </w:p>
        </w:tc>
      </w:tr>
      <w:tr w:rsidR="00A5617D" w:rsidRPr="00CB74C8" w14:paraId="34CB59A3" w14:textId="77777777" w:rsidTr="00F73D7A">
        <w:trPr>
          <w:jc w:val="center"/>
        </w:trPr>
        <w:tc>
          <w:tcPr>
            <w:tcW w:w="3000" w:type="dxa"/>
            <w:shd w:val="clear" w:color="EAF0F8" w:fill="EAF0F8"/>
            <w:vAlign w:val="center"/>
          </w:tcPr>
          <w:p w14:paraId="1DD4E356" w14:textId="77777777" w:rsidR="00A5617D" w:rsidRPr="00CB74C8" w:rsidRDefault="00A5617D" w:rsidP="00F73D7A">
            <w:pPr>
              <w:spacing w:before="240" w:line="360" w:lineRule="auto"/>
              <w:jc w:val="center"/>
              <w:rPr>
                <w:b/>
                <w:color w:val="0070C0"/>
              </w:rPr>
            </w:pPr>
            <w:r w:rsidRPr="00CB74C8">
              <w:rPr>
                <w:b/>
                <w:color w:val="0070C0"/>
              </w:rPr>
              <w:t>Lecturer</w:t>
            </w:r>
          </w:p>
        </w:tc>
        <w:tc>
          <w:tcPr>
            <w:tcW w:w="6000" w:type="dxa"/>
            <w:vAlign w:val="center"/>
          </w:tcPr>
          <w:p w14:paraId="0B220FF8" w14:textId="63761C9F" w:rsidR="00A5617D" w:rsidRPr="00CB74C8" w:rsidRDefault="004C7225" w:rsidP="000A178C">
            <w:pPr>
              <w:spacing w:before="240" w:line="360" w:lineRule="auto"/>
              <w:jc w:val="center"/>
              <w:rPr>
                <w:color w:val="0070C0"/>
              </w:rPr>
            </w:pPr>
            <w:r w:rsidRPr="00CB74C8">
              <w:rPr>
                <w:color w:val="0070C0"/>
              </w:rPr>
              <w:t xml:space="preserve">Dr </w:t>
            </w:r>
            <w:proofErr w:type="spellStart"/>
            <w:r w:rsidRPr="00CB74C8">
              <w:rPr>
                <w:color w:val="0070C0"/>
              </w:rPr>
              <w:t>Shengfeng</w:t>
            </w:r>
            <w:proofErr w:type="spellEnd"/>
            <w:r w:rsidRPr="00CB74C8">
              <w:rPr>
                <w:color w:val="0070C0"/>
              </w:rPr>
              <w:t xml:space="preserve"> Mei</w:t>
            </w:r>
            <w:r w:rsidR="000A178C" w:rsidRPr="00CB74C8">
              <w:rPr>
                <w:color w:val="0070C0"/>
              </w:rPr>
              <w:t>/</w:t>
            </w:r>
            <w:r w:rsidR="00C45EED" w:rsidRPr="00CB74C8">
              <w:rPr>
                <w:bCs/>
                <w:color w:val="0070C0"/>
                <w:lang w:val="en-US"/>
              </w:rPr>
              <w:t>Patrick Yeboah</w:t>
            </w:r>
          </w:p>
        </w:tc>
      </w:tr>
      <w:tr w:rsidR="00A5617D" w:rsidRPr="00CB74C8" w14:paraId="047FC724" w14:textId="77777777" w:rsidTr="00F73D7A">
        <w:trPr>
          <w:jc w:val="center"/>
        </w:trPr>
        <w:tc>
          <w:tcPr>
            <w:tcW w:w="3000" w:type="dxa"/>
            <w:shd w:val="clear" w:color="EAF0F8" w:fill="EAF0F8"/>
            <w:vAlign w:val="center"/>
          </w:tcPr>
          <w:p w14:paraId="783A930F" w14:textId="77777777" w:rsidR="00A5617D" w:rsidRPr="00CB74C8" w:rsidRDefault="00A5617D" w:rsidP="00F73D7A">
            <w:pPr>
              <w:spacing w:before="240" w:line="360" w:lineRule="auto"/>
              <w:jc w:val="center"/>
              <w:rPr>
                <w:b/>
                <w:color w:val="0070C0"/>
              </w:rPr>
            </w:pPr>
            <w:r w:rsidRPr="00CB74C8">
              <w:rPr>
                <w:b/>
                <w:color w:val="0070C0"/>
              </w:rPr>
              <w:t>Word Count</w:t>
            </w:r>
          </w:p>
        </w:tc>
        <w:tc>
          <w:tcPr>
            <w:tcW w:w="6000" w:type="dxa"/>
            <w:vAlign w:val="center"/>
          </w:tcPr>
          <w:p w14:paraId="7A28A646" w14:textId="1D483449" w:rsidR="00A5617D" w:rsidRPr="00CB74C8" w:rsidRDefault="00495765" w:rsidP="00F73D7A">
            <w:pPr>
              <w:spacing w:before="240" w:line="360" w:lineRule="auto"/>
              <w:jc w:val="center"/>
              <w:rPr>
                <w:color w:val="0070C0"/>
              </w:rPr>
            </w:pPr>
            <w:r w:rsidRPr="00CB74C8">
              <w:rPr>
                <w:color w:val="0070C0"/>
              </w:rPr>
              <w:t>5,055</w:t>
            </w:r>
            <w:r w:rsidR="00A5617D" w:rsidRPr="00CB74C8">
              <w:rPr>
                <w:color w:val="0070C0"/>
              </w:rPr>
              <w:t xml:space="preserve"> words </w:t>
            </w:r>
          </w:p>
        </w:tc>
      </w:tr>
      <w:tr w:rsidR="00A5617D" w:rsidRPr="00CB74C8" w14:paraId="5AAC637D" w14:textId="77777777" w:rsidTr="00F73D7A">
        <w:trPr>
          <w:jc w:val="center"/>
        </w:trPr>
        <w:tc>
          <w:tcPr>
            <w:tcW w:w="3000" w:type="dxa"/>
            <w:shd w:val="clear" w:color="EAF0F8" w:fill="EAF0F8"/>
            <w:vAlign w:val="center"/>
          </w:tcPr>
          <w:p w14:paraId="35075F5C" w14:textId="77777777" w:rsidR="00A5617D" w:rsidRPr="00CB74C8" w:rsidRDefault="00A5617D" w:rsidP="00F73D7A">
            <w:pPr>
              <w:spacing w:before="240" w:line="360" w:lineRule="auto"/>
              <w:jc w:val="center"/>
              <w:rPr>
                <w:b/>
                <w:color w:val="0070C0"/>
              </w:rPr>
            </w:pPr>
            <w:r w:rsidRPr="00CB74C8">
              <w:rPr>
                <w:b/>
                <w:color w:val="0070C0"/>
              </w:rPr>
              <w:t>Submission Date</w:t>
            </w:r>
          </w:p>
        </w:tc>
        <w:tc>
          <w:tcPr>
            <w:tcW w:w="6000" w:type="dxa"/>
            <w:vAlign w:val="center"/>
          </w:tcPr>
          <w:p w14:paraId="76E2177F" w14:textId="0A251899" w:rsidR="00A5617D" w:rsidRPr="00CB74C8" w:rsidRDefault="00495765" w:rsidP="00F73D7A">
            <w:pPr>
              <w:spacing w:before="240" w:line="360" w:lineRule="auto"/>
              <w:jc w:val="center"/>
              <w:rPr>
                <w:color w:val="0070C0"/>
              </w:rPr>
            </w:pPr>
            <w:r w:rsidRPr="00CB74C8">
              <w:rPr>
                <w:color w:val="0070C0"/>
              </w:rPr>
              <w:t>1</w:t>
            </w:r>
            <w:r w:rsidR="003C1C72">
              <w:rPr>
                <w:color w:val="0070C0"/>
              </w:rPr>
              <w:t>2</w:t>
            </w:r>
            <w:r w:rsidRPr="00CB74C8">
              <w:rPr>
                <w:color w:val="0070C0"/>
                <w:vertAlign w:val="superscript"/>
              </w:rPr>
              <w:t>th</w:t>
            </w:r>
            <w:r w:rsidRPr="00CB74C8">
              <w:rPr>
                <w:color w:val="0070C0"/>
              </w:rPr>
              <w:t xml:space="preserve"> August,</w:t>
            </w:r>
            <w:r w:rsidR="00A5617D" w:rsidRPr="00CB74C8">
              <w:rPr>
                <w:color w:val="0070C0"/>
              </w:rPr>
              <w:t xml:space="preserve"> 2026</w:t>
            </w:r>
          </w:p>
        </w:tc>
      </w:tr>
    </w:tbl>
    <w:p w14:paraId="5C52E64E" w14:textId="39B0138A" w:rsidR="009D0F23" w:rsidRPr="00CB74C8" w:rsidRDefault="009D0F23" w:rsidP="00B469AF">
      <w:pPr>
        <w:rPr>
          <w:rFonts w:ascii="Arial" w:hAnsi="Arial" w:cs="Arial"/>
        </w:rPr>
      </w:pPr>
      <w:r w:rsidRPr="00CB74C8">
        <w:rPr>
          <w:rFonts w:ascii="Arial" w:hAnsi="Arial" w:cs="Arial"/>
          <w:b/>
          <w:bCs w:val="0"/>
          <w:szCs w:val="24"/>
        </w:rPr>
        <w:br w:type="page"/>
      </w:r>
    </w:p>
    <w:sdt>
      <w:sdtPr>
        <w:rPr>
          <w:rFonts w:ascii="Arial" w:eastAsiaTheme="minorHAnsi" w:hAnsi="Arial" w:cs="Arial"/>
          <w:bCs/>
          <w:color w:val="auto"/>
          <w:kern w:val="2"/>
          <w:sz w:val="24"/>
          <w:szCs w:val="24"/>
          <w14:ligatures w14:val="standardContextual"/>
        </w:rPr>
        <w:id w:val="1068074403"/>
        <w:docPartObj>
          <w:docPartGallery w:val="Table of Contents"/>
          <w:docPartUnique/>
        </w:docPartObj>
      </w:sdtPr>
      <w:sdtEndPr>
        <w:rPr>
          <w:b/>
          <w:noProof/>
        </w:rPr>
      </w:sdtEndPr>
      <w:sdtContent>
        <w:p w14:paraId="3BDC6AB1" w14:textId="69709A1A" w:rsidR="00B469AF" w:rsidRPr="00CB74C8" w:rsidRDefault="00B469AF" w:rsidP="00B469AF">
          <w:pPr>
            <w:pStyle w:val="TOCHeading"/>
            <w:spacing w:before="0" w:line="480" w:lineRule="auto"/>
            <w:rPr>
              <w:rFonts w:ascii="Arial" w:hAnsi="Arial" w:cs="Arial"/>
              <w:b/>
              <w:bCs/>
              <w:color w:val="auto"/>
              <w:sz w:val="24"/>
              <w:szCs w:val="24"/>
            </w:rPr>
          </w:pPr>
          <w:r w:rsidRPr="00CB74C8">
            <w:rPr>
              <w:rFonts w:ascii="Arial" w:hAnsi="Arial" w:cs="Arial"/>
              <w:b/>
              <w:bCs/>
              <w:color w:val="auto"/>
              <w:sz w:val="24"/>
              <w:szCs w:val="24"/>
            </w:rPr>
            <w:t>Table of Contents</w:t>
          </w:r>
        </w:p>
        <w:p w14:paraId="0A8FCCF7" w14:textId="78593C10" w:rsidR="001E3B12" w:rsidRPr="00CB74C8" w:rsidRDefault="00B469AF">
          <w:pPr>
            <w:pStyle w:val="TOC1"/>
            <w:tabs>
              <w:tab w:val="left" w:pos="480"/>
              <w:tab w:val="right" w:leader="dot" w:pos="9016"/>
            </w:tabs>
            <w:rPr>
              <w:rFonts w:ascii="Arial" w:eastAsiaTheme="minorEastAsia" w:hAnsi="Arial" w:cs="Arial"/>
              <w:bCs w:val="0"/>
              <w:noProof/>
              <w:szCs w:val="24"/>
              <w:lang w:val="en-IN" w:eastAsia="en-IN" w:bidi="gu-IN"/>
            </w:rPr>
          </w:pPr>
          <w:r w:rsidRPr="00CB74C8">
            <w:rPr>
              <w:rFonts w:ascii="Arial" w:hAnsi="Arial" w:cs="Arial"/>
              <w:szCs w:val="24"/>
            </w:rPr>
            <w:fldChar w:fldCharType="begin"/>
          </w:r>
          <w:r w:rsidRPr="00CB74C8">
            <w:rPr>
              <w:rFonts w:ascii="Arial" w:hAnsi="Arial" w:cs="Arial"/>
              <w:szCs w:val="24"/>
            </w:rPr>
            <w:instrText xml:space="preserve"> TOC \o "1-3" \h \z \u </w:instrText>
          </w:r>
          <w:r w:rsidRPr="00CB74C8">
            <w:rPr>
              <w:rFonts w:ascii="Arial" w:hAnsi="Arial" w:cs="Arial"/>
              <w:szCs w:val="24"/>
            </w:rPr>
            <w:fldChar w:fldCharType="separate"/>
          </w:r>
          <w:hyperlink w:anchor="_Toc237459238" w:history="1">
            <w:r w:rsidR="001E3B12" w:rsidRPr="00CB74C8">
              <w:rPr>
                <w:rStyle w:val="Hyperlink"/>
                <w:rFonts w:ascii="Arial" w:hAnsi="Arial" w:cs="Arial"/>
                <w:noProof/>
              </w:rPr>
              <w:t>1.</w:t>
            </w:r>
            <w:r w:rsidR="001E3B12" w:rsidRPr="00CB74C8">
              <w:rPr>
                <w:rFonts w:ascii="Arial" w:eastAsiaTheme="minorEastAsia" w:hAnsi="Arial" w:cs="Arial"/>
                <w:bCs w:val="0"/>
                <w:noProof/>
                <w:szCs w:val="24"/>
                <w:lang w:val="en-IN" w:eastAsia="en-IN" w:bidi="gu-IN"/>
              </w:rPr>
              <w:tab/>
            </w:r>
            <w:r w:rsidR="001E3B12" w:rsidRPr="00CB74C8">
              <w:rPr>
                <w:rStyle w:val="Hyperlink"/>
                <w:rFonts w:ascii="Arial" w:hAnsi="Arial" w:cs="Arial"/>
                <w:noProof/>
              </w:rPr>
              <w:t>Financial Health Analysis</w:t>
            </w:r>
            <w:r w:rsidR="001E3B12" w:rsidRPr="00CB74C8">
              <w:rPr>
                <w:rFonts w:ascii="Arial" w:hAnsi="Arial" w:cs="Arial"/>
                <w:noProof/>
                <w:webHidden/>
              </w:rPr>
              <w:tab/>
            </w:r>
            <w:r w:rsidR="001E3B12" w:rsidRPr="00CB74C8">
              <w:rPr>
                <w:rFonts w:ascii="Arial" w:hAnsi="Arial" w:cs="Arial"/>
                <w:noProof/>
                <w:webHidden/>
              </w:rPr>
              <w:fldChar w:fldCharType="begin"/>
            </w:r>
            <w:r w:rsidR="001E3B12" w:rsidRPr="00CB74C8">
              <w:rPr>
                <w:rFonts w:ascii="Arial" w:hAnsi="Arial" w:cs="Arial"/>
                <w:noProof/>
                <w:webHidden/>
              </w:rPr>
              <w:instrText xml:space="preserve"> PAGEREF _Toc237459238 \h </w:instrText>
            </w:r>
            <w:r w:rsidR="001E3B12" w:rsidRPr="00CB74C8">
              <w:rPr>
                <w:rFonts w:ascii="Arial" w:hAnsi="Arial" w:cs="Arial"/>
                <w:noProof/>
                <w:webHidden/>
              </w:rPr>
            </w:r>
            <w:r w:rsidR="001E3B12" w:rsidRPr="00CB74C8">
              <w:rPr>
                <w:rFonts w:ascii="Arial" w:hAnsi="Arial" w:cs="Arial"/>
                <w:noProof/>
                <w:webHidden/>
              </w:rPr>
              <w:fldChar w:fldCharType="separate"/>
            </w:r>
            <w:r w:rsidR="00F012DC">
              <w:rPr>
                <w:rFonts w:ascii="Arial" w:hAnsi="Arial" w:cs="Arial"/>
                <w:noProof/>
                <w:webHidden/>
              </w:rPr>
              <w:t>4</w:t>
            </w:r>
            <w:r w:rsidR="001E3B12" w:rsidRPr="00CB74C8">
              <w:rPr>
                <w:rFonts w:ascii="Arial" w:hAnsi="Arial" w:cs="Arial"/>
                <w:noProof/>
                <w:webHidden/>
              </w:rPr>
              <w:fldChar w:fldCharType="end"/>
            </w:r>
          </w:hyperlink>
        </w:p>
        <w:p w14:paraId="49B6CEB6" w14:textId="5D8FC4E7"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39" w:history="1">
            <w:r w:rsidRPr="00CB74C8">
              <w:rPr>
                <w:rStyle w:val="Hyperlink"/>
                <w:rFonts w:ascii="Arial" w:hAnsi="Arial" w:cs="Arial"/>
                <w:noProof/>
                <w:lang w:val="en-IN"/>
              </w:rPr>
              <w:t>1.1.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Income Statement</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_Toc237459239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4</w:t>
            </w:r>
            <w:r w:rsidRPr="00CB74C8">
              <w:rPr>
                <w:rFonts w:ascii="Arial" w:hAnsi="Arial" w:cs="Arial"/>
                <w:noProof/>
                <w:webHidden/>
              </w:rPr>
              <w:fldChar w:fldCharType="end"/>
            </w:r>
          </w:hyperlink>
        </w:p>
        <w:p w14:paraId="0524F1B0" w14:textId="604D391E"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40" w:history="1">
            <w:r w:rsidRPr="00CB74C8">
              <w:rPr>
                <w:rStyle w:val="Hyperlink"/>
                <w:rFonts w:ascii="Arial" w:hAnsi="Arial" w:cs="Arial"/>
                <w:noProof/>
              </w:rPr>
              <w:t>1.2.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Balance Sheet</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_Toc237459240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5</w:t>
            </w:r>
            <w:r w:rsidRPr="00CB74C8">
              <w:rPr>
                <w:rFonts w:ascii="Arial" w:hAnsi="Arial" w:cs="Arial"/>
                <w:noProof/>
                <w:webHidden/>
              </w:rPr>
              <w:fldChar w:fldCharType="end"/>
            </w:r>
          </w:hyperlink>
        </w:p>
        <w:p w14:paraId="7558B10B" w14:textId="2AAFD829"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41" w:history="1">
            <w:r w:rsidRPr="00CB74C8">
              <w:rPr>
                <w:rStyle w:val="Hyperlink"/>
                <w:rFonts w:ascii="Arial" w:hAnsi="Arial" w:cs="Arial"/>
                <w:noProof/>
              </w:rPr>
              <w:t>1.3.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Cash Flow Statement</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_Toc237459241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5</w:t>
            </w:r>
            <w:r w:rsidRPr="00CB74C8">
              <w:rPr>
                <w:rFonts w:ascii="Arial" w:hAnsi="Arial" w:cs="Arial"/>
                <w:noProof/>
                <w:webHidden/>
              </w:rPr>
              <w:fldChar w:fldCharType="end"/>
            </w:r>
          </w:hyperlink>
        </w:p>
        <w:p w14:paraId="668CF778" w14:textId="3F85B067"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42" w:history="1">
            <w:r w:rsidRPr="00CB74C8">
              <w:rPr>
                <w:rStyle w:val="Hyperlink"/>
                <w:rFonts w:ascii="Arial" w:hAnsi="Arial" w:cs="Arial"/>
                <w:noProof/>
              </w:rPr>
              <w:t>1.4.</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Ratio Analysis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_Toc237459242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6</w:t>
            </w:r>
            <w:r w:rsidRPr="00CB74C8">
              <w:rPr>
                <w:rFonts w:ascii="Arial" w:hAnsi="Arial" w:cs="Arial"/>
                <w:noProof/>
                <w:webHidden/>
              </w:rPr>
              <w:fldChar w:fldCharType="end"/>
            </w:r>
          </w:hyperlink>
        </w:p>
        <w:p w14:paraId="48FE95D4" w14:textId="09E0ED3D" w:rsidR="001E3B12" w:rsidRPr="00CB74C8" w:rsidRDefault="001E3B12">
          <w:pPr>
            <w:pStyle w:val="TOC3"/>
            <w:tabs>
              <w:tab w:val="left" w:pos="1440"/>
              <w:tab w:val="right" w:leader="dot" w:pos="9016"/>
            </w:tabs>
            <w:rPr>
              <w:rFonts w:ascii="Arial" w:eastAsiaTheme="minorEastAsia" w:hAnsi="Arial" w:cs="Arial"/>
              <w:bCs w:val="0"/>
              <w:noProof/>
              <w:szCs w:val="24"/>
              <w:lang w:val="en-IN" w:eastAsia="en-IN" w:bidi="gu-IN"/>
            </w:rPr>
          </w:pPr>
          <w:hyperlink w:anchor="_Toc237459243" w:history="1">
            <w:r w:rsidRPr="00CB74C8">
              <w:rPr>
                <w:rStyle w:val="Hyperlink"/>
                <w:rFonts w:ascii="Arial" w:hAnsi="Arial" w:cs="Arial"/>
                <w:noProof/>
              </w:rPr>
              <w:t>1.4.1.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Profitability Performance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_Toc237459243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6</w:t>
            </w:r>
            <w:r w:rsidRPr="00CB74C8">
              <w:rPr>
                <w:rFonts w:ascii="Arial" w:hAnsi="Arial" w:cs="Arial"/>
                <w:noProof/>
                <w:webHidden/>
              </w:rPr>
              <w:fldChar w:fldCharType="end"/>
            </w:r>
          </w:hyperlink>
        </w:p>
        <w:p w14:paraId="69C6BAAF" w14:textId="545AA5D5" w:rsidR="001E3B12" w:rsidRPr="00CB74C8" w:rsidRDefault="001E3B12">
          <w:pPr>
            <w:pStyle w:val="TOC3"/>
            <w:tabs>
              <w:tab w:val="left" w:pos="1440"/>
              <w:tab w:val="right" w:leader="dot" w:pos="9016"/>
            </w:tabs>
            <w:rPr>
              <w:rFonts w:ascii="Arial" w:eastAsiaTheme="minorEastAsia" w:hAnsi="Arial" w:cs="Arial"/>
              <w:bCs w:val="0"/>
              <w:noProof/>
              <w:szCs w:val="24"/>
              <w:lang w:val="en-IN" w:eastAsia="en-IN" w:bidi="gu-IN"/>
            </w:rPr>
          </w:pPr>
          <w:hyperlink w:anchor="_Toc237459244" w:history="1">
            <w:r w:rsidRPr="00CB74C8">
              <w:rPr>
                <w:rStyle w:val="Hyperlink"/>
                <w:rFonts w:ascii="Arial" w:hAnsi="Arial" w:cs="Arial"/>
                <w:noProof/>
              </w:rPr>
              <w:t>1.4.2.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Liquidity Position</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_Toc237459244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7</w:t>
            </w:r>
            <w:r w:rsidRPr="00CB74C8">
              <w:rPr>
                <w:rFonts w:ascii="Arial" w:hAnsi="Arial" w:cs="Arial"/>
                <w:noProof/>
                <w:webHidden/>
              </w:rPr>
              <w:fldChar w:fldCharType="end"/>
            </w:r>
          </w:hyperlink>
        </w:p>
        <w:p w14:paraId="07F4AF28" w14:textId="644534FA" w:rsidR="001E3B12" w:rsidRPr="00CB74C8" w:rsidRDefault="001E3B12">
          <w:pPr>
            <w:pStyle w:val="TOC3"/>
            <w:tabs>
              <w:tab w:val="left" w:pos="1440"/>
              <w:tab w:val="right" w:leader="dot" w:pos="9016"/>
            </w:tabs>
            <w:rPr>
              <w:rFonts w:ascii="Arial" w:eastAsiaTheme="minorEastAsia" w:hAnsi="Arial" w:cs="Arial"/>
              <w:bCs w:val="0"/>
              <w:noProof/>
              <w:szCs w:val="24"/>
              <w:lang w:val="en-IN" w:eastAsia="en-IN" w:bidi="gu-IN"/>
            </w:rPr>
          </w:pPr>
          <w:hyperlink w:anchor="_Toc237459245" w:history="1">
            <w:r w:rsidRPr="00CB74C8">
              <w:rPr>
                <w:rStyle w:val="Hyperlink"/>
                <w:rFonts w:ascii="Arial" w:hAnsi="Arial" w:cs="Arial"/>
                <w:noProof/>
              </w:rPr>
              <w:t>1.4.3.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Efficiency Performance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_Toc237459245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8</w:t>
            </w:r>
            <w:r w:rsidRPr="00CB74C8">
              <w:rPr>
                <w:rFonts w:ascii="Arial" w:hAnsi="Arial" w:cs="Arial"/>
                <w:noProof/>
                <w:webHidden/>
              </w:rPr>
              <w:fldChar w:fldCharType="end"/>
            </w:r>
          </w:hyperlink>
        </w:p>
        <w:p w14:paraId="50F0545E" w14:textId="1337BB5C" w:rsidR="001E3B12" w:rsidRPr="00CB74C8" w:rsidRDefault="001E3B12">
          <w:pPr>
            <w:pStyle w:val="TOC3"/>
            <w:tabs>
              <w:tab w:val="left" w:pos="1440"/>
              <w:tab w:val="right" w:leader="dot" w:pos="9016"/>
            </w:tabs>
            <w:rPr>
              <w:rFonts w:ascii="Arial" w:eastAsiaTheme="minorEastAsia" w:hAnsi="Arial" w:cs="Arial"/>
              <w:bCs w:val="0"/>
              <w:noProof/>
              <w:szCs w:val="24"/>
              <w:lang w:val="en-IN" w:eastAsia="en-IN" w:bidi="gu-IN"/>
            </w:rPr>
          </w:pPr>
          <w:hyperlink w:anchor="_Toc237459246" w:history="1">
            <w:r w:rsidRPr="00CB74C8">
              <w:rPr>
                <w:rStyle w:val="Hyperlink"/>
                <w:rFonts w:ascii="Arial" w:hAnsi="Arial" w:cs="Arial"/>
                <w:noProof/>
              </w:rPr>
              <w:t>1.4.4.</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Gearing Position</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_Toc237459246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9</w:t>
            </w:r>
            <w:r w:rsidRPr="00CB74C8">
              <w:rPr>
                <w:rFonts w:ascii="Arial" w:hAnsi="Arial" w:cs="Arial"/>
                <w:noProof/>
                <w:webHidden/>
              </w:rPr>
              <w:fldChar w:fldCharType="end"/>
            </w:r>
          </w:hyperlink>
        </w:p>
        <w:p w14:paraId="2EE174E3" w14:textId="267C8065"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47" w:history="1">
            <w:r w:rsidRPr="00CB74C8">
              <w:rPr>
                <w:rStyle w:val="Hyperlink"/>
                <w:rFonts w:ascii="Arial" w:hAnsi="Arial" w:cs="Arial"/>
                <w:noProof/>
              </w:rPr>
              <w:t>1.5.</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Market Performance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_Toc237459247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9</w:t>
            </w:r>
            <w:r w:rsidRPr="00CB74C8">
              <w:rPr>
                <w:rFonts w:ascii="Arial" w:hAnsi="Arial" w:cs="Arial"/>
                <w:noProof/>
                <w:webHidden/>
              </w:rPr>
              <w:fldChar w:fldCharType="end"/>
            </w:r>
          </w:hyperlink>
        </w:p>
        <w:p w14:paraId="1A4E0108" w14:textId="3D64858B" w:rsidR="001E3B12" w:rsidRPr="00CB74C8" w:rsidRDefault="001E3B12">
          <w:pPr>
            <w:pStyle w:val="TOC3"/>
            <w:tabs>
              <w:tab w:val="left" w:pos="1440"/>
              <w:tab w:val="right" w:leader="dot" w:pos="9016"/>
            </w:tabs>
            <w:rPr>
              <w:rFonts w:ascii="Arial" w:eastAsiaTheme="minorEastAsia" w:hAnsi="Arial" w:cs="Arial"/>
              <w:bCs w:val="0"/>
              <w:noProof/>
              <w:szCs w:val="24"/>
              <w:lang w:val="en-IN" w:eastAsia="en-IN" w:bidi="gu-IN"/>
            </w:rPr>
          </w:pPr>
          <w:hyperlink w:anchor="_Toc237459248" w:history="1">
            <w:r w:rsidRPr="00CB74C8">
              <w:rPr>
                <w:rStyle w:val="Hyperlink"/>
                <w:rFonts w:ascii="Arial" w:hAnsi="Arial" w:cs="Arial"/>
                <w:noProof/>
              </w:rPr>
              <w:t>1.5.1.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Cash Flow</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_Toc237459248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10</w:t>
            </w:r>
            <w:r w:rsidRPr="00CB74C8">
              <w:rPr>
                <w:rFonts w:ascii="Arial" w:hAnsi="Arial" w:cs="Arial"/>
                <w:noProof/>
                <w:webHidden/>
              </w:rPr>
              <w:fldChar w:fldCharType="end"/>
            </w:r>
          </w:hyperlink>
        </w:p>
        <w:p w14:paraId="3D8A5E35" w14:textId="1D58401F"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49" w:history="1">
            <w:r w:rsidRPr="00CB74C8">
              <w:rPr>
                <w:rStyle w:val="Hyperlink"/>
                <w:rFonts w:ascii="Arial" w:hAnsi="Arial" w:cs="Arial"/>
                <w:noProof/>
              </w:rPr>
              <w:t>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Working Capital Management Analysis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_Toc237459249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10</w:t>
            </w:r>
            <w:r w:rsidRPr="00CB74C8">
              <w:rPr>
                <w:rFonts w:ascii="Arial" w:hAnsi="Arial" w:cs="Arial"/>
                <w:noProof/>
                <w:webHidden/>
              </w:rPr>
              <w:fldChar w:fldCharType="end"/>
            </w:r>
          </w:hyperlink>
        </w:p>
        <w:p w14:paraId="004CE9FB" w14:textId="76580D96"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0" w:history="1">
            <w:r w:rsidRPr="00CB74C8">
              <w:rPr>
                <w:rStyle w:val="Hyperlink"/>
                <w:rFonts w:ascii="Arial" w:hAnsi="Arial" w:cs="Arial"/>
                <w:noProof/>
              </w:rPr>
              <w:t>2.1.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Cash Operating Cycle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_Toc237459250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10</w:t>
            </w:r>
            <w:r w:rsidRPr="00CB74C8">
              <w:rPr>
                <w:rFonts w:ascii="Arial" w:hAnsi="Arial" w:cs="Arial"/>
                <w:noProof/>
                <w:webHidden/>
              </w:rPr>
              <w:fldChar w:fldCharType="end"/>
            </w:r>
          </w:hyperlink>
        </w:p>
        <w:p w14:paraId="21B8E3AE" w14:textId="5966967B"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1" w:history="1">
            <w:r w:rsidRPr="00CB74C8">
              <w:rPr>
                <w:rStyle w:val="Hyperlink"/>
                <w:rFonts w:ascii="Arial" w:hAnsi="Arial" w:cs="Arial"/>
                <w:noProof/>
              </w:rPr>
              <w:t>2.2.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Comparison between Short-Term and Long-Term Financing Options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_Toc237459251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13</w:t>
            </w:r>
            <w:r w:rsidRPr="00CB74C8">
              <w:rPr>
                <w:rFonts w:ascii="Arial" w:hAnsi="Arial" w:cs="Arial"/>
                <w:noProof/>
                <w:webHidden/>
              </w:rPr>
              <w:fldChar w:fldCharType="end"/>
            </w:r>
          </w:hyperlink>
        </w:p>
        <w:p w14:paraId="4D03451B" w14:textId="747A5D33"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52" w:history="1">
            <w:r w:rsidRPr="00CB74C8">
              <w:rPr>
                <w:rStyle w:val="Hyperlink"/>
                <w:rFonts w:ascii="Arial" w:hAnsi="Arial" w:cs="Arial"/>
                <w:noProof/>
              </w:rPr>
              <w:t>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Strategic Financial Restructuring Plan</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_Toc237459252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13</w:t>
            </w:r>
            <w:r w:rsidRPr="00CB74C8">
              <w:rPr>
                <w:rFonts w:ascii="Arial" w:hAnsi="Arial" w:cs="Arial"/>
                <w:noProof/>
                <w:webHidden/>
              </w:rPr>
              <w:fldChar w:fldCharType="end"/>
            </w:r>
          </w:hyperlink>
        </w:p>
        <w:p w14:paraId="117EFC32" w14:textId="2E5AE084"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3" w:history="1">
            <w:r w:rsidRPr="00CB74C8">
              <w:rPr>
                <w:rStyle w:val="Hyperlink"/>
                <w:rFonts w:ascii="Arial" w:hAnsi="Arial" w:cs="Arial"/>
                <w:noProof/>
              </w:rPr>
              <w:t>3.1.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Financial Restructuring Options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_Toc237459253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13</w:t>
            </w:r>
            <w:r w:rsidRPr="00CB74C8">
              <w:rPr>
                <w:rFonts w:ascii="Arial" w:hAnsi="Arial" w:cs="Arial"/>
                <w:noProof/>
                <w:webHidden/>
              </w:rPr>
              <w:fldChar w:fldCharType="end"/>
            </w:r>
          </w:hyperlink>
        </w:p>
        <w:p w14:paraId="4F9DC668" w14:textId="660DEF4F"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4" w:history="1">
            <w:r w:rsidRPr="00CB74C8">
              <w:rPr>
                <w:rStyle w:val="Hyperlink"/>
                <w:rFonts w:ascii="Arial" w:hAnsi="Arial" w:cs="Arial"/>
                <w:noProof/>
              </w:rPr>
              <w:t>3.2.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Impact on Shareholder Value, Debt Structure, and Operational Flexibility</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_Toc237459254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15</w:t>
            </w:r>
            <w:r w:rsidRPr="00CB74C8">
              <w:rPr>
                <w:rFonts w:ascii="Arial" w:hAnsi="Arial" w:cs="Arial"/>
                <w:noProof/>
                <w:webHidden/>
              </w:rPr>
              <w:fldChar w:fldCharType="end"/>
            </w:r>
          </w:hyperlink>
        </w:p>
        <w:p w14:paraId="72D15F1E" w14:textId="5DEF9981"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5" w:history="1">
            <w:r w:rsidRPr="00CB74C8">
              <w:rPr>
                <w:rStyle w:val="Hyperlink"/>
                <w:rFonts w:ascii="Arial" w:hAnsi="Arial" w:cs="Arial"/>
                <w:noProof/>
              </w:rPr>
              <w:t>3.3.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International and Ethical Considerations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_Toc237459255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16</w:t>
            </w:r>
            <w:r w:rsidRPr="00CB74C8">
              <w:rPr>
                <w:rFonts w:ascii="Arial" w:hAnsi="Arial" w:cs="Arial"/>
                <w:noProof/>
                <w:webHidden/>
              </w:rPr>
              <w:fldChar w:fldCharType="end"/>
            </w:r>
          </w:hyperlink>
        </w:p>
        <w:p w14:paraId="653AEBD8" w14:textId="09281D69"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56" w:history="1">
            <w:r w:rsidRPr="00CB74C8">
              <w:rPr>
                <w:rStyle w:val="Hyperlink"/>
                <w:rFonts w:ascii="Arial" w:hAnsi="Arial" w:cs="Arial"/>
                <w:noProof/>
              </w:rPr>
              <w:t>4.</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Analysis of Projects’ Performance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_Toc237459256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16</w:t>
            </w:r>
            <w:r w:rsidRPr="00CB74C8">
              <w:rPr>
                <w:rFonts w:ascii="Arial" w:hAnsi="Arial" w:cs="Arial"/>
                <w:noProof/>
                <w:webHidden/>
              </w:rPr>
              <w:fldChar w:fldCharType="end"/>
            </w:r>
          </w:hyperlink>
        </w:p>
        <w:p w14:paraId="2076B7AE" w14:textId="1E8CF56B"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7" w:history="1">
            <w:r w:rsidRPr="00CB74C8">
              <w:rPr>
                <w:rStyle w:val="Hyperlink"/>
                <w:rFonts w:ascii="Arial" w:hAnsi="Arial" w:cs="Arial"/>
                <w:noProof/>
              </w:rPr>
              <w:t>4.1.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Payback Period (PBP)</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_Toc237459257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17</w:t>
            </w:r>
            <w:r w:rsidRPr="00CB74C8">
              <w:rPr>
                <w:rFonts w:ascii="Arial" w:hAnsi="Arial" w:cs="Arial"/>
                <w:noProof/>
                <w:webHidden/>
              </w:rPr>
              <w:fldChar w:fldCharType="end"/>
            </w:r>
          </w:hyperlink>
        </w:p>
        <w:p w14:paraId="05714B82" w14:textId="12E2BB48"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8" w:history="1">
            <w:r w:rsidRPr="00CB74C8">
              <w:rPr>
                <w:rStyle w:val="Hyperlink"/>
                <w:rFonts w:ascii="Arial" w:hAnsi="Arial" w:cs="Arial"/>
                <w:noProof/>
              </w:rPr>
              <w:t>4.2.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Net Present Value (NPV)</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_Toc237459258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18</w:t>
            </w:r>
            <w:r w:rsidRPr="00CB74C8">
              <w:rPr>
                <w:rFonts w:ascii="Arial" w:hAnsi="Arial" w:cs="Arial"/>
                <w:noProof/>
                <w:webHidden/>
              </w:rPr>
              <w:fldChar w:fldCharType="end"/>
            </w:r>
          </w:hyperlink>
        </w:p>
        <w:p w14:paraId="666A5DAA" w14:textId="2BF91868"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59" w:history="1">
            <w:r w:rsidRPr="00CB74C8">
              <w:rPr>
                <w:rStyle w:val="Hyperlink"/>
                <w:rFonts w:ascii="Arial" w:hAnsi="Arial" w:cs="Arial"/>
                <w:noProof/>
              </w:rPr>
              <w:t>4.3.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Internal Rate of Return (IRR)</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_Toc237459259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19</w:t>
            </w:r>
            <w:r w:rsidRPr="00CB74C8">
              <w:rPr>
                <w:rFonts w:ascii="Arial" w:hAnsi="Arial" w:cs="Arial"/>
                <w:noProof/>
                <w:webHidden/>
              </w:rPr>
              <w:fldChar w:fldCharType="end"/>
            </w:r>
          </w:hyperlink>
        </w:p>
        <w:p w14:paraId="19983FBE" w14:textId="7DB584AE"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0" w:history="1">
            <w:r w:rsidRPr="00CB74C8">
              <w:rPr>
                <w:rStyle w:val="Hyperlink"/>
                <w:rFonts w:ascii="Arial" w:hAnsi="Arial" w:cs="Arial"/>
                <w:noProof/>
              </w:rPr>
              <w:t>4.4.</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Profitability Index (PI)</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_Toc237459260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20</w:t>
            </w:r>
            <w:r w:rsidRPr="00CB74C8">
              <w:rPr>
                <w:rFonts w:ascii="Arial" w:hAnsi="Arial" w:cs="Arial"/>
                <w:noProof/>
                <w:webHidden/>
              </w:rPr>
              <w:fldChar w:fldCharType="end"/>
            </w:r>
          </w:hyperlink>
        </w:p>
        <w:p w14:paraId="00D20E9B" w14:textId="7392A7DC"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1" w:history="1">
            <w:r w:rsidRPr="00CB74C8">
              <w:rPr>
                <w:rStyle w:val="Hyperlink"/>
                <w:rFonts w:ascii="Arial" w:hAnsi="Arial" w:cs="Arial"/>
                <w:noProof/>
              </w:rPr>
              <w:t>4.5.</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Accounting Rate of Return (ARR)</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_Toc237459261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21</w:t>
            </w:r>
            <w:r w:rsidRPr="00CB74C8">
              <w:rPr>
                <w:rFonts w:ascii="Arial" w:hAnsi="Arial" w:cs="Arial"/>
                <w:noProof/>
                <w:webHidden/>
              </w:rPr>
              <w:fldChar w:fldCharType="end"/>
            </w:r>
          </w:hyperlink>
        </w:p>
        <w:p w14:paraId="1586F4BA" w14:textId="69723AE4"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2" w:history="1">
            <w:r w:rsidRPr="00CB74C8">
              <w:rPr>
                <w:rStyle w:val="Hyperlink"/>
                <w:rFonts w:ascii="Arial" w:hAnsi="Arial" w:cs="Arial"/>
                <w:noProof/>
              </w:rPr>
              <w:t>4.6.</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Recommendation</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_Toc237459262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22</w:t>
            </w:r>
            <w:r w:rsidRPr="00CB74C8">
              <w:rPr>
                <w:rFonts w:ascii="Arial" w:hAnsi="Arial" w:cs="Arial"/>
                <w:noProof/>
                <w:webHidden/>
              </w:rPr>
              <w:fldChar w:fldCharType="end"/>
            </w:r>
          </w:hyperlink>
        </w:p>
        <w:p w14:paraId="756741AF" w14:textId="5E0370E2"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3" w:history="1">
            <w:r w:rsidRPr="00CB74C8">
              <w:rPr>
                <w:rStyle w:val="Hyperlink"/>
                <w:rFonts w:ascii="Arial" w:hAnsi="Arial" w:cs="Arial"/>
                <w:noProof/>
              </w:rPr>
              <w:t>4.7.</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Capital Rationing</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_Toc237459263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22</w:t>
            </w:r>
            <w:r w:rsidRPr="00CB74C8">
              <w:rPr>
                <w:rFonts w:ascii="Arial" w:hAnsi="Arial" w:cs="Arial"/>
                <w:noProof/>
                <w:webHidden/>
              </w:rPr>
              <w:fldChar w:fldCharType="end"/>
            </w:r>
          </w:hyperlink>
        </w:p>
        <w:p w14:paraId="154FD22C" w14:textId="56852566"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64" w:history="1">
            <w:r w:rsidRPr="00CB74C8">
              <w:rPr>
                <w:rStyle w:val="Hyperlink"/>
                <w:rFonts w:ascii="Arial" w:hAnsi="Arial" w:cs="Arial"/>
                <w:noProof/>
              </w:rPr>
              <w:t>5.</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Critical Reflection on AI Usage</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_Toc237459264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22</w:t>
            </w:r>
            <w:r w:rsidRPr="00CB74C8">
              <w:rPr>
                <w:rFonts w:ascii="Arial" w:hAnsi="Arial" w:cs="Arial"/>
                <w:noProof/>
                <w:webHidden/>
              </w:rPr>
              <w:fldChar w:fldCharType="end"/>
            </w:r>
          </w:hyperlink>
        </w:p>
        <w:p w14:paraId="323E99F5" w14:textId="7B4AFBF3"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65" w:history="1">
            <w:r w:rsidRPr="00CB74C8">
              <w:rPr>
                <w:rStyle w:val="Hyperlink"/>
                <w:rFonts w:ascii="Arial" w:hAnsi="Arial" w:cs="Arial"/>
                <w:noProof/>
              </w:rPr>
              <w:t>6.</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References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_Toc237459265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25</w:t>
            </w:r>
            <w:r w:rsidRPr="00CB74C8">
              <w:rPr>
                <w:rFonts w:ascii="Arial" w:hAnsi="Arial" w:cs="Arial"/>
                <w:noProof/>
                <w:webHidden/>
              </w:rPr>
              <w:fldChar w:fldCharType="end"/>
            </w:r>
          </w:hyperlink>
        </w:p>
        <w:p w14:paraId="26A519C8" w14:textId="3F253F0E" w:rsidR="001E3B12" w:rsidRPr="00CB74C8" w:rsidRDefault="001E3B12">
          <w:pPr>
            <w:pStyle w:val="TOC1"/>
            <w:tabs>
              <w:tab w:val="left" w:pos="480"/>
              <w:tab w:val="right" w:leader="dot" w:pos="9016"/>
            </w:tabs>
            <w:rPr>
              <w:rFonts w:ascii="Arial" w:eastAsiaTheme="minorEastAsia" w:hAnsi="Arial" w:cs="Arial"/>
              <w:bCs w:val="0"/>
              <w:noProof/>
              <w:szCs w:val="24"/>
              <w:lang w:val="en-IN" w:eastAsia="en-IN" w:bidi="gu-IN"/>
            </w:rPr>
          </w:pPr>
          <w:hyperlink w:anchor="_Toc237459266" w:history="1">
            <w:r w:rsidRPr="00CB74C8">
              <w:rPr>
                <w:rStyle w:val="Hyperlink"/>
                <w:rFonts w:ascii="Arial" w:hAnsi="Arial" w:cs="Arial"/>
                <w:noProof/>
              </w:rPr>
              <w:t>7.</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Appendices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_Toc237459266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29</w:t>
            </w:r>
            <w:r w:rsidRPr="00CB74C8">
              <w:rPr>
                <w:rFonts w:ascii="Arial" w:hAnsi="Arial" w:cs="Arial"/>
                <w:noProof/>
                <w:webHidden/>
              </w:rPr>
              <w:fldChar w:fldCharType="end"/>
            </w:r>
          </w:hyperlink>
        </w:p>
        <w:p w14:paraId="26DAD5F7" w14:textId="3C8DD3CC"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7" w:history="1">
            <w:r w:rsidRPr="00CB74C8">
              <w:rPr>
                <w:rStyle w:val="Hyperlink"/>
                <w:rFonts w:ascii="Arial" w:hAnsi="Arial" w:cs="Arial"/>
                <w:noProof/>
              </w:rPr>
              <w:t>7.1.</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Appendix 1: Vertical and Horizontal Analysis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_Toc237459267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29</w:t>
            </w:r>
            <w:r w:rsidRPr="00CB74C8">
              <w:rPr>
                <w:rFonts w:ascii="Arial" w:hAnsi="Arial" w:cs="Arial"/>
                <w:noProof/>
                <w:webHidden/>
              </w:rPr>
              <w:fldChar w:fldCharType="end"/>
            </w:r>
          </w:hyperlink>
        </w:p>
        <w:p w14:paraId="344F2312" w14:textId="1634C5E5"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8" w:history="1">
            <w:r w:rsidRPr="00CB74C8">
              <w:rPr>
                <w:rStyle w:val="Hyperlink"/>
                <w:rFonts w:ascii="Arial" w:hAnsi="Arial" w:cs="Arial"/>
                <w:noProof/>
              </w:rPr>
              <w:t>7.2.</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Appendix 2: Ratio Analysis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_Toc237459268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33</w:t>
            </w:r>
            <w:r w:rsidRPr="00CB74C8">
              <w:rPr>
                <w:rFonts w:ascii="Arial" w:hAnsi="Arial" w:cs="Arial"/>
                <w:noProof/>
                <w:webHidden/>
              </w:rPr>
              <w:fldChar w:fldCharType="end"/>
            </w:r>
          </w:hyperlink>
        </w:p>
        <w:p w14:paraId="5B01482C" w14:textId="58B21043" w:rsidR="001E3B12" w:rsidRPr="00CB74C8" w:rsidRDefault="001E3B12">
          <w:pPr>
            <w:pStyle w:val="TOC2"/>
            <w:tabs>
              <w:tab w:val="left" w:pos="960"/>
              <w:tab w:val="right" w:leader="dot" w:pos="9016"/>
            </w:tabs>
            <w:rPr>
              <w:rFonts w:ascii="Arial" w:eastAsiaTheme="minorEastAsia" w:hAnsi="Arial" w:cs="Arial"/>
              <w:bCs w:val="0"/>
              <w:noProof/>
              <w:szCs w:val="24"/>
              <w:lang w:val="en-IN" w:eastAsia="en-IN" w:bidi="gu-IN"/>
            </w:rPr>
          </w:pPr>
          <w:hyperlink w:anchor="_Toc237459269" w:history="1">
            <w:r w:rsidRPr="00CB74C8">
              <w:rPr>
                <w:rStyle w:val="Hyperlink"/>
                <w:rFonts w:ascii="Arial" w:hAnsi="Arial" w:cs="Arial"/>
                <w:noProof/>
              </w:rPr>
              <w:t>7.3.</w:t>
            </w:r>
            <w:r w:rsidRPr="00CB74C8">
              <w:rPr>
                <w:rFonts w:ascii="Arial" w:eastAsiaTheme="minorEastAsia" w:hAnsi="Arial" w:cs="Arial"/>
                <w:bCs w:val="0"/>
                <w:noProof/>
                <w:szCs w:val="24"/>
                <w:lang w:val="en-IN" w:eastAsia="en-IN" w:bidi="gu-IN"/>
              </w:rPr>
              <w:tab/>
            </w:r>
            <w:r w:rsidRPr="00CB74C8">
              <w:rPr>
                <w:rStyle w:val="Hyperlink"/>
                <w:rFonts w:ascii="Arial" w:hAnsi="Arial" w:cs="Arial"/>
                <w:noProof/>
              </w:rPr>
              <w:t>Appendix 3: PBP, NPV, IRR, PI, and ARR Calculations</w:t>
            </w:r>
            <w:r w:rsidRPr="00CB74C8">
              <w:rPr>
                <w:rFonts w:ascii="Arial" w:hAnsi="Arial" w:cs="Arial"/>
                <w:noProof/>
                <w:webHidden/>
              </w:rPr>
              <w:tab/>
            </w:r>
            <w:r w:rsidRPr="00CB74C8">
              <w:rPr>
                <w:rFonts w:ascii="Arial" w:hAnsi="Arial" w:cs="Arial"/>
                <w:noProof/>
                <w:webHidden/>
              </w:rPr>
              <w:fldChar w:fldCharType="begin"/>
            </w:r>
            <w:r w:rsidRPr="00CB74C8">
              <w:rPr>
                <w:rFonts w:ascii="Arial" w:hAnsi="Arial" w:cs="Arial"/>
                <w:noProof/>
                <w:webHidden/>
              </w:rPr>
              <w:instrText xml:space="preserve"> PAGEREF _Toc237459269 \h </w:instrText>
            </w:r>
            <w:r w:rsidRPr="00CB74C8">
              <w:rPr>
                <w:rFonts w:ascii="Arial" w:hAnsi="Arial" w:cs="Arial"/>
                <w:noProof/>
                <w:webHidden/>
              </w:rPr>
            </w:r>
            <w:r w:rsidRPr="00CB74C8">
              <w:rPr>
                <w:rFonts w:ascii="Arial" w:hAnsi="Arial" w:cs="Arial"/>
                <w:noProof/>
                <w:webHidden/>
              </w:rPr>
              <w:fldChar w:fldCharType="separate"/>
            </w:r>
            <w:r w:rsidR="00F012DC">
              <w:rPr>
                <w:rFonts w:ascii="Arial" w:hAnsi="Arial" w:cs="Arial"/>
                <w:noProof/>
                <w:webHidden/>
              </w:rPr>
              <w:t>34</w:t>
            </w:r>
            <w:r w:rsidRPr="00CB74C8">
              <w:rPr>
                <w:rFonts w:ascii="Arial" w:hAnsi="Arial" w:cs="Arial"/>
                <w:noProof/>
                <w:webHidden/>
              </w:rPr>
              <w:fldChar w:fldCharType="end"/>
            </w:r>
          </w:hyperlink>
        </w:p>
        <w:p w14:paraId="11F5CF43" w14:textId="5B3AA9A2" w:rsidR="00B469AF" w:rsidRPr="00CB74C8" w:rsidRDefault="00B469AF" w:rsidP="00B469AF">
          <w:pPr>
            <w:rPr>
              <w:rFonts w:ascii="Arial" w:hAnsi="Arial" w:cs="Arial"/>
              <w:szCs w:val="24"/>
            </w:rPr>
          </w:pPr>
          <w:r w:rsidRPr="00CB74C8">
            <w:rPr>
              <w:rFonts w:ascii="Arial" w:hAnsi="Arial" w:cs="Arial"/>
              <w:b/>
              <w:noProof/>
              <w:szCs w:val="24"/>
            </w:rPr>
            <w:fldChar w:fldCharType="end"/>
          </w:r>
        </w:p>
      </w:sdtContent>
    </w:sdt>
    <w:p w14:paraId="1C64E71A" w14:textId="77777777" w:rsidR="00B469AF" w:rsidRPr="00CB74C8" w:rsidRDefault="00B469AF" w:rsidP="00B469AF">
      <w:pPr>
        <w:rPr>
          <w:rFonts w:ascii="Arial" w:hAnsi="Arial" w:cs="Arial"/>
          <w:b/>
          <w:bCs w:val="0"/>
          <w:szCs w:val="24"/>
        </w:rPr>
      </w:pPr>
      <w:r w:rsidRPr="00CB74C8">
        <w:rPr>
          <w:rFonts w:ascii="Arial" w:hAnsi="Arial" w:cs="Arial"/>
          <w:szCs w:val="24"/>
        </w:rPr>
        <w:br w:type="page"/>
      </w:r>
    </w:p>
    <w:p w14:paraId="47CD5ADA" w14:textId="1B6F6AE7" w:rsidR="00FB7926" w:rsidRPr="00CB74C8" w:rsidRDefault="00AA0441" w:rsidP="00B469AF">
      <w:pPr>
        <w:pStyle w:val="Heading1"/>
        <w:rPr>
          <w:rFonts w:ascii="Arial" w:hAnsi="Arial" w:cs="Arial"/>
          <w:szCs w:val="24"/>
        </w:rPr>
      </w:pPr>
      <w:bookmarkStart w:id="0" w:name="_Toc237459238"/>
      <w:r w:rsidRPr="00CB74C8">
        <w:rPr>
          <w:rFonts w:ascii="Arial" w:hAnsi="Arial" w:cs="Arial"/>
          <w:szCs w:val="24"/>
        </w:rPr>
        <w:lastRenderedPageBreak/>
        <w:t>Financial Health Analysis</w:t>
      </w:r>
      <w:bookmarkEnd w:id="0"/>
    </w:p>
    <w:p w14:paraId="022CF16B" w14:textId="479FC117" w:rsidR="00E03AA3" w:rsidRPr="00CB74C8" w:rsidRDefault="00B87E63" w:rsidP="00B469AF">
      <w:pPr>
        <w:rPr>
          <w:rFonts w:ascii="Arial" w:hAnsi="Arial" w:cs="Arial"/>
          <w:szCs w:val="24"/>
        </w:rPr>
      </w:pPr>
      <w:r w:rsidRPr="00CB74C8">
        <w:rPr>
          <w:rFonts w:ascii="Arial" w:hAnsi="Arial" w:cs="Arial"/>
          <w:szCs w:val="24"/>
        </w:rPr>
        <w:t xml:space="preserve">The analysis of financial statements provides information about financial performance and position. The horizontal analysis helps to find trends in key elements, like revenue, net profit, equity, liabilities, assets, etc., of the financial statements. This analysis can estimate whether a company is growing, declining or fluctuating over recent periods. The vertical analysis also helps to evaluate financial statements to find </w:t>
      </w:r>
      <w:r w:rsidR="00701922" w:rsidRPr="00CB74C8">
        <w:rPr>
          <w:rFonts w:ascii="Arial" w:hAnsi="Arial" w:cs="Arial"/>
          <w:szCs w:val="24"/>
        </w:rPr>
        <w:t>changes in the composition of the income statement and balance sheet. It finds changes in the weight of cost factors against total revenue and different assets, liabilities and equity against total assets across different periods.</w:t>
      </w:r>
    </w:p>
    <w:p w14:paraId="4337B243" w14:textId="09F0E031" w:rsidR="00FB7FC6" w:rsidRPr="00CB74C8" w:rsidRDefault="00FB7FC6" w:rsidP="00B469AF">
      <w:pPr>
        <w:pStyle w:val="Heading2"/>
        <w:rPr>
          <w:rFonts w:ascii="Arial" w:hAnsi="Arial" w:cs="Arial"/>
          <w:szCs w:val="24"/>
          <w:lang w:val="en-IN"/>
        </w:rPr>
      </w:pPr>
      <w:bookmarkStart w:id="1" w:name="_Toc237459239"/>
      <w:r w:rsidRPr="00CB74C8">
        <w:rPr>
          <w:rFonts w:ascii="Arial" w:hAnsi="Arial" w:cs="Arial"/>
          <w:szCs w:val="24"/>
        </w:rPr>
        <w:t>Income Statement</w:t>
      </w:r>
      <w:bookmarkEnd w:id="1"/>
    </w:p>
    <w:p w14:paraId="515B3390" w14:textId="759EA37F" w:rsidR="008C6C50" w:rsidRPr="00CB74C8" w:rsidRDefault="00720DD8" w:rsidP="00B469AF">
      <w:pPr>
        <w:rPr>
          <w:rFonts w:ascii="Arial" w:hAnsi="Arial" w:cs="Arial"/>
          <w:szCs w:val="24"/>
        </w:rPr>
      </w:pPr>
      <w:r w:rsidRPr="00CB74C8">
        <w:rPr>
          <w:rFonts w:ascii="Arial" w:hAnsi="Arial" w:cs="Arial"/>
          <w:szCs w:val="24"/>
        </w:rPr>
        <w:t xml:space="preserve">The horizontal analysis of the income statement supports that </w:t>
      </w:r>
      <w:bookmarkStart w:id="2" w:name="_Hlk237010879"/>
      <w:r w:rsidRPr="00CB74C8">
        <w:rPr>
          <w:rFonts w:ascii="Arial" w:hAnsi="Arial" w:cs="Arial"/>
          <w:szCs w:val="24"/>
        </w:rPr>
        <w:t xml:space="preserve">Marriott International </w:t>
      </w:r>
      <w:bookmarkEnd w:id="2"/>
      <w:r w:rsidRPr="00CB74C8">
        <w:rPr>
          <w:rFonts w:ascii="Arial" w:hAnsi="Arial" w:cs="Arial"/>
          <w:szCs w:val="24"/>
        </w:rPr>
        <w:t xml:space="preserve">has increased its revenue growth between 2021 and 2025 by </w:t>
      </w:r>
      <w:r w:rsidR="00683689" w:rsidRPr="00CB74C8">
        <w:rPr>
          <w:rFonts w:ascii="Arial" w:hAnsi="Arial" w:cs="Arial"/>
          <w:szCs w:val="24"/>
        </w:rPr>
        <w:t>88.97</w:t>
      </w:r>
      <w:r w:rsidRPr="00CB74C8">
        <w:rPr>
          <w:rFonts w:ascii="Arial" w:hAnsi="Arial" w:cs="Arial"/>
          <w:szCs w:val="24"/>
        </w:rPr>
        <w:t xml:space="preserve">%, which is a lofty </w:t>
      </w:r>
      <w:r w:rsidR="00683689" w:rsidRPr="00CB74C8">
        <w:rPr>
          <w:rFonts w:ascii="Arial" w:hAnsi="Arial" w:cs="Arial"/>
          <w:szCs w:val="24"/>
        </w:rPr>
        <w:t xml:space="preserve">growth </w:t>
      </w:r>
      <w:r w:rsidRPr="00CB74C8">
        <w:rPr>
          <w:rFonts w:ascii="Arial" w:hAnsi="Arial" w:cs="Arial"/>
          <w:szCs w:val="24"/>
        </w:rPr>
        <w:t>in its revenue performance. The positive growth over the last five years supports its operational activities' expansion in the market.</w:t>
      </w:r>
      <w:r w:rsidR="00683689" w:rsidRPr="00CB74C8">
        <w:rPr>
          <w:rFonts w:ascii="Arial" w:hAnsi="Arial" w:cs="Arial"/>
          <w:szCs w:val="24"/>
        </w:rPr>
        <w:t xml:space="preserve"> </w:t>
      </w:r>
      <w:r w:rsidR="00C8099F" w:rsidRPr="00CB74C8">
        <w:rPr>
          <w:rFonts w:ascii="Arial" w:hAnsi="Arial" w:cs="Arial"/>
          <w:szCs w:val="24"/>
        </w:rPr>
        <w:t>The company increased its fees revenue, lease revenue, and cost reimbursement</w:t>
      </w:r>
      <w:r w:rsidR="00814BE3" w:rsidRPr="00CB74C8">
        <w:rPr>
          <w:rFonts w:ascii="Arial" w:hAnsi="Arial" w:cs="Arial"/>
          <w:szCs w:val="24"/>
        </w:rPr>
        <w:t xml:space="preserve"> </w:t>
      </w:r>
      <w:r w:rsidR="00910060" w:rsidRPr="00CB74C8">
        <w:rPr>
          <w:rFonts w:ascii="Arial" w:hAnsi="Arial" w:cs="Arial"/>
          <w:szCs w:val="24"/>
        </w:rPr>
        <w:t xml:space="preserve">over the last five years. </w:t>
      </w:r>
      <w:r w:rsidR="000B39BA" w:rsidRPr="00CB74C8">
        <w:rPr>
          <w:rFonts w:ascii="Arial" w:hAnsi="Arial" w:cs="Arial"/>
          <w:szCs w:val="24"/>
        </w:rPr>
        <w:t>The increase in owned, leased, and other expenses and reimbursed expenses was also noticed between 2025 and 2021. The increase in the operating profit supports an increase in financial growth between 2021 and 2025. The net income increased by 136.67% in 2025 compared with 2021, supporting an overall improvement in financial performance</w:t>
      </w:r>
      <w:r w:rsidR="00472A5F" w:rsidRPr="00CB74C8">
        <w:rPr>
          <w:rFonts w:ascii="Arial" w:hAnsi="Arial" w:cs="Arial"/>
          <w:szCs w:val="24"/>
        </w:rPr>
        <w:t xml:space="preserve"> (See Appendix 1)</w:t>
      </w:r>
      <w:r w:rsidR="000B39BA" w:rsidRPr="00CB74C8">
        <w:rPr>
          <w:rFonts w:ascii="Arial" w:hAnsi="Arial" w:cs="Arial"/>
          <w:szCs w:val="24"/>
        </w:rPr>
        <w:t>.</w:t>
      </w:r>
    </w:p>
    <w:p w14:paraId="2960EC53" w14:textId="7D1E98C1" w:rsidR="00FB7FC6" w:rsidRPr="00CB74C8" w:rsidRDefault="00FB7FC6" w:rsidP="00B469AF">
      <w:pPr>
        <w:rPr>
          <w:rFonts w:ascii="Arial" w:hAnsi="Arial" w:cs="Arial"/>
          <w:szCs w:val="24"/>
        </w:rPr>
      </w:pPr>
      <w:r w:rsidRPr="00CB74C8">
        <w:rPr>
          <w:rFonts w:ascii="Arial" w:hAnsi="Arial" w:cs="Arial"/>
          <w:szCs w:val="24"/>
        </w:rPr>
        <w:t xml:space="preserve">The vertical analysis </w:t>
      </w:r>
      <w:r w:rsidR="005A6785" w:rsidRPr="00CB74C8">
        <w:rPr>
          <w:rFonts w:ascii="Arial" w:hAnsi="Arial" w:cs="Arial"/>
          <w:szCs w:val="24"/>
        </w:rPr>
        <w:t>shows</w:t>
      </w:r>
      <w:r w:rsidRPr="00CB74C8">
        <w:rPr>
          <w:rFonts w:ascii="Arial" w:hAnsi="Arial" w:cs="Arial"/>
          <w:szCs w:val="24"/>
        </w:rPr>
        <w:t xml:space="preserve"> that Marriott has not </w:t>
      </w:r>
      <w:r w:rsidR="005A6785" w:rsidRPr="00CB74C8">
        <w:rPr>
          <w:rFonts w:ascii="Arial" w:hAnsi="Arial" w:cs="Arial"/>
          <w:szCs w:val="24"/>
        </w:rPr>
        <w:t xml:space="preserve">had </w:t>
      </w:r>
      <w:r w:rsidRPr="00CB74C8">
        <w:rPr>
          <w:rFonts w:ascii="Arial" w:hAnsi="Arial" w:cs="Arial"/>
          <w:szCs w:val="24"/>
        </w:rPr>
        <w:t xml:space="preserve">much change in </w:t>
      </w:r>
      <w:r w:rsidR="005A6785" w:rsidRPr="00CB74C8">
        <w:rPr>
          <w:rFonts w:ascii="Arial" w:hAnsi="Arial" w:cs="Arial"/>
          <w:szCs w:val="24"/>
        </w:rPr>
        <w:t xml:space="preserve">the </w:t>
      </w:r>
      <w:r w:rsidRPr="00CB74C8">
        <w:rPr>
          <w:rFonts w:ascii="Arial" w:hAnsi="Arial" w:cs="Arial"/>
          <w:szCs w:val="24"/>
        </w:rPr>
        <w:t xml:space="preserve">weight of its main </w:t>
      </w:r>
      <w:r w:rsidR="005A6785" w:rsidRPr="00CB74C8">
        <w:rPr>
          <w:rFonts w:ascii="Arial" w:hAnsi="Arial" w:cs="Arial"/>
          <w:szCs w:val="24"/>
        </w:rPr>
        <w:t>sources</w:t>
      </w:r>
      <w:r w:rsidRPr="00CB74C8">
        <w:rPr>
          <w:rFonts w:ascii="Arial" w:hAnsi="Arial" w:cs="Arial"/>
          <w:szCs w:val="24"/>
        </w:rPr>
        <w:t xml:space="preserve"> of income, including fees revenue, lease revenue, and </w:t>
      </w:r>
      <w:r w:rsidR="005A6785" w:rsidRPr="00CB74C8">
        <w:rPr>
          <w:rFonts w:ascii="Arial" w:hAnsi="Arial" w:cs="Arial"/>
          <w:szCs w:val="24"/>
        </w:rPr>
        <w:t>reimbursement</w:t>
      </w:r>
      <w:r w:rsidRPr="00CB74C8">
        <w:rPr>
          <w:rFonts w:ascii="Arial" w:hAnsi="Arial" w:cs="Arial"/>
          <w:szCs w:val="24"/>
        </w:rPr>
        <w:t xml:space="preserve"> revenue</w:t>
      </w:r>
      <w:r w:rsidR="005A6785" w:rsidRPr="00CB74C8">
        <w:rPr>
          <w:rFonts w:ascii="Arial" w:hAnsi="Arial" w:cs="Arial"/>
          <w:szCs w:val="24"/>
        </w:rPr>
        <w:t>,</w:t>
      </w:r>
      <w:r w:rsidRPr="00CB74C8">
        <w:rPr>
          <w:rFonts w:ascii="Arial" w:hAnsi="Arial" w:cs="Arial"/>
          <w:szCs w:val="24"/>
        </w:rPr>
        <w:t xml:space="preserve"> between 2025 and 2021. </w:t>
      </w:r>
      <w:r w:rsidR="00773A1F" w:rsidRPr="00CB74C8">
        <w:rPr>
          <w:rFonts w:ascii="Arial" w:hAnsi="Arial" w:cs="Arial"/>
          <w:szCs w:val="24"/>
        </w:rPr>
        <w:t xml:space="preserve">Operating income declined in 2025 and 2024 compared to 2023 and 2022. However, over the period, operating income increased. The main cost factors, including reimbursed expenses, lease expense, and general </w:t>
      </w:r>
      <w:r w:rsidR="00773A1F" w:rsidRPr="00CB74C8">
        <w:rPr>
          <w:rFonts w:ascii="Arial" w:hAnsi="Arial" w:cs="Arial"/>
          <w:szCs w:val="24"/>
        </w:rPr>
        <w:lastRenderedPageBreak/>
        <w:t xml:space="preserve">and administrative </w:t>
      </w:r>
      <w:r w:rsidR="000065C0" w:rsidRPr="00CB74C8">
        <w:rPr>
          <w:rFonts w:ascii="Arial" w:hAnsi="Arial" w:cs="Arial"/>
          <w:szCs w:val="24"/>
        </w:rPr>
        <w:t xml:space="preserve">expenses, </w:t>
      </w:r>
      <w:r w:rsidR="00773A1F" w:rsidRPr="00CB74C8">
        <w:rPr>
          <w:rFonts w:ascii="Arial" w:hAnsi="Arial" w:cs="Arial"/>
          <w:szCs w:val="24"/>
        </w:rPr>
        <w:t xml:space="preserve">were not much changed against revenue over the last five years. </w:t>
      </w:r>
      <w:r w:rsidR="000065C0" w:rsidRPr="00CB74C8">
        <w:rPr>
          <w:rFonts w:ascii="Arial" w:hAnsi="Arial" w:cs="Arial"/>
          <w:szCs w:val="24"/>
        </w:rPr>
        <w:t xml:space="preserve">The net income declined in 2025 and 2024 compared to 2023 and 2022, showing </w:t>
      </w:r>
      <w:r w:rsidR="000C7839" w:rsidRPr="00CB74C8">
        <w:rPr>
          <w:rFonts w:ascii="Arial" w:hAnsi="Arial" w:cs="Arial"/>
          <w:szCs w:val="24"/>
        </w:rPr>
        <w:t xml:space="preserve">an </w:t>
      </w:r>
      <w:r w:rsidR="000065C0" w:rsidRPr="00CB74C8">
        <w:rPr>
          <w:rFonts w:ascii="Arial" w:hAnsi="Arial" w:cs="Arial"/>
          <w:szCs w:val="24"/>
        </w:rPr>
        <w:t xml:space="preserve">overall decline in profitability performance recently. </w:t>
      </w:r>
    </w:p>
    <w:p w14:paraId="0C20ADA7" w14:textId="0DD34888" w:rsidR="006848E9" w:rsidRPr="001661EA" w:rsidRDefault="00FB7FC6" w:rsidP="00B469AF">
      <w:pPr>
        <w:pStyle w:val="Heading2"/>
        <w:rPr>
          <w:rFonts w:ascii="Arial" w:hAnsi="Arial" w:cs="Arial"/>
          <w:szCs w:val="24"/>
        </w:rPr>
      </w:pPr>
      <w:bookmarkStart w:id="3" w:name="_Toc237459240"/>
      <w:r w:rsidRPr="00CB74C8">
        <w:rPr>
          <w:rFonts w:ascii="Arial" w:hAnsi="Arial" w:cs="Arial"/>
          <w:szCs w:val="24"/>
        </w:rPr>
        <w:t>Balance Sheet</w:t>
      </w:r>
      <w:bookmarkEnd w:id="3"/>
    </w:p>
    <w:p w14:paraId="484539C3" w14:textId="7A099C77" w:rsidR="009A6527" w:rsidRPr="00CB74C8" w:rsidRDefault="00D50640" w:rsidP="00B469AF">
      <w:pPr>
        <w:rPr>
          <w:rFonts w:ascii="Arial" w:hAnsi="Arial" w:cs="Arial"/>
          <w:szCs w:val="24"/>
        </w:rPr>
      </w:pPr>
      <w:r w:rsidRPr="00CB74C8">
        <w:rPr>
          <w:rFonts w:ascii="Arial" w:hAnsi="Arial" w:cs="Arial"/>
          <w:szCs w:val="24"/>
        </w:rPr>
        <w:t xml:space="preserve">The </w:t>
      </w:r>
      <w:r w:rsidR="00F959BF" w:rsidRPr="00CB74C8">
        <w:rPr>
          <w:rFonts w:ascii="Arial" w:hAnsi="Arial" w:cs="Arial"/>
          <w:szCs w:val="24"/>
        </w:rPr>
        <w:t xml:space="preserve">horizontal </w:t>
      </w:r>
      <w:r w:rsidRPr="00CB74C8">
        <w:rPr>
          <w:rFonts w:ascii="Arial" w:hAnsi="Arial" w:cs="Arial"/>
          <w:szCs w:val="24"/>
        </w:rPr>
        <w:t xml:space="preserve">analysis of the balance sheet </w:t>
      </w:r>
      <w:r w:rsidR="005A67EC" w:rsidRPr="00CB74C8">
        <w:rPr>
          <w:rFonts w:ascii="Arial" w:hAnsi="Arial" w:cs="Arial"/>
          <w:szCs w:val="24"/>
        </w:rPr>
        <w:t xml:space="preserve">shows that </w:t>
      </w:r>
      <w:r w:rsidR="00394CBA" w:rsidRPr="00CB74C8">
        <w:rPr>
          <w:rFonts w:ascii="Arial" w:hAnsi="Arial" w:cs="Arial"/>
          <w:szCs w:val="24"/>
        </w:rPr>
        <w:t xml:space="preserve">Marriott </w:t>
      </w:r>
      <w:r w:rsidR="00594E85" w:rsidRPr="00CB74C8">
        <w:rPr>
          <w:rFonts w:ascii="Arial" w:hAnsi="Arial" w:cs="Arial"/>
          <w:szCs w:val="24"/>
        </w:rPr>
        <w:t>International</w:t>
      </w:r>
      <w:r w:rsidR="00394CBA" w:rsidRPr="00CB74C8">
        <w:rPr>
          <w:rFonts w:ascii="Arial" w:hAnsi="Arial" w:cs="Arial"/>
          <w:szCs w:val="24"/>
        </w:rPr>
        <w:t xml:space="preserve"> has </w:t>
      </w:r>
      <w:r w:rsidR="005F1741" w:rsidRPr="00CB74C8">
        <w:rPr>
          <w:rFonts w:ascii="Arial" w:hAnsi="Arial" w:cs="Arial"/>
          <w:szCs w:val="24"/>
        </w:rPr>
        <w:t>negative</w:t>
      </w:r>
      <w:r w:rsidR="00394CBA" w:rsidRPr="00CB74C8">
        <w:rPr>
          <w:rFonts w:ascii="Arial" w:hAnsi="Arial" w:cs="Arial"/>
          <w:szCs w:val="24"/>
        </w:rPr>
        <w:t xml:space="preserve"> growth in its cash position over the last five years. </w:t>
      </w:r>
      <w:r w:rsidR="00AF454C" w:rsidRPr="00CB74C8">
        <w:rPr>
          <w:rFonts w:ascii="Arial" w:hAnsi="Arial" w:cs="Arial"/>
          <w:szCs w:val="24"/>
        </w:rPr>
        <w:t xml:space="preserve">Marriott </w:t>
      </w:r>
      <w:r w:rsidR="005F1741" w:rsidRPr="00CB74C8">
        <w:rPr>
          <w:rFonts w:ascii="Arial" w:hAnsi="Arial" w:cs="Arial"/>
          <w:szCs w:val="24"/>
        </w:rPr>
        <w:t xml:space="preserve">declined its current assets against </w:t>
      </w:r>
      <w:r w:rsidR="001429F7" w:rsidRPr="00CB74C8">
        <w:rPr>
          <w:rFonts w:ascii="Arial" w:hAnsi="Arial" w:cs="Arial"/>
          <w:szCs w:val="24"/>
        </w:rPr>
        <w:t xml:space="preserve">an </w:t>
      </w:r>
      <w:r w:rsidR="005F1741" w:rsidRPr="00CB74C8">
        <w:rPr>
          <w:rFonts w:ascii="Arial" w:hAnsi="Arial" w:cs="Arial"/>
          <w:szCs w:val="24"/>
        </w:rPr>
        <w:t xml:space="preserve">increase in the current liabilities, supporting a decline in its liquidity status between 2021 and 2025. </w:t>
      </w:r>
      <w:r w:rsidR="00C46F82" w:rsidRPr="00CB74C8">
        <w:rPr>
          <w:rFonts w:ascii="Arial" w:hAnsi="Arial" w:cs="Arial"/>
          <w:szCs w:val="24"/>
        </w:rPr>
        <w:t xml:space="preserve">The increase in property and equipment supports an expansion in the production capacity of Marriott over the last five years. Marriott increased its long-term debt funding against a decline in equity, supporting an increase in solvency risk between 2025 and 2021. </w:t>
      </w:r>
    </w:p>
    <w:p w14:paraId="4989D303" w14:textId="5BD97C23" w:rsidR="00265A84" w:rsidRPr="00CB74C8" w:rsidRDefault="00265A84" w:rsidP="00B469AF">
      <w:pPr>
        <w:rPr>
          <w:rFonts w:ascii="Arial" w:hAnsi="Arial" w:cs="Arial"/>
          <w:szCs w:val="24"/>
        </w:rPr>
      </w:pPr>
      <w:r w:rsidRPr="00CB74C8">
        <w:rPr>
          <w:rFonts w:ascii="Arial" w:hAnsi="Arial" w:cs="Arial"/>
          <w:szCs w:val="24"/>
        </w:rPr>
        <w:t xml:space="preserve">The vertical analysis </w:t>
      </w:r>
      <w:r w:rsidR="00330F88" w:rsidRPr="00CB74C8">
        <w:rPr>
          <w:rFonts w:ascii="Arial" w:hAnsi="Arial" w:cs="Arial"/>
          <w:szCs w:val="24"/>
        </w:rPr>
        <w:t>shows</w:t>
      </w:r>
      <w:r w:rsidRPr="00CB74C8">
        <w:rPr>
          <w:rFonts w:ascii="Arial" w:hAnsi="Arial" w:cs="Arial"/>
          <w:szCs w:val="24"/>
        </w:rPr>
        <w:t xml:space="preserve"> that Marriott </w:t>
      </w:r>
      <w:r w:rsidR="005B102B" w:rsidRPr="00CB74C8">
        <w:rPr>
          <w:rFonts w:ascii="Arial" w:hAnsi="Arial" w:cs="Arial"/>
          <w:szCs w:val="24"/>
        </w:rPr>
        <w:t>has no much changes in elements of the balance sheet, except</w:t>
      </w:r>
      <w:r w:rsidR="00595F3E" w:rsidRPr="00CB74C8">
        <w:rPr>
          <w:rFonts w:ascii="Arial" w:hAnsi="Arial" w:cs="Arial"/>
          <w:szCs w:val="24"/>
        </w:rPr>
        <w:t xml:space="preserve"> cash position and</w:t>
      </w:r>
      <w:r w:rsidR="005B102B" w:rsidRPr="00CB74C8">
        <w:rPr>
          <w:rFonts w:ascii="Arial" w:hAnsi="Arial" w:cs="Arial"/>
          <w:szCs w:val="24"/>
        </w:rPr>
        <w:t xml:space="preserve"> long-term debt. Marriott has </w:t>
      </w:r>
      <w:r w:rsidR="00B30768" w:rsidRPr="00CB74C8">
        <w:rPr>
          <w:rFonts w:ascii="Arial" w:hAnsi="Arial" w:cs="Arial"/>
          <w:szCs w:val="24"/>
        </w:rPr>
        <w:t xml:space="preserve">increased debt funding weight in the assets against </w:t>
      </w:r>
      <w:r w:rsidR="00847142" w:rsidRPr="00CB74C8">
        <w:rPr>
          <w:rFonts w:ascii="Arial" w:hAnsi="Arial" w:cs="Arial"/>
          <w:szCs w:val="24"/>
        </w:rPr>
        <w:t xml:space="preserve">a </w:t>
      </w:r>
      <w:r w:rsidR="00B30768" w:rsidRPr="00CB74C8">
        <w:rPr>
          <w:rFonts w:ascii="Arial" w:hAnsi="Arial" w:cs="Arial"/>
          <w:szCs w:val="24"/>
        </w:rPr>
        <w:t xml:space="preserve">decline in the equity weight, showing </w:t>
      </w:r>
      <w:r w:rsidR="00847142" w:rsidRPr="00CB74C8">
        <w:rPr>
          <w:rFonts w:ascii="Arial" w:hAnsi="Arial" w:cs="Arial"/>
          <w:szCs w:val="24"/>
        </w:rPr>
        <w:t xml:space="preserve">an </w:t>
      </w:r>
      <w:r w:rsidR="00B30768" w:rsidRPr="00CB74C8">
        <w:rPr>
          <w:rFonts w:ascii="Arial" w:hAnsi="Arial" w:cs="Arial"/>
          <w:szCs w:val="24"/>
        </w:rPr>
        <w:t xml:space="preserve">increase in solvency risk over the period. </w:t>
      </w:r>
      <w:r w:rsidR="00595F3E" w:rsidRPr="00CB74C8">
        <w:rPr>
          <w:rFonts w:ascii="Arial" w:hAnsi="Arial" w:cs="Arial"/>
          <w:szCs w:val="24"/>
        </w:rPr>
        <w:t xml:space="preserve">The cash position declined significantly in 2025 compared to 2021, showing a decline in Marriott's instant payment capacity of Marriott of its current liabilities. The company increased </w:t>
      </w:r>
      <w:r w:rsidR="00FD7084" w:rsidRPr="00CB74C8">
        <w:rPr>
          <w:rFonts w:ascii="Arial" w:hAnsi="Arial" w:cs="Arial"/>
          <w:szCs w:val="24"/>
        </w:rPr>
        <w:t>solvency risk and declined liquidity position over the last five years.</w:t>
      </w:r>
    </w:p>
    <w:p w14:paraId="69C64091" w14:textId="4F4DD8F8" w:rsidR="007D2579" w:rsidRPr="00CB74C8" w:rsidRDefault="007D2579" w:rsidP="00B469AF">
      <w:pPr>
        <w:pStyle w:val="Heading2"/>
        <w:rPr>
          <w:rFonts w:ascii="Arial" w:hAnsi="Arial" w:cs="Arial"/>
          <w:szCs w:val="24"/>
        </w:rPr>
      </w:pPr>
      <w:bookmarkStart w:id="4" w:name="_Toc237459241"/>
      <w:r w:rsidRPr="00CB74C8">
        <w:rPr>
          <w:rFonts w:ascii="Arial" w:hAnsi="Arial" w:cs="Arial"/>
          <w:szCs w:val="24"/>
        </w:rPr>
        <w:t>Cash Flow Statement</w:t>
      </w:r>
      <w:bookmarkEnd w:id="4"/>
    </w:p>
    <w:p w14:paraId="4C16E07F" w14:textId="7045C3E7" w:rsidR="007D2579" w:rsidRPr="00CB74C8" w:rsidRDefault="00F421DB" w:rsidP="00B469AF">
      <w:pPr>
        <w:rPr>
          <w:rFonts w:ascii="Arial" w:hAnsi="Arial" w:cs="Arial"/>
          <w:szCs w:val="24"/>
        </w:rPr>
      </w:pPr>
      <w:r w:rsidRPr="00CB74C8">
        <w:rPr>
          <w:rFonts w:ascii="Arial" w:hAnsi="Arial" w:cs="Arial"/>
          <w:noProof/>
          <w:szCs w:val="24"/>
        </w:rPr>
        <w:drawing>
          <wp:inline distT="0" distB="0" distL="0" distR="0" wp14:anchorId="106F59B5" wp14:editId="00813771">
            <wp:extent cx="5731510" cy="1116965"/>
            <wp:effectExtent l="0" t="0" r="2540" b="6985"/>
            <wp:docPr id="963609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116965"/>
                    </a:xfrm>
                    <a:prstGeom prst="rect">
                      <a:avLst/>
                    </a:prstGeom>
                    <a:noFill/>
                    <a:ln>
                      <a:noFill/>
                    </a:ln>
                  </pic:spPr>
                </pic:pic>
              </a:graphicData>
            </a:graphic>
          </wp:inline>
        </w:drawing>
      </w:r>
    </w:p>
    <w:p w14:paraId="47FEE1B6" w14:textId="7EE4431A" w:rsidR="000C5556" w:rsidRPr="00CB74C8" w:rsidRDefault="000C5556" w:rsidP="00B469AF">
      <w:pPr>
        <w:rPr>
          <w:rFonts w:ascii="Arial" w:hAnsi="Arial" w:cs="Arial"/>
          <w:szCs w:val="24"/>
        </w:rPr>
      </w:pPr>
      <w:r w:rsidRPr="00CB74C8">
        <w:rPr>
          <w:rFonts w:ascii="Arial" w:hAnsi="Arial" w:cs="Arial"/>
          <w:szCs w:val="24"/>
        </w:rPr>
        <w:t xml:space="preserve">The net cash inflow from operating activities increased between 2025 and 2021, showing a </w:t>
      </w:r>
      <w:r w:rsidR="00C84F28" w:rsidRPr="00CB74C8">
        <w:rPr>
          <w:rFonts w:ascii="Arial" w:hAnsi="Arial" w:cs="Arial"/>
          <w:szCs w:val="24"/>
        </w:rPr>
        <w:t>significant</w:t>
      </w:r>
      <w:r w:rsidRPr="00CB74C8">
        <w:rPr>
          <w:rFonts w:ascii="Arial" w:hAnsi="Arial" w:cs="Arial"/>
          <w:szCs w:val="24"/>
        </w:rPr>
        <w:t xml:space="preserve"> incre</w:t>
      </w:r>
      <w:r w:rsidR="00F13FBD" w:rsidRPr="00CB74C8">
        <w:rPr>
          <w:rFonts w:ascii="Arial" w:hAnsi="Arial" w:cs="Arial"/>
          <w:szCs w:val="24"/>
        </w:rPr>
        <w:t xml:space="preserve">ase in cash from operating activities. The increase in cash inflows from operating activities supports that Marriott increased its cash inflows from </w:t>
      </w:r>
      <w:r w:rsidR="00F13FBD" w:rsidRPr="00CB74C8">
        <w:rPr>
          <w:rFonts w:ascii="Arial" w:hAnsi="Arial" w:cs="Arial"/>
          <w:szCs w:val="24"/>
        </w:rPr>
        <w:lastRenderedPageBreak/>
        <w:t>customers against payments to suppliers. The increase in net cash used in investing activities indicates that Marriott increased its production capacity by investing in properties and equipment over the last five years. Marriott used cash in financing activities due to the use of funds to buy back its shares to boost market price performance.</w:t>
      </w:r>
    </w:p>
    <w:p w14:paraId="6D1D2DC8" w14:textId="2C720857" w:rsidR="006F08F1" w:rsidRPr="00CB74C8" w:rsidRDefault="006F08F1" w:rsidP="00B469AF">
      <w:pPr>
        <w:pStyle w:val="Heading2"/>
        <w:rPr>
          <w:rFonts w:ascii="Arial" w:hAnsi="Arial" w:cs="Arial"/>
          <w:szCs w:val="24"/>
        </w:rPr>
      </w:pPr>
      <w:bookmarkStart w:id="5" w:name="_Toc237459242"/>
      <w:r w:rsidRPr="00CB74C8">
        <w:rPr>
          <w:rFonts w:ascii="Arial" w:hAnsi="Arial" w:cs="Arial"/>
          <w:szCs w:val="24"/>
        </w:rPr>
        <w:t>Ratio Analysis</w:t>
      </w:r>
      <w:bookmarkEnd w:id="5"/>
    </w:p>
    <w:p w14:paraId="7B0032D6" w14:textId="24FDCE97" w:rsidR="0054576E" w:rsidRPr="00CB74C8" w:rsidRDefault="0054576E" w:rsidP="00B469AF">
      <w:pPr>
        <w:pStyle w:val="Heading3"/>
        <w:rPr>
          <w:rFonts w:ascii="Arial" w:hAnsi="Arial" w:cs="Arial"/>
          <w:szCs w:val="24"/>
        </w:rPr>
      </w:pPr>
      <w:bookmarkStart w:id="6" w:name="_Toc237459243"/>
      <w:r w:rsidRPr="00CB74C8">
        <w:rPr>
          <w:rFonts w:ascii="Arial" w:hAnsi="Arial" w:cs="Arial"/>
          <w:szCs w:val="24"/>
        </w:rPr>
        <w:t>Profitability Performance</w:t>
      </w:r>
      <w:bookmarkEnd w:id="6"/>
    </w:p>
    <w:p w14:paraId="57ECCE7E" w14:textId="762F3A33" w:rsidR="006F08F1" w:rsidRPr="00CB74C8" w:rsidRDefault="00E352C5" w:rsidP="00B469AF">
      <w:pPr>
        <w:rPr>
          <w:rFonts w:ascii="Arial" w:hAnsi="Arial" w:cs="Arial"/>
          <w:szCs w:val="24"/>
        </w:rPr>
      </w:pPr>
      <w:r w:rsidRPr="00CB74C8">
        <w:rPr>
          <w:rFonts w:ascii="Arial" w:hAnsi="Arial" w:cs="Arial"/>
          <w:noProof/>
        </w:rPr>
        <w:drawing>
          <wp:inline distT="0" distB="0" distL="0" distR="0" wp14:anchorId="086DA468" wp14:editId="7148D1CA">
            <wp:extent cx="4872130" cy="2584183"/>
            <wp:effectExtent l="0" t="0" r="5080" b="6985"/>
            <wp:docPr id="1484359814" name="Chart 1">
              <a:extLst xmlns:a="http://schemas.openxmlformats.org/drawingml/2006/main">
                <a:ext uri="{FF2B5EF4-FFF2-40B4-BE49-F238E27FC236}">
                  <a16:creationId xmlns:a16="http://schemas.microsoft.com/office/drawing/2014/main" id="{7578ACED-151C-E55C-6C55-CFDE33B1AE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2E43E4" w14:textId="1BDDAB76" w:rsidR="006F08F1" w:rsidRPr="00CB74C8" w:rsidRDefault="00BE1BD6" w:rsidP="00B469AF">
      <w:pPr>
        <w:rPr>
          <w:rFonts w:ascii="Arial" w:hAnsi="Arial" w:cs="Arial"/>
          <w:szCs w:val="24"/>
        </w:rPr>
      </w:pPr>
      <w:r w:rsidRPr="00CB74C8">
        <w:rPr>
          <w:rFonts w:ascii="Arial" w:hAnsi="Arial" w:cs="Arial"/>
          <w:szCs w:val="24"/>
        </w:rPr>
        <w:t xml:space="preserve">The operating profit ratio evaluates </w:t>
      </w:r>
      <w:r w:rsidR="000C7DA5" w:rsidRPr="00CB74C8">
        <w:rPr>
          <w:rFonts w:ascii="Arial" w:hAnsi="Arial" w:cs="Arial"/>
          <w:szCs w:val="24"/>
        </w:rPr>
        <w:t xml:space="preserve">the </w:t>
      </w:r>
      <w:r w:rsidRPr="00CB74C8">
        <w:rPr>
          <w:rFonts w:ascii="Arial" w:hAnsi="Arial" w:cs="Arial"/>
          <w:szCs w:val="24"/>
        </w:rPr>
        <w:t xml:space="preserve">core earning capacity of </w:t>
      </w:r>
      <w:r w:rsidR="000C7DA5" w:rsidRPr="00CB74C8">
        <w:rPr>
          <w:rFonts w:ascii="Arial" w:hAnsi="Arial" w:cs="Arial"/>
          <w:szCs w:val="24"/>
        </w:rPr>
        <w:t>a company through core operating activities</w:t>
      </w:r>
      <w:r w:rsidR="006D035A" w:rsidRPr="00CB74C8">
        <w:rPr>
          <w:rFonts w:ascii="Arial" w:hAnsi="Arial" w:cs="Arial"/>
          <w:szCs w:val="24"/>
        </w:rPr>
        <w:t xml:space="preserve"> to earn sales to cover operating costs. Marriott </w:t>
      </w:r>
      <w:r w:rsidR="00292DB2" w:rsidRPr="00CB74C8">
        <w:rPr>
          <w:rFonts w:ascii="Arial" w:hAnsi="Arial" w:cs="Arial"/>
          <w:szCs w:val="24"/>
        </w:rPr>
        <w:t xml:space="preserve">increased its operating profitability </w:t>
      </w:r>
      <w:r w:rsidR="00B11961" w:rsidRPr="00CB74C8">
        <w:rPr>
          <w:rFonts w:ascii="Arial" w:hAnsi="Arial" w:cs="Arial"/>
          <w:szCs w:val="24"/>
        </w:rPr>
        <w:t xml:space="preserve">due to a </w:t>
      </w:r>
      <w:r w:rsidR="0074636D" w:rsidRPr="00CB74C8">
        <w:rPr>
          <w:rFonts w:ascii="Arial" w:hAnsi="Arial" w:cs="Arial"/>
          <w:szCs w:val="24"/>
        </w:rPr>
        <w:t>significant</w:t>
      </w:r>
      <w:r w:rsidR="00B11961" w:rsidRPr="00CB74C8">
        <w:rPr>
          <w:rFonts w:ascii="Arial" w:hAnsi="Arial" w:cs="Arial"/>
          <w:szCs w:val="24"/>
        </w:rPr>
        <w:t xml:space="preserve"> increase in revenue performance over the period. Marriott increased </w:t>
      </w:r>
      <w:r w:rsidR="0074636D" w:rsidRPr="00CB74C8">
        <w:rPr>
          <w:rFonts w:ascii="Arial" w:hAnsi="Arial" w:cs="Arial"/>
          <w:szCs w:val="24"/>
        </w:rPr>
        <w:t xml:space="preserve">its </w:t>
      </w:r>
      <w:r w:rsidR="00B11961" w:rsidRPr="00CB74C8">
        <w:rPr>
          <w:rFonts w:ascii="Arial" w:hAnsi="Arial" w:cs="Arial"/>
          <w:szCs w:val="24"/>
        </w:rPr>
        <w:t xml:space="preserve">operating profit ratio to </w:t>
      </w:r>
      <w:r w:rsidR="0074636D" w:rsidRPr="00CB74C8">
        <w:rPr>
          <w:rFonts w:ascii="Arial" w:hAnsi="Arial" w:cs="Arial"/>
          <w:szCs w:val="24"/>
        </w:rPr>
        <w:t>15.81% in 2025 from 12.63% in 2022.</w:t>
      </w:r>
      <w:r w:rsidR="000C7DA5" w:rsidRPr="00CB74C8">
        <w:rPr>
          <w:rFonts w:ascii="Arial" w:hAnsi="Arial" w:cs="Arial"/>
          <w:szCs w:val="24"/>
        </w:rPr>
        <w:t xml:space="preserve"> </w:t>
      </w:r>
      <w:r w:rsidR="001B4B06" w:rsidRPr="00CB74C8">
        <w:rPr>
          <w:rFonts w:ascii="Arial" w:hAnsi="Arial" w:cs="Arial"/>
          <w:szCs w:val="24"/>
        </w:rPr>
        <w:t>Marriott International increased its revenue performance due to an increase in international travel and growth in Marriott’s loyalty program in 2025 compared to previous years</w:t>
      </w:r>
      <w:r w:rsidR="00C83FA4" w:rsidRPr="00CB74C8">
        <w:rPr>
          <w:rFonts w:ascii="Arial" w:hAnsi="Arial" w:cs="Arial"/>
          <w:szCs w:val="24"/>
        </w:rPr>
        <w:t xml:space="preserve"> (Proactive Investors, 2026)</w:t>
      </w:r>
      <w:r w:rsidR="001B4B06" w:rsidRPr="00CB74C8">
        <w:rPr>
          <w:rFonts w:ascii="Arial" w:hAnsi="Arial" w:cs="Arial"/>
          <w:szCs w:val="24"/>
        </w:rPr>
        <w:t>.</w:t>
      </w:r>
      <w:r w:rsidR="00C83FA4" w:rsidRPr="00CB74C8">
        <w:rPr>
          <w:rFonts w:ascii="Arial" w:hAnsi="Arial" w:cs="Arial"/>
          <w:szCs w:val="24"/>
        </w:rPr>
        <w:t xml:space="preserve"> </w:t>
      </w:r>
      <w:r w:rsidR="00AD7CF5" w:rsidRPr="00CB74C8">
        <w:rPr>
          <w:rFonts w:ascii="Arial" w:hAnsi="Arial" w:cs="Arial"/>
          <w:szCs w:val="24"/>
        </w:rPr>
        <w:t xml:space="preserve">The increased operating costs during 2025 and 2024 compared with 2023 and 2021 declined slightly, </w:t>
      </w:r>
      <w:r w:rsidR="0090519D" w:rsidRPr="00CB74C8">
        <w:rPr>
          <w:rFonts w:ascii="Arial" w:hAnsi="Arial" w:cs="Arial"/>
          <w:szCs w:val="24"/>
        </w:rPr>
        <w:t xml:space="preserve">resulting in </w:t>
      </w:r>
      <w:r w:rsidR="00AD7CF5" w:rsidRPr="00CB74C8">
        <w:rPr>
          <w:rFonts w:ascii="Arial" w:hAnsi="Arial" w:cs="Arial"/>
          <w:szCs w:val="24"/>
        </w:rPr>
        <w:t>operating profitability in 2025 compared to 2023.</w:t>
      </w:r>
      <w:r w:rsidR="00764289" w:rsidRPr="00CB74C8">
        <w:rPr>
          <w:rFonts w:ascii="Arial" w:hAnsi="Arial" w:cs="Arial"/>
          <w:szCs w:val="24"/>
        </w:rPr>
        <w:t xml:space="preserve">  </w:t>
      </w:r>
      <w:r w:rsidR="0090519D" w:rsidRPr="00CB74C8">
        <w:rPr>
          <w:rFonts w:ascii="Arial" w:hAnsi="Arial" w:cs="Arial"/>
          <w:szCs w:val="24"/>
        </w:rPr>
        <w:t xml:space="preserve">Marriott operates in the Hotels &amp; Entertainment Service industry. The industry had an operating profit ratio of </w:t>
      </w:r>
      <w:r w:rsidR="00764289" w:rsidRPr="00CB74C8">
        <w:rPr>
          <w:rFonts w:ascii="Arial" w:hAnsi="Arial" w:cs="Arial"/>
          <w:szCs w:val="24"/>
        </w:rPr>
        <w:t>16.49%</w:t>
      </w:r>
      <w:r w:rsidR="0090519D" w:rsidRPr="00CB74C8">
        <w:rPr>
          <w:rFonts w:ascii="Arial" w:hAnsi="Arial" w:cs="Arial"/>
          <w:szCs w:val="24"/>
        </w:rPr>
        <w:t xml:space="preserve"> in 2025, showing </w:t>
      </w:r>
      <w:r w:rsidR="0090519D" w:rsidRPr="00CB74C8">
        <w:rPr>
          <w:rFonts w:ascii="Arial" w:hAnsi="Arial" w:cs="Arial"/>
          <w:szCs w:val="24"/>
        </w:rPr>
        <w:lastRenderedPageBreak/>
        <w:t>lower performance of Marriott compared with the industry in 2025</w:t>
      </w:r>
      <w:r w:rsidR="007B17A8" w:rsidRPr="00CB74C8">
        <w:rPr>
          <w:rFonts w:ascii="Arial" w:hAnsi="Arial" w:cs="Arial"/>
          <w:szCs w:val="24"/>
        </w:rPr>
        <w:t xml:space="preserve"> (Investing.com, 2026)</w:t>
      </w:r>
      <w:r w:rsidR="0090519D" w:rsidRPr="00CB74C8">
        <w:rPr>
          <w:rFonts w:ascii="Arial" w:hAnsi="Arial" w:cs="Arial"/>
          <w:szCs w:val="24"/>
        </w:rPr>
        <w:t>.</w:t>
      </w:r>
    </w:p>
    <w:p w14:paraId="64AE29B1" w14:textId="7B98E2B5" w:rsidR="003D6EB3" w:rsidRPr="00CB74C8" w:rsidRDefault="003D6EB3" w:rsidP="00B469AF">
      <w:pPr>
        <w:rPr>
          <w:rFonts w:ascii="Arial" w:hAnsi="Arial" w:cs="Arial"/>
          <w:szCs w:val="24"/>
        </w:rPr>
      </w:pPr>
      <w:r w:rsidRPr="00CB74C8">
        <w:rPr>
          <w:rFonts w:ascii="Arial" w:hAnsi="Arial" w:cs="Arial"/>
          <w:szCs w:val="24"/>
        </w:rPr>
        <w:t>The net profit ratio is highly relevant to find the overall profitability performance of a business. This ratio is highly relevant for all stakeholders to develop rational financial decisions</w:t>
      </w:r>
      <w:r w:rsidR="000C4159" w:rsidRPr="00CB74C8">
        <w:rPr>
          <w:rFonts w:ascii="Arial" w:hAnsi="Arial" w:cs="Arial"/>
          <w:szCs w:val="24"/>
        </w:rPr>
        <w:t xml:space="preserve"> (Jayathilaka, 2020, p.6)</w:t>
      </w:r>
      <w:r w:rsidRPr="00CB74C8">
        <w:rPr>
          <w:rFonts w:ascii="Arial" w:hAnsi="Arial" w:cs="Arial"/>
          <w:szCs w:val="24"/>
        </w:rPr>
        <w:t xml:space="preserve">. Marriott had a net profit ratio of 9.93% in 2025 and 7.93% in 2021, showing an overall increase in performance over the last five years. However, the ratio values were 13.00% in 2023 and 9.46% in 2024, showing a fluctuating trend over the last five years due to changes in cost of revenue and operating costs over the period. The industry had a net profit ratio of 11.4% in 2025, indicating a lower net profitability than that of Marriott in 2025. </w:t>
      </w:r>
    </w:p>
    <w:p w14:paraId="11F231D6" w14:textId="77777777" w:rsidR="00847259" w:rsidRPr="00CB74C8" w:rsidRDefault="00847259" w:rsidP="00B469AF">
      <w:pPr>
        <w:rPr>
          <w:rFonts w:ascii="Arial" w:hAnsi="Arial" w:cs="Arial"/>
          <w:szCs w:val="24"/>
        </w:rPr>
      </w:pPr>
      <w:r w:rsidRPr="00CB74C8">
        <w:rPr>
          <w:rFonts w:ascii="Arial" w:hAnsi="Arial" w:cs="Arial"/>
          <w:szCs w:val="24"/>
        </w:rPr>
        <w:t>The return on equity ratio is an effective financial metric to compare equity and net profit to find return to shareholders. Marriott had an ROE ratio of -68.97% in 2025 and 77.72% in 2021, showing an increasing trend in 2025 compared with 2021. It shows that Marriott had a negative shareholders' position despite increased profitability over the period. The industry had an ROE ratio of -3.35% in 2025, highlighting a better performance of Marriott than that of the industry in 2025.</w:t>
      </w:r>
    </w:p>
    <w:p w14:paraId="3892ADA9" w14:textId="7573FE02" w:rsidR="00764289" w:rsidRPr="00CB74C8" w:rsidRDefault="00847259" w:rsidP="00B469AF">
      <w:pPr>
        <w:pStyle w:val="Heading3"/>
        <w:rPr>
          <w:rFonts w:ascii="Arial" w:hAnsi="Arial" w:cs="Arial"/>
          <w:szCs w:val="24"/>
        </w:rPr>
      </w:pPr>
      <w:bookmarkStart w:id="7" w:name="_Toc237459244"/>
      <w:r w:rsidRPr="00CB74C8">
        <w:rPr>
          <w:rFonts w:ascii="Arial" w:hAnsi="Arial" w:cs="Arial"/>
          <w:szCs w:val="24"/>
        </w:rPr>
        <w:t>Liquidity Position</w:t>
      </w:r>
      <w:bookmarkEnd w:id="7"/>
    </w:p>
    <w:p w14:paraId="2AB6D397" w14:textId="02DFBBE5" w:rsidR="00EE07F3" w:rsidRPr="00CB74C8" w:rsidRDefault="00E352C5" w:rsidP="00B469AF">
      <w:pPr>
        <w:rPr>
          <w:rFonts w:ascii="Arial" w:hAnsi="Arial" w:cs="Arial"/>
        </w:rPr>
      </w:pPr>
      <w:r w:rsidRPr="00CB74C8">
        <w:rPr>
          <w:rFonts w:ascii="Arial" w:hAnsi="Arial" w:cs="Arial"/>
          <w:noProof/>
        </w:rPr>
        <w:drawing>
          <wp:inline distT="0" distB="0" distL="0" distR="0" wp14:anchorId="501818B7" wp14:editId="477908CF">
            <wp:extent cx="4872131" cy="2575112"/>
            <wp:effectExtent l="0" t="0" r="5080" b="15875"/>
            <wp:docPr id="1784194792" name="Chart 1">
              <a:extLst xmlns:a="http://schemas.openxmlformats.org/drawingml/2006/main">
                <a:ext uri="{FF2B5EF4-FFF2-40B4-BE49-F238E27FC236}">
                  <a16:creationId xmlns:a16="http://schemas.microsoft.com/office/drawing/2014/main" id="{5AA1D4FD-8524-48F1-B65A-5D011C4CA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B423BA0" w14:textId="77777777" w:rsidR="00E352C5" w:rsidRPr="00CB74C8" w:rsidRDefault="00E352C5" w:rsidP="00B469AF">
      <w:pPr>
        <w:rPr>
          <w:rFonts w:ascii="Arial" w:hAnsi="Arial" w:cs="Arial"/>
        </w:rPr>
      </w:pPr>
    </w:p>
    <w:p w14:paraId="54D3C771" w14:textId="65398D4A" w:rsidR="00FB45D8" w:rsidRPr="00CB74C8" w:rsidRDefault="0054576E" w:rsidP="00B469AF">
      <w:pPr>
        <w:rPr>
          <w:rFonts w:ascii="Arial" w:hAnsi="Arial" w:cs="Arial"/>
          <w:szCs w:val="24"/>
        </w:rPr>
      </w:pPr>
      <w:r w:rsidRPr="00CB74C8">
        <w:rPr>
          <w:rFonts w:ascii="Arial" w:hAnsi="Arial" w:cs="Arial"/>
          <w:szCs w:val="24"/>
        </w:rPr>
        <w:t xml:space="preserve">The current ratio evaluates the </w:t>
      </w:r>
      <w:r w:rsidR="00127583" w:rsidRPr="00CB74C8">
        <w:rPr>
          <w:rFonts w:ascii="Arial" w:hAnsi="Arial" w:cs="Arial"/>
          <w:szCs w:val="24"/>
        </w:rPr>
        <w:t xml:space="preserve">liquidity position by comparing current assets with current liabilities. A high ratio reflects a </w:t>
      </w:r>
      <w:r w:rsidR="00363D34" w:rsidRPr="00CB74C8">
        <w:rPr>
          <w:rFonts w:ascii="Arial" w:hAnsi="Arial" w:cs="Arial"/>
          <w:szCs w:val="24"/>
        </w:rPr>
        <w:t xml:space="preserve">strong liquidity position. </w:t>
      </w:r>
      <w:r w:rsidR="00597990" w:rsidRPr="00CB74C8">
        <w:rPr>
          <w:rFonts w:ascii="Arial" w:hAnsi="Arial" w:cs="Arial"/>
          <w:szCs w:val="24"/>
        </w:rPr>
        <w:t xml:space="preserve">Marriott had a current ratio of </w:t>
      </w:r>
      <w:r w:rsidR="00EE07F3" w:rsidRPr="00CB74C8">
        <w:rPr>
          <w:rFonts w:ascii="Arial" w:hAnsi="Arial" w:cs="Arial"/>
          <w:szCs w:val="24"/>
        </w:rPr>
        <w:t xml:space="preserve">0.43 times in 2025 and 0.57 times in 2021, showing a poor liquidity position over the period. Marriott had a </w:t>
      </w:r>
      <w:r w:rsidR="00425642" w:rsidRPr="00CB74C8">
        <w:rPr>
          <w:rFonts w:ascii="Arial" w:hAnsi="Arial" w:cs="Arial"/>
          <w:szCs w:val="24"/>
        </w:rPr>
        <w:t>slight</w:t>
      </w:r>
      <w:r w:rsidR="00EE07F3" w:rsidRPr="00CB74C8">
        <w:rPr>
          <w:rFonts w:ascii="Arial" w:hAnsi="Arial" w:cs="Arial"/>
          <w:szCs w:val="24"/>
        </w:rPr>
        <w:t xml:space="preserve"> decline in </w:t>
      </w:r>
      <w:r w:rsidR="00425642" w:rsidRPr="00CB74C8">
        <w:rPr>
          <w:rFonts w:ascii="Arial" w:hAnsi="Arial" w:cs="Arial"/>
          <w:szCs w:val="24"/>
        </w:rPr>
        <w:t>its</w:t>
      </w:r>
      <w:r w:rsidR="00EE07F3" w:rsidRPr="00CB74C8">
        <w:rPr>
          <w:rFonts w:ascii="Arial" w:hAnsi="Arial" w:cs="Arial"/>
          <w:szCs w:val="24"/>
        </w:rPr>
        <w:t xml:space="preserve"> liquidity position over the period due to an increase in current </w:t>
      </w:r>
      <w:r w:rsidR="00425642" w:rsidRPr="00CB74C8">
        <w:rPr>
          <w:rFonts w:ascii="Arial" w:hAnsi="Arial" w:cs="Arial"/>
          <w:szCs w:val="24"/>
        </w:rPr>
        <w:t>liabilities</w:t>
      </w:r>
      <w:r w:rsidR="00EE07F3" w:rsidRPr="00CB74C8">
        <w:rPr>
          <w:rFonts w:ascii="Arial" w:hAnsi="Arial" w:cs="Arial"/>
          <w:szCs w:val="24"/>
        </w:rPr>
        <w:t xml:space="preserve"> with a </w:t>
      </w:r>
      <w:r w:rsidR="00425642" w:rsidRPr="00CB74C8">
        <w:rPr>
          <w:rFonts w:ascii="Arial" w:hAnsi="Arial" w:cs="Arial"/>
          <w:szCs w:val="24"/>
        </w:rPr>
        <w:t>decrease</w:t>
      </w:r>
      <w:r w:rsidR="00EE07F3" w:rsidRPr="00CB74C8">
        <w:rPr>
          <w:rFonts w:ascii="Arial" w:hAnsi="Arial" w:cs="Arial"/>
          <w:szCs w:val="24"/>
        </w:rPr>
        <w:t xml:space="preserve"> in current assets between 2025 and 2021. </w:t>
      </w:r>
      <w:r w:rsidR="00290A6B" w:rsidRPr="00CB74C8">
        <w:rPr>
          <w:rFonts w:ascii="Arial" w:hAnsi="Arial" w:cs="Arial"/>
          <w:szCs w:val="24"/>
        </w:rPr>
        <w:t xml:space="preserve">The industry had a current ratio of </w:t>
      </w:r>
      <w:r w:rsidR="00233267" w:rsidRPr="00CB74C8">
        <w:rPr>
          <w:rFonts w:ascii="Arial" w:hAnsi="Arial" w:cs="Arial"/>
          <w:szCs w:val="24"/>
        </w:rPr>
        <w:t xml:space="preserve">0.92 times in 2025, showing a lower liquidity position </w:t>
      </w:r>
      <w:r w:rsidR="009A55A2" w:rsidRPr="00CB74C8">
        <w:rPr>
          <w:rFonts w:ascii="Arial" w:hAnsi="Arial" w:cs="Arial"/>
          <w:szCs w:val="24"/>
        </w:rPr>
        <w:t>for</w:t>
      </w:r>
      <w:r w:rsidR="00233267" w:rsidRPr="00CB74C8">
        <w:rPr>
          <w:rFonts w:ascii="Arial" w:hAnsi="Arial" w:cs="Arial"/>
          <w:szCs w:val="24"/>
        </w:rPr>
        <w:t xml:space="preserve"> Marriott than that of the industry in 2025 (Investing.com, 2026).</w:t>
      </w:r>
    </w:p>
    <w:p w14:paraId="7F36EC20" w14:textId="4127FE66" w:rsidR="0032694A" w:rsidRPr="00CB74C8" w:rsidRDefault="0032694A" w:rsidP="00B469AF">
      <w:pPr>
        <w:pStyle w:val="Heading3"/>
        <w:rPr>
          <w:rFonts w:ascii="Arial" w:hAnsi="Arial" w:cs="Arial"/>
          <w:szCs w:val="24"/>
        </w:rPr>
      </w:pPr>
      <w:bookmarkStart w:id="8" w:name="_Toc237459245"/>
      <w:r w:rsidRPr="00CB74C8">
        <w:rPr>
          <w:rFonts w:ascii="Arial" w:hAnsi="Arial" w:cs="Arial"/>
          <w:szCs w:val="24"/>
        </w:rPr>
        <w:t>Efficiency Performance</w:t>
      </w:r>
      <w:bookmarkEnd w:id="8"/>
    </w:p>
    <w:p w14:paraId="2F003B6E" w14:textId="0C3C0AF1" w:rsidR="00F92717" w:rsidRPr="00CB74C8" w:rsidRDefault="00E352C5" w:rsidP="00B469AF">
      <w:pPr>
        <w:rPr>
          <w:rFonts w:ascii="Arial" w:hAnsi="Arial" w:cs="Arial"/>
        </w:rPr>
      </w:pPr>
      <w:r w:rsidRPr="00CB74C8">
        <w:rPr>
          <w:rFonts w:ascii="Arial" w:hAnsi="Arial" w:cs="Arial"/>
          <w:noProof/>
        </w:rPr>
        <w:drawing>
          <wp:inline distT="0" distB="0" distL="0" distR="0" wp14:anchorId="26ECB80E" wp14:editId="625DB2A5">
            <wp:extent cx="4872130" cy="2586318"/>
            <wp:effectExtent l="0" t="0" r="5080" b="5080"/>
            <wp:docPr id="1590429419" name="Chart 1">
              <a:extLst xmlns:a="http://schemas.openxmlformats.org/drawingml/2006/main">
                <a:ext uri="{FF2B5EF4-FFF2-40B4-BE49-F238E27FC236}">
                  <a16:creationId xmlns:a16="http://schemas.microsoft.com/office/drawing/2014/main" id="{9DC03426-2726-4058-AEDA-24E674FF54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DF3F6" w14:textId="77777777" w:rsidR="00E352C5" w:rsidRPr="00CB74C8" w:rsidRDefault="00E352C5" w:rsidP="00B469AF">
      <w:pPr>
        <w:rPr>
          <w:rFonts w:ascii="Arial" w:hAnsi="Arial" w:cs="Arial"/>
        </w:rPr>
      </w:pPr>
    </w:p>
    <w:p w14:paraId="49390289" w14:textId="7E6E8D45" w:rsidR="00DD7D1D" w:rsidRPr="00CB74C8" w:rsidRDefault="009A55A2" w:rsidP="00B469AF">
      <w:pPr>
        <w:rPr>
          <w:rFonts w:ascii="Arial" w:hAnsi="Arial" w:cs="Arial"/>
          <w:szCs w:val="24"/>
        </w:rPr>
      </w:pPr>
      <w:r w:rsidRPr="00CB74C8">
        <w:rPr>
          <w:rFonts w:ascii="Arial" w:hAnsi="Arial" w:cs="Arial"/>
          <w:szCs w:val="24"/>
        </w:rPr>
        <w:t>The asset turnover ratio can evaluate the efficiency of using total assets to generate revenue. A high ratio supports a high efficiency</w:t>
      </w:r>
      <w:r w:rsidR="006B3BA6" w:rsidRPr="00CB74C8">
        <w:rPr>
          <w:rFonts w:ascii="Arial" w:hAnsi="Arial" w:cs="Arial"/>
          <w:szCs w:val="24"/>
        </w:rPr>
        <w:t xml:space="preserve"> (Patin, Rahman and Mustafa, 2020, p.2)</w:t>
      </w:r>
      <w:r w:rsidRPr="00CB74C8">
        <w:rPr>
          <w:rFonts w:ascii="Arial" w:hAnsi="Arial" w:cs="Arial"/>
          <w:szCs w:val="24"/>
        </w:rPr>
        <w:t xml:space="preserve">. </w:t>
      </w:r>
      <w:r w:rsidR="00C73AE7" w:rsidRPr="00CB74C8">
        <w:rPr>
          <w:rFonts w:ascii="Arial" w:hAnsi="Arial" w:cs="Arial"/>
          <w:szCs w:val="24"/>
        </w:rPr>
        <w:t xml:space="preserve">Marriott had an asset turnover ratio of </w:t>
      </w:r>
      <w:r w:rsidR="00F92717" w:rsidRPr="00CB74C8">
        <w:rPr>
          <w:rFonts w:ascii="Arial" w:hAnsi="Arial" w:cs="Arial"/>
          <w:szCs w:val="24"/>
        </w:rPr>
        <w:t xml:space="preserve">0.95 times in 2025 and 0.54 times in 2021, showing a reasonable improvement in efficiency performance over the period. </w:t>
      </w:r>
      <w:r w:rsidR="00C2040B" w:rsidRPr="00CB74C8">
        <w:rPr>
          <w:rFonts w:ascii="Arial" w:hAnsi="Arial" w:cs="Arial"/>
          <w:szCs w:val="24"/>
        </w:rPr>
        <w:t>A lofty increase in revenue caused an increase in efficiency performance. Marriott had an asset turnover ratio of 0.74 times in 2025, which indicates Marriott had a higher efficiency than that of the industry</w:t>
      </w:r>
      <w:r w:rsidR="00472A5F" w:rsidRPr="00CB74C8">
        <w:rPr>
          <w:rFonts w:ascii="Arial" w:hAnsi="Arial" w:cs="Arial"/>
          <w:szCs w:val="24"/>
        </w:rPr>
        <w:t xml:space="preserve"> (See Appendix 2)</w:t>
      </w:r>
      <w:r w:rsidR="00C2040B" w:rsidRPr="00CB74C8">
        <w:rPr>
          <w:rFonts w:ascii="Arial" w:hAnsi="Arial" w:cs="Arial"/>
          <w:szCs w:val="24"/>
        </w:rPr>
        <w:t xml:space="preserve">. </w:t>
      </w:r>
      <w:r w:rsidR="00DD7D1D" w:rsidRPr="00CB74C8">
        <w:rPr>
          <w:rFonts w:ascii="Arial" w:hAnsi="Arial" w:cs="Arial"/>
          <w:szCs w:val="24"/>
        </w:rPr>
        <w:t xml:space="preserve">Marriott had a receivable turnover </w:t>
      </w:r>
      <w:r w:rsidR="00DD7D1D" w:rsidRPr="00CB74C8">
        <w:rPr>
          <w:rFonts w:ascii="Arial" w:hAnsi="Arial" w:cs="Arial"/>
          <w:szCs w:val="24"/>
        </w:rPr>
        <w:lastRenderedPageBreak/>
        <w:t xml:space="preserve">ratio of 9.00 times in 2025 and 6.99 times in 2021, showing a reasonable increase in efficiency performance over the period. The industry had </w:t>
      </w:r>
      <w:r w:rsidR="00782746" w:rsidRPr="00CB74C8">
        <w:rPr>
          <w:rFonts w:ascii="Arial" w:hAnsi="Arial" w:cs="Arial"/>
          <w:szCs w:val="24"/>
        </w:rPr>
        <w:t xml:space="preserve">a receivable turnover ratio of 30.68 times in 2025, showing a lower efficiency of Marriott in 2025. </w:t>
      </w:r>
      <w:r w:rsidR="00054265" w:rsidRPr="00CB74C8">
        <w:rPr>
          <w:rFonts w:ascii="Arial" w:hAnsi="Arial" w:cs="Arial"/>
          <w:szCs w:val="24"/>
        </w:rPr>
        <w:t>Marriott had a payable turnover ratio of 27.08 times in 2025 and 16.68 times in 2021, showing a decline in efficiency in availing credit period from creditors over the period.</w:t>
      </w:r>
    </w:p>
    <w:p w14:paraId="47040489" w14:textId="4CA2E876" w:rsidR="00B055E4" w:rsidRPr="00CB74C8" w:rsidRDefault="00B055E4" w:rsidP="00B469AF">
      <w:pPr>
        <w:pStyle w:val="Heading3"/>
        <w:rPr>
          <w:rFonts w:ascii="Arial" w:hAnsi="Arial" w:cs="Arial"/>
          <w:szCs w:val="24"/>
        </w:rPr>
      </w:pPr>
      <w:bookmarkStart w:id="9" w:name="_Toc237459246"/>
      <w:r w:rsidRPr="00CB74C8">
        <w:rPr>
          <w:rFonts w:ascii="Arial" w:hAnsi="Arial" w:cs="Arial"/>
          <w:szCs w:val="24"/>
        </w:rPr>
        <w:t>Gearing Position</w:t>
      </w:r>
      <w:bookmarkEnd w:id="9"/>
    </w:p>
    <w:p w14:paraId="11575C0A" w14:textId="03CBD285" w:rsidR="00054265" w:rsidRPr="00CB74C8" w:rsidRDefault="00054265" w:rsidP="00B469AF">
      <w:pPr>
        <w:rPr>
          <w:rFonts w:ascii="Arial" w:hAnsi="Arial" w:cs="Arial"/>
          <w:szCs w:val="24"/>
        </w:rPr>
      </w:pPr>
    </w:p>
    <w:p w14:paraId="3A9C2FC5" w14:textId="24F625D4" w:rsidR="00E352C5" w:rsidRPr="00CB74C8" w:rsidRDefault="008E6E5C" w:rsidP="00B469AF">
      <w:pPr>
        <w:rPr>
          <w:rFonts w:ascii="Arial" w:hAnsi="Arial" w:cs="Arial"/>
          <w:szCs w:val="24"/>
          <w:lang w:val="en-IN"/>
        </w:rPr>
      </w:pPr>
      <w:r w:rsidRPr="00CB74C8">
        <w:rPr>
          <w:rFonts w:ascii="Arial" w:hAnsi="Arial" w:cs="Arial"/>
          <w:noProof/>
        </w:rPr>
        <w:drawing>
          <wp:inline distT="0" distB="0" distL="0" distR="0" wp14:anchorId="12160CC9" wp14:editId="72F53B88">
            <wp:extent cx="4872131" cy="2575112"/>
            <wp:effectExtent l="0" t="0" r="5080" b="15875"/>
            <wp:docPr id="1284293196" name="Chart 1">
              <a:extLst xmlns:a="http://schemas.openxmlformats.org/drawingml/2006/main">
                <a:ext uri="{FF2B5EF4-FFF2-40B4-BE49-F238E27FC236}">
                  <a16:creationId xmlns:a16="http://schemas.microsoft.com/office/drawing/2014/main" id="{8A53FCA1-04B3-4805-B6E5-6AE15DF6E0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024A8D" w14:textId="7492AEBF" w:rsidR="00977E3A" w:rsidRPr="00CB74C8" w:rsidRDefault="00C91DFE" w:rsidP="00B469AF">
      <w:pPr>
        <w:rPr>
          <w:rFonts w:ascii="Arial" w:hAnsi="Arial" w:cs="Arial"/>
          <w:szCs w:val="24"/>
        </w:rPr>
      </w:pPr>
      <w:r w:rsidRPr="00CB74C8">
        <w:rPr>
          <w:rFonts w:ascii="Arial" w:hAnsi="Arial" w:cs="Arial"/>
          <w:szCs w:val="24"/>
        </w:rPr>
        <w:t>The debt-to-equity ratio appraises solvency risk by comparing debt and equity funds in the capital structure</w:t>
      </w:r>
      <w:r w:rsidR="00C0726C" w:rsidRPr="00CB74C8">
        <w:rPr>
          <w:rFonts w:ascii="Arial" w:hAnsi="Arial" w:cs="Arial"/>
          <w:szCs w:val="24"/>
        </w:rPr>
        <w:t xml:space="preserve"> (Sari et al., 2022, p.51)</w:t>
      </w:r>
      <w:r w:rsidRPr="00CB74C8">
        <w:rPr>
          <w:rFonts w:ascii="Arial" w:hAnsi="Arial" w:cs="Arial"/>
          <w:szCs w:val="24"/>
        </w:rPr>
        <w:t xml:space="preserve">. </w:t>
      </w:r>
      <w:r w:rsidR="000C4CEB" w:rsidRPr="00CB74C8">
        <w:rPr>
          <w:rFonts w:ascii="Arial" w:hAnsi="Arial" w:cs="Arial"/>
          <w:szCs w:val="24"/>
        </w:rPr>
        <w:t xml:space="preserve">The debt-to-equity ratio </w:t>
      </w:r>
      <w:r w:rsidR="00610E97" w:rsidRPr="00CB74C8">
        <w:rPr>
          <w:rFonts w:ascii="Arial" w:hAnsi="Arial" w:cs="Arial"/>
          <w:szCs w:val="24"/>
        </w:rPr>
        <w:t>of Marriott was -8.30 times in 2025 and 17.07 times in 2021, showing a</w:t>
      </w:r>
      <w:r w:rsidR="002D6E4E" w:rsidRPr="00CB74C8">
        <w:rPr>
          <w:rFonts w:ascii="Arial" w:hAnsi="Arial" w:cs="Arial"/>
          <w:szCs w:val="24"/>
        </w:rPr>
        <w:t xml:space="preserve">n increase in </w:t>
      </w:r>
      <w:r w:rsidR="000966ED" w:rsidRPr="00CB74C8">
        <w:rPr>
          <w:rFonts w:ascii="Arial" w:hAnsi="Arial" w:cs="Arial"/>
          <w:szCs w:val="24"/>
        </w:rPr>
        <w:t xml:space="preserve">solvency risk over the period. Marriott </w:t>
      </w:r>
      <w:r w:rsidR="0093190C" w:rsidRPr="00CB74C8">
        <w:rPr>
          <w:rFonts w:ascii="Arial" w:hAnsi="Arial" w:cs="Arial"/>
          <w:szCs w:val="24"/>
        </w:rPr>
        <w:t xml:space="preserve">increased debt funding while equity funding declined due to the buyback of shares over the period. The industry had a debt-to-equity ratio of </w:t>
      </w:r>
      <w:r w:rsidR="00600888" w:rsidRPr="00CB74C8">
        <w:rPr>
          <w:rFonts w:ascii="Arial" w:hAnsi="Arial" w:cs="Arial"/>
          <w:szCs w:val="24"/>
        </w:rPr>
        <w:t xml:space="preserve">0.04 times in 2025, showing a higher solvency risk </w:t>
      </w:r>
      <w:r w:rsidR="00977E3A" w:rsidRPr="00CB74C8">
        <w:rPr>
          <w:rFonts w:ascii="Arial" w:hAnsi="Arial" w:cs="Arial"/>
          <w:szCs w:val="24"/>
        </w:rPr>
        <w:t>for</w:t>
      </w:r>
      <w:r w:rsidR="00600888" w:rsidRPr="00CB74C8">
        <w:rPr>
          <w:rFonts w:ascii="Arial" w:hAnsi="Arial" w:cs="Arial"/>
          <w:szCs w:val="24"/>
        </w:rPr>
        <w:t xml:space="preserve"> Marriott in 2025.</w:t>
      </w:r>
      <w:r w:rsidR="00C64FAE" w:rsidRPr="00CB74C8">
        <w:rPr>
          <w:rFonts w:ascii="Arial" w:hAnsi="Arial" w:cs="Arial"/>
          <w:szCs w:val="24"/>
        </w:rPr>
        <w:t xml:space="preserve"> </w:t>
      </w:r>
      <w:r w:rsidR="00977E3A" w:rsidRPr="00CB74C8">
        <w:rPr>
          <w:rFonts w:ascii="Arial" w:hAnsi="Arial" w:cs="Arial"/>
          <w:szCs w:val="24"/>
        </w:rPr>
        <w:t>The interest coverage ratio evaluates coverage of interest expenses by operating profit. Marriott had an interest coverage ratio of 5.12 times in 2025 and 4.17 times in 2021, showing a strong position to cover interest expenses from operating profit across the period.</w:t>
      </w:r>
    </w:p>
    <w:p w14:paraId="2C2576E4" w14:textId="742DEB4C" w:rsidR="00896353" w:rsidRPr="00CB74C8" w:rsidRDefault="00D23125" w:rsidP="00B469AF">
      <w:pPr>
        <w:pStyle w:val="Heading2"/>
        <w:rPr>
          <w:rFonts w:ascii="Arial" w:hAnsi="Arial" w:cs="Arial"/>
          <w:szCs w:val="24"/>
        </w:rPr>
      </w:pPr>
      <w:bookmarkStart w:id="10" w:name="_Toc237459247"/>
      <w:r w:rsidRPr="00CB74C8">
        <w:rPr>
          <w:rFonts w:ascii="Arial" w:hAnsi="Arial" w:cs="Arial"/>
          <w:szCs w:val="24"/>
        </w:rPr>
        <w:t>Market Performance</w:t>
      </w:r>
      <w:bookmarkEnd w:id="10"/>
    </w:p>
    <w:p w14:paraId="70A7604C" w14:textId="394099F1" w:rsidR="008E6E5C" w:rsidRPr="00CB74C8" w:rsidRDefault="008E6E5C" w:rsidP="00B469AF">
      <w:pPr>
        <w:rPr>
          <w:rFonts w:ascii="Arial" w:hAnsi="Arial" w:cs="Arial"/>
          <w:szCs w:val="24"/>
        </w:rPr>
      </w:pPr>
      <w:r w:rsidRPr="00CB74C8">
        <w:rPr>
          <w:rFonts w:ascii="Arial" w:hAnsi="Arial" w:cs="Arial"/>
          <w:noProof/>
        </w:rPr>
        <w:lastRenderedPageBreak/>
        <w:drawing>
          <wp:inline distT="0" distB="0" distL="0" distR="0" wp14:anchorId="7E5E82DF" wp14:editId="0ACF9A6E">
            <wp:extent cx="4872130" cy="2578698"/>
            <wp:effectExtent l="0" t="0" r="5080" b="12700"/>
            <wp:docPr id="413653716" name="Chart 1">
              <a:extLst xmlns:a="http://schemas.openxmlformats.org/drawingml/2006/main">
                <a:ext uri="{FF2B5EF4-FFF2-40B4-BE49-F238E27FC236}">
                  <a16:creationId xmlns:a16="http://schemas.microsoft.com/office/drawing/2014/main" id="{BDD33B1E-9A7C-40BD-86A0-58BEB3952F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29C8E5" w14:textId="381A9EB2" w:rsidR="005C1D77" w:rsidRPr="00CB74C8" w:rsidRDefault="00295CB4" w:rsidP="00B469AF">
      <w:pPr>
        <w:rPr>
          <w:rFonts w:ascii="Arial" w:hAnsi="Arial" w:cs="Arial"/>
          <w:szCs w:val="24"/>
        </w:rPr>
      </w:pPr>
      <w:r w:rsidRPr="00CB74C8">
        <w:rPr>
          <w:rFonts w:ascii="Arial" w:hAnsi="Arial" w:cs="Arial"/>
          <w:szCs w:val="24"/>
        </w:rPr>
        <w:t>The market price-to-earnings ratio explains the impact of earnings on the market price performance</w:t>
      </w:r>
      <w:r w:rsidR="00C0726C" w:rsidRPr="00CB74C8">
        <w:rPr>
          <w:rFonts w:ascii="Arial" w:hAnsi="Arial" w:cs="Arial"/>
          <w:szCs w:val="24"/>
        </w:rPr>
        <w:t xml:space="preserve"> (Ali, Chisti and Malik, 2022)</w:t>
      </w:r>
      <w:r w:rsidRPr="00CB74C8">
        <w:rPr>
          <w:rFonts w:ascii="Arial" w:hAnsi="Arial" w:cs="Arial"/>
          <w:szCs w:val="24"/>
        </w:rPr>
        <w:t xml:space="preserve">. Marriott </w:t>
      </w:r>
      <w:r w:rsidR="002D34CC" w:rsidRPr="00CB74C8">
        <w:rPr>
          <w:rFonts w:ascii="Arial" w:hAnsi="Arial" w:cs="Arial"/>
          <w:szCs w:val="24"/>
        </w:rPr>
        <w:t xml:space="preserve">had a P/E ratio of </w:t>
      </w:r>
      <w:r w:rsidR="006E30F2" w:rsidRPr="00CB74C8">
        <w:rPr>
          <w:rFonts w:ascii="Arial" w:hAnsi="Arial" w:cs="Arial"/>
          <w:szCs w:val="24"/>
        </w:rPr>
        <w:t xml:space="preserve">32.55 times in 2025 and 49.18 times in 2021, showing a </w:t>
      </w:r>
      <w:r w:rsidR="00736A73" w:rsidRPr="00CB74C8">
        <w:rPr>
          <w:rFonts w:ascii="Arial" w:hAnsi="Arial" w:cs="Arial"/>
          <w:szCs w:val="24"/>
        </w:rPr>
        <w:t xml:space="preserve">high investment performance over the period. </w:t>
      </w:r>
      <w:r w:rsidR="00F253B8" w:rsidRPr="00CB74C8">
        <w:rPr>
          <w:rFonts w:ascii="Arial" w:hAnsi="Arial" w:cs="Arial"/>
          <w:szCs w:val="24"/>
        </w:rPr>
        <w:t>Marriott</w:t>
      </w:r>
      <w:r w:rsidR="00736A73" w:rsidRPr="00CB74C8">
        <w:rPr>
          <w:rFonts w:ascii="Arial" w:hAnsi="Arial" w:cs="Arial"/>
          <w:szCs w:val="24"/>
        </w:rPr>
        <w:t xml:space="preserve"> increased its market price in 2025 due to increased revenue performance </w:t>
      </w:r>
      <w:r w:rsidR="0070321F" w:rsidRPr="00CB74C8">
        <w:rPr>
          <w:rFonts w:ascii="Arial" w:hAnsi="Arial" w:cs="Arial"/>
          <w:szCs w:val="24"/>
        </w:rPr>
        <w:t>compared to</w:t>
      </w:r>
      <w:r w:rsidR="00736A73" w:rsidRPr="00CB74C8">
        <w:rPr>
          <w:rFonts w:ascii="Arial" w:hAnsi="Arial" w:cs="Arial"/>
          <w:szCs w:val="24"/>
        </w:rPr>
        <w:t xml:space="preserve"> the expected performance in </w:t>
      </w:r>
      <w:r w:rsidR="0070321F" w:rsidRPr="00CB74C8">
        <w:rPr>
          <w:rFonts w:ascii="Arial" w:hAnsi="Arial" w:cs="Arial"/>
          <w:szCs w:val="24"/>
        </w:rPr>
        <w:t xml:space="preserve">the </w:t>
      </w:r>
      <w:r w:rsidR="00736A73" w:rsidRPr="00CB74C8">
        <w:rPr>
          <w:rFonts w:ascii="Arial" w:hAnsi="Arial" w:cs="Arial"/>
          <w:szCs w:val="24"/>
        </w:rPr>
        <w:t>last quarter of 2025</w:t>
      </w:r>
      <w:r w:rsidR="005C1D77" w:rsidRPr="00CB74C8">
        <w:rPr>
          <w:rFonts w:ascii="Arial" w:hAnsi="Arial" w:cs="Arial"/>
          <w:szCs w:val="24"/>
        </w:rPr>
        <w:t xml:space="preserve"> (Proactive Investors, 2026)</w:t>
      </w:r>
      <w:r w:rsidR="00736A73" w:rsidRPr="00CB74C8">
        <w:rPr>
          <w:rFonts w:ascii="Arial" w:hAnsi="Arial" w:cs="Arial"/>
          <w:szCs w:val="24"/>
        </w:rPr>
        <w:t>.</w:t>
      </w:r>
      <w:r w:rsidR="005C1D77" w:rsidRPr="00CB74C8">
        <w:rPr>
          <w:rFonts w:ascii="Arial" w:hAnsi="Arial" w:cs="Arial"/>
          <w:szCs w:val="24"/>
        </w:rPr>
        <w:t xml:space="preserve"> The industry had a P/E ratio of </w:t>
      </w:r>
      <w:r w:rsidR="002035A5" w:rsidRPr="00CB74C8">
        <w:rPr>
          <w:rFonts w:ascii="Arial" w:hAnsi="Arial" w:cs="Arial"/>
          <w:szCs w:val="24"/>
        </w:rPr>
        <w:t xml:space="preserve">27.32 times in 2025, showing Marriott </w:t>
      </w:r>
      <w:r w:rsidR="00BC5975" w:rsidRPr="00CB74C8">
        <w:rPr>
          <w:rFonts w:ascii="Arial" w:hAnsi="Arial" w:cs="Arial"/>
          <w:szCs w:val="24"/>
        </w:rPr>
        <w:t xml:space="preserve">had a higher performance than that of the industry. </w:t>
      </w:r>
      <w:r w:rsidR="005C1D77" w:rsidRPr="00CB74C8">
        <w:rPr>
          <w:rFonts w:ascii="Arial" w:hAnsi="Arial" w:cs="Arial"/>
          <w:szCs w:val="24"/>
        </w:rPr>
        <w:t>The dividend yield ratio of Marriott was 0.85% in 2025 and 0.67% in 2022, which indicates a high market performance due to a higher increase in market price than the increase in dividends over the period.</w:t>
      </w:r>
    </w:p>
    <w:p w14:paraId="445F5A5B" w14:textId="38EF2D19" w:rsidR="0047381F" w:rsidRPr="00CB74C8" w:rsidRDefault="0047381F" w:rsidP="00B469AF">
      <w:pPr>
        <w:pStyle w:val="Heading3"/>
        <w:rPr>
          <w:rFonts w:ascii="Arial" w:hAnsi="Arial" w:cs="Arial"/>
          <w:szCs w:val="24"/>
        </w:rPr>
      </w:pPr>
      <w:bookmarkStart w:id="11" w:name="_Toc237459248"/>
      <w:r w:rsidRPr="00CB74C8">
        <w:rPr>
          <w:rFonts w:ascii="Arial" w:hAnsi="Arial" w:cs="Arial"/>
          <w:szCs w:val="24"/>
        </w:rPr>
        <w:t>Cash Flow</w:t>
      </w:r>
      <w:bookmarkEnd w:id="11"/>
      <w:r w:rsidRPr="00CB74C8">
        <w:rPr>
          <w:rFonts w:ascii="Arial" w:hAnsi="Arial" w:cs="Arial"/>
          <w:szCs w:val="24"/>
        </w:rPr>
        <w:t xml:space="preserve"> </w:t>
      </w:r>
    </w:p>
    <w:p w14:paraId="3B353688" w14:textId="35F8394C" w:rsidR="00C86CFC" w:rsidRPr="00CB74C8" w:rsidRDefault="00C86CFC" w:rsidP="00B469AF">
      <w:pPr>
        <w:rPr>
          <w:rFonts w:ascii="Arial" w:hAnsi="Arial" w:cs="Arial"/>
          <w:szCs w:val="24"/>
        </w:rPr>
      </w:pPr>
      <w:r w:rsidRPr="00CB74C8">
        <w:rPr>
          <w:rFonts w:ascii="Arial" w:hAnsi="Arial" w:cs="Arial"/>
          <w:szCs w:val="24"/>
        </w:rPr>
        <w:t xml:space="preserve">The operating cash flow ratio is an important financial metric to compare current liabilities with cash flows from operating activities. Marriott had an operating cash flow ratio of </w:t>
      </w:r>
      <w:r w:rsidR="00800786" w:rsidRPr="00CB74C8">
        <w:rPr>
          <w:rFonts w:ascii="Arial" w:hAnsi="Arial" w:cs="Arial"/>
          <w:szCs w:val="24"/>
        </w:rPr>
        <w:t>0.38 times in 2025 and 0.18 times in 2021. It indicates that Marriott increased its cash flow performance to cover its current liabilities over the period.</w:t>
      </w:r>
    </w:p>
    <w:p w14:paraId="4EBC9707" w14:textId="05C59675" w:rsidR="00AA0441" w:rsidRPr="00CB74C8" w:rsidRDefault="006C12F0" w:rsidP="00B469AF">
      <w:pPr>
        <w:pStyle w:val="Heading1"/>
        <w:rPr>
          <w:rFonts w:ascii="Arial" w:hAnsi="Arial" w:cs="Arial"/>
          <w:szCs w:val="24"/>
        </w:rPr>
      </w:pPr>
      <w:bookmarkStart w:id="12" w:name="_Toc237459249"/>
      <w:r w:rsidRPr="00CB74C8">
        <w:rPr>
          <w:rFonts w:ascii="Arial" w:hAnsi="Arial" w:cs="Arial"/>
          <w:szCs w:val="24"/>
        </w:rPr>
        <w:t>Working Capital Management Analysis</w:t>
      </w:r>
      <w:bookmarkEnd w:id="12"/>
    </w:p>
    <w:p w14:paraId="14EC3D62" w14:textId="19C9700D" w:rsidR="002B263F" w:rsidRPr="00CB74C8" w:rsidRDefault="002B263F" w:rsidP="00B469AF">
      <w:pPr>
        <w:pStyle w:val="Heading2"/>
        <w:rPr>
          <w:rFonts w:ascii="Arial" w:hAnsi="Arial" w:cs="Arial"/>
          <w:szCs w:val="24"/>
        </w:rPr>
      </w:pPr>
      <w:bookmarkStart w:id="13" w:name="_Toc237459250"/>
      <w:r w:rsidRPr="00CB74C8">
        <w:rPr>
          <w:rFonts w:ascii="Arial" w:hAnsi="Arial" w:cs="Arial"/>
          <w:szCs w:val="24"/>
        </w:rPr>
        <w:t>Cash Operating Cycle</w:t>
      </w:r>
      <w:bookmarkEnd w:id="13"/>
      <w:r w:rsidRPr="00CB74C8">
        <w:rPr>
          <w:rFonts w:ascii="Arial" w:hAnsi="Arial" w:cs="Arial"/>
          <w:szCs w:val="24"/>
        </w:rPr>
        <w:t xml:space="preserve"> </w:t>
      </w:r>
    </w:p>
    <w:p w14:paraId="119963CD" w14:textId="62C0AE51" w:rsidR="000A625A" w:rsidRPr="00CB74C8" w:rsidRDefault="002B263F" w:rsidP="00B469AF">
      <w:pPr>
        <w:rPr>
          <w:rFonts w:ascii="Arial" w:hAnsi="Arial" w:cs="Arial"/>
          <w:szCs w:val="24"/>
        </w:rPr>
      </w:pPr>
      <w:r w:rsidRPr="00CB74C8">
        <w:rPr>
          <w:rFonts w:ascii="Arial" w:hAnsi="Arial" w:cs="Arial"/>
          <w:b/>
          <w:bCs w:val="0"/>
          <w:szCs w:val="24"/>
        </w:rPr>
        <w:lastRenderedPageBreak/>
        <w:t>Working</w:t>
      </w:r>
      <w:r w:rsidR="008903EA" w:rsidRPr="00CB74C8">
        <w:rPr>
          <w:rFonts w:ascii="Arial" w:hAnsi="Arial" w:cs="Arial"/>
          <w:b/>
          <w:bCs w:val="0"/>
          <w:szCs w:val="24"/>
        </w:rPr>
        <w:t xml:space="preserve"> capital shows</w:t>
      </w:r>
      <w:r w:rsidR="008903EA" w:rsidRPr="00CB74C8">
        <w:rPr>
          <w:rFonts w:ascii="Arial" w:hAnsi="Arial" w:cs="Arial"/>
          <w:szCs w:val="24"/>
        </w:rPr>
        <w:t xml:space="preserve"> </w:t>
      </w:r>
      <w:r w:rsidRPr="00CB74C8">
        <w:rPr>
          <w:rFonts w:ascii="Arial" w:hAnsi="Arial" w:cs="Arial"/>
          <w:szCs w:val="24"/>
        </w:rPr>
        <w:t>the</w:t>
      </w:r>
      <w:r w:rsidR="008903EA" w:rsidRPr="00CB74C8">
        <w:rPr>
          <w:rFonts w:ascii="Arial" w:hAnsi="Arial" w:cs="Arial"/>
          <w:szCs w:val="24"/>
        </w:rPr>
        <w:t xml:space="preserve"> difference between current assets and current liabilities. The positive working capital shows </w:t>
      </w:r>
      <w:r w:rsidR="00763772" w:rsidRPr="00CB74C8">
        <w:rPr>
          <w:rFonts w:ascii="Arial" w:hAnsi="Arial" w:cs="Arial"/>
          <w:szCs w:val="24"/>
        </w:rPr>
        <w:t>that</w:t>
      </w:r>
      <w:r w:rsidR="008903EA" w:rsidRPr="00CB74C8">
        <w:rPr>
          <w:rFonts w:ascii="Arial" w:hAnsi="Arial" w:cs="Arial"/>
          <w:szCs w:val="24"/>
        </w:rPr>
        <w:t xml:space="preserve"> current assets </w:t>
      </w:r>
      <w:r w:rsidR="00763772" w:rsidRPr="00CB74C8">
        <w:rPr>
          <w:rFonts w:ascii="Arial" w:hAnsi="Arial" w:cs="Arial"/>
          <w:szCs w:val="24"/>
        </w:rPr>
        <w:t>exceed</w:t>
      </w:r>
      <w:r w:rsidR="008903EA" w:rsidRPr="00CB74C8">
        <w:rPr>
          <w:rFonts w:ascii="Arial" w:hAnsi="Arial" w:cs="Arial"/>
          <w:szCs w:val="24"/>
        </w:rPr>
        <w:t xml:space="preserve"> current liabilities. It </w:t>
      </w:r>
      <w:r w:rsidR="00763772" w:rsidRPr="00CB74C8">
        <w:rPr>
          <w:rFonts w:ascii="Arial" w:hAnsi="Arial" w:cs="Arial"/>
          <w:szCs w:val="24"/>
        </w:rPr>
        <w:t>indicates</w:t>
      </w:r>
      <w:r w:rsidR="008903EA" w:rsidRPr="00CB74C8">
        <w:rPr>
          <w:rFonts w:ascii="Arial" w:hAnsi="Arial" w:cs="Arial"/>
          <w:szCs w:val="24"/>
        </w:rPr>
        <w:t xml:space="preserve"> that a company can easily cover its current liabilities with its current assets. </w:t>
      </w:r>
      <w:r w:rsidR="00F751DD" w:rsidRPr="00CB74C8">
        <w:rPr>
          <w:rFonts w:ascii="Arial" w:hAnsi="Arial" w:cs="Arial"/>
          <w:szCs w:val="24"/>
        </w:rPr>
        <w:t>Adequate</w:t>
      </w:r>
      <w:r w:rsidR="008903EA" w:rsidRPr="00CB74C8">
        <w:rPr>
          <w:rFonts w:ascii="Arial" w:hAnsi="Arial" w:cs="Arial"/>
          <w:szCs w:val="24"/>
        </w:rPr>
        <w:t xml:space="preserve"> working capital </w:t>
      </w:r>
      <w:r w:rsidR="00F751DD" w:rsidRPr="00CB74C8">
        <w:rPr>
          <w:rFonts w:ascii="Arial" w:hAnsi="Arial" w:cs="Arial"/>
          <w:szCs w:val="24"/>
        </w:rPr>
        <w:t xml:space="preserve">provides operational flexibility in managing operational activities. </w:t>
      </w:r>
    </w:p>
    <w:p w14:paraId="2F20151F" w14:textId="77037C5D" w:rsidR="002877EC" w:rsidRPr="00CB74C8" w:rsidRDefault="002877EC" w:rsidP="00B469AF">
      <w:pPr>
        <w:rPr>
          <w:rFonts w:ascii="Arial" w:hAnsi="Arial" w:cs="Arial"/>
          <w:szCs w:val="24"/>
        </w:rPr>
      </w:pPr>
      <w:r w:rsidRPr="00CB74C8">
        <w:rPr>
          <w:rFonts w:ascii="Arial" w:hAnsi="Arial" w:cs="Arial"/>
          <w:noProof/>
          <w:szCs w:val="24"/>
        </w:rPr>
        <w:drawing>
          <wp:inline distT="0" distB="0" distL="0" distR="0" wp14:anchorId="2D7C5DB5" wp14:editId="02C5BD80">
            <wp:extent cx="4619625" cy="962025"/>
            <wp:effectExtent l="0" t="0" r="9525" b="9525"/>
            <wp:docPr id="5568128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9625" cy="962025"/>
                    </a:xfrm>
                    <a:prstGeom prst="rect">
                      <a:avLst/>
                    </a:prstGeom>
                    <a:noFill/>
                    <a:ln>
                      <a:noFill/>
                    </a:ln>
                  </pic:spPr>
                </pic:pic>
              </a:graphicData>
            </a:graphic>
          </wp:inline>
        </w:drawing>
      </w:r>
    </w:p>
    <w:p w14:paraId="781AAB7C" w14:textId="1013A272" w:rsidR="002877EC" w:rsidRPr="00CB74C8" w:rsidRDefault="008F639D" w:rsidP="00B469AF">
      <w:pPr>
        <w:rPr>
          <w:rFonts w:ascii="Arial" w:hAnsi="Arial" w:cs="Arial"/>
          <w:szCs w:val="24"/>
        </w:rPr>
      </w:pPr>
      <w:r w:rsidRPr="00CB74C8">
        <w:rPr>
          <w:rFonts w:ascii="Arial" w:hAnsi="Arial" w:cs="Arial"/>
          <w:szCs w:val="24"/>
        </w:rPr>
        <w:t xml:space="preserve">The working capital position of Marriott was not adequate between 2025 and 2021. Marriott had no flexibility in managing working capital due to shorter current assets than current liabilities. Marriott was not able to manage its working capital efficiently to </w:t>
      </w:r>
      <w:proofErr w:type="spellStart"/>
      <w:r w:rsidRPr="00CB74C8">
        <w:rPr>
          <w:rFonts w:ascii="Arial" w:hAnsi="Arial" w:cs="Arial"/>
          <w:szCs w:val="24"/>
        </w:rPr>
        <w:t>optimise</w:t>
      </w:r>
      <w:proofErr w:type="spellEnd"/>
      <w:r w:rsidRPr="00CB74C8">
        <w:rPr>
          <w:rFonts w:ascii="Arial" w:hAnsi="Arial" w:cs="Arial"/>
          <w:szCs w:val="24"/>
        </w:rPr>
        <w:t xml:space="preserve"> its operational activities. </w:t>
      </w:r>
    </w:p>
    <w:p w14:paraId="5B676580" w14:textId="1CBBE5BF" w:rsidR="00226151" w:rsidRPr="00CB74C8" w:rsidRDefault="00226151" w:rsidP="00B469AF">
      <w:pPr>
        <w:rPr>
          <w:rFonts w:ascii="Arial" w:hAnsi="Arial" w:cs="Arial"/>
          <w:szCs w:val="24"/>
        </w:rPr>
      </w:pPr>
      <w:r w:rsidRPr="00CB74C8">
        <w:rPr>
          <w:rFonts w:ascii="Arial" w:hAnsi="Arial" w:cs="Arial"/>
          <w:szCs w:val="24"/>
        </w:rPr>
        <w:t xml:space="preserve">The cash conversion cycle estimates the period from selling its services and </w:t>
      </w:r>
      <w:proofErr w:type="spellStart"/>
      <w:r w:rsidRPr="00CB74C8">
        <w:rPr>
          <w:rFonts w:ascii="Arial" w:hAnsi="Arial" w:cs="Arial"/>
          <w:szCs w:val="24"/>
        </w:rPr>
        <w:t>realising</w:t>
      </w:r>
      <w:proofErr w:type="spellEnd"/>
      <w:r w:rsidRPr="00CB74C8">
        <w:rPr>
          <w:rFonts w:ascii="Arial" w:hAnsi="Arial" w:cs="Arial"/>
          <w:szCs w:val="24"/>
        </w:rPr>
        <w:t xml:space="preserve"> sales into cash. A shorter period indicates high </w:t>
      </w:r>
      <w:r w:rsidR="00D72FCC" w:rsidRPr="00CB74C8">
        <w:rPr>
          <w:rFonts w:ascii="Arial" w:hAnsi="Arial" w:cs="Arial"/>
          <w:szCs w:val="24"/>
        </w:rPr>
        <w:t>efficiency</w:t>
      </w:r>
      <w:r w:rsidRPr="00CB74C8">
        <w:rPr>
          <w:rFonts w:ascii="Arial" w:hAnsi="Arial" w:cs="Arial"/>
          <w:szCs w:val="24"/>
        </w:rPr>
        <w:t xml:space="preserve"> in managing </w:t>
      </w:r>
      <w:r w:rsidR="00D72FCC" w:rsidRPr="00CB74C8">
        <w:rPr>
          <w:rFonts w:ascii="Arial" w:hAnsi="Arial" w:cs="Arial"/>
          <w:szCs w:val="24"/>
        </w:rPr>
        <w:t>operational</w:t>
      </w:r>
      <w:r w:rsidRPr="00CB74C8">
        <w:rPr>
          <w:rFonts w:ascii="Arial" w:hAnsi="Arial" w:cs="Arial"/>
          <w:szCs w:val="24"/>
        </w:rPr>
        <w:t xml:space="preserve"> activities</w:t>
      </w:r>
      <w:r w:rsidR="00D72FCC" w:rsidRPr="00CB74C8">
        <w:rPr>
          <w:rFonts w:ascii="Arial" w:hAnsi="Arial" w:cs="Arial"/>
          <w:szCs w:val="24"/>
        </w:rPr>
        <w:t>,</w:t>
      </w:r>
      <w:r w:rsidRPr="00CB74C8">
        <w:rPr>
          <w:rFonts w:ascii="Arial" w:hAnsi="Arial" w:cs="Arial"/>
          <w:szCs w:val="24"/>
        </w:rPr>
        <w:t xml:space="preserve"> while a longer period indicates </w:t>
      </w:r>
      <w:r w:rsidR="00D72FCC" w:rsidRPr="00CB74C8">
        <w:rPr>
          <w:rFonts w:ascii="Arial" w:hAnsi="Arial" w:cs="Arial"/>
          <w:szCs w:val="24"/>
        </w:rPr>
        <w:t>inefficiency</w:t>
      </w:r>
      <w:r w:rsidRPr="00CB74C8">
        <w:rPr>
          <w:rFonts w:ascii="Arial" w:hAnsi="Arial" w:cs="Arial"/>
          <w:szCs w:val="24"/>
        </w:rPr>
        <w:t xml:space="preserve"> in </w:t>
      </w:r>
      <w:r w:rsidR="00D72FCC" w:rsidRPr="00CB74C8">
        <w:rPr>
          <w:rFonts w:ascii="Arial" w:hAnsi="Arial" w:cs="Arial"/>
          <w:szCs w:val="24"/>
        </w:rPr>
        <w:t>managing</w:t>
      </w:r>
      <w:r w:rsidRPr="00CB74C8">
        <w:rPr>
          <w:rFonts w:ascii="Arial" w:hAnsi="Arial" w:cs="Arial"/>
          <w:szCs w:val="24"/>
        </w:rPr>
        <w:t xml:space="preserve"> operational activities</w:t>
      </w:r>
      <w:r w:rsidR="00DA1AE8" w:rsidRPr="00CB74C8">
        <w:rPr>
          <w:rFonts w:ascii="Arial" w:hAnsi="Arial" w:cs="Arial"/>
          <w:szCs w:val="24"/>
        </w:rPr>
        <w:t xml:space="preserve"> (Wang, 2019, p.2)</w:t>
      </w:r>
      <w:r w:rsidRPr="00CB74C8">
        <w:rPr>
          <w:rFonts w:ascii="Arial" w:hAnsi="Arial" w:cs="Arial"/>
          <w:szCs w:val="24"/>
        </w:rPr>
        <w:t xml:space="preserve">. </w:t>
      </w:r>
    </w:p>
    <w:p w14:paraId="6ACF9424" w14:textId="5F9AA961" w:rsidR="00F4246C" w:rsidRPr="00CB74C8" w:rsidRDefault="00F4246C" w:rsidP="00B469AF">
      <w:pPr>
        <w:rPr>
          <w:rFonts w:ascii="Arial" w:hAnsi="Arial" w:cs="Arial"/>
          <w:szCs w:val="24"/>
        </w:rPr>
      </w:pPr>
      <w:r w:rsidRPr="00CB74C8">
        <w:rPr>
          <w:rFonts w:ascii="Arial" w:hAnsi="Arial" w:cs="Arial"/>
          <w:noProof/>
          <w:szCs w:val="24"/>
        </w:rPr>
        <w:drawing>
          <wp:inline distT="0" distB="0" distL="0" distR="0" wp14:anchorId="5D63D368" wp14:editId="0BCB708C">
            <wp:extent cx="5731510" cy="1649095"/>
            <wp:effectExtent l="0" t="0" r="2540" b="8255"/>
            <wp:docPr id="33991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649095"/>
                    </a:xfrm>
                    <a:prstGeom prst="rect">
                      <a:avLst/>
                    </a:prstGeom>
                    <a:noFill/>
                    <a:ln>
                      <a:noFill/>
                    </a:ln>
                  </pic:spPr>
                </pic:pic>
              </a:graphicData>
            </a:graphic>
          </wp:inline>
        </w:drawing>
      </w:r>
    </w:p>
    <w:p w14:paraId="4D71BCFE" w14:textId="7494F610" w:rsidR="00F4246C" w:rsidRPr="00CB74C8" w:rsidRDefault="00F4246C" w:rsidP="00B469AF">
      <w:pPr>
        <w:rPr>
          <w:rFonts w:ascii="Arial" w:hAnsi="Arial" w:cs="Arial"/>
          <w:szCs w:val="24"/>
        </w:rPr>
      </w:pPr>
      <w:r w:rsidRPr="00CB74C8">
        <w:rPr>
          <w:rFonts w:ascii="Arial" w:hAnsi="Arial" w:cs="Arial"/>
          <w:szCs w:val="24"/>
        </w:rPr>
        <w:t xml:space="preserve">CCC of Marriott was 27.08 days in 2025 and 30.33 days in 2021, showing a reasonable increase in efficiency in managing key elements of the working capital. The increased efficiency in managing accounts </w:t>
      </w:r>
      <w:r w:rsidR="007829CB" w:rsidRPr="00CB74C8">
        <w:rPr>
          <w:rFonts w:ascii="Arial" w:hAnsi="Arial" w:cs="Arial"/>
          <w:szCs w:val="24"/>
        </w:rPr>
        <w:t>receivable</w:t>
      </w:r>
      <w:r w:rsidRPr="00CB74C8">
        <w:rPr>
          <w:rFonts w:ascii="Arial" w:hAnsi="Arial" w:cs="Arial"/>
          <w:szCs w:val="24"/>
        </w:rPr>
        <w:t xml:space="preserve"> helped Marriott to improve its CCC performance. However, Marriott was inefficient in managing its accounts </w:t>
      </w:r>
      <w:r w:rsidRPr="00CB74C8">
        <w:rPr>
          <w:rFonts w:ascii="Arial" w:hAnsi="Arial" w:cs="Arial"/>
          <w:szCs w:val="24"/>
        </w:rPr>
        <w:lastRenderedPageBreak/>
        <w:t xml:space="preserve">payable over the last five years because of </w:t>
      </w:r>
      <w:r w:rsidR="007829CB" w:rsidRPr="00CB74C8">
        <w:rPr>
          <w:rFonts w:ascii="Arial" w:hAnsi="Arial" w:cs="Arial"/>
          <w:szCs w:val="24"/>
        </w:rPr>
        <w:t xml:space="preserve">a </w:t>
      </w:r>
      <w:r w:rsidRPr="00CB74C8">
        <w:rPr>
          <w:rFonts w:ascii="Arial" w:hAnsi="Arial" w:cs="Arial"/>
          <w:szCs w:val="24"/>
        </w:rPr>
        <w:t xml:space="preserve">decline in its efficiency in managing creditors’ credit period. The accounts payable days declined to 13.48 days in 2025 from 21.88 days in 2021, which shows that Marriott declined </w:t>
      </w:r>
      <w:r w:rsidR="007829CB" w:rsidRPr="00CB74C8">
        <w:rPr>
          <w:rFonts w:ascii="Arial" w:hAnsi="Arial" w:cs="Arial"/>
          <w:szCs w:val="24"/>
        </w:rPr>
        <w:t>the</w:t>
      </w:r>
      <w:r w:rsidRPr="00CB74C8">
        <w:rPr>
          <w:rFonts w:ascii="Arial" w:hAnsi="Arial" w:cs="Arial"/>
          <w:szCs w:val="24"/>
        </w:rPr>
        <w:t xml:space="preserve"> credit period available from its suppliers and other creditors over the last five years. </w:t>
      </w:r>
      <w:r w:rsidR="007829CB" w:rsidRPr="00CB74C8">
        <w:rPr>
          <w:rFonts w:ascii="Arial" w:hAnsi="Arial" w:cs="Arial"/>
          <w:szCs w:val="24"/>
        </w:rPr>
        <w:t>Inventory was not part of working capital because of its nature</w:t>
      </w:r>
      <w:r w:rsidR="004E133D" w:rsidRPr="00CB74C8">
        <w:rPr>
          <w:rFonts w:ascii="Arial" w:hAnsi="Arial" w:cs="Arial"/>
          <w:szCs w:val="24"/>
        </w:rPr>
        <w:t>,</w:t>
      </w:r>
      <w:r w:rsidR="007829CB" w:rsidRPr="00CB74C8">
        <w:rPr>
          <w:rFonts w:ascii="Arial" w:hAnsi="Arial" w:cs="Arial"/>
          <w:szCs w:val="24"/>
        </w:rPr>
        <w:t xml:space="preserve"> so no relevance </w:t>
      </w:r>
      <w:r w:rsidR="004E133D" w:rsidRPr="00CB74C8">
        <w:rPr>
          <w:rFonts w:ascii="Arial" w:hAnsi="Arial" w:cs="Arial"/>
          <w:szCs w:val="24"/>
        </w:rPr>
        <w:t>in</w:t>
      </w:r>
      <w:r w:rsidR="007829CB" w:rsidRPr="00CB74C8">
        <w:rPr>
          <w:rFonts w:ascii="Arial" w:hAnsi="Arial" w:cs="Arial"/>
          <w:szCs w:val="24"/>
        </w:rPr>
        <w:t xml:space="preserve"> evaluating inventory days for Marriott over the period. However, the overall performance of keeping shorter CCC was reasonable to indicate reasonable performance of Marriott over the period.</w:t>
      </w:r>
    </w:p>
    <w:p w14:paraId="0986D366" w14:textId="14DA25F3" w:rsidR="00DC77B8" w:rsidRPr="00CB74C8" w:rsidRDefault="00DC77B8" w:rsidP="00B469AF">
      <w:pPr>
        <w:rPr>
          <w:rFonts w:ascii="Arial" w:hAnsi="Arial" w:cs="Arial"/>
          <w:szCs w:val="24"/>
        </w:rPr>
      </w:pPr>
      <w:r w:rsidRPr="00CB74C8">
        <w:rPr>
          <w:rFonts w:ascii="Arial" w:hAnsi="Arial" w:cs="Arial"/>
          <w:szCs w:val="24"/>
        </w:rPr>
        <w:t>Marriot</w:t>
      </w:r>
      <w:r w:rsidR="00DB1C33" w:rsidRPr="00CB74C8">
        <w:rPr>
          <w:rFonts w:ascii="Arial" w:hAnsi="Arial" w:cs="Arial"/>
          <w:szCs w:val="24"/>
        </w:rPr>
        <w:t>t</w:t>
      </w:r>
      <w:r w:rsidRPr="00CB74C8">
        <w:rPr>
          <w:rFonts w:ascii="Arial" w:hAnsi="Arial" w:cs="Arial"/>
          <w:szCs w:val="24"/>
        </w:rPr>
        <w:t xml:space="preserve"> should adopt the following strategies to improve its working capital position:</w:t>
      </w:r>
    </w:p>
    <w:p w14:paraId="6DEB4766" w14:textId="4D5385B8" w:rsidR="00DC77B8" w:rsidRPr="00CB74C8" w:rsidRDefault="006F2491" w:rsidP="00B469AF">
      <w:pPr>
        <w:rPr>
          <w:rFonts w:ascii="Arial" w:hAnsi="Arial" w:cs="Arial"/>
          <w:szCs w:val="24"/>
        </w:rPr>
      </w:pPr>
      <w:r w:rsidRPr="00CB74C8">
        <w:rPr>
          <w:rFonts w:ascii="Arial" w:hAnsi="Arial" w:cs="Arial"/>
          <w:b/>
          <w:bCs w:val="0"/>
          <w:szCs w:val="24"/>
        </w:rPr>
        <w:t>Automation in Billing:</w:t>
      </w:r>
      <w:r w:rsidRPr="00CB74C8">
        <w:rPr>
          <w:rFonts w:ascii="Arial" w:hAnsi="Arial" w:cs="Arial"/>
          <w:szCs w:val="24"/>
        </w:rPr>
        <w:t xml:space="preserve"> Marriott should focus on advanced technology adoption in its billing process. The company should send bills instantly once the event is over without manual intervention. It will help the company to speed up its billing process to </w:t>
      </w:r>
      <w:proofErr w:type="spellStart"/>
      <w:r w:rsidRPr="00CB74C8">
        <w:rPr>
          <w:rFonts w:ascii="Arial" w:hAnsi="Arial" w:cs="Arial"/>
          <w:szCs w:val="24"/>
        </w:rPr>
        <w:t>realise</w:t>
      </w:r>
      <w:proofErr w:type="spellEnd"/>
      <w:r w:rsidRPr="00CB74C8">
        <w:rPr>
          <w:rFonts w:ascii="Arial" w:hAnsi="Arial" w:cs="Arial"/>
          <w:szCs w:val="24"/>
        </w:rPr>
        <w:t xml:space="preserve"> money from customers as early as possible. The automation will help to prepare and send accurate bills without making mistakes in billing, which happens due to human error.</w:t>
      </w:r>
    </w:p>
    <w:p w14:paraId="2FF4C066" w14:textId="0376BD29" w:rsidR="006F2491" w:rsidRPr="00CB74C8" w:rsidRDefault="006F2491" w:rsidP="00B469AF">
      <w:pPr>
        <w:rPr>
          <w:rFonts w:ascii="Arial" w:hAnsi="Arial" w:cs="Arial"/>
          <w:szCs w:val="24"/>
        </w:rPr>
      </w:pPr>
      <w:r w:rsidRPr="00CB74C8">
        <w:rPr>
          <w:rFonts w:ascii="Arial" w:hAnsi="Arial" w:cs="Arial"/>
          <w:b/>
          <w:bCs w:val="0"/>
          <w:szCs w:val="24"/>
        </w:rPr>
        <w:t>Offers on Early Payments:</w:t>
      </w:r>
      <w:r w:rsidRPr="00CB74C8">
        <w:rPr>
          <w:rFonts w:ascii="Arial" w:hAnsi="Arial" w:cs="Arial"/>
          <w:szCs w:val="24"/>
        </w:rPr>
        <w:t xml:space="preserve"> Marriott should provide discounts on early payments to attract customers to repay their bills early. It helps to short</w:t>
      </w:r>
      <w:r w:rsidR="00D10A28" w:rsidRPr="00CB74C8">
        <w:rPr>
          <w:rFonts w:ascii="Arial" w:hAnsi="Arial" w:cs="Arial"/>
          <w:szCs w:val="24"/>
        </w:rPr>
        <w:t>en the credit period for customers. Marriott should determine the discount compared to the interest expense on borrowings to maintain a reasonable discount on early payments for customers. Marriott should encourage customers to pay instantly rather than avail the credit period by providing lower-priced offers</w:t>
      </w:r>
      <w:r w:rsidR="00DA1AE8" w:rsidRPr="00CB74C8">
        <w:rPr>
          <w:rFonts w:ascii="Arial" w:hAnsi="Arial" w:cs="Arial"/>
          <w:szCs w:val="24"/>
        </w:rPr>
        <w:t xml:space="preserve"> (Barnabas and Oloyede, 2025, p.4)</w:t>
      </w:r>
      <w:r w:rsidR="00D10A28" w:rsidRPr="00CB74C8">
        <w:rPr>
          <w:rFonts w:ascii="Arial" w:hAnsi="Arial" w:cs="Arial"/>
          <w:szCs w:val="24"/>
        </w:rPr>
        <w:t>. The delay in payments by customers after a certain period, Marriott should impose penal interest on outstanding dues so customers can pay their dues on time to improve its liquidity position.</w:t>
      </w:r>
    </w:p>
    <w:p w14:paraId="333C4862" w14:textId="77046205" w:rsidR="00D10A28" w:rsidRPr="00CB74C8" w:rsidRDefault="00D10A28" w:rsidP="00B469AF">
      <w:pPr>
        <w:rPr>
          <w:rFonts w:ascii="Arial" w:hAnsi="Arial" w:cs="Arial"/>
          <w:szCs w:val="24"/>
        </w:rPr>
      </w:pPr>
      <w:r w:rsidRPr="00CB74C8">
        <w:rPr>
          <w:rFonts w:ascii="Arial" w:hAnsi="Arial" w:cs="Arial"/>
          <w:b/>
          <w:bCs w:val="0"/>
          <w:szCs w:val="24"/>
        </w:rPr>
        <w:t>Renegotiation with Suppliers</w:t>
      </w:r>
      <w:r w:rsidRPr="00CB74C8">
        <w:rPr>
          <w:rFonts w:ascii="Arial" w:hAnsi="Arial" w:cs="Arial"/>
          <w:szCs w:val="24"/>
        </w:rPr>
        <w:t xml:space="preserve">: </w:t>
      </w:r>
      <w:r w:rsidR="004622C1" w:rsidRPr="00CB74C8">
        <w:rPr>
          <w:rFonts w:ascii="Arial" w:hAnsi="Arial" w:cs="Arial"/>
          <w:szCs w:val="24"/>
        </w:rPr>
        <w:t xml:space="preserve">Marriott should discuss the credit period with suppliers with the objective of availing a longer credit period to repay them. Marriott </w:t>
      </w:r>
      <w:r w:rsidR="004622C1" w:rsidRPr="00CB74C8">
        <w:rPr>
          <w:rFonts w:ascii="Arial" w:hAnsi="Arial" w:cs="Arial"/>
          <w:szCs w:val="24"/>
        </w:rPr>
        <w:lastRenderedPageBreak/>
        <w:t xml:space="preserve">should explore new suppliers with the intention of </w:t>
      </w:r>
      <w:r w:rsidR="001A4C3D" w:rsidRPr="00CB74C8">
        <w:rPr>
          <w:rFonts w:ascii="Arial" w:hAnsi="Arial" w:cs="Arial"/>
          <w:szCs w:val="24"/>
        </w:rPr>
        <w:t>a longer</w:t>
      </w:r>
      <w:r w:rsidR="004622C1" w:rsidRPr="00CB74C8">
        <w:rPr>
          <w:rFonts w:ascii="Arial" w:hAnsi="Arial" w:cs="Arial"/>
          <w:szCs w:val="24"/>
        </w:rPr>
        <w:t xml:space="preserve"> credit period and lower prices to improve its liquidity position. Marriott should renegotiate with existing suppliers to avail more credit period to repay suppliers. Early payments to suppliers should avail a discount on the cost of supplies to improve the liquidity position.</w:t>
      </w:r>
    </w:p>
    <w:p w14:paraId="43F1852D" w14:textId="2CD5EE78" w:rsidR="006F2491" w:rsidRPr="00CB74C8" w:rsidRDefault="00E62C4E" w:rsidP="00B469AF">
      <w:pPr>
        <w:pStyle w:val="Heading2"/>
        <w:rPr>
          <w:rFonts w:ascii="Arial" w:hAnsi="Arial" w:cs="Arial"/>
          <w:szCs w:val="24"/>
        </w:rPr>
      </w:pPr>
      <w:bookmarkStart w:id="14" w:name="_Toc237459251"/>
      <w:r w:rsidRPr="00CB74C8">
        <w:rPr>
          <w:rFonts w:ascii="Arial" w:hAnsi="Arial" w:cs="Arial"/>
          <w:szCs w:val="24"/>
        </w:rPr>
        <w:t>Comparison between Short-Term and Long-Term Financing Options</w:t>
      </w:r>
      <w:bookmarkEnd w:id="14"/>
    </w:p>
    <w:p w14:paraId="48BFE3CD" w14:textId="28F433BA" w:rsidR="007654EF" w:rsidRPr="00CB74C8" w:rsidRDefault="001A4C3D" w:rsidP="00B469AF">
      <w:pPr>
        <w:rPr>
          <w:rFonts w:ascii="Arial" w:hAnsi="Arial" w:cs="Arial"/>
          <w:szCs w:val="24"/>
        </w:rPr>
      </w:pPr>
      <w:r w:rsidRPr="00CB74C8">
        <w:rPr>
          <w:rFonts w:ascii="Arial" w:hAnsi="Arial" w:cs="Arial"/>
          <w:szCs w:val="24"/>
        </w:rPr>
        <w:t>Short-term</w:t>
      </w:r>
      <w:r w:rsidR="00DA3C71" w:rsidRPr="00CB74C8">
        <w:rPr>
          <w:rFonts w:ascii="Arial" w:hAnsi="Arial" w:cs="Arial"/>
          <w:szCs w:val="24"/>
        </w:rPr>
        <w:t xml:space="preserve"> financing is for </w:t>
      </w:r>
      <w:r w:rsidR="00A64492" w:rsidRPr="00CB74C8">
        <w:rPr>
          <w:rFonts w:ascii="Arial" w:hAnsi="Arial" w:cs="Arial"/>
          <w:szCs w:val="24"/>
        </w:rPr>
        <w:t>a</w:t>
      </w:r>
      <w:r w:rsidR="00DA3C71" w:rsidRPr="00CB74C8">
        <w:rPr>
          <w:rFonts w:ascii="Arial" w:hAnsi="Arial" w:cs="Arial"/>
          <w:szCs w:val="24"/>
        </w:rPr>
        <w:t xml:space="preserve"> short duration, which is around one year</w:t>
      </w:r>
      <w:r w:rsidR="00A64492" w:rsidRPr="00CB74C8">
        <w:rPr>
          <w:rFonts w:ascii="Arial" w:hAnsi="Arial" w:cs="Arial"/>
          <w:szCs w:val="24"/>
        </w:rPr>
        <w:t>,</w:t>
      </w:r>
      <w:r w:rsidR="00DA3C71" w:rsidRPr="00CB74C8">
        <w:rPr>
          <w:rFonts w:ascii="Arial" w:hAnsi="Arial" w:cs="Arial"/>
          <w:szCs w:val="24"/>
        </w:rPr>
        <w:t xml:space="preserve"> while long-term financing is for more than one year. The purpose of the short-term financing is to support the operational activities</w:t>
      </w:r>
      <w:r w:rsidR="00A64492" w:rsidRPr="00CB74C8">
        <w:rPr>
          <w:rFonts w:ascii="Arial" w:hAnsi="Arial" w:cs="Arial"/>
          <w:szCs w:val="24"/>
        </w:rPr>
        <w:t>,</w:t>
      </w:r>
      <w:r w:rsidR="00DA3C71" w:rsidRPr="00CB74C8">
        <w:rPr>
          <w:rFonts w:ascii="Arial" w:hAnsi="Arial" w:cs="Arial"/>
          <w:szCs w:val="24"/>
        </w:rPr>
        <w:t xml:space="preserve"> while the purpose of the long-term financing is to </w:t>
      </w:r>
      <w:r w:rsidR="00A64492" w:rsidRPr="00CB74C8">
        <w:rPr>
          <w:rFonts w:ascii="Arial" w:hAnsi="Arial" w:cs="Arial"/>
          <w:szCs w:val="24"/>
        </w:rPr>
        <w:t xml:space="preserve">expand the business activities and investments. </w:t>
      </w:r>
      <w:r w:rsidR="00E910F3" w:rsidRPr="00CB74C8">
        <w:rPr>
          <w:rFonts w:ascii="Arial" w:hAnsi="Arial" w:cs="Arial"/>
          <w:szCs w:val="24"/>
        </w:rPr>
        <w:t xml:space="preserve">The main sources of short-term financing are trade credit, short-term loans, and bank overdrafts. </w:t>
      </w:r>
      <w:r w:rsidR="00B6609E" w:rsidRPr="00CB74C8">
        <w:rPr>
          <w:rFonts w:ascii="Arial" w:hAnsi="Arial" w:cs="Arial"/>
          <w:szCs w:val="24"/>
        </w:rPr>
        <w:t>The main</w:t>
      </w:r>
      <w:r w:rsidR="00E910F3" w:rsidRPr="00CB74C8">
        <w:rPr>
          <w:rFonts w:ascii="Arial" w:hAnsi="Arial" w:cs="Arial"/>
          <w:szCs w:val="24"/>
        </w:rPr>
        <w:t xml:space="preserve"> sources of long-term financing are the issue of shares, bank loans, and leases. The cost of short-term financing is more than the cost of long-term financing</w:t>
      </w:r>
      <w:r w:rsidR="00C23096" w:rsidRPr="00CB74C8">
        <w:rPr>
          <w:rFonts w:ascii="Arial" w:hAnsi="Arial" w:cs="Arial"/>
          <w:szCs w:val="24"/>
        </w:rPr>
        <w:t xml:space="preserve"> (</w:t>
      </w:r>
      <w:proofErr w:type="spellStart"/>
      <w:r w:rsidR="00C23096" w:rsidRPr="00CB74C8">
        <w:rPr>
          <w:rFonts w:ascii="Arial" w:hAnsi="Arial" w:cs="Arial"/>
          <w:szCs w:val="24"/>
        </w:rPr>
        <w:t>Rejison</w:t>
      </w:r>
      <w:proofErr w:type="spellEnd"/>
      <w:r w:rsidR="00C23096" w:rsidRPr="00CB74C8">
        <w:rPr>
          <w:rFonts w:ascii="Arial" w:hAnsi="Arial" w:cs="Arial"/>
          <w:szCs w:val="24"/>
        </w:rPr>
        <w:t>, 2025, p.3)</w:t>
      </w:r>
      <w:r w:rsidR="00E910F3" w:rsidRPr="00CB74C8">
        <w:rPr>
          <w:rFonts w:ascii="Arial" w:hAnsi="Arial" w:cs="Arial"/>
          <w:szCs w:val="24"/>
        </w:rPr>
        <w:t>.</w:t>
      </w:r>
    </w:p>
    <w:p w14:paraId="09D61783" w14:textId="4AEAE792" w:rsidR="007654EF" w:rsidRPr="00CB74C8" w:rsidRDefault="007654EF" w:rsidP="00B469AF">
      <w:pPr>
        <w:rPr>
          <w:rFonts w:ascii="Arial" w:hAnsi="Arial" w:cs="Arial"/>
          <w:szCs w:val="24"/>
        </w:rPr>
      </w:pPr>
      <w:r w:rsidRPr="00CB74C8">
        <w:rPr>
          <w:rFonts w:ascii="Arial" w:hAnsi="Arial" w:cs="Arial"/>
          <w:szCs w:val="24"/>
        </w:rPr>
        <w:t xml:space="preserve">The short-term financing needs repayment in a short duration, and sometimes, the entire borrowed funds have to be repaid at one time. Short-term financing has lower flexibility in its repayment. Long-term financing has some flexibility because the repayment schedule is longer to repay borrowings over a long period. Long-term financing has </w:t>
      </w:r>
      <w:r w:rsidR="00143B62" w:rsidRPr="00CB74C8">
        <w:rPr>
          <w:rFonts w:ascii="Arial" w:hAnsi="Arial" w:cs="Arial"/>
          <w:szCs w:val="24"/>
        </w:rPr>
        <w:t>less</w:t>
      </w:r>
      <w:r w:rsidRPr="00CB74C8">
        <w:rPr>
          <w:rFonts w:ascii="Arial" w:hAnsi="Arial" w:cs="Arial"/>
          <w:szCs w:val="24"/>
        </w:rPr>
        <w:t xml:space="preserve"> pressure on the liquidity position over the period because a small portion of the total borrowings is paid at one time. </w:t>
      </w:r>
      <w:r w:rsidR="00143B62" w:rsidRPr="00CB74C8">
        <w:rPr>
          <w:rFonts w:ascii="Arial" w:hAnsi="Arial" w:cs="Arial"/>
          <w:szCs w:val="24"/>
        </w:rPr>
        <w:t>The long-term fund can share ownership in the business, but the short-term fund cannot share ownership in the business</w:t>
      </w:r>
      <w:r w:rsidR="006F6C0B" w:rsidRPr="00CB74C8">
        <w:rPr>
          <w:rFonts w:ascii="Arial" w:hAnsi="Arial" w:cs="Arial"/>
          <w:szCs w:val="24"/>
        </w:rPr>
        <w:t xml:space="preserve"> </w:t>
      </w:r>
      <w:r w:rsidR="00477D37" w:rsidRPr="00CB74C8">
        <w:rPr>
          <w:rFonts w:ascii="Arial" w:hAnsi="Arial" w:cs="Arial"/>
          <w:szCs w:val="24"/>
        </w:rPr>
        <w:t xml:space="preserve">(Mustafina et al., 2020, p.3). </w:t>
      </w:r>
      <w:r w:rsidR="00143B62" w:rsidRPr="00CB74C8">
        <w:rPr>
          <w:rFonts w:ascii="Arial" w:hAnsi="Arial" w:cs="Arial"/>
          <w:szCs w:val="24"/>
        </w:rPr>
        <w:t>The short-term financing supports operational activities while the long-term financing supports the sustainability of the business. Both types of financing are highly important for the business.</w:t>
      </w:r>
    </w:p>
    <w:p w14:paraId="1EDFDDC1" w14:textId="661BD3DD" w:rsidR="00523797" w:rsidRPr="00CB74C8" w:rsidRDefault="00523797" w:rsidP="00B469AF">
      <w:pPr>
        <w:pStyle w:val="Heading1"/>
        <w:rPr>
          <w:rFonts w:ascii="Arial" w:hAnsi="Arial" w:cs="Arial"/>
          <w:szCs w:val="24"/>
        </w:rPr>
      </w:pPr>
      <w:bookmarkStart w:id="15" w:name="_Toc237459252"/>
      <w:r w:rsidRPr="00CB74C8">
        <w:rPr>
          <w:rFonts w:ascii="Arial" w:hAnsi="Arial" w:cs="Arial"/>
          <w:szCs w:val="24"/>
        </w:rPr>
        <w:t>Strategic Financial Restructuring Plan</w:t>
      </w:r>
      <w:bookmarkEnd w:id="15"/>
    </w:p>
    <w:p w14:paraId="7630A6E0" w14:textId="159AF447" w:rsidR="00523797" w:rsidRPr="00CB74C8" w:rsidRDefault="00064368" w:rsidP="00B469AF">
      <w:pPr>
        <w:pStyle w:val="Heading2"/>
        <w:rPr>
          <w:rFonts w:ascii="Arial" w:hAnsi="Arial" w:cs="Arial"/>
          <w:szCs w:val="24"/>
        </w:rPr>
      </w:pPr>
      <w:bookmarkStart w:id="16" w:name="_Toc237459253"/>
      <w:r w:rsidRPr="00CB74C8">
        <w:rPr>
          <w:rFonts w:ascii="Arial" w:hAnsi="Arial" w:cs="Arial"/>
          <w:szCs w:val="24"/>
        </w:rPr>
        <w:t>Financial Restructuring Options</w:t>
      </w:r>
      <w:bookmarkEnd w:id="16"/>
    </w:p>
    <w:p w14:paraId="52159A11" w14:textId="6562FD1E" w:rsidR="00064368" w:rsidRPr="00CB74C8" w:rsidRDefault="00064368" w:rsidP="00B469AF">
      <w:pPr>
        <w:rPr>
          <w:rFonts w:ascii="Arial" w:hAnsi="Arial" w:cs="Arial"/>
          <w:szCs w:val="24"/>
        </w:rPr>
      </w:pPr>
      <w:r w:rsidRPr="00CB74C8">
        <w:rPr>
          <w:rFonts w:ascii="Arial" w:hAnsi="Arial" w:cs="Arial"/>
          <w:szCs w:val="24"/>
        </w:rPr>
        <w:lastRenderedPageBreak/>
        <w:t>Marriott should consider the following financial restructuring options:</w:t>
      </w:r>
    </w:p>
    <w:p w14:paraId="7B8841F6" w14:textId="7E9E73BD" w:rsidR="00064368" w:rsidRPr="00CB74C8" w:rsidRDefault="00C94025" w:rsidP="00B469AF">
      <w:pPr>
        <w:rPr>
          <w:rFonts w:ascii="Arial" w:hAnsi="Arial" w:cs="Arial"/>
          <w:szCs w:val="24"/>
        </w:rPr>
      </w:pPr>
      <w:r w:rsidRPr="00CB74C8">
        <w:rPr>
          <w:rFonts w:ascii="Arial" w:hAnsi="Arial" w:cs="Arial"/>
          <w:b/>
          <w:bCs w:val="0"/>
          <w:szCs w:val="24"/>
        </w:rPr>
        <w:t>Divestiture</w:t>
      </w:r>
      <w:r w:rsidR="00162F90" w:rsidRPr="00CB74C8">
        <w:rPr>
          <w:rFonts w:ascii="Arial" w:hAnsi="Arial" w:cs="Arial"/>
          <w:b/>
          <w:bCs w:val="0"/>
          <w:szCs w:val="24"/>
        </w:rPr>
        <w:t>:</w:t>
      </w:r>
      <w:r w:rsidR="00162F90" w:rsidRPr="00CB74C8">
        <w:rPr>
          <w:rFonts w:ascii="Arial" w:hAnsi="Arial" w:cs="Arial"/>
          <w:szCs w:val="24"/>
        </w:rPr>
        <w:t xml:space="preserve"> Marriott should focus on divestiture</w:t>
      </w:r>
      <w:r w:rsidR="00253C60" w:rsidRPr="00CB74C8">
        <w:rPr>
          <w:rFonts w:ascii="Arial" w:hAnsi="Arial" w:cs="Arial"/>
          <w:szCs w:val="24"/>
        </w:rPr>
        <w:t xml:space="preserve"> for </w:t>
      </w:r>
      <w:r w:rsidR="00FA7115" w:rsidRPr="00CB74C8">
        <w:rPr>
          <w:rFonts w:ascii="Arial" w:hAnsi="Arial" w:cs="Arial"/>
          <w:szCs w:val="24"/>
        </w:rPr>
        <w:t>less</w:t>
      </w:r>
      <w:r w:rsidR="00205F0B" w:rsidRPr="00CB74C8">
        <w:rPr>
          <w:rFonts w:ascii="Arial" w:hAnsi="Arial" w:cs="Arial"/>
          <w:szCs w:val="24"/>
        </w:rPr>
        <w:t xml:space="preserve"> profitable properties and assets. It will help the company to improve its profitability and management performance. It enables Marriott to focus on core operational </w:t>
      </w:r>
      <w:r w:rsidR="00FA7115" w:rsidRPr="00CB74C8">
        <w:rPr>
          <w:rFonts w:ascii="Arial" w:hAnsi="Arial" w:cs="Arial"/>
          <w:szCs w:val="24"/>
        </w:rPr>
        <w:t>activities</w:t>
      </w:r>
      <w:r w:rsidR="00205F0B" w:rsidRPr="00CB74C8">
        <w:rPr>
          <w:rFonts w:ascii="Arial" w:hAnsi="Arial" w:cs="Arial"/>
          <w:szCs w:val="24"/>
        </w:rPr>
        <w:t xml:space="preserve"> without diverting its efforts </w:t>
      </w:r>
      <w:r w:rsidR="00FA7115" w:rsidRPr="00CB74C8">
        <w:rPr>
          <w:rFonts w:ascii="Arial" w:hAnsi="Arial" w:cs="Arial"/>
          <w:szCs w:val="24"/>
        </w:rPr>
        <w:t>to</w:t>
      </w:r>
      <w:r w:rsidR="00205F0B" w:rsidRPr="00CB74C8">
        <w:rPr>
          <w:rFonts w:ascii="Arial" w:hAnsi="Arial" w:cs="Arial"/>
          <w:szCs w:val="24"/>
        </w:rPr>
        <w:t xml:space="preserve"> non-core activities. It will explore growth opportunities due to </w:t>
      </w:r>
      <w:r w:rsidR="00FA7115" w:rsidRPr="00CB74C8">
        <w:rPr>
          <w:rFonts w:ascii="Arial" w:hAnsi="Arial" w:cs="Arial"/>
          <w:szCs w:val="24"/>
        </w:rPr>
        <w:t>savings</w:t>
      </w:r>
      <w:r w:rsidR="00205F0B" w:rsidRPr="00CB74C8">
        <w:rPr>
          <w:rFonts w:ascii="Arial" w:hAnsi="Arial" w:cs="Arial"/>
          <w:szCs w:val="24"/>
        </w:rPr>
        <w:t xml:space="preserve"> of time and </w:t>
      </w:r>
      <w:r w:rsidR="00FA7115" w:rsidRPr="00CB74C8">
        <w:rPr>
          <w:rFonts w:ascii="Arial" w:hAnsi="Arial" w:cs="Arial"/>
          <w:szCs w:val="24"/>
        </w:rPr>
        <w:t>effort</w:t>
      </w:r>
      <w:r w:rsidR="00205F0B" w:rsidRPr="00CB74C8">
        <w:rPr>
          <w:rFonts w:ascii="Arial" w:hAnsi="Arial" w:cs="Arial"/>
          <w:szCs w:val="24"/>
        </w:rPr>
        <w:t xml:space="preserve"> for focusing on core activities to boost financial performance.</w:t>
      </w:r>
      <w:r w:rsidR="00343F31" w:rsidRPr="00CB74C8">
        <w:rPr>
          <w:rFonts w:ascii="Arial" w:hAnsi="Arial" w:cs="Arial"/>
          <w:szCs w:val="24"/>
        </w:rPr>
        <w:t xml:space="preserve"> This restructuring option improves flexibility in </w:t>
      </w:r>
      <w:r w:rsidR="009E3B46" w:rsidRPr="00CB74C8">
        <w:rPr>
          <w:rFonts w:ascii="Arial" w:hAnsi="Arial" w:cs="Arial"/>
          <w:szCs w:val="24"/>
        </w:rPr>
        <w:t xml:space="preserve">the </w:t>
      </w:r>
      <w:r w:rsidR="00343F31" w:rsidRPr="00CB74C8">
        <w:rPr>
          <w:rFonts w:ascii="Arial" w:hAnsi="Arial" w:cs="Arial"/>
          <w:szCs w:val="24"/>
        </w:rPr>
        <w:t xml:space="preserve">decision-making process and </w:t>
      </w:r>
      <w:r w:rsidR="009E3B46" w:rsidRPr="00CB74C8">
        <w:rPr>
          <w:rFonts w:ascii="Arial" w:hAnsi="Arial" w:cs="Arial"/>
          <w:szCs w:val="24"/>
        </w:rPr>
        <w:t xml:space="preserve">reduces </w:t>
      </w:r>
      <w:r w:rsidR="00343F31" w:rsidRPr="00CB74C8">
        <w:rPr>
          <w:rFonts w:ascii="Arial" w:hAnsi="Arial" w:cs="Arial"/>
          <w:szCs w:val="24"/>
        </w:rPr>
        <w:t xml:space="preserve">fixed cost commitments to improve overall operational performance. </w:t>
      </w:r>
    </w:p>
    <w:p w14:paraId="7815211F" w14:textId="06358515" w:rsidR="00C94025" w:rsidRPr="00CB74C8" w:rsidRDefault="00C94025" w:rsidP="00B469AF">
      <w:pPr>
        <w:rPr>
          <w:rFonts w:ascii="Arial" w:hAnsi="Arial" w:cs="Arial"/>
          <w:szCs w:val="24"/>
        </w:rPr>
      </w:pPr>
      <w:r w:rsidRPr="00CB74C8">
        <w:rPr>
          <w:rFonts w:ascii="Arial" w:hAnsi="Arial" w:cs="Arial"/>
          <w:b/>
          <w:bCs w:val="0"/>
          <w:szCs w:val="24"/>
        </w:rPr>
        <w:t>Injection</w:t>
      </w:r>
      <w:r w:rsidR="00162F90" w:rsidRPr="00CB74C8">
        <w:rPr>
          <w:rFonts w:ascii="Arial" w:hAnsi="Arial" w:cs="Arial"/>
          <w:b/>
          <w:bCs w:val="0"/>
          <w:szCs w:val="24"/>
        </w:rPr>
        <w:t>:</w:t>
      </w:r>
      <w:r w:rsidR="009E3B46" w:rsidRPr="00CB74C8">
        <w:rPr>
          <w:rFonts w:ascii="Arial" w:hAnsi="Arial" w:cs="Arial"/>
          <w:b/>
          <w:bCs w:val="0"/>
          <w:szCs w:val="24"/>
        </w:rPr>
        <w:t xml:space="preserve"> </w:t>
      </w:r>
      <w:r w:rsidR="009E3B46" w:rsidRPr="00CB74C8">
        <w:rPr>
          <w:rFonts w:ascii="Arial" w:hAnsi="Arial" w:cs="Arial"/>
          <w:szCs w:val="24"/>
        </w:rPr>
        <w:t xml:space="preserve">Marriott has a negative equity funding balance in its balance sheet recently, which indicates a high insolvency risk due to higher debt funding than equity in the capital structure. Marriott should issue fresh equity shares to improve its shareholders’ funding position against its debt funding in the total capital structure. It helps to improve shareholders’ control over </w:t>
      </w:r>
      <w:r w:rsidR="00FD5509" w:rsidRPr="00CB74C8">
        <w:rPr>
          <w:rFonts w:ascii="Arial" w:hAnsi="Arial" w:cs="Arial"/>
          <w:szCs w:val="24"/>
        </w:rPr>
        <w:t>Marriott's assets,</w:t>
      </w:r>
      <w:r w:rsidR="009E3B46" w:rsidRPr="00CB74C8">
        <w:rPr>
          <w:rFonts w:ascii="Arial" w:hAnsi="Arial" w:cs="Arial"/>
          <w:szCs w:val="24"/>
        </w:rPr>
        <w:t xml:space="preserve"> and it improves the </w:t>
      </w:r>
      <w:r w:rsidR="00FD5509" w:rsidRPr="00CB74C8">
        <w:rPr>
          <w:rFonts w:ascii="Arial" w:hAnsi="Arial" w:cs="Arial"/>
          <w:szCs w:val="24"/>
        </w:rPr>
        <w:t xml:space="preserve">strategic decision-making process by limiting interfere of debt providers. </w:t>
      </w:r>
      <w:r w:rsidR="00AF50FE" w:rsidRPr="00CB74C8">
        <w:rPr>
          <w:rFonts w:ascii="Arial" w:hAnsi="Arial" w:cs="Arial"/>
          <w:szCs w:val="24"/>
        </w:rPr>
        <w:t xml:space="preserve">Equity funding is a permanent source of funding to support long-term financial sustainability for Marriott. </w:t>
      </w:r>
    </w:p>
    <w:p w14:paraId="2F29E252" w14:textId="3A5C8C4D" w:rsidR="00C23096" w:rsidRPr="00CB74C8" w:rsidRDefault="003C6844" w:rsidP="00B469AF">
      <w:pPr>
        <w:rPr>
          <w:rFonts w:ascii="Arial" w:hAnsi="Arial" w:cs="Arial"/>
          <w:szCs w:val="24"/>
        </w:rPr>
      </w:pPr>
      <w:r w:rsidRPr="00CB74C8">
        <w:rPr>
          <w:rFonts w:ascii="Arial" w:hAnsi="Arial" w:cs="Arial"/>
          <w:b/>
          <w:bCs w:val="0"/>
          <w:szCs w:val="24"/>
        </w:rPr>
        <w:t>Debt Refinancing</w:t>
      </w:r>
      <w:r w:rsidRPr="00CB74C8">
        <w:rPr>
          <w:rFonts w:ascii="Arial" w:hAnsi="Arial" w:cs="Arial"/>
          <w:szCs w:val="24"/>
        </w:rPr>
        <w:t xml:space="preserve">: </w:t>
      </w:r>
      <w:r w:rsidR="0003642C" w:rsidRPr="00CB74C8">
        <w:rPr>
          <w:rFonts w:ascii="Arial" w:hAnsi="Arial" w:cs="Arial"/>
          <w:szCs w:val="24"/>
        </w:rPr>
        <w:t xml:space="preserve">Marriott should focus on </w:t>
      </w:r>
      <w:r w:rsidR="00C23096" w:rsidRPr="00CB74C8">
        <w:rPr>
          <w:rFonts w:ascii="Arial" w:hAnsi="Arial" w:cs="Arial"/>
          <w:szCs w:val="24"/>
        </w:rPr>
        <w:t>reducing</w:t>
      </w:r>
      <w:r w:rsidR="0003642C" w:rsidRPr="00CB74C8">
        <w:rPr>
          <w:rFonts w:ascii="Arial" w:hAnsi="Arial" w:cs="Arial"/>
          <w:szCs w:val="24"/>
        </w:rPr>
        <w:t xml:space="preserve"> its debt funding in the balance sheet. </w:t>
      </w:r>
      <w:r w:rsidR="0078508E" w:rsidRPr="00CB74C8">
        <w:rPr>
          <w:rFonts w:ascii="Arial" w:hAnsi="Arial" w:cs="Arial"/>
          <w:szCs w:val="24"/>
        </w:rPr>
        <w:t>Marriott</w:t>
      </w:r>
      <w:r w:rsidR="0003642C" w:rsidRPr="00CB74C8">
        <w:rPr>
          <w:rFonts w:ascii="Arial" w:hAnsi="Arial" w:cs="Arial"/>
          <w:szCs w:val="24"/>
        </w:rPr>
        <w:t xml:space="preserve"> should balance between </w:t>
      </w:r>
      <w:r w:rsidR="0078508E" w:rsidRPr="00CB74C8">
        <w:rPr>
          <w:rFonts w:ascii="Arial" w:hAnsi="Arial" w:cs="Arial"/>
          <w:szCs w:val="24"/>
        </w:rPr>
        <w:t>fixed-rate</w:t>
      </w:r>
      <w:r w:rsidR="0003642C" w:rsidRPr="00CB74C8">
        <w:rPr>
          <w:rFonts w:ascii="Arial" w:hAnsi="Arial" w:cs="Arial"/>
          <w:szCs w:val="24"/>
        </w:rPr>
        <w:t xml:space="preserve"> and </w:t>
      </w:r>
      <w:r w:rsidR="0078508E" w:rsidRPr="00CB74C8">
        <w:rPr>
          <w:rFonts w:ascii="Arial" w:hAnsi="Arial" w:cs="Arial"/>
          <w:szCs w:val="24"/>
        </w:rPr>
        <w:t>variable-rate</w:t>
      </w:r>
      <w:r w:rsidR="0003642C" w:rsidRPr="00CB74C8">
        <w:rPr>
          <w:rFonts w:ascii="Arial" w:hAnsi="Arial" w:cs="Arial"/>
          <w:szCs w:val="24"/>
        </w:rPr>
        <w:t xml:space="preserve"> debt funding options to leverage its financial cost of borrowed funding. The proper mix of fixed and variable rates will help Marriott maintain </w:t>
      </w:r>
      <w:r w:rsidR="0078508E" w:rsidRPr="00CB74C8">
        <w:rPr>
          <w:rFonts w:ascii="Arial" w:hAnsi="Arial" w:cs="Arial"/>
          <w:szCs w:val="24"/>
        </w:rPr>
        <w:t xml:space="preserve">a </w:t>
      </w:r>
      <w:r w:rsidR="0003642C" w:rsidRPr="00CB74C8">
        <w:rPr>
          <w:rFonts w:ascii="Arial" w:hAnsi="Arial" w:cs="Arial"/>
          <w:szCs w:val="24"/>
        </w:rPr>
        <w:t xml:space="preserve">low cost of debt funding due to </w:t>
      </w:r>
      <w:r w:rsidR="0078508E" w:rsidRPr="00CB74C8">
        <w:rPr>
          <w:rFonts w:ascii="Arial" w:hAnsi="Arial" w:cs="Arial"/>
          <w:szCs w:val="24"/>
        </w:rPr>
        <w:t>changes</w:t>
      </w:r>
      <w:r w:rsidR="0003642C" w:rsidRPr="00CB74C8">
        <w:rPr>
          <w:rFonts w:ascii="Arial" w:hAnsi="Arial" w:cs="Arial"/>
          <w:szCs w:val="24"/>
        </w:rPr>
        <w:t xml:space="preserve"> in economic </w:t>
      </w:r>
      <w:r w:rsidR="0078508E" w:rsidRPr="00CB74C8">
        <w:rPr>
          <w:rFonts w:ascii="Arial" w:hAnsi="Arial" w:cs="Arial"/>
          <w:szCs w:val="24"/>
        </w:rPr>
        <w:t>variables affecting</w:t>
      </w:r>
      <w:r w:rsidR="0003642C" w:rsidRPr="00CB74C8">
        <w:rPr>
          <w:rFonts w:ascii="Arial" w:hAnsi="Arial" w:cs="Arial"/>
          <w:szCs w:val="24"/>
        </w:rPr>
        <w:t xml:space="preserve"> fixed and variable </w:t>
      </w:r>
      <w:r w:rsidR="0078508E" w:rsidRPr="00CB74C8">
        <w:rPr>
          <w:rFonts w:ascii="Arial" w:hAnsi="Arial" w:cs="Arial"/>
          <w:szCs w:val="24"/>
        </w:rPr>
        <w:t>costs</w:t>
      </w:r>
      <w:r w:rsidR="0003642C" w:rsidRPr="00CB74C8">
        <w:rPr>
          <w:rFonts w:ascii="Arial" w:hAnsi="Arial" w:cs="Arial"/>
          <w:szCs w:val="24"/>
        </w:rPr>
        <w:t xml:space="preserve"> of </w:t>
      </w:r>
      <w:r w:rsidR="0078508E" w:rsidRPr="00CB74C8">
        <w:rPr>
          <w:rFonts w:ascii="Arial" w:hAnsi="Arial" w:cs="Arial"/>
          <w:szCs w:val="24"/>
        </w:rPr>
        <w:t>debt</w:t>
      </w:r>
      <w:r w:rsidR="0003642C" w:rsidRPr="00CB74C8">
        <w:rPr>
          <w:rFonts w:ascii="Arial" w:hAnsi="Arial" w:cs="Arial"/>
          <w:szCs w:val="24"/>
        </w:rPr>
        <w:t xml:space="preserve"> for businesses</w:t>
      </w:r>
      <w:r w:rsidR="00C23096" w:rsidRPr="00CB74C8">
        <w:rPr>
          <w:rFonts w:ascii="Arial" w:hAnsi="Arial" w:cs="Arial"/>
          <w:szCs w:val="24"/>
        </w:rPr>
        <w:t xml:space="preserve"> (Baron, 2020, p.4198).</w:t>
      </w:r>
    </w:p>
    <w:p w14:paraId="2CF2183C" w14:textId="29EC7195" w:rsidR="00C94025" w:rsidRPr="00CB74C8" w:rsidRDefault="00162F90" w:rsidP="00B469AF">
      <w:pPr>
        <w:rPr>
          <w:rFonts w:ascii="Arial" w:hAnsi="Arial" w:cs="Arial"/>
          <w:szCs w:val="24"/>
        </w:rPr>
      </w:pPr>
      <w:r w:rsidRPr="00CB74C8">
        <w:rPr>
          <w:rFonts w:ascii="Arial" w:hAnsi="Arial" w:cs="Arial"/>
          <w:b/>
          <w:bCs w:val="0"/>
          <w:szCs w:val="24"/>
        </w:rPr>
        <w:t>Partnership:</w:t>
      </w:r>
      <w:r w:rsidR="00AF50FE" w:rsidRPr="00CB74C8">
        <w:rPr>
          <w:rFonts w:ascii="Arial" w:hAnsi="Arial" w:cs="Arial"/>
          <w:b/>
          <w:bCs w:val="0"/>
          <w:szCs w:val="24"/>
        </w:rPr>
        <w:t xml:space="preserve"> </w:t>
      </w:r>
      <w:r w:rsidR="00881888" w:rsidRPr="00CB74C8">
        <w:rPr>
          <w:rFonts w:ascii="Arial" w:hAnsi="Arial" w:cs="Arial"/>
          <w:szCs w:val="24"/>
        </w:rPr>
        <w:t>Marriott should focus on strategic partnerships rather than acquiring assets with a huge outlay. The focus on strategic partnerships will help Marriott to explore its growth opportunities with low risk, less management effort, and the advantage of experience and knowledge of others to boost business growth.</w:t>
      </w:r>
      <w:r w:rsidR="00881888" w:rsidRPr="00CB74C8">
        <w:rPr>
          <w:rFonts w:ascii="Arial" w:hAnsi="Arial" w:cs="Arial"/>
          <w:b/>
          <w:bCs w:val="0"/>
          <w:szCs w:val="24"/>
        </w:rPr>
        <w:t xml:space="preserve"> </w:t>
      </w:r>
      <w:r w:rsidR="008F00C1" w:rsidRPr="00CB74C8">
        <w:rPr>
          <w:rFonts w:ascii="Arial" w:hAnsi="Arial" w:cs="Arial"/>
          <w:szCs w:val="24"/>
        </w:rPr>
        <w:t xml:space="preserve">Joint </w:t>
      </w:r>
      <w:r w:rsidR="008F00C1" w:rsidRPr="00CB74C8">
        <w:rPr>
          <w:rFonts w:ascii="Arial" w:hAnsi="Arial" w:cs="Arial"/>
          <w:szCs w:val="24"/>
        </w:rPr>
        <w:lastRenderedPageBreak/>
        <w:t>ventures</w:t>
      </w:r>
      <w:r w:rsidR="001A7681" w:rsidRPr="00CB74C8">
        <w:rPr>
          <w:rFonts w:ascii="Arial" w:hAnsi="Arial" w:cs="Arial"/>
          <w:szCs w:val="24"/>
        </w:rPr>
        <w:t>, management agreements, and franchises are much better options for strategic partnerships for Marriott to explore its business growth opportunities to reshape its financing structure.</w:t>
      </w:r>
    </w:p>
    <w:p w14:paraId="215103D0" w14:textId="3AED2E78" w:rsidR="001A7681" w:rsidRPr="00CB74C8" w:rsidRDefault="001A7681" w:rsidP="00B469AF">
      <w:pPr>
        <w:pStyle w:val="Heading2"/>
        <w:rPr>
          <w:rFonts w:ascii="Arial" w:hAnsi="Arial" w:cs="Arial"/>
          <w:szCs w:val="24"/>
        </w:rPr>
      </w:pPr>
      <w:bookmarkStart w:id="17" w:name="_Toc237459254"/>
      <w:r w:rsidRPr="00CB74C8">
        <w:rPr>
          <w:rFonts w:ascii="Arial" w:hAnsi="Arial" w:cs="Arial"/>
          <w:szCs w:val="24"/>
        </w:rPr>
        <w:t xml:space="preserve">Impact on </w:t>
      </w:r>
      <w:r w:rsidR="000F2B29" w:rsidRPr="00CB74C8">
        <w:rPr>
          <w:rFonts w:ascii="Arial" w:hAnsi="Arial" w:cs="Arial"/>
          <w:szCs w:val="24"/>
        </w:rPr>
        <w:t>Shareholder Value, Debt Structure, and Operational Flexibility</w:t>
      </w:r>
      <w:bookmarkEnd w:id="17"/>
    </w:p>
    <w:p w14:paraId="3B34C674" w14:textId="44CFE76A" w:rsidR="000B0B00" w:rsidRPr="00CB74C8" w:rsidRDefault="00D942E9" w:rsidP="00B469AF">
      <w:pPr>
        <w:rPr>
          <w:rFonts w:ascii="Arial" w:hAnsi="Arial" w:cs="Arial"/>
          <w:szCs w:val="24"/>
        </w:rPr>
      </w:pPr>
      <w:r w:rsidRPr="00CB74C8">
        <w:rPr>
          <w:rFonts w:ascii="Arial" w:hAnsi="Arial" w:cs="Arial"/>
          <w:b/>
          <w:bCs w:val="0"/>
          <w:szCs w:val="24"/>
        </w:rPr>
        <w:t>Shareholder Value:</w:t>
      </w:r>
      <w:r w:rsidRPr="00CB74C8">
        <w:rPr>
          <w:rFonts w:ascii="Arial" w:hAnsi="Arial" w:cs="Arial"/>
          <w:szCs w:val="24"/>
        </w:rPr>
        <w:t xml:space="preserve"> The proposed restructuring will improve the value of Marriott’s shareholders because of a positive impact on profitability, cash inflows and market value. The improved profitability and cash inflows improve attraction among potential investors for the company, and in turn it helps to improve market price performance of the company</w:t>
      </w:r>
      <w:r w:rsidR="003C599E" w:rsidRPr="00CB74C8">
        <w:rPr>
          <w:rFonts w:ascii="Arial" w:hAnsi="Arial" w:cs="Arial"/>
          <w:szCs w:val="24"/>
        </w:rPr>
        <w:t xml:space="preserve"> (Bates, Chang and Chi, 2018, p.783)</w:t>
      </w:r>
      <w:r w:rsidRPr="00CB74C8">
        <w:rPr>
          <w:rFonts w:ascii="Arial" w:hAnsi="Arial" w:cs="Arial"/>
          <w:szCs w:val="24"/>
        </w:rPr>
        <w:t xml:space="preserve">. This </w:t>
      </w:r>
      <w:r w:rsidR="00FB1FFD" w:rsidRPr="00CB74C8">
        <w:rPr>
          <w:rFonts w:ascii="Arial" w:hAnsi="Arial" w:cs="Arial"/>
          <w:szCs w:val="24"/>
        </w:rPr>
        <w:t>restructuring</w:t>
      </w:r>
      <w:r w:rsidRPr="00CB74C8">
        <w:rPr>
          <w:rFonts w:ascii="Arial" w:hAnsi="Arial" w:cs="Arial"/>
          <w:szCs w:val="24"/>
        </w:rPr>
        <w:t xml:space="preserve"> will improve earnings and dividends for shareholders to improve their return performance.</w:t>
      </w:r>
    </w:p>
    <w:p w14:paraId="0F4D5E23" w14:textId="6C50570A" w:rsidR="004A2478" w:rsidRPr="00CB74C8" w:rsidRDefault="004A2478" w:rsidP="00B469AF">
      <w:pPr>
        <w:rPr>
          <w:rFonts w:ascii="Arial" w:hAnsi="Arial" w:cs="Arial"/>
          <w:szCs w:val="24"/>
        </w:rPr>
      </w:pPr>
      <w:r w:rsidRPr="00CB74C8">
        <w:rPr>
          <w:rFonts w:ascii="Arial" w:hAnsi="Arial" w:cs="Arial"/>
          <w:b/>
          <w:bCs w:val="0"/>
          <w:szCs w:val="24"/>
        </w:rPr>
        <w:t>Debt Structure</w:t>
      </w:r>
      <w:r w:rsidRPr="00CB74C8">
        <w:rPr>
          <w:rFonts w:ascii="Arial" w:hAnsi="Arial" w:cs="Arial"/>
          <w:szCs w:val="24"/>
        </w:rPr>
        <w:t xml:space="preserve">: </w:t>
      </w:r>
      <w:r w:rsidR="002F2632" w:rsidRPr="00CB74C8">
        <w:rPr>
          <w:rFonts w:ascii="Arial" w:hAnsi="Arial" w:cs="Arial"/>
          <w:szCs w:val="24"/>
        </w:rPr>
        <w:t>The proposed restructuring will lower the debt funding against increased equity funding. It will support stronger financial stability for Marriott to reduce its debt funding cost and improve control of shareholders over its total assets. The company can attract more investors because of its stronger financial stability with lower risk of insolvency. This shift will result in a decline in debt funding against increased equity funding in the capital structure.</w:t>
      </w:r>
      <w:r w:rsidR="002F3C8B" w:rsidRPr="00CB74C8">
        <w:rPr>
          <w:rFonts w:ascii="Arial" w:hAnsi="Arial" w:cs="Arial"/>
          <w:szCs w:val="24"/>
        </w:rPr>
        <w:t xml:space="preserve"> This restructuring increases investment growth of Marriott because the company can take more debt funding in the future to invest in more profitable investment opportunities.</w:t>
      </w:r>
    </w:p>
    <w:p w14:paraId="570B1E8F" w14:textId="07AF419D" w:rsidR="002F3C8B" w:rsidRPr="00CB74C8" w:rsidRDefault="00612CE6" w:rsidP="00B469AF">
      <w:pPr>
        <w:rPr>
          <w:rFonts w:ascii="Arial" w:hAnsi="Arial" w:cs="Arial"/>
          <w:szCs w:val="24"/>
        </w:rPr>
      </w:pPr>
      <w:r w:rsidRPr="00CB74C8">
        <w:rPr>
          <w:rFonts w:ascii="Arial" w:hAnsi="Arial" w:cs="Arial"/>
          <w:b/>
          <w:bCs w:val="0"/>
          <w:szCs w:val="24"/>
        </w:rPr>
        <w:t>Operational Flexibility</w:t>
      </w:r>
      <w:r w:rsidRPr="00CB74C8">
        <w:rPr>
          <w:rFonts w:ascii="Arial" w:hAnsi="Arial" w:cs="Arial"/>
          <w:szCs w:val="24"/>
        </w:rPr>
        <w:t xml:space="preserve">: </w:t>
      </w:r>
      <w:r w:rsidR="00037AD8" w:rsidRPr="00CB74C8">
        <w:rPr>
          <w:rFonts w:ascii="Arial" w:hAnsi="Arial" w:cs="Arial"/>
          <w:szCs w:val="24"/>
        </w:rPr>
        <w:t xml:space="preserve">Marriott will improve its operational flexibility with the proposed restructuring </w:t>
      </w:r>
      <w:r w:rsidR="00351717" w:rsidRPr="00CB74C8">
        <w:rPr>
          <w:rFonts w:ascii="Arial" w:hAnsi="Arial" w:cs="Arial"/>
          <w:szCs w:val="24"/>
        </w:rPr>
        <w:t xml:space="preserve">due to increased cash inflows and a decrease in fixed financial commitments. </w:t>
      </w:r>
      <w:r w:rsidR="00F325A2" w:rsidRPr="00CB74C8">
        <w:rPr>
          <w:rFonts w:ascii="Arial" w:hAnsi="Arial" w:cs="Arial"/>
          <w:szCs w:val="24"/>
        </w:rPr>
        <w:t xml:space="preserve">The increased liquidity helps to improve </w:t>
      </w:r>
      <w:r w:rsidR="00F35D41" w:rsidRPr="00CB74C8">
        <w:rPr>
          <w:rFonts w:ascii="Arial" w:hAnsi="Arial" w:cs="Arial"/>
          <w:szCs w:val="24"/>
        </w:rPr>
        <w:t>the managerial decision-making process and financial growth. Marriott can quickly respond to changes in working conditions to improve its operational smoothness</w:t>
      </w:r>
      <w:r w:rsidR="000C045B" w:rsidRPr="00CB74C8">
        <w:rPr>
          <w:rFonts w:ascii="Arial" w:hAnsi="Arial" w:cs="Arial"/>
          <w:szCs w:val="24"/>
        </w:rPr>
        <w:t xml:space="preserve"> (De Vito and Gómez, 2020, </w:t>
      </w:r>
      <w:r w:rsidR="000C045B" w:rsidRPr="00CB74C8">
        <w:rPr>
          <w:rFonts w:ascii="Arial" w:hAnsi="Arial" w:cs="Arial"/>
          <w:szCs w:val="24"/>
        </w:rPr>
        <w:lastRenderedPageBreak/>
        <w:t>p.2)</w:t>
      </w:r>
      <w:r w:rsidR="006203F1" w:rsidRPr="00CB74C8">
        <w:rPr>
          <w:rFonts w:ascii="Arial" w:hAnsi="Arial" w:cs="Arial"/>
          <w:szCs w:val="24"/>
        </w:rPr>
        <w:t>. It also helps to expand operational activities rapidly because of lower funding outflow as part of investment strategies.</w:t>
      </w:r>
    </w:p>
    <w:p w14:paraId="07736E2D" w14:textId="7A4E9B66" w:rsidR="006203F1" w:rsidRPr="00CB74C8" w:rsidRDefault="00B360A1" w:rsidP="00B469AF">
      <w:pPr>
        <w:pStyle w:val="Heading2"/>
        <w:rPr>
          <w:rFonts w:ascii="Arial" w:hAnsi="Arial" w:cs="Arial"/>
          <w:szCs w:val="24"/>
        </w:rPr>
      </w:pPr>
      <w:bookmarkStart w:id="18" w:name="_Toc237459255"/>
      <w:r w:rsidRPr="00CB74C8">
        <w:rPr>
          <w:rFonts w:ascii="Arial" w:hAnsi="Arial" w:cs="Arial"/>
          <w:szCs w:val="24"/>
        </w:rPr>
        <w:t>International and Ethical Considerations</w:t>
      </w:r>
      <w:bookmarkEnd w:id="18"/>
    </w:p>
    <w:p w14:paraId="7C12EFF1" w14:textId="5EEAA221" w:rsidR="00E4238B" w:rsidRPr="00CB74C8" w:rsidRDefault="00E4238B" w:rsidP="00B469AF">
      <w:pPr>
        <w:rPr>
          <w:rFonts w:ascii="Arial" w:hAnsi="Arial" w:cs="Arial"/>
          <w:szCs w:val="24"/>
        </w:rPr>
      </w:pPr>
      <w:r w:rsidRPr="00CB74C8">
        <w:rPr>
          <w:rFonts w:ascii="Arial" w:hAnsi="Arial" w:cs="Arial"/>
          <w:b/>
          <w:bCs w:val="0"/>
          <w:szCs w:val="24"/>
        </w:rPr>
        <w:t xml:space="preserve">Taxation: </w:t>
      </w:r>
      <w:r w:rsidR="00823947" w:rsidRPr="00CB74C8">
        <w:rPr>
          <w:rFonts w:ascii="Arial" w:hAnsi="Arial" w:cs="Arial"/>
          <w:szCs w:val="24"/>
        </w:rPr>
        <w:t xml:space="preserve">Marriott operates in multiple countries, so it has to follow different countries' taxation rules and regulations. The proposed restructuring will help Marriott to improve its transparency in following applicable taxation rules and regulations to meet obligations of taxation efficiently. The increased reporting </w:t>
      </w:r>
      <w:r w:rsidR="00413F51" w:rsidRPr="00CB74C8">
        <w:rPr>
          <w:rFonts w:ascii="Arial" w:hAnsi="Arial" w:cs="Arial"/>
          <w:szCs w:val="24"/>
        </w:rPr>
        <w:t>standards</w:t>
      </w:r>
      <w:r w:rsidR="00823947" w:rsidRPr="00CB74C8">
        <w:rPr>
          <w:rFonts w:ascii="Arial" w:hAnsi="Arial" w:cs="Arial"/>
          <w:szCs w:val="24"/>
        </w:rPr>
        <w:t xml:space="preserve"> and disclosures will help the company to meet its taxation obligations. </w:t>
      </w:r>
    </w:p>
    <w:p w14:paraId="41C5FA6A" w14:textId="3FFEDD59" w:rsidR="00E4238B" w:rsidRPr="00CB74C8" w:rsidRDefault="00E4238B" w:rsidP="00B469AF">
      <w:pPr>
        <w:rPr>
          <w:rFonts w:ascii="Arial" w:hAnsi="Arial" w:cs="Arial"/>
          <w:szCs w:val="24"/>
          <w:lang w:val="en-IN"/>
        </w:rPr>
      </w:pPr>
      <w:r w:rsidRPr="00CB74C8">
        <w:rPr>
          <w:rFonts w:ascii="Arial" w:hAnsi="Arial" w:cs="Arial"/>
          <w:b/>
          <w:bCs w:val="0"/>
          <w:szCs w:val="24"/>
        </w:rPr>
        <w:t>Currency Risk</w:t>
      </w:r>
      <w:r w:rsidR="00080C51" w:rsidRPr="00CB74C8">
        <w:rPr>
          <w:rFonts w:ascii="Arial" w:hAnsi="Arial" w:cs="Arial"/>
          <w:b/>
          <w:bCs w:val="0"/>
          <w:szCs w:val="24"/>
        </w:rPr>
        <w:t>:</w:t>
      </w:r>
      <w:r w:rsidR="0065654C" w:rsidRPr="00CB74C8">
        <w:rPr>
          <w:rFonts w:ascii="Arial" w:hAnsi="Arial" w:cs="Arial"/>
          <w:b/>
          <w:bCs w:val="0"/>
          <w:szCs w:val="24"/>
        </w:rPr>
        <w:t xml:space="preserve"> </w:t>
      </w:r>
      <w:r w:rsidR="0065654C" w:rsidRPr="00CB74C8">
        <w:rPr>
          <w:rFonts w:ascii="Arial" w:hAnsi="Arial" w:cs="Arial"/>
          <w:szCs w:val="24"/>
        </w:rPr>
        <w:t xml:space="preserve">The proposed restructuring helps </w:t>
      </w:r>
      <w:r w:rsidR="00413F51" w:rsidRPr="00CB74C8">
        <w:rPr>
          <w:rFonts w:ascii="Arial" w:hAnsi="Arial" w:cs="Arial"/>
          <w:szCs w:val="24"/>
          <w:lang w:val="en-IN"/>
        </w:rPr>
        <w:t xml:space="preserve">to manage exchange rate fluctuations because of precise prediction of cash inflows and outflows. The company will face lower exposure in the international market due to taking advantage of foreign exchange risk hedging techniques, including futures, options, forward contracts, etc. </w:t>
      </w:r>
      <w:r w:rsidR="00457CCA" w:rsidRPr="00CB74C8">
        <w:rPr>
          <w:rFonts w:ascii="Arial" w:hAnsi="Arial" w:cs="Arial"/>
          <w:szCs w:val="24"/>
          <w:lang w:val="en-IN"/>
        </w:rPr>
        <w:t>(Arenas and Scudiero, 2023, p.48).</w:t>
      </w:r>
    </w:p>
    <w:p w14:paraId="0A33F801" w14:textId="2400ED91" w:rsidR="00E4238B" w:rsidRPr="00CB74C8" w:rsidRDefault="00E4238B" w:rsidP="00B469AF">
      <w:pPr>
        <w:rPr>
          <w:rFonts w:ascii="Arial" w:hAnsi="Arial" w:cs="Arial"/>
          <w:szCs w:val="24"/>
        </w:rPr>
      </w:pPr>
      <w:r w:rsidRPr="00CB74C8">
        <w:rPr>
          <w:rFonts w:ascii="Arial" w:hAnsi="Arial" w:cs="Arial"/>
          <w:b/>
          <w:bCs w:val="0"/>
          <w:szCs w:val="24"/>
        </w:rPr>
        <w:t>Inflation</w:t>
      </w:r>
      <w:r w:rsidR="00080C51" w:rsidRPr="00CB74C8">
        <w:rPr>
          <w:rFonts w:ascii="Arial" w:hAnsi="Arial" w:cs="Arial"/>
          <w:b/>
          <w:bCs w:val="0"/>
          <w:szCs w:val="24"/>
        </w:rPr>
        <w:t>:</w:t>
      </w:r>
      <w:r w:rsidR="00F710C0" w:rsidRPr="00CB74C8">
        <w:rPr>
          <w:rFonts w:ascii="Arial" w:hAnsi="Arial" w:cs="Arial"/>
          <w:b/>
          <w:bCs w:val="0"/>
          <w:szCs w:val="24"/>
        </w:rPr>
        <w:t xml:space="preserve"> </w:t>
      </w:r>
      <w:r w:rsidR="00E93411" w:rsidRPr="00CB74C8">
        <w:rPr>
          <w:rFonts w:ascii="Arial" w:hAnsi="Arial" w:cs="Arial"/>
          <w:szCs w:val="24"/>
        </w:rPr>
        <w:t xml:space="preserve">The proposed restructuring will increase inflation risk due to diversified business activities in different countries, which have different inflation levels. The restructuring will enable Marriott to manage inflation pressure by a </w:t>
      </w:r>
      <w:r w:rsidR="00E93411" w:rsidRPr="00CB74C8">
        <w:rPr>
          <w:rFonts w:ascii="Arial" w:hAnsi="Arial" w:cs="Arial"/>
          <w:b/>
          <w:bCs w:val="0"/>
          <w:szCs w:val="24"/>
        </w:rPr>
        <w:t>dynamic pricing strategy.</w:t>
      </w:r>
      <w:r w:rsidR="00E93411" w:rsidRPr="00CB74C8">
        <w:rPr>
          <w:rFonts w:ascii="Arial" w:hAnsi="Arial" w:cs="Arial"/>
          <w:szCs w:val="24"/>
        </w:rPr>
        <w:t xml:space="preserve"> This pricing strategy will cover inflation pressure in different countries to improve Marriott’s overall performance.</w:t>
      </w:r>
    </w:p>
    <w:p w14:paraId="5E11B9DC" w14:textId="78051F45" w:rsidR="00B360A1" w:rsidRPr="00CB74C8" w:rsidRDefault="00E4238B" w:rsidP="00B469AF">
      <w:pPr>
        <w:rPr>
          <w:rFonts w:ascii="Arial" w:hAnsi="Arial" w:cs="Arial"/>
          <w:szCs w:val="24"/>
        </w:rPr>
      </w:pPr>
      <w:r w:rsidRPr="00CB74C8">
        <w:rPr>
          <w:rFonts w:ascii="Arial" w:hAnsi="Arial" w:cs="Arial"/>
          <w:b/>
          <w:bCs w:val="0"/>
          <w:szCs w:val="24"/>
        </w:rPr>
        <w:t>ESG</w:t>
      </w:r>
      <w:r w:rsidR="00080C51" w:rsidRPr="00CB74C8">
        <w:rPr>
          <w:rFonts w:ascii="Arial" w:hAnsi="Arial" w:cs="Arial"/>
          <w:b/>
          <w:bCs w:val="0"/>
          <w:szCs w:val="24"/>
        </w:rPr>
        <w:t>:</w:t>
      </w:r>
      <w:r w:rsidR="00E93411" w:rsidRPr="00CB74C8">
        <w:rPr>
          <w:rFonts w:ascii="Arial" w:hAnsi="Arial" w:cs="Arial"/>
          <w:b/>
          <w:bCs w:val="0"/>
          <w:szCs w:val="24"/>
        </w:rPr>
        <w:t xml:space="preserve"> </w:t>
      </w:r>
      <w:r w:rsidR="00E93411" w:rsidRPr="00CB74C8">
        <w:rPr>
          <w:rFonts w:ascii="Arial" w:hAnsi="Arial" w:cs="Arial"/>
          <w:szCs w:val="24"/>
        </w:rPr>
        <w:t xml:space="preserve">The proposed restructuring will increase </w:t>
      </w:r>
      <w:r w:rsidR="00947C82" w:rsidRPr="00CB74C8">
        <w:rPr>
          <w:rFonts w:ascii="Arial" w:hAnsi="Arial" w:cs="Arial"/>
          <w:szCs w:val="24"/>
        </w:rPr>
        <w:t xml:space="preserve">Marriott's </w:t>
      </w:r>
      <w:r w:rsidR="00E93411" w:rsidRPr="00CB74C8">
        <w:rPr>
          <w:rFonts w:ascii="Arial" w:hAnsi="Arial" w:cs="Arial"/>
          <w:szCs w:val="24"/>
        </w:rPr>
        <w:t>ESG performance by protecting the interests of all stakeholders. Marriott can manage its investment in sustainable projects with the strategic partnership to reduce carbon emissions to protect the environment. Marriott can increase job opportunities in different countries for serving society</w:t>
      </w:r>
      <w:r w:rsidR="00457CCA" w:rsidRPr="00CB74C8">
        <w:rPr>
          <w:rFonts w:ascii="Arial" w:hAnsi="Arial" w:cs="Arial"/>
          <w:szCs w:val="24"/>
        </w:rPr>
        <w:t xml:space="preserve"> (Armstrong, 2020, p.7)</w:t>
      </w:r>
      <w:r w:rsidR="00E93411" w:rsidRPr="00CB74C8">
        <w:rPr>
          <w:rFonts w:ascii="Arial" w:hAnsi="Arial" w:cs="Arial"/>
          <w:szCs w:val="24"/>
        </w:rPr>
        <w:t>. The strategic management efforts can improve governance practices of Marriott.</w:t>
      </w:r>
    </w:p>
    <w:p w14:paraId="464618D2" w14:textId="020D0033" w:rsidR="003C725F" w:rsidRPr="00CB74C8" w:rsidRDefault="003C725F" w:rsidP="00B469AF">
      <w:pPr>
        <w:pStyle w:val="Heading1"/>
        <w:rPr>
          <w:rFonts w:ascii="Arial" w:hAnsi="Arial" w:cs="Arial"/>
          <w:szCs w:val="24"/>
        </w:rPr>
      </w:pPr>
      <w:bookmarkStart w:id="19" w:name="_Toc237459256"/>
      <w:r w:rsidRPr="00CB74C8">
        <w:rPr>
          <w:rFonts w:ascii="Arial" w:hAnsi="Arial" w:cs="Arial"/>
          <w:szCs w:val="24"/>
        </w:rPr>
        <w:t>Analysis of Projects’ Performance</w:t>
      </w:r>
      <w:bookmarkEnd w:id="19"/>
    </w:p>
    <w:p w14:paraId="7AD82DD2" w14:textId="37620427" w:rsidR="00D84D9A" w:rsidRPr="00CB74C8" w:rsidRDefault="003F3A26" w:rsidP="00B469AF">
      <w:pPr>
        <w:pStyle w:val="Heading2"/>
        <w:rPr>
          <w:rFonts w:ascii="Arial" w:hAnsi="Arial" w:cs="Arial"/>
          <w:szCs w:val="24"/>
        </w:rPr>
      </w:pPr>
      <w:bookmarkStart w:id="20" w:name="_Toc237459257"/>
      <w:r w:rsidRPr="00CB74C8">
        <w:rPr>
          <w:rFonts w:ascii="Arial" w:hAnsi="Arial" w:cs="Arial"/>
          <w:szCs w:val="24"/>
        </w:rPr>
        <w:lastRenderedPageBreak/>
        <w:t>Payback Period (PBP)</w:t>
      </w:r>
      <w:bookmarkEnd w:id="20"/>
    </w:p>
    <w:p w14:paraId="5257E30B" w14:textId="149FA7DD" w:rsidR="003F3A26" w:rsidRPr="00CB74C8" w:rsidRDefault="00AC2171" w:rsidP="00B469AF">
      <w:pPr>
        <w:rPr>
          <w:rFonts w:ascii="Arial" w:hAnsi="Arial" w:cs="Arial"/>
          <w:szCs w:val="24"/>
        </w:rPr>
      </w:pPr>
      <w:r w:rsidRPr="00CB74C8">
        <w:rPr>
          <w:rFonts w:ascii="Arial" w:hAnsi="Arial" w:cs="Arial"/>
          <w:szCs w:val="24"/>
        </w:rPr>
        <w:t xml:space="preserve">The payback period </w:t>
      </w:r>
      <w:r w:rsidR="00CC05BC" w:rsidRPr="00CB74C8">
        <w:rPr>
          <w:rFonts w:ascii="Arial" w:hAnsi="Arial" w:cs="Arial"/>
          <w:szCs w:val="24"/>
        </w:rPr>
        <w:t xml:space="preserve">is </w:t>
      </w:r>
      <w:r w:rsidR="00DC1430" w:rsidRPr="00CB74C8">
        <w:rPr>
          <w:rFonts w:ascii="Arial" w:hAnsi="Arial" w:cs="Arial"/>
          <w:szCs w:val="24"/>
        </w:rPr>
        <w:t>easy to use to make rational investment decisions in a project. It estimates the riskiness of a project by finding the recovery period of the initial investment from relevant cash inflows. A shorter payback period indicates lower risk for an investment decision</w:t>
      </w:r>
      <w:r w:rsidR="00457CCA" w:rsidRPr="00CB74C8">
        <w:rPr>
          <w:rFonts w:ascii="Arial" w:hAnsi="Arial" w:cs="Arial"/>
          <w:szCs w:val="24"/>
        </w:rPr>
        <w:t xml:space="preserve"> (Al Ani, 2015, p.469)</w:t>
      </w:r>
      <w:r w:rsidR="00DC1430" w:rsidRPr="00CB74C8">
        <w:rPr>
          <w:rFonts w:ascii="Arial" w:hAnsi="Arial" w:cs="Arial"/>
          <w:szCs w:val="24"/>
        </w:rPr>
        <w:t xml:space="preserve">. A project is accepted </w:t>
      </w:r>
      <w:r w:rsidR="00BB6B55" w:rsidRPr="00CB74C8">
        <w:rPr>
          <w:rFonts w:ascii="Arial" w:hAnsi="Arial" w:cs="Arial"/>
          <w:szCs w:val="24"/>
        </w:rPr>
        <w:t>i</w:t>
      </w:r>
      <w:r w:rsidR="00695DB7" w:rsidRPr="00CB74C8">
        <w:rPr>
          <w:rFonts w:ascii="Arial" w:hAnsi="Arial" w:cs="Arial"/>
          <w:szCs w:val="24"/>
        </w:rPr>
        <w:t xml:space="preserve">f </w:t>
      </w:r>
      <w:proofErr w:type="spellStart"/>
      <w:r w:rsidR="00695DB7" w:rsidRPr="00CB74C8">
        <w:rPr>
          <w:rFonts w:ascii="Arial" w:hAnsi="Arial" w:cs="Arial"/>
          <w:szCs w:val="24"/>
        </w:rPr>
        <w:t>its</w:t>
      </w:r>
      <w:proofErr w:type="spellEnd"/>
      <w:r w:rsidR="00695DB7" w:rsidRPr="00CB74C8">
        <w:rPr>
          <w:rFonts w:ascii="Arial" w:hAnsi="Arial" w:cs="Arial"/>
          <w:szCs w:val="24"/>
        </w:rPr>
        <w:t xml:space="preserve"> payback period is shorter than the project’s economic life or desired period.</w:t>
      </w:r>
    </w:p>
    <w:p w14:paraId="02EC7D49" w14:textId="70416162" w:rsidR="00B56E2A" w:rsidRPr="00CB74C8" w:rsidRDefault="00DA42C5" w:rsidP="00B469AF">
      <w:pPr>
        <w:rPr>
          <w:rFonts w:ascii="Arial" w:hAnsi="Arial" w:cs="Arial"/>
          <w:b/>
          <w:bCs w:val="0"/>
          <w:szCs w:val="24"/>
        </w:rPr>
      </w:pPr>
      <w:r w:rsidRPr="00CB74C8">
        <w:rPr>
          <w:rFonts w:ascii="Arial" w:hAnsi="Arial" w:cs="Arial"/>
          <w:b/>
          <w:bCs w:val="0"/>
          <w:szCs w:val="24"/>
        </w:rPr>
        <w:t>Benefits:</w:t>
      </w:r>
    </w:p>
    <w:p w14:paraId="6771296D" w14:textId="67651B35" w:rsidR="00DA42C5" w:rsidRPr="00CB74C8" w:rsidRDefault="00DA42C5" w:rsidP="00B469AF">
      <w:pPr>
        <w:pStyle w:val="ListParagraph"/>
        <w:numPr>
          <w:ilvl w:val="0"/>
          <w:numId w:val="1"/>
        </w:numPr>
        <w:rPr>
          <w:rFonts w:ascii="Arial" w:hAnsi="Arial" w:cs="Arial"/>
          <w:szCs w:val="24"/>
        </w:rPr>
      </w:pPr>
      <w:r w:rsidRPr="00CB74C8">
        <w:rPr>
          <w:rFonts w:ascii="Arial" w:hAnsi="Arial" w:cs="Arial"/>
          <w:szCs w:val="24"/>
        </w:rPr>
        <w:t>PB</w:t>
      </w:r>
      <w:r w:rsidR="00687237" w:rsidRPr="00CB74C8">
        <w:rPr>
          <w:rFonts w:ascii="Arial" w:hAnsi="Arial" w:cs="Arial"/>
          <w:szCs w:val="24"/>
        </w:rPr>
        <w:t>P considers relevant cash inflows to recovery initial outlay. This concept is easy for investors to understand to make rational investment decisions.</w:t>
      </w:r>
    </w:p>
    <w:p w14:paraId="3F4F2D24" w14:textId="5200B527" w:rsidR="00687237" w:rsidRPr="00CB74C8" w:rsidRDefault="000E5CC7" w:rsidP="00B469AF">
      <w:pPr>
        <w:pStyle w:val="ListParagraph"/>
        <w:numPr>
          <w:ilvl w:val="0"/>
          <w:numId w:val="1"/>
        </w:numPr>
        <w:rPr>
          <w:rFonts w:ascii="Arial" w:hAnsi="Arial" w:cs="Arial"/>
          <w:szCs w:val="24"/>
        </w:rPr>
      </w:pPr>
      <w:r w:rsidRPr="00CB74C8">
        <w:rPr>
          <w:rFonts w:ascii="Arial" w:hAnsi="Arial" w:cs="Arial"/>
          <w:szCs w:val="24"/>
        </w:rPr>
        <w:t xml:space="preserve">PBP </w:t>
      </w:r>
      <w:r w:rsidR="00457C2A" w:rsidRPr="00CB74C8">
        <w:rPr>
          <w:rFonts w:ascii="Arial" w:hAnsi="Arial" w:cs="Arial"/>
          <w:szCs w:val="24"/>
        </w:rPr>
        <w:t>does</w:t>
      </w:r>
      <w:r w:rsidR="008A4DE6" w:rsidRPr="00CB74C8">
        <w:rPr>
          <w:rFonts w:ascii="Arial" w:hAnsi="Arial" w:cs="Arial"/>
          <w:szCs w:val="24"/>
        </w:rPr>
        <w:t xml:space="preserve"> not</w:t>
      </w:r>
      <w:r w:rsidR="00457C2A" w:rsidRPr="00CB74C8">
        <w:rPr>
          <w:rFonts w:ascii="Arial" w:hAnsi="Arial" w:cs="Arial"/>
          <w:szCs w:val="24"/>
        </w:rPr>
        <w:t xml:space="preserve"> allow accounting manipulation </w:t>
      </w:r>
      <w:r w:rsidR="008A4DE6" w:rsidRPr="00CB74C8">
        <w:rPr>
          <w:rFonts w:ascii="Arial" w:hAnsi="Arial" w:cs="Arial"/>
          <w:szCs w:val="24"/>
        </w:rPr>
        <w:t>due to considering relevant cash flows only.</w:t>
      </w:r>
    </w:p>
    <w:p w14:paraId="2B2ADD20" w14:textId="494DDD2E" w:rsidR="008A4DE6" w:rsidRPr="00CB74C8" w:rsidRDefault="008A4DE6" w:rsidP="00B469AF">
      <w:pPr>
        <w:pStyle w:val="ListParagraph"/>
        <w:numPr>
          <w:ilvl w:val="0"/>
          <w:numId w:val="1"/>
        </w:numPr>
        <w:rPr>
          <w:rFonts w:ascii="Arial" w:hAnsi="Arial" w:cs="Arial"/>
          <w:szCs w:val="24"/>
        </w:rPr>
      </w:pPr>
      <w:r w:rsidRPr="00CB74C8">
        <w:rPr>
          <w:rFonts w:ascii="Arial" w:hAnsi="Arial" w:cs="Arial"/>
          <w:szCs w:val="24"/>
        </w:rPr>
        <w:t xml:space="preserve">PBP </w:t>
      </w:r>
      <w:r w:rsidR="003E0AD7" w:rsidRPr="00CB74C8">
        <w:rPr>
          <w:rFonts w:ascii="Arial" w:hAnsi="Arial" w:cs="Arial"/>
          <w:szCs w:val="24"/>
        </w:rPr>
        <w:t xml:space="preserve">always ensures </w:t>
      </w:r>
      <w:r w:rsidR="00A00F71" w:rsidRPr="00CB74C8">
        <w:rPr>
          <w:rFonts w:ascii="Arial" w:hAnsi="Arial" w:cs="Arial"/>
          <w:szCs w:val="24"/>
        </w:rPr>
        <w:t xml:space="preserve">a </w:t>
      </w:r>
      <w:r w:rsidR="003E0AD7" w:rsidRPr="00CB74C8">
        <w:rPr>
          <w:rFonts w:ascii="Arial" w:hAnsi="Arial" w:cs="Arial"/>
          <w:szCs w:val="24"/>
        </w:rPr>
        <w:t>profitable investment opportunity by investing in projects providing more cash inflows than their investments.</w:t>
      </w:r>
    </w:p>
    <w:p w14:paraId="528ED86C" w14:textId="0F793A74" w:rsidR="00DC1430" w:rsidRPr="00CB74C8" w:rsidRDefault="00DA42C5" w:rsidP="00B469AF">
      <w:pPr>
        <w:rPr>
          <w:rFonts w:ascii="Arial" w:hAnsi="Arial" w:cs="Arial"/>
          <w:b/>
          <w:bCs w:val="0"/>
          <w:szCs w:val="24"/>
        </w:rPr>
      </w:pPr>
      <w:r w:rsidRPr="00CB74C8">
        <w:rPr>
          <w:rFonts w:ascii="Arial" w:hAnsi="Arial" w:cs="Arial"/>
          <w:b/>
          <w:bCs w:val="0"/>
          <w:szCs w:val="24"/>
        </w:rPr>
        <w:t>Limitations</w:t>
      </w:r>
      <w:r w:rsidR="00A00F71" w:rsidRPr="00CB74C8">
        <w:rPr>
          <w:rFonts w:ascii="Arial" w:hAnsi="Arial" w:cs="Arial"/>
          <w:b/>
          <w:bCs w:val="0"/>
          <w:szCs w:val="24"/>
        </w:rPr>
        <w:t>:</w:t>
      </w:r>
    </w:p>
    <w:p w14:paraId="571416DF" w14:textId="41C5C237" w:rsidR="00A00F71" w:rsidRPr="00CB74C8" w:rsidRDefault="00CE2293" w:rsidP="00B469AF">
      <w:pPr>
        <w:pStyle w:val="ListParagraph"/>
        <w:numPr>
          <w:ilvl w:val="0"/>
          <w:numId w:val="3"/>
        </w:numPr>
        <w:rPr>
          <w:rFonts w:ascii="Arial" w:hAnsi="Arial" w:cs="Arial"/>
          <w:szCs w:val="24"/>
        </w:rPr>
      </w:pPr>
      <w:r w:rsidRPr="00CB74C8">
        <w:rPr>
          <w:rFonts w:ascii="Arial" w:hAnsi="Arial" w:cs="Arial"/>
          <w:szCs w:val="24"/>
        </w:rPr>
        <w:t xml:space="preserve">PBP does not weigh </w:t>
      </w:r>
      <w:r w:rsidR="001E37D9" w:rsidRPr="00CB74C8">
        <w:rPr>
          <w:rFonts w:ascii="Arial" w:hAnsi="Arial" w:cs="Arial"/>
          <w:szCs w:val="24"/>
        </w:rPr>
        <w:t>the time value of money, highly important in long-term investment projects to avoid the impact of inflation on cash flows.</w:t>
      </w:r>
    </w:p>
    <w:p w14:paraId="2BFCF43D" w14:textId="4F547137" w:rsidR="001E37D9" w:rsidRPr="00CB74C8" w:rsidRDefault="009A14F7" w:rsidP="00B469AF">
      <w:pPr>
        <w:pStyle w:val="ListParagraph"/>
        <w:numPr>
          <w:ilvl w:val="0"/>
          <w:numId w:val="3"/>
        </w:numPr>
        <w:rPr>
          <w:rFonts w:ascii="Arial" w:hAnsi="Arial" w:cs="Arial"/>
          <w:szCs w:val="24"/>
        </w:rPr>
      </w:pPr>
      <w:r w:rsidRPr="00CB74C8">
        <w:rPr>
          <w:rFonts w:ascii="Arial" w:hAnsi="Arial" w:cs="Arial"/>
          <w:szCs w:val="24"/>
        </w:rPr>
        <w:t xml:space="preserve">PBP does not count cash inflows once the initial investment </w:t>
      </w:r>
      <w:r w:rsidR="003E729C" w:rsidRPr="00CB74C8">
        <w:rPr>
          <w:rFonts w:ascii="Arial" w:hAnsi="Arial" w:cs="Arial"/>
          <w:szCs w:val="24"/>
        </w:rPr>
        <w:t xml:space="preserve">is </w:t>
      </w:r>
      <w:r w:rsidRPr="00CB74C8">
        <w:rPr>
          <w:rFonts w:ascii="Arial" w:hAnsi="Arial" w:cs="Arial"/>
          <w:szCs w:val="24"/>
        </w:rPr>
        <w:t>recovered, resulting in inappropriate valuation of a project.</w:t>
      </w:r>
    </w:p>
    <w:p w14:paraId="6E4A79AF" w14:textId="59156974" w:rsidR="00D01581" w:rsidRPr="00CB74C8" w:rsidRDefault="003E729C" w:rsidP="00B469AF">
      <w:pPr>
        <w:pStyle w:val="ListParagraph"/>
        <w:numPr>
          <w:ilvl w:val="0"/>
          <w:numId w:val="3"/>
        </w:numPr>
        <w:rPr>
          <w:rFonts w:ascii="Arial" w:hAnsi="Arial" w:cs="Arial"/>
          <w:szCs w:val="24"/>
        </w:rPr>
      </w:pPr>
      <w:r w:rsidRPr="00CB74C8">
        <w:rPr>
          <w:rFonts w:ascii="Arial" w:hAnsi="Arial" w:cs="Arial"/>
          <w:szCs w:val="24"/>
        </w:rPr>
        <w:t>PBP has no importance for qualitative factors like skill, supply of materials, impact on the environment, etc., which are highly important for long-term survival.</w:t>
      </w:r>
    </w:p>
    <w:p w14:paraId="0880D7A7" w14:textId="3395673E" w:rsidR="00D01581" w:rsidRPr="00CB74C8" w:rsidRDefault="005B6BA6" w:rsidP="00B469AF">
      <w:pPr>
        <w:rPr>
          <w:rFonts w:ascii="Arial" w:hAnsi="Arial" w:cs="Arial"/>
          <w:szCs w:val="24"/>
        </w:rPr>
      </w:pPr>
      <w:r w:rsidRPr="00CB74C8">
        <w:rPr>
          <w:rFonts w:ascii="Arial" w:hAnsi="Arial" w:cs="Arial"/>
          <w:szCs w:val="24"/>
        </w:rPr>
        <w:t xml:space="preserve">Project A has a payback period of 4.50 years. Project B has a payback period of 4.55 years, and Project C has a payback period of </w:t>
      </w:r>
      <w:r w:rsidR="00961BAC" w:rsidRPr="00CB74C8">
        <w:rPr>
          <w:rFonts w:ascii="Arial" w:hAnsi="Arial" w:cs="Arial"/>
          <w:szCs w:val="24"/>
        </w:rPr>
        <w:t>3.60 years</w:t>
      </w:r>
      <w:r w:rsidR="00F457AE" w:rsidRPr="00CB74C8">
        <w:rPr>
          <w:rFonts w:ascii="Arial" w:hAnsi="Arial" w:cs="Arial"/>
          <w:szCs w:val="24"/>
        </w:rPr>
        <w:t xml:space="preserve"> (See Appendix 3)</w:t>
      </w:r>
      <w:r w:rsidR="00961BAC" w:rsidRPr="00CB74C8">
        <w:rPr>
          <w:rFonts w:ascii="Arial" w:hAnsi="Arial" w:cs="Arial"/>
          <w:szCs w:val="24"/>
        </w:rPr>
        <w:t xml:space="preserve">. The comparison between all three projects indicates that Project C is highly suitable for investment because Project C has a shorter recovery period of initial investment </w:t>
      </w:r>
      <w:r w:rsidR="00961BAC" w:rsidRPr="00CB74C8">
        <w:rPr>
          <w:rFonts w:ascii="Arial" w:hAnsi="Arial" w:cs="Arial"/>
          <w:szCs w:val="24"/>
        </w:rPr>
        <w:lastRenderedPageBreak/>
        <w:t xml:space="preserve">compared to Project A and Project B. </w:t>
      </w:r>
      <w:r w:rsidR="0051520F" w:rsidRPr="00CB74C8">
        <w:rPr>
          <w:rFonts w:ascii="Arial" w:hAnsi="Arial" w:cs="Arial"/>
          <w:szCs w:val="24"/>
        </w:rPr>
        <w:t>Project C has less risk in recovering initial outlay because of a shorter period than that of Project A and Project B.</w:t>
      </w:r>
    </w:p>
    <w:p w14:paraId="02204C0F" w14:textId="4AF55AEE" w:rsidR="009C3BC1" w:rsidRPr="00CB74C8" w:rsidRDefault="009C3BC1" w:rsidP="00B469AF">
      <w:pPr>
        <w:pStyle w:val="Heading2"/>
        <w:rPr>
          <w:rFonts w:ascii="Arial" w:hAnsi="Arial" w:cs="Arial"/>
          <w:szCs w:val="24"/>
        </w:rPr>
      </w:pPr>
      <w:bookmarkStart w:id="21" w:name="_Toc237459258"/>
      <w:r w:rsidRPr="00CB74C8">
        <w:rPr>
          <w:rFonts w:ascii="Arial" w:hAnsi="Arial" w:cs="Arial"/>
          <w:szCs w:val="24"/>
        </w:rPr>
        <w:t>Net Present Value</w:t>
      </w:r>
      <w:r w:rsidR="004B1243" w:rsidRPr="00CB74C8">
        <w:rPr>
          <w:rFonts w:ascii="Arial" w:hAnsi="Arial" w:cs="Arial"/>
          <w:szCs w:val="24"/>
        </w:rPr>
        <w:t xml:space="preserve"> (NPV)</w:t>
      </w:r>
      <w:bookmarkEnd w:id="21"/>
    </w:p>
    <w:p w14:paraId="72A5A5E4" w14:textId="4802E32D" w:rsidR="0078765E" w:rsidRPr="00CB74C8" w:rsidRDefault="0078765E" w:rsidP="00B469AF">
      <w:pPr>
        <w:rPr>
          <w:rFonts w:ascii="Arial" w:hAnsi="Arial" w:cs="Arial"/>
          <w:szCs w:val="24"/>
        </w:rPr>
      </w:pPr>
      <w:r w:rsidRPr="00CB74C8">
        <w:rPr>
          <w:rFonts w:ascii="Arial" w:hAnsi="Arial" w:cs="Arial"/>
          <w:szCs w:val="24"/>
        </w:rPr>
        <w:t xml:space="preserve">The net present value is an important capital budgeting technique to </w:t>
      </w:r>
      <w:r w:rsidR="00785CC1" w:rsidRPr="00CB74C8">
        <w:rPr>
          <w:rFonts w:ascii="Arial" w:hAnsi="Arial" w:cs="Arial"/>
          <w:szCs w:val="24"/>
        </w:rPr>
        <w:t xml:space="preserve">estimate real performance at zero time. This method </w:t>
      </w:r>
      <w:r w:rsidR="00FD7523" w:rsidRPr="00CB74C8">
        <w:rPr>
          <w:rFonts w:ascii="Arial" w:hAnsi="Arial" w:cs="Arial"/>
          <w:szCs w:val="24"/>
        </w:rPr>
        <w:t>finds the</w:t>
      </w:r>
      <w:r w:rsidR="00785CC1" w:rsidRPr="00CB74C8">
        <w:rPr>
          <w:rFonts w:ascii="Arial" w:hAnsi="Arial" w:cs="Arial"/>
          <w:szCs w:val="24"/>
        </w:rPr>
        <w:t xml:space="preserve"> present value of cash inflows against initial investment to estimate </w:t>
      </w:r>
      <w:r w:rsidR="00FD7523" w:rsidRPr="00CB74C8">
        <w:rPr>
          <w:rFonts w:ascii="Arial" w:hAnsi="Arial" w:cs="Arial"/>
          <w:szCs w:val="24"/>
        </w:rPr>
        <w:t xml:space="preserve">the </w:t>
      </w:r>
      <w:r w:rsidR="00785CC1" w:rsidRPr="00CB74C8">
        <w:rPr>
          <w:rFonts w:ascii="Arial" w:hAnsi="Arial" w:cs="Arial"/>
          <w:szCs w:val="24"/>
        </w:rPr>
        <w:t>net worth of the investment</w:t>
      </w:r>
      <w:r w:rsidR="0096764E" w:rsidRPr="00CB74C8">
        <w:rPr>
          <w:rFonts w:ascii="Arial" w:hAnsi="Arial" w:cs="Arial"/>
          <w:szCs w:val="24"/>
        </w:rPr>
        <w:t xml:space="preserve"> (Dai et al., 2022, p.186)</w:t>
      </w:r>
      <w:r w:rsidR="00785CC1" w:rsidRPr="00CB74C8">
        <w:rPr>
          <w:rFonts w:ascii="Arial" w:hAnsi="Arial" w:cs="Arial"/>
          <w:szCs w:val="24"/>
        </w:rPr>
        <w:t xml:space="preserve">. </w:t>
      </w:r>
      <w:r w:rsidR="0098538D" w:rsidRPr="00CB74C8">
        <w:rPr>
          <w:rFonts w:ascii="Arial" w:hAnsi="Arial" w:cs="Arial"/>
          <w:szCs w:val="24"/>
        </w:rPr>
        <w:t>A positive net present value supports a profitable investment opportunity for investors</w:t>
      </w:r>
      <w:r w:rsidRPr="00CB74C8">
        <w:rPr>
          <w:rFonts w:ascii="Arial" w:hAnsi="Arial" w:cs="Arial"/>
          <w:szCs w:val="24"/>
        </w:rPr>
        <w:t>.</w:t>
      </w:r>
    </w:p>
    <w:p w14:paraId="57DA0866" w14:textId="77777777" w:rsidR="0078765E" w:rsidRPr="00CB74C8" w:rsidRDefault="0078765E" w:rsidP="00B469AF">
      <w:pPr>
        <w:rPr>
          <w:rFonts w:ascii="Arial" w:hAnsi="Arial" w:cs="Arial"/>
          <w:b/>
          <w:bCs w:val="0"/>
          <w:szCs w:val="24"/>
        </w:rPr>
      </w:pPr>
      <w:r w:rsidRPr="00CB74C8">
        <w:rPr>
          <w:rFonts w:ascii="Arial" w:hAnsi="Arial" w:cs="Arial"/>
          <w:b/>
          <w:bCs w:val="0"/>
          <w:szCs w:val="24"/>
        </w:rPr>
        <w:t>Benefits:</w:t>
      </w:r>
    </w:p>
    <w:p w14:paraId="62811289" w14:textId="18009CED" w:rsidR="0078765E" w:rsidRPr="00CB74C8" w:rsidRDefault="00507A21" w:rsidP="00B469AF">
      <w:pPr>
        <w:pStyle w:val="ListParagraph"/>
        <w:numPr>
          <w:ilvl w:val="0"/>
          <w:numId w:val="1"/>
        </w:numPr>
        <w:rPr>
          <w:rFonts w:ascii="Arial" w:hAnsi="Arial" w:cs="Arial"/>
          <w:szCs w:val="24"/>
        </w:rPr>
      </w:pPr>
      <w:r w:rsidRPr="00CB74C8">
        <w:rPr>
          <w:rFonts w:ascii="Arial" w:hAnsi="Arial" w:cs="Arial"/>
          <w:szCs w:val="24"/>
        </w:rPr>
        <w:t>NPV weighs the time value of money, which is vital to appreciate the real net worth of an investment project</w:t>
      </w:r>
      <w:r w:rsidR="0078765E" w:rsidRPr="00CB74C8">
        <w:rPr>
          <w:rFonts w:ascii="Arial" w:hAnsi="Arial" w:cs="Arial"/>
          <w:szCs w:val="24"/>
        </w:rPr>
        <w:t>.</w:t>
      </w:r>
    </w:p>
    <w:p w14:paraId="0CB0F7AD" w14:textId="516C7401" w:rsidR="0078765E" w:rsidRPr="00CB74C8" w:rsidRDefault="00507A21" w:rsidP="00B469AF">
      <w:pPr>
        <w:pStyle w:val="ListParagraph"/>
        <w:numPr>
          <w:ilvl w:val="0"/>
          <w:numId w:val="1"/>
        </w:numPr>
        <w:rPr>
          <w:rFonts w:ascii="Arial" w:hAnsi="Arial" w:cs="Arial"/>
          <w:szCs w:val="24"/>
        </w:rPr>
      </w:pPr>
      <w:r w:rsidRPr="00CB74C8">
        <w:rPr>
          <w:rFonts w:ascii="Arial" w:hAnsi="Arial" w:cs="Arial"/>
          <w:szCs w:val="24"/>
        </w:rPr>
        <w:t>NPV avoids accounting manipulation to inflate a project’s financial performance because accounting policies and conventions cannot affect cash flows.</w:t>
      </w:r>
    </w:p>
    <w:p w14:paraId="7C1A5C85" w14:textId="41D3634A" w:rsidR="0078765E" w:rsidRPr="00CB74C8" w:rsidRDefault="008D45DF" w:rsidP="00B469AF">
      <w:pPr>
        <w:pStyle w:val="ListParagraph"/>
        <w:numPr>
          <w:ilvl w:val="0"/>
          <w:numId w:val="1"/>
        </w:numPr>
        <w:rPr>
          <w:rFonts w:ascii="Arial" w:hAnsi="Arial" w:cs="Arial"/>
          <w:szCs w:val="24"/>
        </w:rPr>
      </w:pPr>
      <w:r w:rsidRPr="00CB74C8">
        <w:rPr>
          <w:rFonts w:ascii="Arial" w:hAnsi="Arial" w:cs="Arial"/>
          <w:szCs w:val="24"/>
        </w:rPr>
        <w:t>NPV</w:t>
      </w:r>
      <w:r w:rsidR="0078765E" w:rsidRPr="00CB74C8">
        <w:rPr>
          <w:rFonts w:ascii="Arial" w:hAnsi="Arial" w:cs="Arial"/>
          <w:szCs w:val="24"/>
        </w:rPr>
        <w:t xml:space="preserve"> always </w:t>
      </w:r>
      <w:r w:rsidR="00FF4EDF" w:rsidRPr="00CB74C8">
        <w:rPr>
          <w:rFonts w:ascii="Arial" w:hAnsi="Arial" w:cs="Arial"/>
          <w:szCs w:val="24"/>
        </w:rPr>
        <w:t>improves the rational investment decision-making process in case of mutually exclusive investment projects.</w:t>
      </w:r>
    </w:p>
    <w:p w14:paraId="1A5C4EC2" w14:textId="77777777" w:rsidR="0078765E" w:rsidRPr="00CB74C8" w:rsidRDefault="0078765E" w:rsidP="00B469AF">
      <w:pPr>
        <w:rPr>
          <w:rFonts w:ascii="Arial" w:hAnsi="Arial" w:cs="Arial"/>
          <w:b/>
          <w:bCs w:val="0"/>
          <w:szCs w:val="24"/>
        </w:rPr>
      </w:pPr>
      <w:r w:rsidRPr="00CB74C8">
        <w:rPr>
          <w:rFonts w:ascii="Arial" w:hAnsi="Arial" w:cs="Arial"/>
          <w:b/>
          <w:bCs w:val="0"/>
          <w:szCs w:val="24"/>
        </w:rPr>
        <w:t>Limitations:</w:t>
      </w:r>
    </w:p>
    <w:p w14:paraId="62462671" w14:textId="403E041E" w:rsidR="0078765E" w:rsidRPr="00CB74C8" w:rsidRDefault="00EC4560" w:rsidP="00B469AF">
      <w:pPr>
        <w:pStyle w:val="ListParagraph"/>
        <w:numPr>
          <w:ilvl w:val="0"/>
          <w:numId w:val="3"/>
        </w:numPr>
        <w:rPr>
          <w:rFonts w:ascii="Arial" w:hAnsi="Arial" w:cs="Arial"/>
          <w:szCs w:val="24"/>
        </w:rPr>
      </w:pPr>
      <w:r w:rsidRPr="00CB74C8">
        <w:rPr>
          <w:rFonts w:ascii="Arial" w:hAnsi="Arial" w:cs="Arial"/>
          <w:szCs w:val="24"/>
        </w:rPr>
        <w:t>NPV</w:t>
      </w:r>
      <w:r w:rsidR="00401C00" w:rsidRPr="00CB74C8">
        <w:rPr>
          <w:rFonts w:ascii="Arial" w:hAnsi="Arial" w:cs="Arial"/>
          <w:szCs w:val="24"/>
        </w:rPr>
        <w:t xml:space="preserve"> confuses investors </w:t>
      </w:r>
      <w:r w:rsidR="00784CB3" w:rsidRPr="00CB74C8">
        <w:rPr>
          <w:rFonts w:ascii="Arial" w:hAnsi="Arial" w:cs="Arial"/>
          <w:szCs w:val="24"/>
        </w:rPr>
        <w:t>in estimating the</w:t>
      </w:r>
      <w:r w:rsidR="00401C00" w:rsidRPr="00CB74C8">
        <w:rPr>
          <w:rFonts w:ascii="Arial" w:hAnsi="Arial" w:cs="Arial"/>
          <w:szCs w:val="24"/>
        </w:rPr>
        <w:t xml:space="preserve"> overall profitability of an investment</w:t>
      </w:r>
      <w:r w:rsidR="002F105B" w:rsidRPr="00CB74C8">
        <w:rPr>
          <w:rFonts w:ascii="Arial" w:hAnsi="Arial" w:cs="Arial"/>
          <w:szCs w:val="24"/>
        </w:rPr>
        <w:t xml:space="preserve"> project because of avoiding sunk costs and irrelevant cash flows.</w:t>
      </w:r>
    </w:p>
    <w:p w14:paraId="383D9F35" w14:textId="3CB09D26" w:rsidR="0078765E" w:rsidRPr="00CB74C8" w:rsidRDefault="002F105B" w:rsidP="00B469AF">
      <w:pPr>
        <w:pStyle w:val="ListParagraph"/>
        <w:numPr>
          <w:ilvl w:val="0"/>
          <w:numId w:val="3"/>
        </w:numPr>
        <w:rPr>
          <w:rFonts w:ascii="Arial" w:hAnsi="Arial" w:cs="Arial"/>
          <w:szCs w:val="24"/>
        </w:rPr>
      </w:pPr>
      <w:r w:rsidRPr="00CB74C8">
        <w:rPr>
          <w:rFonts w:ascii="Arial" w:hAnsi="Arial" w:cs="Arial"/>
          <w:szCs w:val="24"/>
        </w:rPr>
        <w:t>NPV needs a genuine discounting rate to find present value. If the discounting rate is inappropriate</w:t>
      </w:r>
      <w:r w:rsidR="00FF3162" w:rsidRPr="00CB74C8">
        <w:rPr>
          <w:rFonts w:ascii="Arial" w:hAnsi="Arial" w:cs="Arial"/>
          <w:szCs w:val="24"/>
        </w:rPr>
        <w:t>, a profitable investment opportunity can be lost.</w:t>
      </w:r>
    </w:p>
    <w:p w14:paraId="0B2881AA" w14:textId="4B411552" w:rsidR="0068433B" w:rsidRPr="00CB74C8" w:rsidRDefault="00B01F18" w:rsidP="00B469AF">
      <w:pPr>
        <w:pStyle w:val="ListParagraph"/>
        <w:numPr>
          <w:ilvl w:val="0"/>
          <w:numId w:val="3"/>
        </w:numPr>
        <w:rPr>
          <w:rFonts w:ascii="Arial" w:hAnsi="Arial" w:cs="Arial"/>
          <w:szCs w:val="24"/>
        </w:rPr>
      </w:pPr>
      <w:r w:rsidRPr="00CB74C8">
        <w:rPr>
          <w:rFonts w:ascii="Arial" w:hAnsi="Arial" w:cs="Arial"/>
          <w:szCs w:val="24"/>
        </w:rPr>
        <w:t>NPV</w:t>
      </w:r>
      <w:r w:rsidR="0078765E" w:rsidRPr="00CB74C8">
        <w:rPr>
          <w:rFonts w:ascii="Arial" w:hAnsi="Arial" w:cs="Arial"/>
          <w:szCs w:val="24"/>
        </w:rPr>
        <w:t xml:space="preserve"> </w:t>
      </w:r>
      <w:r w:rsidR="00922B39" w:rsidRPr="00CB74C8">
        <w:rPr>
          <w:rFonts w:ascii="Arial" w:hAnsi="Arial" w:cs="Arial"/>
          <w:szCs w:val="24"/>
        </w:rPr>
        <w:t xml:space="preserve">cannot compare different-sized projects to achieve capital rationing to </w:t>
      </w:r>
      <w:proofErr w:type="spellStart"/>
      <w:r w:rsidR="00922B39" w:rsidRPr="00CB74C8">
        <w:rPr>
          <w:rFonts w:ascii="Arial" w:hAnsi="Arial" w:cs="Arial"/>
          <w:szCs w:val="24"/>
        </w:rPr>
        <w:t>maximise</w:t>
      </w:r>
      <w:proofErr w:type="spellEnd"/>
      <w:r w:rsidR="00922B39" w:rsidRPr="00CB74C8">
        <w:rPr>
          <w:rFonts w:ascii="Arial" w:hAnsi="Arial" w:cs="Arial"/>
          <w:szCs w:val="24"/>
        </w:rPr>
        <w:t xml:space="preserve"> investment return performance.</w:t>
      </w:r>
    </w:p>
    <w:p w14:paraId="161D674E" w14:textId="2E4F8F47" w:rsidR="0051520F" w:rsidRPr="00CB74C8" w:rsidRDefault="0051520F" w:rsidP="00B469AF">
      <w:pPr>
        <w:rPr>
          <w:rFonts w:ascii="Arial" w:hAnsi="Arial" w:cs="Arial"/>
          <w:szCs w:val="24"/>
        </w:rPr>
      </w:pPr>
      <w:r w:rsidRPr="00CB74C8">
        <w:rPr>
          <w:rFonts w:ascii="Arial" w:hAnsi="Arial" w:cs="Arial"/>
          <w:szCs w:val="24"/>
        </w:rPr>
        <w:t xml:space="preserve">Project A has a net present value of </w:t>
      </w:r>
      <w:r w:rsidR="00BF1AC2" w:rsidRPr="00CB74C8">
        <w:rPr>
          <w:rFonts w:ascii="Arial" w:hAnsi="Arial" w:cs="Arial"/>
          <w:szCs w:val="24"/>
        </w:rPr>
        <w:t xml:space="preserve">-£6,542,000, which is negative, to support rejection of investment in this project due to decline in value of investment. </w:t>
      </w:r>
      <w:r w:rsidR="00331012" w:rsidRPr="00CB74C8">
        <w:rPr>
          <w:rFonts w:ascii="Arial" w:hAnsi="Arial" w:cs="Arial"/>
          <w:szCs w:val="24"/>
        </w:rPr>
        <w:t xml:space="preserve">Project B has a net present value of </w:t>
      </w:r>
      <w:r w:rsidR="00D6379B" w:rsidRPr="00CB74C8">
        <w:rPr>
          <w:rFonts w:ascii="Arial" w:hAnsi="Arial" w:cs="Arial"/>
          <w:szCs w:val="24"/>
        </w:rPr>
        <w:t xml:space="preserve">-£6,077,000, which is negative, </w:t>
      </w:r>
      <w:r w:rsidR="002B263F" w:rsidRPr="00CB74C8">
        <w:rPr>
          <w:rFonts w:ascii="Arial" w:hAnsi="Arial" w:cs="Arial"/>
          <w:szCs w:val="24"/>
        </w:rPr>
        <w:t>indicating</w:t>
      </w:r>
      <w:r w:rsidR="00D6379B" w:rsidRPr="00CB74C8">
        <w:rPr>
          <w:rFonts w:ascii="Arial" w:hAnsi="Arial" w:cs="Arial"/>
          <w:szCs w:val="24"/>
        </w:rPr>
        <w:t xml:space="preserve"> a loss-making project. Project B cannot be accepted for investment decision. Project C has a net </w:t>
      </w:r>
      <w:r w:rsidR="00D6379B" w:rsidRPr="00CB74C8">
        <w:rPr>
          <w:rFonts w:ascii="Arial" w:hAnsi="Arial" w:cs="Arial"/>
          <w:szCs w:val="24"/>
        </w:rPr>
        <w:lastRenderedPageBreak/>
        <w:t xml:space="preserve">present value of </w:t>
      </w:r>
      <w:r w:rsidR="00811AFE" w:rsidRPr="00CB74C8">
        <w:rPr>
          <w:rFonts w:ascii="Arial" w:hAnsi="Arial" w:cs="Arial"/>
          <w:szCs w:val="24"/>
        </w:rPr>
        <w:t>£860,000, which is positive. Project C can be accepted for investment purposes because of profitability on investment. The comparison between all three investment projects indicates acceptance of investment in Project C.</w:t>
      </w:r>
    </w:p>
    <w:p w14:paraId="3C760A4C" w14:textId="40D9EDAA" w:rsidR="00191B63" w:rsidRPr="00CB74C8" w:rsidRDefault="00191B63" w:rsidP="00B469AF">
      <w:pPr>
        <w:pStyle w:val="Heading2"/>
        <w:rPr>
          <w:rFonts w:ascii="Arial" w:hAnsi="Arial" w:cs="Arial"/>
          <w:szCs w:val="24"/>
        </w:rPr>
      </w:pPr>
      <w:bookmarkStart w:id="22" w:name="_Toc237459259"/>
      <w:r w:rsidRPr="00CB74C8">
        <w:rPr>
          <w:rFonts w:ascii="Arial" w:hAnsi="Arial" w:cs="Arial"/>
          <w:szCs w:val="24"/>
        </w:rPr>
        <w:t>Internal Rate of Return (IRR)</w:t>
      </w:r>
      <w:bookmarkEnd w:id="22"/>
    </w:p>
    <w:p w14:paraId="4A1CDF43" w14:textId="0CADA0DA" w:rsidR="00191B63" w:rsidRPr="00CB74C8" w:rsidRDefault="00F2254C" w:rsidP="00B469AF">
      <w:pPr>
        <w:rPr>
          <w:rFonts w:ascii="Arial" w:hAnsi="Arial" w:cs="Arial"/>
          <w:szCs w:val="24"/>
        </w:rPr>
      </w:pPr>
      <w:r w:rsidRPr="00CB74C8">
        <w:rPr>
          <w:rFonts w:ascii="Arial" w:hAnsi="Arial" w:cs="Arial"/>
          <w:szCs w:val="24"/>
        </w:rPr>
        <w:t xml:space="preserve">Internal rate of return is a highly suitable capital budgeting technique for comparing investment projects of different sizes to select the highest-performing one. IRR improves capital rationing in </w:t>
      </w:r>
      <w:r w:rsidR="00823867" w:rsidRPr="00CB74C8">
        <w:rPr>
          <w:rFonts w:ascii="Arial" w:hAnsi="Arial" w:cs="Arial"/>
          <w:szCs w:val="24"/>
        </w:rPr>
        <w:t xml:space="preserve">the </w:t>
      </w:r>
      <w:r w:rsidRPr="00CB74C8">
        <w:rPr>
          <w:rFonts w:ascii="Arial" w:hAnsi="Arial" w:cs="Arial"/>
          <w:szCs w:val="24"/>
        </w:rPr>
        <w:t xml:space="preserve">case of partial investment </w:t>
      </w:r>
      <w:r w:rsidR="00823867" w:rsidRPr="00CB74C8">
        <w:rPr>
          <w:rFonts w:ascii="Arial" w:hAnsi="Arial" w:cs="Arial"/>
          <w:szCs w:val="24"/>
        </w:rPr>
        <w:t>opportunities</w:t>
      </w:r>
      <w:r w:rsidR="008305C4" w:rsidRPr="00CB74C8">
        <w:rPr>
          <w:rFonts w:ascii="Arial" w:hAnsi="Arial" w:cs="Arial"/>
          <w:szCs w:val="24"/>
        </w:rPr>
        <w:t xml:space="preserve"> (Dai et al., 2022, p.187)</w:t>
      </w:r>
      <w:r w:rsidRPr="00CB74C8">
        <w:rPr>
          <w:rFonts w:ascii="Arial" w:hAnsi="Arial" w:cs="Arial"/>
          <w:szCs w:val="24"/>
        </w:rPr>
        <w:t xml:space="preserve">. A project is accepted if it </w:t>
      </w:r>
      <w:r w:rsidR="008124DA" w:rsidRPr="00CB74C8">
        <w:rPr>
          <w:rFonts w:ascii="Arial" w:hAnsi="Arial" w:cs="Arial"/>
          <w:szCs w:val="24"/>
        </w:rPr>
        <w:t xml:space="preserve">provides a higher IRR than the required rate of return or the </w:t>
      </w:r>
      <w:r w:rsidRPr="00CB74C8">
        <w:rPr>
          <w:rFonts w:ascii="Arial" w:hAnsi="Arial" w:cs="Arial"/>
          <w:szCs w:val="24"/>
        </w:rPr>
        <w:t>cost of capital.</w:t>
      </w:r>
    </w:p>
    <w:p w14:paraId="5D254AF3" w14:textId="77777777" w:rsidR="008124DA" w:rsidRPr="00CB74C8" w:rsidRDefault="008124DA" w:rsidP="00B469AF">
      <w:pPr>
        <w:rPr>
          <w:rFonts w:ascii="Arial" w:hAnsi="Arial" w:cs="Arial"/>
          <w:b/>
          <w:bCs w:val="0"/>
          <w:szCs w:val="24"/>
        </w:rPr>
      </w:pPr>
      <w:r w:rsidRPr="00CB74C8">
        <w:rPr>
          <w:rFonts w:ascii="Arial" w:hAnsi="Arial" w:cs="Arial"/>
          <w:b/>
          <w:bCs w:val="0"/>
          <w:szCs w:val="24"/>
        </w:rPr>
        <w:t>Benefits:</w:t>
      </w:r>
    </w:p>
    <w:p w14:paraId="7AB934F3" w14:textId="08034888" w:rsidR="008124DA" w:rsidRPr="00CB74C8" w:rsidRDefault="00141698" w:rsidP="00B469AF">
      <w:pPr>
        <w:pStyle w:val="ListParagraph"/>
        <w:numPr>
          <w:ilvl w:val="0"/>
          <w:numId w:val="1"/>
        </w:numPr>
        <w:rPr>
          <w:rFonts w:ascii="Arial" w:hAnsi="Arial" w:cs="Arial"/>
          <w:szCs w:val="24"/>
        </w:rPr>
      </w:pPr>
      <w:r w:rsidRPr="00CB74C8">
        <w:rPr>
          <w:rFonts w:ascii="Arial" w:hAnsi="Arial" w:cs="Arial"/>
          <w:szCs w:val="24"/>
        </w:rPr>
        <w:t>IRR focuses on the time value of money to avoid inflation on cash flows to estimate real investment performance.</w:t>
      </w:r>
    </w:p>
    <w:p w14:paraId="2E3144F7" w14:textId="0342EDEA" w:rsidR="008124DA" w:rsidRPr="00CB74C8" w:rsidRDefault="008C1757" w:rsidP="00B469AF">
      <w:pPr>
        <w:pStyle w:val="ListParagraph"/>
        <w:numPr>
          <w:ilvl w:val="0"/>
          <w:numId w:val="1"/>
        </w:numPr>
        <w:rPr>
          <w:rFonts w:ascii="Arial" w:hAnsi="Arial" w:cs="Arial"/>
          <w:szCs w:val="24"/>
        </w:rPr>
      </w:pPr>
      <w:r w:rsidRPr="00CB74C8">
        <w:rPr>
          <w:rFonts w:ascii="Arial" w:hAnsi="Arial" w:cs="Arial"/>
          <w:szCs w:val="24"/>
        </w:rPr>
        <w:t xml:space="preserve">IRR </w:t>
      </w:r>
      <w:r w:rsidR="008124DA" w:rsidRPr="00CB74C8">
        <w:rPr>
          <w:rFonts w:ascii="Arial" w:hAnsi="Arial" w:cs="Arial"/>
          <w:szCs w:val="24"/>
        </w:rPr>
        <w:t xml:space="preserve">avoids accounting </w:t>
      </w:r>
      <w:r w:rsidR="009E26EF" w:rsidRPr="00CB74C8">
        <w:rPr>
          <w:rFonts w:ascii="Arial" w:hAnsi="Arial" w:cs="Arial"/>
          <w:szCs w:val="24"/>
        </w:rPr>
        <w:t xml:space="preserve">profit, which helps to eliminate the scope of accounting </w:t>
      </w:r>
      <w:r w:rsidR="008124DA" w:rsidRPr="00CB74C8">
        <w:rPr>
          <w:rFonts w:ascii="Arial" w:hAnsi="Arial" w:cs="Arial"/>
          <w:szCs w:val="24"/>
        </w:rPr>
        <w:t>manipulation to inflate a project’s financial performance</w:t>
      </w:r>
      <w:r w:rsidR="009E26EF" w:rsidRPr="00CB74C8">
        <w:rPr>
          <w:rFonts w:ascii="Arial" w:hAnsi="Arial" w:cs="Arial"/>
          <w:szCs w:val="24"/>
        </w:rPr>
        <w:t>.</w:t>
      </w:r>
    </w:p>
    <w:p w14:paraId="332F86C8" w14:textId="7271D03F" w:rsidR="008124DA" w:rsidRPr="00CB74C8" w:rsidRDefault="009E26EF" w:rsidP="00B469AF">
      <w:pPr>
        <w:pStyle w:val="ListParagraph"/>
        <w:numPr>
          <w:ilvl w:val="0"/>
          <w:numId w:val="1"/>
        </w:numPr>
        <w:rPr>
          <w:rFonts w:ascii="Arial" w:hAnsi="Arial" w:cs="Arial"/>
          <w:szCs w:val="24"/>
        </w:rPr>
      </w:pPr>
      <w:r w:rsidRPr="00CB74C8">
        <w:rPr>
          <w:rFonts w:ascii="Arial" w:hAnsi="Arial" w:cs="Arial"/>
          <w:szCs w:val="24"/>
        </w:rPr>
        <w:t>IRR</w:t>
      </w:r>
      <w:r w:rsidR="001A60B9" w:rsidRPr="00CB74C8">
        <w:rPr>
          <w:rFonts w:ascii="Arial" w:hAnsi="Arial" w:cs="Arial"/>
          <w:szCs w:val="24"/>
        </w:rPr>
        <w:t xml:space="preserve"> can compare investments of different sizes to improve the return performance of the investment.</w:t>
      </w:r>
    </w:p>
    <w:p w14:paraId="41527256" w14:textId="77777777" w:rsidR="008124DA" w:rsidRPr="00CB74C8" w:rsidRDefault="008124DA" w:rsidP="00B469AF">
      <w:pPr>
        <w:rPr>
          <w:rFonts w:ascii="Arial" w:hAnsi="Arial" w:cs="Arial"/>
          <w:b/>
          <w:bCs w:val="0"/>
          <w:szCs w:val="24"/>
        </w:rPr>
      </w:pPr>
      <w:r w:rsidRPr="00CB74C8">
        <w:rPr>
          <w:rFonts w:ascii="Arial" w:hAnsi="Arial" w:cs="Arial"/>
          <w:b/>
          <w:bCs w:val="0"/>
          <w:szCs w:val="24"/>
        </w:rPr>
        <w:t>Limitations:</w:t>
      </w:r>
    </w:p>
    <w:p w14:paraId="12F91241" w14:textId="5A8185C0" w:rsidR="008124DA" w:rsidRPr="00CB74C8" w:rsidRDefault="000A5A31" w:rsidP="00B469AF">
      <w:pPr>
        <w:pStyle w:val="ListParagraph"/>
        <w:numPr>
          <w:ilvl w:val="0"/>
          <w:numId w:val="3"/>
        </w:numPr>
        <w:rPr>
          <w:rFonts w:ascii="Arial" w:hAnsi="Arial" w:cs="Arial"/>
          <w:szCs w:val="24"/>
        </w:rPr>
      </w:pPr>
      <w:r w:rsidRPr="00CB74C8">
        <w:rPr>
          <w:rFonts w:ascii="Arial" w:hAnsi="Arial" w:cs="Arial"/>
          <w:szCs w:val="24"/>
        </w:rPr>
        <w:t>IRR</w:t>
      </w:r>
      <w:r w:rsidR="008124DA" w:rsidRPr="00CB74C8">
        <w:rPr>
          <w:rFonts w:ascii="Arial" w:hAnsi="Arial" w:cs="Arial"/>
          <w:szCs w:val="24"/>
        </w:rPr>
        <w:t xml:space="preserve"> confuses investors in estimating the overall</w:t>
      </w:r>
      <w:r w:rsidRPr="00CB74C8">
        <w:rPr>
          <w:rFonts w:ascii="Arial" w:hAnsi="Arial" w:cs="Arial"/>
          <w:szCs w:val="24"/>
        </w:rPr>
        <w:t xml:space="preserve"> volume of</w:t>
      </w:r>
      <w:r w:rsidR="008124DA" w:rsidRPr="00CB74C8">
        <w:rPr>
          <w:rFonts w:ascii="Arial" w:hAnsi="Arial" w:cs="Arial"/>
          <w:szCs w:val="24"/>
        </w:rPr>
        <w:t xml:space="preserve"> profitability</w:t>
      </w:r>
      <w:r w:rsidRPr="00CB74C8">
        <w:rPr>
          <w:rFonts w:ascii="Arial" w:hAnsi="Arial" w:cs="Arial"/>
          <w:szCs w:val="24"/>
        </w:rPr>
        <w:t xml:space="preserve"> because a high IRR does not mean a h</w:t>
      </w:r>
      <w:r w:rsidR="00BF7B14" w:rsidRPr="00CB74C8">
        <w:rPr>
          <w:rFonts w:ascii="Arial" w:hAnsi="Arial" w:cs="Arial"/>
          <w:szCs w:val="24"/>
        </w:rPr>
        <w:t>uge</w:t>
      </w:r>
      <w:r w:rsidRPr="00CB74C8">
        <w:rPr>
          <w:rFonts w:ascii="Arial" w:hAnsi="Arial" w:cs="Arial"/>
          <w:szCs w:val="24"/>
        </w:rPr>
        <w:t xml:space="preserve"> amount of profit.</w:t>
      </w:r>
    </w:p>
    <w:p w14:paraId="783E0640" w14:textId="22A0B67D" w:rsidR="008124DA" w:rsidRPr="00CB74C8" w:rsidRDefault="00BF7B14" w:rsidP="00B469AF">
      <w:pPr>
        <w:pStyle w:val="ListParagraph"/>
        <w:numPr>
          <w:ilvl w:val="0"/>
          <w:numId w:val="3"/>
        </w:numPr>
        <w:rPr>
          <w:rFonts w:ascii="Arial" w:hAnsi="Arial" w:cs="Arial"/>
          <w:szCs w:val="24"/>
        </w:rPr>
      </w:pPr>
      <w:r w:rsidRPr="00CB74C8">
        <w:rPr>
          <w:rFonts w:ascii="Arial" w:hAnsi="Arial" w:cs="Arial"/>
          <w:szCs w:val="24"/>
        </w:rPr>
        <w:t>IRR</w:t>
      </w:r>
      <w:r w:rsidR="008124DA" w:rsidRPr="00CB74C8">
        <w:rPr>
          <w:rFonts w:ascii="Arial" w:hAnsi="Arial" w:cs="Arial"/>
          <w:szCs w:val="24"/>
        </w:rPr>
        <w:t xml:space="preserve"> </w:t>
      </w:r>
      <w:r w:rsidR="00BB7BC2" w:rsidRPr="00CB74C8">
        <w:rPr>
          <w:rFonts w:ascii="Arial" w:hAnsi="Arial" w:cs="Arial"/>
          <w:szCs w:val="24"/>
        </w:rPr>
        <w:t>uses a required return to make an investment decision. However, the selection of the most appropriate required return is not an easy task, and an inappropriate required return can reject a profitable investment.</w:t>
      </w:r>
      <w:r w:rsidR="008124DA" w:rsidRPr="00CB74C8">
        <w:rPr>
          <w:rFonts w:ascii="Arial" w:hAnsi="Arial" w:cs="Arial"/>
          <w:szCs w:val="24"/>
        </w:rPr>
        <w:t xml:space="preserve"> </w:t>
      </w:r>
    </w:p>
    <w:p w14:paraId="7E82BFC1" w14:textId="2761FE20" w:rsidR="008124DA" w:rsidRPr="00CB74C8" w:rsidRDefault="00BB7BC2" w:rsidP="00B469AF">
      <w:pPr>
        <w:pStyle w:val="ListParagraph"/>
        <w:numPr>
          <w:ilvl w:val="0"/>
          <w:numId w:val="3"/>
        </w:numPr>
        <w:rPr>
          <w:rFonts w:ascii="Arial" w:hAnsi="Arial" w:cs="Arial"/>
          <w:szCs w:val="24"/>
        </w:rPr>
      </w:pPr>
      <w:r w:rsidRPr="00CB74C8">
        <w:rPr>
          <w:rFonts w:ascii="Arial" w:hAnsi="Arial" w:cs="Arial"/>
          <w:szCs w:val="24"/>
        </w:rPr>
        <w:t xml:space="preserve">IRR </w:t>
      </w:r>
      <w:r w:rsidR="005728D7" w:rsidRPr="00CB74C8">
        <w:rPr>
          <w:rFonts w:ascii="Arial" w:hAnsi="Arial" w:cs="Arial"/>
          <w:szCs w:val="24"/>
        </w:rPr>
        <w:t>does not consider all costs to estimate overall profitability for easy understanding of a project's performance among investors.</w:t>
      </w:r>
    </w:p>
    <w:p w14:paraId="75119BE8" w14:textId="52D2B9F2" w:rsidR="00811AFE" w:rsidRPr="00CB74C8" w:rsidRDefault="00811AFE" w:rsidP="00B469AF">
      <w:pPr>
        <w:rPr>
          <w:rFonts w:ascii="Arial" w:hAnsi="Arial" w:cs="Arial"/>
          <w:szCs w:val="24"/>
        </w:rPr>
      </w:pPr>
      <w:r w:rsidRPr="00CB74C8">
        <w:rPr>
          <w:rFonts w:ascii="Arial" w:hAnsi="Arial" w:cs="Arial"/>
          <w:szCs w:val="24"/>
        </w:rPr>
        <w:lastRenderedPageBreak/>
        <w:t xml:space="preserve">Project A has an IRR of 2.74%, which is </w:t>
      </w:r>
      <w:r w:rsidR="001B6511" w:rsidRPr="00CB74C8">
        <w:rPr>
          <w:rFonts w:ascii="Arial" w:hAnsi="Arial" w:cs="Arial"/>
          <w:szCs w:val="24"/>
        </w:rPr>
        <w:t xml:space="preserve">lower than the required rate of return of 8%. Project A cannot be accepted as it is a loss-making investment opportunity. </w:t>
      </w:r>
      <w:r w:rsidR="00644459" w:rsidRPr="00CB74C8">
        <w:rPr>
          <w:rFonts w:ascii="Arial" w:hAnsi="Arial" w:cs="Arial"/>
          <w:szCs w:val="24"/>
        </w:rPr>
        <w:t xml:space="preserve">Project B </w:t>
      </w:r>
      <w:r w:rsidR="00334FC6" w:rsidRPr="00CB74C8">
        <w:rPr>
          <w:rFonts w:ascii="Arial" w:hAnsi="Arial" w:cs="Arial"/>
          <w:szCs w:val="24"/>
        </w:rPr>
        <w:t xml:space="preserve">has an IRR of </w:t>
      </w:r>
      <w:r w:rsidR="00E4701C" w:rsidRPr="00CB74C8">
        <w:rPr>
          <w:rFonts w:ascii="Arial" w:hAnsi="Arial" w:cs="Arial"/>
          <w:szCs w:val="24"/>
        </w:rPr>
        <w:t>3.28%</w:t>
      </w:r>
      <w:r w:rsidR="00AC5B67" w:rsidRPr="00CB74C8">
        <w:rPr>
          <w:rFonts w:ascii="Arial" w:hAnsi="Arial" w:cs="Arial"/>
          <w:szCs w:val="24"/>
        </w:rPr>
        <w:t xml:space="preserve">, which is less than the required return of 8%. Project B cannot be accepted for investment </w:t>
      </w:r>
      <w:r w:rsidR="00D70A47" w:rsidRPr="00CB74C8">
        <w:rPr>
          <w:rFonts w:ascii="Arial" w:hAnsi="Arial" w:cs="Arial"/>
          <w:szCs w:val="24"/>
        </w:rPr>
        <w:t>purposes</w:t>
      </w:r>
      <w:r w:rsidR="00AC5B67" w:rsidRPr="00CB74C8">
        <w:rPr>
          <w:rFonts w:ascii="Arial" w:hAnsi="Arial" w:cs="Arial"/>
          <w:szCs w:val="24"/>
        </w:rPr>
        <w:t xml:space="preserve">. Project C has an IRR of </w:t>
      </w:r>
      <w:r w:rsidR="008561D0" w:rsidRPr="00CB74C8">
        <w:rPr>
          <w:rFonts w:ascii="Arial" w:hAnsi="Arial" w:cs="Arial"/>
          <w:szCs w:val="24"/>
        </w:rPr>
        <w:t xml:space="preserve">8.58%, which is more than the required return of 8%. Project C can be accepted for investment due to a higher return than the required return to increase the value of the investment. </w:t>
      </w:r>
    </w:p>
    <w:p w14:paraId="0582A80C" w14:textId="7B7AF738" w:rsidR="005728D7" w:rsidRPr="00CB74C8" w:rsidRDefault="008C66C8" w:rsidP="00B469AF">
      <w:pPr>
        <w:pStyle w:val="Heading2"/>
        <w:rPr>
          <w:rFonts w:ascii="Arial" w:hAnsi="Arial" w:cs="Arial"/>
          <w:szCs w:val="24"/>
        </w:rPr>
      </w:pPr>
      <w:bookmarkStart w:id="23" w:name="_Toc237459260"/>
      <w:r w:rsidRPr="00CB74C8">
        <w:rPr>
          <w:rFonts w:ascii="Arial" w:hAnsi="Arial" w:cs="Arial"/>
          <w:szCs w:val="24"/>
        </w:rPr>
        <w:t>Profitability Index (PI)</w:t>
      </w:r>
      <w:bookmarkEnd w:id="23"/>
    </w:p>
    <w:p w14:paraId="221C4167" w14:textId="0B2B3C5A" w:rsidR="008C66C8" w:rsidRPr="00CB74C8" w:rsidRDefault="009874FE" w:rsidP="00B469AF">
      <w:pPr>
        <w:rPr>
          <w:rFonts w:ascii="Arial" w:hAnsi="Arial" w:cs="Arial"/>
          <w:szCs w:val="24"/>
        </w:rPr>
      </w:pPr>
      <w:r w:rsidRPr="00CB74C8">
        <w:rPr>
          <w:rFonts w:ascii="Arial" w:hAnsi="Arial" w:cs="Arial"/>
          <w:szCs w:val="24"/>
        </w:rPr>
        <w:t xml:space="preserve">Profitability index </w:t>
      </w:r>
      <w:r w:rsidR="00532238" w:rsidRPr="00CB74C8">
        <w:rPr>
          <w:rFonts w:ascii="Arial" w:hAnsi="Arial" w:cs="Arial"/>
          <w:szCs w:val="24"/>
        </w:rPr>
        <w:t xml:space="preserve">evaluates the present value of cash inflows per unit of an initial investment. </w:t>
      </w:r>
      <w:r w:rsidR="00C43CF4" w:rsidRPr="00CB74C8">
        <w:rPr>
          <w:rFonts w:ascii="Arial" w:hAnsi="Arial" w:cs="Arial"/>
          <w:szCs w:val="24"/>
        </w:rPr>
        <w:t xml:space="preserve">PI helps to rank different projects under the situation of </w:t>
      </w:r>
      <w:r w:rsidR="00C44FFA" w:rsidRPr="00CB74C8">
        <w:rPr>
          <w:rFonts w:ascii="Arial" w:hAnsi="Arial" w:cs="Arial"/>
          <w:szCs w:val="24"/>
        </w:rPr>
        <w:t xml:space="preserve">a </w:t>
      </w:r>
      <w:r w:rsidR="00C43CF4" w:rsidRPr="00CB74C8">
        <w:rPr>
          <w:rFonts w:ascii="Arial" w:hAnsi="Arial" w:cs="Arial"/>
          <w:szCs w:val="24"/>
        </w:rPr>
        <w:t>limited budget for investment opportunities</w:t>
      </w:r>
      <w:r w:rsidR="00823867" w:rsidRPr="00CB74C8">
        <w:rPr>
          <w:rFonts w:ascii="Arial" w:hAnsi="Arial" w:cs="Arial"/>
          <w:szCs w:val="24"/>
        </w:rPr>
        <w:t xml:space="preserve"> (Shaturaev, 2023, p.153)</w:t>
      </w:r>
      <w:r w:rsidR="00C43CF4" w:rsidRPr="00CB74C8">
        <w:rPr>
          <w:rFonts w:ascii="Arial" w:hAnsi="Arial" w:cs="Arial"/>
          <w:szCs w:val="24"/>
        </w:rPr>
        <w:t xml:space="preserve">. A project can be accepted if the </w:t>
      </w:r>
      <w:r w:rsidR="00C44FFA" w:rsidRPr="00CB74C8">
        <w:rPr>
          <w:rFonts w:ascii="Arial" w:hAnsi="Arial" w:cs="Arial"/>
          <w:szCs w:val="24"/>
        </w:rPr>
        <w:t xml:space="preserve">project’s </w:t>
      </w:r>
      <w:r w:rsidR="00C43CF4" w:rsidRPr="00CB74C8">
        <w:rPr>
          <w:rFonts w:ascii="Arial" w:hAnsi="Arial" w:cs="Arial"/>
          <w:szCs w:val="24"/>
        </w:rPr>
        <w:t>PI is more than one to ensure a profitable investment opportunity.</w:t>
      </w:r>
    </w:p>
    <w:p w14:paraId="35E0F44B" w14:textId="3AB1E531" w:rsidR="00C44FFA" w:rsidRPr="00CB74C8" w:rsidRDefault="00C44FFA" w:rsidP="00B469AF">
      <w:pPr>
        <w:rPr>
          <w:rFonts w:ascii="Arial" w:hAnsi="Arial" w:cs="Arial"/>
          <w:b/>
          <w:bCs w:val="0"/>
          <w:szCs w:val="24"/>
        </w:rPr>
      </w:pPr>
      <w:r w:rsidRPr="00CB74C8">
        <w:rPr>
          <w:rFonts w:ascii="Arial" w:hAnsi="Arial" w:cs="Arial"/>
          <w:b/>
          <w:bCs w:val="0"/>
          <w:szCs w:val="24"/>
        </w:rPr>
        <w:t>Benefits:</w:t>
      </w:r>
    </w:p>
    <w:p w14:paraId="3CEB0CFA" w14:textId="319B2C78" w:rsidR="00E6136C" w:rsidRPr="00CB74C8" w:rsidRDefault="002E4A98" w:rsidP="00B469AF">
      <w:pPr>
        <w:pStyle w:val="ListParagraph"/>
        <w:numPr>
          <w:ilvl w:val="0"/>
          <w:numId w:val="4"/>
        </w:numPr>
        <w:rPr>
          <w:rFonts w:ascii="Arial" w:hAnsi="Arial" w:cs="Arial"/>
          <w:szCs w:val="24"/>
        </w:rPr>
      </w:pPr>
      <w:r w:rsidRPr="00CB74C8">
        <w:rPr>
          <w:rFonts w:ascii="Arial" w:hAnsi="Arial" w:cs="Arial"/>
          <w:szCs w:val="24"/>
        </w:rPr>
        <w:t xml:space="preserve">PI focuses on </w:t>
      </w:r>
      <w:r w:rsidR="00C51DBD" w:rsidRPr="00CB74C8">
        <w:rPr>
          <w:rFonts w:ascii="Arial" w:hAnsi="Arial" w:cs="Arial"/>
          <w:szCs w:val="24"/>
        </w:rPr>
        <w:t>the present value of future cash flows to avoid inflation</w:t>
      </w:r>
      <w:r w:rsidR="00944163" w:rsidRPr="00CB74C8">
        <w:rPr>
          <w:rFonts w:ascii="Arial" w:hAnsi="Arial" w:cs="Arial"/>
          <w:szCs w:val="24"/>
        </w:rPr>
        <w:t xml:space="preserve">, including </w:t>
      </w:r>
      <w:r w:rsidR="000F737C" w:rsidRPr="00CB74C8">
        <w:rPr>
          <w:rFonts w:ascii="Arial" w:hAnsi="Arial" w:cs="Arial"/>
          <w:szCs w:val="24"/>
        </w:rPr>
        <w:t>in nominal cash flows.</w:t>
      </w:r>
    </w:p>
    <w:p w14:paraId="4E3AF339" w14:textId="1DE5D252" w:rsidR="00FE45D7" w:rsidRPr="00CB74C8" w:rsidRDefault="00605D3E" w:rsidP="00B469AF">
      <w:pPr>
        <w:pStyle w:val="ListParagraph"/>
        <w:numPr>
          <w:ilvl w:val="0"/>
          <w:numId w:val="4"/>
        </w:numPr>
        <w:rPr>
          <w:rFonts w:ascii="Arial" w:hAnsi="Arial" w:cs="Arial"/>
          <w:szCs w:val="24"/>
        </w:rPr>
      </w:pPr>
      <w:r w:rsidRPr="00CB74C8">
        <w:rPr>
          <w:rFonts w:ascii="Arial" w:hAnsi="Arial" w:cs="Arial"/>
          <w:szCs w:val="24"/>
        </w:rPr>
        <w:t xml:space="preserve">PI ranks different projects </w:t>
      </w:r>
      <w:r w:rsidR="00617514" w:rsidRPr="00CB74C8">
        <w:rPr>
          <w:rFonts w:ascii="Arial" w:hAnsi="Arial" w:cs="Arial"/>
          <w:szCs w:val="24"/>
        </w:rPr>
        <w:t>to select better investment options to increase return performance.</w:t>
      </w:r>
    </w:p>
    <w:p w14:paraId="7CDB85DF" w14:textId="4258DAAA" w:rsidR="00617514" w:rsidRPr="00CB74C8" w:rsidRDefault="0062253C" w:rsidP="00B469AF">
      <w:pPr>
        <w:pStyle w:val="ListParagraph"/>
        <w:numPr>
          <w:ilvl w:val="0"/>
          <w:numId w:val="4"/>
        </w:numPr>
        <w:rPr>
          <w:rFonts w:ascii="Arial" w:hAnsi="Arial" w:cs="Arial"/>
          <w:szCs w:val="24"/>
        </w:rPr>
      </w:pPr>
      <w:r w:rsidRPr="00CB74C8">
        <w:rPr>
          <w:rFonts w:ascii="Arial" w:hAnsi="Arial" w:cs="Arial"/>
          <w:szCs w:val="24"/>
        </w:rPr>
        <w:t xml:space="preserve">PI </w:t>
      </w:r>
      <w:r w:rsidR="003A3042" w:rsidRPr="00CB74C8">
        <w:rPr>
          <w:rFonts w:ascii="Arial" w:hAnsi="Arial" w:cs="Arial"/>
          <w:szCs w:val="24"/>
        </w:rPr>
        <w:t>always accepts profitable investment projects to increase return performance.</w:t>
      </w:r>
    </w:p>
    <w:p w14:paraId="39116D25" w14:textId="205DAF82" w:rsidR="00C44FFA" w:rsidRPr="00CB74C8" w:rsidRDefault="00C44FFA" w:rsidP="00B469AF">
      <w:pPr>
        <w:rPr>
          <w:rFonts w:ascii="Arial" w:hAnsi="Arial" w:cs="Arial"/>
          <w:b/>
          <w:bCs w:val="0"/>
          <w:szCs w:val="24"/>
        </w:rPr>
      </w:pPr>
      <w:r w:rsidRPr="00CB74C8">
        <w:rPr>
          <w:rFonts w:ascii="Arial" w:hAnsi="Arial" w:cs="Arial"/>
          <w:b/>
          <w:bCs w:val="0"/>
          <w:szCs w:val="24"/>
        </w:rPr>
        <w:t>Limitations:</w:t>
      </w:r>
    </w:p>
    <w:p w14:paraId="04934FF0" w14:textId="72BF6E7D" w:rsidR="00D04463" w:rsidRPr="00CB74C8" w:rsidRDefault="00751C9B" w:rsidP="00B469AF">
      <w:pPr>
        <w:pStyle w:val="ListParagraph"/>
        <w:numPr>
          <w:ilvl w:val="0"/>
          <w:numId w:val="5"/>
        </w:numPr>
        <w:rPr>
          <w:rFonts w:ascii="Arial" w:hAnsi="Arial" w:cs="Arial"/>
          <w:szCs w:val="24"/>
        </w:rPr>
      </w:pPr>
      <w:r w:rsidRPr="00CB74C8">
        <w:rPr>
          <w:rFonts w:ascii="Arial" w:hAnsi="Arial" w:cs="Arial"/>
          <w:szCs w:val="24"/>
        </w:rPr>
        <w:t xml:space="preserve">PI does not focus on </w:t>
      </w:r>
      <w:r w:rsidR="00B2791F" w:rsidRPr="00CB74C8">
        <w:rPr>
          <w:rFonts w:ascii="Arial" w:hAnsi="Arial" w:cs="Arial"/>
          <w:szCs w:val="24"/>
        </w:rPr>
        <w:t xml:space="preserve">accounting profit, confusing investors </w:t>
      </w:r>
      <w:r w:rsidR="00075854" w:rsidRPr="00CB74C8">
        <w:rPr>
          <w:rFonts w:ascii="Arial" w:hAnsi="Arial" w:cs="Arial"/>
          <w:szCs w:val="24"/>
        </w:rPr>
        <w:t>in understanding the</w:t>
      </w:r>
      <w:r w:rsidR="00B2791F" w:rsidRPr="00CB74C8">
        <w:rPr>
          <w:rFonts w:ascii="Arial" w:hAnsi="Arial" w:cs="Arial"/>
          <w:szCs w:val="24"/>
        </w:rPr>
        <w:t xml:space="preserve"> performance of investment projects.</w:t>
      </w:r>
    </w:p>
    <w:p w14:paraId="2A54A5E0" w14:textId="6CECCAC8" w:rsidR="00B2791F" w:rsidRPr="00CB74C8" w:rsidRDefault="006C2C11" w:rsidP="00B469AF">
      <w:pPr>
        <w:pStyle w:val="ListParagraph"/>
        <w:numPr>
          <w:ilvl w:val="0"/>
          <w:numId w:val="5"/>
        </w:numPr>
        <w:rPr>
          <w:rFonts w:ascii="Arial" w:hAnsi="Arial" w:cs="Arial"/>
          <w:szCs w:val="24"/>
        </w:rPr>
      </w:pPr>
      <w:r w:rsidRPr="00CB74C8">
        <w:rPr>
          <w:rFonts w:ascii="Arial" w:hAnsi="Arial" w:cs="Arial"/>
          <w:szCs w:val="24"/>
        </w:rPr>
        <w:t xml:space="preserve">PI needs a discounting rate to find present value, but the selection of the most appropriate </w:t>
      </w:r>
      <w:r w:rsidR="00306C8A" w:rsidRPr="00CB74C8">
        <w:rPr>
          <w:rFonts w:ascii="Arial" w:hAnsi="Arial" w:cs="Arial"/>
          <w:szCs w:val="24"/>
        </w:rPr>
        <w:t>discounting rate is difficult.</w:t>
      </w:r>
    </w:p>
    <w:p w14:paraId="676FDE0C" w14:textId="44067BA2" w:rsidR="00306C8A" w:rsidRPr="00CB74C8" w:rsidRDefault="00306C8A" w:rsidP="00B469AF">
      <w:pPr>
        <w:pStyle w:val="ListParagraph"/>
        <w:numPr>
          <w:ilvl w:val="0"/>
          <w:numId w:val="5"/>
        </w:numPr>
        <w:rPr>
          <w:rFonts w:ascii="Arial" w:hAnsi="Arial" w:cs="Arial"/>
          <w:szCs w:val="24"/>
        </w:rPr>
      </w:pPr>
      <w:r w:rsidRPr="00CB74C8">
        <w:rPr>
          <w:rFonts w:ascii="Arial" w:hAnsi="Arial" w:cs="Arial"/>
          <w:szCs w:val="24"/>
        </w:rPr>
        <w:t xml:space="preserve">PI </w:t>
      </w:r>
      <w:r w:rsidR="00076F55" w:rsidRPr="00CB74C8">
        <w:rPr>
          <w:rFonts w:ascii="Arial" w:hAnsi="Arial" w:cs="Arial"/>
          <w:szCs w:val="24"/>
        </w:rPr>
        <w:t>cannot provide the amount of profit to compare different projects, which can limit the amount of profit on investments.</w:t>
      </w:r>
    </w:p>
    <w:p w14:paraId="02651885" w14:textId="15DAAF38" w:rsidR="008561D0" w:rsidRPr="00CB74C8" w:rsidRDefault="0008775C" w:rsidP="00B469AF">
      <w:pPr>
        <w:rPr>
          <w:rFonts w:ascii="Arial" w:hAnsi="Arial" w:cs="Arial"/>
          <w:szCs w:val="24"/>
        </w:rPr>
      </w:pPr>
      <w:r w:rsidRPr="00CB74C8">
        <w:rPr>
          <w:rFonts w:ascii="Arial" w:hAnsi="Arial" w:cs="Arial"/>
          <w:szCs w:val="24"/>
        </w:rPr>
        <w:lastRenderedPageBreak/>
        <w:t xml:space="preserve">Project A has a PI of </w:t>
      </w:r>
      <w:r w:rsidR="000151FA" w:rsidRPr="00CB74C8">
        <w:rPr>
          <w:rFonts w:ascii="Arial" w:hAnsi="Arial" w:cs="Arial"/>
          <w:szCs w:val="24"/>
        </w:rPr>
        <w:t>0.87</w:t>
      </w:r>
      <w:r w:rsidR="008B6EBC" w:rsidRPr="00CB74C8">
        <w:rPr>
          <w:rFonts w:ascii="Arial" w:hAnsi="Arial" w:cs="Arial"/>
          <w:szCs w:val="24"/>
        </w:rPr>
        <w:t xml:space="preserve"> times</w:t>
      </w:r>
      <w:r w:rsidR="000151FA" w:rsidRPr="00CB74C8">
        <w:rPr>
          <w:rFonts w:ascii="Arial" w:hAnsi="Arial" w:cs="Arial"/>
          <w:szCs w:val="24"/>
        </w:rPr>
        <w:t xml:space="preserve">, indicating that Project A is not a suitable investment opportunity because PI is not more than 1. Project B has a PI of </w:t>
      </w:r>
      <w:r w:rsidR="00FA4472" w:rsidRPr="00CB74C8">
        <w:rPr>
          <w:rFonts w:ascii="Arial" w:hAnsi="Arial" w:cs="Arial"/>
          <w:szCs w:val="24"/>
        </w:rPr>
        <w:t>0.88</w:t>
      </w:r>
      <w:r w:rsidR="008B6EBC" w:rsidRPr="00CB74C8">
        <w:rPr>
          <w:rFonts w:ascii="Arial" w:hAnsi="Arial" w:cs="Arial"/>
          <w:szCs w:val="24"/>
        </w:rPr>
        <w:t xml:space="preserve"> times</w:t>
      </w:r>
      <w:r w:rsidR="00FA4472" w:rsidRPr="00CB74C8">
        <w:rPr>
          <w:rFonts w:ascii="Arial" w:hAnsi="Arial" w:cs="Arial"/>
          <w:szCs w:val="24"/>
        </w:rPr>
        <w:t xml:space="preserve">, which is not more than 1, indicating a loss-making investment opportunity. Project C has a PI of </w:t>
      </w:r>
      <w:r w:rsidR="008B6EBC" w:rsidRPr="00CB74C8">
        <w:rPr>
          <w:rFonts w:ascii="Arial" w:hAnsi="Arial" w:cs="Arial"/>
          <w:szCs w:val="24"/>
        </w:rPr>
        <w:t xml:space="preserve">1.02 times, which is more than 1, supporting acceptance of this project to improve </w:t>
      </w:r>
      <w:r w:rsidR="00762A54" w:rsidRPr="00CB74C8">
        <w:rPr>
          <w:rFonts w:ascii="Arial" w:hAnsi="Arial" w:cs="Arial"/>
          <w:szCs w:val="24"/>
        </w:rPr>
        <w:t xml:space="preserve">the </w:t>
      </w:r>
      <w:r w:rsidR="008B6EBC" w:rsidRPr="00CB74C8">
        <w:rPr>
          <w:rFonts w:ascii="Arial" w:hAnsi="Arial" w:cs="Arial"/>
          <w:szCs w:val="24"/>
        </w:rPr>
        <w:t xml:space="preserve">value of investment. </w:t>
      </w:r>
    </w:p>
    <w:p w14:paraId="5A7CDC5B" w14:textId="264DC772" w:rsidR="0012361E" w:rsidRPr="00CB74C8" w:rsidRDefault="0012361E" w:rsidP="00B469AF">
      <w:pPr>
        <w:pStyle w:val="Heading2"/>
        <w:rPr>
          <w:rFonts w:ascii="Arial" w:hAnsi="Arial" w:cs="Arial"/>
          <w:szCs w:val="24"/>
        </w:rPr>
      </w:pPr>
      <w:bookmarkStart w:id="24" w:name="_Toc237459261"/>
      <w:r w:rsidRPr="00CB74C8">
        <w:rPr>
          <w:rFonts w:ascii="Arial" w:hAnsi="Arial" w:cs="Arial"/>
          <w:szCs w:val="24"/>
        </w:rPr>
        <w:t>Accounting Rate of Return (ARR)</w:t>
      </w:r>
      <w:bookmarkEnd w:id="24"/>
    </w:p>
    <w:p w14:paraId="5AF7491E" w14:textId="18BF0E2C" w:rsidR="0012361E" w:rsidRPr="00CB74C8" w:rsidRDefault="00DA23B4" w:rsidP="00B469AF">
      <w:pPr>
        <w:rPr>
          <w:rFonts w:ascii="Arial" w:hAnsi="Arial" w:cs="Arial"/>
          <w:szCs w:val="24"/>
        </w:rPr>
      </w:pPr>
      <w:r w:rsidRPr="00CB74C8">
        <w:rPr>
          <w:rFonts w:ascii="Arial" w:hAnsi="Arial" w:cs="Arial"/>
          <w:szCs w:val="24"/>
        </w:rPr>
        <w:t xml:space="preserve">Accounting rate of return is an important capital budgeting technique to evaluate </w:t>
      </w:r>
      <w:r w:rsidR="00870983" w:rsidRPr="00CB74C8">
        <w:rPr>
          <w:rFonts w:ascii="Arial" w:hAnsi="Arial" w:cs="Arial"/>
          <w:szCs w:val="24"/>
        </w:rPr>
        <w:t xml:space="preserve">the </w:t>
      </w:r>
      <w:r w:rsidRPr="00CB74C8">
        <w:rPr>
          <w:rFonts w:ascii="Arial" w:hAnsi="Arial" w:cs="Arial"/>
          <w:szCs w:val="24"/>
        </w:rPr>
        <w:t>performance of an investment. ARR is easy to understand by investors because it considers accounting profit to evaluate an investment’s performance</w:t>
      </w:r>
      <w:r w:rsidR="00823867" w:rsidRPr="00CB74C8">
        <w:rPr>
          <w:rFonts w:ascii="Arial" w:hAnsi="Arial" w:cs="Arial"/>
          <w:szCs w:val="24"/>
        </w:rPr>
        <w:t xml:space="preserve"> (Magni, 2015, p.277)</w:t>
      </w:r>
      <w:r w:rsidRPr="00CB74C8">
        <w:rPr>
          <w:rFonts w:ascii="Arial" w:hAnsi="Arial" w:cs="Arial"/>
          <w:szCs w:val="24"/>
        </w:rPr>
        <w:t>. A project is accepted if it has a higher ARR than the required return.</w:t>
      </w:r>
    </w:p>
    <w:p w14:paraId="0FC8092E" w14:textId="42D195CF" w:rsidR="004461D5" w:rsidRPr="00CB74C8" w:rsidRDefault="004461D5" w:rsidP="00B469AF">
      <w:pPr>
        <w:rPr>
          <w:rFonts w:ascii="Arial" w:hAnsi="Arial" w:cs="Arial"/>
          <w:b/>
          <w:bCs w:val="0"/>
          <w:szCs w:val="24"/>
        </w:rPr>
      </w:pPr>
      <w:r w:rsidRPr="00CB74C8">
        <w:rPr>
          <w:rFonts w:ascii="Arial" w:hAnsi="Arial" w:cs="Arial"/>
          <w:b/>
          <w:bCs w:val="0"/>
          <w:szCs w:val="24"/>
        </w:rPr>
        <w:t>Benefits:</w:t>
      </w:r>
    </w:p>
    <w:p w14:paraId="4383CEA8" w14:textId="6B51E4E2" w:rsidR="00870983" w:rsidRPr="00CB74C8" w:rsidRDefault="00C74277" w:rsidP="00B469AF">
      <w:pPr>
        <w:pStyle w:val="ListParagraph"/>
        <w:numPr>
          <w:ilvl w:val="0"/>
          <w:numId w:val="6"/>
        </w:numPr>
        <w:rPr>
          <w:rFonts w:ascii="Arial" w:hAnsi="Arial" w:cs="Arial"/>
          <w:szCs w:val="24"/>
        </w:rPr>
      </w:pPr>
      <w:r w:rsidRPr="00CB74C8">
        <w:rPr>
          <w:rFonts w:ascii="Arial" w:hAnsi="Arial" w:cs="Arial"/>
          <w:szCs w:val="24"/>
        </w:rPr>
        <w:t xml:space="preserve">ARR </w:t>
      </w:r>
      <w:r w:rsidR="004C5067" w:rsidRPr="00CB74C8">
        <w:rPr>
          <w:rFonts w:ascii="Arial" w:hAnsi="Arial" w:cs="Arial"/>
          <w:szCs w:val="24"/>
        </w:rPr>
        <w:t>considers full costs to estimate overall profitability of an investment project.</w:t>
      </w:r>
    </w:p>
    <w:p w14:paraId="4376FA4F" w14:textId="4968D714" w:rsidR="004C5067" w:rsidRPr="00CB74C8" w:rsidRDefault="004C5067" w:rsidP="00B469AF">
      <w:pPr>
        <w:pStyle w:val="ListParagraph"/>
        <w:numPr>
          <w:ilvl w:val="0"/>
          <w:numId w:val="6"/>
        </w:numPr>
        <w:rPr>
          <w:rFonts w:ascii="Arial" w:hAnsi="Arial" w:cs="Arial"/>
          <w:szCs w:val="24"/>
        </w:rPr>
      </w:pPr>
      <w:r w:rsidRPr="00CB74C8">
        <w:rPr>
          <w:rFonts w:ascii="Arial" w:hAnsi="Arial" w:cs="Arial"/>
          <w:szCs w:val="24"/>
        </w:rPr>
        <w:t>ARR always accepts a profitable investment project to improve the overall value of the investment.</w:t>
      </w:r>
    </w:p>
    <w:p w14:paraId="6D8C3806" w14:textId="7C14F42B" w:rsidR="004C5067" w:rsidRPr="00CB74C8" w:rsidRDefault="004C5067" w:rsidP="00B469AF">
      <w:pPr>
        <w:pStyle w:val="ListParagraph"/>
        <w:numPr>
          <w:ilvl w:val="0"/>
          <w:numId w:val="6"/>
        </w:numPr>
        <w:rPr>
          <w:rFonts w:ascii="Arial" w:hAnsi="Arial" w:cs="Arial"/>
          <w:szCs w:val="24"/>
        </w:rPr>
      </w:pPr>
      <w:r w:rsidRPr="00CB74C8">
        <w:rPr>
          <w:rFonts w:ascii="Arial" w:hAnsi="Arial" w:cs="Arial"/>
          <w:szCs w:val="24"/>
        </w:rPr>
        <w:t xml:space="preserve">ARR can compare different-sized projects to </w:t>
      </w:r>
      <w:proofErr w:type="spellStart"/>
      <w:r w:rsidRPr="00CB74C8">
        <w:rPr>
          <w:rFonts w:ascii="Arial" w:hAnsi="Arial" w:cs="Arial"/>
          <w:szCs w:val="24"/>
        </w:rPr>
        <w:t>optimise</w:t>
      </w:r>
      <w:proofErr w:type="spellEnd"/>
      <w:r w:rsidRPr="00CB74C8">
        <w:rPr>
          <w:rFonts w:ascii="Arial" w:hAnsi="Arial" w:cs="Arial"/>
          <w:szCs w:val="24"/>
        </w:rPr>
        <w:t xml:space="preserve"> investment opportunity.</w:t>
      </w:r>
    </w:p>
    <w:p w14:paraId="579948F8" w14:textId="301F7496" w:rsidR="004461D5" w:rsidRPr="00CB74C8" w:rsidRDefault="004461D5" w:rsidP="00B469AF">
      <w:pPr>
        <w:rPr>
          <w:rFonts w:ascii="Arial" w:hAnsi="Arial" w:cs="Arial"/>
          <w:b/>
          <w:bCs w:val="0"/>
          <w:szCs w:val="24"/>
        </w:rPr>
      </w:pPr>
      <w:r w:rsidRPr="00CB74C8">
        <w:rPr>
          <w:rFonts w:ascii="Arial" w:hAnsi="Arial" w:cs="Arial"/>
          <w:b/>
          <w:bCs w:val="0"/>
          <w:szCs w:val="24"/>
        </w:rPr>
        <w:t>Limitations:</w:t>
      </w:r>
    </w:p>
    <w:p w14:paraId="42FF4394" w14:textId="0716808A" w:rsidR="004C5067" w:rsidRPr="00CB74C8" w:rsidRDefault="004C5067" w:rsidP="00B469AF">
      <w:pPr>
        <w:pStyle w:val="ListParagraph"/>
        <w:numPr>
          <w:ilvl w:val="0"/>
          <w:numId w:val="7"/>
        </w:numPr>
        <w:rPr>
          <w:rFonts w:ascii="Arial" w:hAnsi="Arial" w:cs="Arial"/>
          <w:szCs w:val="24"/>
        </w:rPr>
      </w:pPr>
      <w:r w:rsidRPr="00CB74C8">
        <w:rPr>
          <w:rFonts w:ascii="Arial" w:hAnsi="Arial" w:cs="Arial"/>
          <w:szCs w:val="24"/>
        </w:rPr>
        <w:t xml:space="preserve">ARR </w:t>
      </w:r>
      <w:r w:rsidR="00367B03" w:rsidRPr="00CB74C8">
        <w:rPr>
          <w:rFonts w:ascii="Arial" w:hAnsi="Arial" w:cs="Arial"/>
          <w:szCs w:val="24"/>
        </w:rPr>
        <w:t xml:space="preserve">has no </w:t>
      </w:r>
      <w:r w:rsidR="00527F1F" w:rsidRPr="00CB74C8">
        <w:rPr>
          <w:rFonts w:ascii="Arial" w:hAnsi="Arial" w:cs="Arial"/>
          <w:szCs w:val="24"/>
        </w:rPr>
        <w:t>consideration</w:t>
      </w:r>
      <w:r w:rsidR="00367B03" w:rsidRPr="00CB74C8">
        <w:rPr>
          <w:rFonts w:ascii="Arial" w:hAnsi="Arial" w:cs="Arial"/>
          <w:szCs w:val="24"/>
        </w:rPr>
        <w:t xml:space="preserve"> of the time value of money, which is highly essential in a long-term investment project</w:t>
      </w:r>
      <w:r w:rsidR="00F15E46" w:rsidRPr="00CB74C8">
        <w:rPr>
          <w:rFonts w:ascii="Arial" w:hAnsi="Arial" w:cs="Arial"/>
          <w:szCs w:val="24"/>
        </w:rPr>
        <w:t>.</w:t>
      </w:r>
    </w:p>
    <w:p w14:paraId="14D93220" w14:textId="6697B156" w:rsidR="00527F1F" w:rsidRPr="00CB74C8" w:rsidRDefault="00274B02" w:rsidP="00B469AF">
      <w:pPr>
        <w:pStyle w:val="ListParagraph"/>
        <w:numPr>
          <w:ilvl w:val="0"/>
          <w:numId w:val="7"/>
        </w:numPr>
        <w:rPr>
          <w:rFonts w:ascii="Arial" w:hAnsi="Arial" w:cs="Arial"/>
          <w:szCs w:val="24"/>
        </w:rPr>
      </w:pPr>
      <w:r w:rsidRPr="00CB74C8">
        <w:rPr>
          <w:rFonts w:ascii="Arial" w:hAnsi="Arial" w:cs="Arial"/>
          <w:szCs w:val="24"/>
        </w:rPr>
        <w:t xml:space="preserve">ARR has </w:t>
      </w:r>
      <w:r w:rsidR="00291A4F" w:rsidRPr="00CB74C8">
        <w:rPr>
          <w:rFonts w:ascii="Arial" w:hAnsi="Arial" w:cs="Arial"/>
          <w:szCs w:val="24"/>
        </w:rPr>
        <w:t xml:space="preserve">the scope of accounting </w:t>
      </w:r>
      <w:r w:rsidR="001958D0" w:rsidRPr="00CB74C8">
        <w:rPr>
          <w:rFonts w:ascii="Arial" w:hAnsi="Arial" w:cs="Arial"/>
          <w:szCs w:val="24"/>
        </w:rPr>
        <w:t>manipulation through accounting conventions and estimates.</w:t>
      </w:r>
    </w:p>
    <w:p w14:paraId="6138828A" w14:textId="4C44A47D" w:rsidR="001958D0" w:rsidRPr="00CB74C8" w:rsidRDefault="001958D0" w:rsidP="00B469AF">
      <w:pPr>
        <w:pStyle w:val="ListParagraph"/>
        <w:numPr>
          <w:ilvl w:val="0"/>
          <w:numId w:val="7"/>
        </w:numPr>
        <w:rPr>
          <w:rFonts w:ascii="Arial" w:hAnsi="Arial" w:cs="Arial"/>
          <w:szCs w:val="24"/>
        </w:rPr>
      </w:pPr>
      <w:r w:rsidRPr="00CB74C8">
        <w:rPr>
          <w:rFonts w:ascii="Arial" w:hAnsi="Arial" w:cs="Arial"/>
          <w:szCs w:val="24"/>
        </w:rPr>
        <w:t xml:space="preserve">ARR </w:t>
      </w:r>
      <w:r w:rsidR="002F76AE" w:rsidRPr="00CB74C8">
        <w:rPr>
          <w:rFonts w:ascii="Arial" w:hAnsi="Arial" w:cs="Arial"/>
          <w:szCs w:val="24"/>
        </w:rPr>
        <w:t xml:space="preserve">has no focus on relevant cash flows to evaluate </w:t>
      </w:r>
      <w:r w:rsidR="00BB0191" w:rsidRPr="00CB74C8">
        <w:rPr>
          <w:rFonts w:ascii="Arial" w:hAnsi="Arial" w:cs="Arial"/>
          <w:szCs w:val="24"/>
        </w:rPr>
        <w:t xml:space="preserve">the </w:t>
      </w:r>
      <w:r w:rsidR="002F76AE" w:rsidRPr="00CB74C8">
        <w:rPr>
          <w:rFonts w:ascii="Arial" w:hAnsi="Arial" w:cs="Arial"/>
          <w:szCs w:val="24"/>
        </w:rPr>
        <w:t>realistic value of an investment project.</w:t>
      </w:r>
    </w:p>
    <w:p w14:paraId="44CA5C82" w14:textId="54C79C7C" w:rsidR="002F76AE" w:rsidRPr="00CB74C8" w:rsidRDefault="00762A54" w:rsidP="00B469AF">
      <w:pPr>
        <w:rPr>
          <w:rFonts w:ascii="Arial" w:hAnsi="Arial" w:cs="Arial"/>
          <w:szCs w:val="24"/>
        </w:rPr>
      </w:pPr>
      <w:r w:rsidRPr="00CB74C8">
        <w:rPr>
          <w:rFonts w:ascii="Arial" w:hAnsi="Arial" w:cs="Arial"/>
          <w:szCs w:val="24"/>
        </w:rPr>
        <w:t xml:space="preserve">Project A has an ARR of 3.20%, which is lower than </w:t>
      </w:r>
      <w:r w:rsidR="006F7EB1" w:rsidRPr="00CB74C8">
        <w:rPr>
          <w:rFonts w:ascii="Arial" w:hAnsi="Arial" w:cs="Arial"/>
          <w:szCs w:val="24"/>
        </w:rPr>
        <w:t xml:space="preserve">the required return of 8%, so this project cannot be accepted. Project B has an ARR of </w:t>
      </w:r>
      <w:r w:rsidR="009C4F79" w:rsidRPr="00CB74C8">
        <w:rPr>
          <w:rFonts w:ascii="Arial" w:hAnsi="Arial" w:cs="Arial"/>
          <w:szCs w:val="24"/>
        </w:rPr>
        <w:t xml:space="preserve">4.00%, which is lower than the </w:t>
      </w:r>
      <w:r w:rsidR="009C4F79" w:rsidRPr="00CB74C8">
        <w:rPr>
          <w:rFonts w:ascii="Arial" w:hAnsi="Arial" w:cs="Arial"/>
          <w:szCs w:val="24"/>
        </w:rPr>
        <w:lastRenderedPageBreak/>
        <w:t xml:space="preserve">required rate of return of 8%, indicating rejection of this project due to a loss-making investment opportunity. Project C has an ARR of 12.00%, which is more than 8%, </w:t>
      </w:r>
      <w:r w:rsidR="00C448FB" w:rsidRPr="00CB74C8">
        <w:rPr>
          <w:rFonts w:ascii="Arial" w:hAnsi="Arial" w:cs="Arial"/>
          <w:szCs w:val="24"/>
        </w:rPr>
        <w:t xml:space="preserve">indicating </w:t>
      </w:r>
      <w:r w:rsidR="001B73E1" w:rsidRPr="00CB74C8">
        <w:rPr>
          <w:rFonts w:ascii="Arial" w:hAnsi="Arial" w:cs="Arial"/>
          <w:szCs w:val="24"/>
        </w:rPr>
        <w:t xml:space="preserve">this project can be accepted to improve </w:t>
      </w:r>
      <w:r w:rsidR="0024579D" w:rsidRPr="00CB74C8">
        <w:rPr>
          <w:rFonts w:ascii="Arial" w:hAnsi="Arial" w:cs="Arial"/>
          <w:szCs w:val="24"/>
        </w:rPr>
        <w:t xml:space="preserve">the investment </w:t>
      </w:r>
      <w:r w:rsidR="001B73E1" w:rsidRPr="00CB74C8">
        <w:rPr>
          <w:rFonts w:ascii="Arial" w:hAnsi="Arial" w:cs="Arial"/>
          <w:szCs w:val="24"/>
        </w:rPr>
        <w:t>value.</w:t>
      </w:r>
    </w:p>
    <w:p w14:paraId="0D44042D" w14:textId="6C348F15" w:rsidR="003C725F" w:rsidRPr="00CB74C8" w:rsidRDefault="003C725F" w:rsidP="00B469AF">
      <w:pPr>
        <w:pStyle w:val="Heading2"/>
        <w:rPr>
          <w:rFonts w:ascii="Arial" w:hAnsi="Arial" w:cs="Arial"/>
          <w:szCs w:val="24"/>
        </w:rPr>
      </w:pPr>
      <w:bookmarkStart w:id="25" w:name="_Toc237459262"/>
      <w:r w:rsidRPr="00CB74C8">
        <w:rPr>
          <w:rFonts w:ascii="Arial" w:hAnsi="Arial" w:cs="Arial"/>
          <w:szCs w:val="24"/>
        </w:rPr>
        <w:t>Recommendation</w:t>
      </w:r>
      <w:bookmarkEnd w:id="25"/>
    </w:p>
    <w:p w14:paraId="009FA615" w14:textId="4F09FB98" w:rsidR="003E60AB" w:rsidRPr="00CB74C8" w:rsidRDefault="003E60AB" w:rsidP="00B469AF">
      <w:pPr>
        <w:rPr>
          <w:rFonts w:ascii="Arial" w:hAnsi="Arial" w:cs="Arial"/>
          <w:szCs w:val="24"/>
        </w:rPr>
      </w:pPr>
      <w:r w:rsidRPr="00CB74C8">
        <w:rPr>
          <w:rFonts w:ascii="Arial" w:hAnsi="Arial" w:cs="Arial"/>
          <w:szCs w:val="24"/>
        </w:rPr>
        <w:t xml:space="preserve">Based on financial analysis, it is highly recommended that Project C should be accepted for investment while Project A and B should be rejected. The investment in Project C should </w:t>
      </w:r>
      <w:r w:rsidR="00633316" w:rsidRPr="00CB74C8">
        <w:rPr>
          <w:rFonts w:ascii="Arial" w:hAnsi="Arial" w:cs="Arial"/>
          <w:szCs w:val="24"/>
        </w:rPr>
        <w:t>also focus on non-financial factors</w:t>
      </w:r>
      <w:r w:rsidRPr="00CB74C8">
        <w:rPr>
          <w:rFonts w:ascii="Arial" w:hAnsi="Arial" w:cs="Arial"/>
          <w:szCs w:val="24"/>
        </w:rPr>
        <w:t xml:space="preserve"> to improve </w:t>
      </w:r>
      <w:r w:rsidR="00633316" w:rsidRPr="00CB74C8">
        <w:rPr>
          <w:rFonts w:ascii="Arial" w:hAnsi="Arial" w:cs="Arial"/>
          <w:szCs w:val="24"/>
        </w:rPr>
        <w:t xml:space="preserve">the </w:t>
      </w:r>
      <w:r w:rsidRPr="00CB74C8">
        <w:rPr>
          <w:rFonts w:ascii="Arial" w:hAnsi="Arial" w:cs="Arial"/>
          <w:szCs w:val="24"/>
        </w:rPr>
        <w:t xml:space="preserve">sustainability performance of this project. regular supply of all required inputs should be </w:t>
      </w:r>
      <w:r w:rsidR="00633316" w:rsidRPr="00CB74C8">
        <w:rPr>
          <w:rFonts w:ascii="Arial" w:hAnsi="Arial" w:cs="Arial"/>
          <w:szCs w:val="24"/>
        </w:rPr>
        <w:t>ensured</w:t>
      </w:r>
      <w:r w:rsidRPr="00CB74C8">
        <w:rPr>
          <w:rFonts w:ascii="Arial" w:hAnsi="Arial" w:cs="Arial"/>
          <w:szCs w:val="24"/>
        </w:rPr>
        <w:t xml:space="preserve"> over the economic life of the project. There should be no restriction of applicable laws on </w:t>
      </w:r>
      <w:r w:rsidR="00633316" w:rsidRPr="00CB74C8">
        <w:rPr>
          <w:rFonts w:ascii="Arial" w:hAnsi="Arial" w:cs="Arial"/>
          <w:szCs w:val="24"/>
        </w:rPr>
        <w:t xml:space="preserve">the </w:t>
      </w:r>
      <w:r w:rsidRPr="00CB74C8">
        <w:rPr>
          <w:rFonts w:ascii="Arial" w:hAnsi="Arial" w:cs="Arial"/>
          <w:szCs w:val="24"/>
        </w:rPr>
        <w:t xml:space="preserve">working of this project. The company should maintain competitiveness to explore its growth opportunity with this project. The project should increase </w:t>
      </w:r>
      <w:r w:rsidR="00633316" w:rsidRPr="00CB74C8">
        <w:rPr>
          <w:rFonts w:ascii="Arial" w:hAnsi="Arial" w:cs="Arial"/>
          <w:szCs w:val="24"/>
        </w:rPr>
        <w:t xml:space="preserve">the </w:t>
      </w:r>
      <w:r w:rsidRPr="00CB74C8">
        <w:rPr>
          <w:rFonts w:ascii="Arial" w:hAnsi="Arial" w:cs="Arial"/>
          <w:szCs w:val="24"/>
        </w:rPr>
        <w:t xml:space="preserve">quality and satisfaction of customers to support </w:t>
      </w:r>
      <w:r w:rsidR="00633316" w:rsidRPr="00CB74C8">
        <w:rPr>
          <w:rFonts w:ascii="Arial" w:hAnsi="Arial" w:cs="Arial"/>
          <w:szCs w:val="24"/>
        </w:rPr>
        <w:t>customer loyalty</w:t>
      </w:r>
      <w:r w:rsidRPr="00CB74C8">
        <w:rPr>
          <w:rFonts w:ascii="Arial" w:hAnsi="Arial" w:cs="Arial"/>
          <w:szCs w:val="24"/>
        </w:rPr>
        <w:t xml:space="preserve"> for the business. </w:t>
      </w:r>
      <w:r w:rsidR="00633316" w:rsidRPr="00CB74C8">
        <w:rPr>
          <w:rFonts w:ascii="Arial" w:hAnsi="Arial" w:cs="Arial"/>
          <w:szCs w:val="24"/>
        </w:rPr>
        <w:t>The project should not face political risk to explore business</w:t>
      </w:r>
      <w:r w:rsidR="000563AB" w:rsidRPr="00CB74C8">
        <w:rPr>
          <w:rFonts w:ascii="Arial" w:hAnsi="Arial" w:cs="Arial"/>
          <w:szCs w:val="24"/>
        </w:rPr>
        <w:t xml:space="preserve"> grow</w:t>
      </w:r>
      <w:r w:rsidR="001644D4" w:rsidRPr="00CB74C8">
        <w:rPr>
          <w:rFonts w:ascii="Arial" w:hAnsi="Arial" w:cs="Arial"/>
          <w:szCs w:val="24"/>
        </w:rPr>
        <w:t xml:space="preserve">th. </w:t>
      </w:r>
    </w:p>
    <w:p w14:paraId="7D3A6AAE" w14:textId="42A6C753" w:rsidR="00266CF5" w:rsidRPr="00CB74C8" w:rsidRDefault="00E10920" w:rsidP="00B469AF">
      <w:pPr>
        <w:pStyle w:val="Heading2"/>
        <w:rPr>
          <w:rFonts w:ascii="Arial" w:hAnsi="Arial" w:cs="Arial"/>
          <w:szCs w:val="24"/>
        </w:rPr>
      </w:pPr>
      <w:bookmarkStart w:id="26" w:name="_Toc237459263"/>
      <w:r w:rsidRPr="00CB74C8">
        <w:rPr>
          <w:rFonts w:ascii="Arial" w:hAnsi="Arial" w:cs="Arial"/>
          <w:szCs w:val="24"/>
        </w:rPr>
        <w:t>Capital Rationing</w:t>
      </w:r>
      <w:bookmarkEnd w:id="26"/>
    </w:p>
    <w:p w14:paraId="21D3B46F" w14:textId="79B7AAC4" w:rsidR="00E10920" w:rsidRPr="00CB74C8" w:rsidRDefault="003D1DAD" w:rsidP="00B469AF">
      <w:pPr>
        <w:rPr>
          <w:rFonts w:ascii="Arial" w:hAnsi="Arial" w:cs="Arial"/>
          <w:szCs w:val="24"/>
          <w:lang w:val="en-IN"/>
        </w:rPr>
      </w:pPr>
      <w:r w:rsidRPr="00CB74C8">
        <w:rPr>
          <w:rFonts w:ascii="Arial" w:hAnsi="Arial" w:cs="Arial"/>
          <w:szCs w:val="24"/>
          <w:lang w:val="en-IN"/>
        </w:rPr>
        <w:t>Capital rationing is an important process to allocate resources efficiently to optimise investment performance. It facilitates efficient allocation of initial investment to select the best projects to optimise profitability performance</w:t>
      </w:r>
      <w:r w:rsidR="00C34C58" w:rsidRPr="00CB74C8">
        <w:rPr>
          <w:rFonts w:ascii="Arial" w:hAnsi="Arial" w:cs="Arial"/>
          <w:szCs w:val="24"/>
          <w:lang w:val="en-IN"/>
        </w:rPr>
        <w:t xml:space="preserve"> (Hoang, </w:t>
      </w:r>
      <w:proofErr w:type="spellStart"/>
      <w:r w:rsidR="00C34C58" w:rsidRPr="00CB74C8">
        <w:rPr>
          <w:rFonts w:ascii="Arial" w:hAnsi="Arial" w:cs="Arial"/>
          <w:szCs w:val="24"/>
          <w:lang w:val="en-IN"/>
        </w:rPr>
        <w:t>Gatzer</w:t>
      </w:r>
      <w:proofErr w:type="spellEnd"/>
      <w:r w:rsidR="00C34C58" w:rsidRPr="00CB74C8">
        <w:rPr>
          <w:rFonts w:ascii="Arial" w:hAnsi="Arial" w:cs="Arial"/>
          <w:szCs w:val="24"/>
          <w:lang w:val="en-IN"/>
        </w:rPr>
        <w:t xml:space="preserve"> and </w:t>
      </w:r>
      <w:proofErr w:type="spellStart"/>
      <w:r w:rsidR="00C34C58" w:rsidRPr="00CB74C8">
        <w:rPr>
          <w:rFonts w:ascii="Arial" w:hAnsi="Arial" w:cs="Arial"/>
          <w:szCs w:val="24"/>
          <w:lang w:val="en-IN"/>
        </w:rPr>
        <w:t>Ruckes</w:t>
      </w:r>
      <w:proofErr w:type="spellEnd"/>
      <w:r w:rsidR="00C34C58" w:rsidRPr="00CB74C8">
        <w:rPr>
          <w:rFonts w:ascii="Arial" w:hAnsi="Arial" w:cs="Arial"/>
          <w:szCs w:val="24"/>
          <w:lang w:val="en-IN"/>
        </w:rPr>
        <w:t>, 2024, p.6403)</w:t>
      </w:r>
      <w:r w:rsidRPr="00CB74C8">
        <w:rPr>
          <w:rFonts w:ascii="Arial" w:hAnsi="Arial" w:cs="Arial"/>
          <w:szCs w:val="24"/>
          <w:lang w:val="en-IN"/>
        </w:rPr>
        <w:t>. However, in the given scenario, Project A and Project B are loss-making projects, so they cannot be taken for investment. Project C is the only profitable project. Therefore, the investment of £100 million can only be used partially to invest in Project C. It needs an investment of £50 million, and the remaining £50 million cannot be invested in any other projects.</w:t>
      </w:r>
    </w:p>
    <w:p w14:paraId="63ACAD4E" w14:textId="77777777" w:rsidR="001B0A6B" w:rsidRPr="00CB74C8" w:rsidRDefault="001B0A6B" w:rsidP="00B469AF">
      <w:pPr>
        <w:pStyle w:val="Heading1"/>
        <w:rPr>
          <w:rFonts w:ascii="Arial" w:hAnsi="Arial" w:cs="Arial"/>
          <w:szCs w:val="24"/>
        </w:rPr>
      </w:pPr>
      <w:bookmarkStart w:id="27" w:name="_Toc237459264"/>
      <w:r w:rsidRPr="00CB74C8">
        <w:rPr>
          <w:rFonts w:ascii="Arial" w:hAnsi="Arial" w:cs="Arial"/>
          <w:szCs w:val="24"/>
        </w:rPr>
        <w:t>Critical Reflection on AI Usage</w:t>
      </w:r>
      <w:bookmarkEnd w:id="27"/>
    </w:p>
    <w:p w14:paraId="72817B60" w14:textId="77777777" w:rsidR="001B0A6B" w:rsidRPr="00CB74C8" w:rsidRDefault="001B0A6B" w:rsidP="00B469AF">
      <w:pPr>
        <w:rPr>
          <w:rFonts w:ascii="Arial" w:hAnsi="Arial" w:cs="Arial"/>
          <w:szCs w:val="24"/>
        </w:rPr>
      </w:pPr>
      <w:r w:rsidRPr="00CB74C8">
        <w:rPr>
          <w:rFonts w:ascii="Arial" w:hAnsi="Arial" w:cs="Arial"/>
          <w:b/>
          <w:bCs w:val="0"/>
          <w:szCs w:val="24"/>
        </w:rPr>
        <w:t>Tool Disclosure</w:t>
      </w:r>
      <w:r w:rsidRPr="00CB74C8">
        <w:rPr>
          <w:rFonts w:ascii="Arial" w:hAnsi="Arial" w:cs="Arial"/>
          <w:szCs w:val="24"/>
        </w:rPr>
        <w:t xml:space="preserve">: I used ChatGPT for developing this report. I used ChatGPT mainly for understanding the important terms of the report to enhance my knowledge of how </w:t>
      </w:r>
      <w:r w:rsidRPr="00CB74C8">
        <w:rPr>
          <w:rFonts w:ascii="Arial" w:hAnsi="Arial" w:cs="Arial"/>
          <w:szCs w:val="24"/>
        </w:rPr>
        <w:lastRenderedPageBreak/>
        <w:t>to address the core issues in the report. ChatGPT helped me a lot to understand important terms like ESG, divestiture, etc. The development of the report was easy with the assistance of ChatGPT because it facilitated understanding important terms and aspects to develop a precise report and increase knowledge of users of the developed report. It saved my efforts, energy, and time to develop this report because of easy to find the meaning of important and relevant terms of finance in developing this report.</w:t>
      </w:r>
    </w:p>
    <w:p w14:paraId="6C66FD3F" w14:textId="493C9AA0" w:rsidR="001B0A6B" w:rsidRPr="00CB74C8" w:rsidRDefault="001B0A6B" w:rsidP="00B469AF">
      <w:pPr>
        <w:rPr>
          <w:rFonts w:ascii="Arial" w:hAnsi="Arial" w:cs="Arial"/>
          <w:szCs w:val="24"/>
        </w:rPr>
      </w:pPr>
      <w:r w:rsidRPr="00CB74C8">
        <w:rPr>
          <w:rFonts w:ascii="Arial" w:hAnsi="Arial" w:cs="Arial"/>
          <w:b/>
          <w:bCs w:val="0"/>
          <w:szCs w:val="24"/>
        </w:rPr>
        <w:t>Critical Evaluation of AI Output</w:t>
      </w:r>
      <w:r w:rsidRPr="00CB74C8">
        <w:rPr>
          <w:rFonts w:ascii="Arial" w:hAnsi="Arial" w:cs="Arial"/>
          <w:szCs w:val="24"/>
        </w:rPr>
        <w:t xml:space="preserve">: I used Google to verify the responses of ChatGPT because I was not sure to get an accurate result. However, the comparison between the output of Google and ChatGPT was not much different. The main difference between the two was the different sources. ChatGPT has no option of exploring different aspects of a single term, while Google provide different aspects of a single term. ChatGPT sometimes failed to understand the context of using a particular term, which could dilute the quality of the report. </w:t>
      </w:r>
      <w:r w:rsidR="00FC1E71" w:rsidRPr="00CB74C8">
        <w:rPr>
          <w:rFonts w:ascii="Arial" w:hAnsi="Arial" w:cs="Arial"/>
          <w:szCs w:val="24"/>
        </w:rPr>
        <w:t>Different sources on Google Exploration helped me to correct logical errors in the findings of ChatGPT.</w:t>
      </w:r>
    </w:p>
    <w:p w14:paraId="2B9264EB" w14:textId="4CA186B1" w:rsidR="002C6161" w:rsidRPr="00CB74C8" w:rsidRDefault="001B0A6B" w:rsidP="00B469AF">
      <w:pPr>
        <w:rPr>
          <w:rFonts w:ascii="Arial" w:hAnsi="Arial" w:cs="Arial"/>
          <w:szCs w:val="24"/>
        </w:rPr>
      </w:pPr>
      <w:r w:rsidRPr="00CB74C8">
        <w:rPr>
          <w:rFonts w:ascii="Arial" w:hAnsi="Arial" w:cs="Arial"/>
          <w:b/>
          <w:bCs w:val="0"/>
          <w:szCs w:val="24"/>
        </w:rPr>
        <w:t>Contribution Analysis</w:t>
      </w:r>
      <w:r w:rsidRPr="00CB74C8">
        <w:rPr>
          <w:rFonts w:ascii="Arial" w:hAnsi="Arial" w:cs="Arial"/>
          <w:szCs w:val="24"/>
        </w:rPr>
        <w:t xml:space="preserve">: </w:t>
      </w:r>
      <w:r w:rsidR="00FC1E71" w:rsidRPr="00CB74C8">
        <w:rPr>
          <w:rFonts w:ascii="Arial" w:hAnsi="Arial" w:cs="Arial"/>
          <w:szCs w:val="24"/>
        </w:rPr>
        <w:t xml:space="preserve">My developed content and AI-developed content have a significant difference in addressing the core issues of the report. However, in reference to some issues, I and AI agreed on the same aspect. For example, the mutually exclusive projects should </w:t>
      </w:r>
      <w:r w:rsidR="002C6161" w:rsidRPr="00CB74C8">
        <w:rPr>
          <w:rFonts w:ascii="Arial" w:hAnsi="Arial" w:cs="Arial"/>
          <w:szCs w:val="24"/>
        </w:rPr>
        <w:t>be evaluated</w:t>
      </w:r>
      <w:r w:rsidR="00FC1E71" w:rsidRPr="00CB74C8">
        <w:rPr>
          <w:rFonts w:ascii="Arial" w:hAnsi="Arial" w:cs="Arial"/>
          <w:szCs w:val="24"/>
        </w:rPr>
        <w:t xml:space="preserve"> by applying the net present value. The ranking of the project should be based on the profitability index. </w:t>
      </w:r>
      <w:r w:rsidR="002C6161" w:rsidRPr="00CB74C8">
        <w:rPr>
          <w:rFonts w:ascii="Arial" w:hAnsi="Arial" w:cs="Arial"/>
          <w:szCs w:val="24"/>
        </w:rPr>
        <w:t xml:space="preserve">AI provided me with several options for developing strategic decisions to manage business. However, I applied only a few of them because I did not find all options feasible for Marriot based on its working conditions. </w:t>
      </w:r>
    </w:p>
    <w:p w14:paraId="7B767B88" w14:textId="60FA7F64" w:rsidR="000C4159" w:rsidRPr="00CB74C8" w:rsidRDefault="001B0A6B" w:rsidP="00B469AF">
      <w:pPr>
        <w:rPr>
          <w:rFonts w:ascii="Arial" w:hAnsi="Arial" w:cs="Arial"/>
          <w:szCs w:val="24"/>
        </w:rPr>
      </w:pPr>
      <w:r w:rsidRPr="00CB74C8">
        <w:rPr>
          <w:rFonts w:ascii="Arial" w:hAnsi="Arial" w:cs="Arial"/>
          <w:b/>
          <w:bCs w:val="0"/>
          <w:szCs w:val="24"/>
        </w:rPr>
        <w:t>Ethical &amp; Professional Reflection</w:t>
      </w:r>
      <w:r w:rsidRPr="00CB74C8">
        <w:rPr>
          <w:rFonts w:ascii="Arial" w:hAnsi="Arial" w:cs="Arial"/>
          <w:szCs w:val="24"/>
        </w:rPr>
        <w:t>:</w:t>
      </w:r>
      <w:r w:rsidR="002C6161" w:rsidRPr="00CB74C8">
        <w:rPr>
          <w:rFonts w:ascii="Arial" w:hAnsi="Arial" w:cs="Arial"/>
          <w:szCs w:val="24"/>
        </w:rPr>
        <w:t xml:space="preserve"> I think AI could be used for developing executive-level decisions because it enhances knowledge of different financial aspects by saving </w:t>
      </w:r>
      <w:r w:rsidR="002C6161" w:rsidRPr="00CB74C8">
        <w:rPr>
          <w:rFonts w:ascii="Arial" w:hAnsi="Arial" w:cs="Arial"/>
          <w:szCs w:val="24"/>
        </w:rPr>
        <w:lastRenderedPageBreak/>
        <w:t xml:space="preserve">time and effort. However, the use of AI to develop </w:t>
      </w:r>
      <w:r w:rsidR="00AF2AD6" w:rsidRPr="00CB74C8">
        <w:rPr>
          <w:rFonts w:ascii="Arial" w:hAnsi="Arial" w:cs="Arial"/>
          <w:szCs w:val="24"/>
        </w:rPr>
        <w:t xml:space="preserve">an </w:t>
      </w:r>
      <w:r w:rsidR="002C6161" w:rsidRPr="00CB74C8">
        <w:rPr>
          <w:rFonts w:ascii="Arial" w:hAnsi="Arial" w:cs="Arial"/>
          <w:szCs w:val="24"/>
        </w:rPr>
        <w:t xml:space="preserve">entire strategy </w:t>
      </w:r>
      <w:r w:rsidR="00AF2AD6" w:rsidRPr="00CB74C8">
        <w:rPr>
          <w:rFonts w:ascii="Arial" w:hAnsi="Arial" w:cs="Arial"/>
          <w:szCs w:val="24"/>
        </w:rPr>
        <w:t xml:space="preserve">is not ethical because as </w:t>
      </w:r>
      <w:r w:rsidR="009E77F1" w:rsidRPr="00CB74C8">
        <w:rPr>
          <w:rFonts w:ascii="Arial" w:hAnsi="Arial" w:cs="Arial"/>
          <w:szCs w:val="24"/>
        </w:rPr>
        <w:t>a</w:t>
      </w:r>
      <w:r w:rsidR="00AF2AD6" w:rsidRPr="00CB74C8">
        <w:rPr>
          <w:rFonts w:ascii="Arial" w:hAnsi="Arial" w:cs="Arial"/>
          <w:szCs w:val="24"/>
        </w:rPr>
        <w:t xml:space="preserve"> professional, there is a need to address all issues, which could not be u</w:t>
      </w:r>
      <w:r w:rsidR="009E77F1" w:rsidRPr="00CB74C8">
        <w:rPr>
          <w:rFonts w:ascii="Arial" w:hAnsi="Arial" w:cs="Arial"/>
          <w:szCs w:val="24"/>
        </w:rPr>
        <w:t xml:space="preserve">nderstood by AI. AI should be used as a tool for </w:t>
      </w:r>
      <w:r w:rsidR="006F550A" w:rsidRPr="00CB74C8">
        <w:rPr>
          <w:rFonts w:ascii="Arial" w:hAnsi="Arial" w:cs="Arial"/>
          <w:szCs w:val="24"/>
        </w:rPr>
        <w:t>decision-making</w:t>
      </w:r>
      <w:r w:rsidR="009E77F1" w:rsidRPr="00CB74C8">
        <w:rPr>
          <w:rFonts w:ascii="Arial" w:hAnsi="Arial" w:cs="Arial"/>
          <w:szCs w:val="24"/>
        </w:rPr>
        <w:t xml:space="preserve"> and not to replace </w:t>
      </w:r>
      <w:r w:rsidR="006F550A" w:rsidRPr="00CB74C8">
        <w:rPr>
          <w:rFonts w:ascii="Arial" w:hAnsi="Arial" w:cs="Arial"/>
          <w:szCs w:val="24"/>
        </w:rPr>
        <w:t xml:space="preserve">the </w:t>
      </w:r>
      <w:r w:rsidR="009E77F1" w:rsidRPr="00CB74C8">
        <w:rPr>
          <w:rFonts w:ascii="Arial" w:hAnsi="Arial" w:cs="Arial"/>
          <w:szCs w:val="24"/>
        </w:rPr>
        <w:t xml:space="preserve">decision-making process of a professional. Ethical conditions are highly important while applying </w:t>
      </w:r>
      <w:r w:rsidR="006F550A" w:rsidRPr="00CB74C8">
        <w:rPr>
          <w:rFonts w:ascii="Arial" w:hAnsi="Arial" w:cs="Arial"/>
          <w:szCs w:val="24"/>
        </w:rPr>
        <w:t>suggestions</w:t>
      </w:r>
      <w:r w:rsidR="009E77F1" w:rsidRPr="00CB74C8">
        <w:rPr>
          <w:rFonts w:ascii="Arial" w:hAnsi="Arial" w:cs="Arial"/>
          <w:szCs w:val="24"/>
        </w:rPr>
        <w:t xml:space="preserve"> of AI because AI cannot understand human </w:t>
      </w:r>
      <w:proofErr w:type="spellStart"/>
      <w:r w:rsidR="009E77F1" w:rsidRPr="00CB74C8">
        <w:rPr>
          <w:rFonts w:ascii="Arial" w:hAnsi="Arial" w:cs="Arial"/>
          <w:szCs w:val="24"/>
        </w:rPr>
        <w:t>behaviour</w:t>
      </w:r>
      <w:proofErr w:type="spellEnd"/>
      <w:r w:rsidR="009E77F1" w:rsidRPr="00CB74C8">
        <w:rPr>
          <w:rFonts w:ascii="Arial" w:hAnsi="Arial" w:cs="Arial"/>
          <w:szCs w:val="24"/>
        </w:rPr>
        <w:t xml:space="preserve"> and </w:t>
      </w:r>
      <w:r w:rsidR="006F550A" w:rsidRPr="00CB74C8">
        <w:rPr>
          <w:rFonts w:ascii="Arial" w:hAnsi="Arial" w:cs="Arial"/>
          <w:szCs w:val="24"/>
        </w:rPr>
        <w:t>the impact</w:t>
      </w:r>
      <w:r w:rsidR="009E77F1" w:rsidRPr="00CB74C8">
        <w:rPr>
          <w:rFonts w:ascii="Arial" w:hAnsi="Arial" w:cs="Arial"/>
          <w:szCs w:val="24"/>
        </w:rPr>
        <w:t xml:space="preserve"> of business decisions on society. The impact of strategic </w:t>
      </w:r>
      <w:r w:rsidR="006F550A" w:rsidRPr="00CB74C8">
        <w:rPr>
          <w:rFonts w:ascii="Arial" w:hAnsi="Arial" w:cs="Arial"/>
          <w:szCs w:val="24"/>
        </w:rPr>
        <w:t>decisions</w:t>
      </w:r>
      <w:r w:rsidR="009E77F1" w:rsidRPr="00CB74C8">
        <w:rPr>
          <w:rFonts w:ascii="Arial" w:hAnsi="Arial" w:cs="Arial"/>
          <w:szCs w:val="24"/>
        </w:rPr>
        <w:t xml:space="preserve"> can be understood by a professional and not by AI. As </w:t>
      </w:r>
      <w:r w:rsidR="006F550A" w:rsidRPr="00CB74C8">
        <w:rPr>
          <w:rFonts w:ascii="Arial" w:hAnsi="Arial" w:cs="Arial"/>
          <w:szCs w:val="24"/>
        </w:rPr>
        <w:t>a</w:t>
      </w:r>
      <w:r w:rsidR="009E77F1" w:rsidRPr="00CB74C8">
        <w:rPr>
          <w:rFonts w:ascii="Arial" w:hAnsi="Arial" w:cs="Arial"/>
          <w:szCs w:val="24"/>
        </w:rPr>
        <w:t xml:space="preserve"> professional, there is a high need to focus </w:t>
      </w:r>
      <w:r w:rsidRPr="00CB74C8">
        <w:rPr>
          <w:rFonts w:ascii="Arial" w:hAnsi="Arial" w:cs="Arial"/>
          <w:szCs w:val="24"/>
        </w:rPr>
        <w:t>on transparency</w:t>
      </w:r>
      <w:r w:rsidR="00DE47C4" w:rsidRPr="00CB74C8">
        <w:rPr>
          <w:rFonts w:ascii="Arial" w:hAnsi="Arial" w:cs="Arial"/>
          <w:szCs w:val="24"/>
        </w:rPr>
        <w:t xml:space="preserve"> and </w:t>
      </w:r>
      <w:r w:rsidRPr="00CB74C8">
        <w:rPr>
          <w:rFonts w:ascii="Arial" w:hAnsi="Arial" w:cs="Arial"/>
          <w:szCs w:val="24"/>
        </w:rPr>
        <w:t>data privacy</w:t>
      </w:r>
      <w:r w:rsidR="00DE47C4" w:rsidRPr="00CB74C8">
        <w:rPr>
          <w:rFonts w:ascii="Arial" w:hAnsi="Arial" w:cs="Arial"/>
          <w:szCs w:val="24"/>
        </w:rPr>
        <w:t xml:space="preserve"> to protect </w:t>
      </w:r>
      <w:r w:rsidR="006F550A" w:rsidRPr="00CB74C8">
        <w:rPr>
          <w:rFonts w:ascii="Arial" w:hAnsi="Arial" w:cs="Arial"/>
          <w:szCs w:val="24"/>
        </w:rPr>
        <w:t>the interests</w:t>
      </w:r>
      <w:r w:rsidR="00DE47C4" w:rsidRPr="00CB74C8">
        <w:rPr>
          <w:rFonts w:ascii="Arial" w:hAnsi="Arial" w:cs="Arial"/>
          <w:szCs w:val="24"/>
        </w:rPr>
        <w:t xml:space="preserve"> of society and people. T</w:t>
      </w:r>
      <w:r w:rsidRPr="00CB74C8">
        <w:rPr>
          <w:rFonts w:ascii="Arial" w:hAnsi="Arial" w:cs="Arial"/>
          <w:szCs w:val="24"/>
        </w:rPr>
        <w:t>he risk of over-reliance in executive-level</w:t>
      </w:r>
      <w:r w:rsidR="002C6161" w:rsidRPr="00CB74C8">
        <w:rPr>
          <w:rFonts w:ascii="Arial" w:hAnsi="Arial" w:cs="Arial"/>
          <w:szCs w:val="24"/>
        </w:rPr>
        <w:t xml:space="preserve"> </w:t>
      </w:r>
      <w:r w:rsidRPr="00CB74C8">
        <w:rPr>
          <w:rFonts w:ascii="Arial" w:hAnsi="Arial" w:cs="Arial"/>
          <w:szCs w:val="24"/>
        </w:rPr>
        <w:t>decision-making</w:t>
      </w:r>
      <w:r w:rsidR="00DE47C4" w:rsidRPr="00CB74C8">
        <w:rPr>
          <w:rFonts w:ascii="Arial" w:hAnsi="Arial" w:cs="Arial"/>
          <w:szCs w:val="24"/>
        </w:rPr>
        <w:t xml:space="preserve"> should be understood properly to develop economic decisions to protect </w:t>
      </w:r>
      <w:r w:rsidR="006F550A" w:rsidRPr="00CB74C8">
        <w:rPr>
          <w:rFonts w:ascii="Arial" w:hAnsi="Arial" w:cs="Arial"/>
          <w:szCs w:val="24"/>
        </w:rPr>
        <w:t xml:space="preserve">the </w:t>
      </w:r>
      <w:r w:rsidR="00DE47C4" w:rsidRPr="00CB74C8">
        <w:rPr>
          <w:rFonts w:ascii="Arial" w:hAnsi="Arial" w:cs="Arial"/>
          <w:szCs w:val="24"/>
        </w:rPr>
        <w:t>interests of all stakeholders.</w:t>
      </w:r>
    </w:p>
    <w:p w14:paraId="04F61BB7" w14:textId="77777777" w:rsidR="000C4159" w:rsidRPr="00CB74C8" w:rsidRDefault="000C4159" w:rsidP="00B469AF">
      <w:pPr>
        <w:rPr>
          <w:rFonts w:ascii="Arial" w:hAnsi="Arial" w:cs="Arial"/>
          <w:szCs w:val="24"/>
        </w:rPr>
      </w:pPr>
      <w:r w:rsidRPr="00CB74C8">
        <w:rPr>
          <w:rFonts w:ascii="Arial" w:hAnsi="Arial" w:cs="Arial"/>
          <w:szCs w:val="24"/>
        </w:rPr>
        <w:br w:type="page"/>
      </w:r>
    </w:p>
    <w:p w14:paraId="17A99D0B" w14:textId="48F4A46A" w:rsidR="001B0A6B" w:rsidRPr="00CB74C8" w:rsidRDefault="000C4159" w:rsidP="00B469AF">
      <w:pPr>
        <w:pStyle w:val="Heading1"/>
        <w:rPr>
          <w:rFonts w:ascii="Arial" w:hAnsi="Arial" w:cs="Arial"/>
          <w:szCs w:val="24"/>
        </w:rPr>
      </w:pPr>
      <w:bookmarkStart w:id="28" w:name="_Toc237459265"/>
      <w:r w:rsidRPr="00CB74C8">
        <w:rPr>
          <w:rFonts w:ascii="Arial" w:hAnsi="Arial" w:cs="Arial"/>
          <w:szCs w:val="24"/>
        </w:rPr>
        <w:lastRenderedPageBreak/>
        <w:t>References</w:t>
      </w:r>
      <w:bookmarkEnd w:id="28"/>
    </w:p>
    <w:p w14:paraId="47F657CC" w14:textId="77777777" w:rsidR="000C4159" w:rsidRPr="00CB74C8" w:rsidRDefault="000C4159" w:rsidP="00B469AF">
      <w:pPr>
        <w:rPr>
          <w:rFonts w:ascii="Arial" w:hAnsi="Arial" w:cs="Arial"/>
          <w:szCs w:val="24"/>
        </w:rPr>
      </w:pPr>
      <w:r w:rsidRPr="00CB74C8">
        <w:rPr>
          <w:rFonts w:ascii="Arial" w:hAnsi="Arial" w:cs="Arial"/>
          <w:bCs w:val="0"/>
          <w:szCs w:val="24"/>
        </w:rPr>
        <w:t xml:space="preserve">Al Ani, M.K. (2015). A strategic framework to use payback period (PBP) in evaluating the capital budgeting in energy and oil and gas sectors in Oman. </w:t>
      </w:r>
      <w:r w:rsidRPr="00CB74C8">
        <w:rPr>
          <w:rFonts w:ascii="Arial" w:hAnsi="Arial" w:cs="Arial"/>
          <w:bCs w:val="0"/>
          <w:i/>
          <w:iCs/>
          <w:szCs w:val="24"/>
        </w:rPr>
        <w:t>International Journal of Economics and Financial Issues</w:t>
      </w:r>
      <w:r w:rsidRPr="00CB74C8">
        <w:rPr>
          <w:rFonts w:ascii="Arial" w:hAnsi="Arial" w:cs="Arial"/>
          <w:bCs w:val="0"/>
          <w:szCs w:val="24"/>
        </w:rPr>
        <w:t>, [online] 5(2), pp.469–475. Available at: https://dergipark.org.tr/en/pub/ijefi/article/352146?issue_id=31969 [Accessed 5 Aug. 2026].</w:t>
      </w:r>
    </w:p>
    <w:p w14:paraId="5092F56A" w14:textId="77777777" w:rsidR="000C4159" w:rsidRPr="00CB74C8" w:rsidRDefault="000C4159" w:rsidP="00B469AF">
      <w:pPr>
        <w:rPr>
          <w:rFonts w:ascii="Arial" w:hAnsi="Arial" w:cs="Arial"/>
          <w:szCs w:val="24"/>
        </w:rPr>
      </w:pPr>
      <w:r w:rsidRPr="00CB74C8">
        <w:rPr>
          <w:rFonts w:ascii="Arial" w:hAnsi="Arial" w:cs="Arial"/>
          <w:bCs w:val="0"/>
          <w:szCs w:val="24"/>
        </w:rPr>
        <w:t xml:space="preserve">Ali, K., Chisti, K.A. and Malik, I.A. (2022). </w:t>
      </w:r>
      <w:r w:rsidRPr="00CB74C8">
        <w:rPr>
          <w:rFonts w:ascii="Arial" w:hAnsi="Arial" w:cs="Arial"/>
          <w:bCs w:val="0"/>
          <w:i/>
          <w:iCs/>
          <w:szCs w:val="24"/>
        </w:rPr>
        <w:t>Impact of earnings per share on stock prices and price to earnings ratio</w:t>
      </w:r>
      <w:r w:rsidRPr="00CB74C8">
        <w:rPr>
          <w:rFonts w:ascii="Arial" w:hAnsi="Arial" w:cs="Arial"/>
          <w:bCs w:val="0"/>
          <w:szCs w:val="24"/>
        </w:rPr>
        <w:t xml:space="preserve">. [online] </w:t>
      </w:r>
      <w:r w:rsidRPr="00CB74C8">
        <w:rPr>
          <w:rFonts w:ascii="Arial" w:hAnsi="Arial" w:cs="Arial"/>
          <w:bCs w:val="0"/>
          <w:i/>
          <w:iCs/>
          <w:szCs w:val="24"/>
        </w:rPr>
        <w:t>papers.ssrn.com</w:t>
      </w:r>
      <w:r w:rsidRPr="00CB74C8">
        <w:rPr>
          <w:rFonts w:ascii="Arial" w:hAnsi="Arial" w:cs="Arial"/>
          <w:bCs w:val="0"/>
          <w:szCs w:val="24"/>
        </w:rPr>
        <w:t>. Rochester, NY. Available at: https://papers.ssrn.com/sol3/papers.cfm?abstract_id=4125746 [Accessed 4 Aug. 2026].</w:t>
      </w:r>
    </w:p>
    <w:p w14:paraId="30DDC836" w14:textId="77777777" w:rsidR="000C4159" w:rsidRPr="00CB74C8" w:rsidRDefault="000C4159" w:rsidP="00B469AF">
      <w:pPr>
        <w:rPr>
          <w:rFonts w:ascii="Arial" w:hAnsi="Arial" w:cs="Arial"/>
          <w:szCs w:val="24"/>
        </w:rPr>
      </w:pPr>
      <w:r w:rsidRPr="00CB74C8">
        <w:rPr>
          <w:rFonts w:ascii="Arial" w:hAnsi="Arial" w:cs="Arial"/>
          <w:bCs w:val="0"/>
          <w:szCs w:val="24"/>
        </w:rPr>
        <w:t xml:space="preserve">Arenas, J. and Scudiero, E. (2023). Futures contracts as a means of hedging market risks. </w:t>
      </w:r>
      <w:proofErr w:type="spellStart"/>
      <w:r w:rsidRPr="00CB74C8">
        <w:rPr>
          <w:rFonts w:ascii="Arial" w:hAnsi="Arial" w:cs="Arial"/>
          <w:bCs w:val="0"/>
          <w:i/>
          <w:iCs/>
          <w:szCs w:val="24"/>
        </w:rPr>
        <w:t>Aibi</w:t>
      </w:r>
      <w:proofErr w:type="spellEnd"/>
      <w:r w:rsidRPr="00CB74C8">
        <w:rPr>
          <w:rFonts w:ascii="Arial" w:hAnsi="Arial" w:cs="Arial"/>
          <w:bCs w:val="0"/>
          <w:i/>
          <w:iCs/>
          <w:szCs w:val="24"/>
        </w:rPr>
        <w:t xml:space="preserve"> </w:t>
      </w:r>
      <w:proofErr w:type="spellStart"/>
      <w:r w:rsidRPr="00CB74C8">
        <w:rPr>
          <w:rFonts w:ascii="Arial" w:hAnsi="Arial" w:cs="Arial"/>
          <w:bCs w:val="0"/>
          <w:i/>
          <w:iCs/>
          <w:szCs w:val="24"/>
        </w:rPr>
        <w:t>revista</w:t>
      </w:r>
      <w:proofErr w:type="spellEnd"/>
      <w:r w:rsidRPr="00CB74C8">
        <w:rPr>
          <w:rFonts w:ascii="Arial" w:hAnsi="Arial" w:cs="Arial"/>
          <w:bCs w:val="0"/>
          <w:i/>
          <w:iCs/>
          <w:szCs w:val="24"/>
        </w:rPr>
        <w:t xml:space="preserve"> de </w:t>
      </w:r>
      <w:proofErr w:type="spellStart"/>
      <w:r w:rsidRPr="00CB74C8">
        <w:rPr>
          <w:rFonts w:ascii="Arial" w:hAnsi="Arial" w:cs="Arial"/>
          <w:bCs w:val="0"/>
          <w:i/>
          <w:iCs/>
          <w:szCs w:val="24"/>
        </w:rPr>
        <w:t>investigación</w:t>
      </w:r>
      <w:proofErr w:type="spellEnd"/>
      <w:r w:rsidRPr="00CB74C8">
        <w:rPr>
          <w:rFonts w:ascii="Arial" w:hAnsi="Arial" w:cs="Arial"/>
          <w:bCs w:val="0"/>
          <w:i/>
          <w:iCs/>
          <w:szCs w:val="24"/>
        </w:rPr>
        <w:t xml:space="preserve">, </w:t>
      </w:r>
      <w:proofErr w:type="spellStart"/>
      <w:r w:rsidRPr="00CB74C8">
        <w:rPr>
          <w:rFonts w:ascii="Arial" w:hAnsi="Arial" w:cs="Arial"/>
          <w:bCs w:val="0"/>
          <w:i/>
          <w:iCs/>
          <w:szCs w:val="24"/>
        </w:rPr>
        <w:t>administración</w:t>
      </w:r>
      <w:proofErr w:type="spellEnd"/>
      <w:r w:rsidRPr="00CB74C8">
        <w:rPr>
          <w:rFonts w:ascii="Arial" w:hAnsi="Arial" w:cs="Arial"/>
          <w:bCs w:val="0"/>
          <w:i/>
          <w:iCs/>
          <w:szCs w:val="24"/>
        </w:rPr>
        <w:t xml:space="preserve"> e </w:t>
      </w:r>
      <w:proofErr w:type="spellStart"/>
      <w:r w:rsidRPr="00CB74C8">
        <w:rPr>
          <w:rFonts w:ascii="Arial" w:hAnsi="Arial" w:cs="Arial"/>
          <w:bCs w:val="0"/>
          <w:i/>
          <w:iCs/>
          <w:szCs w:val="24"/>
        </w:rPr>
        <w:t>ingeniería</w:t>
      </w:r>
      <w:proofErr w:type="spellEnd"/>
      <w:r w:rsidRPr="00CB74C8">
        <w:rPr>
          <w:rFonts w:ascii="Arial" w:hAnsi="Arial" w:cs="Arial"/>
          <w:bCs w:val="0"/>
          <w:szCs w:val="24"/>
        </w:rPr>
        <w:t>, [online] 11(3), pp.42–51. doi:10.15649/2346030x.3185.</w:t>
      </w:r>
    </w:p>
    <w:p w14:paraId="47569E40" w14:textId="77777777" w:rsidR="000C4159" w:rsidRPr="00CB74C8" w:rsidRDefault="000C4159" w:rsidP="00B469AF">
      <w:pPr>
        <w:rPr>
          <w:rFonts w:ascii="Arial" w:hAnsi="Arial" w:cs="Arial"/>
          <w:szCs w:val="24"/>
        </w:rPr>
      </w:pPr>
      <w:r w:rsidRPr="00CB74C8">
        <w:rPr>
          <w:rFonts w:ascii="Arial" w:hAnsi="Arial" w:cs="Arial"/>
          <w:bCs w:val="0"/>
          <w:szCs w:val="24"/>
        </w:rPr>
        <w:t xml:space="preserve">Armstrong, A. (2020). Ethics and ESG. </w:t>
      </w:r>
      <w:r w:rsidRPr="00CB74C8">
        <w:rPr>
          <w:rFonts w:ascii="Arial" w:hAnsi="Arial" w:cs="Arial"/>
          <w:bCs w:val="0"/>
          <w:i/>
          <w:iCs/>
          <w:szCs w:val="24"/>
        </w:rPr>
        <w:t>Australasian Accounting, Business and Finance Journal</w:t>
      </w:r>
      <w:r w:rsidRPr="00CB74C8">
        <w:rPr>
          <w:rFonts w:ascii="Arial" w:hAnsi="Arial" w:cs="Arial"/>
          <w:bCs w:val="0"/>
          <w:szCs w:val="24"/>
        </w:rPr>
        <w:t>, [online] 14(3), pp.6–17. doi:10.14453/</w:t>
      </w:r>
      <w:proofErr w:type="gramStart"/>
      <w:r w:rsidRPr="00CB74C8">
        <w:rPr>
          <w:rFonts w:ascii="Arial" w:hAnsi="Arial" w:cs="Arial"/>
          <w:bCs w:val="0"/>
          <w:szCs w:val="24"/>
        </w:rPr>
        <w:t>aabfj.v</w:t>
      </w:r>
      <w:proofErr w:type="gramEnd"/>
      <w:r w:rsidRPr="00CB74C8">
        <w:rPr>
          <w:rFonts w:ascii="Arial" w:hAnsi="Arial" w:cs="Arial"/>
          <w:bCs w:val="0"/>
          <w:szCs w:val="24"/>
        </w:rPr>
        <w:t>14i3.2.</w:t>
      </w:r>
    </w:p>
    <w:p w14:paraId="6101E6E6" w14:textId="77777777" w:rsidR="000C4159" w:rsidRPr="00CB74C8" w:rsidRDefault="000C4159" w:rsidP="00B469AF">
      <w:pPr>
        <w:rPr>
          <w:rFonts w:ascii="Arial" w:hAnsi="Arial" w:cs="Arial"/>
          <w:szCs w:val="24"/>
        </w:rPr>
      </w:pPr>
      <w:r w:rsidRPr="00CB74C8">
        <w:rPr>
          <w:rFonts w:ascii="Arial" w:hAnsi="Arial" w:cs="Arial"/>
          <w:bCs w:val="0"/>
          <w:szCs w:val="24"/>
        </w:rPr>
        <w:t xml:space="preserve">Barnabas, B. and Oloyede, J. (2025). Cash flow optimization: Strategies for enhancing short-term liquidity. </w:t>
      </w:r>
      <w:r w:rsidRPr="00CB74C8">
        <w:rPr>
          <w:rFonts w:ascii="Arial" w:hAnsi="Arial" w:cs="Arial"/>
          <w:bCs w:val="0"/>
          <w:i/>
          <w:iCs/>
          <w:szCs w:val="24"/>
        </w:rPr>
        <w:t>Cash Flow Optimization: Strategies for Enhancing Short-Term Liquidity</w:t>
      </w:r>
      <w:r w:rsidRPr="00CB74C8">
        <w:rPr>
          <w:rFonts w:ascii="Arial" w:hAnsi="Arial" w:cs="Arial"/>
          <w:bCs w:val="0"/>
          <w:szCs w:val="24"/>
        </w:rPr>
        <w:t>, 1(1), pp.1–11. doi:10.2139/ssrn.5004465.</w:t>
      </w:r>
    </w:p>
    <w:p w14:paraId="2103E3BE" w14:textId="77777777" w:rsidR="000C4159" w:rsidRPr="00CB74C8" w:rsidRDefault="000C4159" w:rsidP="00B469AF">
      <w:pPr>
        <w:rPr>
          <w:rFonts w:ascii="Arial" w:hAnsi="Arial" w:cs="Arial"/>
          <w:szCs w:val="24"/>
        </w:rPr>
      </w:pPr>
      <w:r w:rsidRPr="00CB74C8">
        <w:rPr>
          <w:rFonts w:ascii="Arial" w:hAnsi="Arial" w:cs="Arial"/>
          <w:bCs w:val="0"/>
          <w:szCs w:val="24"/>
        </w:rPr>
        <w:t xml:space="preserve">Baron, M. (2020). Countercyclical Bank equity issuance. </w:t>
      </w:r>
      <w:r w:rsidRPr="00CB74C8">
        <w:rPr>
          <w:rFonts w:ascii="Arial" w:hAnsi="Arial" w:cs="Arial"/>
          <w:bCs w:val="0"/>
          <w:i/>
          <w:iCs/>
          <w:szCs w:val="24"/>
        </w:rPr>
        <w:t>The Review of Financial Studies</w:t>
      </w:r>
      <w:r w:rsidRPr="00CB74C8">
        <w:rPr>
          <w:rFonts w:ascii="Arial" w:hAnsi="Arial" w:cs="Arial"/>
          <w:bCs w:val="0"/>
          <w:szCs w:val="24"/>
        </w:rPr>
        <w:t>, [online] 33(9), pp.4186–4230. Available at: https://academic.oup.com/rfs/article-abstract/33/9/4186/5716336 [Accessed 5 Aug. 2026].</w:t>
      </w:r>
    </w:p>
    <w:p w14:paraId="2D44AFDD" w14:textId="77777777" w:rsidR="000C4159" w:rsidRPr="00CB74C8" w:rsidRDefault="000C4159" w:rsidP="00B469AF">
      <w:pPr>
        <w:rPr>
          <w:rFonts w:ascii="Arial" w:hAnsi="Arial" w:cs="Arial"/>
          <w:szCs w:val="24"/>
        </w:rPr>
      </w:pPr>
      <w:r w:rsidRPr="00CB74C8">
        <w:rPr>
          <w:rFonts w:ascii="Arial" w:hAnsi="Arial" w:cs="Arial"/>
          <w:bCs w:val="0"/>
          <w:szCs w:val="24"/>
        </w:rPr>
        <w:t xml:space="preserve">Bates, T.W., Chang, C.-H. and Chi, J.D. (2018). Why has the value of cash increased over time? </w:t>
      </w:r>
      <w:r w:rsidRPr="00CB74C8">
        <w:rPr>
          <w:rFonts w:ascii="Arial" w:hAnsi="Arial" w:cs="Arial"/>
          <w:bCs w:val="0"/>
          <w:i/>
          <w:iCs/>
          <w:szCs w:val="24"/>
        </w:rPr>
        <w:t>Journal of Financial and Quantitative Analysis</w:t>
      </w:r>
      <w:r w:rsidRPr="00CB74C8">
        <w:rPr>
          <w:rFonts w:ascii="Arial" w:hAnsi="Arial" w:cs="Arial"/>
          <w:bCs w:val="0"/>
          <w:szCs w:val="24"/>
        </w:rPr>
        <w:t>, [online] 53(2), pp.749–787. doi:10.1017/s002210901700117x.</w:t>
      </w:r>
    </w:p>
    <w:p w14:paraId="3F1B81D5" w14:textId="77777777" w:rsidR="000C4159" w:rsidRPr="00CB74C8" w:rsidRDefault="000C4159" w:rsidP="00B469AF">
      <w:pPr>
        <w:rPr>
          <w:rFonts w:ascii="Arial" w:hAnsi="Arial" w:cs="Arial"/>
          <w:szCs w:val="24"/>
        </w:rPr>
      </w:pPr>
      <w:r w:rsidRPr="00CB74C8">
        <w:rPr>
          <w:rFonts w:ascii="Arial" w:hAnsi="Arial" w:cs="Arial"/>
          <w:bCs w:val="0"/>
          <w:szCs w:val="24"/>
        </w:rPr>
        <w:lastRenderedPageBreak/>
        <w:t xml:space="preserve">Dai, H., Li, N., Wang, Y. and Zhao, X. (2022). The analysis of three main investment criteria: NPV IRR and payback period. </w:t>
      </w:r>
      <w:r w:rsidRPr="00CB74C8">
        <w:rPr>
          <w:rFonts w:ascii="Arial" w:hAnsi="Arial" w:cs="Arial"/>
          <w:bCs w:val="0"/>
          <w:i/>
          <w:iCs/>
          <w:szCs w:val="24"/>
        </w:rPr>
        <w:t>Advances in Economics, Business and Management Research</w:t>
      </w:r>
      <w:r w:rsidRPr="00CB74C8">
        <w:rPr>
          <w:rFonts w:ascii="Arial" w:hAnsi="Arial" w:cs="Arial"/>
          <w:bCs w:val="0"/>
          <w:szCs w:val="24"/>
        </w:rPr>
        <w:t>, [online] 211(1), pp.185–189. doi:10.2991/aebmr.k.220307.028.</w:t>
      </w:r>
    </w:p>
    <w:p w14:paraId="1D50AC56" w14:textId="77777777" w:rsidR="000C4159" w:rsidRPr="00CB74C8" w:rsidRDefault="000C4159" w:rsidP="00B469AF">
      <w:pPr>
        <w:rPr>
          <w:rFonts w:ascii="Arial" w:hAnsi="Arial" w:cs="Arial"/>
          <w:szCs w:val="24"/>
        </w:rPr>
      </w:pPr>
      <w:r w:rsidRPr="00CB74C8">
        <w:rPr>
          <w:rFonts w:ascii="Arial" w:hAnsi="Arial" w:cs="Arial"/>
          <w:bCs w:val="0"/>
          <w:szCs w:val="24"/>
        </w:rPr>
        <w:t xml:space="preserve">De Vito, A. and Gómez, J.-P. (2020). Estimating the COVID-19 cash crunch: Global evidence and policy. </w:t>
      </w:r>
      <w:r w:rsidRPr="00CB74C8">
        <w:rPr>
          <w:rFonts w:ascii="Arial" w:hAnsi="Arial" w:cs="Arial"/>
          <w:bCs w:val="0"/>
          <w:i/>
          <w:iCs/>
          <w:szCs w:val="24"/>
        </w:rPr>
        <w:t>Journal of Accounting and Public Policy</w:t>
      </w:r>
      <w:r w:rsidRPr="00CB74C8">
        <w:rPr>
          <w:rFonts w:ascii="Arial" w:hAnsi="Arial" w:cs="Arial"/>
          <w:bCs w:val="0"/>
          <w:szCs w:val="24"/>
        </w:rPr>
        <w:t xml:space="preserve">, [online] 39(2), pp.1–14. </w:t>
      </w:r>
      <w:proofErr w:type="gramStart"/>
      <w:r w:rsidRPr="00CB74C8">
        <w:rPr>
          <w:rFonts w:ascii="Arial" w:hAnsi="Arial" w:cs="Arial"/>
          <w:bCs w:val="0"/>
          <w:szCs w:val="24"/>
        </w:rPr>
        <w:t>doi:10.1016/j.jaccpubpol</w:t>
      </w:r>
      <w:proofErr w:type="gramEnd"/>
      <w:r w:rsidRPr="00CB74C8">
        <w:rPr>
          <w:rFonts w:ascii="Arial" w:hAnsi="Arial" w:cs="Arial"/>
          <w:bCs w:val="0"/>
          <w:szCs w:val="24"/>
        </w:rPr>
        <w:t>.2020.106741.</w:t>
      </w:r>
    </w:p>
    <w:p w14:paraId="3AF01E8F" w14:textId="77777777" w:rsidR="000C4159" w:rsidRPr="00CB74C8" w:rsidRDefault="000C4159" w:rsidP="00B469AF">
      <w:pPr>
        <w:rPr>
          <w:rFonts w:ascii="Arial" w:hAnsi="Arial" w:cs="Arial"/>
          <w:szCs w:val="24"/>
        </w:rPr>
      </w:pPr>
      <w:r w:rsidRPr="00CB74C8">
        <w:rPr>
          <w:rFonts w:ascii="Arial" w:hAnsi="Arial" w:cs="Arial"/>
          <w:bCs w:val="0"/>
          <w:szCs w:val="24"/>
        </w:rPr>
        <w:t xml:space="preserve">Hoang, D., </w:t>
      </w:r>
      <w:proofErr w:type="spellStart"/>
      <w:r w:rsidRPr="00CB74C8">
        <w:rPr>
          <w:rFonts w:ascii="Arial" w:hAnsi="Arial" w:cs="Arial"/>
          <w:bCs w:val="0"/>
          <w:szCs w:val="24"/>
        </w:rPr>
        <w:t>Gatzer</w:t>
      </w:r>
      <w:proofErr w:type="spellEnd"/>
      <w:r w:rsidRPr="00CB74C8">
        <w:rPr>
          <w:rFonts w:ascii="Arial" w:hAnsi="Arial" w:cs="Arial"/>
          <w:bCs w:val="0"/>
          <w:szCs w:val="24"/>
        </w:rPr>
        <w:t xml:space="preserve">, S. and </w:t>
      </w:r>
      <w:proofErr w:type="spellStart"/>
      <w:r w:rsidRPr="00CB74C8">
        <w:rPr>
          <w:rFonts w:ascii="Arial" w:hAnsi="Arial" w:cs="Arial"/>
          <w:bCs w:val="0"/>
          <w:szCs w:val="24"/>
        </w:rPr>
        <w:t>Ruckes</w:t>
      </w:r>
      <w:proofErr w:type="spellEnd"/>
      <w:r w:rsidRPr="00CB74C8">
        <w:rPr>
          <w:rFonts w:ascii="Arial" w:hAnsi="Arial" w:cs="Arial"/>
          <w:bCs w:val="0"/>
          <w:szCs w:val="24"/>
        </w:rPr>
        <w:t xml:space="preserve">, M. (2024). The economics of capital allocation in firms: Evidence from Internal Capital Markets. </w:t>
      </w:r>
      <w:r w:rsidRPr="00CB74C8">
        <w:rPr>
          <w:rFonts w:ascii="Arial" w:hAnsi="Arial" w:cs="Arial"/>
          <w:bCs w:val="0"/>
          <w:i/>
          <w:iCs/>
          <w:szCs w:val="24"/>
        </w:rPr>
        <w:t>Management Science</w:t>
      </w:r>
      <w:r w:rsidRPr="00CB74C8">
        <w:rPr>
          <w:rFonts w:ascii="Arial" w:hAnsi="Arial" w:cs="Arial"/>
          <w:bCs w:val="0"/>
          <w:szCs w:val="24"/>
        </w:rPr>
        <w:t>, 71(8), pp.6392–6424. doi:10.1287/mnsc.2021.02755.</w:t>
      </w:r>
    </w:p>
    <w:p w14:paraId="28D11A15" w14:textId="77777777" w:rsidR="000C4159" w:rsidRPr="00CB74C8" w:rsidRDefault="000C4159" w:rsidP="00B469AF">
      <w:pPr>
        <w:rPr>
          <w:rFonts w:ascii="Arial" w:hAnsi="Arial" w:cs="Arial"/>
          <w:szCs w:val="24"/>
        </w:rPr>
      </w:pPr>
      <w:r w:rsidRPr="00CB74C8">
        <w:rPr>
          <w:rFonts w:ascii="Arial" w:hAnsi="Arial" w:cs="Arial"/>
          <w:bCs w:val="0"/>
          <w:szCs w:val="24"/>
        </w:rPr>
        <w:t xml:space="preserve">Investing.com (2026). </w:t>
      </w:r>
      <w:r w:rsidRPr="00CB74C8">
        <w:rPr>
          <w:rFonts w:ascii="Arial" w:hAnsi="Arial" w:cs="Arial"/>
          <w:bCs w:val="0"/>
          <w:i/>
          <w:iCs/>
          <w:szCs w:val="24"/>
        </w:rPr>
        <w:t xml:space="preserve">Marriott int financial ratios (MAR) - </w:t>
      </w:r>
      <w:proofErr w:type="gramStart"/>
      <w:r w:rsidRPr="00CB74C8">
        <w:rPr>
          <w:rFonts w:ascii="Arial" w:hAnsi="Arial" w:cs="Arial"/>
          <w:bCs w:val="0"/>
          <w:i/>
          <w:iCs/>
          <w:szCs w:val="24"/>
        </w:rPr>
        <w:t>investing.Com</w:t>
      </w:r>
      <w:proofErr w:type="gramEnd"/>
      <w:r w:rsidRPr="00CB74C8">
        <w:rPr>
          <w:rFonts w:ascii="Arial" w:hAnsi="Arial" w:cs="Arial"/>
          <w:bCs w:val="0"/>
          <w:i/>
          <w:iCs/>
          <w:szCs w:val="24"/>
        </w:rPr>
        <w:t xml:space="preserve"> UK</w:t>
      </w:r>
      <w:r w:rsidRPr="00CB74C8">
        <w:rPr>
          <w:rFonts w:ascii="Arial" w:hAnsi="Arial" w:cs="Arial"/>
          <w:bCs w:val="0"/>
          <w:szCs w:val="24"/>
        </w:rPr>
        <w:t>. [online] Investing.com UK. Available at: https://uk.investing.com/equities/marriott-intl-ratios [Accessed 4 Aug. 2026].</w:t>
      </w:r>
    </w:p>
    <w:p w14:paraId="78E27210" w14:textId="77777777" w:rsidR="000C4159" w:rsidRPr="00CB74C8" w:rsidRDefault="000C4159" w:rsidP="00B469AF">
      <w:pPr>
        <w:rPr>
          <w:rFonts w:ascii="Arial" w:hAnsi="Arial" w:cs="Arial"/>
          <w:szCs w:val="24"/>
        </w:rPr>
      </w:pPr>
      <w:r w:rsidRPr="00CB74C8">
        <w:rPr>
          <w:rFonts w:ascii="Arial" w:hAnsi="Arial" w:cs="Arial"/>
          <w:bCs w:val="0"/>
          <w:szCs w:val="24"/>
        </w:rPr>
        <w:t xml:space="preserve">Jayathilaka, A.K.K.R. (2020). Operating profit and net profit: Measurements of profitability. </w:t>
      </w:r>
      <w:r w:rsidRPr="00CB74C8">
        <w:rPr>
          <w:rFonts w:ascii="Arial" w:hAnsi="Arial" w:cs="Arial"/>
          <w:bCs w:val="0"/>
          <w:i/>
          <w:iCs/>
          <w:szCs w:val="24"/>
        </w:rPr>
        <w:t>Open Access Library Journal</w:t>
      </w:r>
      <w:r w:rsidRPr="00CB74C8">
        <w:rPr>
          <w:rFonts w:ascii="Arial" w:hAnsi="Arial" w:cs="Arial"/>
          <w:bCs w:val="0"/>
          <w:szCs w:val="24"/>
        </w:rPr>
        <w:t>, 07(12), pp.1–11. doi:10.4236/oalib.1107011.</w:t>
      </w:r>
    </w:p>
    <w:p w14:paraId="223ED93C" w14:textId="77777777" w:rsidR="000C4159" w:rsidRPr="00CB74C8" w:rsidRDefault="000C4159" w:rsidP="00B469AF">
      <w:pPr>
        <w:rPr>
          <w:rFonts w:ascii="Arial" w:hAnsi="Arial" w:cs="Arial"/>
          <w:szCs w:val="24"/>
        </w:rPr>
      </w:pPr>
      <w:r w:rsidRPr="00CB74C8">
        <w:rPr>
          <w:rFonts w:ascii="Arial" w:hAnsi="Arial" w:cs="Arial"/>
          <w:bCs w:val="0"/>
          <w:szCs w:val="24"/>
        </w:rPr>
        <w:t xml:space="preserve">Magni, C.A. (2015). An average-based accounting approach to Capital Asset Investments: The case of project finance. </w:t>
      </w:r>
      <w:r w:rsidRPr="00CB74C8">
        <w:rPr>
          <w:rFonts w:ascii="Arial" w:hAnsi="Arial" w:cs="Arial"/>
          <w:bCs w:val="0"/>
          <w:i/>
          <w:iCs/>
          <w:szCs w:val="24"/>
        </w:rPr>
        <w:t>European Accounting Review</w:t>
      </w:r>
      <w:r w:rsidRPr="00CB74C8">
        <w:rPr>
          <w:rFonts w:ascii="Arial" w:hAnsi="Arial" w:cs="Arial"/>
          <w:bCs w:val="0"/>
          <w:szCs w:val="24"/>
        </w:rPr>
        <w:t>, 25(2), pp.275–286. doi:10.1080/09638180.2015.1009143.</w:t>
      </w:r>
    </w:p>
    <w:p w14:paraId="60208B5E" w14:textId="77777777" w:rsidR="000C4159" w:rsidRPr="00CB74C8" w:rsidRDefault="000C4159" w:rsidP="00B469AF">
      <w:pPr>
        <w:rPr>
          <w:rFonts w:ascii="Arial" w:hAnsi="Arial" w:cs="Arial"/>
          <w:szCs w:val="24"/>
        </w:rPr>
      </w:pPr>
      <w:r w:rsidRPr="00CB74C8">
        <w:rPr>
          <w:rFonts w:ascii="Arial" w:hAnsi="Arial" w:cs="Arial"/>
          <w:bCs w:val="0"/>
          <w:szCs w:val="24"/>
        </w:rPr>
        <w:t xml:space="preserve">Marriott International (2026). </w:t>
      </w:r>
      <w:r w:rsidRPr="00CB74C8">
        <w:rPr>
          <w:rFonts w:ascii="Arial" w:hAnsi="Arial" w:cs="Arial"/>
          <w:bCs w:val="0"/>
          <w:i/>
          <w:iCs/>
          <w:szCs w:val="24"/>
        </w:rPr>
        <w:t>Annual | Marriott International</w:t>
      </w:r>
      <w:r w:rsidRPr="00CB74C8">
        <w:rPr>
          <w:rFonts w:ascii="Arial" w:hAnsi="Arial" w:cs="Arial"/>
          <w:bCs w:val="0"/>
          <w:szCs w:val="24"/>
        </w:rPr>
        <w:t xml:space="preserve">. [online] </w:t>
      </w:r>
      <w:r w:rsidRPr="00CB74C8">
        <w:rPr>
          <w:rFonts w:ascii="Arial" w:hAnsi="Arial" w:cs="Arial"/>
          <w:bCs w:val="0"/>
          <w:i/>
          <w:iCs/>
          <w:szCs w:val="24"/>
        </w:rPr>
        <w:t>Marriott International</w:t>
      </w:r>
      <w:r w:rsidRPr="00CB74C8">
        <w:rPr>
          <w:rFonts w:ascii="Arial" w:hAnsi="Arial" w:cs="Arial"/>
          <w:bCs w:val="0"/>
          <w:szCs w:val="24"/>
        </w:rPr>
        <w:t>. Available at: https://marriott.gcs-web.com/annual [Accessed 4 Aug. 2026].</w:t>
      </w:r>
    </w:p>
    <w:p w14:paraId="5B8F744E" w14:textId="77777777" w:rsidR="000C4159" w:rsidRPr="00CB74C8" w:rsidRDefault="000C4159" w:rsidP="00B469AF">
      <w:pPr>
        <w:rPr>
          <w:rFonts w:ascii="Arial" w:hAnsi="Arial" w:cs="Arial"/>
          <w:szCs w:val="24"/>
        </w:rPr>
      </w:pPr>
      <w:r w:rsidRPr="00CB74C8">
        <w:rPr>
          <w:rFonts w:ascii="Arial" w:hAnsi="Arial" w:cs="Arial"/>
          <w:bCs w:val="0"/>
          <w:szCs w:val="24"/>
        </w:rPr>
        <w:t xml:space="preserve">Muhammad Dimas Sabilillah, </w:t>
      </w:r>
      <w:proofErr w:type="spellStart"/>
      <w:r w:rsidRPr="00CB74C8">
        <w:rPr>
          <w:rFonts w:ascii="Arial" w:hAnsi="Arial" w:cs="Arial"/>
          <w:bCs w:val="0"/>
          <w:szCs w:val="24"/>
        </w:rPr>
        <w:t>Anshori</w:t>
      </w:r>
      <w:proofErr w:type="spellEnd"/>
      <w:r w:rsidRPr="00CB74C8">
        <w:rPr>
          <w:rFonts w:ascii="Arial" w:hAnsi="Arial" w:cs="Arial"/>
          <w:bCs w:val="0"/>
          <w:szCs w:val="24"/>
        </w:rPr>
        <w:t xml:space="preserve">, A., Mahmud, A. and Farrel </w:t>
      </w:r>
      <w:proofErr w:type="gramStart"/>
      <w:r w:rsidRPr="00CB74C8">
        <w:rPr>
          <w:rFonts w:ascii="Arial" w:hAnsi="Arial" w:cs="Arial"/>
          <w:bCs w:val="0"/>
          <w:szCs w:val="24"/>
        </w:rPr>
        <w:t>Muhammad  Rizqamr</w:t>
      </w:r>
      <w:proofErr w:type="gramEnd"/>
      <w:r w:rsidRPr="00CB74C8">
        <w:rPr>
          <w:rFonts w:ascii="Arial" w:hAnsi="Arial" w:cs="Arial"/>
          <w:bCs w:val="0"/>
          <w:szCs w:val="24"/>
        </w:rPr>
        <w:t xml:space="preserve"> (2025). The effect of quick ratio and cash ratio on current ratio in retail companies on the Indonesia Stock Exchange. </w:t>
      </w:r>
      <w:r w:rsidRPr="00CB74C8">
        <w:rPr>
          <w:rFonts w:ascii="Arial" w:hAnsi="Arial" w:cs="Arial"/>
          <w:bCs w:val="0"/>
          <w:i/>
          <w:iCs/>
          <w:szCs w:val="24"/>
        </w:rPr>
        <w:t xml:space="preserve">International Journal of Economics </w:t>
      </w:r>
      <w:r w:rsidRPr="00CB74C8">
        <w:rPr>
          <w:rFonts w:ascii="Arial" w:hAnsi="Arial" w:cs="Arial"/>
          <w:bCs w:val="0"/>
          <w:i/>
          <w:iCs/>
          <w:szCs w:val="24"/>
        </w:rPr>
        <w:lastRenderedPageBreak/>
        <w:t xml:space="preserve">Management and Social </w:t>
      </w:r>
      <w:proofErr w:type="gramStart"/>
      <w:r w:rsidRPr="00CB74C8">
        <w:rPr>
          <w:rFonts w:ascii="Arial" w:hAnsi="Arial" w:cs="Arial"/>
          <w:bCs w:val="0"/>
          <w:i/>
          <w:iCs/>
          <w:szCs w:val="24"/>
        </w:rPr>
        <w:t xml:space="preserve">Science </w:t>
      </w:r>
      <w:r w:rsidRPr="00CB74C8">
        <w:rPr>
          <w:rFonts w:ascii="Arial" w:hAnsi="Arial" w:cs="Arial"/>
          <w:bCs w:val="0"/>
          <w:szCs w:val="24"/>
        </w:rPr>
        <w:t>,</w:t>
      </w:r>
      <w:proofErr w:type="gramEnd"/>
      <w:r w:rsidRPr="00CB74C8">
        <w:rPr>
          <w:rFonts w:ascii="Arial" w:hAnsi="Arial" w:cs="Arial"/>
          <w:bCs w:val="0"/>
          <w:szCs w:val="24"/>
        </w:rPr>
        <w:t xml:space="preserve"> 8(3), pp.69–76. </w:t>
      </w:r>
      <w:proofErr w:type="spellStart"/>
      <w:proofErr w:type="gramStart"/>
      <w:r w:rsidRPr="00CB74C8">
        <w:rPr>
          <w:rFonts w:ascii="Arial" w:hAnsi="Arial" w:cs="Arial"/>
          <w:bCs w:val="0"/>
          <w:szCs w:val="24"/>
        </w:rPr>
        <w:t>doi:https</w:t>
      </w:r>
      <w:proofErr w:type="spellEnd"/>
      <w:r w:rsidRPr="00CB74C8">
        <w:rPr>
          <w:rFonts w:ascii="Arial" w:hAnsi="Arial" w:cs="Arial"/>
          <w:bCs w:val="0"/>
          <w:szCs w:val="24"/>
        </w:rPr>
        <w:t>://journal.salewangang.net/</w:t>
      </w:r>
      <w:proofErr w:type="spellStart"/>
      <w:r w:rsidRPr="00CB74C8">
        <w:rPr>
          <w:rFonts w:ascii="Arial" w:hAnsi="Arial" w:cs="Arial"/>
          <w:bCs w:val="0"/>
          <w:szCs w:val="24"/>
        </w:rPr>
        <w:t>ijemss</w:t>
      </w:r>
      <w:proofErr w:type="spellEnd"/>
      <w:r w:rsidRPr="00CB74C8">
        <w:rPr>
          <w:rFonts w:ascii="Arial" w:hAnsi="Arial" w:cs="Arial"/>
          <w:bCs w:val="0"/>
          <w:szCs w:val="24"/>
        </w:rPr>
        <w:t>/article/view/19</w:t>
      </w:r>
      <w:proofErr w:type="gramEnd"/>
      <w:r w:rsidRPr="00CB74C8">
        <w:rPr>
          <w:rFonts w:ascii="Arial" w:hAnsi="Arial" w:cs="Arial"/>
          <w:bCs w:val="0"/>
          <w:szCs w:val="24"/>
        </w:rPr>
        <w:t>.</w:t>
      </w:r>
    </w:p>
    <w:p w14:paraId="296DC867" w14:textId="77777777" w:rsidR="000C4159" w:rsidRPr="00CB74C8" w:rsidRDefault="000C4159" w:rsidP="00B469AF">
      <w:pPr>
        <w:rPr>
          <w:rFonts w:ascii="Arial" w:hAnsi="Arial" w:cs="Arial"/>
          <w:szCs w:val="24"/>
        </w:rPr>
      </w:pPr>
      <w:r w:rsidRPr="00CB74C8">
        <w:rPr>
          <w:rFonts w:ascii="Arial" w:hAnsi="Arial" w:cs="Arial"/>
          <w:bCs w:val="0"/>
          <w:szCs w:val="24"/>
        </w:rPr>
        <w:t xml:space="preserve">Mustafina, A.A., </w:t>
      </w:r>
      <w:proofErr w:type="spellStart"/>
      <w:r w:rsidRPr="00CB74C8">
        <w:rPr>
          <w:rFonts w:ascii="Arial" w:hAnsi="Arial" w:cs="Arial"/>
          <w:bCs w:val="0"/>
          <w:szCs w:val="24"/>
        </w:rPr>
        <w:t>Kaigorodova</w:t>
      </w:r>
      <w:proofErr w:type="spellEnd"/>
      <w:r w:rsidRPr="00CB74C8">
        <w:rPr>
          <w:rFonts w:ascii="Arial" w:hAnsi="Arial" w:cs="Arial"/>
          <w:bCs w:val="0"/>
          <w:szCs w:val="24"/>
        </w:rPr>
        <w:t xml:space="preserve">, G.N., </w:t>
      </w:r>
      <w:proofErr w:type="spellStart"/>
      <w:r w:rsidRPr="00CB74C8">
        <w:rPr>
          <w:rFonts w:ascii="Arial" w:hAnsi="Arial" w:cs="Arial"/>
          <w:bCs w:val="0"/>
          <w:szCs w:val="24"/>
        </w:rPr>
        <w:t>Pyrkova</w:t>
      </w:r>
      <w:proofErr w:type="spellEnd"/>
      <w:r w:rsidRPr="00CB74C8">
        <w:rPr>
          <w:rFonts w:ascii="Arial" w:hAnsi="Arial" w:cs="Arial"/>
          <w:bCs w:val="0"/>
          <w:szCs w:val="24"/>
        </w:rPr>
        <w:t xml:space="preserve">, G.K., </w:t>
      </w:r>
      <w:proofErr w:type="spellStart"/>
      <w:r w:rsidRPr="00CB74C8">
        <w:rPr>
          <w:rFonts w:ascii="Arial" w:hAnsi="Arial" w:cs="Arial"/>
          <w:bCs w:val="0"/>
          <w:szCs w:val="24"/>
        </w:rPr>
        <w:t>Alyakina</w:t>
      </w:r>
      <w:proofErr w:type="spellEnd"/>
      <w:r w:rsidRPr="00CB74C8">
        <w:rPr>
          <w:rFonts w:ascii="Arial" w:hAnsi="Arial" w:cs="Arial"/>
          <w:bCs w:val="0"/>
          <w:szCs w:val="24"/>
        </w:rPr>
        <w:t xml:space="preserve">, D.P. and Kamalova, A.A. (2020). Management of long-term financing in a company. </w:t>
      </w:r>
      <w:r w:rsidRPr="00CB74C8">
        <w:rPr>
          <w:rFonts w:ascii="Arial" w:hAnsi="Arial" w:cs="Arial"/>
          <w:bCs w:val="0"/>
          <w:i/>
          <w:iCs/>
          <w:szCs w:val="24"/>
        </w:rPr>
        <w:t xml:space="preserve">Revista Turismo </w:t>
      </w:r>
      <w:proofErr w:type="spellStart"/>
      <w:r w:rsidRPr="00CB74C8">
        <w:rPr>
          <w:rFonts w:ascii="Arial" w:hAnsi="Arial" w:cs="Arial"/>
          <w:bCs w:val="0"/>
          <w:i/>
          <w:iCs/>
          <w:szCs w:val="24"/>
        </w:rPr>
        <w:t>Estudos</w:t>
      </w:r>
      <w:proofErr w:type="spellEnd"/>
      <w:r w:rsidRPr="00CB74C8">
        <w:rPr>
          <w:rFonts w:ascii="Arial" w:hAnsi="Arial" w:cs="Arial"/>
          <w:bCs w:val="0"/>
          <w:i/>
          <w:iCs/>
          <w:szCs w:val="24"/>
        </w:rPr>
        <w:t xml:space="preserve"> e </w:t>
      </w:r>
      <w:proofErr w:type="spellStart"/>
      <w:r w:rsidRPr="00CB74C8">
        <w:rPr>
          <w:rFonts w:ascii="Arial" w:hAnsi="Arial" w:cs="Arial"/>
          <w:bCs w:val="0"/>
          <w:i/>
          <w:iCs/>
          <w:szCs w:val="24"/>
        </w:rPr>
        <w:t>Práticas</w:t>
      </w:r>
      <w:proofErr w:type="spellEnd"/>
      <w:r w:rsidRPr="00CB74C8">
        <w:rPr>
          <w:rFonts w:ascii="Arial" w:hAnsi="Arial" w:cs="Arial"/>
          <w:bCs w:val="0"/>
          <w:i/>
          <w:iCs/>
          <w:szCs w:val="24"/>
        </w:rPr>
        <w:t xml:space="preserve"> - RTEP/GEPLAT/UERN</w:t>
      </w:r>
      <w:r w:rsidRPr="00CB74C8">
        <w:rPr>
          <w:rFonts w:ascii="Arial" w:hAnsi="Arial" w:cs="Arial"/>
          <w:bCs w:val="0"/>
          <w:szCs w:val="24"/>
        </w:rPr>
        <w:t xml:space="preserve">, 1(5), pp.1–8. </w:t>
      </w:r>
      <w:proofErr w:type="spellStart"/>
      <w:proofErr w:type="gramStart"/>
      <w:r w:rsidRPr="00CB74C8">
        <w:rPr>
          <w:rFonts w:ascii="Arial" w:hAnsi="Arial" w:cs="Arial"/>
          <w:bCs w:val="0"/>
          <w:szCs w:val="24"/>
        </w:rPr>
        <w:t>doi:https</w:t>
      </w:r>
      <w:proofErr w:type="spellEnd"/>
      <w:r w:rsidRPr="00CB74C8">
        <w:rPr>
          <w:rFonts w:ascii="Arial" w:hAnsi="Arial" w:cs="Arial"/>
          <w:bCs w:val="0"/>
          <w:szCs w:val="24"/>
        </w:rPr>
        <w:t>://geplat.com/</w:t>
      </w:r>
      <w:proofErr w:type="spellStart"/>
      <w:r w:rsidRPr="00CB74C8">
        <w:rPr>
          <w:rFonts w:ascii="Arial" w:hAnsi="Arial" w:cs="Arial"/>
          <w:bCs w:val="0"/>
          <w:szCs w:val="24"/>
        </w:rPr>
        <w:t>rtep</w:t>
      </w:r>
      <w:proofErr w:type="spellEnd"/>
      <w:r w:rsidRPr="00CB74C8">
        <w:rPr>
          <w:rFonts w:ascii="Arial" w:hAnsi="Arial" w:cs="Arial"/>
          <w:bCs w:val="0"/>
          <w:szCs w:val="24"/>
        </w:rPr>
        <w:t>/</w:t>
      </w:r>
      <w:proofErr w:type="spellStart"/>
      <w:r w:rsidRPr="00CB74C8">
        <w:rPr>
          <w:rFonts w:ascii="Arial" w:hAnsi="Arial" w:cs="Arial"/>
          <w:bCs w:val="0"/>
          <w:szCs w:val="24"/>
        </w:rPr>
        <w:t>index.php</w:t>
      </w:r>
      <w:proofErr w:type="spellEnd"/>
      <w:r w:rsidRPr="00CB74C8">
        <w:rPr>
          <w:rFonts w:ascii="Arial" w:hAnsi="Arial" w:cs="Arial"/>
          <w:bCs w:val="0"/>
          <w:szCs w:val="24"/>
        </w:rPr>
        <w:t>/tourism/article/view/790</w:t>
      </w:r>
      <w:proofErr w:type="gramEnd"/>
      <w:r w:rsidRPr="00CB74C8">
        <w:rPr>
          <w:rFonts w:ascii="Arial" w:hAnsi="Arial" w:cs="Arial"/>
          <w:bCs w:val="0"/>
          <w:szCs w:val="24"/>
        </w:rPr>
        <w:t>.</w:t>
      </w:r>
    </w:p>
    <w:p w14:paraId="73ADD8C1" w14:textId="77777777" w:rsidR="000C4159" w:rsidRPr="00CB74C8" w:rsidRDefault="000C4159" w:rsidP="00B469AF">
      <w:pPr>
        <w:rPr>
          <w:rFonts w:ascii="Arial" w:hAnsi="Arial" w:cs="Arial"/>
          <w:szCs w:val="24"/>
        </w:rPr>
      </w:pPr>
      <w:r w:rsidRPr="00CB74C8">
        <w:rPr>
          <w:rFonts w:ascii="Arial" w:hAnsi="Arial" w:cs="Arial"/>
          <w:bCs w:val="0"/>
          <w:szCs w:val="24"/>
        </w:rPr>
        <w:t xml:space="preserve">Patin, J.-C., Rahman, M. and Mustafa, M. (2020). Impact of total asset turnover ratios on equity returns: Dynamic panel data analyses. </w:t>
      </w:r>
      <w:r w:rsidRPr="00CB74C8">
        <w:rPr>
          <w:rFonts w:ascii="Arial" w:hAnsi="Arial" w:cs="Arial"/>
          <w:bCs w:val="0"/>
          <w:i/>
          <w:iCs/>
          <w:szCs w:val="24"/>
        </w:rPr>
        <w:t>Journal of Accounting, Business and Management (JABM)</w:t>
      </w:r>
      <w:r w:rsidRPr="00CB74C8">
        <w:rPr>
          <w:rFonts w:ascii="Arial" w:hAnsi="Arial" w:cs="Arial"/>
          <w:bCs w:val="0"/>
          <w:szCs w:val="24"/>
        </w:rPr>
        <w:t>, 27(1), pp.1–19. doi:10.31966/</w:t>
      </w:r>
      <w:proofErr w:type="gramStart"/>
      <w:r w:rsidRPr="00CB74C8">
        <w:rPr>
          <w:rFonts w:ascii="Arial" w:hAnsi="Arial" w:cs="Arial"/>
          <w:bCs w:val="0"/>
          <w:szCs w:val="24"/>
        </w:rPr>
        <w:t>jabminternational.v</w:t>
      </w:r>
      <w:proofErr w:type="gramEnd"/>
      <w:r w:rsidRPr="00CB74C8">
        <w:rPr>
          <w:rFonts w:ascii="Arial" w:hAnsi="Arial" w:cs="Arial"/>
          <w:bCs w:val="0"/>
          <w:szCs w:val="24"/>
        </w:rPr>
        <w:t>27i1.559.</w:t>
      </w:r>
    </w:p>
    <w:p w14:paraId="6F614CEF" w14:textId="77777777" w:rsidR="000C4159" w:rsidRPr="00CB74C8" w:rsidRDefault="000C4159" w:rsidP="00B469AF">
      <w:pPr>
        <w:rPr>
          <w:rFonts w:ascii="Arial" w:hAnsi="Arial" w:cs="Arial"/>
          <w:szCs w:val="24"/>
        </w:rPr>
      </w:pPr>
      <w:r w:rsidRPr="00CB74C8">
        <w:rPr>
          <w:rFonts w:ascii="Arial" w:hAnsi="Arial" w:cs="Arial"/>
          <w:bCs w:val="0"/>
          <w:szCs w:val="24"/>
        </w:rPr>
        <w:t xml:space="preserve">Proactive Investors (2026). </w:t>
      </w:r>
      <w:r w:rsidRPr="00CB74C8">
        <w:rPr>
          <w:rFonts w:ascii="Arial" w:hAnsi="Arial" w:cs="Arial"/>
          <w:bCs w:val="0"/>
          <w:i/>
          <w:iCs/>
          <w:szCs w:val="24"/>
        </w:rPr>
        <w:t>Marriott shares jump on strong 2025 revenue, international travel boost</w:t>
      </w:r>
      <w:r w:rsidRPr="00CB74C8">
        <w:rPr>
          <w:rFonts w:ascii="Arial" w:hAnsi="Arial" w:cs="Arial"/>
          <w:bCs w:val="0"/>
          <w:szCs w:val="24"/>
        </w:rPr>
        <w:t xml:space="preserve">. [online] </w:t>
      </w:r>
      <w:proofErr w:type="spellStart"/>
      <w:r w:rsidRPr="00CB74C8">
        <w:rPr>
          <w:rFonts w:ascii="Arial" w:hAnsi="Arial" w:cs="Arial"/>
          <w:bCs w:val="0"/>
          <w:szCs w:val="24"/>
        </w:rPr>
        <w:t>Proactiveinvestors</w:t>
      </w:r>
      <w:proofErr w:type="spellEnd"/>
      <w:r w:rsidRPr="00CB74C8">
        <w:rPr>
          <w:rFonts w:ascii="Arial" w:hAnsi="Arial" w:cs="Arial"/>
          <w:bCs w:val="0"/>
          <w:szCs w:val="24"/>
        </w:rPr>
        <w:t xml:space="preserve"> UK. Available at: https://www.proactiveinvestors.co.uk/companies/news/1087125/marriott-shares-jump-on-strong-2025-revenue-international-travel-boost-1087125.html [Accessed 4 Aug. 2026].</w:t>
      </w:r>
    </w:p>
    <w:p w14:paraId="02D17187" w14:textId="77777777" w:rsidR="000C4159" w:rsidRPr="00CB74C8" w:rsidRDefault="000C4159" w:rsidP="00B469AF">
      <w:pPr>
        <w:rPr>
          <w:rFonts w:ascii="Arial" w:hAnsi="Arial" w:cs="Arial"/>
          <w:szCs w:val="24"/>
        </w:rPr>
      </w:pPr>
      <w:r w:rsidRPr="00CB74C8">
        <w:rPr>
          <w:rFonts w:ascii="Arial" w:hAnsi="Arial" w:cs="Arial"/>
          <w:bCs w:val="0"/>
          <w:szCs w:val="24"/>
        </w:rPr>
        <w:t xml:space="preserve">Rejison, P. (2025). </w:t>
      </w:r>
      <w:r w:rsidRPr="00CB74C8">
        <w:rPr>
          <w:rFonts w:ascii="Arial" w:hAnsi="Arial" w:cs="Arial"/>
          <w:bCs w:val="0"/>
          <w:i/>
          <w:iCs/>
          <w:szCs w:val="24"/>
        </w:rPr>
        <w:t>Alternative Financing Options Available to Business</w:t>
      </w:r>
      <w:r w:rsidRPr="00CB74C8">
        <w:rPr>
          <w:rFonts w:ascii="Arial" w:hAnsi="Arial" w:cs="Arial"/>
          <w:bCs w:val="0"/>
          <w:szCs w:val="24"/>
        </w:rPr>
        <w:t>. [online] Available at: https://papers.ssrn.com/sol3/papers.cfm?abstract_id=5063815 [Accessed 4 Aug. 2026].</w:t>
      </w:r>
    </w:p>
    <w:p w14:paraId="37FCEF88" w14:textId="77777777" w:rsidR="000C4159" w:rsidRPr="00CB74C8" w:rsidRDefault="000C4159" w:rsidP="00B469AF">
      <w:pPr>
        <w:rPr>
          <w:rFonts w:ascii="Arial" w:hAnsi="Arial" w:cs="Arial"/>
          <w:szCs w:val="24"/>
        </w:rPr>
      </w:pPr>
      <w:r w:rsidRPr="00CB74C8">
        <w:rPr>
          <w:rFonts w:ascii="Arial" w:hAnsi="Arial" w:cs="Arial"/>
          <w:bCs w:val="0"/>
          <w:szCs w:val="24"/>
        </w:rPr>
        <w:t xml:space="preserve">Sari, W.N., </w:t>
      </w:r>
      <w:proofErr w:type="spellStart"/>
      <w:r w:rsidRPr="00CB74C8">
        <w:rPr>
          <w:rFonts w:ascii="Arial" w:hAnsi="Arial" w:cs="Arial"/>
          <w:bCs w:val="0"/>
          <w:szCs w:val="24"/>
        </w:rPr>
        <w:t>Novari</w:t>
      </w:r>
      <w:proofErr w:type="spellEnd"/>
      <w:r w:rsidRPr="00CB74C8">
        <w:rPr>
          <w:rFonts w:ascii="Arial" w:hAnsi="Arial" w:cs="Arial"/>
          <w:bCs w:val="0"/>
          <w:szCs w:val="24"/>
        </w:rPr>
        <w:t xml:space="preserve">, E., Fitri, Y.S. and Nasution, A.I. (2022). Effect of current ratio (CR), quick ratio (QR), debt to asset ratio (DAR) and debt to equity ratio (DER) on return on assets (ROA). </w:t>
      </w:r>
      <w:r w:rsidRPr="00CB74C8">
        <w:rPr>
          <w:rFonts w:ascii="Arial" w:hAnsi="Arial" w:cs="Arial"/>
          <w:bCs w:val="0"/>
          <w:i/>
          <w:iCs/>
          <w:szCs w:val="24"/>
        </w:rPr>
        <w:t>Journal of Islamic Economics and Business</w:t>
      </w:r>
      <w:r w:rsidRPr="00CB74C8">
        <w:rPr>
          <w:rFonts w:ascii="Arial" w:hAnsi="Arial" w:cs="Arial"/>
          <w:bCs w:val="0"/>
          <w:szCs w:val="24"/>
        </w:rPr>
        <w:t>, 2(1), pp.42–58. doi:10.15575/</w:t>
      </w:r>
      <w:proofErr w:type="gramStart"/>
      <w:r w:rsidRPr="00CB74C8">
        <w:rPr>
          <w:rFonts w:ascii="Arial" w:hAnsi="Arial" w:cs="Arial"/>
          <w:bCs w:val="0"/>
          <w:szCs w:val="24"/>
        </w:rPr>
        <w:t>jieb.v</w:t>
      </w:r>
      <w:proofErr w:type="gramEnd"/>
      <w:r w:rsidRPr="00CB74C8">
        <w:rPr>
          <w:rFonts w:ascii="Arial" w:hAnsi="Arial" w:cs="Arial"/>
          <w:bCs w:val="0"/>
          <w:szCs w:val="24"/>
        </w:rPr>
        <w:t>2i1.20173.</w:t>
      </w:r>
    </w:p>
    <w:p w14:paraId="7D7E03AE" w14:textId="77777777" w:rsidR="000C4159" w:rsidRPr="00CB74C8" w:rsidRDefault="000C4159" w:rsidP="00B469AF">
      <w:pPr>
        <w:rPr>
          <w:rFonts w:ascii="Arial" w:hAnsi="Arial" w:cs="Arial"/>
          <w:szCs w:val="24"/>
        </w:rPr>
      </w:pPr>
      <w:r w:rsidRPr="00CB74C8">
        <w:rPr>
          <w:rFonts w:ascii="Arial" w:hAnsi="Arial" w:cs="Arial"/>
          <w:bCs w:val="0"/>
          <w:szCs w:val="24"/>
        </w:rPr>
        <w:t xml:space="preserve">Shaturaev, J. (2023). Efficiency of investment project evaluation in the development of innovative industrial activities. </w:t>
      </w:r>
      <w:r w:rsidRPr="00CB74C8">
        <w:rPr>
          <w:rFonts w:ascii="Arial" w:hAnsi="Arial" w:cs="Arial"/>
          <w:bCs w:val="0"/>
          <w:i/>
          <w:iCs/>
          <w:szCs w:val="24"/>
        </w:rPr>
        <w:t>ASEAN Journal of Science and Engineering</w:t>
      </w:r>
      <w:r w:rsidRPr="00CB74C8">
        <w:rPr>
          <w:rFonts w:ascii="Arial" w:hAnsi="Arial" w:cs="Arial"/>
          <w:bCs w:val="0"/>
          <w:szCs w:val="24"/>
        </w:rPr>
        <w:t>, [online] 3(2), pp.147–162. doi:10.17509/</w:t>
      </w:r>
      <w:proofErr w:type="gramStart"/>
      <w:r w:rsidRPr="00CB74C8">
        <w:rPr>
          <w:rFonts w:ascii="Arial" w:hAnsi="Arial" w:cs="Arial"/>
          <w:bCs w:val="0"/>
          <w:szCs w:val="24"/>
        </w:rPr>
        <w:t>ajse.v</w:t>
      </w:r>
      <w:proofErr w:type="gramEnd"/>
      <w:r w:rsidRPr="00CB74C8">
        <w:rPr>
          <w:rFonts w:ascii="Arial" w:hAnsi="Arial" w:cs="Arial"/>
          <w:bCs w:val="0"/>
          <w:szCs w:val="24"/>
        </w:rPr>
        <w:t>3i2.45675.</w:t>
      </w:r>
    </w:p>
    <w:p w14:paraId="666021CB" w14:textId="77777777" w:rsidR="000C4159" w:rsidRPr="00CB74C8" w:rsidRDefault="000C4159" w:rsidP="00B469AF">
      <w:pPr>
        <w:rPr>
          <w:rFonts w:ascii="Arial" w:hAnsi="Arial" w:cs="Arial"/>
          <w:szCs w:val="24"/>
        </w:rPr>
      </w:pPr>
      <w:r w:rsidRPr="00CB74C8">
        <w:rPr>
          <w:rFonts w:ascii="Arial" w:hAnsi="Arial" w:cs="Arial"/>
          <w:bCs w:val="0"/>
          <w:szCs w:val="24"/>
        </w:rPr>
        <w:lastRenderedPageBreak/>
        <w:t xml:space="preserve">Wang, B. (2019). The cash conversion cycle spread. </w:t>
      </w:r>
      <w:r w:rsidRPr="00CB74C8">
        <w:rPr>
          <w:rFonts w:ascii="Arial" w:hAnsi="Arial" w:cs="Arial"/>
          <w:bCs w:val="0"/>
          <w:i/>
          <w:iCs/>
          <w:szCs w:val="24"/>
        </w:rPr>
        <w:t>Journal of Financial Economics</w:t>
      </w:r>
      <w:r w:rsidRPr="00CB74C8">
        <w:rPr>
          <w:rFonts w:ascii="Arial" w:hAnsi="Arial" w:cs="Arial"/>
          <w:bCs w:val="0"/>
          <w:szCs w:val="24"/>
        </w:rPr>
        <w:t xml:space="preserve">, 133(2), pp.472–497. </w:t>
      </w:r>
      <w:proofErr w:type="gramStart"/>
      <w:r w:rsidRPr="00CB74C8">
        <w:rPr>
          <w:rFonts w:ascii="Arial" w:hAnsi="Arial" w:cs="Arial"/>
          <w:bCs w:val="0"/>
          <w:szCs w:val="24"/>
        </w:rPr>
        <w:t>doi:10.1016/j.jfineco</w:t>
      </w:r>
      <w:proofErr w:type="gramEnd"/>
      <w:r w:rsidRPr="00CB74C8">
        <w:rPr>
          <w:rFonts w:ascii="Arial" w:hAnsi="Arial" w:cs="Arial"/>
          <w:bCs w:val="0"/>
          <w:szCs w:val="24"/>
        </w:rPr>
        <w:t>.2019.02.008.</w:t>
      </w:r>
    </w:p>
    <w:p w14:paraId="10FD650E" w14:textId="77777777" w:rsidR="000C4159" w:rsidRPr="00CB74C8" w:rsidRDefault="000C4159" w:rsidP="00B469AF">
      <w:pPr>
        <w:rPr>
          <w:rFonts w:ascii="Arial" w:hAnsi="Arial" w:cs="Arial"/>
          <w:szCs w:val="24"/>
        </w:rPr>
      </w:pPr>
      <w:r w:rsidRPr="00CB74C8">
        <w:rPr>
          <w:rFonts w:ascii="Arial" w:hAnsi="Arial" w:cs="Arial"/>
          <w:bCs w:val="0"/>
          <w:szCs w:val="24"/>
        </w:rPr>
        <w:t xml:space="preserve">Yahoo Finance (2026). </w:t>
      </w:r>
      <w:r w:rsidRPr="00CB74C8">
        <w:rPr>
          <w:rFonts w:ascii="Arial" w:hAnsi="Arial" w:cs="Arial"/>
          <w:bCs w:val="0"/>
          <w:i/>
          <w:iCs/>
          <w:szCs w:val="24"/>
        </w:rPr>
        <w:t>Marriott International (MAR) stock historical prices and data – yahoo finance</w:t>
      </w:r>
      <w:r w:rsidRPr="00CB74C8">
        <w:rPr>
          <w:rFonts w:ascii="Arial" w:hAnsi="Arial" w:cs="Arial"/>
          <w:bCs w:val="0"/>
          <w:szCs w:val="24"/>
        </w:rPr>
        <w:t>. [online] Yahoo Finance. Available at: https://uk.finance.yahoo.com/quote/MAR/history/?period1=1640390400&amp;period2=1641254400 [Accessed 4 Aug. 2026].</w:t>
      </w:r>
    </w:p>
    <w:p w14:paraId="050C67CA" w14:textId="77777777" w:rsidR="000C4159" w:rsidRPr="00CB74C8" w:rsidRDefault="000C4159" w:rsidP="00B469AF">
      <w:pPr>
        <w:rPr>
          <w:rFonts w:ascii="Arial" w:hAnsi="Arial" w:cs="Arial"/>
          <w:szCs w:val="24"/>
        </w:rPr>
      </w:pPr>
    </w:p>
    <w:p w14:paraId="7A646EF3" w14:textId="77777777" w:rsidR="000C4159" w:rsidRPr="00CB74C8" w:rsidRDefault="000C4159" w:rsidP="00B469AF">
      <w:pPr>
        <w:rPr>
          <w:rFonts w:ascii="Arial" w:hAnsi="Arial" w:cs="Arial"/>
          <w:szCs w:val="24"/>
        </w:rPr>
      </w:pPr>
    </w:p>
    <w:p w14:paraId="41E0AF2A" w14:textId="77777777" w:rsidR="001B0A6B" w:rsidRPr="00CB74C8" w:rsidRDefault="001B0A6B" w:rsidP="00B469AF">
      <w:pPr>
        <w:rPr>
          <w:rFonts w:ascii="Arial" w:hAnsi="Arial" w:cs="Arial"/>
          <w:szCs w:val="24"/>
          <w:lang w:val="en-IN"/>
        </w:rPr>
      </w:pPr>
    </w:p>
    <w:p w14:paraId="65649A69" w14:textId="200D3F11" w:rsidR="000C4159" w:rsidRPr="00CB74C8" w:rsidRDefault="000C4159" w:rsidP="00B469AF">
      <w:pPr>
        <w:rPr>
          <w:rFonts w:ascii="Arial" w:hAnsi="Arial" w:cs="Arial"/>
          <w:szCs w:val="24"/>
        </w:rPr>
      </w:pPr>
      <w:r w:rsidRPr="00CB74C8">
        <w:rPr>
          <w:rFonts w:ascii="Arial" w:hAnsi="Arial" w:cs="Arial"/>
          <w:szCs w:val="24"/>
        </w:rPr>
        <w:br w:type="page"/>
      </w:r>
    </w:p>
    <w:p w14:paraId="37393B87" w14:textId="364A9029" w:rsidR="00E6136C" w:rsidRPr="00CB74C8" w:rsidRDefault="000C4159" w:rsidP="00B469AF">
      <w:pPr>
        <w:pStyle w:val="Heading1"/>
        <w:rPr>
          <w:rFonts w:ascii="Arial" w:hAnsi="Arial" w:cs="Arial"/>
          <w:szCs w:val="24"/>
        </w:rPr>
      </w:pPr>
      <w:bookmarkStart w:id="29" w:name="_Toc237459266"/>
      <w:r w:rsidRPr="00CB74C8">
        <w:rPr>
          <w:rFonts w:ascii="Arial" w:hAnsi="Arial" w:cs="Arial"/>
          <w:szCs w:val="24"/>
        </w:rPr>
        <w:lastRenderedPageBreak/>
        <w:t>Appendices</w:t>
      </w:r>
      <w:bookmarkEnd w:id="29"/>
    </w:p>
    <w:tbl>
      <w:tblPr>
        <w:tblpPr w:leftFromText="180" w:rightFromText="180" w:vertAnchor="text" w:horzAnchor="margin" w:tblpXSpec="center" w:tblpY="410"/>
        <w:tblW w:w="9962" w:type="dxa"/>
        <w:tblLook w:val="04A0" w:firstRow="1" w:lastRow="0" w:firstColumn="1" w:lastColumn="0" w:noHBand="0" w:noVBand="1"/>
      </w:tblPr>
      <w:tblGrid>
        <w:gridCol w:w="284"/>
        <w:gridCol w:w="4061"/>
        <w:gridCol w:w="1167"/>
        <w:gridCol w:w="1167"/>
        <w:gridCol w:w="1167"/>
        <w:gridCol w:w="1167"/>
        <w:gridCol w:w="1035"/>
      </w:tblGrid>
      <w:tr w:rsidR="005F0290" w:rsidRPr="00CB74C8" w14:paraId="7440A820" w14:textId="77777777" w:rsidTr="005F0290">
        <w:trPr>
          <w:trHeight w:val="288"/>
        </w:trPr>
        <w:tc>
          <w:tcPr>
            <w:tcW w:w="284" w:type="dxa"/>
            <w:tcBorders>
              <w:top w:val="nil"/>
              <w:left w:val="nil"/>
              <w:bottom w:val="nil"/>
              <w:right w:val="nil"/>
            </w:tcBorders>
            <w:noWrap/>
            <w:vAlign w:val="bottom"/>
            <w:hideMark/>
          </w:tcPr>
          <w:p w14:paraId="1F2810CF" w14:textId="77777777" w:rsidR="005F0290" w:rsidRPr="00CB74C8" w:rsidRDefault="005F0290" w:rsidP="005F0290">
            <w:pPr>
              <w:spacing w:line="240" w:lineRule="auto"/>
              <w:jc w:val="left"/>
              <w:rPr>
                <w:rFonts w:ascii="Arial" w:eastAsia="Times New Roman" w:hAnsi="Arial" w:cs="Arial"/>
                <w:bCs w:val="0"/>
                <w:kern w:val="0"/>
                <w:szCs w:val="24"/>
                <w:lang w:val="en-IN" w:eastAsia="en-IN" w:bidi="gu-IN"/>
                <w14:ligatures w14:val="none"/>
              </w:rPr>
            </w:pPr>
          </w:p>
        </w:tc>
        <w:tc>
          <w:tcPr>
            <w:tcW w:w="9678" w:type="dxa"/>
            <w:gridSpan w:val="6"/>
            <w:tcBorders>
              <w:top w:val="single" w:sz="4" w:space="0" w:color="auto"/>
              <w:left w:val="single" w:sz="4" w:space="0" w:color="auto"/>
              <w:bottom w:val="single" w:sz="4" w:space="0" w:color="auto"/>
              <w:right w:val="single" w:sz="4" w:space="0" w:color="auto"/>
            </w:tcBorders>
            <w:noWrap/>
            <w:vAlign w:val="bottom"/>
            <w:hideMark/>
          </w:tcPr>
          <w:p w14:paraId="5F199A48"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Income Statement </w:t>
            </w:r>
          </w:p>
        </w:tc>
      </w:tr>
      <w:tr w:rsidR="005F0290" w:rsidRPr="00CB74C8" w14:paraId="43474ADF" w14:textId="77777777" w:rsidTr="005F0290">
        <w:trPr>
          <w:trHeight w:val="288"/>
        </w:trPr>
        <w:tc>
          <w:tcPr>
            <w:tcW w:w="284" w:type="dxa"/>
            <w:tcBorders>
              <w:top w:val="nil"/>
              <w:left w:val="nil"/>
              <w:bottom w:val="nil"/>
              <w:right w:val="nil"/>
            </w:tcBorders>
            <w:noWrap/>
            <w:vAlign w:val="bottom"/>
            <w:hideMark/>
          </w:tcPr>
          <w:p w14:paraId="6F7ECA02"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18AEA0"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w:t>
            </w:r>
          </w:p>
        </w:tc>
        <w:tc>
          <w:tcPr>
            <w:tcW w:w="1167" w:type="dxa"/>
            <w:tcBorders>
              <w:top w:val="nil"/>
              <w:left w:val="nil"/>
              <w:bottom w:val="single" w:sz="4" w:space="0" w:color="auto"/>
              <w:right w:val="single" w:sz="4" w:space="0" w:color="auto"/>
            </w:tcBorders>
            <w:noWrap/>
            <w:vAlign w:val="bottom"/>
            <w:hideMark/>
          </w:tcPr>
          <w:p w14:paraId="43F032BA"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2025</w:t>
            </w:r>
          </w:p>
        </w:tc>
        <w:tc>
          <w:tcPr>
            <w:tcW w:w="1167" w:type="dxa"/>
            <w:tcBorders>
              <w:top w:val="nil"/>
              <w:left w:val="nil"/>
              <w:bottom w:val="single" w:sz="4" w:space="0" w:color="auto"/>
              <w:right w:val="single" w:sz="4" w:space="0" w:color="auto"/>
            </w:tcBorders>
            <w:noWrap/>
            <w:vAlign w:val="bottom"/>
            <w:hideMark/>
          </w:tcPr>
          <w:p w14:paraId="70D6D41F"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2024</w:t>
            </w:r>
          </w:p>
        </w:tc>
        <w:tc>
          <w:tcPr>
            <w:tcW w:w="1167" w:type="dxa"/>
            <w:tcBorders>
              <w:top w:val="nil"/>
              <w:left w:val="nil"/>
              <w:bottom w:val="single" w:sz="4" w:space="0" w:color="auto"/>
              <w:right w:val="single" w:sz="4" w:space="0" w:color="auto"/>
            </w:tcBorders>
            <w:noWrap/>
            <w:vAlign w:val="bottom"/>
            <w:hideMark/>
          </w:tcPr>
          <w:p w14:paraId="7C949F32"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2023</w:t>
            </w:r>
          </w:p>
        </w:tc>
        <w:tc>
          <w:tcPr>
            <w:tcW w:w="1167" w:type="dxa"/>
            <w:tcBorders>
              <w:top w:val="nil"/>
              <w:left w:val="nil"/>
              <w:bottom w:val="single" w:sz="4" w:space="0" w:color="auto"/>
              <w:right w:val="single" w:sz="4" w:space="0" w:color="auto"/>
            </w:tcBorders>
            <w:noWrap/>
            <w:vAlign w:val="bottom"/>
            <w:hideMark/>
          </w:tcPr>
          <w:p w14:paraId="6CAC3DC4"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2022</w:t>
            </w:r>
          </w:p>
        </w:tc>
        <w:tc>
          <w:tcPr>
            <w:tcW w:w="949" w:type="dxa"/>
            <w:tcBorders>
              <w:top w:val="nil"/>
              <w:left w:val="nil"/>
              <w:bottom w:val="single" w:sz="4" w:space="0" w:color="auto"/>
              <w:right w:val="single" w:sz="4" w:space="0" w:color="auto"/>
            </w:tcBorders>
            <w:noWrap/>
            <w:vAlign w:val="bottom"/>
            <w:hideMark/>
          </w:tcPr>
          <w:p w14:paraId="26CA8B1B"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2021</w:t>
            </w:r>
          </w:p>
        </w:tc>
      </w:tr>
      <w:tr w:rsidR="005F0290" w:rsidRPr="00CB74C8" w14:paraId="55BE565E" w14:textId="77777777" w:rsidTr="005F0290">
        <w:trPr>
          <w:trHeight w:val="288"/>
        </w:trPr>
        <w:tc>
          <w:tcPr>
            <w:tcW w:w="284" w:type="dxa"/>
            <w:tcBorders>
              <w:top w:val="nil"/>
              <w:left w:val="nil"/>
              <w:bottom w:val="nil"/>
              <w:right w:val="nil"/>
            </w:tcBorders>
            <w:noWrap/>
            <w:vAlign w:val="bottom"/>
            <w:hideMark/>
          </w:tcPr>
          <w:p w14:paraId="21103278"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56CD6D3"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w:t>
            </w:r>
          </w:p>
        </w:tc>
        <w:tc>
          <w:tcPr>
            <w:tcW w:w="1167" w:type="dxa"/>
            <w:tcBorders>
              <w:top w:val="nil"/>
              <w:left w:val="nil"/>
              <w:bottom w:val="single" w:sz="4" w:space="0" w:color="auto"/>
              <w:right w:val="single" w:sz="4" w:space="0" w:color="auto"/>
            </w:tcBorders>
            <w:noWrap/>
            <w:vAlign w:val="bottom"/>
            <w:hideMark/>
          </w:tcPr>
          <w:p w14:paraId="3B7A1D17"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56BADD49"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59C822DE"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6DEE8752"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Millions</w:t>
            </w:r>
          </w:p>
        </w:tc>
        <w:tc>
          <w:tcPr>
            <w:tcW w:w="949" w:type="dxa"/>
            <w:tcBorders>
              <w:top w:val="nil"/>
              <w:left w:val="nil"/>
              <w:bottom w:val="single" w:sz="4" w:space="0" w:color="auto"/>
              <w:right w:val="single" w:sz="4" w:space="0" w:color="auto"/>
            </w:tcBorders>
            <w:noWrap/>
            <w:vAlign w:val="bottom"/>
            <w:hideMark/>
          </w:tcPr>
          <w:p w14:paraId="72CA4B79"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Millions</w:t>
            </w:r>
          </w:p>
        </w:tc>
      </w:tr>
      <w:tr w:rsidR="005F0290" w:rsidRPr="00CB74C8" w14:paraId="44B22787" w14:textId="77777777" w:rsidTr="005F0290">
        <w:trPr>
          <w:trHeight w:val="288"/>
        </w:trPr>
        <w:tc>
          <w:tcPr>
            <w:tcW w:w="284" w:type="dxa"/>
            <w:tcBorders>
              <w:top w:val="nil"/>
              <w:left w:val="nil"/>
              <w:bottom w:val="nil"/>
              <w:right w:val="nil"/>
            </w:tcBorders>
            <w:noWrap/>
            <w:vAlign w:val="bottom"/>
            <w:hideMark/>
          </w:tcPr>
          <w:p w14:paraId="02044645"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79086AA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Fees Revenue</w:t>
            </w:r>
          </w:p>
        </w:tc>
        <w:tc>
          <w:tcPr>
            <w:tcW w:w="1167" w:type="dxa"/>
            <w:tcBorders>
              <w:top w:val="nil"/>
              <w:left w:val="nil"/>
              <w:bottom w:val="single" w:sz="4" w:space="0" w:color="auto"/>
              <w:right w:val="single" w:sz="4" w:space="0" w:color="auto"/>
            </w:tcBorders>
            <w:noWrap/>
            <w:vAlign w:val="bottom"/>
            <w:hideMark/>
          </w:tcPr>
          <w:p w14:paraId="52F1761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5,303 </w:t>
            </w:r>
          </w:p>
        </w:tc>
        <w:tc>
          <w:tcPr>
            <w:tcW w:w="1167" w:type="dxa"/>
            <w:tcBorders>
              <w:top w:val="nil"/>
              <w:left w:val="nil"/>
              <w:bottom w:val="single" w:sz="4" w:space="0" w:color="auto"/>
              <w:right w:val="single" w:sz="4" w:space="0" w:color="auto"/>
            </w:tcBorders>
            <w:noWrap/>
            <w:vAlign w:val="bottom"/>
            <w:hideMark/>
          </w:tcPr>
          <w:p w14:paraId="144C623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5,067 </w:t>
            </w:r>
          </w:p>
        </w:tc>
        <w:tc>
          <w:tcPr>
            <w:tcW w:w="1167" w:type="dxa"/>
            <w:tcBorders>
              <w:top w:val="nil"/>
              <w:left w:val="nil"/>
              <w:bottom w:val="single" w:sz="4" w:space="0" w:color="auto"/>
              <w:right w:val="single" w:sz="4" w:space="0" w:color="auto"/>
            </w:tcBorders>
            <w:noWrap/>
            <w:vAlign w:val="bottom"/>
            <w:hideMark/>
          </w:tcPr>
          <w:p w14:paraId="5161B11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4,736 </w:t>
            </w:r>
          </w:p>
        </w:tc>
        <w:tc>
          <w:tcPr>
            <w:tcW w:w="1167" w:type="dxa"/>
            <w:tcBorders>
              <w:top w:val="nil"/>
              <w:left w:val="nil"/>
              <w:bottom w:val="single" w:sz="4" w:space="0" w:color="auto"/>
              <w:right w:val="single" w:sz="4" w:space="0" w:color="auto"/>
            </w:tcBorders>
            <w:noWrap/>
            <w:vAlign w:val="bottom"/>
            <w:hideMark/>
          </w:tcPr>
          <w:p w14:paraId="2BD3FE5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3,989 </w:t>
            </w:r>
          </w:p>
        </w:tc>
        <w:tc>
          <w:tcPr>
            <w:tcW w:w="949" w:type="dxa"/>
            <w:tcBorders>
              <w:top w:val="nil"/>
              <w:left w:val="nil"/>
              <w:bottom w:val="single" w:sz="4" w:space="0" w:color="auto"/>
              <w:right w:val="single" w:sz="4" w:space="0" w:color="auto"/>
            </w:tcBorders>
            <w:noWrap/>
            <w:vAlign w:val="bottom"/>
            <w:hideMark/>
          </w:tcPr>
          <w:p w14:paraId="7ED1763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2,619 </w:t>
            </w:r>
          </w:p>
        </w:tc>
      </w:tr>
      <w:tr w:rsidR="005F0290" w:rsidRPr="00CB74C8" w14:paraId="6BC107C0" w14:textId="77777777" w:rsidTr="005F0290">
        <w:trPr>
          <w:trHeight w:val="288"/>
        </w:trPr>
        <w:tc>
          <w:tcPr>
            <w:tcW w:w="284" w:type="dxa"/>
            <w:tcBorders>
              <w:top w:val="nil"/>
              <w:left w:val="nil"/>
              <w:bottom w:val="nil"/>
              <w:right w:val="nil"/>
            </w:tcBorders>
            <w:noWrap/>
            <w:vAlign w:val="bottom"/>
            <w:hideMark/>
          </w:tcPr>
          <w:p w14:paraId="01A33B6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2A1A8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Owned, leased, and other revenue</w:t>
            </w:r>
          </w:p>
        </w:tc>
        <w:tc>
          <w:tcPr>
            <w:tcW w:w="1167" w:type="dxa"/>
            <w:tcBorders>
              <w:top w:val="nil"/>
              <w:left w:val="nil"/>
              <w:bottom w:val="single" w:sz="4" w:space="0" w:color="auto"/>
              <w:right w:val="single" w:sz="4" w:space="0" w:color="auto"/>
            </w:tcBorders>
            <w:noWrap/>
            <w:vAlign w:val="bottom"/>
            <w:hideMark/>
          </w:tcPr>
          <w:p w14:paraId="6048BDE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1,679 </w:t>
            </w:r>
          </w:p>
        </w:tc>
        <w:tc>
          <w:tcPr>
            <w:tcW w:w="1167" w:type="dxa"/>
            <w:tcBorders>
              <w:top w:val="nil"/>
              <w:left w:val="nil"/>
              <w:bottom w:val="single" w:sz="4" w:space="0" w:color="auto"/>
              <w:right w:val="single" w:sz="4" w:space="0" w:color="auto"/>
            </w:tcBorders>
            <w:noWrap/>
            <w:vAlign w:val="bottom"/>
            <w:hideMark/>
          </w:tcPr>
          <w:p w14:paraId="61A94A7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1,551 </w:t>
            </w:r>
          </w:p>
        </w:tc>
        <w:tc>
          <w:tcPr>
            <w:tcW w:w="1167" w:type="dxa"/>
            <w:tcBorders>
              <w:top w:val="nil"/>
              <w:left w:val="nil"/>
              <w:bottom w:val="single" w:sz="4" w:space="0" w:color="auto"/>
              <w:right w:val="single" w:sz="4" w:space="0" w:color="auto"/>
            </w:tcBorders>
            <w:noWrap/>
            <w:vAlign w:val="bottom"/>
            <w:hideMark/>
          </w:tcPr>
          <w:p w14:paraId="369A760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1,564 </w:t>
            </w:r>
          </w:p>
        </w:tc>
        <w:tc>
          <w:tcPr>
            <w:tcW w:w="1167" w:type="dxa"/>
            <w:tcBorders>
              <w:top w:val="nil"/>
              <w:left w:val="nil"/>
              <w:bottom w:val="single" w:sz="4" w:space="0" w:color="auto"/>
              <w:right w:val="single" w:sz="4" w:space="0" w:color="auto"/>
            </w:tcBorders>
            <w:noWrap/>
            <w:vAlign w:val="bottom"/>
            <w:hideMark/>
          </w:tcPr>
          <w:p w14:paraId="5EAE7FE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1,367 </w:t>
            </w:r>
          </w:p>
        </w:tc>
        <w:tc>
          <w:tcPr>
            <w:tcW w:w="949" w:type="dxa"/>
            <w:tcBorders>
              <w:top w:val="nil"/>
              <w:left w:val="nil"/>
              <w:bottom w:val="single" w:sz="4" w:space="0" w:color="auto"/>
              <w:right w:val="single" w:sz="4" w:space="0" w:color="auto"/>
            </w:tcBorders>
            <w:noWrap/>
            <w:vAlign w:val="bottom"/>
            <w:hideMark/>
          </w:tcPr>
          <w:p w14:paraId="676D6B7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796 </w:t>
            </w:r>
          </w:p>
        </w:tc>
      </w:tr>
      <w:tr w:rsidR="005F0290" w:rsidRPr="00CB74C8" w14:paraId="26A5CE84" w14:textId="77777777" w:rsidTr="005F0290">
        <w:trPr>
          <w:trHeight w:val="288"/>
        </w:trPr>
        <w:tc>
          <w:tcPr>
            <w:tcW w:w="284" w:type="dxa"/>
            <w:tcBorders>
              <w:top w:val="nil"/>
              <w:left w:val="nil"/>
              <w:bottom w:val="nil"/>
              <w:right w:val="nil"/>
            </w:tcBorders>
            <w:noWrap/>
            <w:vAlign w:val="bottom"/>
            <w:hideMark/>
          </w:tcPr>
          <w:p w14:paraId="6753482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105219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Cost reimbursement revenue</w:t>
            </w:r>
          </w:p>
        </w:tc>
        <w:tc>
          <w:tcPr>
            <w:tcW w:w="1167" w:type="dxa"/>
            <w:tcBorders>
              <w:top w:val="nil"/>
              <w:left w:val="nil"/>
              <w:bottom w:val="single" w:sz="4" w:space="0" w:color="auto"/>
              <w:right w:val="single" w:sz="4" w:space="0" w:color="auto"/>
            </w:tcBorders>
            <w:noWrap/>
            <w:vAlign w:val="bottom"/>
            <w:hideMark/>
          </w:tcPr>
          <w:p w14:paraId="3CE69AF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19,204 </w:t>
            </w:r>
          </w:p>
        </w:tc>
        <w:tc>
          <w:tcPr>
            <w:tcW w:w="1167" w:type="dxa"/>
            <w:tcBorders>
              <w:top w:val="nil"/>
              <w:left w:val="nil"/>
              <w:bottom w:val="single" w:sz="4" w:space="0" w:color="auto"/>
              <w:right w:val="single" w:sz="4" w:space="0" w:color="auto"/>
            </w:tcBorders>
            <w:noWrap/>
            <w:vAlign w:val="bottom"/>
            <w:hideMark/>
          </w:tcPr>
          <w:p w14:paraId="75D49C6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18,482 </w:t>
            </w:r>
          </w:p>
        </w:tc>
        <w:tc>
          <w:tcPr>
            <w:tcW w:w="1167" w:type="dxa"/>
            <w:tcBorders>
              <w:top w:val="nil"/>
              <w:left w:val="nil"/>
              <w:bottom w:val="single" w:sz="4" w:space="0" w:color="auto"/>
              <w:right w:val="single" w:sz="4" w:space="0" w:color="auto"/>
            </w:tcBorders>
            <w:noWrap/>
            <w:vAlign w:val="bottom"/>
            <w:hideMark/>
          </w:tcPr>
          <w:p w14:paraId="7881CF9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17,413 </w:t>
            </w:r>
          </w:p>
        </w:tc>
        <w:tc>
          <w:tcPr>
            <w:tcW w:w="1167" w:type="dxa"/>
            <w:tcBorders>
              <w:top w:val="nil"/>
              <w:left w:val="nil"/>
              <w:bottom w:val="single" w:sz="4" w:space="0" w:color="auto"/>
              <w:right w:val="single" w:sz="4" w:space="0" w:color="auto"/>
            </w:tcBorders>
            <w:noWrap/>
            <w:vAlign w:val="bottom"/>
            <w:hideMark/>
          </w:tcPr>
          <w:p w14:paraId="2705FDD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15,417 </w:t>
            </w:r>
          </w:p>
        </w:tc>
        <w:tc>
          <w:tcPr>
            <w:tcW w:w="949" w:type="dxa"/>
            <w:tcBorders>
              <w:top w:val="nil"/>
              <w:left w:val="nil"/>
              <w:bottom w:val="single" w:sz="4" w:space="0" w:color="auto"/>
              <w:right w:val="single" w:sz="4" w:space="0" w:color="auto"/>
            </w:tcBorders>
            <w:noWrap/>
            <w:vAlign w:val="bottom"/>
            <w:hideMark/>
          </w:tcPr>
          <w:p w14:paraId="2BE90D0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10,442 </w:t>
            </w:r>
          </w:p>
        </w:tc>
      </w:tr>
      <w:tr w:rsidR="005F0290" w:rsidRPr="00CB74C8" w14:paraId="1E014FE5" w14:textId="77777777" w:rsidTr="005F0290">
        <w:trPr>
          <w:trHeight w:val="288"/>
        </w:trPr>
        <w:tc>
          <w:tcPr>
            <w:tcW w:w="284" w:type="dxa"/>
            <w:tcBorders>
              <w:top w:val="nil"/>
              <w:left w:val="nil"/>
              <w:bottom w:val="nil"/>
              <w:right w:val="nil"/>
            </w:tcBorders>
            <w:noWrap/>
            <w:vAlign w:val="bottom"/>
            <w:hideMark/>
          </w:tcPr>
          <w:p w14:paraId="41F052E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3BAA380C"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Total revenue </w:t>
            </w:r>
          </w:p>
        </w:tc>
        <w:tc>
          <w:tcPr>
            <w:tcW w:w="1167" w:type="dxa"/>
            <w:tcBorders>
              <w:top w:val="nil"/>
              <w:left w:val="nil"/>
              <w:bottom w:val="single" w:sz="4" w:space="0" w:color="auto"/>
              <w:right w:val="single" w:sz="4" w:space="0" w:color="auto"/>
            </w:tcBorders>
            <w:noWrap/>
            <w:vAlign w:val="bottom"/>
            <w:hideMark/>
          </w:tcPr>
          <w:p w14:paraId="0C34F80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26,186 </w:t>
            </w:r>
          </w:p>
        </w:tc>
        <w:tc>
          <w:tcPr>
            <w:tcW w:w="1167" w:type="dxa"/>
            <w:tcBorders>
              <w:top w:val="nil"/>
              <w:left w:val="nil"/>
              <w:bottom w:val="single" w:sz="4" w:space="0" w:color="auto"/>
              <w:right w:val="single" w:sz="4" w:space="0" w:color="auto"/>
            </w:tcBorders>
            <w:noWrap/>
            <w:vAlign w:val="bottom"/>
            <w:hideMark/>
          </w:tcPr>
          <w:p w14:paraId="671D06CD"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25,100 </w:t>
            </w:r>
          </w:p>
        </w:tc>
        <w:tc>
          <w:tcPr>
            <w:tcW w:w="1167" w:type="dxa"/>
            <w:tcBorders>
              <w:top w:val="nil"/>
              <w:left w:val="nil"/>
              <w:bottom w:val="single" w:sz="4" w:space="0" w:color="auto"/>
              <w:right w:val="single" w:sz="4" w:space="0" w:color="auto"/>
            </w:tcBorders>
            <w:noWrap/>
            <w:vAlign w:val="bottom"/>
            <w:hideMark/>
          </w:tcPr>
          <w:p w14:paraId="5F9ADEE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23,713 </w:t>
            </w:r>
          </w:p>
        </w:tc>
        <w:tc>
          <w:tcPr>
            <w:tcW w:w="1167" w:type="dxa"/>
            <w:tcBorders>
              <w:top w:val="nil"/>
              <w:left w:val="nil"/>
              <w:bottom w:val="single" w:sz="4" w:space="0" w:color="auto"/>
              <w:right w:val="single" w:sz="4" w:space="0" w:color="auto"/>
            </w:tcBorders>
            <w:noWrap/>
            <w:vAlign w:val="bottom"/>
            <w:hideMark/>
          </w:tcPr>
          <w:p w14:paraId="536559F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20,773 </w:t>
            </w:r>
          </w:p>
        </w:tc>
        <w:tc>
          <w:tcPr>
            <w:tcW w:w="949" w:type="dxa"/>
            <w:tcBorders>
              <w:top w:val="nil"/>
              <w:left w:val="nil"/>
              <w:bottom w:val="single" w:sz="4" w:space="0" w:color="auto"/>
              <w:right w:val="single" w:sz="4" w:space="0" w:color="auto"/>
            </w:tcBorders>
            <w:noWrap/>
            <w:vAlign w:val="bottom"/>
            <w:hideMark/>
          </w:tcPr>
          <w:p w14:paraId="72395F13"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13,857 </w:t>
            </w:r>
          </w:p>
        </w:tc>
      </w:tr>
      <w:tr w:rsidR="005F0290" w:rsidRPr="00CB74C8" w14:paraId="407A0B3B" w14:textId="77777777" w:rsidTr="005F0290">
        <w:trPr>
          <w:trHeight w:val="288"/>
        </w:trPr>
        <w:tc>
          <w:tcPr>
            <w:tcW w:w="284" w:type="dxa"/>
            <w:tcBorders>
              <w:top w:val="nil"/>
              <w:left w:val="nil"/>
              <w:bottom w:val="nil"/>
              <w:right w:val="nil"/>
            </w:tcBorders>
            <w:noWrap/>
            <w:vAlign w:val="bottom"/>
            <w:hideMark/>
          </w:tcPr>
          <w:p w14:paraId="3362BE9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3560E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Owned, leased, and other expense</w:t>
            </w:r>
          </w:p>
        </w:tc>
        <w:tc>
          <w:tcPr>
            <w:tcW w:w="1167" w:type="dxa"/>
            <w:tcBorders>
              <w:top w:val="nil"/>
              <w:left w:val="nil"/>
              <w:bottom w:val="single" w:sz="4" w:space="0" w:color="auto"/>
              <w:right w:val="single" w:sz="4" w:space="0" w:color="auto"/>
            </w:tcBorders>
            <w:noWrap/>
            <w:vAlign w:val="bottom"/>
            <w:hideMark/>
          </w:tcPr>
          <w:p w14:paraId="10D30F1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1,461 </w:t>
            </w:r>
          </w:p>
        </w:tc>
        <w:tc>
          <w:tcPr>
            <w:tcW w:w="1167" w:type="dxa"/>
            <w:tcBorders>
              <w:top w:val="nil"/>
              <w:left w:val="nil"/>
              <w:bottom w:val="single" w:sz="4" w:space="0" w:color="auto"/>
              <w:right w:val="single" w:sz="4" w:space="0" w:color="auto"/>
            </w:tcBorders>
            <w:noWrap/>
            <w:vAlign w:val="bottom"/>
            <w:hideMark/>
          </w:tcPr>
          <w:p w14:paraId="0BF63CA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1,329 </w:t>
            </w:r>
          </w:p>
        </w:tc>
        <w:tc>
          <w:tcPr>
            <w:tcW w:w="1167" w:type="dxa"/>
            <w:tcBorders>
              <w:top w:val="nil"/>
              <w:left w:val="nil"/>
              <w:bottom w:val="single" w:sz="4" w:space="0" w:color="auto"/>
              <w:right w:val="single" w:sz="4" w:space="0" w:color="auto"/>
            </w:tcBorders>
            <w:noWrap/>
            <w:vAlign w:val="bottom"/>
            <w:hideMark/>
          </w:tcPr>
          <w:p w14:paraId="0082542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1,165 </w:t>
            </w:r>
          </w:p>
        </w:tc>
        <w:tc>
          <w:tcPr>
            <w:tcW w:w="1167" w:type="dxa"/>
            <w:tcBorders>
              <w:top w:val="nil"/>
              <w:left w:val="nil"/>
              <w:bottom w:val="single" w:sz="4" w:space="0" w:color="auto"/>
              <w:right w:val="single" w:sz="4" w:space="0" w:color="auto"/>
            </w:tcBorders>
            <w:noWrap/>
            <w:vAlign w:val="bottom"/>
            <w:hideMark/>
          </w:tcPr>
          <w:p w14:paraId="22E2079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1,074 </w:t>
            </w:r>
          </w:p>
        </w:tc>
        <w:tc>
          <w:tcPr>
            <w:tcW w:w="949" w:type="dxa"/>
            <w:tcBorders>
              <w:top w:val="nil"/>
              <w:left w:val="nil"/>
              <w:bottom w:val="single" w:sz="4" w:space="0" w:color="auto"/>
              <w:right w:val="single" w:sz="4" w:space="0" w:color="auto"/>
            </w:tcBorders>
            <w:noWrap/>
            <w:vAlign w:val="bottom"/>
            <w:hideMark/>
          </w:tcPr>
          <w:p w14:paraId="544A465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734 </w:t>
            </w:r>
          </w:p>
        </w:tc>
      </w:tr>
      <w:tr w:rsidR="005F0290" w:rsidRPr="00CB74C8" w14:paraId="52FCBB72" w14:textId="77777777" w:rsidTr="005F0290">
        <w:trPr>
          <w:trHeight w:val="288"/>
        </w:trPr>
        <w:tc>
          <w:tcPr>
            <w:tcW w:w="284" w:type="dxa"/>
            <w:tcBorders>
              <w:top w:val="nil"/>
              <w:left w:val="nil"/>
              <w:bottom w:val="nil"/>
              <w:right w:val="nil"/>
            </w:tcBorders>
            <w:noWrap/>
            <w:vAlign w:val="bottom"/>
            <w:hideMark/>
          </w:tcPr>
          <w:p w14:paraId="250DA37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1744B53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General and administrative</w:t>
            </w:r>
          </w:p>
        </w:tc>
        <w:tc>
          <w:tcPr>
            <w:tcW w:w="1167" w:type="dxa"/>
            <w:tcBorders>
              <w:top w:val="nil"/>
              <w:left w:val="nil"/>
              <w:bottom w:val="single" w:sz="4" w:space="0" w:color="auto"/>
              <w:right w:val="single" w:sz="4" w:space="0" w:color="auto"/>
            </w:tcBorders>
            <w:noWrap/>
            <w:vAlign w:val="bottom"/>
            <w:hideMark/>
          </w:tcPr>
          <w:p w14:paraId="41E8E68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870 </w:t>
            </w:r>
          </w:p>
        </w:tc>
        <w:tc>
          <w:tcPr>
            <w:tcW w:w="1167" w:type="dxa"/>
            <w:tcBorders>
              <w:top w:val="nil"/>
              <w:left w:val="nil"/>
              <w:bottom w:val="single" w:sz="4" w:space="0" w:color="auto"/>
              <w:right w:val="single" w:sz="4" w:space="0" w:color="auto"/>
            </w:tcBorders>
            <w:noWrap/>
            <w:vAlign w:val="bottom"/>
            <w:hideMark/>
          </w:tcPr>
          <w:p w14:paraId="1EE0CA4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945 </w:t>
            </w:r>
          </w:p>
        </w:tc>
        <w:tc>
          <w:tcPr>
            <w:tcW w:w="1167" w:type="dxa"/>
            <w:tcBorders>
              <w:top w:val="nil"/>
              <w:left w:val="nil"/>
              <w:bottom w:val="single" w:sz="4" w:space="0" w:color="auto"/>
              <w:right w:val="single" w:sz="4" w:space="0" w:color="auto"/>
            </w:tcBorders>
            <w:noWrap/>
            <w:vAlign w:val="bottom"/>
            <w:hideMark/>
          </w:tcPr>
          <w:p w14:paraId="30BD85C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1,011 </w:t>
            </w:r>
          </w:p>
        </w:tc>
        <w:tc>
          <w:tcPr>
            <w:tcW w:w="1167" w:type="dxa"/>
            <w:tcBorders>
              <w:top w:val="nil"/>
              <w:left w:val="nil"/>
              <w:bottom w:val="single" w:sz="4" w:space="0" w:color="auto"/>
              <w:right w:val="single" w:sz="4" w:space="0" w:color="auto"/>
            </w:tcBorders>
            <w:noWrap/>
            <w:vAlign w:val="bottom"/>
            <w:hideMark/>
          </w:tcPr>
          <w:p w14:paraId="71C0DCC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891 </w:t>
            </w:r>
          </w:p>
        </w:tc>
        <w:tc>
          <w:tcPr>
            <w:tcW w:w="949" w:type="dxa"/>
            <w:tcBorders>
              <w:top w:val="nil"/>
              <w:left w:val="nil"/>
              <w:bottom w:val="single" w:sz="4" w:space="0" w:color="auto"/>
              <w:right w:val="single" w:sz="4" w:space="0" w:color="auto"/>
            </w:tcBorders>
            <w:noWrap/>
            <w:vAlign w:val="bottom"/>
            <w:hideMark/>
          </w:tcPr>
          <w:p w14:paraId="0EE3C4A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823 </w:t>
            </w:r>
          </w:p>
        </w:tc>
      </w:tr>
      <w:tr w:rsidR="005F0290" w:rsidRPr="00CB74C8" w14:paraId="14202387" w14:textId="77777777" w:rsidTr="005F0290">
        <w:trPr>
          <w:trHeight w:val="288"/>
        </w:trPr>
        <w:tc>
          <w:tcPr>
            <w:tcW w:w="284" w:type="dxa"/>
            <w:tcBorders>
              <w:top w:val="nil"/>
              <w:left w:val="nil"/>
              <w:bottom w:val="nil"/>
              <w:right w:val="nil"/>
            </w:tcBorders>
            <w:noWrap/>
            <w:vAlign w:val="bottom"/>
            <w:hideMark/>
          </w:tcPr>
          <w:p w14:paraId="44AFF0C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2CB4355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Reimbursed expenses</w:t>
            </w:r>
          </w:p>
        </w:tc>
        <w:tc>
          <w:tcPr>
            <w:tcW w:w="1167" w:type="dxa"/>
            <w:tcBorders>
              <w:top w:val="nil"/>
              <w:left w:val="nil"/>
              <w:bottom w:val="single" w:sz="4" w:space="0" w:color="auto"/>
              <w:right w:val="single" w:sz="4" w:space="0" w:color="auto"/>
            </w:tcBorders>
            <w:noWrap/>
            <w:vAlign w:val="bottom"/>
            <w:hideMark/>
          </w:tcPr>
          <w:p w14:paraId="186F35E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19,503 </w:t>
            </w:r>
          </w:p>
        </w:tc>
        <w:tc>
          <w:tcPr>
            <w:tcW w:w="1167" w:type="dxa"/>
            <w:tcBorders>
              <w:top w:val="nil"/>
              <w:left w:val="nil"/>
              <w:bottom w:val="single" w:sz="4" w:space="0" w:color="auto"/>
              <w:right w:val="single" w:sz="4" w:space="0" w:color="auto"/>
            </w:tcBorders>
            <w:noWrap/>
            <w:vAlign w:val="bottom"/>
            <w:hideMark/>
          </w:tcPr>
          <w:p w14:paraId="7D73BCF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18,799 </w:t>
            </w:r>
          </w:p>
        </w:tc>
        <w:tc>
          <w:tcPr>
            <w:tcW w:w="1167" w:type="dxa"/>
            <w:tcBorders>
              <w:top w:val="nil"/>
              <w:left w:val="nil"/>
              <w:bottom w:val="single" w:sz="4" w:space="0" w:color="auto"/>
              <w:right w:val="single" w:sz="4" w:space="0" w:color="auto"/>
            </w:tcBorders>
            <w:noWrap/>
            <w:vAlign w:val="bottom"/>
            <w:hideMark/>
          </w:tcPr>
          <w:p w14:paraId="5C24B4E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17,424 </w:t>
            </w:r>
          </w:p>
        </w:tc>
        <w:tc>
          <w:tcPr>
            <w:tcW w:w="1167" w:type="dxa"/>
            <w:tcBorders>
              <w:top w:val="nil"/>
              <w:left w:val="nil"/>
              <w:bottom w:val="single" w:sz="4" w:space="0" w:color="auto"/>
              <w:right w:val="single" w:sz="4" w:space="0" w:color="auto"/>
            </w:tcBorders>
            <w:noWrap/>
            <w:vAlign w:val="bottom"/>
            <w:hideMark/>
          </w:tcPr>
          <w:p w14:paraId="073D013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15,141 </w:t>
            </w:r>
          </w:p>
        </w:tc>
        <w:tc>
          <w:tcPr>
            <w:tcW w:w="949" w:type="dxa"/>
            <w:tcBorders>
              <w:top w:val="nil"/>
              <w:left w:val="nil"/>
              <w:bottom w:val="single" w:sz="4" w:space="0" w:color="auto"/>
              <w:right w:val="single" w:sz="4" w:space="0" w:color="auto"/>
            </w:tcBorders>
            <w:noWrap/>
            <w:vAlign w:val="bottom"/>
            <w:hideMark/>
          </w:tcPr>
          <w:p w14:paraId="4A64B27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10,322 </w:t>
            </w:r>
          </w:p>
        </w:tc>
      </w:tr>
      <w:tr w:rsidR="005F0290" w:rsidRPr="00CB74C8" w14:paraId="398EC364" w14:textId="77777777" w:rsidTr="005F0290">
        <w:trPr>
          <w:trHeight w:val="288"/>
        </w:trPr>
        <w:tc>
          <w:tcPr>
            <w:tcW w:w="284" w:type="dxa"/>
            <w:tcBorders>
              <w:top w:val="nil"/>
              <w:left w:val="nil"/>
              <w:bottom w:val="nil"/>
              <w:right w:val="nil"/>
            </w:tcBorders>
            <w:noWrap/>
            <w:vAlign w:val="bottom"/>
            <w:hideMark/>
          </w:tcPr>
          <w:p w14:paraId="2FFFBBC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0D36A95"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Total costs</w:t>
            </w:r>
          </w:p>
        </w:tc>
        <w:tc>
          <w:tcPr>
            <w:tcW w:w="1167" w:type="dxa"/>
            <w:tcBorders>
              <w:top w:val="nil"/>
              <w:left w:val="nil"/>
              <w:bottom w:val="single" w:sz="4" w:space="0" w:color="auto"/>
              <w:right w:val="single" w:sz="4" w:space="0" w:color="auto"/>
            </w:tcBorders>
            <w:noWrap/>
            <w:vAlign w:val="bottom"/>
            <w:hideMark/>
          </w:tcPr>
          <w:p w14:paraId="49AC8CD4"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22,045 </w:t>
            </w:r>
          </w:p>
        </w:tc>
        <w:tc>
          <w:tcPr>
            <w:tcW w:w="1167" w:type="dxa"/>
            <w:tcBorders>
              <w:top w:val="nil"/>
              <w:left w:val="nil"/>
              <w:bottom w:val="single" w:sz="4" w:space="0" w:color="auto"/>
              <w:right w:val="single" w:sz="4" w:space="0" w:color="auto"/>
            </w:tcBorders>
            <w:noWrap/>
            <w:vAlign w:val="bottom"/>
            <w:hideMark/>
          </w:tcPr>
          <w:p w14:paraId="7BA36B6B"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21,333 </w:t>
            </w:r>
          </w:p>
        </w:tc>
        <w:tc>
          <w:tcPr>
            <w:tcW w:w="1167" w:type="dxa"/>
            <w:tcBorders>
              <w:top w:val="nil"/>
              <w:left w:val="nil"/>
              <w:bottom w:val="single" w:sz="4" w:space="0" w:color="auto"/>
              <w:right w:val="single" w:sz="4" w:space="0" w:color="auto"/>
            </w:tcBorders>
            <w:noWrap/>
            <w:vAlign w:val="bottom"/>
            <w:hideMark/>
          </w:tcPr>
          <w:p w14:paraId="475CDB56"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19,849 </w:t>
            </w:r>
          </w:p>
        </w:tc>
        <w:tc>
          <w:tcPr>
            <w:tcW w:w="1167" w:type="dxa"/>
            <w:tcBorders>
              <w:top w:val="nil"/>
              <w:left w:val="nil"/>
              <w:bottom w:val="single" w:sz="4" w:space="0" w:color="auto"/>
              <w:right w:val="single" w:sz="4" w:space="0" w:color="auto"/>
            </w:tcBorders>
            <w:noWrap/>
            <w:vAlign w:val="bottom"/>
            <w:hideMark/>
          </w:tcPr>
          <w:p w14:paraId="505748A2"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17,311 </w:t>
            </w:r>
          </w:p>
        </w:tc>
        <w:tc>
          <w:tcPr>
            <w:tcW w:w="949" w:type="dxa"/>
            <w:tcBorders>
              <w:top w:val="nil"/>
              <w:left w:val="nil"/>
              <w:bottom w:val="single" w:sz="4" w:space="0" w:color="auto"/>
              <w:right w:val="single" w:sz="4" w:space="0" w:color="auto"/>
            </w:tcBorders>
            <w:noWrap/>
            <w:vAlign w:val="bottom"/>
            <w:hideMark/>
          </w:tcPr>
          <w:p w14:paraId="3F8A594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12,107 </w:t>
            </w:r>
          </w:p>
        </w:tc>
      </w:tr>
      <w:tr w:rsidR="005F0290" w:rsidRPr="00CB74C8" w14:paraId="51E7702B" w14:textId="77777777" w:rsidTr="005F0290">
        <w:trPr>
          <w:trHeight w:val="288"/>
        </w:trPr>
        <w:tc>
          <w:tcPr>
            <w:tcW w:w="284" w:type="dxa"/>
            <w:tcBorders>
              <w:top w:val="nil"/>
              <w:left w:val="nil"/>
              <w:bottom w:val="nil"/>
              <w:right w:val="nil"/>
            </w:tcBorders>
            <w:noWrap/>
            <w:vAlign w:val="bottom"/>
            <w:hideMark/>
          </w:tcPr>
          <w:p w14:paraId="34EAB6A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2B6F2BD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Operating income</w:t>
            </w:r>
          </w:p>
        </w:tc>
        <w:tc>
          <w:tcPr>
            <w:tcW w:w="1167" w:type="dxa"/>
            <w:tcBorders>
              <w:top w:val="nil"/>
              <w:left w:val="nil"/>
              <w:bottom w:val="single" w:sz="4" w:space="0" w:color="auto"/>
              <w:right w:val="single" w:sz="4" w:space="0" w:color="auto"/>
            </w:tcBorders>
            <w:noWrap/>
            <w:vAlign w:val="bottom"/>
            <w:hideMark/>
          </w:tcPr>
          <w:p w14:paraId="62F2CAB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4,141 </w:t>
            </w:r>
          </w:p>
        </w:tc>
        <w:tc>
          <w:tcPr>
            <w:tcW w:w="1167" w:type="dxa"/>
            <w:tcBorders>
              <w:top w:val="nil"/>
              <w:left w:val="nil"/>
              <w:bottom w:val="single" w:sz="4" w:space="0" w:color="auto"/>
              <w:right w:val="single" w:sz="4" w:space="0" w:color="auto"/>
            </w:tcBorders>
            <w:noWrap/>
            <w:vAlign w:val="bottom"/>
            <w:hideMark/>
          </w:tcPr>
          <w:p w14:paraId="1758FF32"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3,767 </w:t>
            </w:r>
          </w:p>
        </w:tc>
        <w:tc>
          <w:tcPr>
            <w:tcW w:w="1167" w:type="dxa"/>
            <w:tcBorders>
              <w:top w:val="nil"/>
              <w:left w:val="nil"/>
              <w:bottom w:val="single" w:sz="4" w:space="0" w:color="auto"/>
              <w:right w:val="single" w:sz="4" w:space="0" w:color="auto"/>
            </w:tcBorders>
            <w:noWrap/>
            <w:vAlign w:val="bottom"/>
            <w:hideMark/>
          </w:tcPr>
          <w:p w14:paraId="4C42D3AA"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3,864 </w:t>
            </w:r>
          </w:p>
        </w:tc>
        <w:tc>
          <w:tcPr>
            <w:tcW w:w="1167" w:type="dxa"/>
            <w:tcBorders>
              <w:top w:val="nil"/>
              <w:left w:val="nil"/>
              <w:bottom w:val="single" w:sz="4" w:space="0" w:color="auto"/>
              <w:right w:val="single" w:sz="4" w:space="0" w:color="auto"/>
            </w:tcBorders>
            <w:noWrap/>
            <w:vAlign w:val="bottom"/>
            <w:hideMark/>
          </w:tcPr>
          <w:p w14:paraId="3ABF0AE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3,462 </w:t>
            </w:r>
          </w:p>
        </w:tc>
        <w:tc>
          <w:tcPr>
            <w:tcW w:w="949" w:type="dxa"/>
            <w:tcBorders>
              <w:top w:val="nil"/>
              <w:left w:val="nil"/>
              <w:bottom w:val="single" w:sz="4" w:space="0" w:color="auto"/>
              <w:right w:val="single" w:sz="4" w:space="0" w:color="auto"/>
            </w:tcBorders>
            <w:noWrap/>
            <w:vAlign w:val="bottom"/>
            <w:hideMark/>
          </w:tcPr>
          <w:p w14:paraId="4E13350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1,750 </w:t>
            </w:r>
          </w:p>
        </w:tc>
      </w:tr>
      <w:tr w:rsidR="005F0290" w:rsidRPr="00CB74C8" w14:paraId="4A20E624" w14:textId="77777777" w:rsidTr="005F0290">
        <w:trPr>
          <w:trHeight w:val="288"/>
        </w:trPr>
        <w:tc>
          <w:tcPr>
            <w:tcW w:w="284" w:type="dxa"/>
            <w:tcBorders>
              <w:top w:val="nil"/>
              <w:left w:val="nil"/>
              <w:bottom w:val="nil"/>
              <w:right w:val="nil"/>
            </w:tcBorders>
            <w:noWrap/>
            <w:vAlign w:val="bottom"/>
            <w:hideMark/>
          </w:tcPr>
          <w:p w14:paraId="36C6F4CB"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9A9DB0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Interest expense</w:t>
            </w:r>
          </w:p>
        </w:tc>
        <w:tc>
          <w:tcPr>
            <w:tcW w:w="1167" w:type="dxa"/>
            <w:tcBorders>
              <w:top w:val="nil"/>
              <w:left w:val="nil"/>
              <w:bottom w:val="single" w:sz="4" w:space="0" w:color="auto"/>
              <w:right w:val="single" w:sz="4" w:space="0" w:color="auto"/>
            </w:tcBorders>
            <w:noWrap/>
            <w:vAlign w:val="bottom"/>
            <w:hideMark/>
          </w:tcPr>
          <w:p w14:paraId="54454A4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809 </w:t>
            </w:r>
          </w:p>
        </w:tc>
        <w:tc>
          <w:tcPr>
            <w:tcW w:w="1167" w:type="dxa"/>
            <w:tcBorders>
              <w:top w:val="nil"/>
              <w:left w:val="nil"/>
              <w:bottom w:val="single" w:sz="4" w:space="0" w:color="auto"/>
              <w:right w:val="single" w:sz="4" w:space="0" w:color="auto"/>
            </w:tcBorders>
            <w:noWrap/>
            <w:vAlign w:val="bottom"/>
            <w:hideMark/>
          </w:tcPr>
          <w:p w14:paraId="013E72D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695 </w:t>
            </w:r>
          </w:p>
        </w:tc>
        <w:tc>
          <w:tcPr>
            <w:tcW w:w="1167" w:type="dxa"/>
            <w:tcBorders>
              <w:top w:val="nil"/>
              <w:left w:val="nil"/>
              <w:bottom w:val="single" w:sz="4" w:space="0" w:color="auto"/>
              <w:right w:val="single" w:sz="4" w:space="0" w:color="auto"/>
            </w:tcBorders>
            <w:noWrap/>
            <w:vAlign w:val="bottom"/>
            <w:hideMark/>
          </w:tcPr>
          <w:p w14:paraId="53C9343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565 </w:t>
            </w:r>
          </w:p>
        </w:tc>
        <w:tc>
          <w:tcPr>
            <w:tcW w:w="1167" w:type="dxa"/>
            <w:tcBorders>
              <w:top w:val="nil"/>
              <w:left w:val="nil"/>
              <w:bottom w:val="single" w:sz="4" w:space="0" w:color="auto"/>
              <w:right w:val="single" w:sz="4" w:space="0" w:color="auto"/>
            </w:tcBorders>
            <w:noWrap/>
            <w:vAlign w:val="bottom"/>
            <w:hideMark/>
          </w:tcPr>
          <w:p w14:paraId="68E4269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403 </w:t>
            </w:r>
          </w:p>
        </w:tc>
        <w:tc>
          <w:tcPr>
            <w:tcW w:w="949" w:type="dxa"/>
            <w:tcBorders>
              <w:top w:val="nil"/>
              <w:left w:val="nil"/>
              <w:bottom w:val="single" w:sz="4" w:space="0" w:color="auto"/>
              <w:right w:val="single" w:sz="4" w:space="0" w:color="auto"/>
            </w:tcBorders>
            <w:noWrap/>
            <w:vAlign w:val="bottom"/>
            <w:hideMark/>
          </w:tcPr>
          <w:p w14:paraId="13A8B47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420 </w:t>
            </w:r>
          </w:p>
        </w:tc>
      </w:tr>
      <w:tr w:rsidR="005F0290" w:rsidRPr="00CB74C8" w14:paraId="1299250B" w14:textId="77777777" w:rsidTr="005F0290">
        <w:trPr>
          <w:trHeight w:val="288"/>
        </w:trPr>
        <w:tc>
          <w:tcPr>
            <w:tcW w:w="284" w:type="dxa"/>
            <w:tcBorders>
              <w:top w:val="nil"/>
              <w:left w:val="nil"/>
              <w:bottom w:val="nil"/>
              <w:right w:val="nil"/>
            </w:tcBorders>
            <w:noWrap/>
            <w:vAlign w:val="bottom"/>
            <w:hideMark/>
          </w:tcPr>
          <w:p w14:paraId="6B29DEE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4059060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Net income</w:t>
            </w:r>
          </w:p>
        </w:tc>
        <w:tc>
          <w:tcPr>
            <w:tcW w:w="1167" w:type="dxa"/>
            <w:tcBorders>
              <w:top w:val="nil"/>
              <w:left w:val="nil"/>
              <w:bottom w:val="single" w:sz="4" w:space="0" w:color="auto"/>
              <w:right w:val="single" w:sz="4" w:space="0" w:color="auto"/>
            </w:tcBorders>
            <w:noWrap/>
            <w:vAlign w:val="bottom"/>
            <w:hideMark/>
          </w:tcPr>
          <w:p w14:paraId="3248364C"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2,601 </w:t>
            </w:r>
          </w:p>
        </w:tc>
        <w:tc>
          <w:tcPr>
            <w:tcW w:w="1167" w:type="dxa"/>
            <w:tcBorders>
              <w:top w:val="nil"/>
              <w:left w:val="nil"/>
              <w:bottom w:val="single" w:sz="4" w:space="0" w:color="auto"/>
              <w:right w:val="single" w:sz="4" w:space="0" w:color="auto"/>
            </w:tcBorders>
            <w:noWrap/>
            <w:vAlign w:val="bottom"/>
            <w:hideMark/>
          </w:tcPr>
          <w:p w14:paraId="1757C499"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2,375 </w:t>
            </w:r>
          </w:p>
        </w:tc>
        <w:tc>
          <w:tcPr>
            <w:tcW w:w="1167" w:type="dxa"/>
            <w:tcBorders>
              <w:top w:val="nil"/>
              <w:left w:val="nil"/>
              <w:bottom w:val="single" w:sz="4" w:space="0" w:color="auto"/>
              <w:right w:val="single" w:sz="4" w:space="0" w:color="auto"/>
            </w:tcBorders>
            <w:noWrap/>
            <w:vAlign w:val="bottom"/>
            <w:hideMark/>
          </w:tcPr>
          <w:p w14:paraId="1D1DE3E5"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3,083 </w:t>
            </w:r>
          </w:p>
        </w:tc>
        <w:tc>
          <w:tcPr>
            <w:tcW w:w="1167" w:type="dxa"/>
            <w:tcBorders>
              <w:top w:val="nil"/>
              <w:left w:val="nil"/>
              <w:bottom w:val="single" w:sz="4" w:space="0" w:color="auto"/>
              <w:right w:val="single" w:sz="4" w:space="0" w:color="auto"/>
            </w:tcBorders>
            <w:noWrap/>
            <w:vAlign w:val="bottom"/>
            <w:hideMark/>
          </w:tcPr>
          <w:p w14:paraId="1EBC9884"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2,358 </w:t>
            </w:r>
          </w:p>
        </w:tc>
        <w:tc>
          <w:tcPr>
            <w:tcW w:w="949" w:type="dxa"/>
            <w:tcBorders>
              <w:top w:val="nil"/>
              <w:left w:val="nil"/>
              <w:bottom w:val="single" w:sz="4" w:space="0" w:color="auto"/>
              <w:right w:val="single" w:sz="4" w:space="0" w:color="auto"/>
            </w:tcBorders>
            <w:noWrap/>
            <w:vAlign w:val="bottom"/>
            <w:hideMark/>
          </w:tcPr>
          <w:p w14:paraId="4433CF0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1,099 </w:t>
            </w:r>
          </w:p>
        </w:tc>
      </w:tr>
    </w:tbl>
    <w:p w14:paraId="048986D8" w14:textId="78ABB058" w:rsidR="000C4159" w:rsidRPr="00CB74C8" w:rsidRDefault="000C4159" w:rsidP="00B469AF">
      <w:pPr>
        <w:pStyle w:val="Heading2"/>
        <w:rPr>
          <w:rFonts w:ascii="Arial" w:hAnsi="Arial" w:cs="Arial"/>
          <w:szCs w:val="24"/>
        </w:rPr>
      </w:pPr>
      <w:bookmarkStart w:id="30" w:name="_Toc237459267"/>
      <w:r w:rsidRPr="00CB74C8">
        <w:rPr>
          <w:rFonts w:ascii="Arial" w:hAnsi="Arial" w:cs="Arial"/>
          <w:szCs w:val="24"/>
        </w:rPr>
        <w:t>Appendix 1: Vertical and Horizontal Analysis</w:t>
      </w:r>
      <w:bookmarkEnd w:id="30"/>
    </w:p>
    <w:p w14:paraId="5BA7DBDC" w14:textId="77777777" w:rsidR="005F0290" w:rsidRPr="00CB74C8" w:rsidRDefault="005F0290" w:rsidP="005F0290">
      <w:pPr>
        <w:rPr>
          <w:rFonts w:ascii="Arial" w:hAnsi="Arial" w:cs="Arial"/>
        </w:rPr>
      </w:pPr>
    </w:p>
    <w:p w14:paraId="59ABD2D2" w14:textId="04772AAE" w:rsidR="00280786" w:rsidRPr="00CB74C8" w:rsidRDefault="00E82D61" w:rsidP="00B469AF">
      <w:pPr>
        <w:rPr>
          <w:rFonts w:ascii="Arial" w:hAnsi="Arial" w:cs="Arial"/>
          <w:szCs w:val="24"/>
        </w:rPr>
      </w:pPr>
      <w:r w:rsidRPr="00CB74C8">
        <w:rPr>
          <w:rFonts w:ascii="Arial" w:hAnsi="Arial" w:cs="Arial"/>
          <w:noProof/>
          <w:szCs w:val="24"/>
        </w:rPr>
        <w:drawing>
          <wp:inline distT="0" distB="0" distL="0" distR="0" wp14:anchorId="6AAD0264" wp14:editId="0A41A47A">
            <wp:extent cx="5410200" cy="2676525"/>
            <wp:effectExtent l="0" t="0" r="0" b="9525"/>
            <wp:docPr id="97594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0200" cy="2676525"/>
                    </a:xfrm>
                    <a:prstGeom prst="rect">
                      <a:avLst/>
                    </a:prstGeom>
                    <a:noFill/>
                    <a:ln>
                      <a:noFill/>
                    </a:ln>
                  </pic:spPr>
                </pic:pic>
              </a:graphicData>
            </a:graphic>
          </wp:inline>
        </w:drawing>
      </w:r>
    </w:p>
    <w:p w14:paraId="1C792FF0" w14:textId="02B0473A" w:rsidR="00E35E7F" w:rsidRPr="00CB74C8" w:rsidRDefault="00E35E7F" w:rsidP="00B469AF">
      <w:pPr>
        <w:rPr>
          <w:rFonts w:ascii="Arial" w:hAnsi="Arial" w:cs="Arial"/>
          <w:szCs w:val="24"/>
        </w:rPr>
      </w:pPr>
      <w:r w:rsidRPr="00CB74C8">
        <w:rPr>
          <w:rFonts w:ascii="Arial" w:hAnsi="Arial" w:cs="Arial"/>
          <w:noProof/>
          <w:szCs w:val="24"/>
        </w:rPr>
        <w:lastRenderedPageBreak/>
        <w:drawing>
          <wp:inline distT="0" distB="0" distL="0" distR="0" wp14:anchorId="3FA93D42" wp14:editId="5A9FE7DE">
            <wp:extent cx="5705475" cy="2676525"/>
            <wp:effectExtent l="0" t="0" r="9525" b="9525"/>
            <wp:docPr id="209166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5475" cy="2676525"/>
                    </a:xfrm>
                    <a:prstGeom prst="rect">
                      <a:avLst/>
                    </a:prstGeom>
                    <a:noFill/>
                    <a:ln>
                      <a:noFill/>
                    </a:ln>
                  </pic:spPr>
                </pic:pic>
              </a:graphicData>
            </a:graphic>
          </wp:inline>
        </w:drawing>
      </w:r>
    </w:p>
    <w:p w14:paraId="58BAF75E" w14:textId="77777777" w:rsidR="005F0290" w:rsidRPr="00CB74C8" w:rsidRDefault="005F0290" w:rsidP="00B469AF">
      <w:pPr>
        <w:rPr>
          <w:rFonts w:ascii="Arial" w:hAnsi="Arial" w:cs="Arial"/>
          <w:szCs w:val="24"/>
        </w:rPr>
      </w:pPr>
    </w:p>
    <w:p w14:paraId="14694606" w14:textId="2B5A37CB" w:rsidR="00501936" w:rsidRPr="00CB74C8" w:rsidRDefault="00501936" w:rsidP="00B469AF">
      <w:pPr>
        <w:rPr>
          <w:rFonts w:ascii="Arial" w:hAnsi="Arial" w:cs="Arial"/>
          <w:szCs w:val="24"/>
        </w:rPr>
      </w:pPr>
      <w:r w:rsidRPr="00CB74C8">
        <w:rPr>
          <w:rFonts w:ascii="Arial" w:hAnsi="Arial" w:cs="Arial"/>
          <w:noProof/>
          <w:szCs w:val="24"/>
        </w:rPr>
        <w:drawing>
          <wp:inline distT="0" distB="0" distL="0" distR="0" wp14:anchorId="3F1B40BC" wp14:editId="138F4BE9">
            <wp:extent cx="5448300" cy="4200525"/>
            <wp:effectExtent l="0" t="0" r="0" b="9525"/>
            <wp:docPr id="1718469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300" cy="4200525"/>
                    </a:xfrm>
                    <a:prstGeom prst="rect">
                      <a:avLst/>
                    </a:prstGeom>
                    <a:noFill/>
                    <a:ln>
                      <a:noFill/>
                    </a:ln>
                  </pic:spPr>
                </pic:pic>
              </a:graphicData>
            </a:graphic>
          </wp:inline>
        </w:drawing>
      </w:r>
    </w:p>
    <w:tbl>
      <w:tblPr>
        <w:tblpPr w:leftFromText="180" w:rightFromText="180" w:vertAnchor="text" w:horzAnchor="margin" w:tblpXSpec="center" w:tblpY="-563"/>
        <w:tblW w:w="9761" w:type="dxa"/>
        <w:tblLook w:val="04A0" w:firstRow="1" w:lastRow="0" w:firstColumn="1" w:lastColumn="0" w:noHBand="0" w:noVBand="1"/>
      </w:tblPr>
      <w:tblGrid>
        <w:gridCol w:w="960"/>
        <w:gridCol w:w="2962"/>
        <w:gridCol w:w="1159"/>
        <w:gridCol w:w="1159"/>
        <w:gridCol w:w="1181"/>
        <w:gridCol w:w="1181"/>
        <w:gridCol w:w="1159"/>
      </w:tblGrid>
      <w:tr w:rsidR="005F0290" w:rsidRPr="00CB74C8" w14:paraId="0396207E" w14:textId="77777777" w:rsidTr="005F0290">
        <w:trPr>
          <w:trHeight w:val="288"/>
        </w:trPr>
        <w:tc>
          <w:tcPr>
            <w:tcW w:w="960" w:type="dxa"/>
            <w:tcBorders>
              <w:top w:val="nil"/>
              <w:left w:val="nil"/>
              <w:bottom w:val="nil"/>
              <w:right w:val="nil"/>
            </w:tcBorders>
            <w:noWrap/>
            <w:vAlign w:val="bottom"/>
            <w:hideMark/>
          </w:tcPr>
          <w:p w14:paraId="4A130521" w14:textId="77777777" w:rsidR="005F0290" w:rsidRPr="00CB74C8" w:rsidRDefault="005F0290" w:rsidP="005F0290">
            <w:pPr>
              <w:spacing w:line="240" w:lineRule="auto"/>
              <w:jc w:val="left"/>
              <w:rPr>
                <w:rFonts w:ascii="Arial" w:eastAsia="Times New Roman" w:hAnsi="Arial" w:cs="Arial"/>
                <w:bCs w:val="0"/>
                <w:kern w:val="0"/>
                <w:szCs w:val="24"/>
                <w:lang w:val="en-IN" w:eastAsia="en-IN" w:bidi="gu-IN"/>
                <w14:ligatures w14:val="none"/>
              </w:rPr>
            </w:pPr>
          </w:p>
        </w:tc>
        <w:tc>
          <w:tcPr>
            <w:tcW w:w="8801" w:type="dxa"/>
            <w:gridSpan w:val="6"/>
            <w:tcBorders>
              <w:top w:val="single" w:sz="4" w:space="0" w:color="auto"/>
              <w:left w:val="single" w:sz="4" w:space="0" w:color="auto"/>
              <w:bottom w:val="single" w:sz="4" w:space="0" w:color="auto"/>
              <w:right w:val="single" w:sz="4" w:space="0" w:color="auto"/>
            </w:tcBorders>
            <w:noWrap/>
            <w:vAlign w:val="bottom"/>
            <w:hideMark/>
          </w:tcPr>
          <w:p w14:paraId="56B89E1A"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Balance Sheet </w:t>
            </w:r>
          </w:p>
        </w:tc>
      </w:tr>
      <w:tr w:rsidR="005F0290" w:rsidRPr="00CB74C8" w14:paraId="71A2300D" w14:textId="77777777" w:rsidTr="005F0290">
        <w:trPr>
          <w:trHeight w:val="288"/>
        </w:trPr>
        <w:tc>
          <w:tcPr>
            <w:tcW w:w="960" w:type="dxa"/>
            <w:tcBorders>
              <w:top w:val="nil"/>
              <w:left w:val="nil"/>
              <w:bottom w:val="nil"/>
              <w:right w:val="nil"/>
            </w:tcBorders>
            <w:noWrap/>
            <w:vAlign w:val="bottom"/>
            <w:hideMark/>
          </w:tcPr>
          <w:p w14:paraId="31693B78"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D1B3F3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953F10D"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2025</w:t>
            </w:r>
          </w:p>
        </w:tc>
        <w:tc>
          <w:tcPr>
            <w:tcW w:w="1159" w:type="dxa"/>
            <w:tcBorders>
              <w:top w:val="nil"/>
              <w:left w:val="nil"/>
              <w:bottom w:val="single" w:sz="4" w:space="0" w:color="auto"/>
              <w:right w:val="single" w:sz="4" w:space="0" w:color="auto"/>
            </w:tcBorders>
            <w:noWrap/>
            <w:vAlign w:val="bottom"/>
            <w:hideMark/>
          </w:tcPr>
          <w:p w14:paraId="745346AD"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2024</w:t>
            </w:r>
          </w:p>
        </w:tc>
        <w:tc>
          <w:tcPr>
            <w:tcW w:w="1181" w:type="dxa"/>
            <w:tcBorders>
              <w:top w:val="nil"/>
              <w:left w:val="nil"/>
              <w:bottom w:val="single" w:sz="4" w:space="0" w:color="auto"/>
              <w:right w:val="single" w:sz="4" w:space="0" w:color="auto"/>
            </w:tcBorders>
            <w:noWrap/>
            <w:vAlign w:val="bottom"/>
            <w:hideMark/>
          </w:tcPr>
          <w:p w14:paraId="39CB5B93"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2023</w:t>
            </w:r>
          </w:p>
        </w:tc>
        <w:tc>
          <w:tcPr>
            <w:tcW w:w="1181" w:type="dxa"/>
            <w:tcBorders>
              <w:top w:val="nil"/>
              <w:left w:val="nil"/>
              <w:bottom w:val="single" w:sz="4" w:space="0" w:color="auto"/>
              <w:right w:val="single" w:sz="4" w:space="0" w:color="auto"/>
            </w:tcBorders>
            <w:noWrap/>
            <w:vAlign w:val="bottom"/>
            <w:hideMark/>
          </w:tcPr>
          <w:p w14:paraId="4984F2A4"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2022</w:t>
            </w:r>
          </w:p>
        </w:tc>
        <w:tc>
          <w:tcPr>
            <w:tcW w:w="1159" w:type="dxa"/>
            <w:tcBorders>
              <w:top w:val="nil"/>
              <w:left w:val="nil"/>
              <w:bottom w:val="single" w:sz="4" w:space="0" w:color="auto"/>
              <w:right w:val="single" w:sz="4" w:space="0" w:color="auto"/>
            </w:tcBorders>
            <w:noWrap/>
            <w:vAlign w:val="bottom"/>
            <w:hideMark/>
          </w:tcPr>
          <w:p w14:paraId="0C5D480F"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2021</w:t>
            </w:r>
          </w:p>
        </w:tc>
      </w:tr>
      <w:tr w:rsidR="005F0290" w:rsidRPr="00CB74C8" w14:paraId="3D03BC85" w14:textId="77777777" w:rsidTr="005F0290">
        <w:trPr>
          <w:trHeight w:val="288"/>
        </w:trPr>
        <w:tc>
          <w:tcPr>
            <w:tcW w:w="960" w:type="dxa"/>
            <w:tcBorders>
              <w:top w:val="nil"/>
              <w:left w:val="nil"/>
              <w:bottom w:val="nil"/>
              <w:right w:val="nil"/>
            </w:tcBorders>
            <w:noWrap/>
            <w:vAlign w:val="bottom"/>
            <w:hideMark/>
          </w:tcPr>
          <w:p w14:paraId="761A634C" w14:textId="77777777" w:rsidR="005F0290" w:rsidRPr="00CB74C8" w:rsidRDefault="005F0290" w:rsidP="005F0290">
            <w:pPr>
              <w:spacing w:line="240" w:lineRule="auto"/>
              <w:jc w:val="center"/>
              <w:rPr>
                <w:rFonts w:ascii="Arial" w:eastAsia="Times New Roman" w:hAnsi="Arial" w:cs="Arial"/>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6D604F1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22C8437C"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w:t>
            </w:r>
          </w:p>
        </w:tc>
        <w:tc>
          <w:tcPr>
            <w:tcW w:w="1159" w:type="dxa"/>
            <w:tcBorders>
              <w:top w:val="nil"/>
              <w:left w:val="nil"/>
              <w:bottom w:val="single" w:sz="4" w:space="0" w:color="auto"/>
              <w:right w:val="single" w:sz="4" w:space="0" w:color="auto"/>
            </w:tcBorders>
            <w:noWrap/>
            <w:vAlign w:val="bottom"/>
            <w:hideMark/>
          </w:tcPr>
          <w:p w14:paraId="77D1C32F"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w:t>
            </w:r>
          </w:p>
        </w:tc>
        <w:tc>
          <w:tcPr>
            <w:tcW w:w="1181" w:type="dxa"/>
            <w:tcBorders>
              <w:top w:val="nil"/>
              <w:left w:val="nil"/>
              <w:bottom w:val="single" w:sz="4" w:space="0" w:color="auto"/>
              <w:right w:val="single" w:sz="4" w:space="0" w:color="auto"/>
            </w:tcBorders>
            <w:noWrap/>
            <w:vAlign w:val="bottom"/>
            <w:hideMark/>
          </w:tcPr>
          <w:p w14:paraId="4539EBCB"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w:t>
            </w:r>
          </w:p>
        </w:tc>
        <w:tc>
          <w:tcPr>
            <w:tcW w:w="1181" w:type="dxa"/>
            <w:tcBorders>
              <w:top w:val="nil"/>
              <w:left w:val="nil"/>
              <w:bottom w:val="single" w:sz="4" w:space="0" w:color="auto"/>
              <w:right w:val="single" w:sz="4" w:space="0" w:color="auto"/>
            </w:tcBorders>
            <w:noWrap/>
            <w:vAlign w:val="bottom"/>
            <w:hideMark/>
          </w:tcPr>
          <w:p w14:paraId="5A179F3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w:t>
            </w:r>
          </w:p>
        </w:tc>
        <w:tc>
          <w:tcPr>
            <w:tcW w:w="1159" w:type="dxa"/>
            <w:tcBorders>
              <w:top w:val="nil"/>
              <w:left w:val="nil"/>
              <w:bottom w:val="single" w:sz="4" w:space="0" w:color="auto"/>
              <w:right w:val="single" w:sz="4" w:space="0" w:color="auto"/>
            </w:tcBorders>
            <w:noWrap/>
            <w:vAlign w:val="bottom"/>
            <w:hideMark/>
          </w:tcPr>
          <w:p w14:paraId="5742E979"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Million</w:t>
            </w:r>
          </w:p>
        </w:tc>
      </w:tr>
      <w:tr w:rsidR="005F0290" w:rsidRPr="00CB74C8" w14:paraId="2E2F25EB" w14:textId="77777777" w:rsidTr="005F0290">
        <w:trPr>
          <w:trHeight w:val="288"/>
        </w:trPr>
        <w:tc>
          <w:tcPr>
            <w:tcW w:w="960" w:type="dxa"/>
            <w:tcBorders>
              <w:top w:val="nil"/>
              <w:left w:val="nil"/>
              <w:bottom w:val="nil"/>
              <w:right w:val="nil"/>
            </w:tcBorders>
            <w:noWrap/>
            <w:vAlign w:val="bottom"/>
            <w:hideMark/>
          </w:tcPr>
          <w:p w14:paraId="536413EE"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15D7497"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Assets</w:t>
            </w:r>
          </w:p>
        </w:tc>
        <w:tc>
          <w:tcPr>
            <w:tcW w:w="1159" w:type="dxa"/>
            <w:tcBorders>
              <w:top w:val="nil"/>
              <w:left w:val="nil"/>
              <w:bottom w:val="single" w:sz="4" w:space="0" w:color="auto"/>
              <w:right w:val="single" w:sz="4" w:space="0" w:color="auto"/>
            </w:tcBorders>
            <w:noWrap/>
            <w:vAlign w:val="bottom"/>
            <w:hideMark/>
          </w:tcPr>
          <w:p w14:paraId="394EAA9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19F3EFC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3E42553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1CD355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8833FB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r>
      <w:tr w:rsidR="005F0290" w:rsidRPr="00CB74C8" w14:paraId="706848E9" w14:textId="77777777" w:rsidTr="005F0290">
        <w:trPr>
          <w:trHeight w:val="288"/>
        </w:trPr>
        <w:tc>
          <w:tcPr>
            <w:tcW w:w="960" w:type="dxa"/>
            <w:tcBorders>
              <w:top w:val="nil"/>
              <w:left w:val="nil"/>
              <w:bottom w:val="nil"/>
              <w:right w:val="nil"/>
            </w:tcBorders>
            <w:noWrap/>
            <w:vAlign w:val="bottom"/>
            <w:hideMark/>
          </w:tcPr>
          <w:p w14:paraId="61CE802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A1886C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Current assets</w:t>
            </w:r>
          </w:p>
        </w:tc>
        <w:tc>
          <w:tcPr>
            <w:tcW w:w="1159" w:type="dxa"/>
            <w:tcBorders>
              <w:top w:val="nil"/>
              <w:left w:val="nil"/>
              <w:bottom w:val="single" w:sz="4" w:space="0" w:color="auto"/>
              <w:right w:val="single" w:sz="4" w:space="0" w:color="auto"/>
            </w:tcBorders>
            <w:noWrap/>
            <w:vAlign w:val="bottom"/>
            <w:hideMark/>
          </w:tcPr>
          <w:p w14:paraId="29F77C3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1665812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4F199FD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25151A8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5A75B5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r>
      <w:tr w:rsidR="005F0290" w:rsidRPr="00CB74C8" w14:paraId="06C693B9" w14:textId="77777777" w:rsidTr="005F0290">
        <w:trPr>
          <w:trHeight w:val="288"/>
        </w:trPr>
        <w:tc>
          <w:tcPr>
            <w:tcW w:w="960" w:type="dxa"/>
            <w:tcBorders>
              <w:top w:val="nil"/>
              <w:left w:val="nil"/>
              <w:bottom w:val="nil"/>
              <w:right w:val="nil"/>
            </w:tcBorders>
            <w:noWrap/>
            <w:vAlign w:val="bottom"/>
            <w:hideMark/>
          </w:tcPr>
          <w:p w14:paraId="6BC1FBD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0BE7683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Cash and equivalents</w:t>
            </w:r>
          </w:p>
        </w:tc>
        <w:tc>
          <w:tcPr>
            <w:tcW w:w="1159" w:type="dxa"/>
            <w:tcBorders>
              <w:top w:val="nil"/>
              <w:left w:val="nil"/>
              <w:bottom w:val="single" w:sz="4" w:space="0" w:color="auto"/>
              <w:right w:val="single" w:sz="4" w:space="0" w:color="auto"/>
            </w:tcBorders>
            <w:noWrap/>
            <w:vAlign w:val="bottom"/>
            <w:hideMark/>
          </w:tcPr>
          <w:p w14:paraId="479591E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358 </w:t>
            </w:r>
          </w:p>
        </w:tc>
        <w:tc>
          <w:tcPr>
            <w:tcW w:w="1159" w:type="dxa"/>
            <w:tcBorders>
              <w:top w:val="nil"/>
              <w:left w:val="nil"/>
              <w:bottom w:val="single" w:sz="4" w:space="0" w:color="auto"/>
              <w:right w:val="single" w:sz="4" w:space="0" w:color="auto"/>
            </w:tcBorders>
            <w:noWrap/>
            <w:vAlign w:val="bottom"/>
            <w:hideMark/>
          </w:tcPr>
          <w:p w14:paraId="500AD37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396 </w:t>
            </w:r>
          </w:p>
        </w:tc>
        <w:tc>
          <w:tcPr>
            <w:tcW w:w="1181" w:type="dxa"/>
            <w:tcBorders>
              <w:top w:val="nil"/>
              <w:left w:val="nil"/>
              <w:bottom w:val="single" w:sz="4" w:space="0" w:color="auto"/>
              <w:right w:val="single" w:sz="4" w:space="0" w:color="auto"/>
            </w:tcBorders>
            <w:noWrap/>
            <w:vAlign w:val="bottom"/>
            <w:hideMark/>
          </w:tcPr>
          <w:p w14:paraId="4A5F247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338 </w:t>
            </w:r>
          </w:p>
        </w:tc>
        <w:tc>
          <w:tcPr>
            <w:tcW w:w="1181" w:type="dxa"/>
            <w:tcBorders>
              <w:top w:val="nil"/>
              <w:left w:val="nil"/>
              <w:bottom w:val="single" w:sz="4" w:space="0" w:color="auto"/>
              <w:right w:val="single" w:sz="4" w:space="0" w:color="auto"/>
            </w:tcBorders>
            <w:noWrap/>
            <w:vAlign w:val="bottom"/>
            <w:hideMark/>
          </w:tcPr>
          <w:p w14:paraId="3F06D7D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507 </w:t>
            </w:r>
          </w:p>
        </w:tc>
        <w:tc>
          <w:tcPr>
            <w:tcW w:w="1159" w:type="dxa"/>
            <w:tcBorders>
              <w:top w:val="nil"/>
              <w:left w:val="nil"/>
              <w:bottom w:val="single" w:sz="4" w:space="0" w:color="auto"/>
              <w:right w:val="single" w:sz="4" w:space="0" w:color="auto"/>
            </w:tcBorders>
            <w:noWrap/>
            <w:vAlign w:val="bottom"/>
            <w:hideMark/>
          </w:tcPr>
          <w:p w14:paraId="0492976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1,393 </w:t>
            </w:r>
          </w:p>
        </w:tc>
      </w:tr>
      <w:tr w:rsidR="005F0290" w:rsidRPr="00CB74C8" w14:paraId="3CD2B1EC" w14:textId="77777777" w:rsidTr="005F0290">
        <w:trPr>
          <w:trHeight w:val="288"/>
        </w:trPr>
        <w:tc>
          <w:tcPr>
            <w:tcW w:w="960" w:type="dxa"/>
            <w:tcBorders>
              <w:top w:val="nil"/>
              <w:left w:val="nil"/>
              <w:bottom w:val="nil"/>
              <w:right w:val="nil"/>
            </w:tcBorders>
            <w:noWrap/>
            <w:vAlign w:val="bottom"/>
            <w:hideMark/>
          </w:tcPr>
          <w:p w14:paraId="0B1DE31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49ED79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Accounts and notes receivable</w:t>
            </w:r>
          </w:p>
        </w:tc>
        <w:tc>
          <w:tcPr>
            <w:tcW w:w="1159" w:type="dxa"/>
            <w:tcBorders>
              <w:top w:val="nil"/>
              <w:left w:val="nil"/>
              <w:bottom w:val="single" w:sz="4" w:space="0" w:color="auto"/>
              <w:right w:val="single" w:sz="4" w:space="0" w:color="auto"/>
            </w:tcBorders>
            <w:noWrap/>
            <w:vAlign w:val="bottom"/>
            <w:hideMark/>
          </w:tcPr>
          <w:p w14:paraId="2CC229C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2,909 </w:t>
            </w:r>
          </w:p>
        </w:tc>
        <w:tc>
          <w:tcPr>
            <w:tcW w:w="1159" w:type="dxa"/>
            <w:tcBorders>
              <w:top w:val="nil"/>
              <w:left w:val="nil"/>
              <w:bottom w:val="single" w:sz="4" w:space="0" w:color="auto"/>
              <w:right w:val="single" w:sz="4" w:space="0" w:color="auto"/>
            </w:tcBorders>
            <w:noWrap/>
            <w:vAlign w:val="bottom"/>
            <w:hideMark/>
          </w:tcPr>
          <w:p w14:paraId="2FC89FC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2,795 </w:t>
            </w:r>
          </w:p>
        </w:tc>
        <w:tc>
          <w:tcPr>
            <w:tcW w:w="1181" w:type="dxa"/>
            <w:tcBorders>
              <w:top w:val="nil"/>
              <w:left w:val="nil"/>
              <w:bottom w:val="single" w:sz="4" w:space="0" w:color="auto"/>
              <w:right w:val="single" w:sz="4" w:space="0" w:color="auto"/>
            </w:tcBorders>
            <w:noWrap/>
            <w:vAlign w:val="bottom"/>
            <w:hideMark/>
          </w:tcPr>
          <w:p w14:paraId="3EA6D79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2,712 </w:t>
            </w:r>
          </w:p>
        </w:tc>
        <w:tc>
          <w:tcPr>
            <w:tcW w:w="1181" w:type="dxa"/>
            <w:tcBorders>
              <w:top w:val="nil"/>
              <w:left w:val="nil"/>
              <w:bottom w:val="single" w:sz="4" w:space="0" w:color="auto"/>
              <w:right w:val="single" w:sz="4" w:space="0" w:color="auto"/>
            </w:tcBorders>
            <w:noWrap/>
            <w:vAlign w:val="bottom"/>
            <w:hideMark/>
          </w:tcPr>
          <w:p w14:paraId="21A948B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2,571 </w:t>
            </w:r>
          </w:p>
        </w:tc>
        <w:tc>
          <w:tcPr>
            <w:tcW w:w="1159" w:type="dxa"/>
            <w:tcBorders>
              <w:top w:val="nil"/>
              <w:left w:val="nil"/>
              <w:bottom w:val="single" w:sz="4" w:space="0" w:color="auto"/>
              <w:right w:val="single" w:sz="4" w:space="0" w:color="auto"/>
            </w:tcBorders>
            <w:noWrap/>
            <w:vAlign w:val="bottom"/>
            <w:hideMark/>
          </w:tcPr>
          <w:p w14:paraId="7658842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1,982 </w:t>
            </w:r>
          </w:p>
        </w:tc>
      </w:tr>
      <w:tr w:rsidR="005F0290" w:rsidRPr="00CB74C8" w14:paraId="31D49CC5" w14:textId="77777777" w:rsidTr="005F0290">
        <w:trPr>
          <w:trHeight w:val="288"/>
        </w:trPr>
        <w:tc>
          <w:tcPr>
            <w:tcW w:w="960" w:type="dxa"/>
            <w:tcBorders>
              <w:top w:val="nil"/>
              <w:left w:val="nil"/>
              <w:bottom w:val="nil"/>
              <w:right w:val="nil"/>
            </w:tcBorders>
            <w:noWrap/>
            <w:vAlign w:val="bottom"/>
            <w:hideMark/>
          </w:tcPr>
          <w:p w14:paraId="7A0077F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F07E2C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Prepaid expenses and other</w:t>
            </w:r>
          </w:p>
        </w:tc>
        <w:tc>
          <w:tcPr>
            <w:tcW w:w="1159" w:type="dxa"/>
            <w:tcBorders>
              <w:top w:val="nil"/>
              <w:left w:val="nil"/>
              <w:bottom w:val="single" w:sz="4" w:space="0" w:color="auto"/>
              <w:right w:val="single" w:sz="4" w:space="0" w:color="auto"/>
            </w:tcBorders>
            <w:noWrap/>
            <w:vAlign w:val="bottom"/>
            <w:hideMark/>
          </w:tcPr>
          <w:p w14:paraId="6C94ADC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317 </w:t>
            </w:r>
          </w:p>
        </w:tc>
        <w:tc>
          <w:tcPr>
            <w:tcW w:w="1159" w:type="dxa"/>
            <w:tcBorders>
              <w:top w:val="nil"/>
              <w:left w:val="nil"/>
              <w:bottom w:val="single" w:sz="4" w:space="0" w:color="auto"/>
              <w:right w:val="single" w:sz="4" w:space="0" w:color="auto"/>
            </w:tcBorders>
            <w:noWrap/>
            <w:vAlign w:val="bottom"/>
            <w:hideMark/>
          </w:tcPr>
          <w:p w14:paraId="1EDCC83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294 </w:t>
            </w:r>
          </w:p>
        </w:tc>
        <w:tc>
          <w:tcPr>
            <w:tcW w:w="1181" w:type="dxa"/>
            <w:tcBorders>
              <w:top w:val="nil"/>
              <w:left w:val="nil"/>
              <w:bottom w:val="single" w:sz="4" w:space="0" w:color="auto"/>
              <w:right w:val="single" w:sz="4" w:space="0" w:color="auto"/>
            </w:tcBorders>
            <w:noWrap/>
            <w:vAlign w:val="bottom"/>
            <w:hideMark/>
          </w:tcPr>
          <w:p w14:paraId="16FA0D7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261 </w:t>
            </w:r>
          </w:p>
        </w:tc>
        <w:tc>
          <w:tcPr>
            <w:tcW w:w="1181" w:type="dxa"/>
            <w:tcBorders>
              <w:top w:val="nil"/>
              <w:left w:val="nil"/>
              <w:bottom w:val="single" w:sz="4" w:space="0" w:color="auto"/>
              <w:right w:val="single" w:sz="4" w:space="0" w:color="auto"/>
            </w:tcBorders>
            <w:noWrap/>
            <w:vAlign w:val="bottom"/>
            <w:hideMark/>
          </w:tcPr>
          <w:p w14:paraId="11E2A6F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235 </w:t>
            </w:r>
          </w:p>
        </w:tc>
        <w:tc>
          <w:tcPr>
            <w:tcW w:w="1159" w:type="dxa"/>
            <w:tcBorders>
              <w:top w:val="nil"/>
              <w:left w:val="nil"/>
              <w:bottom w:val="single" w:sz="4" w:space="0" w:color="auto"/>
              <w:right w:val="single" w:sz="4" w:space="0" w:color="auto"/>
            </w:tcBorders>
            <w:noWrap/>
            <w:vAlign w:val="bottom"/>
            <w:hideMark/>
          </w:tcPr>
          <w:p w14:paraId="3F2CB97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251 </w:t>
            </w:r>
          </w:p>
        </w:tc>
      </w:tr>
      <w:tr w:rsidR="005F0290" w:rsidRPr="00CB74C8" w14:paraId="1B7F1765" w14:textId="77777777" w:rsidTr="005F0290">
        <w:trPr>
          <w:trHeight w:val="288"/>
        </w:trPr>
        <w:tc>
          <w:tcPr>
            <w:tcW w:w="960" w:type="dxa"/>
            <w:tcBorders>
              <w:top w:val="nil"/>
              <w:left w:val="nil"/>
              <w:bottom w:val="nil"/>
              <w:right w:val="nil"/>
            </w:tcBorders>
            <w:noWrap/>
            <w:vAlign w:val="bottom"/>
            <w:hideMark/>
          </w:tcPr>
          <w:p w14:paraId="448EF96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C03857E"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Total current assets</w:t>
            </w:r>
          </w:p>
        </w:tc>
        <w:tc>
          <w:tcPr>
            <w:tcW w:w="1159" w:type="dxa"/>
            <w:tcBorders>
              <w:top w:val="nil"/>
              <w:left w:val="nil"/>
              <w:bottom w:val="single" w:sz="4" w:space="0" w:color="auto"/>
              <w:right w:val="single" w:sz="4" w:space="0" w:color="auto"/>
            </w:tcBorders>
            <w:noWrap/>
            <w:vAlign w:val="bottom"/>
            <w:hideMark/>
          </w:tcPr>
          <w:p w14:paraId="6E2503C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3,584 </w:t>
            </w:r>
          </w:p>
        </w:tc>
        <w:tc>
          <w:tcPr>
            <w:tcW w:w="1159" w:type="dxa"/>
            <w:tcBorders>
              <w:top w:val="nil"/>
              <w:left w:val="nil"/>
              <w:bottom w:val="single" w:sz="4" w:space="0" w:color="auto"/>
              <w:right w:val="single" w:sz="4" w:space="0" w:color="auto"/>
            </w:tcBorders>
            <w:noWrap/>
            <w:vAlign w:val="bottom"/>
            <w:hideMark/>
          </w:tcPr>
          <w:p w14:paraId="1D0E83F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3,485 </w:t>
            </w:r>
          </w:p>
        </w:tc>
        <w:tc>
          <w:tcPr>
            <w:tcW w:w="1181" w:type="dxa"/>
            <w:tcBorders>
              <w:top w:val="nil"/>
              <w:left w:val="nil"/>
              <w:bottom w:val="single" w:sz="4" w:space="0" w:color="auto"/>
              <w:right w:val="single" w:sz="4" w:space="0" w:color="auto"/>
            </w:tcBorders>
            <w:noWrap/>
            <w:vAlign w:val="bottom"/>
            <w:hideMark/>
          </w:tcPr>
          <w:p w14:paraId="50E98E0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3,311 </w:t>
            </w:r>
          </w:p>
        </w:tc>
        <w:tc>
          <w:tcPr>
            <w:tcW w:w="1181" w:type="dxa"/>
            <w:tcBorders>
              <w:top w:val="nil"/>
              <w:left w:val="nil"/>
              <w:bottom w:val="single" w:sz="4" w:space="0" w:color="auto"/>
              <w:right w:val="single" w:sz="4" w:space="0" w:color="auto"/>
            </w:tcBorders>
            <w:noWrap/>
            <w:vAlign w:val="bottom"/>
            <w:hideMark/>
          </w:tcPr>
          <w:p w14:paraId="2AFB2AB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3,313 </w:t>
            </w:r>
          </w:p>
        </w:tc>
        <w:tc>
          <w:tcPr>
            <w:tcW w:w="1159" w:type="dxa"/>
            <w:tcBorders>
              <w:top w:val="nil"/>
              <w:left w:val="nil"/>
              <w:bottom w:val="single" w:sz="4" w:space="0" w:color="auto"/>
              <w:right w:val="single" w:sz="4" w:space="0" w:color="auto"/>
            </w:tcBorders>
            <w:noWrap/>
            <w:vAlign w:val="bottom"/>
            <w:hideMark/>
          </w:tcPr>
          <w:p w14:paraId="00A3805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3,626 </w:t>
            </w:r>
          </w:p>
        </w:tc>
      </w:tr>
      <w:tr w:rsidR="005F0290" w:rsidRPr="00CB74C8" w14:paraId="71F633C8" w14:textId="77777777" w:rsidTr="005F0290">
        <w:trPr>
          <w:trHeight w:val="288"/>
        </w:trPr>
        <w:tc>
          <w:tcPr>
            <w:tcW w:w="960" w:type="dxa"/>
            <w:tcBorders>
              <w:top w:val="nil"/>
              <w:left w:val="nil"/>
              <w:bottom w:val="nil"/>
              <w:right w:val="nil"/>
            </w:tcBorders>
            <w:noWrap/>
            <w:vAlign w:val="bottom"/>
            <w:hideMark/>
          </w:tcPr>
          <w:p w14:paraId="75B1415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C24FFDD"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Non-current assets</w:t>
            </w:r>
          </w:p>
        </w:tc>
        <w:tc>
          <w:tcPr>
            <w:tcW w:w="1159" w:type="dxa"/>
            <w:tcBorders>
              <w:top w:val="nil"/>
              <w:left w:val="nil"/>
              <w:bottom w:val="single" w:sz="4" w:space="0" w:color="auto"/>
              <w:right w:val="single" w:sz="4" w:space="0" w:color="auto"/>
            </w:tcBorders>
            <w:noWrap/>
            <w:vAlign w:val="bottom"/>
            <w:hideMark/>
          </w:tcPr>
          <w:p w14:paraId="22787B3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31B636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4CC0C39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A1BCCD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78E87A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r>
      <w:tr w:rsidR="005F0290" w:rsidRPr="00CB74C8" w14:paraId="2B9D0937" w14:textId="77777777" w:rsidTr="005F0290">
        <w:trPr>
          <w:trHeight w:val="288"/>
        </w:trPr>
        <w:tc>
          <w:tcPr>
            <w:tcW w:w="960" w:type="dxa"/>
            <w:tcBorders>
              <w:top w:val="nil"/>
              <w:left w:val="nil"/>
              <w:bottom w:val="nil"/>
              <w:right w:val="nil"/>
            </w:tcBorders>
            <w:noWrap/>
            <w:vAlign w:val="bottom"/>
            <w:hideMark/>
          </w:tcPr>
          <w:p w14:paraId="0D2D690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222343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Property and equipment</w:t>
            </w:r>
          </w:p>
        </w:tc>
        <w:tc>
          <w:tcPr>
            <w:tcW w:w="1159" w:type="dxa"/>
            <w:tcBorders>
              <w:top w:val="nil"/>
              <w:left w:val="nil"/>
              <w:bottom w:val="single" w:sz="4" w:space="0" w:color="auto"/>
              <w:right w:val="single" w:sz="4" w:space="0" w:color="auto"/>
            </w:tcBorders>
            <w:noWrap/>
            <w:vAlign w:val="bottom"/>
            <w:hideMark/>
          </w:tcPr>
          <w:p w14:paraId="1538F3B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1,954 </w:t>
            </w:r>
          </w:p>
        </w:tc>
        <w:tc>
          <w:tcPr>
            <w:tcW w:w="1159" w:type="dxa"/>
            <w:tcBorders>
              <w:top w:val="nil"/>
              <w:left w:val="nil"/>
              <w:bottom w:val="single" w:sz="4" w:space="0" w:color="auto"/>
              <w:right w:val="single" w:sz="4" w:space="0" w:color="auto"/>
            </w:tcBorders>
            <w:noWrap/>
            <w:vAlign w:val="bottom"/>
            <w:hideMark/>
          </w:tcPr>
          <w:p w14:paraId="44E9E0D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1,833 </w:t>
            </w:r>
          </w:p>
        </w:tc>
        <w:tc>
          <w:tcPr>
            <w:tcW w:w="1181" w:type="dxa"/>
            <w:tcBorders>
              <w:top w:val="nil"/>
              <w:left w:val="nil"/>
              <w:bottom w:val="single" w:sz="4" w:space="0" w:color="auto"/>
              <w:right w:val="single" w:sz="4" w:space="0" w:color="auto"/>
            </w:tcBorders>
            <w:noWrap/>
            <w:vAlign w:val="bottom"/>
            <w:hideMark/>
          </w:tcPr>
          <w:p w14:paraId="5B633E2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1,581 </w:t>
            </w:r>
          </w:p>
        </w:tc>
        <w:tc>
          <w:tcPr>
            <w:tcW w:w="1181" w:type="dxa"/>
            <w:tcBorders>
              <w:top w:val="nil"/>
              <w:left w:val="nil"/>
              <w:bottom w:val="single" w:sz="4" w:space="0" w:color="auto"/>
              <w:right w:val="single" w:sz="4" w:space="0" w:color="auto"/>
            </w:tcBorders>
            <w:noWrap/>
            <w:vAlign w:val="bottom"/>
            <w:hideMark/>
          </w:tcPr>
          <w:p w14:paraId="0954DBF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1,585 </w:t>
            </w:r>
          </w:p>
        </w:tc>
        <w:tc>
          <w:tcPr>
            <w:tcW w:w="1159" w:type="dxa"/>
            <w:tcBorders>
              <w:top w:val="nil"/>
              <w:left w:val="nil"/>
              <w:bottom w:val="single" w:sz="4" w:space="0" w:color="auto"/>
              <w:right w:val="single" w:sz="4" w:space="0" w:color="auto"/>
            </w:tcBorders>
            <w:noWrap/>
            <w:vAlign w:val="bottom"/>
            <w:hideMark/>
          </w:tcPr>
          <w:p w14:paraId="1786DB7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1,503 </w:t>
            </w:r>
          </w:p>
        </w:tc>
      </w:tr>
      <w:tr w:rsidR="005F0290" w:rsidRPr="00CB74C8" w14:paraId="68A971B4" w14:textId="77777777" w:rsidTr="005F0290">
        <w:trPr>
          <w:trHeight w:val="288"/>
        </w:trPr>
        <w:tc>
          <w:tcPr>
            <w:tcW w:w="960" w:type="dxa"/>
            <w:tcBorders>
              <w:top w:val="nil"/>
              <w:left w:val="nil"/>
              <w:bottom w:val="nil"/>
              <w:right w:val="nil"/>
            </w:tcBorders>
            <w:noWrap/>
            <w:vAlign w:val="bottom"/>
            <w:hideMark/>
          </w:tcPr>
          <w:p w14:paraId="42775F4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88F91B1"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Intangible assets</w:t>
            </w:r>
          </w:p>
        </w:tc>
        <w:tc>
          <w:tcPr>
            <w:tcW w:w="1159" w:type="dxa"/>
            <w:tcBorders>
              <w:top w:val="nil"/>
              <w:left w:val="nil"/>
              <w:bottom w:val="single" w:sz="4" w:space="0" w:color="auto"/>
              <w:right w:val="single" w:sz="4" w:space="0" w:color="auto"/>
            </w:tcBorders>
            <w:noWrap/>
            <w:vAlign w:val="bottom"/>
            <w:hideMark/>
          </w:tcPr>
          <w:p w14:paraId="36D51E2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19,243 </w:t>
            </w:r>
          </w:p>
        </w:tc>
        <w:tc>
          <w:tcPr>
            <w:tcW w:w="1159" w:type="dxa"/>
            <w:tcBorders>
              <w:top w:val="nil"/>
              <w:left w:val="nil"/>
              <w:bottom w:val="single" w:sz="4" w:space="0" w:color="auto"/>
              <w:right w:val="single" w:sz="4" w:space="0" w:color="auto"/>
            </w:tcBorders>
            <w:noWrap/>
            <w:vAlign w:val="bottom"/>
            <w:hideMark/>
          </w:tcPr>
          <w:p w14:paraId="28F2728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18,219 </w:t>
            </w:r>
          </w:p>
        </w:tc>
        <w:tc>
          <w:tcPr>
            <w:tcW w:w="1181" w:type="dxa"/>
            <w:tcBorders>
              <w:top w:val="nil"/>
              <w:left w:val="nil"/>
              <w:bottom w:val="single" w:sz="4" w:space="0" w:color="auto"/>
              <w:right w:val="single" w:sz="4" w:space="0" w:color="auto"/>
            </w:tcBorders>
            <w:noWrap/>
            <w:vAlign w:val="bottom"/>
            <w:hideMark/>
          </w:tcPr>
          <w:p w14:paraId="7821170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18,076 </w:t>
            </w:r>
          </w:p>
        </w:tc>
        <w:tc>
          <w:tcPr>
            <w:tcW w:w="1181" w:type="dxa"/>
            <w:tcBorders>
              <w:top w:val="nil"/>
              <w:left w:val="nil"/>
              <w:bottom w:val="single" w:sz="4" w:space="0" w:color="auto"/>
              <w:right w:val="single" w:sz="4" w:space="0" w:color="auto"/>
            </w:tcBorders>
            <w:noWrap/>
            <w:vAlign w:val="bottom"/>
            <w:hideMark/>
          </w:tcPr>
          <w:p w14:paraId="287E8F1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17,619 </w:t>
            </w:r>
          </w:p>
        </w:tc>
        <w:tc>
          <w:tcPr>
            <w:tcW w:w="1159" w:type="dxa"/>
            <w:tcBorders>
              <w:top w:val="nil"/>
              <w:left w:val="nil"/>
              <w:bottom w:val="single" w:sz="4" w:space="0" w:color="auto"/>
              <w:right w:val="single" w:sz="4" w:space="0" w:color="auto"/>
            </w:tcBorders>
            <w:noWrap/>
            <w:vAlign w:val="bottom"/>
            <w:hideMark/>
          </w:tcPr>
          <w:p w14:paraId="1A451E5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17,999 </w:t>
            </w:r>
          </w:p>
        </w:tc>
      </w:tr>
      <w:tr w:rsidR="005F0290" w:rsidRPr="00CB74C8" w14:paraId="6F1E573B" w14:textId="77777777" w:rsidTr="005F0290">
        <w:trPr>
          <w:trHeight w:val="288"/>
        </w:trPr>
        <w:tc>
          <w:tcPr>
            <w:tcW w:w="960" w:type="dxa"/>
            <w:tcBorders>
              <w:top w:val="nil"/>
              <w:left w:val="nil"/>
              <w:bottom w:val="nil"/>
              <w:right w:val="nil"/>
            </w:tcBorders>
            <w:noWrap/>
            <w:vAlign w:val="bottom"/>
            <w:hideMark/>
          </w:tcPr>
          <w:p w14:paraId="477BE38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6D48369"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Total assets</w:t>
            </w:r>
          </w:p>
        </w:tc>
        <w:tc>
          <w:tcPr>
            <w:tcW w:w="1159" w:type="dxa"/>
            <w:tcBorders>
              <w:top w:val="nil"/>
              <w:left w:val="nil"/>
              <w:bottom w:val="single" w:sz="4" w:space="0" w:color="auto"/>
              <w:right w:val="single" w:sz="4" w:space="0" w:color="auto"/>
            </w:tcBorders>
            <w:noWrap/>
            <w:vAlign w:val="bottom"/>
            <w:hideMark/>
          </w:tcPr>
          <w:p w14:paraId="51C25D63"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27,540 </w:t>
            </w:r>
          </w:p>
        </w:tc>
        <w:tc>
          <w:tcPr>
            <w:tcW w:w="1159" w:type="dxa"/>
            <w:tcBorders>
              <w:top w:val="nil"/>
              <w:left w:val="nil"/>
              <w:bottom w:val="single" w:sz="4" w:space="0" w:color="auto"/>
              <w:right w:val="single" w:sz="4" w:space="0" w:color="auto"/>
            </w:tcBorders>
            <w:noWrap/>
            <w:vAlign w:val="bottom"/>
            <w:hideMark/>
          </w:tcPr>
          <w:p w14:paraId="28857DC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26,182 </w:t>
            </w:r>
          </w:p>
        </w:tc>
        <w:tc>
          <w:tcPr>
            <w:tcW w:w="1181" w:type="dxa"/>
            <w:tcBorders>
              <w:top w:val="nil"/>
              <w:left w:val="nil"/>
              <w:bottom w:val="single" w:sz="4" w:space="0" w:color="auto"/>
              <w:right w:val="single" w:sz="4" w:space="0" w:color="auto"/>
            </w:tcBorders>
            <w:noWrap/>
            <w:vAlign w:val="bottom"/>
            <w:hideMark/>
          </w:tcPr>
          <w:p w14:paraId="2435FFF9"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25,674 </w:t>
            </w:r>
          </w:p>
        </w:tc>
        <w:tc>
          <w:tcPr>
            <w:tcW w:w="1181" w:type="dxa"/>
            <w:tcBorders>
              <w:top w:val="nil"/>
              <w:left w:val="nil"/>
              <w:bottom w:val="single" w:sz="4" w:space="0" w:color="auto"/>
              <w:right w:val="single" w:sz="4" w:space="0" w:color="auto"/>
            </w:tcBorders>
            <w:noWrap/>
            <w:vAlign w:val="bottom"/>
            <w:hideMark/>
          </w:tcPr>
          <w:p w14:paraId="46A9C966"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24,815 </w:t>
            </w:r>
          </w:p>
        </w:tc>
        <w:tc>
          <w:tcPr>
            <w:tcW w:w="1159" w:type="dxa"/>
            <w:tcBorders>
              <w:top w:val="nil"/>
              <w:left w:val="nil"/>
              <w:bottom w:val="single" w:sz="4" w:space="0" w:color="auto"/>
              <w:right w:val="single" w:sz="4" w:space="0" w:color="auto"/>
            </w:tcBorders>
            <w:noWrap/>
            <w:vAlign w:val="bottom"/>
            <w:hideMark/>
          </w:tcPr>
          <w:p w14:paraId="7AA0350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25,553 </w:t>
            </w:r>
          </w:p>
        </w:tc>
      </w:tr>
      <w:tr w:rsidR="005F0290" w:rsidRPr="00CB74C8" w14:paraId="57643EAC" w14:textId="77777777" w:rsidTr="005F0290">
        <w:trPr>
          <w:trHeight w:val="288"/>
        </w:trPr>
        <w:tc>
          <w:tcPr>
            <w:tcW w:w="960" w:type="dxa"/>
            <w:tcBorders>
              <w:top w:val="nil"/>
              <w:left w:val="nil"/>
              <w:bottom w:val="nil"/>
              <w:right w:val="nil"/>
            </w:tcBorders>
            <w:noWrap/>
            <w:vAlign w:val="bottom"/>
            <w:hideMark/>
          </w:tcPr>
          <w:p w14:paraId="7A05539D"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9659E8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Current liabilities </w:t>
            </w:r>
          </w:p>
        </w:tc>
        <w:tc>
          <w:tcPr>
            <w:tcW w:w="1159" w:type="dxa"/>
            <w:tcBorders>
              <w:top w:val="nil"/>
              <w:left w:val="nil"/>
              <w:bottom w:val="single" w:sz="4" w:space="0" w:color="auto"/>
              <w:right w:val="single" w:sz="4" w:space="0" w:color="auto"/>
            </w:tcBorders>
            <w:noWrap/>
            <w:vAlign w:val="bottom"/>
            <w:hideMark/>
          </w:tcPr>
          <w:p w14:paraId="0A7E871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310669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73CEA1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6EDBE3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9A7047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r>
      <w:tr w:rsidR="005F0290" w:rsidRPr="00CB74C8" w14:paraId="6260B894" w14:textId="77777777" w:rsidTr="005F0290">
        <w:trPr>
          <w:trHeight w:val="288"/>
        </w:trPr>
        <w:tc>
          <w:tcPr>
            <w:tcW w:w="960" w:type="dxa"/>
            <w:tcBorders>
              <w:top w:val="nil"/>
              <w:left w:val="nil"/>
              <w:bottom w:val="nil"/>
              <w:right w:val="nil"/>
            </w:tcBorders>
            <w:noWrap/>
            <w:vAlign w:val="bottom"/>
            <w:hideMark/>
          </w:tcPr>
          <w:p w14:paraId="3BC531B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710FC2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Accounts payable</w:t>
            </w:r>
          </w:p>
        </w:tc>
        <w:tc>
          <w:tcPr>
            <w:tcW w:w="1159" w:type="dxa"/>
            <w:tcBorders>
              <w:top w:val="nil"/>
              <w:left w:val="nil"/>
              <w:bottom w:val="single" w:sz="4" w:space="0" w:color="auto"/>
              <w:right w:val="single" w:sz="4" w:space="0" w:color="auto"/>
            </w:tcBorders>
            <w:noWrap/>
            <w:vAlign w:val="bottom"/>
            <w:hideMark/>
          </w:tcPr>
          <w:p w14:paraId="01A6CA6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814 </w:t>
            </w:r>
          </w:p>
        </w:tc>
        <w:tc>
          <w:tcPr>
            <w:tcW w:w="1159" w:type="dxa"/>
            <w:tcBorders>
              <w:top w:val="nil"/>
              <w:left w:val="nil"/>
              <w:bottom w:val="single" w:sz="4" w:space="0" w:color="auto"/>
              <w:right w:val="single" w:sz="4" w:space="0" w:color="auto"/>
            </w:tcBorders>
            <w:noWrap/>
            <w:vAlign w:val="bottom"/>
            <w:hideMark/>
          </w:tcPr>
          <w:p w14:paraId="76B0720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763 </w:t>
            </w:r>
          </w:p>
        </w:tc>
        <w:tc>
          <w:tcPr>
            <w:tcW w:w="1181" w:type="dxa"/>
            <w:tcBorders>
              <w:top w:val="nil"/>
              <w:left w:val="nil"/>
              <w:bottom w:val="single" w:sz="4" w:space="0" w:color="auto"/>
              <w:right w:val="single" w:sz="4" w:space="0" w:color="auto"/>
            </w:tcBorders>
            <w:noWrap/>
            <w:vAlign w:val="bottom"/>
            <w:hideMark/>
          </w:tcPr>
          <w:p w14:paraId="6A13DD8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738 </w:t>
            </w:r>
          </w:p>
        </w:tc>
        <w:tc>
          <w:tcPr>
            <w:tcW w:w="1181" w:type="dxa"/>
            <w:tcBorders>
              <w:top w:val="nil"/>
              <w:left w:val="nil"/>
              <w:bottom w:val="single" w:sz="4" w:space="0" w:color="auto"/>
              <w:right w:val="single" w:sz="4" w:space="0" w:color="auto"/>
            </w:tcBorders>
            <w:noWrap/>
            <w:vAlign w:val="bottom"/>
            <w:hideMark/>
          </w:tcPr>
          <w:p w14:paraId="1727293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746 </w:t>
            </w:r>
          </w:p>
        </w:tc>
        <w:tc>
          <w:tcPr>
            <w:tcW w:w="1159" w:type="dxa"/>
            <w:tcBorders>
              <w:top w:val="nil"/>
              <w:left w:val="nil"/>
              <w:bottom w:val="single" w:sz="4" w:space="0" w:color="auto"/>
              <w:right w:val="single" w:sz="4" w:space="0" w:color="auto"/>
            </w:tcBorders>
            <w:noWrap/>
            <w:vAlign w:val="bottom"/>
            <w:hideMark/>
          </w:tcPr>
          <w:p w14:paraId="5465D9C8"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726 </w:t>
            </w:r>
          </w:p>
        </w:tc>
      </w:tr>
      <w:tr w:rsidR="005F0290" w:rsidRPr="00CB74C8" w14:paraId="290DCD13" w14:textId="77777777" w:rsidTr="005F0290">
        <w:trPr>
          <w:trHeight w:val="288"/>
        </w:trPr>
        <w:tc>
          <w:tcPr>
            <w:tcW w:w="960" w:type="dxa"/>
            <w:tcBorders>
              <w:top w:val="nil"/>
              <w:left w:val="nil"/>
              <w:bottom w:val="nil"/>
              <w:right w:val="nil"/>
            </w:tcBorders>
            <w:noWrap/>
            <w:vAlign w:val="bottom"/>
            <w:hideMark/>
          </w:tcPr>
          <w:p w14:paraId="3395E75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8D821A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Accrued expenses and other</w:t>
            </w:r>
          </w:p>
        </w:tc>
        <w:tc>
          <w:tcPr>
            <w:tcW w:w="1159" w:type="dxa"/>
            <w:tcBorders>
              <w:top w:val="nil"/>
              <w:left w:val="nil"/>
              <w:bottom w:val="single" w:sz="4" w:space="0" w:color="auto"/>
              <w:right w:val="single" w:sz="4" w:space="0" w:color="auto"/>
            </w:tcBorders>
            <w:noWrap/>
            <w:vAlign w:val="bottom"/>
            <w:hideMark/>
          </w:tcPr>
          <w:p w14:paraId="3690275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1,440 </w:t>
            </w:r>
          </w:p>
        </w:tc>
        <w:tc>
          <w:tcPr>
            <w:tcW w:w="1159" w:type="dxa"/>
            <w:tcBorders>
              <w:top w:val="nil"/>
              <w:left w:val="nil"/>
              <w:bottom w:val="single" w:sz="4" w:space="0" w:color="auto"/>
              <w:right w:val="single" w:sz="4" w:space="0" w:color="auto"/>
            </w:tcBorders>
            <w:noWrap/>
            <w:vAlign w:val="bottom"/>
            <w:hideMark/>
          </w:tcPr>
          <w:p w14:paraId="5340F68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1,641 </w:t>
            </w:r>
          </w:p>
        </w:tc>
        <w:tc>
          <w:tcPr>
            <w:tcW w:w="1181" w:type="dxa"/>
            <w:tcBorders>
              <w:top w:val="nil"/>
              <w:left w:val="nil"/>
              <w:bottom w:val="single" w:sz="4" w:space="0" w:color="auto"/>
              <w:right w:val="single" w:sz="4" w:space="0" w:color="auto"/>
            </w:tcBorders>
            <w:noWrap/>
            <w:vAlign w:val="bottom"/>
            <w:hideMark/>
          </w:tcPr>
          <w:p w14:paraId="7E3DE03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1,390 </w:t>
            </w:r>
          </w:p>
        </w:tc>
        <w:tc>
          <w:tcPr>
            <w:tcW w:w="1181" w:type="dxa"/>
            <w:tcBorders>
              <w:top w:val="nil"/>
              <w:left w:val="nil"/>
              <w:bottom w:val="single" w:sz="4" w:space="0" w:color="auto"/>
              <w:right w:val="single" w:sz="4" w:space="0" w:color="auto"/>
            </w:tcBorders>
            <w:noWrap/>
            <w:vAlign w:val="bottom"/>
            <w:hideMark/>
          </w:tcPr>
          <w:p w14:paraId="26D0B6D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1,299 </w:t>
            </w:r>
          </w:p>
        </w:tc>
        <w:tc>
          <w:tcPr>
            <w:tcW w:w="1159" w:type="dxa"/>
            <w:tcBorders>
              <w:top w:val="nil"/>
              <w:left w:val="nil"/>
              <w:bottom w:val="single" w:sz="4" w:space="0" w:color="auto"/>
              <w:right w:val="single" w:sz="4" w:space="0" w:color="auto"/>
            </w:tcBorders>
            <w:noWrap/>
            <w:vAlign w:val="bottom"/>
            <w:hideMark/>
          </w:tcPr>
          <w:p w14:paraId="30041E5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1,167 </w:t>
            </w:r>
          </w:p>
        </w:tc>
      </w:tr>
      <w:tr w:rsidR="005F0290" w:rsidRPr="00CB74C8" w14:paraId="2111FEAC" w14:textId="77777777" w:rsidTr="005F0290">
        <w:trPr>
          <w:trHeight w:val="288"/>
        </w:trPr>
        <w:tc>
          <w:tcPr>
            <w:tcW w:w="960" w:type="dxa"/>
            <w:tcBorders>
              <w:top w:val="nil"/>
              <w:left w:val="nil"/>
              <w:bottom w:val="nil"/>
              <w:right w:val="nil"/>
            </w:tcBorders>
            <w:noWrap/>
            <w:vAlign w:val="bottom"/>
            <w:hideMark/>
          </w:tcPr>
          <w:p w14:paraId="11810BF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EB5208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Total current liabilities </w:t>
            </w:r>
          </w:p>
        </w:tc>
        <w:tc>
          <w:tcPr>
            <w:tcW w:w="1159" w:type="dxa"/>
            <w:tcBorders>
              <w:top w:val="nil"/>
              <w:left w:val="nil"/>
              <w:bottom w:val="single" w:sz="4" w:space="0" w:color="auto"/>
              <w:right w:val="single" w:sz="4" w:space="0" w:color="auto"/>
            </w:tcBorders>
            <w:noWrap/>
            <w:vAlign w:val="bottom"/>
            <w:hideMark/>
          </w:tcPr>
          <w:p w14:paraId="25ADC96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8,398 </w:t>
            </w:r>
          </w:p>
        </w:tc>
        <w:tc>
          <w:tcPr>
            <w:tcW w:w="1159" w:type="dxa"/>
            <w:tcBorders>
              <w:top w:val="nil"/>
              <w:left w:val="nil"/>
              <w:bottom w:val="single" w:sz="4" w:space="0" w:color="auto"/>
              <w:right w:val="single" w:sz="4" w:space="0" w:color="auto"/>
            </w:tcBorders>
            <w:noWrap/>
            <w:vAlign w:val="bottom"/>
            <w:hideMark/>
          </w:tcPr>
          <w:p w14:paraId="1714B057"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8,649 </w:t>
            </w:r>
          </w:p>
        </w:tc>
        <w:tc>
          <w:tcPr>
            <w:tcW w:w="1181" w:type="dxa"/>
            <w:tcBorders>
              <w:top w:val="nil"/>
              <w:left w:val="nil"/>
              <w:bottom w:val="single" w:sz="4" w:space="0" w:color="auto"/>
              <w:right w:val="single" w:sz="4" w:space="0" w:color="auto"/>
            </w:tcBorders>
            <w:noWrap/>
            <w:vAlign w:val="bottom"/>
            <w:hideMark/>
          </w:tcPr>
          <w:p w14:paraId="0FBDC25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7,762 </w:t>
            </w:r>
          </w:p>
        </w:tc>
        <w:tc>
          <w:tcPr>
            <w:tcW w:w="1181" w:type="dxa"/>
            <w:tcBorders>
              <w:top w:val="nil"/>
              <w:left w:val="nil"/>
              <w:bottom w:val="single" w:sz="4" w:space="0" w:color="auto"/>
              <w:right w:val="single" w:sz="4" w:space="0" w:color="auto"/>
            </w:tcBorders>
            <w:noWrap/>
            <w:vAlign w:val="bottom"/>
            <w:hideMark/>
          </w:tcPr>
          <w:p w14:paraId="7DD62B9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7,339 </w:t>
            </w:r>
          </w:p>
        </w:tc>
        <w:tc>
          <w:tcPr>
            <w:tcW w:w="1159" w:type="dxa"/>
            <w:tcBorders>
              <w:top w:val="nil"/>
              <w:left w:val="nil"/>
              <w:bottom w:val="single" w:sz="4" w:space="0" w:color="auto"/>
              <w:right w:val="single" w:sz="4" w:space="0" w:color="auto"/>
            </w:tcBorders>
            <w:noWrap/>
            <w:vAlign w:val="bottom"/>
            <w:hideMark/>
          </w:tcPr>
          <w:p w14:paraId="1C526C5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6,407 </w:t>
            </w:r>
          </w:p>
        </w:tc>
      </w:tr>
      <w:tr w:rsidR="005F0290" w:rsidRPr="00CB74C8" w14:paraId="60F1E106" w14:textId="77777777" w:rsidTr="005F0290">
        <w:trPr>
          <w:trHeight w:val="288"/>
        </w:trPr>
        <w:tc>
          <w:tcPr>
            <w:tcW w:w="960" w:type="dxa"/>
            <w:tcBorders>
              <w:top w:val="nil"/>
              <w:left w:val="nil"/>
              <w:bottom w:val="nil"/>
              <w:right w:val="nil"/>
            </w:tcBorders>
            <w:noWrap/>
            <w:vAlign w:val="bottom"/>
            <w:hideMark/>
          </w:tcPr>
          <w:p w14:paraId="4A63DC8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40F40C3"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Non-current liabilities </w:t>
            </w:r>
          </w:p>
        </w:tc>
        <w:tc>
          <w:tcPr>
            <w:tcW w:w="1159" w:type="dxa"/>
            <w:tcBorders>
              <w:top w:val="nil"/>
              <w:left w:val="nil"/>
              <w:bottom w:val="single" w:sz="4" w:space="0" w:color="auto"/>
              <w:right w:val="single" w:sz="4" w:space="0" w:color="auto"/>
            </w:tcBorders>
            <w:noWrap/>
            <w:vAlign w:val="bottom"/>
            <w:hideMark/>
          </w:tcPr>
          <w:p w14:paraId="08347B5E"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606D88C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652647D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089FBAE3"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72D1428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w:t>
            </w:r>
          </w:p>
        </w:tc>
      </w:tr>
      <w:tr w:rsidR="005F0290" w:rsidRPr="00CB74C8" w14:paraId="3A612136" w14:textId="77777777" w:rsidTr="005F0290">
        <w:trPr>
          <w:trHeight w:val="288"/>
        </w:trPr>
        <w:tc>
          <w:tcPr>
            <w:tcW w:w="960" w:type="dxa"/>
            <w:tcBorders>
              <w:top w:val="nil"/>
              <w:left w:val="nil"/>
              <w:bottom w:val="nil"/>
              <w:right w:val="nil"/>
            </w:tcBorders>
            <w:noWrap/>
            <w:vAlign w:val="bottom"/>
            <w:hideMark/>
          </w:tcPr>
          <w:p w14:paraId="3A5294FF"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0D2AD11B"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Long-term debt</w:t>
            </w:r>
          </w:p>
        </w:tc>
        <w:tc>
          <w:tcPr>
            <w:tcW w:w="1159" w:type="dxa"/>
            <w:tcBorders>
              <w:top w:val="nil"/>
              <w:left w:val="nil"/>
              <w:bottom w:val="single" w:sz="4" w:space="0" w:color="auto"/>
              <w:right w:val="single" w:sz="4" w:space="0" w:color="auto"/>
            </w:tcBorders>
            <w:noWrap/>
            <w:vAlign w:val="bottom"/>
            <w:hideMark/>
          </w:tcPr>
          <w:p w14:paraId="3EA4C3D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14,995 </w:t>
            </w:r>
          </w:p>
        </w:tc>
        <w:tc>
          <w:tcPr>
            <w:tcW w:w="1159" w:type="dxa"/>
            <w:tcBorders>
              <w:top w:val="nil"/>
              <w:left w:val="nil"/>
              <w:bottom w:val="single" w:sz="4" w:space="0" w:color="auto"/>
              <w:right w:val="single" w:sz="4" w:space="0" w:color="auto"/>
            </w:tcBorders>
            <w:noWrap/>
            <w:vAlign w:val="bottom"/>
            <w:hideMark/>
          </w:tcPr>
          <w:p w14:paraId="51F8D59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13,138 </w:t>
            </w:r>
          </w:p>
        </w:tc>
        <w:tc>
          <w:tcPr>
            <w:tcW w:w="1181" w:type="dxa"/>
            <w:tcBorders>
              <w:top w:val="nil"/>
              <w:left w:val="nil"/>
              <w:bottom w:val="single" w:sz="4" w:space="0" w:color="auto"/>
              <w:right w:val="single" w:sz="4" w:space="0" w:color="auto"/>
            </w:tcBorders>
            <w:noWrap/>
            <w:vAlign w:val="bottom"/>
            <w:hideMark/>
          </w:tcPr>
          <w:p w14:paraId="522698DC"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11,320 </w:t>
            </w:r>
          </w:p>
        </w:tc>
        <w:tc>
          <w:tcPr>
            <w:tcW w:w="1181" w:type="dxa"/>
            <w:tcBorders>
              <w:top w:val="nil"/>
              <w:left w:val="nil"/>
              <w:bottom w:val="single" w:sz="4" w:space="0" w:color="auto"/>
              <w:right w:val="single" w:sz="4" w:space="0" w:color="auto"/>
            </w:tcBorders>
            <w:noWrap/>
            <w:vAlign w:val="bottom"/>
            <w:hideMark/>
          </w:tcPr>
          <w:p w14:paraId="2DC300B2"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9,380 </w:t>
            </w:r>
          </w:p>
        </w:tc>
        <w:tc>
          <w:tcPr>
            <w:tcW w:w="1159" w:type="dxa"/>
            <w:tcBorders>
              <w:top w:val="nil"/>
              <w:left w:val="nil"/>
              <w:bottom w:val="single" w:sz="4" w:space="0" w:color="auto"/>
              <w:right w:val="single" w:sz="4" w:space="0" w:color="auto"/>
            </w:tcBorders>
            <w:noWrap/>
            <w:vAlign w:val="bottom"/>
            <w:hideMark/>
          </w:tcPr>
          <w:p w14:paraId="2CFE7F2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9,333 </w:t>
            </w:r>
          </w:p>
        </w:tc>
      </w:tr>
      <w:tr w:rsidR="005F0290" w:rsidRPr="00CB74C8" w14:paraId="6D6F12D0" w14:textId="77777777" w:rsidTr="005F0290">
        <w:trPr>
          <w:trHeight w:val="288"/>
        </w:trPr>
        <w:tc>
          <w:tcPr>
            <w:tcW w:w="960" w:type="dxa"/>
            <w:tcBorders>
              <w:top w:val="nil"/>
              <w:left w:val="nil"/>
              <w:bottom w:val="nil"/>
              <w:right w:val="nil"/>
            </w:tcBorders>
            <w:noWrap/>
            <w:vAlign w:val="bottom"/>
            <w:hideMark/>
          </w:tcPr>
          <w:p w14:paraId="3B43DBE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556F040"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Other noncurrent liabilities </w:t>
            </w:r>
          </w:p>
        </w:tc>
        <w:tc>
          <w:tcPr>
            <w:tcW w:w="1159" w:type="dxa"/>
            <w:tcBorders>
              <w:top w:val="nil"/>
              <w:left w:val="nil"/>
              <w:bottom w:val="single" w:sz="4" w:space="0" w:color="auto"/>
              <w:right w:val="single" w:sz="4" w:space="0" w:color="auto"/>
            </w:tcBorders>
            <w:noWrap/>
            <w:vAlign w:val="bottom"/>
            <w:hideMark/>
          </w:tcPr>
          <w:p w14:paraId="634B92DA"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1,265 </w:t>
            </w:r>
          </w:p>
        </w:tc>
        <w:tc>
          <w:tcPr>
            <w:tcW w:w="1159" w:type="dxa"/>
            <w:tcBorders>
              <w:top w:val="nil"/>
              <w:left w:val="nil"/>
              <w:bottom w:val="single" w:sz="4" w:space="0" w:color="auto"/>
              <w:right w:val="single" w:sz="4" w:space="0" w:color="auto"/>
            </w:tcBorders>
            <w:noWrap/>
            <w:vAlign w:val="bottom"/>
            <w:hideMark/>
          </w:tcPr>
          <w:p w14:paraId="654D9999"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1,377 </w:t>
            </w:r>
          </w:p>
        </w:tc>
        <w:tc>
          <w:tcPr>
            <w:tcW w:w="1181" w:type="dxa"/>
            <w:tcBorders>
              <w:top w:val="nil"/>
              <w:left w:val="nil"/>
              <w:bottom w:val="single" w:sz="4" w:space="0" w:color="auto"/>
              <w:right w:val="single" w:sz="4" w:space="0" w:color="auto"/>
            </w:tcBorders>
            <w:noWrap/>
            <w:vAlign w:val="bottom"/>
            <w:hideMark/>
          </w:tcPr>
          <w:p w14:paraId="6D0A6BB4"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1,482 </w:t>
            </w:r>
          </w:p>
        </w:tc>
        <w:tc>
          <w:tcPr>
            <w:tcW w:w="1181" w:type="dxa"/>
            <w:tcBorders>
              <w:top w:val="nil"/>
              <w:left w:val="nil"/>
              <w:bottom w:val="single" w:sz="4" w:space="0" w:color="auto"/>
              <w:right w:val="single" w:sz="4" w:space="0" w:color="auto"/>
            </w:tcBorders>
            <w:noWrap/>
            <w:vAlign w:val="bottom"/>
            <w:hideMark/>
          </w:tcPr>
          <w:p w14:paraId="43D2D286"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1,842 </w:t>
            </w:r>
          </w:p>
        </w:tc>
        <w:tc>
          <w:tcPr>
            <w:tcW w:w="1159" w:type="dxa"/>
            <w:tcBorders>
              <w:top w:val="nil"/>
              <w:left w:val="nil"/>
              <w:bottom w:val="single" w:sz="4" w:space="0" w:color="auto"/>
              <w:right w:val="single" w:sz="4" w:space="0" w:color="auto"/>
            </w:tcBorders>
            <w:noWrap/>
            <w:vAlign w:val="bottom"/>
            <w:hideMark/>
          </w:tcPr>
          <w:p w14:paraId="09E33B85"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r w:rsidRPr="00CB74C8">
              <w:rPr>
                <w:rFonts w:ascii="Arial" w:eastAsia="Times New Roman" w:hAnsi="Arial" w:cs="Arial"/>
                <w:bCs w:val="0"/>
                <w:color w:val="000000"/>
                <w:kern w:val="0"/>
                <w:sz w:val="22"/>
                <w:lang w:val="en-IN" w:eastAsia="en-IN" w:bidi="gu-IN"/>
                <w14:ligatures w14:val="none"/>
              </w:rPr>
              <w:t xml:space="preserve">           2,002 </w:t>
            </w:r>
          </w:p>
        </w:tc>
      </w:tr>
      <w:tr w:rsidR="005F0290" w:rsidRPr="00CB74C8" w14:paraId="72CFE8FD" w14:textId="77777777" w:rsidTr="005F0290">
        <w:trPr>
          <w:trHeight w:val="288"/>
        </w:trPr>
        <w:tc>
          <w:tcPr>
            <w:tcW w:w="960" w:type="dxa"/>
            <w:tcBorders>
              <w:top w:val="nil"/>
              <w:left w:val="nil"/>
              <w:bottom w:val="nil"/>
              <w:right w:val="nil"/>
            </w:tcBorders>
            <w:noWrap/>
            <w:vAlign w:val="bottom"/>
            <w:hideMark/>
          </w:tcPr>
          <w:p w14:paraId="5931A9ED" w14:textId="77777777" w:rsidR="005F0290" w:rsidRPr="00CB74C8" w:rsidRDefault="005F0290" w:rsidP="005F0290">
            <w:pPr>
              <w:spacing w:line="240" w:lineRule="auto"/>
              <w:jc w:val="left"/>
              <w:rPr>
                <w:rFonts w:ascii="Arial" w:eastAsia="Times New Roman" w:hAnsi="Arial" w:cs="Arial"/>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6150C662"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Total liabilities </w:t>
            </w:r>
          </w:p>
        </w:tc>
        <w:tc>
          <w:tcPr>
            <w:tcW w:w="1159" w:type="dxa"/>
            <w:tcBorders>
              <w:top w:val="nil"/>
              <w:left w:val="nil"/>
              <w:bottom w:val="single" w:sz="4" w:space="0" w:color="auto"/>
              <w:right w:val="single" w:sz="4" w:space="0" w:color="auto"/>
            </w:tcBorders>
            <w:noWrap/>
            <w:vAlign w:val="bottom"/>
            <w:hideMark/>
          </w:tcPr>
          <w:p w14:paraId="72D77CE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31,311 </w:t>
            </w:r>
          </w:p>
        </w:tc>
        <w:tc>
          <w:tcPr>
            <w:tcW w:w="1159" w:type="dxa"/>
            <w:tcBorders>
              <w:top w:val="nil"/>
              <w:left w:val="nil"/>
              <w:bottom w:val="single" w:sz="4" w:space="0" w:color="auto"/>
              <w:right w:val="single" w:sz="4" w:space="0" w:color="auto"/>
            </w:tcBorders>
            <w:noWrap/>
            <w:vAlign w:val="bottom"/>
            <w:hideMark/>
          </w:tcPr>
          <w:p w14:paraId="4FDFD24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29,174 </w:t>
            </w:r>
          </w:p>
        </w:tc>
        <w:tc>
          <w:tcPr>
            <w:tcW w:w="1181" w:type="dxa"/>
            <w:tcBorders>
              <w:top w:val="nil"/>
              <w:left w:val="nil"/>
              <w:bottom w:val="single" w:sz="4" w:space="0" w:color="auto"/>
              <w:right w:val="single" w:sz="4" w:space="0" w:color="auto"/>
            </w:tcBorders>
            <w:noWrap/>
            <w:vAlign w:val="bottom"/>
            <w:hideMark/>
          </w:tcPr>
          <w:p w14:paraId="5892F3B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26,356 </w:t>
            </w:r>
          </w:p>
        </w:tc>
        <w:tc>
          <w:tcPr>
            <w:tcW w:w="1181" w:type="dxa"/>
            <w:tcBorders>
              <w:top w:val="nil"/>
              <w:left w:val="nil"/>
              <w:bottom w:val="single" w:sz="4" w:space="0" w:color="auto"/>
              <w:right w:val="single" w:sz="4" w:space="0" w:color="auto"/>
            </w:tcBorders>
            <w:noWrap/>
            <w:vAlign w:val="bottom"/>
            <w:hideMark/>
          </w:tcPr>
          <w:p w14:paraId="189B977C"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24,247 </w:t>
            </w:r>
          </w:p>
        </w:tc>
        <w:tc>
          <w:tcPr>
            <w:tcW w:w="1159" w:type="dxa"/>
            <w:tcBorders>
              <w:top w:val="nil"/>
              <w:left w:val="nil"/>
              <w:bottom w:val="single" w:sz="4" w:space="0" w:color="auto"/>
              <w:right w:val="single" w:sz="4" w:space="0" w:color="auto"/>
            </w:tcBorders>
            <w:noWrap/>
            <w:vAlign w:val="bottom"/>
            <w:hideMark/>
          </w:tcPr>
          <w:p w14:paraId="240F1CC8"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24,139 </w:t>
            </w:r>
          </w:p>
        </w:tc>
      </w:tr>
      <w:tr w:rsidR="005F0290" w:rsidRPr="00CB74C8" w14:paraId="2B1D92C6" w14:textId="77777777" w:rsidTr="005F0290">
        <w:trPr>
          <w:trHeight w:val="288"/>
        </w:trPr>
        <w:tc>
          <w:tcPr>
            <w:tcW w:w="960" w:type="dxa"/>
            <w:tcBorders>
              <w:top w:val="nil"/>
              <w:left w:val="nil"/>
              <w:bottom w:val="nil"/>
              <w:right w:val="nil"/>
            </w:tcBorders>
            <w:noWrap/>
            <w:vAlign w:val="bottom"/>
            <w:hideMark/>
          </w:tcPr>
          <w:p w14:paraId="2D2A24ED"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4D76B0B"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Total equity</w:t>
            </w:r>
          </w:p>
        </w:tc>
        <w:tc>
          <w:tcPr>
            <w:tcW w:w="1159" w:type="dxa"/>
            <w:tcBorders>
              <w:top w:val="nil"/>
              <w:left w:val="nil"/>
              <w:bottom w:val="single" w:sz="4" w:space="0" w:color="auto"/>
              <w:right w:val="single" w:sz="4" w:space="0" w:color="auto"/>
            </w:tcBorders>
            <w:noWrap/>
            <w:vAlign w:val="bottom"/>
            <w:hideMark/>
          </w:tcPr>
          <w:p w14:paraId="173261C3"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(3,771)</w:t>
            </w:r>
          </w:p>
        </w:tc>
        <w:tc>
          <w:tcPr>
            <w:tcW w:w="1159" w:type="dxa"/>
            <w:tcBorders>
              <w:top w:val="nil"/>
              <w:left w:val="nil"/>
              <w:bottom w:val="single" w:sz="4" w:space="0" w:color="auto"/>
              <w:right w:val="single" w:sz="4" w:space="0" w:color="auto"/>
            </w:tcBorders>
            <w:noWrap/>
            <w:vAlign w:val="bottom"/>
            <w:hideMark/>
          </w:tcPr>
          <w:p w14:paraId="02DD246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(2,992)</w:t>
            </w:r>
          </w:p>
        </w:tc>
        <w:tc>
          <w:tcPr>
            <w:tcW w:w="1181" w:type="dxa"/>
            <w:tcBorders>
              <w:top w:val="nil"/>
              <w:left w:val="nil"/>
              <w:bottom w:val="single" w:sz="4" w:space="0" w:color="auto"/>
              <w:right w:val="single" w:sz="4" w:space="0" w:color="auto"/>
            </w:tcBorders>
            <w:noWrap/>
            <w:vAlign w:val="bottom"/>
            <w:hideMark/>
          </w:tcPr>
          <w:p w14:paraId="78C922A1"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(682)</w:t>
            </w:r>
          </w:p>
        </w:tc>
        <w:tc>
          <w:tcPr>
            <w:tcW w:w="1181" w:type="dxa"/>
            <w:tcBorders>
              <w:top w:val="nil"/>
              <w:left w:val="nil"/>
              <w:bottom w:val="single" w:sz="4" w:space="0" w:color="auto"/>
              <w:right w:val="single" w:sz="4" w:space="0" w:color="auto"/>
            </w:tcBorders>
            <w:noWrap/>
            <w:vAlign w:val="bottom"/>
            <w:hideMark/>
          </w:tcPr>
          <w:p w14:paraId="57427DB0"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(568)</w:t>
            </w:r>
          </w:p>
        </w:tc>
        <w:tc>
          <w:tcPr>
            <w:tcW w:w="1159" w:type="dxa"/>
            <w:tcBorders>
              <w:top w:val="nil"/>
              <w:left w:val="nil"/>
              <w:bottom w:val="single" w:sz="4" w:space="0" w:color="auto"/>
              <w:right w:val="single" w:sz="4" w:space="0" w:color="auto"/>
            </w:tcBorders>
            <w:noWrap/>
            <w:vAlign w:val="bottom"/>
            <w:hideMark/>
          </w:tcPr>
          <w:p w14:paraId="2CDCBBCE" w14:textId="77777777" w:rsidR="005F0290" w:rsidRPr="00CB74C8" w:rsidRDefault="005F0290" w:rsidP="005F0290">
            <w:pPr>
              <w:spacing w:line="240" w:lineRule="auto"/>
              <w:jc w:val="left"/>
              <w:rPr>
                <w:rFonts w:ascii="Arial" w:eastAsia="Times New Roman" w:hAnsi="Arial" w:cs="Arial"/>
                <w:b/>
                <w:color w:val="000000"/>
                <w:kern w:val="0"/>
                <w:sz w:val="22"/>
                <w:lang w:val="en-IN" w:eastAsia="en-IN" w:bidi="gu-IN"/>
                <w14:ligatures w14:val="none"/>
              </w:rPr>
            </w:pPr>
            <w:r w:rsidRPr="00CB74C8">
              <w:rPr>
                <w:rFonts w:ascii="Arial" w:eastAsia="Times New Roman" w:hAnsi="Arial" w:cs="Arial"/>
                <w:b/>
                <w:color w:val="000000"/>
                <w:kern w:val="0"/>
                <w:sz w:val="22"/>
                <w:lang w:val="en-IN" w:eastAsia="en-IN" w:bidi="gu-IN"/>
                <w14:ligatures w14:val="none"/>
              </w:rPr>
              <w:t xml:space="preserve">          1,414 </w:t>
            </w:r>
          </w:p>
        </w:tc>
      </w:tr>
    </w:tbl>
    <w:p w14:paraId="39CD618B" w14:textId="3B4A1FA4" w:rsidR="00501936" w:rsidRPr="00CB74C8" w:rsidRDefault="00501936" w:rsidP="00B469AF">
      <w:pPr>
        <w:rPr>
          <w:rFonts w:ascii="Arial" w:hAnsi="Arial" w:cs="Arial"/>
          <w:szCs w:val="24"/>
        </w:rPr>
      </w:pPr>
      <w:r w:rsidRPr="00CB74C8">
        <w:rPr>
          <w:rFonts w:ascii="Arial" w:hAnsi="Arial" w:cs="Arial"/>
          <w:noProof/>
          <w:szCs w:val="24"/>
        </w:rPr>
        <w:lastRenderedPageBreak/>
        <w:drawing>
          <wp:inline distT="0" distB="0" distL="0" distR="0" wp14:anchorId="25AC9FB6" wp14:editId="6A77C761">
            <wp:extent cx="5229225" cy="4200525"/>
            <wp:effectExtent l="0" t="0" r="9525" b="9525"/>
            <wp:docPr id="71340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9225" cy="4200525"/>
                    </a:xfrm>
                    <a:prstGeom prst="rect">
                      <a:avLst/>
                    </a:prstGeom>
                    <a:noFill/>
                    <a:ln>
                      <a:noFill/>
                    </a:ln>
                  </pic:spPr>
                </pic:pic>
              </a:graphicData>
            </a:graphic>
          </wp:inline>
        </w:drawing>
      </w:r>
    </w:p>
    <w:p w14:paraId="2D337A0E" w14:textId="77777777" w:rsidR="005F0290" w:rsidRPr="00CB74C8" w:rsidRDefault="005F0290" w:rsidP="00B469AF">
      <w:pPr>
        <w:rPr>
          <w:rFonts w:ascii="Arial" w:hAnsi="Arial" w:cs="Arial"/>
          <w:szCs w:val="24"/>
        </w:rPr>
      </w:pPr>
    </w:p>
    <w:p w14:paraId="57E420D5" w14:textId="77777777" w:rsidR="005F0290" w:rsidRPr="00CB74C8" w:rsidRDefault="005F0290" w:rsidP="00B469AF">
      <w:pPr>
        <w:rPr>
          <w:rFonts w:ascii="Arial" w:hAnsi="Arial" w:cs="Arial"/>
          <w:szCs w:val="24"/>
        </w:rPr>
      </w:pPr>
    </w:p>
    <w:p w14:paraId="703985A6" w14:textId="77777777" w:rsidR="005F0290" w:rsidRPr="00CB74C8" w:rsidRDefault="005F0290" w:rsidP="00B469AF">
      <w:pPr>
        <w:rPr>
          <w:rFonts w:ascii="Arial" w:hAnsi="Arial" w:cs="Arial"/>
          <w:szCs w:val="24"/>
        </w:rPr>
      </w:pPr>
    </w:p>
    <w:p w14:paraId="7F1AC64C" w14:textId="77777777" w:rsidR="005F0290" w:rsidRPr="00CB74C8" w:rsidRDefault="005F0290" w:rsidP="00B469AF">
      <w:pPr>
        <w:rPr>
          <w:rFonts w:ascii="Arial" w:hAnsi="Arial" w:cs="Arial"/>
          <w:szCs w:val="24"/>
        </w:rPr>
      </w:pPr>
    </w:p>
    <w:p w14:paraId="508E5F5B" w14:textId="77777777" w:rsidR="005F0290" w:rsidRPr="00CB74C8" w:rsidRDefault="005F0290" w:rsidP="00B469AF">
      <w:pPr>
        <w:rPr>
          <w:rFonts w:ascii="Arial" w:hAnsi="Arial" w:cs="Arial"/>
          <w:szCs w:val="24"/>
        </w:rPr>
      </w:pPr>
    </w:p>
    <w:p w14:paraId="163668E8" w14:textId="77777777" w:rsidR="005F0290" w:rsidRPr="00CB74C8" w:rsidRDefault="005F0290" w:rsidP="00B469AF">
      <w:pPr>
        <w:rPr>
          <w:rFonts w:ascii="Arial" w:hAnsi="Arial" w:cs="Arial"/>
          <w:szCs w:val="24"/>
        </w:rPr>
      </w:pPr>
    </w:p>
    <w:p w14:paraId="03D16C0E" w14:textId="77777777" w:rsidR="005F0290" w:rsidRPr="00CB74C8" w:rsidRDefault="005F0290" w:rsidP="00B469AF">
      <w:pPr>
        <w:rPr>
          <w:rFonts w:ascii="Arial" w:hAnsi="Arial" w:cs="Arial"/>
          <w:szCs w:val="24"/>
        </w:rPr>
      </w:pPr>
    </w:p>
    <w:p w14:paraId="370C8BB6" w14:textId="77777777" w:rsidR="005F0290" w:rsidRPr="00CB74C8" w:rsidRDefault="005F0290" w:rsidP="00B469AF">
      <w:pPr>
        <w:rPr>
          <w:rFonts w:ascii="Arial" w:hAnsi="Arial" w:cs="Arial"/>
          <w:szCs w:val="24"/>
        </w:rPr>
      </w:pPr>
    </w:p>
    <w:p w14:paraId="5C16A17C" w14:textId="77777777" w:rsidR="005F0290" w:rsidRPr="00CB74C8" w:rsidRDefault="005F0290" w:rsidP="00B469AF">
      <w:pPr>
        <w:rPr>
          <w:rFonts w:ascii="Arial" w:hAnsi="Arial" w:cs="Arial"/>
          <w:szCs w:val="24"/>
        </w:rPr>
      </w:pPr>
    </w:p>
    <w:p w14:paraId="01A1907C" w14:textId="77777777" w:rsidR="005F0290" w:rsidRPr="00CB74C8" w:rsidRDefault="005F0290" w:rsidP="00B469AF">
      <w:pPr>
        <w:rPr>
          <w:rFonts w:ascii="Arial" w:hAnsi="Arial" w:cs="Arial"/>
          <w:szCs w:val="24"/>
        </w:rPr>
      </w:pPr>
    </w:p>
    <w:p w14:paraId="66AB282F" w14:textId="77777777" w:rsidR="005F0290" w:rsidRPr="00CB74C8" w:rsidRDefault="005F0290" w:rsidP="00B469AF">
      <w:pPr>
        <w:rPr>
          <w:rFonts w:ascii="Arial" w:hAnsi="Arial" w:cs="Arial"/>
          <w:szCs w:val="24"/>
        </w:rPr>
      </w:pPr>
    </w:p>
    <w:p w14:paraId="6E1C9F68" w14:textId="77777777" w:rsidR="005F0290" w:rsidRPr="00CB74C8" w:rsidRDefault="005F0290" w:rsidP="00B469AF">
      <w:pPr>
        <w:rPr>
          <w:rFonts w:ascii="Arial" w:hAnsi="Arial" w:cs="Arial"/>
          <w:szCs w:val="24"/>
        </w:rPr>
      </w:pPr>
    </w:p>
    <w:p w14:paraId="39E23E1C" w14:textId="77777777" w:rsidR="005F0290" w:rsidRPr="00CB74C8" w:rsidRDefault="005F0290" w:rsidP="00B469AF">
      <w:pPr>
        <w:rPr>
          <w:rFonts w:ascii="Arial" w:hAnsi="Arial" w:cs="Arial"/>
          <w:szCs w:val="24"/>
        </w:rPr>
      </w:pPr>
    </w:p>
    <w:p w14:paraId="095D5BE0" w14:textId="38B4C786" w:rsidR="000C4159" w:rsidRPr="00CB74C8" w:rsidRDefault="000C4159" w:rsidP="00B469AF">
      <w:pPr>
        <w:pStyle w:val="Heading2"/>
        <w:rPr>
          <w:rFonts w:ascii="Arial" w:hAnsi="Arial" w:cs="Arial"/>
          <w:szCs w:val="24"/>
        </w:rPr>
      </w:pPr>
      <w:bookmarkStart w:id="31" w:name="_Toc237459268"/>
      <w:r w:rsidRPr="00CB74C8">
        <w:rPr>
          <w:rFonts w:ascii="Arial" w:hAnsi="Arial" w:cs="Arial"/>
          <w:szCs w:val="24"/>
        </w:rPr>
        <w:lastRenderedPageBreak/>
        <w:t>Appendix 2: Ratio Analysis</w:t>
      </w:r>
      <w:bookmarkEnd w:id="31"/>
    </w:p>
    <w:p w14:paraId="25496D37" w14:textId="52EF8155" w:rsidR="004C6271" w:rsidRPr="00CB74C8" w:rsidRDefault="00472A5F" w:rsidP="00B469AF">
      <w:pPr>
        <w:rPr>
          <w:rFonts w:ascii="Arial" w:hAnsi="Arial" w:cs="Arial"/>
          <w:szCs w:val="24"/>
        </w:rPr>
      </w:pPr>
      <w:r w:rsidRPr="00CB74C8">
        <w:rPr>
          <w:rFonts w:ascii="Arial" w:hAnsi="Arial" w:cs="Arial"/>
          <w:noProof/>
          <w:szCs w:val="24"/>
        </w:rPr>
        <w:drawing>
          <wp:inline distT="0" distB="0" distL="0" distR="0" wp14:anchorId="0A417594" wp14:editId="0BA077EA">
            <wp:extent cx="5731510" cy="3797935"/>
            <wp:effectExtent l="0" t="0" r="2540" b="0"/>
            <wp:docPr id="186884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797935"/>
                    </a:xfrm>
                    <a:prstGeom prst="rect">
                      <a:avLst/>
                    </a:prstGeom>
                    <a:noFill/>
                    <a:ln>
                      <a:noFill/>
                    </a:ln>
                  </pic:spPr>
                </pic:pic>
              </a:graphicData>
            </a:graphic>
          </wp:inline>
        </w:drawing>
      </w:r>
    </w:p>
    <w:p w14:paraId="643614EE" w14:textId="77777777" w:rsidR="005F0290" w:rsidRPr="00CB74C8" w:rsidRDefault="005F0290" w:rsidP="00B469AF">
      <w:pPr>
        <w:rPr>
          <w:rFonts w:ascii="Arial" w:hAnsi="Arial" w:cs="Arial"/>
          <w:szCs w:val="24"/>
        </w:rPr>
      </w:pPr>
    </w:p>
    <w:p w14:paraId="481DB3A4" w14:textId="77777777" w:rsidR="005F0290" w:rsidRPr="00CB74C8" w:rsidRDefault="005F0290" w:rsidP="00B469AF">
      <w:pPr>
        <w:rPr>
          <w:rFonts w:ascii="Arial" w:hAnsi="Arial" w:cs="Arial"/>
          <w:szCs w:val="24"/>
        </w:rPr>
      </w:pPr>
    </w:p>
    <w:p w14:paraId="3B01A37B" w14:textId="77777777" w:rsidR="005F0290" w:rsidRPr="00CB74C8" w:rsidRDefault="005F0290" w:rsidP="00B469AF">
      <w:pPr>
        <w:rPr>
          <w:rFonts w:ascii="Arial" w:hAnsi="Arial" w:cs="Arial"/>
          <w:szCs w:val="24"/>
        </w:rPr>
      </w:pPr>
    </w:p>
    <w:p w14:paraId="6EED0281" w14:textId="77777777" w:rsidR="005F0290" w:rsidRPr="00CB74C8" w:rsidRDefault="005F0290" w:rsidP="00B469AF">
      <w:pPr>
        <w:rPr>
          <w:rFonts w:ascii="Arial" w:hAnsi="Arial" w:cs="Arial"/>
          <w:szCs w:val="24"/>
        </w:rPr>
      </w:pPr>
    </w:p>
    <w:p w14:paraId="510BFF5D" w14:textId="77777777" w:rsidR="005F0290" w:rsidRPr="00CB74C8" w:rsidRDefault="005F0290" w:rsidP="00B469AF">
      <w:pPr>
        <w:rPr>
          <w:rFonts w:ascii="Arial" w:hAnsi="Arial" w:cs="Arial"/>
          <w:szCs w:val="24"/>
        </w:rPr>
      </w:pPr>
    </w:p>
    <w:p w14:paraId="04BF387A" w14:textId="77777777" w:rsidR="005F0290" w:rsidRPr="00CB74C8" w:rsidRDefault="005F0290" w:rsidP="00B469AF">
      <w:pPr>
        <w:rPr>
          <w:rFonts w:ascii="Arial" w:hAnsi="Arial" w:cs="Arial"/>
          <w:szCs w:val="24"/>
        </w:rPr>
      </w:pPr>
    </w:p>
    <w:p w14:paraId="7A843C66" w14:textId="77777777" w:rsidR="005F0290" w:rsidRPr="00CB74C8" w:rsidRDefault="005F0290" w:rsidP="00B469AF">
      <w:pPr>
        <w:rPr>
          <w:rFonts w:ascii="Arial" w:hAnsi="Arial" w:cs="Arial"/>
          <w:szCs w:val="24"/>
        </w:rPr>
      </w:pPr>
    </w:p>
    <w:p w14:paraId="348C1BE8" w14:textId="77777777" w:rsidR="005F0290" w:rsidRPr="00CB74C8" w:rsidRDefault="005F0290" w:rsidP="00B469AF">
      <w:pPr>
        <w:rPr>
          <w:rFonts w:ascii="Arial" w:hAnsi="Arial" w:cs="Arial"/>
          <w:szCs w:val="24"/>
        </w:rPr>
      </w:pPr>
    </w:p>
    <w:p w14:paraId="255DD100" w14:textId="77777777" w:rsidR="005F0290" w:rsidRPr="00CB74C8" w:rsidRDefault="005F0290" w:rsidP="00B469AF">
      <w:pPr>
        <w:rPr>
          <w:rFonts w:ascii="Arial" w:hAnsi="Arial" w:cs="Arial"/>
          <w:szCs w:val="24"/>
        </w:rPr>
      </w:pPr>
    </w:p>
    <w:p w14:paraId="67F280CD" w14:textId="77777777" w:rsidR="005F0290" w:rsidRPr="00CB74C8" w:rsidRDefault="005F0290" w:rsidP="00B469AF">
      <w:pPr>
        <w:rPr>
          <w:rFonts w:ascii="Arial" w:hAnsi="Arial" w:cs="Arial"/>
          <w:szCs w:val="24"/>
        </w:rPr>
      </w:pPr>
    </w:p>
    <w:p w14:paraId="565335FD" w14:textId="77777777" w:rsidR="005F0290" w:rsidRPr="00CB74C8" w:rsidRDefault="005F0290" w:rsidP="00B469AF">
      <w:pPr>
        <w:rPr>
          <w:rFonts w:ascii="Arial" w:hAnsi="Arial" w:cs="Arial"/>
          <w:szCs w:val="24"/>
        </w:rPr>
      </w:pPr>
    </w:p>
    <w:p w14:paraId="7D916F98" w14:textId="77777777" w:rsidR="005F0290" w:rsidRPr="00CB74C8" w:rsidRDefault="005F0290" w:rsidP="00B469AF">
      <w:pPr>
        <w:rPr>
          <w:rFonts w:ascii="Arial" w:hAnsi="Arial" w:cs="Arial"/>
          <w:szCs w:val="24"/>
        </w:rPr>
      </w:pPr>
    </w:p>
    <w:p w14:paraId="4CEBC778" w14:textId="77777777" w:rsidR="005F0290" w:rsidRPr="00CB74C8" w:rsidRDefault="005F0290" w:rsidP="00B469AF">
      <w:pPr>
        <w:rPr>
          <w:rFonts w:ascii="Arial" w:hAnsi="Arial" w:cs="Arial"/>
          <w:szCs w:val="24"/>
        </w:rPr>
      </w:pPr>
    </w:p>
    <w:p w14:paraId="4BCB5D14" w14:textId="6BBAD9DD" w:rsidR="000C4159" w:rsidRPr="00CB74C8" w:rsidRDefault="000C4159" w:rsidP="00B469AF">
      <w:pPr>
        <w:pStyle w:val="Heading2"/>
        <w:rPr>
          <w:rFonts w:ascii="Arial" w:hAnsi="Arial" w:cs="Arial"/>
          <w:szCs w:val="24"/>
        </w:rPr>
      </w:pPr>
      <w:bookmarkStart w:id="32" w:name="_Toc237459269"/>
      <w:r w:rsidRPr="00CB74C8">
        <w:rPr>
          <w:rFonts w:ascii="Arial" w:hAnsi="Arial" w:cs="Arial"/>
          <w:szCs w:val="24"/>
        </w:rPr>
        <w:lastRenderedPageBreak/>
        <w:t>Appendix 3: PBP, NPV, IRR, PI, and ARR Calculations</w:t>
      </w:r>
      <w:bookmarkEnd w:id="32"/>
    </w:p>
    <w:p w14:paraId="3FA8B1E7" w14:textId="4F4D036A" w:rsidR="000C4159" w:rsidRPr="00CB74C8" w:rsidRDefault="00472A5F" w:rsidP="00B469AF">
      <w:pPr>
        <w:rPr>
          <w:rFonts w:ascii="Arial" w:hAnsi="Arial" w:cs="Arial"/>
          <w:szCs w:val="24"/>
        </w:rPr>
      </w:pPr>
      <w:r w:rsidRPr="00CB74C8">
        <w:rPr>
          <w:rFonts w:ascii="Arial" w:hAnsi="Arial" w:cs="Arial"/>
          <w:noProof/>
          <w:szCs w:val="24"/>
        </w:rPr>
        <w:lastRenderedPageBreak/>
        <w:drawing>
          <wp:inline distT="0" distB="0" distL="0" distR="0" wp14:anchorId="2C50A665" wp14:editId="448772C7">
            <wp:extent cx="5384165" cy="8863330"/>
            <wp:effectExtent l="0" t="0" r="6985" b="0"/>
            <wp:docPr id="1960859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4165" cy="8863330"/>
                    </a:xfrm>
                    <a:prstGeom prst="rect">
                      <a:avLst/>
                    </a:prstGeom>
                    <a:noFill/>
                    <a:ln>
                      <a:noFill/>
                    </a:ln>
                  </pic:spPr>
                </pic:pic>
              </a:graphicData>
            </a:graphic>
          </wp:inline>
        </w:drawing>
      </w:r>
    </w:p>
    <w:p w14:paraId="0F06BD6B" w14:textId="3DEB9D01" w:rsidR="00DC1430" w:rsidRPr="00CB74C8" w:rsidRDefault="00472A5F" w:rsidP="00B469AF">
      <w:pPr>
        <w:rPr>
          <w:rFonts w:ascii="Arial" w:hAnsi="Arial" w:cs="Arial"/>
          <w:szCs w:val="24"/>
        </w:rPr>
      </w:pPr>
      <w:r w:rsidRPr="00CB74C8">
        <w:rPr>
          <w:rFonts w:ascii="Arial" w:hAnsi="Arial" w:cs="Arial"/>
          <w:noProof/>
          <w:szCs w:val="24"/>
        </w:rPr>
        <w:lastRenderedPageBreak/>
        <w:drawing>
          <wp:inline distT="0" distB="0" distL="0" distR="0" wp14:anchorId="0B2C4126" wp14:editId="7184B9C9">
            <wp:extent cx="4459605" cy="8863330"/>
            <wp:effectExtent l="0" t="0" r="0" b="0"/>
            <wp:docPr id="1894670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59605" cy="8863330"/>
                    </a:xfrm>
                    <a:prstGeom prst="rect">
                      <a:avLst/>
                    </a:prstGeom>
                    <a:noFill/>
                    <a:ln>
                      <a:noFill/>
                    </a:ln>
                  </pic:spPr>
                </pic:pic>
              </a:graphicData>
            </a:graphic>
          </wp:inline>
        </w:drawing>
      </w:r>
    </w:p>
    <w:sectPr w:rsidR="00DC1430" w:rsidRPr="00CB74C8" w:rsidSect="009D0F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1C8C9" w14:textId="77777777" w:rsidR="00B55721" w:rsidRDefault="00B55721" w:rsidP="009D0F23">
      <w:pPr>
        <w:spacing w:line="240" w:lineRule="auto"/>
      </w:pPr>
      <w:r>
        <w:separator/>
      </w:r>
    </w:p>
  </w:endnote>
  <w:endnote w:type="continuationSeparator" w:id="0">
    <w:p w14:paraId="77C36312" w14:textId="77777777" w:rsidR="00B55721" w:rsidRDefault="00B55721" w:rsidP="009D0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255888"/>
      <w:docPartObj>
        <w:docPartGallery w:val="Page Numbers (Bottom of Page)"/>
        <w:docPartUnique/>
      </w:docPartObj>
    </w:sdtPr>
    <w:sdtEndPr>
      <w:rPr>
        <w:noProof/>
      </w:rPr>
    </w:sdtEndPr>
    <w:sdtContent>
      <w:p w14:paraId="66718613" w14:textId="762ECDC4" w:rsidR="009D0F23" w:rsidRDefault="009D0F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9792D" w14:textId="77777777" w:rsidR="009D0F23" w:rsidRDefault="009D0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C76F6" w14:textId="77777777" w:rsidR="00B55721" w:rsidRDefault="00B55721" w:rsidP="009D0F23">
      <w:pPr>
        <w:spacing w:line="240" w:lineRule="auto"/>
      </w:pPr>
      <w:r>
        <w:separator/>
      </w:r>
    </w:p>
  </w:footnote>
  <w:footnote w:type="continuationSeparator" w:id="0">
    <w:p w14:paraId="5B92FCD0" w14:textId="77777777" w:rsidR="00B55721" w:rsidRDefault="00B55721" w:rsidP="009D0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0E2"/>
    <w:multiLevelType w:val="hybridMultilevel"/>
    <w:tmpl w:val="A27C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1C2C00"/>
    <w:multiLevelType w:val="hybridMultilevel"/>
    <w:tmpl w:val="8000E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B6658"/>
    <w:multiLevelType w:val="hybridMultilevel"/>
    <w:tmpl w:val="3AB6C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D8259E"/>
    <w:multiLevelType w:val="multilevel"/>
    <w:tmpl w:val="74B23CF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86F4103"/>
    <w:multiLevelType w:val="hybridMultilevel"/>
    <w:tmpl w:val="BD44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F47E96"/>
    <w:multiLevelType w:val="hybridMultilevel"/>
    <w:tmpl w:val="498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41005"/>
    <w:multiLevelType w:val="hybridMultilevel"/>
    <w:tmpl w:val="A9EA1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094046"/>
    <w:multiLevelType w:val="hybridMultilevel"/>
    <w:tmpl w:val="E284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716045">
    <w:abstractNumId w:val="2"/>
  </w:num>
  <w:num w:numId="2" w16cid:durableId="1645620644">
    <w:abstractNumId w:val="1"/>
  </w:num>
  <w:num w:numId="3" w16cid:durableId="1599941960">
    <w:abstractNumId w:val="7"/>
  </w:num>
  <w:num w:numId="4" w16cid:durableId="774138315">
    <w:abstractNumId w:val="4"/>
  </w:num>
  <w:num w:numId="5" w16cid:durableId="1600067122">
    <w:abstractNumId w:val="5"/>
  </w:num>
  <w:num w:numId="6" w16cid:durableId="1543979011">
    <w:abstractNumId w:val="6"/>
  </w:num>
  <w:num w:numId="7" w16cid:durableId="236476189">
    <w:abstractNumId w:val="0"/>
  </w:num>
  <w:num w:numId="8" w16cid:durableId="603151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F4"/>
    <w:rsid w:val="00000A06"/>
    <w:rsid w:val="000065C0"/>
    <w:rsid w:val="000151FA"/>
    <w:rsid w:val="0003038D"/>
    <w:rsid w:val="0003642C"/>
    <w:rsid w:val="00037AD8"/>
    <w:rsid w:val="00054265"/>
    <w:rsid w:val="000563AB"/>
    <w:rsid w:val="00064368"/>
    <w:rsid w:val="00075854"/>
    <w:rsid w:val="00076F55"/>
    <w:rsid w:val="00080C51"/>
    <w:rsid w:val="00085D67"/>
    <w:rsid w:val="00086289"/>
    <w:rsid w:val="0008775C"/>
    <w:rsid w:val="00094A19"/>
    <w:rsid w:val="000966ED"/>
    <w:rsid w:val="000A178C"/>
    <w:rsid w:val="000A5A31"/>
    <w:rsid w:val="000A625A"/>
    <w:rsid w:val="000A6DE2"/>
    <w:rsid w:val="000B0B00"/>
    <w:rsid w:val="000B39BA"/>
    <w:rsid w:val="000C045B"/>
    <w:rsid w:val="000C4159"/>
    <w:rsid w:val="000C4CEB"/>
    <w:rsid w:val="000C5556"/>
    <w:rsid w:val="000C7839"/>
    <w:rsid w:val="000C797C"/>
    <w:rsid w:val="000C7DA5"/>
    <w:rsid w:val="000D1E89"/>
    <w:rsid w:val="000E393A"/>
    <w:rsid w:val="000E5CC7"/>
    <w:rsid w:val="000F2B29"/>
    <w:rsid w:val="000F737C"/>
    <w:rsid w:val="00103ADE"/>
    <w:rsid w:val="0012361E"/>
    <w:rsid w:val="00127583"/>
    <w:rsid w:val="00135A5F"/>
    <w:rsid w:val="00141698"/>
    <w:rsid w:val="001429F7"/>
    <w:rsid w:val="00143B62"/>
    <w:rsid w:val="00157D95"/>
    <w:rsid w:val="00162F90"/>
    <w:rsid w:val="001644D4"/>
    <w:rsid w:val="001661EA"/>
    <w:rsid w:val="00174394"/>
    <w:rsid w:val="00191B63"/>
    <w:rsid w:val="00191C0B"/>
    <w:rsid w:val="001958D0"/>
    <w:rsid w:val="001A0735"/>
    <w:rsid w:val="001A4C3D"/>
    <w:rsid w:val="001A60B9"/>
    <w:rsid w:val="001A7681"/>
    <w:rsid w:val="001B0A6B"/>
    <w:rsid w:val="001B4B06"/>
    <w:rsid w:val="001B6511"/>
    <w:rsid w:val="001B73E1"/>
    <w:rsid w:val="001E37D9"/>
    <w:rsid w:val="001E3B12"/>
    <w:rsid w:val="001F1C44"/>
    <w:rsid w:val="0020297C"/>
    <w:rsid w:val="002035A5"/>
    <w:rsid w:val="0020501C"/>
    <w:rsid w:val="00205F0B"/>
    <w:rsid w:val="00214829"/>
    <w:rsid w:val="00222B98"/>
    <w:rsid w:val="00224B41"/>
    <w:rsid w:val="00226151"/>
    <w:rsid w:val="00233267"/>
    <w:rsid w:val="00237A7C"/>
    <w:rsid w:val="0024579D"/>
    <w:rsid w:val="0024614B"/>
    <w:rsid w:val="00253C60"/>
    <w:rsid w:val="00263F02"/>
    <w:rsid w:val="00265A84"/>
    <w:rsid w:val="00266CF5"/>
    <w:rsid w:val="00267522"/>
    <w:rsid w:val="00274B02"/>
    <w:rsid w:val="00280786"/>
    <w:rsid w:val="002877EC"/>
    <w:rsid w:val="00290A6B"/>
    <w:rsid w:val="00291A4F"/>
    <w:rsid w:val="00292DB2"/>
    <w:rsid w:val="00295CB4"/>
    <w:rsid w:val="002B263F"/>
    <w:rsid w:val="002C6161"/>
    <w:rsid w:val="002D34CC"/>
    <w:rsid w:val="002D6E4E"/>
    <w:rsid w:val="002E4A98"/>
    <w:rsid w:val="002F105B"/>
    <w:rsid w:val="002F2632"/>
    <w:rsid w:val="002F3C8B"/>
    <w:rsid w:val="002F5977"/>
    <w:rsid w:val="002F76AE"/>
    <w:rsid w:val="00306C8A"/>
    <w:rsid w:val="00312F91"/>
    <w:rsid w:val="003255F0"/>
    <w:rsid w:val="0032694A"/>
    <w:rsid w:val="00330F88"/>
    <w:rsid w:val="00331012"/>
    <w:rsid w:val="00331366"/>
    <w:rsid w:val="00334FC6"/>
    <w:rsid w:val="00343F31"/>
    <w:rsid w:val="003473AC"/>
    <w:rsid w:val="00351717"/>
    <w:rsid w:val="00363D34"/>
    <w:rsid w:val="00365D78"/>
    <w:rsid w:val="00367B03"/>
    <w:rsid w:val="00390782"/>
    <w:rsid w:val="00394CBA"/>
    <w:rsid w:val="003A3042"/>
    <w:rsid w:val="003A37BA"/>
    <w:rsid w:val="003B579B"/>
    <w:rsid w:val="003C1C72"/>
    <w:rsid w:val="003C599E"/>
    <w:rsid w:val="003C6844"/>
    <w:rsid w:val="003C725F"/>
    <w:rsid w:val="003D1DAD"/>
    <w:rsid w:val="003D6EB3"/>
    <w:rsid w:val="003E0AD7"/>
    <w:rsid w:val="003E60AB"/>
    <w:rsid w:val="003E729C"/>
    <w:rsid w:val="003E7F7D"/>
    <w:rsid w:val="003F3A26"/>
    <w:rsid w:val="003F42F3"/>
    <w:rsid w:val="00401C00"/>
    <w:rsid w:val="00405233"/>
    <w:rsid w:val="00413F51"/>
    <w:rsid w:val="00425642"/>
    <w:rsid w:val="00434331"/>
    <w:rsid w:val="004461D5"/>
    <w:rsid w:val="00457C2A"/>
    <w:rsid w:val="00457CCA"/>
    <w:rsid w:val="004622C1"/>
    <w:rsid w:val="00472A5F"/>
    <w:rsid w:val="0047381F"/>
    <w:rsid w:val="00477D37"/>
    <w:rsid w:val="004878EA"/>
    <w:rsid w:val="00495765"/>
    <w:rsid w:val="004A2478"/>
    <w:rsid w:val="004B1243"/>
    <w:rsid w:val="004B609D"/>
    <w:rsid w:val="004C2A85"/>
    <w:rsid w:val="004C5067"/>
    <w:rsid w:val="004C6271"/>
    <w:rsid w:val="004C7225"/>
    <w:rsid w:val="004D0662"/>
    <w:rsid w:val="004D2296"/>
    <w:rsid w:val="004E133D"/>
    <w:rsid w:val="004E34D9"/>
    <w:rsid w:val="00501936"/>
    <w:rsid w:val="00507A21"/>
    <w:rsid w:val="0051520F"/>
    <w:rsid w:val="00523797"/>
    <w:rsid w:val="00523A9A"/>
    <w:rsid w:val="00523D0C"/>
    <w:rsid w:val="00527F1F"/>
    <w:rsid w:val="00532238"/>
    <w:rsid w:val="0054576E"/>
    <w:rsid w:val="00545F08"/>
    <w:rsid w:val="00550BF8"/>
    <w:rsid w:val="005611EF"/>
    <w:rsid w:val="005728D7"/>
    <w:rsid w:val="00575BE0"/>
    <w:rsid w:val="00594E85"/>
    <w:rsid w:val="00595F3E"/>
    <w:rsid w:val="00596AE9"/>
    <w:rsid w:val="00597990"/>
    <w:rsid w:val="005A2387"/>
    <w:rsid w:val="005A6785"/>
    <w:rsid w:val="005A67EC"/>
    <w:rsid w:val="005B102B"/>
    <w:rsid w:val="005B5630"/>
    <w:rsid w:val="005B6BA6"/>
    <w:rsid w:val="005C1D77"/>
    <w:rsid w:val="005E43C4"/>
    <w:rsid w:val="005F0290"/>
    <w:rsid w:val="005F1741"/>
    <w:rsid w:val="00600888"/>
    <w:rsid w:val="0060425A"/>
    <w:rsid w:val="00605CC2"/>
    <w:rsid w:val="00605D3E"/>
    <w:rsid w:val="00606692"/>
    <w:rsid w:val="00610E97"/>
    <w:rsid w:val="00612CE6"/>
    <w:rsid w:val="00614755"/>
    <w:rsid w:val="00617514"/>
    <w:rsid w:val="006203F1"/>
    <w:rsid w:val="0062253C"/>
    <w:rsid w:val="006234F4"/>
    <w:rsid w:val="00633316"/>
    <w:rsid w:val="00633E7F"/>
    <w:rsid w:val="00644459"/>
    <w:rsid w:val="0065654C"/>
    <w:rsid w:val="00670AF3"/>
    <w:rsid w:val="00683689"/>
    <w:rsid w:val="0068433B"/>
    <w:rsid w:val="006848E9"/>
    <w:rsid w:val="00687237"/>
    <w:rsid w:val="006942B2"/>
    <w:rsid w:val="00695DB7"/>
    <w:rsid w:val="006A2272"/>
    <w:rsid w:val="006B3BA6"/>
    <w:rsid w:val="006C0BE8"/>
    <w:rsid w:val="006C12F0"/>
    <w:rsid w:val="006C2C11"/>
    <w:rsid w:val="006D035A"/>
    <w:rsid w:val="006E30F2"/>
    <w:rsid w:val="006E3CBB"/>
    <w:rsid w:val="006F08F1"/>
    <w:rsid w:val="006F2491"/>
    <w:rsid w:val="006F550A"/>
    <w:rsid w:val="006F6C0B"/>
    <w:rsid w:val="006F7EB1"/>
    <w:rsid w:val="00700EE0"/>
    <w:rsid w:val="00701922"/>
    <w:rsid w:val="0070321F"/>
    <w:rsid w:val="007108FD"/>
    <w:rsid w:val="00720DD8"/>
    <w:rsid w:val="00736A73"/>
    <w:rsid w:val="0074636D"/>
    <w:rsid w:val="00751B5A"/>
    <w:rsid w:val="00751C9B"/>
    <w:rsid w:val="00756FF9"/>
    <w:rsid w:val="00760117"/>
    <w:rsid w:val="00762A54"/>
    <w:rsid w:val="00763772"/>
    <w:rsid w:val="00764289"/>
    <w:rsid w:val="007654EF"/>
    <w:rsid w:val="00773A1F"/>
    <w:rsid w:val="00782746"/>
    <w:rsid w:val="007829CB"/>
    <w:rsid w:val="007833EB"/>
    <w:rsid w:val="00784CB3"/>
    <w:rsid w:val="0078508E"/>
    <w:rsid w:val="00785CC1"/>
    <w:rsid w:val="0078765E"/>
    <w:rsid w:val="007A2066"/>
    <w:rsid w:val="007B17A8"/>
    <w:rsid w:val="007C0406"/>
    <w:rsid w:val="007C181A"/>
    <w:rsid w:val="007C3F6C"/>
    <w:rsid w:val="007D2579"/>
    <w:rsid w:val="007E2E2D"/>
    <w:rsid w:val="007E3420"/>
    <w:rsid w:val="00800786"/>
    <w:rsid w:val="00811AFE"/>
    <w:rsid w:val="008124DA"/>
    <w:rsid w:val="00814BE3"/>
    <w:rsid w:val="00823867"/>
    <w:rsid w:val="00823947"/>
    <w:rsid w:val="008305C4"/>
    <w:rsid w:val="00840DBE"/>
    <w:rsid w:val="00842EF9"/>
    <w:rsid w:val="0084675C"/>
    <w:rsid w:val="00847142"/>
    <w:rsid w:val="00847259"/>
    <w:rsid w:val="00850A9A"/>
    <w:rsid w:val="008561D0"/>
    <w:rsid w:val="00870983"/>
    <w:rsid w:val="00872075"/>
    <w:rsid w:val="00880A26"/>
    <w:rsid w:val="00881888"/>
    <w:rsid w:val="00883F29"/>
    <w:rsid w:val="008903EA"/>
    <w:rsid w:val="008915C1"/>
    <w:rsid w:val="00896353"/>
    <w:rsid w:val="008A4DE6"/>
    <w:rsid w:val="008B3D7E"/>
    <w:rsid w:val="008B6EBC"/>
    <w:rsid w:val="008C1757"/>
    <w:rsid w:val="008C2EB8"/>
    <w:rsid w:val="008C47B8"/>
    <w:rsid w:val="008C66C8"/>
    <w:rsid w:val="008C6C50"/>
    <w:rsid w:val="008D45DF"/>
    <w:rsid w:val="008E6E5C"/>
    <w:rsid w:val="008F00C1"/>
    <w:rsid w:val="008F639D"/>
    <w:rsid w:val="0090519D"/>
    <w:rsid w:val="00910060"/>
    <w:rsid w:val="00922B39"/>
    <w:rsid w:val="0093190C"/>
    <w:rsid w:val="00944163"/>
    <w:rsid w:val="00947C82"/>
    <w:rsid w:val="00961BAC"/>
    <w:rsid w:val="00964341"/>
    <w:rsid w:val="00967010"/>
    <w:rsid w:val="0096764E"/>
    <w:rsid w:val="00977C8C"/>
    <w:rsid w:val="00977E3A"/>
    <w:rsid w:val="00980380"/>
    <w:rsid w:val="0098538D"/>
    <w:rsid w:val="009874FE"/>
    <w:rsid w:val="00996A1B"/>
    <w:rsid w:val="009A14F7"/>
    <w:rsid w:val="009A55A2"/>
    <w:rsid w:val="009A6527"/>
    <w:rsid w:val="009C3BC1"/>
    <w:rsid w:val="009C4F79"/>
    <w:rsid w:val="009D0F23"/>
    <w:rsid w:val="009E26EF"/>
    <w:rsid w:val="009E3B46"/>
    <w:rsid w:val="009E5B5F"/>
    <w:rsid w:val="009E77F1"/>
    <w:rsid w:val="009F08BE"/>
    <w:rsid w:val="009F4BC2"/>
    <w:rsid w:val="00A00718"/>
    <w:rsid w:val="00A00F71"/>
    <w:rsid w:val="00A31D0A"/>
    <w:rsid w:val="00A44402"/>
    <w:rsid w:val="00A5617D"/>
    <w:rsid w:val="00A64492"/>
    <w:rsid w:val="00A73ED8"/>
    <w:rsid w:val="00A85B33"/>
    <w:rsid w:val="00A94AD6"/>
    <w:rsid w:val="00AA0441"/>
    <w:rsid w:val="00AB1309"/>
    <w:rsid w:val="00AC0484"/>
    <w:rsid w:val="00AC2171"/>
    <w:rsid w:val="00AC5B67"/>
    <w:rsid w:val="00AD7CF5"/>
    <w:rsid w:val="00AF2AD6"/>
    <w:rsid w:val="00AF454C"/>
    <w:rsid w:val="00AF50FE"/>
    <w:rsid w:val="00B004ED"/>
    <w:rsid w:val="00B01F18"/>
    <w:rsid w:val="00B055E4"/>
    <w:rsid w:val="00B11961"/>
    <w:rsid w:val="00B12941"/>
    <w:rsid w:val="00B2791F"/>
    <w:rsid w:val="00B30768"/>
    <w:rsid w:val="00B352C4"/>
    <w:rsid w:val="00B35345"/>
    <w:rsid w:val="00B360A1"/>
    <w:rsid w:val="00B37479"/>
    <w:rsid w:val="00B4033B"/>
    <w:rsid w:val="00B469AF"/>
    <w:rsid w:val="00B55721"/>
    <w:rsid w:val="00B56E2A"/>
    <w:rsid w:val="00B6609E"/>
    <w:rsid w:val="00B76484"/>
    <w:rsid w:val="00B81C43"/>
    <w:rsid w:val="00B8206F"/>
    <w:rsid w:val="00B87E63"/>
    <w:rsid w:val="00BB0191"/>
    <w:rsid w:val="00BB1638"/>
    <w:rsid w:val="00BB6B55"/>
    <w:rsid w:val="00BB7BC2"/>
    <w:rsid w:val="00BC0AC1"/>
    <w:rsid w:val="00BC5975"/>
    <w:rsid w:val="00BE1BD6"/>
    <w:rsid w:val="00BE210E"/>
    <w:rsid w:val="00BF1AC2"/>
    <w:rsid w:val="00BF557B"/>
    <w:rsid w:val="00BF7B14"/>
    <w:rsid w:val="00C0726C"/>
    <w:rsid w:val="00C2040B"/>
    <w:rsid w:val="00C23096"/>
    <w:rsid w:val="00C25581"/>
    <w:rsid w:val="00C2647B"/>
    <w:rsid w:val="00C27490"/>
    <w:rsid w:val="00C34C58"/>
    <w:rsid w:val="00C403C7"/>
    <w:rsid w:val="00C43CF4"/>
    <w:rsid w:val="00C448FB"/>
    <w:rsid w:val="00C44FFA"/>
    <w:rsid w:val="00C45EED"/>
    <w:rsid w:val="00C46F82"/>
    <w:rsid w:val="00C51DBD"/>
    <w:rsid w:val="00C64FAE"/>
    <w:rsid w:val="00C726D9"/>
    <w:rsid w:val="00C73AE7"/>
    <w:rsid w:val="00C74277"/>
    <w:rsid w:val="00C8099F"/>
    <w:rsid w:val="00C821FD"/>
    <w:rsid w:val="00C83FA4"/>
    <w:rsid w:val="00C84F28"/>
    <w:rsid w:val="00C86CFC"/>
    <w:rsid w:val="00C91DFE"/>
    <w:rsid w:val="00C94025"/>
    <w:rsid w:val="00CA1D3C"/>
    <w:rsid w:val="00CB74C8"/>
    <w:rsid w:val="00CC05BC"/>
    <w:rsid w:val="00CC6960"/>
    <w:rsid w:val="00CC6F86"/>
    <w:rsid w:val="00CD5997"/>
    <w:rsid w:val="00CE1775"/>
    <w:rsid w:val="00CE2293"/>
    <w:rsid w:val="00CE2F6C"/>
    <w:rsid w:val="00D01581"/>
    <w:rsid w:val="00D04463"/>
    <w:rsid w:val="00D10A28"/>
    <w:rsid w:val="00D2161C"/>
    <w:rsid w:val="00D23125"/>
    <w:rsid w:val="00D27B54"/>
    <w:rsid w:val="00D32174"/>
    <w:rsid w:val="00D50640"/>
    <w:rsid w:val="00D5638C"/>
    <w:rsid w:val="00D6379B"/>
    <w:rsid w:val="00D70A47"/>
    <w:rsid w:val="00D71CC7"/>
    <w:rsid w:val="00D72FCC"/>
    <w:rsid w:val="00D779AC"/>
    <w:rsid w:val="00D84D9A"/>
    <w:rsid w:val="00D942E9"/>
    <w:rsid w:val="00DA1AE8"/>
    <w:rsid w:val="00DA23B4"/>
    <w:rsid w:val="00DA3C71"/>
    <w:rsid w:val="00DA42C5"/>
    <w:rsid w:val="00DA6BFB"/>
    <w:rsid w:val="00DB1C33"/>
    <w:rsid w:val="00DC1430"/>
    <w:rsid w:val="00DC16DD"/>
    <w:rsid w:val="00DC77B8"/>
    <w:rsid w:val="00DD7D1D"/>
    <w:rsid w:val="00DE07B0"/>
    <w:rsid w:val="00DE47C4"/>
    <w:rsid w:val="00E001E9"/>
    <w:rsid w:val="00E03AA3"/>
    <w:rsid w:val="00E04946"/>
    <w:rsid w:val="00E10920"/>
    <w:rsid w:val="00E3270F"/>
    <w:rsid w:val="00E352C5"/>
    <w:rsid w:val="00E35E7F"/>
    <w:rsid w:val="00E4238B"/>
    <w:rsid w:val="00E4701C"/>
    <w:rsid w:val="00E6136C"/>
    <w:rsid w:val="00E61E6F"/>
    <w:rsid w:val="00E62C4E"/>
    <w:rsid w:val="00E82D61"/>
    <w:rsid w:val="00E84396"/>
    <w:rsid w:val="00E910F3"/>
    <w:rsid w:val="00E93411"/>
    <w:rsid w:val="00EC4560"/>
    <w:rsid w:val="00EC7C7D"/>
    <w:rsid w:val="00ED0A3C"/>
    <w:rsid w:val="00EE07F3"/>
    <w:rsid w:val="00EE2BCC"/>
    <w:rsid w:val="00EF0767"/>
    <w:rsid w:val="00EF2D5A"/>
    <w:rsid w:val="00F012DC"/>
    <w:rsid w:val="00F13FBD"/>
    <w:rsid w:val="00F15E46"/>
    <w:rsid w:val="00F2254C"/>
    <w:rsid w:val="00F22B5F"/>
    <w:rsid w:val="00F253B8"/>
    <w:rsid w:val="00F27044"/>
    <w:rsid w:val="00F325A2"/>
    <w:rsid w:val="00F35D41"/>
    <w:rsid w:val="00F421DB"/>
    <w:rsid w:val="00F4246C"/>
    <w:rsid w:val="00F457AE"/>
    <w:rsid w:val="00F6037D"/>
    <w:rsid w:val="00F710C0"/>
    <w:rsid w:val="00F751DD"/>
    <w:rsid w:val="00F91FD9"/>
    <w:rsid w:val="00F92717"/>
    <w:rsid w:val="00F959BF"/>
    <w:rsid w:val="00FA4472"/>
    <w:rsid w:val="00FA4E80"/>
    <w:rsid w:val="00FA7115"/>
    <w:rsid w:val="00FB1FFD"/>
    <w:rsid w:val="00FB45D8"/>
    <w:rsid w:val="00FB7926"/>
    <w:rsid w:val="00FB7FC6"/>
    <w:rsid w:val="00FC1E71"/>
    <w:rsid w:val="00FC4397"/>
    <w:rsid w:val="00FC5AE3"/>
    <w:rsid w:val="00FC6FEB"/>
    <w:rsid w:val="00FD5509"/>
    <w:rsid w:val="00FD7084"/>
    <w:rsid w:val="00FD7523"/>
    <w:rsid w:val="00FE45D7"/>
    <w:rsid w:val="00FF3162"/>
    <w:rsid w:val="00FF4ED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5CCD4"/>
  <w15:chartTrackingRefBased/>
  <w15:docId w15:val="{76FEB405-D9BD-4432-82A2-3FDFAB8A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Cs/>
        <w:kern w:val="2"/>
        <w:sz w:val="24"/>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2B263F"/>
    <w:pPr>
      <w:numPr>
        <w:numId w:val="8"/>
      </w:numPr>
      <w:outlineLvl w:val="0"/>
    </w:pPr>
    <w:rPr>
      <w:b/>
      <w:bCs w:val="0"/>
    </w:rPr>
  </w:style>
  <w:style w:type="paragraph" w:styleId="Heading2">
    <w:name w:val="heading 2"/>
    <w:basedOn w:val="ListParagraph"/>
    <w:next w:val="Normal"/>
    <w:link w:val="Heading2Char"/>
    <w:uiPriority w:val="9"/>
    <w:unhideWhenUsed/>
    <w:qFormat/>
    <w:rsid w:val="002B263F"/>
    <w:pPr>
      <w:numPr>
        <w:ilvl w:val="1"/>
        <w:numId w:val="8"/>
      </w:numPr>
      <w:outlineLvl w:val="1"/>
    </w:pPr>
    <w:rPr>
      <w:b/>
      <w:bCs w:val="0"/>
    </w:rPr>
  </w:style>
  <w:style w:type="paragraph" w:styleId="Heading3">
    <w:name w:val="heading 3"/>
    <w:basedOn w:val="ListParagraph"/>
    <w:next w:val="Normal"/>
    <w:link w:val="Heading3Char"/>
    <w:uiPriority w:val="9"/>
    <w:unhideWhenUsed/>
    <w:qFormat/>
    <w:rsid w:val="002B263F"/>
    <w:pPr>
      <w:numPr>
        <w:ilvl w:val="2"/>
        <w:numId w:val="8"/>
      </w:numPr>
      <w:outlineLvl w:val="2"/>
    </w:pPr>
    <w:rPr>
      <w:b/>
      <w:bCs w:val="0"/>
    </w:rPr>
  </w:style>
  <w:style w:type="paragraph" w:styleId="Heading4">
    <w:name w:val="heading 4"/>
    <w:basedOn w:val="Normal"/>
    <w:next w:val="Normal"/>
    <w:link w:val="Heading4Char"/>
    <w:uiPriority w:val="9"/>
    <w:semiHidden/>
    <w:unhideWhenUsed/>
    <w:qFormat/>
    <w:rsid w:val="006234F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234F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234F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34F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34F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34F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63F"/>
    <w:rPr>
      <w:b/>
      <w:bCs w:val="0"/>
    </w:rPr>
  </w:style>
  <w:style w:type="character" w:customStyle="1" w:styleId="Heading2Char">
    <w:name w:val="Heading 2 Char"/>
    <w:basedOn w:val="DefaultParagraphFont"/>
    <w:link w:val="Heading2"/>
    <w:uiPriority w:val="9"/>
    <w:rsid w:val="002B263F"/>
    <w:rPr>
      <w:b/>
      <w:bCs w:val="0"/>
    </w:rPr>
  </w:style>
  <w:style w:type="character" w:customStyle="1" w:styleId="Heading3Char">
    <w:name w:val="Heading 3 Char"/>
    <w:basedOn w:val="DefaultParagraphFont"/>
    <w:link w:val="Heading3"/>
    <w:uiPriority w:val="9"/>
    <w:rsid w:val="002B263F"/>
    <w:rPr>
      <w:b/>
      <w:bCs w:val="0"/>
    </w:rPr>
  </w:style>
  <w:style w:type="character" w:customStyle="1" w:styleId="Heading4Char">
    <w:name w:val="Heading 4 Char"/>
    <w:basedOn w:val="DefaultParagraphFont"/>
    <w:link w:val="Heading4"/>
    <w:uiPriority w:val="9"/>
    <w:semiHidden/>
    <w:rsid w:val="006234F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234F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234F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234F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234F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234F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23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4F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4F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234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34F4"/>
    <w:rPr>
      <w:i/>
      <w:iCs/>
      <w:color w:val="404040" w:themeColor="text1" w:themeTint="BF"/>
    </w:rPr>
  </w:style>
  <w:style w:type="paragraph" w:styleId="ListParagraph">
    <w:name w:val="List Paragraph"/>
    <w:basedOn w:val="Normal"/>
    <w:uiPriority w:val="34"/>
    <w:qFormat/>
    <w:rsid w:val="006234F4"/>
    <w:pPr>
      <w:ind w:left="720"/>
      <w:contextualSpacing/>
    </w:pPr>
  </w:style>
  <w:style w:type="character" w:styleId="IntenseEmphasis">
    <w:name w:val="Intense Emphasis"/>
    <w:basedOn w:val="DefaultParagraphFont"/>
    <w:uiPriority w:val="21"/>
    <w:qFormat/>
    <w:rsid w:val="006234F4"/>
    <w:rPr>
      <w:i/>
      <w:iCs/>
      <w:color w:val="2F5496" w:themeColor="accent1" w:themeShade="BF"/>
    </w:rPr>
  </w:style>
  <w:style w:type="paragraph" w:styleId="IntenseQuote">
    <w:name w:val="Intense Quote"/>
    <w:basedOn w:val="Normal"/>
    <w:next w:val="Normal"/>
    <w:link w:val="IntenseQuoteChar"/>
    <w:uiPriority w:val="30"/>
    <w:qFormat/>
    <w:rsid w:val="006234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34F4"/>
    <w:rPr>
      <w:i/>
      <w:iCs/>
      <w:color w:val="2F5496" w:themeColor="accent1" w:themeShade="BF"/>
    </w:rPr>
  </w:style>
  <w:style w:type="character" w:styleId="IntenseReference">
    <w:name w:val="Intense Reference"/>
    <w:basedOn w:val="DefaultParagraphFont"/>
    <w:uiPriority w:val="32"/>
    <w:qFormat/>
    <w:rsid w:val="006234F4"/>
    <w:rPr>
      <w:b/>
      <w:bCs w:val="0"/>
      <w:smallCaps/>
      <w:color w:val="2F5496" w:themeColor="accent1" w:themeShade="BF"/>
      <w:spacing w:val="5"/>
    </w:rPr>
  </w:style>
  <w:style w:type="character" w:styleId="Hyperlink">
    <w:name w:val="Hyperlink"/>
    <w:basedOn w:val="DefaultParagraphFont"/>
    <w:uiPriority w:val="99"/>
    <w:unhideWhenUsed/>
    <w:rsid w:val="001B4B06"/>
    <w:rPr>
      <w:color w:val="0563C1" w:themeColor="hyperlink"/>
      <w:u w:val="single"/>
    </w:rPr>
  </w:style>
  <w:style w:type="character" w:styleId="UnresolvedMention">
    <w:name w:val="Unresolved Mention"/>
    <w:basedOn w:val="DefaultParagraphFont"/>
    <w:uiPriority w:val="99"/>
    <w:semiHidden/>
    <w:unhideWhenUsed/>
    <w:rsid w:val="001B4B06"/>
    <w:rPr>
      <w:color w:val="605E5C"/>
      <w:shd w:val="clear" w:color="auto" w:fill="E1DFDD"/>
    </w:rPr>
  </w:style>
  <w:style w:type="paragraph" w:styleId="Header">
    <w:name w:val="header"/>
    <w:basedOn w:val="Normal"/>
    <w:link w:val="HeaderChar"/>
    <w:uiPriority w:val="99"/>
    <w:unhideWhenUsed/>
    <w:rsid w:val="009D0F23"/>
    <w:pPr>
      <w:tabs>
        <w:tab w:val="center" w:pos="4680"/>
        <w:tab w:val="right" w:pos="9360"/>
      </w:tabs>
      <w:spacing w:line="240" w:lineRule="auto"/>
    </w:pPr>
  </w:style>
  <w:style w:type="character" w:customStyle="1" w:styleId="HeaderChar">
    <w:name w:val="Header Char"/>
    <w:basedOn w:val="DefaultParagraphFont"/>
    <w:link w:val="Header"/>
    <w:uiPriority w:val="99"/>
    <w:rsid w:val="009D0F23"/>
  </w:style>
  <w:style w:type="paragraph" w:styleId="Footer">
    <w:name w:val="footer"/>
    <w:basedOn w:val="Normal"/>
    <w:link w:val="FooterChar"/>
    <w:uiPriority w:val="99"/>
    <w:unhideWhenUsed/>
    <w:rsid w:val="009D0F23"/>
    <w:pPr>
      <w:tabs>
        <w:tab w:val="center" w:pos="4680"/>
        <w:tab w:val="right" w:pos="9360"/>
      </w:tabs>
      <w:spacing w:line="240" w:lineRule="auto"/>
    </w:pPr>
  </w:style>
  <w:style w:type="character" w:customStyle="1" w:styleId="FooterChar">
    <w:name w:val="Footer Char"/>
    <w:basedOn w:val="DefaultParagraphFont"/>
    <w:link w:val="Footer"/>
    <w:uiPriority w:val="99"/>
    <w:rsid w:val="009D0F23"/>
  </w:style>
  <w:style w:type="paragraph" w:styleId="TOCHeading">
    <w:name w:val="TOC Heading"/>
    <w:basedOn w:val="Heading1"/>
    <w:next w:val="Normal"/>
    <w:uiPriority w:val="39"/>
    <w:unhideWhenUsed/>
    <w:qFormat/>
    <w:rsid w:val="00B469AF"/>
    <w:pPr>
      <w:keepNext/>
      <w:keepLines/>
      <w:numPr>
        <w:numId w:val="0"/>
      </w:numPr>
      <w:spacing w:before="240" w:line="259" w:lineRule="auto"/>
      <w:contextualSpacing w:val="0"/>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469AF"/>
    <w:pPr>
      <w:spacing w:after="100"/>
    </w:pPr>
  </w:style>
  <w:style w:type="paragraph" w:styleId="TOC2">
    <w:name w:val="toc 2"/>
    <w:basedOn w:val="Normal"/>
    <w:next w:val="Normal"/>
    <w:autoRedefine/>
    <w:uiPriority w:val="39"/>
    <w:unhideWhenUsed/>
    <w:rsid w:val="00B469AF"/>
    <w:pPr>
      <w:spacing w:after="100"/>
      <w:ind w:left="240"/>
    </w:pPr>
  </w:style>
  <w:style w:type="paragraph" w:styleId="TOC3">
    <w:name w:val="toc 3"/>
    <w:basedOn w:val="Normal"/>
    <w:next w:val="Normal"/>
    <w:autoRedefine/>
    <w:uiPriority w:val="39"/>
    <w:unhideWhenUsed/>
    <w:rsid w:val="00B469AF"/>
    <w:pPr>
      <w:spacing w:after="100"/>
      <w:ind w:left="480"/>
    </w:pPr>
  </w:style>
  <w:style w:type="table" w:styleId="TableGrid">
    <w:name w:val="Table Grid"/>
    <w:basedOn w:val="TableNormal"/>
    <w:uiPriority w:val="39"/>
    <w:rsid w:val="00A5617D"/>
    <w:pPr>
      <w:spacing w:line="240" w:lineRule="auto"/>
      <w:jc w:val="left"/>
    </w:pPr>
    <w:rPr>
      <w:rFonts w:ascii="Arial" w:eastAsia="Arial" w:hAnsi="Arial" w:cs="Arial"/>
      <w:bCs w:val="0"/>
      <w:kern w:val="0"/>
      <w:szCs w:val="24"/>
      <w:lang w:val="en-IN"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emf"/><Relationship Id="rId10" Type="http://schemas.openxmlformats.org/officeDocument/2006/relationships/chart" Target="charts/chart1.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10.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Profitability</a:t>
            </a:r>
            <a:r>
              <a:rPr lang="en-US" baseline="0"/>
              <a:t>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Ratios!$B$3</c:f>
              <c:strCache>
                <c:ptCount val="1"/>
                <c:pt idx="0">
                  <c:v>Operating profit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Ratios!$D$4:$H$4</c:f>
              <c:numCache>
                <c:formatCode>0.00%</c:formatCode>
                <c:ptCount val="5"/>
                <c:pt idx="0">
                  <c:v>0.15813793630184067</c:v>
                </c:pt>
                <c:pt idx="1">
                  <c:v>0.1500796812749004</c:v>
                </c:pt>
                <c:pt idx="2">
                  <c:v>0.1629485935984481</c:v>
                </c:pt>
                <c:pt idx="3">
                  <c:v>0.16665864343137726</c:v>
                </c:pt>
                <c:pt idx="4">
                  <c:v>0.12628996175218302</c:v>
                </c:pt>
              </c:numCache>
            </c:numRef>
          </c:val>
          <c:extLst>
            <c:ext xmlns:c16="http://schemas.microsoft.com/office/drawing/2014/chart" uri="{C3380CC4-5D6E-409C-BE32-E72D297353CC}">
              <c16:uniqueId val="{00000000-057B-4649-A619-D18E9FBBA035}"/>
            </c:ext>
          </c:extLst>
        </c:ser>
        <c:ser>
          <c:idx val="1"/>
          <c:order val="1"/>
          <c:tx>
            <c:strRef>
              <c:f>Ratios!$B$5</c:f>
              <c:strCache>
                <c:ptCount val="1"/>
                <c:pt idx="0">
                  <c:v>Net profit ratio</c:v>
                </c:pt>
              </c:strCache>
            </c:strRef>
          </c:tx>
          <c:spPr>
            <a:solidFill>
              <a:schemeClr val="accent2"/>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Ratios!$D$6:$H$6</c:f>
              <c:numCache>
                <c:formatCode>0.00%</c:formatCode>
                <c:ptCount val="5"/>
                <c:pt idx="0">
                  <c:v>9.932788512945849E-2</c:v>
                </c:pt>
                <c:pt idx="1">
                  <c:v>9.4621513944223107E-2</c:v>
                </c:pt>
                <c:pt idx="2">
                  <c:v>0.13001307299793363</c:v>
                </c:pt>
                <c:pt idx="3">
                  <c:v>0.11351273287440428</c:v>
                </c:pt>
                <c:pt idx="4">
                  <c:v>7.9310095980370934E-2</c:v>
                </c:pt>
              </c:numCache>
            </c:numRef>
          </c:val>
          <c:extLst>
            <c:ext xmlns:c16="http://schemas.microsoft.com/office/drawing/2014/chart" uri="{C3380CC4-5D6E-409C-BE32-E72D297353CC}">
              <c16:uniqueId val="{00000001-057B-4649-A619-D18E9FBBA035}"/>
            </c:ext>
          </c:extLst>
        </c:ser>
        <c:dLbls>
          <c:showLegendKey val="0"/>
          <c:showVal val="0"/>
          <c:showCatName val="0"/>
          <c:showSerName val="0"/>
          <c:showPercent val="0"/>
          <c:showBubbleSize val="0"/>
        </c:dLbls>
        <c:gapWidth val="150"/>
        <c:axId val="1561184847"/>
        <c:axId val="1394222287"/>
      </c:barChart>
      <c:lineChart>
        <c:grouping val="standard"/>
        <c:varyColors val="0"/>
        <c:ser>
          <c:idx val="2"/>
          <c:order val="2"/>
          <c:tx>
            <c:strRef>
              <c:f>Ratios!$B$7</c:f>
              <c:strCache>
                <c:ptCount val="1"/>
                <c:pt idx="0">
                  <c:v>Return on equity ratio</c:v>
                </c:pt>
              </c:strCache>
            </c:strRef>
          </c:tx>
          <c:spPr>
            <a:ln w="28575" cap="rnd">
              <a:solidFill>
                <a:schemeClr val="accent3"/>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Ratios!$D$8:$H$8</c:f>
              <c:numCache>
                <c:formatCode>0.00%</c:formatCode>
                <c:ptCount val="5"/>
                <c:pt idx="0">
                  <c:v>-0.68973747016706444</c:v>
                </c:pt>
                <c:pt idx="1">
                  <c:v>-0.79378342245989308</c:v>
                </c:pt>
                <c:pt idx="2">
                  <c:v>-4.5205278592375366</c:v>
                </c:pt>
                <c:pt idx="3">
                  <c:v>-4.151408450704225</c:v>
                </c:pt>
                <c:pt idx="4">
                  <c:v>0.77722772277227725</c:v>
                </c:pt>
              </c:numCache>
            </c:numRef>
          </c:val>
          <c:smooth val="0"/>
          <c:extLst>
            <c:ext xmlns:c16="http://schemas.microsoft.com/office/drawing/2014/chart" uri="{C3380CC4-5D6E-409C-BE32-E72D297353CC}">
              <c16:uniqueId val="{00000002-057B-4649-A619-D18E9FBBA035}"/>
            </c:ext>
          </c:extLst>
        </c:ser>
        <c:dLbls>
          <c:showLegendKey val="0"/>
          <c:showVal val="0"/>
          <c:showCatName val="0"/>
          <c:showSerName val="0"/>
          <c:showPercent val="0"/>
          <c:showBubbleSize val="0"/>
        </c:dLbls>
        <c:marker val="1"/>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2228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184847"/>
        <c:crosses val="max"/>
        <c:crossBetween val="between"/>
      </c:valAx>
      <c:catAx>
        <c:axId val="1561184847"/>
        <c:scaling>
          <c:orientation val="minMax"/>
        </c:scaling>
        <c:delete val="1"/>
        <c:axPos val="b"/>
        <c:numFmt formatCode="General" sourceLinked="1"/>
        <c:majorTickMark val="out"/>
        <c:minorTickMark val="none"/>
        <c:tickLblPos val="nextTo"/>
        <c:crossAx val="139422228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Liquidity</a:t>
            </a:r>
            <a:r>
              <a:rPr lang="en-US" baseline="0"/>
              <a:t>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Ratios!$B$10</c:f>
              <c:strCache>
                <c:ptCount val="1"/>
                <c:pt idx="0">
                  <c:v>Current ratio</c:v>
                </c:pt>
              </c:strCache>
            </c:strRef>
          </c:tx>
          <c:spPr>
            <a:ln w="28575" cap="rnd">
              <a:solidFill>
                <a:schemeClr val="accent3"/>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Ratios!$D$11:$H$11</c:f>
              <c:numCache>
                <c:formatCode>0.00</c:formatCode>
                <c:ptCount val="5"/>
                <c:pt idx="0">
                  <c:v>0.42676827816146701</c:v>
                </c:pt>
                <c:pt idx="1">
                  <c:v>0.40293675569429993</c:v>
                </c:pt>
                <c:pt idx="2">
                  <c:v>0.42656531821695437</c:v>
                </c:pt>
                <c:pt idx="3">
                  <c:v>0.45142389971385749</c:v>
                </c:pt>
                <c:pt idx="4">
                  <c:v>0.5659434992976432</c:v>
                </c:pt>
              </c:numCache>
            </c:numRef>
          </c:val>
          <c:smooth val="0"/>
          <c:extLst>
            <c:ext xmlns:c16="http://schemas.microsoft.com/office/drawing/2014/chart" uri="{C3380CC4-5D6E-409C-BE32-E72D297353CC}">
              <c16:uniqueId val="{00000000-AD62-44EC-BA1F-27CC4A095514}"/>
            </c:ext>
          </c:extLst>
        </c:ser>
        <c:dLbls>
          <c:showLegendKey val="0"/>
          <c:showVal val="0"/>
          <c:showCatName val="0"/>
          <c:showSerName val="0"/>
          <c:showPercent val="0"/>
          <c:showBubbleSize val="0"/>
        </c:dLbls>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Efficiency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0"/>
          <c:tx>
            <c:strRef>
              <c:f>Ratios!$B$13</c:f>
              <c:strCache>
                <c:ptCount val="1"/>
                <c:pt idx="0">
                  <c:v>Asset turnover ratio</c:v>
                </c:pt>
              </c:strCache>
            </c:strRef>
          </c:tx>
          <c:spPr>
            <a:solidFill>
              <a:schemeClr val="accent3"/>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Ratios!$D$14:$H$14</c:f>
              <c:numCache>
                <c:formatCode>0.00</c:formatCode>
                <c:ptCount val="5"/>
                <c:pt idx="0">
                  <c:v>0.9508351488743646</c:v>
                </c:pt>
                <c:pt idx="1">
                  <c:v>0.95867389809792991</c:v>
                </c:pt>
                <c:pt idx="2">
                  <c:v>0.92361922567578092</c:v>
                </c:pt>
                <c:pt idx="3">
                  <c:v>0.83711464839814631</c:v>
                </c:pt>
                <c:pt idx="4">
                  <c:v>0.54228466324893354</c:v>
                </c:pt>
              </c:numCache>
            </c:numRef>
          </c:val>
          <c:extLst>
            <c:ext xmlns:c16="http://schemas.microsoft.com/office/drawing/2014/chart" uri="{C3380CC4-5D6E-409C-BE32-E72D297353CC}">
              <c16:uniqueId val="{00000000-0EDE-4C88-A6D3-BA806AE362F4}"/>
            </c:ext>
          </c:extLst>
        </c:ser>
        <c:ser>
          <c:idx val="0"/>
          <c:order val="1"/>
          <c:tx>
            <c:strRef>
              <c:f>Ratios!$B$15</c:f>
              <c:strCache>
                <c:ptCount val="1"/>
                <c:pt idx="0">
                  <c:v>Receivable turnover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Ratios!$D$16:$H$16</c:f>
              <c:numCache>
                <c:formatCode>0.00</c:formatCode>
                <c:ptCount val="5"/>
                <c:pt idx="0">
                  <c:v>9.0017188037126168</c:v>
                </c:pt>
                <c:pt idx="1">
                  <c:v>8.9803220035778182</c:v>
                </c:pt>
                <c:pt idx="2">
                  <c:v>8.7437315634218287</c:v>
                </c:pt>
                <c:pt idx="3">
                  <c:v>8.0797355114741354</c:v>
                </c:pt>
                <c:pt idx="4">
                  <c:v>6.9914228052472254</c:v>
                </c:pt>
              </c:numCache>
            </c:numRef>
          </c:val>
          <c:extLst>
            <c:ext xmlns:c16="http://schemas.microsoft.com/office/drawing/2014/chart" uri="{C3380CC4-5D6E-409C-BE32-E72D297353CC}">
              <c16:uniqueId val="{00000001-0EDE-4C88-A6D3-BA806AE362F4}"/>
            </c:ext>
          </c:extLst>
        </c:ser>
        <c:ser>
          <c:idx val="1"/>
          <c:order val="2"/>
          <c:tx>
            <c:strRef>
              <c:f>Ratios!$B$17</c:f>
              <c:strCache>
                <c:ptCount val="1"/>
                <c:pt idx="0">
                  <c:v>Payable turnover ratio</c:v>
                </c:pt>
              </c:strCache>
            </c:strRef>
          </c:tx>
          <c:spPr>
            <a:solidFill>
              <a:schemeClr val="accent2"/>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Ratios!$D$18:$H$18</c:f>
              <c:numCache>
                <c:formatCode>0.00</c:formatCode>
                <c:ptCount val="5"/>
                <c:pt idx="0">
                  <c:v>27.082309582309584</c:v>
                </c:pt>
                <c:pt idx="1">
                  <c:v>27.959370904325034</c:v>
                </c:pt>
                <c:pt idx="2">
                  <c:v>26.895663956639567</c:v>
                </c:pt>
                <c:pt idx="3">
                  <c:v>23.205093833780161</c:v>
                </c:pt>
                <c:pt idx="4">
                  <c:v>16.676308539944902</c:v>
                </c:pt>
              </c:numCache>
            </c:numRef>
          </c:val>
          <c:extLst>
            <c:ext xmlns:c16="http://schemas.microsoft.com/office/drawing/2014/chart" uri="{C3380CC4-5D6E-409C-BE32-E72D297353CC}">
              <c16:uniqueId val="{00000002-0EDE-4C88-A6D3-BA806AE362F4}"/>
            </c:ext>
          </c:extLst>
        </c:ser>
        <c:dLbls>
          <c:showLegendKey val="0"/>
          <c:showVal val="0"/>
          <c:showCatName val="0"/>
          <c:showSerName val="0"/>
          <c:showPercent val="0"/>
          <c:showBubbleSize val="0"/>
        </c:dLbls>
        <c:gapWidth val="150"/>
        <c:axId val="1862301232"/>
        <c:axId val="1862299312"/>
      </c:bar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Gearing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Ratios!$B$20</c:f>
              <c:strCache>
                <c:ptCount val="1"/>
                <c:pt idx="0">
                  <c:v>Debt-to-equity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Ratios!$D$21:$H$21</c:f>
              <c:numCache>
                <c:formatCode>0.00</c:formatCode>
                <c:ptCount val="5"/>
                <c:pt idx="0">
                  <c:v>-8.3031026252983295</c:v>
                </c:pt>
                <c:pt idx="1">
                  <c:v>-9.7506684491978604</c:v>
                </c:pt>
                <c:pt idx="2">
                  <c:v>-38.645161290322584</c:v>
                </c:pt>
                <c:pt idx="3">
                  <c:v>-42.688380281690144</c:v>
                </c:pt>
                <c:pt idx="4">
                  <c:v>17.071428571428573</c:v>
                </c:pt>
              </c:numCache>
            </c:numRef>
          </c:val>
          <c:extLst>
            <c:ext xmlns:c16="http://schemas.microsoft.com/office/drawing/2014/chart" uri="{C3380CC4-5D6E-409C-BE32-E72D297353CC}">
              <c16:uniqueId val="{00000000-B62A-4706-880C-FC2DA47CEA32}"/>
            </c:ext>
          </c:extLst>
        </c:ser>
        <c:dLbls>
          <c:showLegendKey val="0"/>
          <c:showVal val="0"/>
          <c:showCatName val="0"/>
          <c:showSerName val="0"/>
          <c:showPercent val="0"/>
          <c:showBubbleSize val="0"/>
        </c:dLbls>
        <c:gapWidth val="150"/>
        <c:axId val="1862301232"/>
        <c:axId val="1862299312"/>
      </c:barChart>
      <c:lineChart>
        <c:grouping val="standard"/>
        <c:varyColors val="0"/>
        <c:ser>
          <c:idx val="1"/>
          <c:order val="1"/>
          <c:tx>
            <c:strRef>
              <c:f>Ratios!$B$22</c:f>
              <c:strCache>
                <c:ptCount val="1"/>
                <c:pt idx="0">
                  <c:v>Interest coverage ratio</c:v>
                </c:pt>
              </c:strCache>
            </c:strRef>
          </c:tx>
          <c:spPr>
            <a:ln w="28575" cap="rnd">
              <a:solidFill>
                <a:schemeClr val="accent2"/>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Ratios!$D$23:$H$23</c:f>
              <c:numCache>
                <c:formatCode>0.00</c:formatCode>
                <c:ptCount val="5"/>
                <c:pt idx="0">
                  <c:v>5.1186650185414093</c:v>
                </c:pt>
                <c:pt idx="1">
                  <c:v>5.4201438848920862</c:v>
                </c:pt>
                <c:pt idx="2">
                  <c:v>6.8389380530973449</c:v>
                </c:pt>
                <c:pt idx="3">
                  <c:v>8.5905707196029777</c:v>
                </c:pt>
                <c:pt idx="4">
                  <c:v>4.166666666666667</c:v>
                </c:pt>
              </c:numCache>
            </c:numRef>
          </c:val>
          <c:smooth val="0"/>
          <c:extLst>
            <c:ext xmlns:c16="http://schemas.microsoft.com/office/drawing/2014/chart" uri="{C3380CC4-5D6E-409C-BE32-E72D297353CC}">
              <c16:uniqueId val="{00000001-B62A-4706-880C-FC2DA47CEA32}"/>
            </c:ext>
          </c:extLst>
        </c:ser>
        <c:dLbls>
          <c:showLegendKey val="0"/>
          <c:showVal val="0"/>
          <c:showCatName val="0"/>
          <c:showSerName val="0"/>
          <c:showPercent val="0"/>
          <c:showBubbleSize val="0"/>
        </c:dLbls>
        <c:marker val="1"/>
        <c:smooth val="0"/>
        <c:axId val="1476381919"/>
        <c:axId val="1394205967"/>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0596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381919"/>
        <c:crosses val="max"/>
        <c:crossBetween val="between"/>
      </c:valAx>
      <c:catAx>
        <c:axId val="1476381919"/>
        <c:scaling>
          <c:orientation val="minMax"/>
        </c:scaling>
        <c:delete val="1"/>
        <c:axPos val="b"/>
        <c:numFmt formatCode="General" sourceLinked="1"/>
        <c:majorTickMark val="out"/>
        <c:minorTickMark val="none"/>
        <c:tickLblPos val="nextTo"/>
        <c:crossAx val="139420596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Investment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Ratios!$B$25</c:f>
              <c:strCache>
                <c:ptCount val="1"/>
                <c:pt idx="0">
                  <c:v>P/E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Ratios!$D$26:$H$26</c:f>
              <c:numCache>
                <c:formatCode>0.00</c:formatCode>
                <c:ptCount val="5"/>
                <c:pt idx="0">
                  <c:v>32.554039874081852</c:v>
                </c:pt>
                <c:pt idx="1">
                  <c:v>33.366028708133975</c:v>
                </c:pt>
                <c:pt idx="2">
                  <c:v>22.04398826979472</c:v>
                </c:pt>
                <c:pt idx="3">
                  <c:v>20.480055020632737</c:v>
                </c:pt>
                <c:pt idx="4">
                  <c:v>49.178571428571431</c:v>
                </c:pt>
              </c:numCache>
            </c:numRef>
          </c:val>
          <c:extLst>
            <c:ext xmlns:c16="http://schemas.microsoft.com/office/drawing/2014/chart" uri="{C3380CC4-5D6E-409C-BE32-E72D297353CC}">
              <c16:uniqueId val="{00000000-6F15-420A-AB1B-195CBB6D798D}"/>
            </c:ext>
          </c:extLst>
        </c:ser>
        <c:dLbls>
          <c:showLegendKey val="0"/>
          <c:showVal val="0"/>
          <c:showCatName val="0"/>
          <c:showSerName val="0"/>
          <c:showPercent val="0"/>
          <c:showBubbleSize val="0"/>
        </c:dLbls>
        <c:gapWidth val="150"/>
        <c:axId val="1476376815"/>
        <c:axId val="1394244847"/>
      </c:barChart>
      <c:lineChart>
        <c:grouping val="standard"/>
        <c:varyColors val="0"/>
        <c:ser>
          <c:idx val="1"/>
          <c:order val="1"/>
          <c:tx>
            <c:strRef>
              <c:f>Ratios!$B$27</c:f>
              <c:strCache>
                <c:ptCount val="1"/>
                <c:pt idx="0">
                  <c:v>Dividend yield ratio</c:v>
                </c:pt>
              </c:strCache>
            </c:strRef>
          </c:tx>
          <c:spPr>
            <a:ln w="28575" cap="rnd">
              <a:solidFill>
                <a:schemeClr val="accent2"/>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Ratios!$D$28:$H$28</c:f>
              <c:numCache>
                <c:formatCode>0.00%</c:formatCode>
                <c:ptCount val="5"/>
                <c:pt idx="0">
                  <c:v>8.5095410005157305E-3</c:v>
                </c:pt>
                <c:pt idx="1">
                  <c:v>8.6398508639850876E-3</c:v>
                </c:pt>
                <c:pt idx="2">
                  <c:v>8.6914105804620639E-3</c:v>
                </c:pt>
                <c:pt idx="3">
                  <c:v>6.7163677883000875E-3</c:v>
                </c:pt>
                <c:pt idx="4">
                  <c:v>0</c:v>
                </c:pt>
              </c:numCache>
            </c:numRef>
          </c:val>
          <c:smooth val="0"/>
          <c:extLst>
            <c:ext xmlns:c16="http://schemas.microsoft.com/office/drawing/2014/chart" uri="{C3380CC4-5D6E-409C-BE32-E72D297353CC}">
              <c16:uniqueId val="{00000001-6F15-420A-AB1B-195CBB6D798D}"/>
            </c:ext>
          </c:extLst>
        </c:ser>
        <c:dLbls>
          <c:showLegendKey val="0"/>
          <c:showVal val="0"/>
          <c:showCatName val="0"/>
          <c:showSerName val="0"/>
          <c:showPercent val="0"/>
          <c:showBubbleSize val="0"/>
        </c:dLbls>
        <c:marker val="1"/>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4484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376815"/>
        <c:crosses val="max"/>
        <c:crossBetween val="between"/>
      </c:valAx>
      <c:catAx>
        <c:axId val="1476376815"/>
        <c:scaling>
          <c:orientation val="minMax"/>
        </c:scaling>
        <c:delete val="1"/>
        <c:axPos val="b"/>
        <c:numFmt formatCode="General" sourceLinked="1"/>
        <c:majorTickMark val="out"/>
        <c:minorTickMark val="none"/>
        <c:tickLblPos val="nextTo"/>
        <c:crossAx val="139424484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1B65D-CA81-4134-BE48-1ACB644E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36</Pages>
  <Words>6724</Words>
  <Characters>38331</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kathan joshi</dc:creator>
  <cp:keywords/>
  <dc:description/>
  <cp:lastModifiedBy>kathan joshi</cp:lastModifiedBy>
  <cp:revision>46</cp:revision>
  <dcterms:created xsi:type="dcterms:W3CDTF">2026-08-11T14:41:00Z</dcterms:created>
  <dcterms:modified xsi:type="dcterms:W3CDTF">2026-08-12T15:45:00Z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64f811f8-60d5-4cb7-bf47-77346fa7c2a0</vt:lpwstr>
  </property>
</Properties>
</file>