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E9CCA"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Discuss the following question: `To what extent is human behaviour a product of our biology or our environment? ` You should include empirical evidence in your answer ~ 2500 words</w:t>
      </w:r>
    </w:p>
    <w:p w14:paraId="6271CB85"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42999ADD" w14:textId="77777777" w:rsidR="00E055B1" w:rsidRPr="00E055B1" w:rsidRDefault="00E055B1" w:rsidP="00E055B1">
      <w:pPr>
        <w:spacing w:after="0" w:line="360" w:lineRule="auto"/>
        <w:ind w:firstLine="720"/>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The debate of Nature vs. Nurture is one that has been ongoing for many years, with the argument of whether our behaviour is due to our genetic information or whether our environment is responsible, being highly discussed. Our biology plays a role in explaining behaviour through the ideas of genetic information being passed from parents onto their offspring, therefore suggesting that you cannot escape this behaviour. Our environment, however, suggests that behaviour is learnt from our surroundings, with certain surroundings and environments pushing towards certain behaviours. Within this essay, the argument of Nature vs. Nurture will be debated with a conclusion being drawn as to whether our behaviour is a product of our biology or our environment.</w:t>
      </w:r>
    </w:p>
    <w:p w14:paraId="19D6D931"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ab/>
        <w:t>Firstly, human behaviour can be explained through our unique biology, in specific genetic factors, DNA sequences, heritability, predisposition and prenatal factors. One supporting idea, for human behaviour being due to our biology, is that of the Minnesota Twin Family Study (1979-1999). This study, led by Thomas Bouchard, studied a total of 402 pairs of twins, with 261 of those pairs being Monozygotic (identical) twins. Of those Monozygotic twins 217 pairs were raised together, whilst the remaining 44 pairs were raised apart. The remaining twins that participated in the study were Dizygotic (non-identical), in which 114 pairs were raised together with 27 pairs being raised apart. It was found that Monozygotic twins that were raised together as well as those raised apart shared similar averages on a multidimensional personality questionnaire when compared to dizygotic twins, in which those raised apart had widely varied averages in comparison to the dizygotic twins raised apart (</w:t>
      </w:r>
      <w:proofErr w:type="spellStart"/>
      <w:r w:rsidRPr="00E055B1">
        <w:rPr>
          <w:rFonts w:ascii="Times New Roman" w:eastAsia="Times New Roman" w:hAnsi="Times New Roman" w:cs="Times New Roman"/>
          <w:color w:val="000000"/>
          <w:sz w:val="24"/>
          <w:szCs w:val="24"/>
          <w:lang w:eastAsia="en-GB"/>
        </w:rPr>
        <w:t>Tellegen</w:t>
      </w:r>
      <w:proofErr w:type="spellEnd"/>
      <w:r w:rsidRPr="00E055B1">
        <w:rPr>
          <w:rFonts w:ascii="Times New Roman" w:eastAsia="Times New Roman" w:hAnsi="Times New Roman" w:cs="Times New Roman"/>
          <w:color w:val="000000"/>
          <w:sz w:val="24"/>
          <w:szCs w:val="24"/>
          <w:lang w:eastAsia="en-GB"/>
        </w:rPr>
        <w:t xml:space="preserve"> et. al., 1988). This reinforces </w:t>
      </w:r>
      <w:proofErr w:type="gramStart"/>
      <w:r w:rsidRPr="00E055B1">
        <w:rPr>
          <w:rFonts w:ascii="Times New Roman" w:eastAsia="Times New Roman" w:hAnsi="Times New Roman" w:cs="Times New Roman"/>
          <w:color w:val="000000"/>
          <w:sz w:val="24"/>
          <w:szCs w:val="24"/>
          <w:lang w:eastAsia="en-GB"/>
        </w:rPr>
        <w:t>that genetics</w:t>
      </w:r>
      <w:proofErr w:type="gramEnd"/>
      <w:r w:rsidRPr="00E055B1">
        <w:rPr>
          <w:rFonts w:ascii="Times New Roman" w:eastAsia="Times New Roman" w:hAnsi="Times New Roman" w:cs="Times New Roman"/>
          <w:color w:val="000000"/>
          <w:sz w:val="24"/>
          <w:szCs w:val="24"/>
          <w:lang w:eastAsia="en-GB"/>
        </w:rPr>
        <w:t xml:space="preserve"> must play an important factor in personality as well as behaviour, as although for monozygotic twins raised together the environment would be the same, those raised apart would experience two completely different environments and upbringings with the only connection and similarity between the two being their genetic information and identical DNA. This is further supported by evolutionary influences, where certain genetics are passed on to ensure a higher chance of survival.  It is these traits that are suggested to entice behaviour that ensures as humans we get the necessary food, </w:t>
      </w:r>
      <w:proofErr w:type="gramStart"/>
      <w:r w:rsidRPr="00E055B1">
        <w:rPr>
          <w:rFonts w:ascii="Times New Roman" w:eastAsia="Times New Roman" w:hAnsi="Times New Roman" w:cs="Times New Roman"/>
          <w:color w:val="000000"/>
          <w:sz w:val="24"/>
          <w:szCs w:val="24"/>
          <w:lang w:eastAsia="en-GB"/>
        </w:rPr>
        <w:t>water</w:t>
      </w:r>
      <w:proofErr w:type="gramEnd"/>
      <w:r w:rsidRPr="00E055B1">
        <w:rPr>
          <w:rFonts w:ascii="Times New Roman" w:eastAsia="Times New Roman" w:hAnsi="Times New Roman" w:cs="Times New Roman"/>
          <w:color w:val="000000"/>
          <w:sz w:val="24"/>
          <w:szCs w:val="24"/>
          <w:lang w:eastAsia="en-GB"/>
        </w:rPr>
        <w:t xml:space="preserve"> and shelter. In the past, </w:t>
      </w:r>
      <w:proofErr w:type="gramStart"/>
      <w:r w:rsidRPr="00E055B1">
        <w:rPr>
          <w:rFonts w:ascii="Times New Roman" w:eastAsia="Times New Roman" w:hAnsi="Times New Roman" w:cs="Times New Roman"/>
          <w:color w:val="000000"/>
          <w:sz w:val="24"/>
          <w:szCs w:val="24"/>
          <w:lang w:eastAsia="en-GB"/>
        </w:rPr>
        <w:t>aggressive</w:t>
      </w:r>
      <w:proofErr w:type="gramEnd"/>
      <w:r w:rsidRPr="00E055B1">
        <w:rPr>
          <w:rFonts w:ascii="Times New Roman" w:eastAsia="Times New Roman" w:hAnsi="Times New Roman" w:cs="Times New Roman"/>
          <w:color w:val="000000"/>
          <w:sz w:val="24"/>
          <w:szCs w:val="24"/>
          <w:lang w:eastAsia="en-GB"/>
        </w:rPr>
        <w:t xml:space="preserve"> and antisocial behaviours were needed to secure these necessities, however, despite a lack of the need for antisocial behaviour to secure the necessities nowadays, the undesirable behaviour traits have been seen to still have been passed on to some individuals, shaping how they act and behave like </w:t>
      </w:r>
      <w:r w:rsidRPr="00E055B1">
        <w:rPr>
          <w:rFonts w:ascii="Times New Roman" w:eastAsia="Times New Roman" w:hAnsi="Times New Roman" w:cs="Times New Roman"/>
          <w:color w:val="000000"/>
          <w:sz w:val="24"/>
          <w:szCs w:val="24"/>
          <w:lang w:eastAsia="en-GB"/>
        </w:rPr>
        <w:lastRenderedPageBreak/>
        <w:t>humans in modern society (Eaton-Thomas, 2021 a). Within adoption studies and cases of dizygotic twins and biological siblings, this can be showcased, with the idea that despite the environment, certain traits demonstrated within the parents are also shown to appear within their children.  </w:t>
      </w:r>
    </w:p>
    <w:p w14:paraId="6256FC86"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ab/>
        <w:t xml:space="preserve">Furthermore, studies of monozygotic and dizygotic twins also showcase the biological effects causing negative disorders, including that of anorexia nervosa. The idea of eating disorders being due to biological factors is supported by how monozygotic twins are more likely to both share the same eating disorder, at a rate of 0.66, compared to the rate of 0.25 in dizygotic twins (Holland et. al., 1984). Due to the similarities between each twin, </w:t>
      </w:r>
      <w:proofErr w:type="gramStart"/>
      <w:r w:rsidRPr="00E055B1">
        <w:rPr>
          <w:rFonts w:ascii="Times New Roman" w:eastAsia="Times New Roman" w:hAnsi="Times New Roman" w:cs="Times New Roman"/>
          <w:color w:val="000000"/>
          <w:sz w:val="24"/>
          <w:szCs w:val="24"/>
          <w:lang w:eastAsia="en-GB"/>
        </w:rPr>
        <w:t>monozygotic in particular, being</w:t>
      </w:r>
      <w:proofErr w:type="gramEnd"/>
      <w:r w:rsidRPr="00E055B1">
        <w:rPr>
          <w:rFonts w:ascii="Times New Roman" w:eastAsia="Times New Roman" w:hAnsi="Times New Roman" w:cs="Times New Roman"/>
          <w:color w:val="000000"/>
          <w:sz w:val="24"/>
          <w:szCs w:val="24"/>
          <w:lang w:eastAsia="en-GB"/>
        </w:rPr>
        <w:t xml:space="preserve"> their genetic information and DNA, you can conclude that for both individuals to experience the same eating disorders or similar psychiatric disorders, their genetics must be responsible. Within the study conducted by Holland (1984) it was also clearly shown that some of the parents of the participants in the study, which consisted of 34 sets of twins, experienced some psychiatric disorder themselves, especially those who were parents of the twins that showed concordance with both having anorexia nervosa. This finding reinforces the idea of a biological influence being responsible for some psychiatric disorders, further suggesting that there is a certain genetic strain that relates to having a psychiatric disorder, one which has high heritability in some individuals, particularly females. To further support this perspective, it has been suggested that for other disorders like general anxiety disorder, there is a vulnerability that could be due to genetic factors. Studies by Torgersen as well as Noyes et. al. (as cited by </w:t>
      </w:r>
      <w:proofErr w:type="spellStart"/>
      <w:r w:rsidRPr="00E055B1">
        <w:rPr>
          <w:rFonts w:ascii="Times New Roman" w:eastAsia="Times New Roman" w:hAnsi="Times New Roman" w:cs="Times New Roman"/>
          <w:color w:val="000000"/>
          <w:sz w:val="24"/>
          <w:szCs w:val="24"/>
          <w:lang w:eastAsia="en-GB"/>
        </w:rPr>
        <w:t>Brawman-Mintzer</w:t>
      </w:r>
      <w:proofErr w:type="spellEnd"/>
      <w:r w:rsidRPr="00E055B1">
        <w:rPr>
          <w:rFonts w:ascii="Times New Roman" w:eastAsia="Times New Roman" w:hAnsi="Times New Roman" w:cs="Times New Roman"/>
          <w:color w:val="000000"/>
          <w:sz w:val="24"/>
          <w:szCs w:val="24"/>
          <w:lang w:eastAsia="en-GB"/>
        </w:rPr>
        <w:t xml:space="preserve"> &amp; Lydiard, 1997) both demonstrated that there were genetic factors influencing and contributing towards the general anxiety disorder experienced within individuals, with Kendler et. al. further reinforcing the genetic influence in the aetiology of the disorder. These studies also inquired into genetic influences within the disorder of depression, in which it was found that genetic heritability was more frequent within individuals, even more so than with anxiety, with there being a 30% concordance rate for general anxiety disorder but a 70% concordance rate for depression (</w:t>
      </w:r>
      <w:proofErr w:type="spellStart"/>
      <w:r w:rsidRPr="00E055B1">
        <w:rPr>
          <w:rFonts w:ascii="Times New Roman" w:eastAsia="Times New Roman" w:hAnsi="Times New Roman" w:cs="Times New Roman"/>
          <w:color w:val="000000"/>
          <w:sz w:val="24"/>
          <w:szCs w:val="24"/>
          <w:lang w:eastAsia="en-GB"/>
        </w:rPr>
        <w:t>Brawman-Mintzer</w:t>
      </w:r>
      <w:proofErr w:type="spellEnd"/>
      <w:r w:rsidRPr="00E055B1">
        <w:rPr>
          <w:rFonts w:ascii="Times New Roman" w:eastAsia="Times New Roman" w:hAnsi="Times New Roman" w:cs="Times New Roman"/>
          <w:color w:val="000000"/>
          <w:sz w:val="24"/>
          <w:szCs w:val="24"/>
          <w:lang w:eastAsia="en-GB"/>
        </w:rPr>
        <w:t xml:space="preserve"> &amp; Lydiard, 1997). To support this, it has been suggested that environmental influences have little to no impact on the liability to major depression, within twins, with the proportion of trait variance due to shared environmental factors being 0 in all twin studies (Sullivan et. al., 2000). This therefore further showcases how behaviour, especially disordered behaviour, has severe influences from human biology, suggesting that our behaviour is a </w:t>
      </w:r>
      <w:proofErr w:type="spellStart"/>
      <w:r w:rsidRPr="00E055B1">
        <w:rPr>
          <w:rFonts w:ascii="Times New Roman" w:eastAsia="Times New Roman" w:hAnsi="Times New Roman" w:cs="Times New Roman"/>
          <w:color w:val="000000"/>
          <w:sz w:val="24"/>
          <w:szCs w:val="24"/>
          <w:lang w:eastAsia="en-GB"/>
        </w:rPr>
        <w:t>buildup</w:t>
      </w:r>
      <w:proofErr w:type="spellEnd"/>
      <w:r w:rsidRPr="00E055B1">
        <w:rPr>
          <w:rFonts w:ascii="Times New Roman" w:eastAsia="Times New Roman" w:hAnsi="Times New Roman" w:cs="Times New Roman"/>
          <w:color w:val="000000"/>
          <w:sz w:val="24"/>
          <w:szCs w:val="24"/>
          <w:lang w:eastAsia="en-GB"/>
        </w:rPr>
        <w:t xml:space="preserve"> of genetic information and sequences instructing individuals to behave in a particular way.</w:t>
      </w:r>
    </w:p>
    <w:p w14:paraId="3E2284B6"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lastRenderedPageBreak/>
        <w:tab/>
      </w:r>
      <w:proofErr w:type="gramStart"/>
      <w:r w:rsidRPr="00E055B1">
        <w:rPr>
          <w:rFonts w:ascii="Times New Roman" w:eastAsia="Times New Roman" w:hAnsi="Times New Roman" w:cs="Times New Roman"/>
          <w:color w:val="000000"/>
          <w:sz w:val="24"/>
          <w:szCs w:val="24"/>
          <w:lang w:eastAsia="en-GB"/>
        </w:rPr>
        <w:t>Alternatively</w:t>
      </w:r>
      <w:proofErr w:type="gramEnd"/>
      <w:r w:rsidRPr="00E055B1">
        <w:rPr>
          <w:rFonts w:ascii="Times New Roman" w:eastAsia="Times New Roman" w:hAnsi="Times New Roman" w:cs="Times New Roman"/>
          <w:color w:val="000000"/>
          <w:sz w:val="24"/>
          <w:szCs w:val="24"/>
          <w:lang w:eastAsia="en-GB"/>
        </w:rPr>
        <w:t xml:space="preserve"> to this, human behaviour can be explained through the environment in which we are immersed in including prenatal and postnatal factors, family members, peers, experiences and circumstances. This explanation follows the behaviourist approach, within psychology, which began with the work of Watson in 1913, before being progressed by Pavlov (1927) and Skinner (1938). It is through this approach we can learn how certain behaviours are created, through the ideas of classical and operant conditioning. Classical conditioning works from creating an association with an object, </w:t>
      </w:r>
      <w:proofErr w:type="gramStart"/>
      <w:r w:rsidRPr="00E055B1">
        <w:rPr>
          <w:rFonts w:ascii="Times New Roman" w:eastAsia="Times New Roman" w:hAnsi="Times New Roman" w:cs="Times New Roman"/>
          <w:color w:val="000000"/>
          <w:sz w:val="24"/>
          <w:szCs w:val="24"/>
          <w:lang w:eastAsia="en-GB"/>
        </w:rPr>
        <w:t>in order to</w:t>
      </w:r>
      <w:proofErr w:type="gramEnd"/>
      <w:r w:rsidRPr="00E055B1">
        <w:rPr>
          <w:rFonts w:ascii="Times New Roman" w:eastAsia="Times New Roman" w:hAnsi="Times New Roman" w:cs="Times New Roman"/>
          <w:color w:val="000000"/>
          <w:sz w:val="24"/>
          <w:szCs w:val="24"/>
          <w:lang w:eastAsia="en-GB"/>
        </w:rPr>
        <w:t xml:space="preserve"> receive a particular response, In the case of Pavlov (1927) this response was causing a dog to salivate at the sound of a tuning fork, by associating the sound with a stimulant, in this case, food. By consistently presenting the stimulant with the tuning fork, which originally had no effect on the dog, Pavlov was able to teach the dog to behave a certain way, showcasing how a manipulated environment can manipulate behaviour. Operant conditioning, on the other hand, works </w:t>
      </w:r>
      <w:proofErr w:type="gramStart"/>
      <w:r w:rsidRPr="00E055B1">
        <w:rPr>
          <w:rFonts w:ascii="Times New Roman" w:eastAsia="Times New Roman" w:hAnsi="Times New Roman" w:cs="Times New Roman"/>
          <w:color w:val="000000"/>
          <w:sz w:val="24"/>
          <w:szCs w:val="24"/>
          <w:lang w:eastAsia="en-GB"/>
        </w:rPr>
        <w:t>on the basis of</w:t>
      </w:r>
      <w:proofErr w:type="gramEnd"/>
      <w:r w:rsidRPr="00E055B1">
        <w:rPr>
          <w:rFonts w:ascii="Times New Roman" w:eastAsia="Times New Roman" w:hAnsi="Times New Roman" w:cs="Times New Roman"/>
          <w:color w:val="000000"/>
          <w:sz w:val="24"/>
          <w:szCs w:val="24"/>
          <w:lang w:eastAsia="en-GB"/>
        </w:rPr>
        <w:t xml:space="preserve"> reward and punishment, where certain behaviour is learnt by either positive reinforcement, a reward, or negative reinforcement, a threat to remove an aversive event if the behaviour isn’t complete, or even punishment for not behaving a certain way. Operant conditioning can include a combination of all three methods of learning behaviour. One major study into this is that of B. F. Skinner (1927) with ‘Skinner’s Box’ in which a rat was trained to press a lever </w:t>
      </w:r>
      <w:proofErr w:type="gramStart"/>
      <w:r w:rsidRPr="00E055B1">
        <w:rPr>
          <w:rFonts w:ascii="Times New Roman" w:eastAsia="Times New Roman" w:hAnsi="Times New Roman" w:cs="Times New Roman"/>
          <w:color w:val="000000"/>
          <w:sz w:val="24"/>
          <w:szCs w:val="24"/>
          <w:lang w:eastAsia="en-GB"/>
        </w:rPr>
        <w:t>in order to</w:t>
      </w:r>
      <w:proofErr w:type="gramEnd"/>
      <w:r w:rsidRPr="00E055B1">
        <w:rPr>
          <w:rFonts w:ascii="Times New Roman" w:eastAsia="Times New Roman" w:hAnsi="Times New Roman" w:cs="Times New Roman"/>
          <w:color w:val="000000"/>
          <w:sz w:val="24"/>
          <w:szCs w:val="24"/>
          <w:lang w:eastAsia="en-GB"/>
        </w:rPr>
        <w:t xml:space="preserve"> administer food. Skinner achieved this by presenting food whenever the rat was close to the lever, to reward the correct behaviour, whilst administering a small electric shock should the rat not get close to the lever or press it. The rat would aim to receive the reward and would soon learn the correct behaviour to do so. Certain behaviours can be achieved </w:t>
      </w:r>
      <w:proofErr w:type="gramStart"/>
      <w:r w:rsidRPr="00E055B1">
        <w:rPr>
          <w:rFonts w:ascii="Times New Roman" w:eastAsia="Times New Roman" w:hAnsi="Times New Roman" w:cs="Times New Roman"/>
          <w:color w:val="000000"/>
          <w:sz w:val="24"/>
          <w:szCs w:val="24"/>
          <w:lang w:eastAsia="en-GB"/>
        </w:rPr>
        <w:t>through the use of</w:t>
      </w:r>
      <w:proofErr w:type="gramEnd"/>
      <w:r w:rsidRPr="00E055B1">
        <w:rPr>
          <w:rFonts w:ascii="Times New Roman" w:eastAsia="Times New Roman" w:hAnsi="Times New Roman" w:cs="Times New Roman"/>
          <w:color w:val="000000"/>
          <w:sz w:val="24"/>
          <w:szCs w:val="24"/>
          <w:lang w:eastAsia="en-GB"/>
        </w:rPr>
        <w:t xml:space="preserve"> conditioning, with the behaviours being learnt through the changes within the environment, as well as behaviour being learnt through witnessing certain traits and acts within their environment. An example of this is that of Bandura’s Social Learning Theory, which follows the principles of attention, retention, </w:t>
      </w:r>
      <w:proofErr w:type="gramStart"/>
      <w:r w:rsidRPr="00E055B1">
        <w:rPr>
          <w:rFonts w:ascii="Times New Roman" w:eastAsia="Times New Roman" w:hAnsi="Times New Roman" w:cs="Times New Roman"/>
          <w:color w:val="000000"/>
          <w:sz w:val="24"/>
          <w:szCs w:val="24"/>
          <w:lang w:eastAsia="en-GB"/>
        </w:rPr>
        <w:t>reproduction</w:t>
      </w:r>
      <w:proofErr w:type="gramEnd"/>
      <w:r w:rsidRPr="00E055B1">
        <w:rPr>
          <w:rFonts w:ascii="Times New Roman" w:eastAsia="Times New Roman" w:hAnsi="Times New Roman" w:cs="Times New Roman"/>
          <w:color w:val="000000"/>
          <w:sz w:val="24"/>
          <w:szCs w:val="24"/>
          <w:lang w:eastAsia="en-GB"/>
        </w:rPr>
        <w:t xml:space="preserve"> and motivation, in which for an individual to copy behaviour they must first notice the change in environment and remember it, then recreate what was seen whilst having the motivation and means to do so, as showcased through Bandura’s Bobo Doll experiment. It is within this experiment that Bandura witnessed children replicating aggressive behaviour, by attacking the bobo doll in the same violent manner they witnessed an adult doing so (Eaton-Thomas, 2021 b). This experiment therefore clearly showcased an example of how behaviour is a product of our environment, with behaviours being learnt through observation.</w:t>
      </w:r>
    </w:p>
    <w:p w14:paraId="4D4A0066" w14:textId="77777777" w:rsidR="00E055B1" w:rsidRPr="00E055B1" w:rsidRDefault="00E055B1" w:rsidP="00E055B1">
      <w:pPr>
        <w:spacing w:after="0" w:line="360" w:lineRule="auto"/>
        <w:ind w:firstLine="720"/>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In the example of twin studies, with Monozygotic twins, any change that is seen within IQ, personality or behaviour can confidently be claimed to be </w:t>
      </w:r>
      <w:proofErr w:type="gramStart"/>
      <w:r w:rsidRPr="00E055B1">
        <w:rPr>
          <w:rFonts w:ascii="Times New Roman" w:eastAsia="Times New Roman" w:hAnsi="Times New Roman" w:cs="Times New Roman"/>
          <w:color w:val="000000"/>
          <w:sz w:val="24"/>
          <w:szCs w:val="24"/>
          <w:lang w:eastAsia="en-GB"/>
        </w:rPr>
        <w:t>as a result of</w:t>
      </w:r>
      <w:proofErr w:type="gramEnd"/>
      <w:r w:rsidRPr="00E055B1">
        <w:rPr>
          <w:rFonts w:ascii="Times New Roman" w:eastAsia="Times New Roman" w:hAnsi="Times New Roman" w:cs="Times New Roman"/>
          <w:color w:val="000000"/>
          <w:sz w:val="24"/>
          <w:szCs w:val="24"/>
          <w:lang w:eastAsia="en-GB"/>
        </w:rPr>
        <w:t xml:space="preserve"> the </w:t>
      </w:r>
      <w:r w:rsidRPr="00E055B1">
        <w:rPr>
          <w:rFonts w:ascii="Times New Roman" w:eastAsia="Times New Roman" w:hAnsi="Times New Roman" w:cs="Times New Roman"/>
          <w:color w:val="000000"/>
          <w:sz w:val="24"/>
          <w:szCs w:val="24"/>
          <w:lang w:eastAsia="en-GB"/>
        </w:rPr>
        <w:lastRenderedPageBreak/>
        <w:t xml:space="preserve">environment the individual was raised in. This is </w:t>
      </w:r>
      <w:proofErr w:type="gramStart"/>
      <w:r w:rsidRPr="00E055B1">
        <w:rPr>
          <w:rFonts w:ascii="Times New Roman" w:eastAsia="Times New Roman" w:hAnsi="Times New Roman" w:cs="Times New Roman"/>
          <w:color w:val="000000"/>
          <w:sz w:val="24"/>
          <w:szCs w:val="24"/>
          <w:lang w:eastAsia="en-GB"/>
        </w:rPr>
        <w:t>due to the fact that</w:t>
      </w:r>
      <w:proofErr w:type="gramEnd"/>
      <w:r w:rsidRPr="00E055B1">
        <w:rPr>
          <w:rFonts w:ascii="Times New Roman" w:eastAsia="Times New Roman" w:hAnsi="Times New Roman" w:cs="Times New Roman"/>
          <w:color w:val="000000"/>
          <w:sz w:val="24"/>
          <w:szCs w:val="24"/>
          <w:lang w:eastAsia="en-GB"/>
        </w:rPr>
        <w:t xml:space="preserve"> monozygotic twins share the same genetic information meaning that, should their environments be different whilst being raised, that would remain the only difference between the two upbringings, being the reason for any differences in behaviour. This is supported with studies researching further into how influencing a certain environment or witnessing a certain situation can lead to a demonstration and replication of </w:t>
      </w:r>
      <w:proofErr w:type="gramStart"/>
      <w:r w:rsidRPr="00E055B1">
        <w:rPr>
          <w:rFonts w:ascii="Times New Roman" w:eastAsia="Times New Roman" w:hAnsi="Times New Roman" w:cs="Times New Roman"/>
          <w:color w:val="000000"/>
          <w:sz w:val="24"/>
          <w:szCs w:val="24"/>
          <w:lang w:eastAsia="en-GB"/>
        </w:rPr>
        <w:t>particular behaviours</w:t>
      </w:r>
      <w:proofErr w:type="gramEnd"/>
      <w:r w:rsidRPr="00E055B1">
        <w:rPr>
          <w:rFonts w:ascii="Times New Roman" w:eastAsia="Times New Roman" w:hAnsi="Times New Roman" w:cs="Times New Roman"/>
          <w:color w:val="000000"/>
          <w:sz w:val="24"/>
          <w:szCs w:val="24"/>
          <w:lang w:eastAsia="en-GB"/>
        </w:rPr>
        <w:t xml:space="preserve">, as mentioned earlier with regards to Bandura’s Social Learning Theory. Studies to further support this include that of Watson and Rayner’s study commonly known as ‘Little Albert’. Within this experiment, Watson and Raynor used the principles of classical conditioning to force a particular behaviour and reaction to stimuli, upon the participant Albert B. By presenting the infant with a white rat as well as an accompanying loud bang, from striking a heavy metal bar behind the infant's head, a fear was able to be created. Albert B originally held no fear or adverse behaviour towards the white rat, however, with repetition of stimuli that Albert B would naturally be scared </w:t>
      </w:r>
      <w:proofErr w:type="gramStart"/>
      <w:r w:rsidRPr="00E055B1">
        <w:rPr>
          <w:rFonts w:ascii="Times New Roman" w:eastAsia="Times New Roman" w:hAnsi="Times New Roman" w:cs="Times New Roman"/>
          <w:color w:val="000000"/>
          <w:sz w:val="24"/>
          <w:szCs w:val="24"/>
          <w:lang w:eastAsia="en-GB"/>
        </w:rPr>
        <w:t>of,</w:t>
      </w:r>
      <w:proofErr w:type="gramEnd"/>
      <w:r w:rsidRPr="00E055B1">
        <w:rPr>
          <w:rFonts w:ascii="Times New Roman" w:eastAsia="Times New Roman" w:hAnsi="Times New Roman" w:cs="Times New Roman"/>
          <w:color w:val="000000"/>
          <w:sz w:val="24"/>
          <w:szCs w:val="24"/>
          <w:lang w:eastAsia="en-GB"/>
        </w:rPr>
        <w:t xml:space="preserve"> Albert B learnt to fear the rat, resulting in an upset and distraught behaviour being demonstrated whenever witnessing a white rat in the near future (Watson &amp; Rayner, 1921). This study is a prime example of how behaviour can be taught and manipulated as well as learnt through environmental cues and influences. The example of compulsory education is also a quality explanation to further contribute towards the discussion of whether human behaviour is a product of our biology or environment. Before children are put into education, they demonstrate particular behaviours, similar to any behaviours they may witness their parents and caregivers </w:t>
      </w:r>
      <w:proofErr w:type="gramStart"/>
      <w:r w:rsidRPr="00E055B1">
        <w:rPr>
          <w:rFonts w:ascii="Times New Roman" w:eastAsia="Times New Roman" w:hAnsi="Times New Roman" w:cs="Times New Roman"/>
          <w:color w:val="000000"/>
          <w:sz w:val="24"/>
          <w:szCs w:val="24"/>
          <w:lang w:eastAsia="en-GB"/>
        </w:rPr>
        <w:t>displaying, or</w:t>
      </w:r>
      <w:proofErr w:type="gramEnd"/>
      <w:r w:rsidRPr="00E055B1">
        <w:rPr>
          <w:rFonts w:ascii="Times New Roman" w:eastAsia="Times New Roman" w:hAnsi="Times New Roman" w:cs="Times New Roman"/>
          <w:color w:val="000000"/>
          <w:sz w:val="24"/>
          <w:szCs w:val="24"/>
          <w:lang w:eastAsia="en-GB"/>
        </w:rPr>
        <w:t xml:space="preserve"> may have seen being displayed through the media. Once in education, many children experience a change in personality and behaviour due to an alternative source of influence being presented, with multiple different behaviours being demonstrated. The idea that behaviours are seen to change between the transition of no education to starting education, reinforces that the change in environment would be responsible, due to biological information or influences being highly unlikely to have changed during this short period of time. This reinforces that overall, the way in which we behave as humans is based on the behaviours we witness and what we are taught is right from wrong. Our behaviour can easily be changed though, by witnessing alternative behaviours, which we can learn and adapt from.</w:t>
      </w:r>
    </w:p>
    <w:p w14:paraId="2AFE316E" w14:textId="77777777" w:rsidR="00E055B1" w:rsidRPr="00E055B1" w:rsidRDefault="00E055B1" w:rsidP="00E055B1">
      <w:pPr>
        <w:spacing w:after="0" w:line="360" w:lineRule="auto"/>
        <w:ind w:firstLine="720"/>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However, when we assess studies and cases such as Genie </w:t>
      </w:r>
      <w:proofErr w:type="gramStart"/>
      <w:r w:rsidRPr="00E055B1">
        <w:rPr>
          <w:rFonts w:ascii="Times New Roman" w:eastAsia="Times New Roman" w:hAnsi="Times New Roman" w:cs="Times New Roman"/>
          <w:color w:val="000000"/>
          <w:sz w:val="24"/>
          <w:szCs w:val="24"/>
          <w:lang w:eastAsia="en-GB"/>
        </w:rPr>
        <w:t>Wiley</w:t>
      </w:r>
      <w:proofErr w:type="gramEnd"/>
      <w:r w:rsidRPr="00E055B1">
        <w:rPr>
          <w:rFonts w:ascii="Times New Roman" w:eastAsia="Times New Roman" w:hAnsi="Times New Roman" w:cs="Times New Roman"/>
          <w:color w:val="000000"/>
          <w:sz w:val="24"/>
          <w:szCs w:val="24"/>
          <w:lang w:eastAsia="en-GB"/>
        </w:rPr>
        <w:t xml:space="preserve"> we can actually assume that human behaviour can be explained through a combination of biological factors and environmental factors. The case of Genie is a prime example of a feral child. During Genie’s childhood, she was forced into isolation, with no opportunities to observe or imitate </w:t>
      </w:r>
      <w:r w:rsidRPr="00E055B1">
        <w:rPr>
          <w:rFonts w:ascii="Times New Roman" w:eastAsia="Times New Roman" w:hAnsi="Times New Roman" w:cs="Times New Roman"/>
          <w:color w:val="000000"/>
          <w:sz w:val="24"/>
          <w:szCs w:val="24"/>
          <w:lang w:eastAsia="en-GB"/>
        </w:rPr>
        <w:lastRenderedPageBreak/>
        <w:t xml:space="preserve">behaviours in her environment. As a result of this isolation, Genie grew up to behave in a state </w:t>
      </w:r>
      <w:proofErr w:type="gramStart"/>
      <w:r w:rsidRPr="00E055B1">
        <w:rPr>
          <w:rFonts w:ascii="Times New Roman" w:eastAsia="Times New Roman" w:hAnsi="Times New Roman" w:cs="Times New Roman"/>
          <w:color w:val="000000"/>
          <w:sz w:val="24"/>
          <w:szCs w:val="24"/>
          <w:lang w:eastAsia="en-GB"/>
        </w:rPr>
        <w:t>similar to</w:t>
      </w:r>
      <w:proofErr w:type="gramEnd"/>
      <w:r w:rsidRPr="00E055B1">
        <w:rPr>
          <w:rFonts w:ascii="Times New Roman" w:eastAsia="Times New Roman" w:hAnsi="Times New Roman" w:cs="Times New Roman"/>
          <w:color w:val="000000"/>
          <w:sz w:val="24"/>
          <w:szCs w:val="24"/>
          <w:lang w:eastAsia="en-GB"/>
        </w:rPr>
        <w:t xml:space="preserve"> that of primates, close to how animals in the wild would act. When she was found at the age of 13, she was unable to speak, walk or even function how a human </w:t>
      </w:r>
      <w:proofErr w:type="gramStart"/>
      <w:r w:rsidRPr="00E055B1">
        <w:rPr>
          <w:rFonts w:ascii="Times New Roman" w:eastAsia="Times New Roman" w:hAnsi="Times New Roman" w:cs="Times New Roman"/>
          <w:color w:val="000000"/>
          <w:sz w:val="24"/>
          <w:szCs w:val="24"/>
          <w:lang w:eastAsia="en-GB"/>
        </w:rPr>
        <w:t>in today’s society</w:t>
      </w:r>
      <w:proofErr w:type="gramEnd"/>
      <w:r w:rsidRPr="00E055B1">
        <w:rPr>
          <w:rFonts w:ascii="Times New Roman" w:eastAsia="Times New Roman" w:hAnsi="Times New Roman" w:cs="Times New Roman"/>
          <w:color w:val="000000"/>
          <w:sz w:val="24"/>
          <w:szCs w:val="24"/>
          <w:lang w:eastAsia="en-GB"/>
        </w:rPr>
        <w:t xml:space="preserve"> is expected to (Eaton-Thomas, 2021 c). As a result of this, it can be argued that the behaviour Genie originally showcased was due to her biological factors, however, this behaviour does have the opportunity to be changed, through observing socially acceptable behaviour and reciprocating, as shown when she learnt new behaviours once being discovered and rescued. Although Genie’s case demonstrates the importance of the environment for learning specific behaviours, including language, it also demonstrates the importance of biological factors. Despite Genie being able to learn a vast vocabulary, she was unable to appropriately build sentences or demonstrate syntax, suggesting that Genie was either born with an impairment or that due to her neglect as a child, she missed the critical period to learn language resulting in her brain structure being altered, resulting in an inability to ever use syntax appropriately (Reid, 2011). One other example of a feral child is that of Oxana Malaya, which due to a lack of needed attention from her alcoholic parents, Oxana resulted to living amongst street dogs, in a kennel behind her house. Due to her conditions of living, she was found to have replicated several traits from a wild dog, including a lack of human speech instead of using animalistic sounds as means of communication, once returned to civilisation, unlike Genie, Oxana was able to fully form syntax. This demonstrates how environmental influences can easily influence behaviour, as </w:t>
      </w:r>
      <w:proofErr w:type="gramStart"/>
      <w:r w:rsidRPr="00E055B1">
        <w:rPr>
          <w:rFonts w:ascii="Times New Roman" w:eastAsia="Times New Roman" w:hAnsi="Times New Roman" w:cs="Times New Roman"/>
          <w:color w:val="000000"/>
          <w:sz w:val="24"/>
          <w:szCs w:val="24"/>
          <w:lang w:eastAsia="en-GB"/>
        </w:rPr>
        <w:t>in order for</w:t>
      </w:r>
      <w:proofErr w:type="gramEnd"/>
      <w:r w:rsidRPr="00E055B1">
        <w:rPr>
          <w:rFonts w:ascii="Times New Roman" w:eastAsia="Times New Roman" w:hAnsi="Times New Roman" w:cs="Times New Roman"/>
          <w:color w:val="000000"/>
          <w:sz w:val="24"/>
          <w:szCs w:val="24"/>
          <w:lang w:eastAsia="en-GB"/>
        </w:rPr>
        <w:t xml:space="preserve"> Oxana to successfully be able to communicate through syntax, she must have experienced and witnessed some form of communication during the critical period for language. However, it can easily be argued that the type of behaviour she resorted to is that of natural for animals, suggesting her biology influenced the type of behaviour that was easiest for her to replicate (Joy &amp; </w:t>
      </w:r>
      <w:proofErr w:type="spellStart"/>
      <w:r w:rsidRPr="00E055B1">
        <w:rPr>
          <w:rFonts w:ascii="Times New Roman" w:eastAsia="Times New Roman" w:hAnsi="Times New Roman" w:cs="Times New Roman"/>
          <w:color w:val="000000"/>
          <w:sz w:val="24"/>
          <w:szCs w:val="24"/>
          <w:lang w:eastAsia="en-GB"/>
        </w:rPr>
        <w:t>Kosh</w:t>
      </w:r>
      <w:proofErr w:type="spellEnd"/>
      <w:r w:rsidRPr="00E055B1">
        <w:rPr>
          <w:rFonts w:ascii="Times New Roman" w:eastAsia="Times New Roman" w:hAnsi="Times New Roman" w:cs="Times New Roman"/>
          <w:color w:val="000000"/>
          <w:sz w:val="24"/>
          <w:szCs w:val="24"/>
          <w:lang w:eastAsia="en-GB"/>
        </w:rPr>
        <w:t>,). This, therefore, showcases that language development is just one behaviour accounted for by both influences of nature and nurture.</w:t>
      </w:r>
    </w:p>
    <w:p w14:paraId="74BB23C5" w14:textId="77777777" w:rsidR="00E055B1" w:rsidRPr="00E055B1" w:rsidRDefault="00E055B1" w:rsidP="00E055B1">
      <w:pPr>
        <w:spacing w:after="0" w:line="360" w:lineRule="auto"/>
        <w:ind w:firstLine="720"/>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To draw this essay to a close, after discussing whether human behaviour is due to environmental or biological influences, it is clear to see that human behaviour can </w:t>
      </w:r>
      <w:proofErr w:type="gramStart"/>
      <w:r w:rsidRPr="00E055B1">
        <w:rPr>
          <w:rFonts w:ascii="Times New Roman" w:eastAsia="Times New Roman" w:hAnsi="Times New Roman" w:cs="Times New Roman"/>
          <w:color w:val="000000"/>
          <w:sz w:val="24"/>
          <w:szCs w:val="24"/>
          <w:lang w:eastAsia="en-GB"/>
        </w:rPr>
        <w:t>actually be</w:t>
      </w:r>
      <w:proofErr w:type="gramEnd"/>
      <w:r w:rsidRPr="00E055B1">
        <w:rPr>
          <w:rFonts w:ascii="Times New Roman" w:eastAsia="Times New Roman" w:hAnsi="Times New Roman" w:cs="Times New Roman"/>
          <w:color w:val="000000"/>
          <w:sz w:val="24"/>
          <w:szCs w:val="24"/>
          <w:lang w:eastAsia="en-GB"/>
        </w:rPr>
        <w:t xml:space="preserve"> broken down into a combination of both biological influences and environmental influences. Studies created by psychologists such as Pavlov, Bandura and Skinner demonstrate that human behaviour is easily manipulated and created based on experiences that we witness and engage within. Studies by psychologists such as </w:t>
      </w:r>
      <w:proofErr w:type="spellStart"/>
      <w:r w:rsidRPr="00E055B1">
        <w:rPr>
          <w:rFonts w:ascii="Times New Roman" w:eastAsia="Times New Roman" w:hAnsi="Times New Roman" w:cs="Times New Roman"/>
          <w:color w:val="000000"/>
          <w:sz w:val="24"/>
          <w:szCs w:val="24"/>
          <w:lang w:eastAsia="en-GB"/>
        </w:rPr>
        <w:t>Tellegen</w:t>
      </w:r>
      <w:proofErr w:type="spellEnd"/>
      <w:r w:rsidRPr="00E055B1">
        <w:rPr>
          <w:rFonts w:ascii="Times New Roman" w:eastAsia="Times New Roman" w:hAnsi="Times New Roman" w:cs="Times New Roman"/>
          <w:color w:val="000000"/>
          <w:sz w:val="24"/>
          <w:szCs w:val="24"/>
          <w:lang w:eastAsia="en-GB"/>
        </w:rPr>
        <w:t xml:space="preserve"> and Holland showcase how human behaviour is a product of our biological information being the basis for how we would react to certain stimuli. It is when we use these studies in conjunction with one another that we can </w:t>
      </w:r>
      <w:r w:rsidRPr="00E055B1">
        <w:rPr>
          <w:rFonts w:ascii="Times New Roman" w:eastAsia="Times New Roman" w:hAnsi="Times New Roman" w:cs="Times New Roman"/>
          <w:color w:val="000000"/>
          <w:sz w:val="24"/>
          <w:szCs w:val="24"/>
          <w:lang w:eastAsia="en-GB"/>
        </w:rPr>
        <w:lastRenderedPageBreak/>
        <w:t>appropriately see that although we may have a biological urge to act or react in a particular way, it is our environmental influence, and how we are nurtured, that would stipulate whether we act on those urges or follow a particular path of behaviour instead.</w:t>
      </w:r>
    </w:p>
    <w:p w14:paraId="4A584277" w14:textId="77777777" w:rsidR="00E055B1" w:rsidRPr="00E055B1" w:rsidRDefault="00E055B1" w:rsidP="00E055B1">
      <w:pPr>
        <w:spacing w:after="24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r w:rsidRPr="00E055B1">
        <w:rPr>
          <w:rFonts w:ascii="Times New Roman" w:eastAsia="Times New Roman" w:hAnsi="Times New Roman" w:cs="Times New Roman"/>
          <w:sz w:val="24"/>
          <w:szCs w:val="24"/>
          <w:lang w:eastAsia="en-GB"/>
        </w:rPr>
        <w:br/>
      </w:r>
    </w:p>
    <w:p w14:paraId="36FA997C"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lastRenderedPageBreak/>
        <w:t>References:</w:t>
      </w:r>
    </w:p>
    <w:p w14:paraId="46DF041C"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74AD8CBF"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roofErr w:type="spellStart"/>
      <w:r w:rsidRPr="00E055B1">
        <w:rPr>
          <w:rFonts w:ascii="Times New Roman" w:eastAsia="Times New Roman" w:hAnsi="Times New Roman" w:cs="Times New Roman"/>
          <w:color w:val="000000"/>
          <w:sz w:val="24"/>
          <w:szCs w:val="24"/>
          <w:lang w:eastAsia="en-GB"/>
        </w:rPr>
        <w:t>Brawnman-Mintzer</w:t>
      </w:r>
      <w:proofErr w:type="spellEnd"/>
      <w:r w:rsidRPr="00E055B1">
        <w:rPr>
          <w:rFonts w:ascii="Times New Roman" w:eastAsia="Times New Roman" w:hAnsi="Times New Roman" w:cs="Times New Roman"/>
          <w:color w:val="000000"/>
          <w:sz w:val="24"/>
          <w:szCs w:val="24"/>
          <w:lang w:eastAsia="en-GB"/>
        </w:rPr>
        <w:t xml:space="preserve">, O., &amp; Lydiard, R. B. (1997). Biological Basis of Generalized Anxiety Disorder. </w:t>
      </w:r>
      <w:r w:rsidRPr="00E055B1">
        <w:rPr>
          <w:rFonts w:ascii="Times New Roman" w:eastAsia="Times New Roman" w:hAnsi="Times New Roman" w:cs="Times New Roman"/>
          <w:i/>
          <w:iCs/>
          <w:color w:val="000000"/>
          <w:sz w:val="24"/>
          <w:szCs w:val="24"/>
          <w:lang w:eastAsia="en-GB"/>
        </w:rPr>
        <w:t>J Clin Psychiatry</w:t>
      </w:r>
      <w:r w:rsidRPr="00E055B1">
        <w:rPr>
          <w:rFonts w:ascii="Times New Roman" w:eastAsia="Times New Roman" w:hAnsi="Times New Roman" w:cs="Times New Roman"/>
          <w:color w:val="000000"/>
          <w:sz w:val="24"/>
          <w:szCs w:val="24"/>
          <w:lang w:eastAsia="en-GB"/>
        </w:rPr>
        <w:t xml:space="preserve">, </w:t>
      </w:r>
      <w:r w:rsidRPr="00E055B1">
        <w:rPr>
          <w:rFonts w:ascii="Times New Roman" w:eastAsia="Times New Roman" w:hAnsi="Times New Roman" w:cs="Times New Roman"/>
          <w:i/>
          <w:iCs/>
          <w:color w:val="000000"/>
          <w:sz w:val="24"/>
          <w:szCs w:val="24"/>
          <w:lang w:eastAsia="en-GB"/>
        </w:rPr>
        <w:t>58</w:t>
      </w:r>
      <w:r w:rsidRPr="00E055B1">
        <w:rPr>
          <w:rFonts w:ascii="Times New Roman" w:eastAsia="Times New Roman" w:hAnsi="Times New Roman" w:cs="Times New Roman"/>
          <w:color w:val="000000"/>
          <w:sz w:val="24"/>
          <w:szCs w:val="24"/>
          <w:lang w:eastAsia="en-GB"/>
        </w:rPr>
        <w:t xml:space="preserve">(3), 16-25. </w:t>
      </w:r>
      <w:hyperlink r:id="rId4" w:history="1">
        <w:r w:rsidRPr="00E055B1">
          <w:rPr>
            <w:rFonts w:ascii="Times New Roman" w:eastAsia="Times New Roman" w:hAnsi="Times New Roman" w:cs="Times New Roman"/>
            <w:color w:val="000000"/>
            <w:sz w:val="24"/>
            <w:szCs w:val="24"/>
            <w:u w:val="single"/>
            <w:lang w:eastAsia="en-GB"/>
          </w:rPr>
          <w:t>https://www.psychiatrist.com/wp-content/uploads/2021/02/11209_biological-basis-generalized-anxiety-disorder.pdf</w:t>
        </w:r>
      </w:hyperlink>
      <w:r w:rsidRPr="00E055B1">
        <w:rPr>
          <w:rFonts w:ascii="Times New Roman" w:eastAsia="Times New Roman" w:hAnsi="Times New Roman" w:cs="Times New Roman"/>
          <w:color w:val="000000"/>
          <w:sz w:val="24"/>
          <w:szCs w:val="24"/>
          <w:lang w:eastAsia="en-GB"/>
        </w:rPr>
        <w:t> </w:t>
      </w:r>
    </w:p>
    <w:p w14:paraId="40FD6EC7"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558F97A4"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Holland, A. J., Hall, A., Murray, R., Russel, G. F. M., &amp; Crisp, A. H. (1984). Anorexia Nervosa: A Study of 34 Twin Pairs and One Set of Triplets. </w:t>
      </w:r>
      <w:r w:rsidRPr="00E055B1">
        <w:rPr>
          <w:rFonts w:ascii="Times New Roman" w:eastAsia="Times New Roman" w:hAnsi="Times New Roman" w:cs="Times New Roman"/>
          <w:i/>
          <w:iCs/>
          <w:color w:val="000000"/>
          <w:sz w:val="24"/>
          <w:szCs w:val="24"/>
          <w:lang w:eastAsia="en-GB"/>
        </w:rPr>
        <w:t>British Journal of Psychiatry</w:t>
      </w:r>
      <w:r w:rsidRPr="00E055B1">
        <w:rPr>
          <w:rFonts w:ascii="Times New Roman" w:eastAsia="Times New Roman" w:hAnsi="Times New Roman" w:cs="Times New Roman"/>
          <w:color w:val="000000"/>
          <w:sz w:val="24"/>
          <w:szCs w:val="24"/>
          <w:lang w:eastAsia="en-GB"/>
        </w:rPr>
        <w:t xml:space="preserve">, </w:t>
      </w:r>
      <w:r w:rsidRPr="00E055B1">
        <w:rPr>
          <w:rFonts w:ascii="Times New Roman" w:eastAsia="Times New Roman" w:hAnsi="Times New Roman" w:cs="Times New Roman"/>
          <w:i/>
          <w:iCs/>
          <w:color w:val="000000"/>
          <w:sz w:val="24"/>
          <w:szCs w:val="24"/>
          <w:lang w:eastAsia="en-GB"/>
        </w:rPr>
        <w:t>145</w:t>
      </w:r>
      <w:r w:rsidRPr="00E055B1">
        <w:rPr>
          <w:rFonts w:ascii="Times New Roman" w:eastAsia="Times New Roman" w:hAnsi="Times New Roman" w:cs="Times New Roman"/>
          <w:color w:val="000000"/>
          <w:sz w:val="24"/>
          <w:szCs w:val="24"/>
          <w:lang w:eastAsia="en-GB"/>
        </w:rPr>
        <w:t xml:space="preserve">(2), 414-419. </w:t>
      </w:r>
      <w:hyperlink r:id="rId5" w:history="1">
        <w:r w:rsidRPr="00E055B1">
          <w:rPr>
            <w:rFonts w:ascii="Times New Roman" w:eastAsia="Times New Roman" w:hAnsi="Times New Roman" w:cs="Times New Roman"/>
            <w:color w:val="000000"/>
            <w:sz w:val="24"/>
            <w:szCs w:val="24"/>
            <w:u w:val="single"/>
            <w:lang w:eastAsia="en-GB"/>
          </w:rPr>
          <w:t>https://www.cambridge.org/core/services/aop-cambridge-core/content/view/BA6FEA07B80BE35372256C141D024DFB/S0007125000118355a.pdf/anorexia-nervosa-a-study-of-34-twin-pairs-and-one-set-of-triplets.pdf</w:t>
        </w:r>
      </w:hyperlink>
      <w:r w:rsidRPr="00E055B1">
        <w:rPr>
          <w:rFonts w:ascii="Times New Roman" w:eastAsia="Times New Roman" w:hAnsi="Times New Roman" w:cs="Times New Roman"/>
          <w:color w:val="000000"/>
          <w:sz w:val="24"/>
          <w:szCs w:val="24"/>
          <w:lang w:eastAsia="en-GB"/>
        </w:rPr>
        <w:t> </w:t>
      </w:r>
    </w:p>
    <w:p w14:paraId="00B95622"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612A0AE0"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Joy, A., &amp; Koshy, M. P. (2014). Consumer Socialisation. In </w:t>
      </w:r>
      <w:r w:rsidRPr="00E055B1">
        <w:rPr>
          <w:rFonts w:ascii="Times New Roman" w:eastAsia="Times New Roman" w:hAnsi="Times New Roman" w:cs="Times New Roman"/>
          <w:i/>
          <w:iCs/>
          <w:color w:val="000000"/>
          <w:sz w:val="24"/>
          <w:szCs w:val="24"/>
          <w:lang w:eastAsia="en-GB"/>
        </w:rPr>
        <w:t>Marketing Dynamics in Emerging Markets</w:t>
      </w:r>
      <w:r w:rsidRPr="00E055B1">
        <w:rPr>
          <w:rFonts w:ascii="Times New Roman" w:eastAsia="Times New Roman" w:hAnsi="Times New Roman" w:cs="Times New Roman"/>
          <w:color w:val="000000"/>
          <w:sz w:val="24"/>
          <w:szCs w:val="24"/>
          <w:lang w:eastAsia="en-GB"/>
        </w:rPr>
        <w:t xml:space="preserve"> (pp. 184-186). </w:t>
      </w:r>
      <w:hyperlink r:id="rId6" w:history="1">
        <w:r w:rsidRPr="00E055B1">
          <w:rPr>
            <w:rFonts w:ascii="Times New Roman" w:eastAsia="Times New Roman" w:hAnsi="Times New Roman" w:cs="Times New Roman"/>
            <w:color w:val="000000"/>
            <w:sz w:val="24"/>
            <w:szCs w:val="24"/>
            <w:u w:val="single"/>
            <w:lang w:eastAsia="en-GB"/>
          </w:rPr>
          <w:t>https://www.researchgate.net/profile/Ansted-Joseph/publication/341515096_Social_Media_as_a_Brand_Communication_Tool_for_Global_Brands_in_Emerging_Markets_An_Indian_Perspective/links/5ec52332a6fdcc90d68635e2/Social-Media-as-a-Brand-Communication-Tool-for-Gl</w:t>
        </w:r>
      </w:hyperlink>
      <w:r w:rsidRPr="00E055B1">
        <w:rPr>
          <w:rFonts w:ascii="Times New Roman" w:eastAsia="Times New Roman" w:hAnsi="Times New Roman" w:cs="Times New Roman"/>
          <w:color w:val="000000"/>
          <w:sz w:val="24"/>
          <w:szCs w:val="24"/>
          <w:lang w:eastAsia="en-GB"/>
        </w:rPr>
        <w:t> </w:t>
      </w:r>
    </w:p>
    <w:p w14:paraId="24F019E1"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2A1D9E43"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Eaton-Thomas. K. (2021 a) T</w:t>
      </w:r>
      <w:r w:rsidRPr="00E055B1">
        <w:rPr>
          <w:rFonts w:ascii="Times New Roman" w:eastAsia="Times New Roman" w:hAnsi="Times New Roman" w:cs="Times New Roman"/>
          <w:i/>
          <w:iCs/>
          <w:color w:val="000000"/>
          <w:sz w:val="24"/>
          <w:szCs w:val="24"/>
          <w:lang w:eastAsia="en-GB"/>
        </w:rPr>
        <w:t xml:space="preserve">he Biological Approach in Psychology </w:t>
      </w:r>
      <w:r w:rsidRPr="00E055B1">
        <w:rPr>
          <w:rFonts w:ascii="Times New Roman" w:eastAsia="Times New Roman" w:hAnsi="Times New Roman" w:cs="Times New Roman"/>
          <w:color w:val="000000"/>
          <w:sz w:val="24"/>
          <w:szCs w:val="24"/>
          <w:lang w:eastAsia="en-GB"/>
        </w:rPr>
        <w:t xml:space="preserve">[Lecture to BSc Applied Psychology Level 4]. </w:t>
      </w:r>
      <w:hyperlink r:id="rId7" w:history="1">
        <w:r w:rsidRPr="00E055B1">
          <w:rPr>
            <w:rFonts w:ascii="Times New Roman" w:eastAsia="Times New Roman" w:hAnsi="Times New Roman" w:cs="Times New Roman"/>
            <w:color w:val="000000"/>
            <w:sz w:val="24"/>
            <w:szCs w:val="24"/>
            <w:u w:val="single"/>
            <w:lang w:eastAsia="en-GB"/>
          </w:rPr>
          <w:t>Biological approach 2020.pdf (uwtsd.ac.uk)</w:t>
        </w:r>
      </w:hyperlink>
      <w:r w:rsidRPr="00E055B1">
        <w:rPr>
          <w:rFonts w:ascii="Times New Roman" w:eastAsia="Times New Roman" w:hAnsi="Times New Roman" w:cs="Times New Roman"/>
          <w:color w:val="000000"/>
          <w:sz w:val="24"/>
          <w:szCs w:val="24"/>
          <w:lang w:eastAsia="en-GB"/>
        </w:rPr>
        <w:t> </w:t>
      </w:r>
    </w:p>
    <w:p w14:paraId="4D4D3BCB"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26FBB137"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Eaton-Thomas. K. (2021 b) T</w:t>
      </w:r>
      <w:r w:rsidRPr="00E055B1">
        <w:rPr>
          <w:rFonts w:ascii="Times New Roman" w:eastAsia="Times New Roman" w:hAnsi="Times New Roman" w:cs="Times New Roman"/>
          <w:i/>
          <w:iCs/>
          <w:color w:val="000000"/>
          <w:sz w:val="24"/>
          <w:szCs w:val="24"/>
          <w:lang w:eastAsia="en-GB"/>
        </w:rPr>
        <w:t xml:space="preserve">he Behaviourist Approach </w:t>
      </w:r>
      <w:r w:rsidRPr="00E055B1">
        <w:rPr>
          <w:rFonts w:ascii="Times New Roman" w:eastAsia="Times New Roman" w:hAnsi="Times New Roman" w:cs="Times New Roman"/>
          <w:color w:val="000000"/>
          <w:sz w:val="24"/>
          <w:szCs w:val="24"/>
          <w:lang w:eastAsia="en-GB"/>
        </w:rPr>
        <w:t xml:space="preserve">[Lecture to BSc Applied Psychology Level 4]. </w:t>
      </w:r>
      <w:hyperlink r:id="rId8" w:history="1">
        <w:proofErr w:type="gramStart"/>
        <w:r w:rsidRPr="00E055B1">
          <w:rPr>
            <w:rFonts w:ascii="Times New Roman" w:eastAsia="Times New Roman" w:hAnsi="Times New Roman" w:cs="Times New Roman"/>
            <w:color w:val="000000"/>
            <w:sz w:val="24"/>
            <w:szCs w:val="24"/>
            <w:u w:val="single"/>
            <w:lang w:eastAsia="en-GB"/>
          </w:rPr>
          <w:t>Perspectives</w:t>
        </w:r>
        <w:proofErr w:type="gramEnd"/>
        <w:r w:rsidRPr="00E055B1">
          <w:rPr>
            <w:rFonts w:ascii="Times New Roman" w:eastAsia="Times New Roman" w:hAnsi="Times New Roman" w:cs="Times New Roman"/>
            <w:color w:val="000000"/>
            <w:sz w:val="24"/>
            <w:szCs w:val="24"/>
            <w:u w:val="single"/>
            <w:lang w:eastAsia="en-GB"/>
          </w:rPr>
          <w:t xml:space="preserve"> lecture 2 (week 8) The Behaviourist Approach and The Cognitive Approach (uwtsd.ac.uk)</w:t>
        </w:r>
      </w:hyperlink>
    </w:p>
    <w:p w14:paraId="20CA55FC"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0D517792"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Eaton-Thomas. K. (2021 c) T</w:t>
      </w:r>
      <w:r w:rsidRPr="00E055B1">
        <w:rPr>
          <w:rFonts w:ascii="Times New Roman" w:eastAsia="Times New Roman" w:hAnsi="Times New Roman" w:cs="Times New Roman"/>
          <w:i/>
          <w:iCs/>
          <w:color w:val="000000"/>
          <w:sz w:val="24"/>
          <w:szCs w:val="24"/>
          <w:lang w:eastAsia="en-GB"/>
        </w:rPr>
        <w:t xml:space="preserve">he Gene Environment Controversy </w:t>
      </w:r>
      <w:r w:rsidRPr="00E055B1">
        <w:rPr>
          <w:rFonts w:ascii="Times New Roman" w:eastAsia="Times New Roman" w:hAnsi="Times New Roman" w:cs="Times New Roman"/>
          <w:color w:val="000000"/>
          <w:sz w:val="24"/>
          <w:szCs w:val="24"/>
          <w:lang w:eastAsia="en-GB"/>
        </w:rPr>
        <w:t xml:space="preserve">[Lecture to BSc Applied Psychology Level 4]. </w:t>
      </w:r>
      <w:hyperlink r:id="rId9" w:history="1">
        <w:r w:rsidRPr="00E055B1">
          <w:rPr>
            <w:rFonts w:ascii="Times New Roman" w:eastAsia="Times New Roman" w:hAnsi="Times New Roman" w:cs="Times New Roman"/>
            <w:color w:val="000000"/>
            <w:sz w:val="24"/>
            <w:szCs w:val="24"/>
            <w:u w:val="single"/>
            <w:lang w:eastAsia="en-GB"/>
          </w:rPr>
          <w:t>The gene environment controversy (uwtsd.ac.uk)</w:t>
        </w:r>
      </w:hyperlink>
    </w:p>
    <w:p w14:paraId="0964D969"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7CF53B8D"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i/>
          <w:iCs/>
          <w:color w:val="000000"/>
          <w:sz w:val="24"/>
          <w:szCs w:val="24"/>
          <w:lang w:eastAsia="en-GB"/>
        </w:rPr>
        <w:t>Nature v/s Nurture in Human behaviour development - 1363 Words | Essay Example</w:t>
      </w:r>
      <w:r w:rsidRPr="00E055B1">
        <w:rPr>
          <w:rFonts w:ascii="Times New Roman" w:eastAsia="Times New Roman" w:hAnsi="Times New Roman" w:cs="Times New Roman"/>
          <w:color w:val="000000"/>
          <w:sz w:val="24"/>
          <w:szCs w:val="24"/>
          <w:lang w:eastAsia="en-GB"/>
        </w:rPr>
        <w:t xml:space="preserve">. (2019, December 3). </w:t>
      </w:r>
      <w:proofErr w:type="spellStart"/>
      <w:r w:rsidRPr="00E055B1">
        <w:rPr>
          <w:rFonts w:ascii="Times New Roman" w:eastAsia="Times New Roman" w:hAnsi="Times New Roman" w:cs="Times New Roman"/>
          <w:color w:val="000000"/>
          <w:sz w:val="24"/>
          <w:szCs w:val="24"/>
          <w:lang w:eastAsia="en-GB"/>
        </w:rPr>
        <w:t>Ivypanda</w:t>
      </w:r>
      <w:proofErr w:type="spellEnd"/>
      <w:r w:rsidRPr="00E055B1">
        <w:rPr>
          <w:rFonts w:ascii="Times New Roman" w:eastAsia="Times New Roman" w:hAnsi="Times New Roman" w:cs="Times New Roman"/>
          <w:color w:val="000000"/>
          <w:sz w:val="24"/>
          <w:szCs w:val="24"/>
          <w:lang w:eastAsia="en-GB"/>
        </w:rPr>
        <w:t xml:space="preserve">. Retrieved November 24, 2021, from </w:t>
      </w:r>
      <w:hyperlink r:id="rId10" w:history="1">
        <w:r w:rsidRPr="00E055B1">
          <w:rPr>
            <w:rFonts w:ascii="Times New Roman" w:eastAsia="Times New Roman" w:hAnsi="Times New Roman" w:cs="Times New Roman"/>
            <w:color w:val="000000"/>
            <w:sz w:val="24"/>
            <w:szCs w:val="24"/>
            <w:u w:val="single"/>
            <w:lang w:eastAsia="en-GB"/>
          </w:rPr>
          <w:t>https://ivypanda.com/essays/nature-v-s-nurture-in-human-behaviour-development/</w:t>
        </w:r>
      </w:hyperlink>
      <w:r w:rsidRPr="00E055B1">
        <w:rPr>
          <w:rFonts w:ascii="Times New Roman" w:eastAsia="Times New Roman" w:hAnsi="Times New Roman" w:cs="Times New Roman"/>
          <w:color w:val="000000"/>
          <w:sz w:val="24"/>
          <w:szCs w:val="24"/>
          <w:lang w:eastAsia="en-GB"/>
        </w:rPr>
        <w:t> </w:t>
      </w:r>
    </w:p>
    <w:p w14:paraId="66FA8914"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3469C405"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lastRenderedPageBreak/>
        <w:t xml:space="preserve">Reid, B. (2011, March 9). </w:t>
      </w:r>
      <w:r w:rsidRPr="00E055B1">
        <w:rPr>
          <w:rFonts w:ascii="Times New Roman" w:eastAsia="Times New Roman" w:hAnsi="Times New Roman" w:cs="Times New Roman"/>
          <w:i/>
          <w:iCs/>
          <w:color w:val="000000"/>
          <w:sz w:val="24"/>
          <w:szCs w:val="24"/>
          <w:lang w:eastAsia="en-GB"/>
        </w:rPr>
        <w:t>Examining Nature Vs. Nurture Through Genie | Becca Reid's B-Portfolio</w:t>
      </w:r>
      <w:r w:rsidRPr="00E055B1">
        <w:rPr>
          <w:rFonts w:ascii="Times New Roman" w:eastAsia="Times New Roman" w:hAnsi="Times New Roman" w:cs="Times New Roman"/>
          <w:color w:val="000000"/>
          <w:sz w:val="24"/>
          <w:szCs w:val="24"/>
          <w:lang w:eastAsia="en-GB"/>
        </w:rPr>
        <w:t xml:space="preserve">. Becca Reid's B-Portfolio. Retrieved November 21, 2021, from </w:t>
      </w:r>
      <w:hyperlink r:id="rId11" w:history="1">
        <w:r w:rsidRPr="00E055B1">
          <w:rPr>
            <w:rFonts w:ascii="Times New Roman" w:eastAsia="Times New Roman" w:hAnsi="Times New Roman" w:cs="Times New Roman"/>
            <w:color w:val="000000"/>
            <w:sz w:val="24"/>
            <w:szCs w:val="24"/>
            <w:u w:val="single"/>
            <w:lang w:eastAsia="en-GB"/>
          </w:rPr>
          <w:t>https://beccareid.wordpress.com/2011/03/09/examining-nature-vs-nurture-through-genie/</w:t>
        </w:r>
      </w:hyperlink>
    </w:p>
    <w:p w14:paraId="5891C20A"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6ACDEBBF"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Sullivan, P. F., Neale, M. C., &amp; Kendler, K. S. (2000). Genetic Epidemiology of Major Depression: Review and Meta-Analysis. </w:t>
      </w:r>
      <w:r w:rsidRPr="00E055B1">
        <w:rPr>
          <w:rFonts w:ascii="Times New Roman" w:eastAsia="Times New Roman" w:hAnsi="Times New Roman" w:cs="Times New Roman"/>
          <w:i/>
          <w:iCs/>
          <w:color w:val="000000"/>
          <w:sz w:val="24"/>
          <w:szCs w:val="24"/>
          <w:lang w:eastAsia="en-GB"/>
        </w:rPr>
        <w:t>Am J Psychiatry</w:t>
      </w:r>
      <w:r w:rsidRPr="00E055B1">
        <w:rPr>
          <w:rFonts w:ascii="Times New Roman" w:eastAsia="Times New Roman" w:hAnsi="Times New Roman" w:cs="Times New Roman"/>
          <w:color w:val="000000"/>
          <w:sz w:val="24"/>
          <w:szCs w:val="24"/>
          <w:lang w:eastAsia="en-GB"/>
        </w:rPr>
        <w:t xml:space="preserve">, </w:t>
      </w:r>
      <w:r w:rsidRPr="00E055B1">
        <w:rPr>
          <w:rFonts w:ascii="Times New Roman" w:eastAsia="Times New Roman" w:hAnsi="Times New Roman" w:cs="Times New Roman"/>
          <w:i/>
          <w:iCs/>
          <w:color w:val="000000"/>
          <w:sz w:val="24"/>
          <w:szCs w:val="24"/>
          <w:lang w:eastAsia="en-GB"/>
        </w:rPr>
        <w:t>157</w:t>
      </w:r>
      <w:r w:rsidRPr="00E055B1">
        <w:rPr>
          <w:rFonts w:ascii="Times New Roman" w:eastAsia="Times New Roman" w:hAnsi="Times New Roman" w:cs="Times New Roman"/>
          <w:color w:val="000000"/>
          <w:sz w:val="24"/>
          <w:szCs w:val="24"/>
          <w:lang w:eastAsia="en-GB"/>
        </w:rPr>
        <w:t>(10), 1552-1562. https://ajp.psychiatryonline.org/doi/pdf/10.1176/appi.ajp.157.10.1552</w:t>
      </w:r>
    </w:p>
    <w:p w14:paraId="78D9F0B9"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5BF4F09A"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roofErr w:type="spellStart"/>
      <w:r w:rsidRPr="00E055B1">
        <w:rPr>
          <w:rFonts w:ascii="Times New Roman" w:eastAsia="Times New Roman" w:hAnsi="Times New Roman" w:cs="Times New Roman"/>
          <w:color w:val="000000"/>
          <w:sz w:val="24"/>
          <w:szCs w:val="24"/>
          <w:lang w:eastAsia="en-GB"/>
        </w:rPr>
        <w:t>Tellegen</w:t>
      </w:r>
      <w:proofErr w:type="spellEnd"/>
      <w:r w:rsidRPr="00E055B1">
        <w:rPr>
          <w:rFonts w:ascii="Times New Roman" w:eastAsia="Times New Roman" w:hAnsi="Times New Roman" w:cs="Times New Roman"/>
          <w:color w:val="000000"/>
          <w:sz w:val="24"/>
          <w:szCs w:val="24"/>
          <w:lang w:eastAsia="en-GB"/>
        </w:rPr>
        <w:t xml:space="preserve">, A., </w:t>
      </w:r>
      <w:proofErr w:type="spellStart"/>
      <w:r w:rsidRPr="00E055B1">
        <w:rPr>
          <w:rFonts w:ascii="Times New Roman" w:eastAsia="Times New Roman" w:hAnsi="Times New Roman" w:cs="Times New Roman"/>
          <w:color w:val="000000"/>
          <w:sz w:val="24"/>
          <w:szCs w:val="24"/>
          <w:lang w:eastAsia="en-GB"/>
        </w:rPr>
        <w:t>Lykken</w:t>
      </w:r>
      <w:proofErr w:type="spellEnd"/>
      <w:r w:rsidRPr="00E055B1">
        <w:rPr>
          <w:rFonts w:ascii="Times New Roman" w:eastAsia="Times New Roman" w:hAnsi="Times New Roman" w:cs="Times New Roman"/>
          <w:color w:val="000000"/>
          <w:sz w:val="24"/>
          <w:szCs w:val="24"/>
          <w:lang w:eastAsia="en-GB"/>
        </w:rPr>
        <w:t xml:space="preserve">, D. T., Bouchard, T. J., Wilcox, K. J., Segal, N. L., &amp; Rich, S. (1988). Personality Similarity in Twins Reared Apart and Together. </w:t>
      </w:r>
      <w:r w:rsidRPr="00E055B1">
        <w:rPr>
          <w:rFonts w:ascii="Times New Roman" w:eastAsia="Times New Roman" w:hAnsi="Times New Roman" w:cs="Times New Roman"/>
          <w:i/>
          <w:iCs/>
          <w:color w:val="000000"/>
          <w:sz w:val="24"/>
          <w:szCs w:val="24"/>
          <w:lang w:eastAsia="en-GB"/>
        </w:rPr>
        <w:t>Journal of Personality and Social Psychology</w:t>
      </w:r>
      <w:r w:rsidRPr="00E055B1">
        <w:rPr>
          <w:rFonts w:ascii="Times New Roman" w:eastAsia="Times New Roman" w:hAnsi="Times New Roman" w:cs="Times New Roman"/>
          <w:color w:val="000000"/>
          <w:sz w:val="24"/>
          <w:szCs w:val="24"/>
          <w:lang w:eastAsia="en-GB"/>
        </w:rPr>
        <w:t xml:space="preserve">, </w:t>
      </w:r>
      <w:r w:rsidRPr="00E055B1">
        <w:rPr>
          <w:rFonts w:ascii="Times New Roman" w:eastAsia="Times New Roman" w:hAnsi="Times New Roman" w:cs="Times New Roman"/>
          <w:i/>
          <w:iCs/>
          <w:color w:val="000000"/>
          <w:sz w:val="24"/>
          <w:szCs w:val="24"/>
          <w:lang w:eastAsia="en-GB"/>
        </w:rPr>
        <w:t>54</w:t>
      </w:r>
      <w:r w:rsidRPr="00E055B1">
        <w:rPr>
          <w:rFonts w:ascii="Times New Roman" w:eastAsia="Times New Roman" w:hAnsi="Times New Roman" w:cs="Times New Roman"/>
          <w:color w:val="000000"/>
          <w:sz w:val="24"/>
          <w:szCs w:val="24"/>
          <w:lang w:eastAsia="en-GB"/>
        </w:rPr>
        <w:t xml:space="preserve">(No. 6), 1031-1039. </w:t>
      </w:r>
      <w:hyperlink r:id="rId12" w:history="1">
        <w:r w:rsidRPr="00E055B1">
          <w:rPr>
            <w:rFonts w:ascii="Times New Roman" w:eastAsia="Times New Roman" w:hAnsi="Times New Roman" w:cs="Times New Roman"/>
            <w:color w:val="000000"/>
            <w:sz w:val="24"/>
            <w:szCs w:val="24"/>
            <w:u w:val="single"/>
            <w:lang w:eastAsia="en-GB"/>
          </w:rPr>
          <w:t>http://psych.colorado.edu/~carey/pdfFiles/Personality_Tellegen.pdf</w:t>
        </w:r>
      </w:hyperlink>
    </w:p>
    <w:p w14:paraId="5EBF2679"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p>
    <w:p w14:paraId="6633EAB0" w14:textId="77777777" w:rsidR="00E055B1" w:rsidRPr="00E055B1" w:rsidRDefault="00E055B1" w:rsidP="00E055B1">
      <w:pPr>
        <w:spacing w:after="0" w:line="360" w:lineRule="auto"/>
        <w:rPr>
          <w:rFonts w:ascii="Times New Roman" w:eastAsia="Times New Roman" w:hAnsi="Times New Roman" w:cs="Times New Roman"/>
          <w:sz w:val="24"/>
          <w:szCs w:val="24"/>
          <w:lang w:eastAsia="en-GB"/>
        </w:rPr>
      </w:pPr>
      <w:r w:rsidRPr="00E055B1">
        <w:rPr>
          <w:rFonts w:ascii="Times New Roman" w:eastAsia="Times New Roman" w:hAnsi="Times New Roman" w:cs="Times New Roman"/>
          <w:color w:val="000000"/>
          <w:sz w:val="24"/>
          <w:szCs w:val="24"/>
          <w:lang w:eastAsia="en-GB"/>
        </w:rPr>
        <w:t xml:space="preserve">Watson, J. B., &amp; Rayner Watson, R. (1921). Studies in Infant Psychology. </w:t>
      </w:r>
      <w:r w:rsidRPr="00E055B1">
        <w:rPr>
          <w:rFonts w:ascii="Times New Roman" w:eastAsia="Times New Roman" w:hAnsi="Times New Roman" w:cs="Times New Roman"/>
          <w:i/>
          <w:iCs/>
          <w:color w:val="000000"/>
          <w:sz w:val="24"/>
          <w:szCs w:val="24"/>
          <w:lang w:eastAsia="en-GB"/>
        </w:rPr>
        <w:t>The Scientific Monthly</w:t>
      </w:r>
      <w:r w:rsidRPr="00E055B1">
        <w:rPr>
          <w:rFonts w:ascii="Times New Roman" w:eastAsia="Times New Roman" w:hAnsi="Times New Roman" w:cs="Times New Roman"/>
          <w:color w:val="000000"/>
          <w:sz w:val="24"/>
          <w:szCs w:val="24"/>
          <w:lang w:eastAsia="en-GB"/>
        </w:rPr>
        <w:t xml:space="preserve">, </w:t>
      </w:r>
      <w:r w:rsidRPr="00E055B1">
        <w:rPr>
          <w:rFonts w:ascii="Times New Roman" w:eastAsia="Times New Roman" w:hAnsi="Times New Roman" w:cs="Times New Roman"/>
          <w:i/>
          <w:iCs/>
          <w:color w:val="000000"/>
          <w:sz w:val="24"/>
          <w:szCs w:val="24"/>
          <w:lang w:eastAsia="en-GB"/>
        </w:rPr>
        <w:t>13</w:t>
      </w:r>
      <w:r w:rsidRPr="00E055B1">
        <w:rPr>
          <w:rFonts w:ascii="Times New Roman" w:eastAsia="Times New Roman" w:hAnsi="Times New Roman" w:cs="Times New Roman"/>
          <w:color w:val="000000"/>
          <w:sz w:val="24"/>
          <w:szCs w:val="24"/>
          <w:lang w:eastAsia="en-GB"/>
        </w:rPr>
        <w:t xml:space="preserve">(No. 6), 493-515. </w:t>
      </w:r>
      <w:hyperlink r:id="rId13" w:history="1">
        <w:r w:rsidRPr="00E055B1">
          <w:rPr>
            <w:rFonts w:ascii="Times New Roman" w:eastAsia="Times New Roman" w:hAnsi="Times New Roman" w:cs="Times New Roman"/>
            <w:color w:val="000000"/>
            <w:sz w:val="24"/>
            <w:szCs w:val="24"/>
            <w:u w:val="single"/>
            <w:lang w:eastAsia="en-GB"/>
          </w:rPr>
          <w:t>https://www.jstor.org/stable/pdf/6535.pdf</w:t>
        </w:r>
      </w:hyperlink>
      <w:r w:rsidRPr="00E055B1">
        <w:rPr>
          <w:rFonts w:ascii="Times New Roman" w:eastAsia="Times New Roman" w:hAnsi="Times New Roman" w:cs="Times New Roman"/>
          <w:color w:val="000000"/>
          <w:sz w:val="24"/>
          <w:szCs w:val="24"/>
          <w:lang w:eastAsia="en-GB"/>
        </w:rPr>
        <w:t> </w:t>
      </w:r>
    </w:p>
    <w:p w14:paraId="3B654158" w14:textId="77777777" w:rsidR="0017411E" w:rsidRPr="00E055B1" w:rsidRDefault="0017411E" w:rsidP="00E055B1">
      <w:pPr>
        <w:spacing w:line="360" w:lineRule="auto"/>
        <w:rPr>
          <w:rFonts w:ascii="Times New Roman" w:hAnsi="Times New Roman" w:cs="Times New Roman"/>
        </w:rPr>
      </w:pPr>
    </w:p>
    <w:sectPr w:rsidR="0017411E" w:rsidRPr="00E05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B1"/>
    <w:rsid w:val="0017411E"/>
    <w:rsid w:val="00E0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4CCC3"/>
  <w15:chartTrackingRefBased/>
  <w15:docId w15:val="{D7B004D6-8DFD-4A5C-8789-22E06203A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55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E055B1"/>
  </w:style>
  <w:style w:type="character" w:styleId="Hyperlink">
    <w:name w:val="Hyperlink"/>
    <w:basedOn w:val="DefaultParagraphFont"/>
    <w:uiPriority w:val="99"/>
    <w:semiHidden/>
    <w:unhideWhenUsed/>
    <w:rsid w:val="00E055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16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08899/mod_resource/content/1/behaviourist%20approach%202018.pdf" TargetMode="External"/><Relationship Id="rId13" Type="http://schemas.openxmlformats.org/officeDocument/2006/relationships/hyperlink" Target="https://www.jstor.org/stable/pdf/6535.pdf" TargetMode="External"/><Relationship Id="rId3" Type="http://schemas.openxmlformats.org/officeDocument/2006/relationships/webSettings" Target="webSettings.xml"/><Relationship Id="rId7" Type="http://schemas.openxmlformats.org/officeDocument/2006/relationships/hyperlink" Target="https://moodle.uwtsd.ac.uk/pluginfile.php/514488/mod_resource/content/1/Biological%20approach%202020.pdf" TargetMode="External"/><Relationship Id="rId12" Type="http://schemas.openxmlformats.org/officeDocument/2006/relationships/hyperlink" Target="http://psych.colorado.edu/~carey/pdfFiles/Personality_Telleg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rofile/Ansted-Joseph/publication/341515096_Social_Media_as_a_Brand_Communication_Tool_for_Global_Brands_in_Emerging_Markets_An_Indian_Perspective/links/5ec52332a6fdcc90d68635e2/Social-Media-as-a-Brand-Communication-Tool-for-Gl" TargetMode="External"/><Relationship Id="rId11" Type="http://schemas.openxmlformats.org/officeDocument/2006/relationships/hyperlink" Target="https://beccareid.wordpress.com/2011/03/09/examining-nature-vs-nurture-through-genie/" TargetMode="External"/><Relationship Id="rId5" Type="http://schemas.openxmlformats.org/officeDocument/2006/relationships/hyperlink" Target="https://www.cambridge.org/core/services/aop-cambridge-core/content/view/BA6FEA07B80BE35372256C141D024DFB/S0007125000118355a.pdf/anorexia-nervosa-a-study-of-34-twin-pairs-and-one-set-of-triplets.pdf" TargetMode="External"/><Relationship Id="rId15" Type="http://schemas.openxmlformats.org/officeDocument/2006/relationships/theme" Target="theme/theme1.xml"/><Relationship Id="rId10" Type="http://schemas.openxmlformats.org/officeDocument/2006/relationships/hyperlink" Target="https://ivypanda.com/essays/nature-v-s-nurture-in-human-behaviour-development/" TargetMode="External"/><Relationship Id="rId4" Type="http://schemas.openxmlformats.org/officeDocument/2006/relationships/hyperlink" Target="https://www.psychiatrist.com/wp-content/uploads/2021/02/11209_biological-basis-generalized-anxiety-disorder.pdf" TargetMode="External"/><Relationship Id="rId9" Type="http://schemas.openxmlformats.org/officeDocument/2006/relationships/hyperlink" Target="https://moodle.uwtsd.ac.uk/pluginfile.php/443799/mod_resource/content/1/genes%20environment%20202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2876</Words>
  <Characters>16396</Characters>
  <Application>Microsoft Office Word</Application>
  <DocSecurity>0</DocSecurity>
  <Lines>136</Lines>
  <Paragraphs>38</Paragraphs>
  <ScaleCrop>false</ScaleCrop>
  <Company/>
  <LinksUpToDate>false</LinksUpToDate>
  <CharactersWithSpaces>19234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Louise Davies</dc:creator>
  <cp:keywords/>
  <dc:description/>
  <cp:lastModifiedBy>Georgia Louise Davies</cp:lastModifiedBy>
  <cp:revision>1</cp:revision>
  <dcterms:created xsi:type="dcterms:W3CDTF">2021-11-26T10:03:00Z</dcterms:created>
  <dcterms:modified xsi:type="dcterms:W3CDTF">2021-11-26T10:04:00Z</dcterms:modified>
</cp:coreProperties>
</file>