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7C235" w14:textId="77777777" w:rsidR="00B674DD" w:rsidRDefault="00B674DD" w:rsidP="004966AF">
      <w:pPr>
        <w:spacing w:line="480" w:lineRule="auto"/>
        <w:rPr>
          <w:b/>
          <w:bCs/>
          <w:u w:val="single"/>
        </w:rPr>
      </w:pPr>
    </w:p>
    <w:p w14:paraId="49E11F6E" w14:textId="3FA666AD" w:rsidR="00B674DD" w:rsidRDefault="00E037EC" w:rsidP="004966AF">
      <w:pPr>
        <w:spacing w:line="480" w:lineRule="auto"/>
        <w:jc w:val="center"/>
      </w:pPr>
      <w:r>
        <w:fldChar w:fldCharType="begin"/>
      </w:r>
      <w:r>
        <w:instrText xml:space="preserve"> INCLUDEPICTURE "/Users/Caitlin/Library/Group Containers/UBF8T346G9.ms/WebArchiveCopyPasteTempFiles/com.microsoft.Word/hzH32Pl5AAAAAElFTkSuQmCC" \* MERGEFORMATINET </w:instrText>
      </w:r>
      <w:r>
        <w:fldChar w:fldCharType="separate"/>
      </w:r>
      <w:r>
        <w:rPr>
          <w:noProof/>
        </w:rPr>
        <w:drawing>
          <wp:inline distT="0" distB="0" distL="0" distR="0" wp14:anchorId="29612DA1" wp14:editId="1538D093">
            <wp:extent cx="4280535" cy="1899285"/>
            <wp:effectExtent l="0" t="0" r="0" b="5715"/>
            <wp:docPr id="174366624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59"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0535" cy="1899285"/>
                    </a:xfrm>
                    <a:prstGeom prst="rect">
                      <a:avLst/>
                    </a:prstGeom>
                    <a:noFill/>
                    <a:ln>
                      <a:noFill/>
                    </a:ln>
                  </pic:spPr>
                </pic:pic>
              </a:graphicData>
            </a:graphic>
          </wp:inline>
        </w:drawing>
      </w:r>
      <w:r>
        <w:fldChar w:fldCharType="end"/>
      </w:r>
    </w:p>
    <w:p w14:paraId="11DEA19A" w14:textId="77777777" w:rsidR="00E037EC" w:rsidRDefault="00E037EC" w:rsidP="004966AF">
      <w:pPr>
        <w:spacing w:line="480" w:lineRule="auto"/>
        <w:jc w:val="center"/>
      </w:pPr>
    </w:p>
    <w:p w14:paraId="38C55771" w14:textId="77777777" w:rsidR="00E037EC" w:rsidRPr="00E037EC" w:rsidRDefault="00E037EC" w:rsidP="004966AF">
      <w:pPr>
        <w:spacing w:line="480" w:lineRule="auto"/>
        <w:jc w:val="center"/>
        <w:rPr>
          <w:b/>
          <w:bCs/>
          <w:sz w:val="36"/>
          <w:szCs w:val="36"/>
        </w:rPr>
      </w:pPr>
    </w:p>
    <w:p w14:paraId="2FE3C6EB" w14:textId="362E7201" w:rsidR="00B674DD" w:rsidRDefault="00E037EC" w:rsidP="004966AF">
      <w:pPr>
        <w:spacing w:line="480" w:lineRule="auto"/>
        <w:jc w:val="center"/>
        <w:rPr>
          <w:sz w:val="36"/>
          <w:szCs w:val="36"/>
        </w:rPr>
      </w:pPr>
      <w:r w:rsidRPr="00E037EC">
        <w:rPr>
          <w:sz w:val="36"/>
          <w:szCs w:val="36"/>
        </w:rPr>
        <w:t>Research Title: E</w:t>
      </w:r>
      <w:r w:rsidRPr="00E037EC">
        <w:rPr>
          <w:sz w:val="36"/>
          <w:szCs w:val="36"/>
        </w:rPr>
        <w:t>xplor</w:t>
      </w:r>
      <w:r w:rsidRPr="00E037EC">
        <w:rPr>
          <w:sz w:val="36"/>
          <w:szCs w:val="36"/>
        </w:rPr>
        <w:t>ing</w:t>
      </w:r>
      <w:r w:rsidRPr="00E037EC">
        <w:rPr>
          <w:sz w:val="36"/>
          <w:szCs w:val="36"/>
        </w:rPr>
        <w:t xml:space="preserve"> the effects of choice and challenge on learner academic motivation in Year 3.</w:t>
      </w:r>
    </w:p>
    <w:p w14:paraId="1B40EB4A" w14:textId="77777777" w:rsidR="00E037EC" w:rsidRDefault="00E037EC" w:rsidP="004966AF">
      <w:pPr>
        <w:spacing w:line="480" w:lineRule="auto"/>
        <w:jc w:val="center"/>
        <w:rPr>
          <w:sz w:val="36"/>
          <w:szCs w:val="36"/>
        </w:rPr>
      </w:pPr>
    </w:p>
    <w:p w14:paraId="170AEFCC" w14:textId="07EFBB4B" w:rsidR="00E037EC" w:rsidRDefault="00E037EC" w:rsidP="004966AF">
      <w:pPr>
        <w:spacing w:line="480" w:lineRule="auto"/>
        <w:jc w:val="center"/>
        <w:rPr>
          <w:sz w:val="36"/>
          <w:szCs w:val="36"/>
        </w:rPr>
      </w:pPr>
      <w:r>
        <w:rPr>
          <w:sz w:val="36"/>
          <w:szCs w:val="36"/>
        </w:rPr>
        <w:t xml:space="preserve">Word Count: </w:t>
      </w:r>
      <w:r w:rsidR="00BD1BB1">
        <w:rPr>
          <w:sz w:val="36"/>
          <w:szCs w:val="36"/>
        </w:rPr>
        <w:t>4657</w:t>
      </w:r>
    </w:p>
    <w:p w14:paraId="2499FDCA" w14:textId="77777777" w:rsidR="00E037EC" w:rsidRDefault="00E037EC" w:rsidP="004966AF">
      <w:pPr>
        <w:spacing w:line="480" w:lineRule="auto"/>
        <w:jc w:val="center"/>
        <w:rPr>
          <w:sz w:val="36"/>
          <w:szCs w:val="36"/>
        </w:rPr>
      </w:pPr>
    </w:p>
    <w:p w14:paraId="0AD48064" w14:textId="77777777" w:rsidR="00E037EC" w:rsidRDefault="00E037EC" w:rsidP="00BD1BB1">
      <w:pPr>
        <w:spacing w:line="480" w:lineRule="auto"/>
        <w:rPr>
          <w:sz w:val="36"/>
          <w:szCs w:val="36"/>
        </w:rPr>
      </w:pPr>
    </w:p>
    <w:p w14:paraId="23607E07" w14:textId="4FA9ED83" w:rsidR="00E037EC" w:rsidRDefault="00E037EC" w:rsidP="004966AF">
      <w:pPr>
        <w:spacing w:line="480" w:lineRule="auto"/>
        <w:jc w:val="center"/>
        <w:rPr>
          <w:sz w:val="36"/>
          <w:szCs w:val="36"/>
        </w:rPr>
      </w:pPr>
      <w:r>
        <w:rPr>
          <w:sz w:val="36"/>
          <w:szCs w:val="36"/>
        </w:rPr>
        <w:t>7</w:t>
      </w:r>
      <w:r w:rsidRPr="00E037EC">
        <w:rPr>
          <w:sz w:val="36"/>
          <w:szCs w:val="36"/>
          <w:vertAlign w:val="superscript"/>
        </w:rPr>
        <w:t>th</w:t>
      </w:r>
      <w:r>
        <w:rPr>
          <w:sz w:val="36"/>
          <w:szCs w:val="36"/>
        </w:rPr>
        <w:t xml:space="preserve"> May 2024</w:t>
      </w:r>
    </w:p>
    <w:p w14:paraId="1A9BBCA1" w14:textId="77777777" w:rsidR="00E037EC" w:rsidRDefault="00E037EC" w:rsidP="004966AF">
      <w:pPr>
        <w:spacing w:line="480" w:lineRule="auto"/>
        <w:jc w:val="center"/>
        <w:rPr>
          <w:sz w:val="36"/>
          <w:szCs w:val="36"/>
        </w:rPr>
      </w:pPr>
    </w:p>
    <w:p w14:paraId="706995DC" w14:textId="77777777" w:rsidR="004966AF" w:rsidRDefault="004966AF" w:rsidP="004966AF">
      <w:pPr>
        <w:spacing w:line="480" w:lineRule="auto"/>
        <w:rPr>
          <w:sz w:val="36"/>
          <w:szCs w:val="36"/>
        </w:rPr>
      </w:pPr>
    </w:p>
    <w:p w14:paraId="4E9FD28C" w14:textId="77777777" w:rsidR="004966AF" w:rsidRDefault="004966AF" w:rsidP="004966AF">
      <w:pPr>
        <w:spacing w:line="480" w:lineRule="auto"/>
        <w:rPr>
          <w:sz w:val="36"/>
          <w:szCs w:val="36"/>
        </w:rPr>
      </w:pPr>
    </w:p>
    <w:p w14:paraId="3676A694" w14:textId="7CA7DB95" w:rsidR="00AD6A96" w:rsidRDefault="00AD6A96" w:rsidP="004966AF">
      <w:pPr>
        <w:spacing w:line="480" w:lineRule="auto"/>
        <w:rPr>
          <w:b/>
          <w:bCs/>
          <w:u w:val="single"/>
        </w:rPr>
      </w:pPr>
      <w:r w:rsidRPr="00AD6A96">
        <w:rPr>
          <w:b/>
          <w:bCs/>
          <w:u w:val="single"/>
        </w:rPr>
        <w:lastRenderedPageBreak/>
        <w:t>Aim, focus and purpose of the research</w:t>
      </w:r>
    </w:p>
    <w:p w14:paraId="17631EB6" w14:textId="77777777" w:rsidR="00AD6A96" w:rsidRPr="00AD6A96" w:rsidRDefault="00AD6A96" w:rsidP="004966AF">
      <w:pPr>
        <w:spacing w:line="480" w:lineRule="auto"/>
        <w:rPr>
          <w:b/>
          <w:bCs/>
          <w:u w:val="single"/>
        </w:rPr>
      </w:pPr>
    </w:p>
    <w:p w14:paraId="2801BEB5" w14:textId="70ECF279" w:rsidR="00E219FA" w:rsidRDefault="00AD6A96" w:rsidP="004966AF">
      <w:pPr>
        <w:spacing w:line="480" w:lineRule="auto"/>
      </w:pPr>
      <w:r>
        <w:t>Within this project</w:t>
      </w:r>
      <w:r w:rsidR="007C175D">
        <w:t>,</w:t>
      </w:r>
      <w:r>
        <w:t xml:space="preserve"> I </w:t>
      </w:r>
      <w:r w:rsidR="00A53F3C">
        <w:t xml:space="preserve">intended </w:t>
      </w:r>
      <w:r>
        <w:t xml:space="preserve">to examine the impact </w:t>
      </w:r>
      <w:r w:rsidR="007C175D">
        <w:t xml:space="preserve">that </w:t>
      </w:r>
      <w:r>
        <w:t>giving learners choice about the level of challenge they receive has on their perceptions of their own ability, and their motivation to achieve. Within my own experiences and after conducting research in the area</w:t>
      </w:r>
      <w:r w:rsidR="00E41A90">
        <w:t>, many classrooms still make use of ability grouping which has been proven to cause deleterious effects on learner confidence and motivation to achieve.</w:t>
      </w:r>
      <w:r w:rsidR="006E203E">
        <w:t xml:space="preserve"> </w:t>
      </w:r>
      <w:r w:rsidR="00A53F3C">
        <w:t xml:space="preserve">Gaining an understanding of learner’s perceptions of choice </w:t>
      </w:r>
      <w:r w:rsidR="00D21021">
        <w:t>and</w:t>
      </w:r>
      <w:r w:rsidR="00A53F3C">
        <w:t xml:space="preserve"> challenge could be insightful for future practice as current literature highlights negative outcomes of ability grouping in later academic achievement and self-concepts. </w:t>
      </w:r>
      <w:r w:rsidR="006E203E">
        <w:t xml:space="preserve">This area of research has links to several strands within the Teaching Standards outlined by the Welsh government surrounding </w:t>
      </w:r>
      <w:r w:rsidR="00FC620E">
        <w:t>Pedagogy:</w:t>
      </w:r>
      <w:r w:rsidR="006E203E">
        <w:t xml:space="preserve"> including ‘differentiation’, ‘challenge and expectations</w:t>
      </w:r>
      <w:r w:rsidR="00FC620E">
        <w:t>’ ‘</w:t>
      </w:r>
      <w:r w:rsidR="006E203E">
        <w:t xml:space="preserve">listening to learners’, and ‘sustained effort and resilience in </w:t>
      </w:r>
      <w:r w:rsidR="00FC620E">
        <w:t>learners</w:t>
      </w:r>
      <w:r w:rsidR="006E203E">
        <w:t>.</w:t>
      </w:r>
      <w:r w:rsidR="00A53F3C">
        <w:t xml:space="preserve"> </w:t>
      </w:r>
    </w:p>
    <w:p w14:paraId="36054CF8" w14:textId="77777777" w:rsidR="00FC620E" w:rsidRDefault="00FC620E" w:rsidP="004966AF">
      <w:pPr>
        <w:spacing w:line="480" w:lineRule="auto"/>
      </w:pPr>
    </w:p>
    <w:p w14:paraId="3692787A" w14:textId="31430F6F" w:rsidR="00EA7C9A" w:rsidRDefault="00D946AE" w:rsidP="004966AF">
      <w:pPr>
        <w:spacing w:line="480" w:lineRule="auto"/>
      </w:pPr>
      <w:r>
        <w:t>The school is a</w:t>
      </w:r>
      <w:r w:rsidR="007C175D">
        <w:t xml:space="preserve"> small</w:t>
      </w:r>
      <w:r>
        <w:t xml:space="preserve">-sized school, with 220 pupils, from Nursery to Year 6. The school has two Specialist Teaching Facilities. </w:t>
      </w:r>
      <w:r w:rsidR="00EA7C9A">
        <w:t>The class in which the data was collected was a Year 3 class predominantly working at Progression Step 2, with 2</w:t>
      </w:r>
      <w:r w:rsidR="00A53F3C">
        <w:t>2</w:t>
      </w:r>
      <w:r w:rsidR="00EA7C9A">
        <w:t xml:space="preserve"> pupils. The class is female </w:t>
      </w:r>
      <w:r w:rsidR="007C175D">
        <w:t>dominant</w:t>
      </w:r>
      <w:r w:rsidR="00EA7C9A">
        <w:t xml:space="preserve"> with 1</w:t>
      </w:r>
      <w:r w:rsidR="00A53F3C">
        <w:t>5</w:t>
      </w:r>
      <w:r w:rsidR="00EA7C9A">
        <w:t xml:space="preserve"> females and 7 males. The class has regular access to two teaching assistants, a student teacher, and the class teacher. </w:t>
      </w:r>
    </w:p>
    <w:p w14:paraId="05C894B7" w14:textId="77777777" w:rsidR="00883CAF" w:rsidRDefault="00883CAF" w:rsidP="004966AF">
      <w:pPr>
        <w:spacing w:line="480" w:lineRule="auto"/>
      </w:pPr>
    </w:p>
    <w:p w14:paraId="082C3D77" w14:textId="30B25545" w:rsidR="00A53F3C" w:rsidRDefault="00A53F3C" w:rsidP="004966AF">
      <w:pPr>
        <w:spacing w:line="480" w:lineRule="auto"/>
      </w:pPr>
      <w:r w:rsidRPr="00AD6A96">
        <w:t>The aim of this resea</w:t>
      </w:r>
      <w:r>
        <w:t>r</w:t>
      </w:r>
      <w:r w:rsidRPr="00AD6A96">
        <w:t xml:space="preserve">ch project is to explore the effects of choice </w:t>
      </w:r>
      <w:r w:rsidR="00D21021">
        <w:t>and</w:t>
      </w:r>
      <w:r w:rsidRPr="00AD6A96">
        <w:t xml:space="preserve"> challenge on learner academic motivation in Year 3.</w:t>
      </w:r>
    </w:p>
    <w:p w14:paraId="54A00FFE" w14:textId="77777777" w:rsidR="00AD6A96" w:rsidRDefault="00AD6A96" w:rsidP="004966AF">
      <w:pPr>
        <w:spacing w:line="480" w:lineRule="auto"/>
      </w:pPr>
    </w:p>
    <w:p w14:paraId="640503F9" w14:textId="77777777" w:rsidR="004966AF" w:rsidRDefault="004966AF" w:rsidP="004966AF">
      <w:pPr>
        <w:spacing w:line="480" w:lineRule="auto"/>
      </w:pPr>
    </w:p>
    <w:p w14:paraId="59A62C39" w14:textId="07DA3402" w:rsidR="00AD6A96" w:rsidRDefault="00AD6A96" w:rsidP="004966AF">
      <w:pPr>
        <w:spacing w:line="480" w:lineRule="auto"/>
        <w:rPr>
          <w:b/>
          <w:bCs/>
          <w:u w:val="single"/>
        </w:rPr>
      </w:pPr>
      <w:r w:rsidRPr="00AD6A96">
        <w:rPr>
          <w:b/>
          <w:bCs/>
          <w:u w:val="single"/>
        </w:rPr>
        <w:lastRenderedPageBreak/>
        <w:t>Overview of relevant literature</w:t>
      </w:r>
    </w:p>
    <w:p w14:paraId="0A96D3F0" w14:textId="77777777" w:rsidR="00A53F3C" w:rsidRDefault="00A53F3C" w:rsidP="004966AF">
      <w:pPr>
        <w:spacing w:line="480" w:lineRule="auto"/>
        <w:rPr>
          <w:b/>
          <w:bCs/>
          <w:u w:val="single"/>
        </w:rPr>
      </w:pPr>
    </w:p>
    <w:p w14:paraId="2FD9B8BE" w14:textId="5202B10D" w:rsidR="00B01B63" w:rsidRDefault="00B01B63" w:rsidP="004966AF">
      <w:pPr>
        <w:spacing w:line="480" w:lineRule="auto"/>
      </w:pPr>
      <w:r>
        <w:t xml:space="preserve">The concept of ‘choice </w:t>
      </w:r>
      <w:r w:rsidR="00D21021">
        <w:t>and</w:t>
      </w:r>
      <w:r>
        <w:t xml:space="preserve"> challenge’ in pedagogy challenges traditional notions of fixed abilities among learners (Hart, Dixon, </w:t>
      </w:r>
      <w:proofErr w:type="spellStart"/>
      <w:r>
        <w:t>Drummons</w:t>
      </w:r>
      <w:proofErr w:type="spellEnd"/>
      <w:r>
        <w:t xml:space="preserve"> &amp; McIntyre, 2004). It involves offering students a variety of activities with differing levels of difficulty, empowering them to select tasks independently (Bragg, 2016). This approach aims to move away from ability grouping, where students are placed in predetermined groups without choice, which has been a long-standing practice in many classrooms (O</w:t>
      </w:r>
      <w:r w:rsidR="000D32B0">
        <w:t>ffice for Standards in Education</w:t>
      </w:r>
      <w:r>
        <w:t>, 1994).</w:t>
      </w:r>
      <w:r w:rsidR="00EC77FF">
        <w:t xml:space="preserve"> Bloom’s (1956) taxonomy of learning explains the way in which a child might approach a challenge, </w:t>
      </w:r>
      <w:r w:rsidR="007C175D">
        <w:t xml:space="preserve">using </w:t>
      </w:r>
      <w:r w:rsidR="00EC77FF">
        <w:t xml:space="preserve">knowledge/application/extracting information and analysis/synthesis/evaluation, a more creative approach, drawing comparisons. </w:t>
      </w:r>
      <w:r w:rsidR="00D21021">
        <w:t>Bragg (2016) argues that Bloom does not suggest that learners who find the learning more challenging should not be confined to the former operations</w:t>
      </w:r>
      <w:r w:rsidR="00EF1D52">
        <w:t xml:space="preserve"> but rather </w:t>
      </w:r>
      <w:r w:rsidR="00D21021">
        <w:t>should get to experience the joy and creativity of the latter</w:t>
      </w:r>
      <w:r w:rsidR="00EF1D52">
        <w:t xml:space="preserve"> also.</w:t>
      </w:r>
      <w:r w:rsidR="00D21021">
        <w:t xml:space="preserve"> A practical example of this alternative to fixed ability grouping is explored in a case study at Wroxham School, led by headteacher Alison Peacock. This approach aims to personalise challenges as opposed to traditional </w:t>
      </w:r>
      <w:r w:rsidR="00EF1D52">
        <w:t>ability setting</w:t>
      </w:r>
      <w:r w:rsidR="00D21021">
        <w:t>. The research project funded by the Department for Education investigated how ‘Choice and Challenge’ was implemented in six primary schools, offering insights into its effectiveness</w:t>
      </w:r>
      <w:r w:rsidR="00EF1D52">
        <w:t xml:space="preserve">. </w:t>
      </w:r>
      <w:r w:rsidR="00D21021">
        <w:t xml:space="preserve">Whilst not offering conclusive evidence, the research contributes to ongoing discussions about improving education and promoting fairness. </w:t>
      </w:r>
      <w:r w:rsidR="005E15A4">
        <w:t xml:space="preserve">Despite the challenges associated with ability grouping, its prevalence in classrooms persists. Matthews, </w:t>
      </w:r>
      <w:proofErr w:type="spellStart"/>
      <w:r w:rsidR="005E15A4">
        <w:t>Ritchotte</w:t>
      </w:r>
      <w:proofErr w:type="spellEnd"/>
      <w:r w:rsidR="005E15A4">
        <w:t xml:space="preserve"> and </w:t>
      </w:r>
      <w:proofErr w:type="spellStart"/>
      <w:r w:rsidR="005E15A4">
        <w:t>McBee</w:t>
      </w:r>
      <w:proofErr w:type="spellEnd"/>
      <w:r w:rsidR="005E15A4">
        <w:t xml:space="preserve"> (2013) found that school-wide ability grouping positively influenced mathematics performance but had no bearing on that of reading. </w:t>
      </w:r>
      <w:proofErr w:type="spellStart"/>
      <w:r w:rsidR="005E15A4">
        <w:t>Steenburg</w:t>
      </w:r>
      <w:proofErr w:type="spellEnd"/>
      <w:r w:rsidR="005E15A4">
        <w:t xml:space="preserve">-Hu, </w:t>
      </w:r>
      <w:proofErr w:type="spellStart"/>
      <w:r w:rsidR="005E15A4">
        <w:t>Makel</w:t>
      </w:r>
      <w:proofErr w:type="spellEnd"/>
      <w:r w:rsidR="005E15A4">
        <w:t xml:space="preserve"> and </w:t>
      </w:r>
      <w:r w:rsidR="005E15A4">
        <w:lastRenderedPageBreak/>
        <w:t>Olszewski-</w:t>
      </w:r>
      <w:proofErr w:type="spellStart"/>
      <w:r w:rsidR="005E15A4">
        <w:t>Kubilius</w:t>
      </w:r>
      <w:proofErr w:type="spellEnd"/>
      <w:r w:rsidR="005E15A4">
        <w:t xml:space="preserve"> (2016) </w:t>
      </w:r>
      <w:r w:rsidR="007C175D">
        <w:t>synthesised</w:t>
      </w:r>
      <w:r w:rsidR="005E15A4">
        <w:t xml:space="preserve"> a century of research, finding varying effects across different grouping methods. While within-class grouping, cross year-group grouping, and special grouping for more able students demonstrated benefits, between-class grouping showed no advantage. </w:t>
      </w:r>
      <w:proofErr w:type="spellStart"/>
      <w:r w:rsidR="005E15A4">
        <w:t>McGillicuddy</w:t>
      </w:r>
      <w:proofErr w:type="spellEnd"/>
      <w:r w:rsidR="005E15A4">
        <w:t xml:space="preserve"> and Devine (2018) suggest teacher experience and engagement in professional development can influence the effectiveness of ability grouping practices. However, it is essential to consider the long-term consequences and potential harm to students’ academic and socioemotional development when implementing such strategies. </w:t>
      </w:r>
    </w:p>
    <w:p w14:paraId="433D66C9" w14:textId="77777777" w:rsidR="00D21021" w:rsidRDefault="00D21021" w:rsidP="004966AF">
      <w:pPr>
        <w:spacing w:line="480" w:lineRule="auto"/>
      </w:pPr>
    </w:p>
    <w:p w14:paraId="5F48E646" w14:textId="16EB4E31" w:rsidR="005B35EF" w:rsidRDefault="00B01B63" w:rsidP="004966AF">
      <w:pPr>
        <w:spacing w:line="480" w:lineRule="auto"/>
      </w:pPr>
      <w:r>
        <w:t xml:space="preserve">Choice </w:t>
      </w:r>
      <w:r w:rsidR="00D21021">
        <w:t xml:space="preserve">and </w:t>
      </w:r>
      <w:r>
        <w:t xml:space="preserve">challenge </w:t>
      </w:r>
      <w:r w:rsidR="00C12460">
        <w:t xml:space="preserve">promote </w:t>
      </w:r>
      <w:r>
        <w:t>autonomy in learners and rejects the notion of labelling students based on perceived abilities (Hart</w:t>
      </w:r>
      <w:r w:rsidR="00355652">
        <w:t xml:space="preserve">, Dixon, Drummond and </w:t>
      </w:r>
      <w:proofErr w:type="spellStart"/>
      <w:r w:rsidR="00355652">
        <w:t>McIntrye</w:t>
      </w:r>
      <w:proofErr w:type="spellEnd"/>
      <w:r>
        <w:t xml:space="preserve">, 2004; Bragg, 2016). By allowing students to select activities aligned with their perceived abilities, it fosters a sense of agency in their learning process. Contrary to the principles of choice </w:t>
      </w:r>
      <w:r w:rsidR="00D21021">
        <w:t>and</w:t>
      </w:r>
      <w:r>
        <w:t xml:space="preserve"> challenge, ability grouping has been a prevalent strategy in education, often aimed at improving academic performance (Hornby et al., 2011). </w:t>
      </w:r>
      <w:r w:rsidR="00EF1D52">
        <w:t>However, r</w:t>
      </w:r>
      <w:r>
        <w:t xml:space="preserve">esearch suggests that ability grouping may widen the attainment gap between students of different abilities (Schofield, 2010). </w:t>
      </w:r>
      <w:proofErr w:type="spellStart"/>
      <w:r w:rsidR="00D45BB8">
        <w:t>Gentrup</w:t>
      </w:r>
      <w:proofErr w:type="spellEnd"/>
      <w:r w:rsidR="00D45BB8">
        <w:t xml:space="preserve">, Lorenz, Kristen and </w:t>
      </w:r>
      <w:proofErr w:type="spellStart"/>
      <w:r w:rsidR="00D45BB8">
        <w:t>Kogen</w:t>
      </w:r>
      <w:proofErr w:type="spellEnd"/>
      <w:r w:rsidR="00D45BB8">
        <w:t xml:space="preserve"> (2020) discovered a link between teacher expectation and student learning, finding that inaccurately low teacher expectations were associated with lower achievement in reading. Such inaccuracies are thought to perpetuate negative perceptions of student abilities, ultimately impacting upon the learner’s self-concept. </w:t>
      </w:r>
      <w:r w:rsidR="00EF1D52">
        <w:t xml:space="preserve">With implementation of choice and challenge, the element of teacher perception is removed, and the learner is given the autonomy to decide their own abilities. </w:t>
      </w:r>
      <w:r w:rsidR="005E15A4">
        <w:t xml:space="preserve">The notion of self-concept, particularly in the context of learners, is evidenced to be significantly impacted by the educational </w:t>
      </w:r>
      <w:r w:rsidR="005E15A4">
        <w:lastRenderedPageBreak/>
        <w:t xml:space="preserve">practice of fixed ability grouping. A meta-analysis exploring the relationship between academic achievement and self-concept found that fixed-ability grouping may exacerbate self-concept discrepancies among students of varying academic strengths (Moller, </w:t>
      </w:r>
      <w:proofErr w:type="spellStart"/>
      <w:r w:rsidR="005E15A4">
        <w:t>Zitzmann</w:t>
      </w:r>
      <w:proofErr w:type="spellEnd"/>
      <w:r w:rsidR="005E15A4">
        <w:t xml:space="preserve">, Helm, and Wolff (2020). </w:t>
      </w:r>
      <w:proofErr w:type="spellStart"/>
      <w:r>
        <w:t>MacIntyre</w:t>
      </w:r>
      <w:proofErr w:type="spellEnd"/>
      <w:r>
        <w:t xml:space="preserve"> and Ireson (2013) highlight the negative impact of ability grouping on students’ self-concept, particularly when their perceived abilities do not align with their placement. </w:t>
      </w:r>
      <w:proofErr w:type="spellStart"/>
      <w:r>
        <w:t>Boliver</w:t>
      </w:r>
      <w:proofErr w:type="spellEnd"/>
      <w:r>
        <w:t xml:space="preserve"> and </w:t>
      </w:r>
      <w:proofErr w:type="spellStart"/>
      <w:r>
        <w:t>Capsada-Munsech’s</w:t>
      </w:r>
      <w:proofErr w:type="spellEnd"/>
      <w:r>
        <w:t xml:space="preserve"> (202</w:t>
      </w:r>
      <w:r w:rsidR="00A5258F">
        <w:t>3</w:t>
      </w:r>
      <w:r>
        <w:t xml:space="preserve">) study further demonstrates that students placed in lower ability groups are less likely to enjoy the subject, which can have long-term implications for their academic </w:t>
      </w:r>
      <w:r w:rsidR="00EF1D52">
        <w:t>motivation</w:t>
      </w:r>
      <w:r>
        <w:t xml:space="preserve"> and achievement. </w:t>
      </w:r>
      <w:proofErr w:type="spellStart"/>
      <w:r>
        <w:t>McGillicuddy</w:t>
      </w:r>
      <w:proofErr w:type="spellEnd"/>
      <w:r>
        <w:t xml:space="preserve"> and Devine (2018) argue that ability grouping can perpetuate inequalities, particularly for students from socioeconomically disadvantaged backgrounds. Additionally, Nomi (2009) found that schools employing ability grouping often serve marginalised populations, raising concerns about the perpetuation of inequities in education.</w:t>
      </w:r>
      <w:r w:rsidR="005B35EF">
        <w:t xml:space="preserve"> </w:t>
      </w:r>
      <w:r w:rsidR="00EF1D52">
        <w:t xml:space="preserve">These findings are consistent with learners with additional learning needs. Nguyen, </w:t>
      </w:r>
      <w:proofErr w:type="spellStart"/>
      <w:r w:rsidR="00EF1D52">
        <w:t>Ownsworth</w:t>
      </w:r>
      <w:proofErr w:type="spellEnd"/>
      <w:r w:rsidR="00EF1D52">
        <w:t xml:space="preserve">, Nicol and Zimmerman (2020) delved into the self-perceptions of learners with Autistic Spectrum Condition, highlighting the detrimental impact fixed ability grouping had on their self-esteem. This study reported significantly lower power and global self-esteem compared to typically developing individuals. This underscores the potentially damaging effects of such grouping, on student self-concept particularly among marginalised groups. </w:t>
      </w:r>
    </w:p>
    <w:p w14:paraId="52078F0A" w14:textId="77777777" w:rsidR="00D32C13" w:rsidRDefault="00D32C13" w:rsidP="004966AF">
      <w:pPr>
        <w:spacing w:line="480" w:lineRule="auto"/>
      </w:pPr>
    </w:p>
    <w:p w14:paraId="51952CEA" w14:textId="39BD4786" w:rsidR="005F3823" w:rsidRDefault="00D32C13" w:rsidP="004966AF">
      <w:pPr>
        <w:spacing w:line="480" w:lineRule="auto"/>
      </w:pPr>
      <w:r>
        <w:t xml:space="preserve">The choice and challenge approach offers a promising alternative to ability grouping, promoting autonomy and addressing the limitations of fixed ability labels. While ability grouping may initially seem beneficial for academic outcomes, its long-term effects on student engagement, particularly for marginalised groups, warrant careful </w:t>
      </w:r>
      <w:r>
        <w:lastRenderedPageBreak/>
        <w:t>consideration. Moving forward, educators must prioritise practices that empower all students to reach their full potential, regardless of perceived ability.</w:t>
      </w:r>
      <w:r w:rsidR="007C175D">
        <w:t xml:space="preserve"> </w:t>
      </w:r>
      <w:r w:rsidR="005F3823">
        <w:t xml:space="preserve">Research to date has demonstrated the links between academic motivation and its effect on academic achievement. </w:t>
      </w:r>
      <w:proofErr w:type="spellStart"/>
      <w:r>
        <w:t>Sivrikaya</w:t>
      </w:r>
      <w:proofErr w:type="spellEnd"/>
      <w:r>
        <w:t xml:space="preserve"> (2019) found that when learner academic motivation increases, learner academic outcomes also increase, even after controlling for sex and socioeconomic background. It can be assumed that an increase in learner motivation would be beneficial in terms of learner achievement, however the link between choice and challenge and learner motivation has yet to be determined. This study aims to bridge the gap in research and discover the impact of choice of challenge on learner motivation. </w:t>
      </w:r>
    </w:p>
    <w:p w14:paraId="033AC647" w14:textId="77777777" w:rsidR="003F6955" w:rsidRPr="005507CA" w:rsidRDefault="003F6955" w:rsidP="004966AF">
      <w:pPr>
        <w:spacing w:line="480" w:lineRule="auto"/>
      </w:pPr>
    </w:p>
    <w:p w14:paraId="3AC3FA05" w14:textId="3F9937CF" w:rsidR="00AD6A96" w:rsidRDefault="00E41A90" w:rsidP="004966AF">
      <w:pPr>
        <w:spacing w:line="480" w:lineRule="auto"/>
        <w:rPr>
          <w:b/>
          <w:bCs/>
          <w:u w:val="single"/>
        </w:rPr>
      </w:pPr>
      <w:r>
        <w:rPr>
          <w:b/>
          <w:bCs/>
          <w:u w:val="single"/>
        </w:rPr>
        <w:t>Explanation of Case Study</w:t>
      </w:r>
    </w:p>
    <w:p w14:paraId="590675B8" w14:textId="77777777" w:rsidR="00E41A90" w:rsidRDefault="00E41A90" w:rsidP="004966AF">
      <w:pPr>
        <w:spacing w:line="480" w:lineRule="auto"/>
        <w:rPr>
          <w:b/>
          <w:bCs/>
          <w:u w:val="single"/>
        </w:rPr>
      </w:pPr>
    </w:p>
    <w:p w14:paraId="13C77752" w14:textId="21118021" w:rsidR="000E1074" w:rsidRDefault="00D32C13" w:rsidP="004966AF">
      <w:pPr>
        <w:spacing w:line="480" w:lineRule="auto"/>
      </w:pPr>
      <w:r>
        <w:t>A case study is a research method which involves in-depth and detailed examination of a specific case, event, individual, group or situation</w:t>
      </w:r>
      <w:r w:rsidR="0021629F">
        <w:t xml:space="preserve"> (Zainal, 2007)</w:t>
      </w:r>
      <w:r>
        <w:t xml:space="preserve">. It is often used to gain a comprehensive understanding of a complex phenomenon within their real-life context. The present research is an exploratory case study, where the primary aim is to explore and understand a problem, often with little prior knowledge or theoretical framework. It’s more flexible and open-ended compared to other types of case studies, allowing researchers to uncover new insights and generate hypotheses for further investigation. </w:t>
      </w:r>
    </w:p>
    <w:p w14:paraId="7649662A" w14:textId="78F26D05" w:rsidR="00D32C13" w:rsidRDefault="00D32C13" w:rsidP="004966AF">
      <w:pPr>
        <w:spacing w:line="480" w:lineRule="auto"/>
      </w:pPr>
    </w:p>
    <w:p w14:paraId="3E42DC38" w14:textId="1740A26F" w:rsidR="00D32C13" w:rsidRDefault="00D32C13" w:rsidP="004966AF">
      <w:pPr>
        <w:spacing w:line="480" w:lineRule="auto"/>
      </w:pPr>
      <w:r>
        <w:t>The use of exploratory case studies benefits the researcher by providing rich and detailed data</w:t>
      </w:r>
      <w:r w:rsidR="00A60261">
        <w:t xml:space="preserve"> about the case under study, offering insights into its complexities and </w:t>
      </w:r>
      <w:r w:rsidR="00A60261">
        <w:lastRenderedPageBreak/>
        <w:t>nuances</w:t>
      </w:r>
      <w:r w:rsidR="00AB5FA3">
        <w:t xml:space="preserve"> (Choy, 2014)</w:t>
      </w:r>
      <w:r w:rsidR="00A60261">
        <w:t>.</w:t>
      </w:r>
      <w:r w:rsidR="00AB5FA3">
        <w:t xml:space="preserve"> The method allows for the researcher to study information in its natural setting and </w:t>
      </w:r>
      <w:r w:rsidR="00A60261">
        <w:t>allows for an in depth understanding of the case</w:t>
      </w:r>
      <w:r w:rsidR="008B797E">
        <w:t xml:space="preserve"> </w:t>
      </w:r>
      <w:r w:rsidR="00AB5FA3">
        <w:t>(Choy, 2014)</w:t>
      </w:r>
      <w:r w:rsidR="00A60261">
        <w:t>. The type of research design allows for generation of hypotheses or theories for further research, guiding subsequent studies and investigation</w:t>
      </w:r>
      <w:r w:rsidR="00AB5FA3">
        <w:t xml:space="preserve"> and attaining high levels of construct validity (Bennett, 2004)</w:t>
      </w:r>
      <w:r w:rsidR="00A60261">
        <w:t xml:space="preserve">. </w:t>
      </w:r>
      <w:r w:rsidR="00AB5FA3">
        <w:t xml:space="preserve">The methodology is </w:t>
      </w:r>
      <w:r w:rsidR="00A60261">
        <w:t xml:space="preserve">flexible and adaptable allowing researchers to adjust their approach and focus based on emerging findings. </w:t>
      </w:r>
    </w:p>
    <w:p w14:paraId="0108D971" w14:textId="77777777" w:rsidR="0021629F" w:rsidRDefault="0021629F" w:rsidP="004966AF">
      <w:pPr>
        <w:spacing w:line="480" w:lineRule="auto"/>
      </w:pPr>
    </w:p>
    <w:p w14:paraId="1C544DFC" w14:textId="789BEF49" w:rsidR="0021629F" w:rsidRDefault="0021629F" w:rsidP="004966AF">
      <w:pPr>
        <w:spacing w:line="480" w:lineRule="auto"/>
      </w:pPr>
      <w:r>
        <w:t xml:space="preserve">The limitations of an exploratory case study </w:t>
      </w:r>
      <w:r w:rsidR="00C455A2">
        <w:t>include</w:t>
      </w:r>
      <w:r>
        <w:t xml:space="preserve"> limited generalisability to other contexts or populations due to the nature of the research types focus on a specific case. </w:t>
      </w:r>
      <w:r w:rsidR="00C455A2">
        <w:t xml:space="preserve">Menon (2019) highlights that case studies, due to their sample sizes are often not significant enough to generalise the study to the wider population. However, </w:t>
      </w:r>
      <w:proofErr w:type="spellStart"/>
      <w:r w:rsidR="00C455A2">
        <w:t>Wikfeldt</w:t>
      </w:r>
      <w:proofErr w:type="spellEnd"/>
      <w:r w:rsidR="00C455A2">
        <w:t xml:space="preserve"> (2016) argues to the contrary, suggesting that exploratory case studies can be as generalisable as quantitative research, if done carefully and correctly. Whilst providing a high level of accuracy compared to research methods such as anecdote, case study research is often less generalisable arguably due to its specific nature (</w:t>
      </w:r>
      <w:proofErr w:type="spellStart"/>
      <w:r w:rsidR="00C455A2">
        <w:t>Wikfeldt</w:t>
      </w:r>
      <w:proofErr w:type="spellEnd"/>
      <w:r w:rsidR="00C455A2">
        <w:t xml:space="preserve">, 2016). </w:t>
      </w:r>
      <w:r>
        <w:t>In addition, case studies can be influenced by researcher bias and interpretations which can potentially affect the validity and reliability of findings.</w:t>
      </w:r>
      <w:r w:rsidR="00C455A2">
        <w:t xml:space="preserve"> </w:t>
      </w:r>
      <w:r w:rsidR="00453A19">
        <w:t xml:space="preserve">The case study approach has frequently faced criticism for its perceived lack of rigour and potential for researcher to interpret the data with an element of bias (Zainal, 2007). </w:t>
      </w:r>
      <w:r>
        <w:t>Conducting an exploratory case study can also be time-consuming and resource-intensive if on a wider scale, requiring extensive data collection and analysis</w:t>
      </w:r>
      <w:r w:rsidR="00756536">
        <w:t xml:space="preserve"> (Gustafsson, 2017). </w:t>
      </w:r>
      <w:r>
        <w:t>Exploratory case studies may additionally face challenges in establishing causal relationships between variables due to the lack of control over external factors</w:t>
      </w:r>
      <w:r w:rsidR="00756536">
        <w:t xml:space="preserve"> (Choy, 2014). </w:t>
      </w:r>
      <w:r w:rsidR="00AB5FA3">
        <w:t xml:space="preserve">Moreover, </w:t>
      </w:r>
      <w:r w:rsidR="00756536">
        <w:t xml:space="preserve">Choy (2014) </w:t>
      </w:r>
      <w:r w:rsidR="00AB5FA3">
        <w:t xml:space="preserve">notes the lack of controllability and repeatability due to the </w:t>
      </w:r>
      <w:r w:rsidR="00AB5FA3">
        <w:lastRenderedPageBreak/>
        <w:t>approach lacking the power to randomize and manipulate independent variables unlike quantitative methods.</w:t>
      </w:r>
    </w:p>
    <w:p w14:paraId="23F79AF9" w14:textId="77777777" w:rsidR="00DC58E0" w:rsidRDefault="00DC58E0" w:rsidP="004966AF">
      <w:pPr>
        <w:spacing w:line="480" w:lineRule="auto"/>
      </w:pPr>
    </w:p>
    <w:p w14:paraId="341B4387" w14:textId="55DC2797" w:rsidR="00D6524B" w:rsidRDefault="00DC58E0" w:rsidP="004966AF">
      <w:pPr>
        <w:spacing w:line="480" w:lineRule="auto"/>
      </w:pPr>
      <w:r>
        <w:t xml:space="preserve">In the present case study, the participants </w:t>
      </w:r>
      <w:r w:rsidR="001D1F48">
        <w:t xml:space="preserve">of the questionnaire </w:t>
      </w:r>
      <w:r>
        <w:t>consist of six learners from a Year 3 class in a small school located in Swansea. The selection of participants were collected through randomized sampling to ensure sample representation. Each learner with parental consent was assigned a unique number, and a number generator website was utilized to randomly select six participants. This method was chosen to avoid bias and ensure that every eligible learner had an equal chance of being included in the study. By employing randomized sampling, the resulting sample is likely to provide diverse perspectives and experiences, enhancing the validity and generalisability of the study findings</w:t>
      </w:r>
      <w:r w:rsidR="001D1F48">
        <w:t xml:space="preserve"> (</w:t>
      </w:r>
      <w:proofErr w:type="spellStart"/>
      <w:r w:rsidR="001D1F48">
        <w:t>Elfil</w:t>
      </w:r>
      <w:proofErr w:type="spellEnd"/>
      <w:r w:rsidR="002B6D9C">
        <w:t xml:space="preserve"> and </w:t>
      </w:r>
      <w:proofErr w:type="spellStart"/>
      <w:r w:rsidR="002B6D9C">
        <w:t>Negida</w:t>
      </w:r>
      <w:proofErr w:type="spellEnd"/>
      <w:r w:rsidR="001D1F48">
        <w:t>, 2017)</w:t>
      </w:r>
      <w:r>
        <w:t xml:space="preserve">. </w:t>
      </w:r>
    </w:p>
    <w:p w14:paraId="7FDE8A98" w14:textId="77777777" w:rsidR="00DC58E0" w:rsidRDefault="00DC58E0" w:rsidP="004966AF">
      <w:pPr>
        <w:spacing w:line="480" w:lineRule="auto"/>
        <w:rPr>
          <w:b/>
          <w:bCs/>
          <w:u w:val="single"/>
        </w:rPr>
      </w:pPr>
    </w:p>
    <w:p w14:paraId="61E41D45" w14:textId="4EA296D5" w:rsidR="00E41A90" w:rsidRDefault="00E41A90" w:rsidP="004966AF">
      <w:pPr>
        <w:spacing w:line="480" w:lineRule="auto"/>
        <w:rPr>
          <w:b/>
          <w:bCs/>
          <w:u w:val="single"/>
        </w:rPr>
      </w:pPr>
      <w:r>
        <w:rPr>
          <w:b/>
          <w:bCs/>
          <w:u w:val="single"/>
        </w:rPr>
        <w:t>Research Methods</w:t>
      </w:r>
    </w:p>
    <w:p w14:paraId="6590D434" w14:textId="77777777" w:rsidR="00D6524B" w:rsidRDefault="00D6524B" w:rsidP="004966AF">
      <w:pPr>
        <w:spacing w:line="480" w:lineRule="auto"/>
        <w:rPr>
          <w:b/>
          <w:bCs/>
          <w:u w:val="single"/>
        </w:rPr>
      </w:pPr>
    </w:p>
    <w:p w14:paraId="023C6ADB" w14:textId="69445760" w:rsidR="00EC6C9D" w:rsidRDefault="00EC6C9D" w:rsidP="004966AF">
      <w:pPr>
        <w:spacing w:line="480" w:lineRule="auto"/>
      </w:pPr>
      <w:r>
        <w:t>In the realm of educational research, the choice of appropriate research methods is crucial for obtaining valid and reliable data. For the present case study, two primary research methods</w:t>
      </w:r>
      <w:r w:rsidR="00533A25">
        <w:t xml:space="preserve"> were employed</w:t>
      </w:r>
      <w:r>
        <w:t xml:space="preserve">: classroom observation and a questionnaire. These methods were selected based on their suitability for investigating the research questions and gathering data from multiple perspectives. </w:t>
      </w:r>
    </w:p>
    <w:p w14:paraId="2C6C02C4" w14:textId="77777777" w:rsidR="00EC6C9D" w:rsidRDefault="00EC6C9D" w:rsidP="004966AF">
      <w:pPr>
        <w:spacing w:line="480" w:lineRule="auto"/>
      </w:pPr>
    </w:p>
    <w:p w14:paraId="7FFEB141" w14:textId="22AC44E1" w:rsidR="008D4AE0" w:rsidRDefault="00EC6C9D" w:rsidP="004966AF">
      <w:pPr>
        <w:spacing w:line="480" w:lineRule="auto"/>
      </w:pPr>
      <w:r>
        <w:t>Classroom observation serves as a cornerstone of educational research, offering researchers an opportunity to directly observe and analyse real-time interactions and behaviours within the classroom environment</w:t>
      </w:r>
      <w:r w:rsidR="00533A25">
        <w:t xml:space="preserve"> (Grimm, </w:t>
      </w:r>
      <w:proofErr w:type="gramStart"/>
      <w:r w:rsidR="00533A25">
        <w:t>Kaufman</w:t>
      </w:r>
      <w:proofErr w:type="gramEnd"/>
      <w:r w:rsidR="00533A25">
        <w:t xml:space="preserve"> and Doty, 2014)</w:t>
      </w:r>
      <w:r>
        <w:t>.</w:t>
      </w:r>
      <w:r w:rsidR="00BA70D4">
        <w:t xml:space="preserve"> </w:t>
      </w:r>
      <w:r w:rsidR="00BA70D4">
        <w:lastRenderedPageBreak/>
        <w:t>Immersion in the classroom setting allowed for capture of the dynamic interplay between students, teachers, and instructional materials, providing rich insights into the teaching and learning process</w:t>
      </w:r>
      <w:r w:rsidR="00533A25">
        <w:t xml:space="preserve"> (</w:t>
      </w:r>
      <w:proofErr w:type="spellStart"/>
      <w:r w:rsidR="00533A25">
        <w:t>Zaare</w:t>
      </w:r>
      <w:proofErr w:type="spellEnd"/>
      <w:r w:rsidR="00533A25">
        <w:t>, 2013)</w:t>
      </w:r>
      <w:r w:rsidR="00BA70D4">
        <w:t>. This method allowed documentation of various aspects of classroom dynamics, including student engagement, teacher-student interactions, instructional strategies, and classroom management techniques</w:t>
      </w:r>
      <w:r w:rsidR="00533A25">
        <w:t xml:space="preserve"> (Nunn, 2011)</w:t>
      </w:r>
      <w:r w:rsidR="00BA70D4">
        <w:t>. One of the key benefits of classroom observation is its ability to provide researchers with a contextual understanding of the phenomena under investigation</w:t>
      </w:r>
      <w:r w:rsidR="00533A25">
        <w:t xml:space="preserve"> (Nunn, 2011)</w:t>
      </w:r>
      <w:r w:rsidR="00BA70D4">
        <w:t>. Unlike survey-based methods, which rely on self-reported data, observation allows researchers to directly witness and document behaviour in its natural context, minimizing the risk of response bias and providing a more authentic representation of reality</w:t>
      </w:r>
      <w:r w:rsidR="00533A25">
        <w:t xml:space="preserve"> (</w:t>
      </w:r>
      <w:proofErr w:type="spellStart"/>
      <w:r w:rsidR="00533A25">
        <w:t>Zaare</w:t>
      </w:r>
      <w:proofErr w:type="spellEnd"/>
      <w:r w:rsidR="00533A25">
        <w:t>, 2013)</w:t>
      </w:r>
      <w:r w:rsidR="00BA70D4">
        <w:t>. This aspect is particularly important in educational research, where the context of teaching and learning plays a significant role in shaping outcomes</w:t>
      </w:r>
      <w:r w:rsidR="00533A25">
        <w:t xml:space="preserve"> (</w:t>
      </w:r>
      <w:proofErr w:type="spellStart"/>
      <w:r w:rsidR="00533A25">
        <w:t>Lasagabaster</w:t>
      </w:r>
      <w:proofErr w:type="spellEnd"/>
      <w:r w:rsidR="00533A25">
        <w:t xml:space="preserve"> and Sierra, 2011)</w:t>
      </w:r>
      <w:r w:rsidR="00BA70D4">
        <w:t>. Through detailed field notes and observational records, researchers can uncover patterns, themes and relationships that may not be apparent through quantitative measures alone</w:t>
      </w:r>
      <w:r w:rsidR="00533A25">
        <w:t xml:space="preserve"> (Wragg, 2011)</w:t>
      </w:r>
      <w:r w:rsidR="00BA70D4">
        <w:t xml:space="preserve">. This qualitative richness enhances the validity and interpretability of research findings, allowing for a nuanced understanding of the </w:t>
      </w:r>
      <w:r w:rsidR="001D1F48">
        <w:t xml:space="preserve">question </w:t>
      </w:r>
      <w:r w:rsidR="00BA70D4">
        <w:t>under study. However, despite its many strengths, classroom observation also presents certain limitations and challenges. One such limitation is the potential for observer bias, where the researcher’s presence and subjective interpretations may influence the observed behaviour</w:t>
      </w:r>
      <w:r w:rsidR="00533A25">
        <w:t xml:space="preserve"> (Roberson, 1998)</w:t>
      </w:r>
      <w:r w:rsidR="00BA70D4">
        <w:t xml:space="preserve">. To mitigate the risk, researchers must adopt rigorous protocols and maintain flexibility throughout the observation process, acknowledging their own biases and striving for objectivity. Another challenge of classroom observation is the inability to capture every aspect of learner experience within the limited time </w:t>
      </w:r>
      <w:r w:rsidR="00BA70D4">
        <w:lastRenderedPageBreak/>
        <w:t>frame of the observation period</w:t>
      </w:r>
      <w:r w:rsidR="00533A25">
        <w:t xml:space="preserve"> (Grimm, Kaufmann, and Doty, 2014)</w:t>
      </w:r>
      <w:r w:rsidR="00BA70D4">
        <w:t>. Classroom dynamics are multifaceted and constantly evolving, making it difficult for researchers to fully capture the complexity of teaching and learning processes in a single observation session. To address this challenge, researchers may opt for longitudinal or multi-method approaches, supplementing observations with other data collection methods to gain a more comprehensive understanding of the research topic</w:t>
      </w:r>
      <w:r w:rsidR="00533A25">
        <w:t xml:space="preserve"> (O’Leary, 2020)</w:t>
      </w:r>
      <w:r w:rsidR="00BA70D4">
        <w:t xml:space="preserve">. </w:t>
      </w:r>
    </w:p>
    <w:p w14:paraId="6B1CAEE9" w14:textId="77777777" w:rsidR="008D4AE0" w:rsidRDefault="008D4AE0" w:rsidP="004966AF">
      <w:pPr>
        <w:spacing w:line="480" w:lineRule="auto"/>
      </w:pPr>
    </w:p>
    <w:p w14:paraId="37FC94B0" w14:textId="239071DA" w:rsidR="00BA70D4" w:rsidRDefault="00BA70D4" w:rsidP="004966AF">
      <w:pPr>
        <w:spacing w:line="480" w:lineRule="auto"/>
      </w:pPr>
      <w:r>
        <w:t xml:space="preserve">In addition to classroom observation, </w:t>
      </w:r>
      <w:r w:rsidR="008D4AE0">
        <w:t>the present study utilised a questionnaire to gather data. The questionnaire included ten questions, seven using a five-point Likert scale, as well as three open-ended questions, allowing for participants to provide both quantitative and qualitative responses. This method offered several advantages, including the systematic collection of data, the ability to reach a diverse range of participants, and the flexibility to gather both structured and unstructured information. The structured format of the questionnaire, particularly the Likert scale items, facilitated the quantification of parti</w:t>
      </w:r>
      <w:r w:rsidR="006409D7">
        <w:t>ci</w:t>
      </w:r>
      <w:r w:rsidR="008D4AE0">
        <w:t xml:space="preserve">pants attitudes, </w:t>
      </w:r>
      <w:r w:rsidR="006409D7">
        <w:t>perceptions,</w:t>
      </w:r>
      <w:r w:rsidR="008D4AE0">
        <w:t xml:space="preserve"> and behaviours</w:t>
      </w:r>
      <w:r w:rsidR="00533A25">
        <w:t xml:space="preserve"> (</w:t>
      </w:r>
      <w:proofErr w:type="spellStart"/>
      <w:r w:rsidR="00533A25">
        <w:t>Nemoto</w:t>
      </w:r>
      <w:proofErr w:type="spellEnd"/>
      <w:r w:rsidR="00533A25">
        <w:t xml:space="preserve"> and </w:t>
      </w:r>
      <w:proofErr w:type="spellStart"/>
      <w:r w:rsidR="00533A25">
        <w:t>Beglar</w:t>
      </w:r>
      <w:proofErr w:type="spellEnd"/>
      <w:r w:rsidR="00533A25">
        <w:t>, 2013)</w:t>
      </w:r>
      <w:r w:rsidR="008D4AE0">
        <w:t>. By assigning numerical values to responses, researchers can analyse data statistically</w:t>
      </w:r>
      <w:r w:rsidR="006409D7">
        <w:t>, identifying trends, correlations, and patterns across the sample population. This quantitative approach enhances the rigour and generalisability of research findings, providing empirical evidence to support theoretical claims</w:t>
      </w:r>
      <w:r w:rsidR="00533A25">
        <w:t xml:space="preserve"> (</w:t>
      </w:r>
      <w:proofErr w:type="spellStart"/>
      <w:r w:rsidR="00533A25">
        <w:t>Almalki</w:t>
      </w:r>
      <w:proofErr w:type="spellEnd"/>
      <w:r w:rsidR="00533A25">
        <w:t>, 2016)</w:t>
      </w:r>
      <w:r w:rsidR="006409D7">
        <w:t>. Furthermore, the inclusion of open-ended questions in the questionnaire allowed participants to express their thoughts, opinions, and experiences in their own words</w:t>
      </w:r>
      <w:r w:rsidR="00533A25">
        <w:t xml:space="preserve"> (</w:t>
      </w:r>
      <w:proofErr w:type="spellStart"/>
      <w:r w:rsidR="00533A25">
        <w:t>Esses</w:t>
      </w:r>
      <w:proofErr w:type="spellEnd"/>
      <w:r w:rsidR="00533A25">
        <w:t xml:space="preserve"> and Maio, 2002)</w:t>
      </w:r>
      <w:r w:rsidR="006409D7">
        <w:t xml:space="preserve">. This qualitative component added depth and richness to the data, capturing nuances and insights that may not emerge through structured response formats alone. Open-ended questions encourage participants to </w:t>
      </w:r>
      <w:r w:rsidR="006409D7">
        <w:lastRenderedPageBreak/>
        <w:t>reflect on their experiences, providing researchers with valuable context and understanding of the research topic</w:t>
      </w:r>
      <w:r w:rsidR="00533A25">
        <w:t xml:space="preserve"> (</w:t>
      </w:r>
      <w:proofErr w:type="spellStart"/>
      <w:r w:rsidR="00533A25">
        <w:t>Reja</w:t>
      </w:r>
      <w:proofErr w:type="spellEnd"/>
      <w:r w:rsidR="00533A25">
        <w:t xml:space="preserve">, </w:t>
      </w:r>
      <w:proofErr w:type="spellStart"/>
      <w:r w:rsidR="00533A25">
        <w:t>Manfreda</w:t>
      </w:r>
      <w:proofErr w:type="spellEnd"/>
      <w:r w:rsidR="00533A25">
        <w:t xml:space="preserve"> and </w:t>
      </w:r>
      <w:proofErr w:type="spellStart"/>
      <w:r w:rsidR="00533A25">
        <w:t>Hlebec</w:t>
      </w:r>
      <w:proofErr w:type="spellEnd"/>
      <w:r w:rsidR="00533A25">
        <w:t>, 2003)</w:t>
      </w:r>
      <w:r w:rsidR="006409D7">
        <w:t>. However, despite its many advantages, the questionnaire method also presents certain limitations and considerations. One such limitation is the potential for response bias, where participants may provide socially desirable or inaccurate responses, skewing the validity of the data</w:t>
      </w:r>
      <w:r w:rsidR="00533A25">
        <w:t xml:space="preserve"> (Van de </w:t>
      </w:r>
      <w:proofErr w:type="spellStart"/>
      <w:r w:rsidR="00533A25">
        <w:t>Moretel</w:t>
      </w:r>
      <w:proofErr w:type="spellEnd"/>
      <w:r w:rsidR="00533A25">
        <w:t>, 2008)</w:t>
      </w:r>
      <w:r w:rsidR="006409D7">
        <w:t>. To minimise this risk responses, researchers must design clear and unbiased questions, provide assurances of anonymity and confidentiality, and use randomisation techniques to reduce response bias. Another challenge of the questionnaire method is the potential for misinterpretation or misunderstanding of questions, particularly among participants with limited literacy or language proficient</w:t>
      </w:r>
      <w:r w:rsidR="00533A25">
        <w:t xml:space="preserve"> (Wenz, </w:t>
      </w:r>
      <w:proofErr w:type="spellStart"/>
      <w:r w:rsidR="00533A25">
        <w:t>Baghal</w:t>
      </w:r>
      <w:proofErr w:type="spellEnd"/>
      <w:r w:rsidR="00533A25">
        <w:t xml:space="preserve"> and Gaia, 2021)</w:t>
      </w:r>
      <w:r w:rsidR="006409D7">
        <w:t xml:space="preserve">. In the present study this challenge was encountered where some participants required personalised assistance in reading and understating the questions and response options. This highlights the importance of accessibility and inclusivity in questionnaire design, ensuring that all participants can meaningfully engage with the research instrument. </w:t>
      </w:r>
    </w:p>
    <w:p w14:paraId="48A22417" w14:textId="77777777" w:rsidR="00D7179A" w:rsidRDefault="00D7179A" w:rsidP="004966AF">
      <w:pPr>
        <w:spacing w:line="480" w:lineRule="auto"/>
      </w:pPr>
    </w:p>
    <w:p w14:paraId="7B3B703A" w14:textId="0F34434C" w:rsidR="006409D7" w:rsidRDefault="006409D7" w:rsidP="004966AF">
      <w:pPr>
        <w:spacing w:line="480" w:lineRule="auto"/>
      </w:pPr>
      <w:r>
        <w:t xml:space="preserve">Both classroom observation and questionnaire methods offer unique strengths and limitations in educational research. By carefully considering the benefits and limitations of each method and employing a multi-method approach, researchers can enhance the validity and reliability of their findings ultimately contributing to a deeper understanding of the </w:t>
      </w:r>
      <w:r w:rsidR="001D1F48">
        <w:t xml:space="preserve">research question. </w:t>
      </w:r>
    </w:p>
    <w:p w14:paraId="6A9BC87C" w14:textId="77777777" w:rsidR="004966AF" w:rsidRDefault="004966AF" w:rsidP="004966AF">
      <w:pPr>
        <w:spacing w:line="480" w:lineRule="auto"/>
      </w:pPr>
    </w:p>
    <w:p w14:paraId="10AEDF94" w14:textId="77777777" w:rsidR="004966AF" w:rsidRDefault="004966AF" w:rsidP="004966AF">
      <w:pPr>
        <w:spacing w:line="480" w:lineRule="auto"/>
      </w:pPr>
    </w:p>
    <w:p w14:paraId="3893B625" w14:textId="77777777" w:rsidR="004966AF" w:rsidRDefault="004966AF" w:rsidP="004966AF">
      <w:pPr>
        <w:spacing w:line="480" w:lineRule="auto"/>
      </w:pPr>
    </w:p>
    <w:p w14:paraId="6F6C9CA0" w14:textId="1FC3E0CC" w:rsidR="0021629F" w:rsidRDefault="00E41A90" w:rsidP="004966AF">
      <w:pPr>
        <w:spacing w:line="480" w:lineRule="auto"/>
        <w:rPr>
          <w:b/>
          <w:bCs/>
          <w:u w:val="single"/>
        </w:rPr>
      </w:pPr>
      <w:r>
        <w:rPr>
          <w:b/>
          <w:bCs/>
          <w:u w:val="single"/>
        </w:rPr>
        <w:lastRenderedPageBreak/>
        <w:t>Data Presentation and Analysis Method</w:t>
      </w:r>
    </w:p>
    <w:p w14:paraId="6EB4B77B" w14:textId="77777777" w:rsidR="004966AF" w:rsidRDefault="004966AF" w:rsidP="004966AF">
      <w:pPr>
        <w:spacing w:line="480" w:lineRule="auto"/>
        <w:rPr>
          <w:b/>
          <w:bCs/>
          <w:u w:val="single"/>
        </w:rPr>
      </w:pPr>
    </w:p>
    <w:p w14:paraId="7508A5B2" w14:textId="7FB61A49" w:rsidR="00176696" w:rsidRDefault="00176696" w:rsidP="004966AF">
      <w:pPr>
        <w:spacing w:line="480" w:lineRule="auto"/>
      </w:pPr>
      <w:r>
        <w:t xml:space="preserve">The methodological approach employed to present and analyse the data gathered for the present study. These approaches were carefully chosen based on their alignment with research objectives, and their potential to provide valuable insights into the research question. </w:t>
      </w:r>
    </w:p>
    <w:p w14:paraId="717D502A" w14:textId="77777777" w:rsidR="00176696" w:rsidRDefault="00176696" w:rsidP="004966AF">
      <w:pPr>
        <w:spacing w:line="480" w:lineRule="auto"/>
      </w:pPr>
    </w:p>
    <w:p w14:paraId="0A01C4ED" w14:textId="645C0076" w:rsidR="001D1F48" w:rsidRPr="00176696" w:rsidRDefault="004C0DA6" w:rsidP="004966AF">
      <w:pPr>
        <w:spacing w:line="480" w:lineRule="auto"/>
      </w:pPr>
      <w:r>
        <w:t>The first method of analysis</w:t>
      </w:r>
      <w:r w:rsidR="001D1F48" w:rsidRPr="001D1F48">
        <w:t xml:space="preserve"> </w:t>
      </w:r>
      <w:r w:rsidR="001D1F48">
        <w:t>was a thematic analysis, a qualitative approach used to identify, analyse, and report patterns within textual data (Joffe, 2011). It involves systematically coding and categorising data to uncover underlying meanings, concepts, and insights (</w:t>
      </w:r>
      <w:r w:rsidR="001C36ED">
        <w:t>Joffe, 2011</w:t>
      </w:r>
      <w:r w:rsidR="001D1F48">
        <w:t>). The method typically follows several key steps, including data familiarisation, initial coding, theme development and interpretation (Braun and Clarke, 2012). Benefits of thematic analysis include its flexibility, allowing researchers to analyse various types of qualitative data such as interviews, focus groups, or open-ended survey responses (Joffe, 2011). However, thematic analysis also has limitations. It relies heavily on researchers’ interpretive skills and subjective judgements, which may introduce researcher bias into the analysis (Braun and Clarke, 20</w:t>
      </w:r>
      <w:r w:rsidR="001C36ED">
        <w:t>1</w:t>
      </w:r>
      <w:r w:rsidR="001D1F48">
        <w:t>2). Additionally, the process of coding and theme-development can be time-consuming and labour-intensive, particularly with large data sets. Furthermore, thematic analysis may not fully capture the complexity or nuance of the data, as it tends to prioritise overarching themes over individual experiences or perspectives (</w:t>
      </w:r>
      <w:proofErr w:type="spellStart"/>
      <w:r w:rsidR="001D1F48">
        <w:t>Riger</w:t>
      </w:r>
      <w:proofErr w:type="spellEnd"/>
      <w:r w:rsidR="001D1F48">
        <w:t xml:space="preserve"> and </w:t>
      </w:r>
      <w:proofErr w:type="spellStart"/>
      <w:r w:rsidR="001D1F48">
        <w:t>Sigurvinsdottir</w:t>
      </w:r>
      <w:proofErr w:type="spellEnd"/>
      <w:r w:rsidR="001D1F48">
        <w:t xml:space="preserve">, 2016). Despite these limitations, thematic analysis remains a widely used and valuable method for exploring qualitative data and generating rich, contextually grounded findings. In the present study this method was conducted for the lesson observation </w:t>
      </w:r>
      <w:r w:rsidR="001D1F48">
        <w:lastRenderedPageBreak/>
        <w:t>notes (</w:t>
      </w:r>
      <w:r w:rsidR="00923D62">
        <w:t>Appendix 1</w:t>
      </w:r>
      <w:r w:rsidR="001D1F48">
        <w:t xml:space="preserve">), and Question 8 to 10 of the questionnaire. For each piece of data, general themes were drawn by initial coding, segmenting the data into meaningful units, searching for themes, reviewing themes, and writing up analysis. To ensure rigor and trustworthiness a peer debrief was conducted, discussing findings with a peer to ensure to confirm interpretations. </w:t>
      </w:r>
    </w:p>
    <w:p w14:paraId="6E1BC764" w14:textId="77777777" w:rsidR="001D1F48" w:rsidRDefault="001D1F48" w:rsidP="004966AF">
      <w:pPr>
        <w:spacing w:line="480" w:lineRule="auto"/>
      </w:pPr>
    </w:p>
    <w:p w14:paraId="06B3A918" w14:textId="5429ACDB" w:rsidR="001D1F48" w:rsidRDefault="001D1F48" w:rsidP="004966AF">
      <w:pPr>
        <w:spacing w:line="480" w:lineRule="auto"/>
      </w:pPr>
      <w:r>
        <w:t>The second method of analysis</w:t>
      </w:r>
      <w:r w:rsidR="004C0DA6">
        <w:t xml:space="preserve"> was a</w:t>
      </w:r>
      <w:r>
        <w:t xml:space="preserve"> pie-chart representation and analysis of data. Pie-</w:t>
      </w:r>
      <w:r w:rsidR="00BD128A">
        <w:t>charts</w:t>
      </w:r>
      <w:r>
        <w:t xml:space="preserve"> were used to denote the findings as they offer visual representation which are simplistic and quickly convey proportions. They allow for comparison of proportions, making it clear which categories are larger or smaller relative to one another, clearly indicating dominant categories. It is important to note however, this method of analysis is limited in detail, which displays dat</w:t>
      </w:r>
      <w:r w:rsidR="00BD128A">
        <w:t xml:space="preserve">a but offers no further analysis. Due to this factor an additional method of analysis was employed for the quantitative data. </w:t>
      </w:r>
    </w:p>
    <w:p w14:paraId="582847D4" w14:textId="77777777" w:rsidR="001D1F48" w:rsidRDefault="001D1F48" w:rsidP="004966AF">
      <w:pPr>
        <w:spacing w:line="480" w:lineRule="auto"/>
      </w:pPr>
    </w:p>
    <w:p w14:paraId="6D65EED7" w14:textId="0C879CF9" w:rsidR="00710EAD" w:rsidRDefault="00BD128A" w:rsidP="004966AF">
      <w:pPr>
        <w:spacing w:line="480" w:lineRule="auto"/>
      </w:pPr>
      <w:r>
        <w:t xml:space="preserve">An additional method of analysis was conducted, </w:t>
      </w:r>
      <w:r w:rsidR="004C0DA6">
        <w:t>Spearman’s rank correlation coefficient, often denoted as Spearman’s rh</w:t>
      </w:r>
      <w:r>
        <w:t xml:space="preserve">o. </w:t>
      </w:r>
      <w:r w:rsidR="004C0DA6">
        <w:t xml:space="preserve">The </w:t>
      </w:r>
      <w:r w:rsidR="00710EAD">
        <w:t>method is a nonparametric measure used to assess the strength and direction of the monotonic relationship between two variables</w:t>
      </w:r>
      <w:r w:rsidR="00714283">
        <w:t xml:space="preserve"> (Caruso and Cliff, 1997)</w:t>
      </w:r>
      <w:r w:rsidR="00710EAD">
        <w:t>. The measure is not restricted to linear associations, it is a measure of the strength of monotonic relationships which can be either increasing or decreasing, without assuming a specific form of relationship</w:t>
      </w:r>
      <w:r w:rsidR="005A0DE3">
        <w:t xml:space="preserve"> </w:t>
      </w:r>
      <w:r w:rsidR="00714283">
        <w:t>(</w:t>
      </w:r>
      <w:proofErr w:type="spellStart"/>
      <w:r w:rsidR="00714283">
        <w:t>Alsaqr</w:t>
      </w:r>
      <w:proofErr w:type="spellEnd"/>
      <w:r w:rsidR="00714283">
        <w:t>, 2021)</w:t>
      </w:r>
      <w:r w:rsidR="00710EAD">
        <w:t xml:space="preserve">. Spearman’s rho is suitable for continuous and ordinal variables, an advantage to the present study which looks at opinion, a form of ordinal data. There is also an ease to interpretation of results as Spearman’s rho ranges from -1 to +1, where -1 indicates a perfect negative monotonic relationship, +1 indicates a perfect positive monotonic </w:t>
      </w:r>
      <w:r w:rsidR="00710EAD">
        <w:lastRenderedPageBreak/>
        <w:t>relationship and 0 indicates no monotonic relationship</w:t>
      </w:r>
      <w:r w:rsidR="00714283">
        <w:t xml:space="preserve"> (</w:t>
      </w:r>
      <w:r w:rsidR="007A1FE0">
        <w:t>Caruso and Cliff, 1997</w:t>
      </w:r>
      <w:r w:rsidR="00714283">
        <w:t>)</w:t>
      </w:r>
      <w:r w:rsidR="00710EAD">
        <w:t>. This method is also often preferred when dealing with small sample sizes where the assumption of parametric correlation measures like Pearson’s correlation may not be met. It is</w:t>
      </w:r>
      <w:r>
        <w:t xml:space="preserve"> </w:t>
      </w:r>
      <w:r w:rsidR="00710EAD">
        <w:t>a versatile and robust method of association, particularly when dealing with ordinal variables or nonlinear relationships. In the present study, t</w:t>
      </w:r>
      <w:r w:rsidR="00176696">
        <w:t>he data from Question 1 to Question 7 of the questionnaire (Appendix</w:t>
      </w:r>
      <w:r w:rsidR="00923D62">
        <w:t xml:space="preserve"> 2</w:t>
      </w:r>
      <w:r w:rsidR="00176696">
        <w:t>) was collated into a JASP data sheet, and a</w:t>
      </w:r>
      <w:r w:rsidR="00710EAD">
        <w:t xml:space="preserve"> Spearman’s rho correlation</w:t>
      </w:r>
      <w:r w:rsidR="00176696">
        <w:t xml:space="preserve"> </w:t>
      </w:r>
      <w:r w:rsidR="008152DF">
        <w:t xml:space="preserve">was conducted, </w:t>
      </w:r>
      <w:r w:rsidR="00710EAD">
        <w:t xml:space="preserve">measuring for correlation between each of the variables. </w:t>
      </w:r>
      <w:r w:rsidR="00032522">
        <w:t>Whilst quantitative data analysis cannot address, trustworthiness, transferability or confirmability in the same way as qualitative methods, there are methods that can be employed to enhance rigour</w:t>
      </w:r>
      <w:r w:rsidR="00714283">
        <w:t xml:space="preserve"> (Prion and </w:t>
      </w:r>
      <w:proofErr w:type="spellStart"/>
      <w:r w:rsidR="00714283">
        <w:t>Haerlin</w:t>
      </w:r>
      <w:r w:rsidR="007A1FE0">
        <w:t>g</w:t>
      </w:r>
      <w:proofErr w:type="spellEnd"/>
      <w:r w:rsidR="00714283">
        <w:t>, 2014)</w:t>
      </w:r>
      <w:r w:rsidR="00032522">
        <w:t xml:space="preserve">. </w:t>
      </w:r>
      <w:r w:rsidR="00BD48CC">
        <w:t xml:space="preserve">The sampling strategy used for collection of data was randomised to minimise bias and generalisability to the population. </w:t>
      </w:r>
    </w:p>
    <w:p w14:paraId="0FC6BE6D" w14:textId="77777777" w:rsidR="008152DF" w:rsidRDefault="008152DF" w:rsidP="004966AF">
      <w:pPr>
        <w:spacing w:line="480" w:lineRule="auto"/>
        <w:rPr>
          <w:b/>
          <w:bCs/>
          <w:u w:val="single"/>
        </w:rPr>
      </w:pPr>
    </w:p>
    <w:p w14:paraId="30B2649E" w14:textId="282E357D" w:rsidR="00E41A90" w:rsidRDefault="00E41A90" w:rsidP="004966AF">
      <w:pPr>
        <w:spacing w:line="480" w:lineRule="auto"/>
        <w:rPr>
          <w:b/>
          <w:bCs/>
          <w:u w:val="single"/>
        </w:rPr>
      </w:pPr>
      <w:r>
        <w:rPr>
          <w:b/>
          <w:bCs/>
          <w:u w:val="single"/>
        </w:rPr>
        <w:t>Ethical considerations</w:t>
      </w:r>
    </w:p>
    <w:p w14:paraId="06F26873" w14:textId="77777777" w:rsidR="00E41A90" w:rsidRDefault="00E41A90" w:rsidP="004966AF">
      <w:pPr>
        <w:spacing w:line="480" w:lineRule="auto"/>
        <w:rPr>
          <w:b/>
          <w:bCs/>
          <w:u w:val="single"/>
        </w:rPr>
      </w:pPr>
    </w:p>
    <w:p w14:paraId="47B4E9E7" w14:textId="4BC76E21" w:rsidR="00643446" w:rsidRPr="00643446" w:rsidRDefault="00643446" w:rsidP="004966AF">
      <w:pPr>
        <w:spacing w:line="480" w:lineRule="auto"/>
      </w:pPr>
      <w:r>
        <w:t xml:space="preserve">In conducting classroom observations and administering pupil questionnaires as part of this research study, several ethical considerations had to be addressed. Firstly, </w:t>
      </w:r>
      <w:r w:rsidR="000C26D5">
        <w:t>the BERA Guidance on Educational Research (2018)</w:t>
      </w:r>
      <w:r w:rsidR="00E605CB">
        <w:t xml:space="preserve"> and UWTSD Research Ethics and Integrity Code of Practice</w:t>
      </w:r>
      <w:r w:rsidR="000C26D5">
        <w:t xml:space="preserve"> was consulted to ensure the appropriate considerations were made. A</w:t>
      </w:r>
      <w:r>
        <w:t xml:space="preserve">n ethics form was completed and sent to the ethics committee at the </w:t>
      </w:r>
      <w:r w:rsidR="000C26D5">
        <w:t xml:space="preserve">University of Wales Trinity Saint David, </w:t>
      </w:r>
      <w:r w:rsidR="0085433F">
        <w:t>ensuring the research outline met ethical standards</w:t>
      </w:r>
      <w:r w:rsidR="00E605CB">
        <w:t xml:space="preserve"> (Appendix</w:t>
      </w:r>
      <w:r w:rsidR="00923D62">
        <w:t xml:space="preserve"> 3</w:t>
      </w:r>
      <w:r w:rsidR="00E605CB">
        <w:t>)</w:t>
      </w:r>
      <w:r w:rsidR="0085433F">
        <w:t>.</w:t>
      </w:r>
      <w:r w:rsidR="00E605CB">
        <w:t xml:space="preserve"> A consent form with attached information sheet was distributed to parents via Class Dojo, with the form accessed on Microsoft Forms</w:t>
      </w:r>
      <w:r w:rsidR="00923D62">
        <w:t xml:space="preserve"> (Appendix 4)</w:t>
      </w:r>
      <w:r w:rsidR="00E605CB">
        <w:t>. Informed consent was ensured from all participants’ parents or carers</w:t>
      </w:r>
      <w:r w:rsidR="0085433F">
        <w:t xml:space="preserve"> </w:t>
      </w:r>
      <w:r w:rsidR="00701C8B">
        <w:t xml:space="preserve">with a </w:t>
      </w:r>
      <w:r w:rsidR="00701C8B">
        <w:lastRenderedPageBreak/>
        <w:t xml:space="preserve">transparent information sheet regarding the </w:t>
      </w:r>
      <w:r>
        <w:t>purpose of the study, and the confidentiality measures in place</w:t>
      </w:r>
      <w:r w:rsidR="00701C8B">
        <w:t xml:space="preserve">. </w:t>
      </w:r>
      <w:r w:rsidR="0085433F">
        <w:t xml:space="preserve">Parents, </w:t>
      </w:r>
      <w:r w:rsidR="000E1074">
        <w:t>guardians,</w:t>
      </w:r>
      <w:r w:rsidR="0085433F">
        <w:t xml:space="preserve"> and the learners were informed that they had the right to withdraw from the research study at any time, including the removal of their data after the event of conducting the questionnaire. </w:t>
      </w:r>
      <w:r w:rsidR="00E605CB">
        <w:t>In line with the U</w:t>
      </w:r>
      <w:r w:rsidR="00701C8B">
        <w:t xml:space="preserve">nited </w:t>
      </w:r>
      <w:r w:rsidR="00E605CB">
        <w:t>N</w:t>
      </w:r>
      <w:r w:rsidR="00701C8B">
        <w:t xml:space="preserve">ations </w:t>
      </w:r>
      <w:r w:rsidR="00E605CB">
        <w:t>C</w:t>
      </w:r>
      <w:r w:rsidR="00701C8B">
        <w:t>onvention on the Rights of the Child</w:t>
      </w:r>
      <w:r w:rsidR="00E605CB">
        <w:t xml:space="preserve"> Article 12: children should have a say in matters that affect them, assent was</w:t>
      </w:r>
      <w:r w:rsidR="0085433F">
        <w:t xml:space="preserve"> obtained from the learner before, during the completion of the questionnaire</w:t>
      </w:r>
      <w:r w:rsidR="00E605CB">
        <w:t xml:space="preserve"> by providing each learner with a reversible smiley face/sad face card, to indicate that they are happy to continue if they wish to leave</w:t>
      </w:r>
      <w:r w:rsidR="00923D62">
        <w:t xml:space="preserve"> (Appendix 5)</w:t>
      </w:r>
      <w:r w:rsidR="0085433F">
        <w:t>.</w:t>
      </w:r>
      <w:r w:rsidR="00E605CB">
        <w:t xml:space="preserve"> The research was explained to learners before completing the questionnaire </w:t>
      </w:r>
      <w:r w:rsidR="00701C8B">
        <w:t xml:space="preserve">by the researcher, consisting of the information sheet being read as a script, removing any limitations of learner literacy skills </w:t>
      </w:r>
      <w:r w:rsidR="00E605CB">
        <w:t>(Appendix</w:t>
      </w:r>
      <w:r w:rsidR="00923D62">
        <w:t xml:space="preserve"> 4</w:t>
      </w:r>
      <w:r w:rsidR="00E605CB">
        <w:t>).</w:t>
      </w:r>
      <w:r w:rsidR="0085433F">
        <w:t xml:space="preserve"> Anonymity of both the learners and their responses in the questionnaire was essential to safeguard privacy rights. The handling and storage of data was conducted using the University of Wales Trinity Saint David cloud where appropriate. Given the sensitive nature of classroom observations, efforts were made to minimize any potential disruptions to the learning environment and to respect the autonomy of the educators involved. Furthermore, considerations were made regarding the potential impact of the research on the participants’ well-being. Measures were put in place to mitigate any potential harm or discomfort that may have arisen from their involvement, by providing a debriefing session with the learners. </w:t>
      </w:r>
      <w:r w:rsidR="00701C8B">
        <w:t>T</w:t>
      </w:r>
      <w:r w:rsidR="0085433F">
        <w:t xml:space="preserve">hroughout the research process, integrity and honest were maintained in the collection, analysis and reporting of data, fundamental to upholding the ethical principles of research. </w:t>
      </w:r>
      <w:r w:rsidR="00701C8B">
        <w:t xml:space="preserve">Furthermore, researcher positionality was considered and documented, openly acknowledging </w:t>
      </w:r>
      <w:r w:rsidR="003F660A">
        <w:t xml:space="preserve">privileges as a researcher, a student and to come from a white background. To mitigate any biases in the research due to beliefs, </w:t>
      </w:r>
      <w:r w:rsidR="003F660A">
        <w:lastRenderedPageBreak/>
        <w:t xml:space="preserve">values or affiliations held, multiple methods of data collection and analysis, as well as peer debrief of analysis was used to uphold validity and reliability of research findings. Ongoing reflection and learning about researcher positionality </w:t>
      </w:r>
      <w:r w:rsidR="006F2E06">
        <w:t>were</w:t>
      </w:r>
      <w:r w:rsidR="003F660A">
        <w:t xml:space="preserve"> conducted throughout the research process, remaining open to feedback and being willing to adapt approach in light of new insights and understanding (Holmes, 2020). </w:t>
      </w:r>
    </w:p>
    <w:p w14:paraId="6A35A2A7" w14:textId="77777777" w:rsidR="00E41A90" w:rsidRDefault="00E41A90" w:rsidP="004966AF">
      <w:pPr>
        <w:spacing w:line="480" w:lineRule="auto"/>
        <w:rPr>
          <w:b/>
          <w:bCs/>
          <w:u w:val="single"/>
        </w:rPr>
      </w:pPr>
    </w:p>
    <w:p w14:paraId="21259F8D" w14:textId="2F6408E6" w:rsidR="00F85EA9" w:rsidRDefault="00E41A90" w:rsidP="004966AF">
      <w:pPr>
        <w:spacing w:line="480" w:lineRule="auto"/>
        <w:rPr>
          <w:b/>
          <w:bCs/>
          <w:u w:val="single"/>
        </w:rPr>
      </w:pPr>
      <w:r>
        <w:rPr>
          <w:b/>
          <w:bCs/>
          <w:u w:val="single"/>
        </w:rPr>
        <w:t>Results/ Analysis</w:t>
      </w:r>
    </w:p>
    <w:p w14:paraId="1383A502" w14:textId="77777777" w:rsidR="00E41A90" w:rsidRDefault="00E41A90" w:rsidP="004966AF">
      <w:pPr>
        <w:spacing w:line="480" w:lineRule="auto"/>
        <w:rPr>
          <w:b/>
          <w:bCs/>
          <w:u w:val="single"/>
        </w:rPr>
      </w:pPr>
    </w:p>
    <w:p w14:paraId="51B04633" w14:textId="702B2718" w:rsidR="00E102AD" w:rsidRDefault="00E102AD" w:rsidP="004966AF">
      <w:pPr>
        <w:spacing w:line="480" w:lineRule="auto"/>
        <w:rPr>
          <w:u w:val="single"/>
        </w:rPr>
      </w:pPr>
      <w:r w:rsidRPr="00E102AD">
        <w:rPr>
          <w:u w:val="single"/>
        </w:rPr>
        <w:t>Lesson Observation</w:t>
      </w:r>
    </w:p>
    <w:p w14:paraId="018418D6" w14:textId="77777777" w:rsidR="00E102AD" w:rsidRPr="00E102AD" w:rsidRDefault="00E102AD" w:rsidP="004966AF">
      <w:pPr>
        <w:spacing w:line="480" w:lineRule="auto"/>
        <w:rPr>
          <w:u w:val="single"/>
        </w:rPr>
      </w:pPr>
    </w:p>
    <w:p w14:paraId="3975AC24" w14:textId="7AA61CEA" w:rsidR="003F660A" w:rsidRDefault="0095566E" w:rsidP="004966AF">
      <w:pPr>
        <w:spacing w:line="480" w:lineRule="auto"/>
      </w:pPr>
      <w:r>
        <w:t>After conducting a thematic analysis on the classroom observation notes there were f</w:t>
      </w:r>
      <w:r w:rsidR="00C77ED7">
        <w:t xml:space="preserve">our </w:t>
      </w:r>
      <w:r>
        <w:t xml:space="preserve">key themes which emerged. </w:t>
      </w:r>
    </w:p>
    <w:p w14:paraId="1E43573A" w14:textId="77777777" w:rsidR="00C77ED7" w:rsidRPr="00C77ED7" w:rsidRDefault="00C77ED7" w:rsidP="004966AF">
      <w:pPr>
        <w:spacing w:line="480" w:lineRule="auto"/>
      </w:pPr>
    </w:p>
    <w:p w14:paraId="5F7F384E" w14:textId="1AAB4180" w:rsidR="0095566E" w:rsidRDefault="0095566E" w:rsidP="004966AF">
      <w:pPr>
        <w:spacing w:line="480" w:lineRule="auto"/>
        <w:rPr>
          <w:b/>
          <w:bCs/>
        </w:rPr>
      </w:pPr>
      <w:r>
        <w:rPr>
          <w:b/>
          <w:bCs/>
        </w:rPr>
        <w:t xml:space="preserve">Theme </w:t>
      </w:r>
      <w:r w:rsidR="00AE26E0">
        <w:rPr>
          <w:b/>
          <w:bCs/>
        </w:rPr>
        <w:t>1</w:t>
      </w:r>
      <w:r>
        <w:rPr>
          <w:b/>
          <w:bCs/>
        </w:rPr>
        <w:t>: Factors Impacting Engagement</w:t>
      </w:r>
    </w:p>
    <w:p w14:paraId="016C3473" w14:textId="77777777" w:rsidR="00C77ED7" w:rsidRDefault="00C77ED7" w:rsidP="004966AF">
      <w:pPr>
        <w:spacing w:line="480" w:lineRule="auto"/>
        <w:rPr>
          <w:b/>
          <w:bCs/>
        </w:rPr>
      </w:pPr>
    </w:p>
    <w:p w14:paraId="70817570" w14:textId="4B5C93CB" w:rsidR="00C77ED7" w:rsidRDefault="00C77ED7" w:rsidP="004966AF">
      <w:pPr>
        <w:spacing w:line="480" w:lineRule="auto"/>
      </w:pPr>
      <w:r>
        <w:t>Individual student preferences and needs influence engagement levels, as evidenced by students’ task choices and requests for support. The level of scaffolding and support provided for each task option impacts students’ engagement, with some students requiring more guidance and assistance than others. External factors, such as classroom disruptions or interactions with peers, also affect student engagement</w:t>
      </w:r>
      <w:r w:rsidR="00AE26E0">
        <w:t>.</w:t>
      </w:r>
    </w:p>
    <w:p w14:paraId="27BC9B32" w14:textId="77777777" w:rsidR="00546E3C" w:rsidRPr="00546E3C" w:rsidRDefault="00546E3C" w:rsidP="004966AF">
      <w:pPr>
        <w:spacing w:line="480" w:lineRule="auto"/>
      </w:pPr>
    </w:p>
    <w:p w14:paraId="7AD7FD21" w14:textId="0EDF7729" w:rsidR="0095566E" w:rsidRDefault="0095566E" w:rsidP="004966AF">
      <w:pPr>
        <w:spacing w:line="480" w:lineRule="auto"/>
        <w:rPr>
          <w:b/>
          <w:bCs/>
        </w:rPr>
      </w:pPr>
      <w:r>
        <w:rPr>
          <w:b/>
          <w:bCs/>
        </w:rPr>
        <w:t xml:space="preserve">Theme </w:t>
      </w:r>
      <w:r w:rsidR="00AE26E0">
        <w:rPr>
          <w:b/>
          <w:bCs/>
        </w:rPr>
        <w:t>2</w:t>
      </w:r>
      <w:r>
        <w:rPr>
          <w:b/>
          <w:bCs/>
        </w:rPr>
        <w:t>: Opportunities for Extension and Challenge</w:t>
      </w:r>
    </w:p>
    <w:p w14:paraId="3BD1F114" w14:textId="77777777" w:rsidR="00C77ED7" w:rsidRDefault="00C77ED7" w:rsidP="004966AF">
      <w:pPr>
        <w:spacing w:line="480" w:lineRule="auto"/>
        <w:rPr>
          <w:b/>
          <w:bCs/>
        </w:rPr>
      </w:pPr>
    </w:p>
    <w:p w14:paraId="681CB00C" w14:textId="40FB035B" w:rsidR="00C77ED7" w:rsidRDefault="00C77ED7" w:rsidP="004966AF">
      <w:pPr>
        <w:spacing w:line="480" w:lineRule="auto"/>
      </w:pPr>
      <w:r>
        <w:lastRenderedPageBreak/>
        <w:t>Opportunities for extension activities, such as providing challenges for students who complete tasks early, contribute to maintaining high levels of engagement among motivated learners. These extension activities offer additional challenges and learning opportunities, keeping students actively involved and motivated to achieve.</w:t>
      </w:r>
    </w:p>
    <w:p w14:paraId="77A4D7A7" w14:textId="77777777" w:rsidR="00C77ED7" w:rsidRDefault="00C77ED7" w:rsidP="004966AF">
      <w:pPr>
        <w:spacing w:line="480" w:lineRule="auto"/>
      </w:pPr>
    </w:p>
    <w:p w14:paraId="23AEDFA0" w14:textId="25EFE458" w:rsidR="00E102AD" w:rsidRPr="004966AF" w:rsidRDefault="00E102AD" w:rsidP="004966AF">
      <w:pPr>
        <w:spacing w:line="480" w:lineRule="auto"/>
        <w:rPr>
          <w:u w:val="single"/>
        </w:rPr>
      </w:pPr>
      <w:r w:rsidRPr="00E102AD">
        <w:rPr>
          <w:u w:val="single"/>
        </w:rPr>
        <w:t>Questionnaire</w:t>
      </w:r>
    </w:p>
    <w:p w14:paraId="7E30BC99" w14:textId="2EC0331E" w:rsidR="00E102AD" w:rsidRDefault="00E102AD" w:rsidP="004966AF">
      <w:pPr>
        <w:spacing w:line="480" w:lineRule="auto"/>
        <w:jc w:val="center"/>
      </w:pPr>
      <w:r>
        <w:rPr>
          <w:noProof/>
        </w:rPr>
        <w:drawing>
          <wp:inline distT="0" distB="0" distL="0" distR="0" wp14:anchorId="40332D39" wp14:editId="132B59EB">
            <wp:extent cx="3597310" cy="1929283"/>
            <wp:effectExtent l="0" t="0" r="9525" b="13970"/>
            <wp:docPr id="744860284" name="Chart 1">
              <a:extLst xmlns:a="http://schemas.openxmlformats.org/drawingml/2006/main">
                <a:ext uri="{FF2B5EF4-FFF2-40B4-BE49-F238E27FC236}">
                  <a16:creationId xmlns:a16="http://schemas.microsoft.com/office/drawing/2014/main" id="{EF23EA39-2E36-873E-7ABD-F518B8C1EA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0AF5893" w14:textId="77777777" w:rsidR="00E102AD" w:rsidRDefault="00E102AD" w:rsidP="004966AF">
      <w:pPr>
        <w:spacing w:line="480" w:lineRule="auto"/>
      </w:pPr>
    </w:p>
    <w:p w14:paraId="446BCB87" w14:textId="1869394B" w:rsidR="00E102AD" w:rsidRDefault="00E102AD" w:rsidP="004966AF">
      <w:pPr>
        <w:spacing w:line="480" w:lineRule="auto"/>
      </w:pPr>
      <w:r>
        <w:t xml:space="preserve">Two thirds of participants demonstrated either a positive or indifferent view towards the use of choice of challenge. </w:t>
      </w:r>
    </w:p>
    <w:p w14:paraId="356917BE" w14:textId="2546D502" w:rsidR="00E102AD" w:rsidRDefault="00E102AD" w:rsidP="004966AF">
      <w:pPr>
        <w:spacing w:line="480" w:lineRule="auto"/>
      </w:pPr>
    </w:p>
    <w:p w14:paraId="45B8F88D" w14:textId="3786A68A" w:rsidR="00E102AD" w:rsidRDefault="00E102AD" w:rsidP="004966AF">
      <w:pPr>
        <w:spacing w:line="480" w:lineRule="auto"/>
        <w:jc w:val="center"/>
      </w:pPr>
      <w:r>
        <w:rPr>
          <w:noProof/>
        </w:rPr>
        <w:drawing>
          <wp:inline distT="0" distB="0" distL="0" distR="0" wp14:anchorId="43AFC4E4" wp14:editId="1E0970B7">
            <wp:extent cx="3657600" cy="1909187"/>
            <wp:effectExtent l="0" t="0" r="12700" b="8890"/>
            <wp:docPr id="554657068" name="Chart 1">
              <a:extLst xmlns:a="http://schemas.openxmlformats.org/drawingml/2006/main">
                <a:ext uri="{FF2B5EF4-FFF2-40B4-BE49-F238E27FC236}">
                  <a16:creationId xmlns:a16="http://schemas.microsoft.com/office/drawing/2014/main" id="{8A11CCAB-9AE9-01AD-E551-E7A2379EDF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A3DBE8A" w14:textId="77777777" w:rsidR="00093B96" w:rsidRDefault="00093B96" w:rsidP="004966AF">
      <w:pPr>
        <w:spacing w:line="480" w:lineRule="auto"/>
      </w:pPr>
    </w:p>
    <w:p w14:paraId="6543CCCD" w14:textId="74897482" w:rsidR="00E102AD" w:rsidRDefault="00093B96" w:rsidP="004966AF">
      <w:pPr>
        <w:spacing w:line="480" w:lineRule="auto"/>
      </w:pPr>
      <w:r>
        <w:lastRenderedPageBreak/>
        <w:t>Most participants were once again either demonstrating agreement or indifference towards the use of choice of challenge. There were two participants who demonstrated a dislike of being able to choose their challenge based on confidence.</w:t>
      </w:r>
    </w:p>
    <w:p w14:paraId="452CE9E8" w14:textId="77777777" w:rsidR="00093B96" w:rsidRDefault="00093B96" w:rsidP="004966AF">
      <w:pPr>
        <w:spacing w:line="480" w:lineRule="auto"/>
      </w:pPr>
    </w:p>
    <w:p w14:paraId="4E13D8B4" w14:textId="34112B5F" w:rsidR="00E102AD" w:rsidRDefault="00E102AD" w:rsidP="004966AF">
      <w:pPr>
        <w:spacing w:line="480" w:lineRule="auto"/>
        <w:jc w:val="center"/>
      </w:pPr>
      <w:r>
        <w:rPr>
          <w:noProof/>
        </w:rPr>
        <w:drawing>
          <wp:inline distT="0" distB="0" distL="0" distR="0" wp14:anchorId="11B9AE16" wp14:editId="55FE6868">
            <wp:extent cx="3888712" cy="2069961"/>
            <wp:effectExtent l="0" t="0" r="10795" b="13335"/>
            <wp:docPr id="579387265" name="Chart 1">
              <a:extLst xmlns:a="http://schemas.openxmlformats.org/drawingml/2006/main">
                <a:ext uri="{FF2B5EF4-FFF2-40B4-BE49-F238E27FC236}">
                  <a16:creationId xmlns:a16="http://schemas.microsoft.com/office/drawing/2014/main" id="{23A52174-C1D3-29F9-8C84-DFD53A2EE6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FE8B85" w14:textId="77777777" w:rsidR="00093B96" w:rsidRDefault="00093B96" w:rsidP="004966AF">
      <w:pPr>
        <w:spacing w:line="480" w:lineRule="auto"/>
      </w:pPr>
    </w:p>
    <w:p w14:paraId="440859F7" w14:textId="0B1FEDC0" w:rsidR="00093B96" w:rsidRDefault="00093B96" w:rsidP="004966AF">
      <w:pPr>
        <w:spacing w:line="480" w:lineRule="auto"/>
      </w:pPr>
      <w:r>
        <w:t>Half of the participants strongly agreed that they feel more motivated to learn when given a choice of challenge.</w:t>
      </w:r>
    </w:p>
    <w:p w14:paraId="40F4DB95" w14:textId="77777777" w:rsidR="00E102AD" w:rsidRDefault="00E102AD" w:rsidP="004966AF">
      <w:pPr>
        <w:spacing w:line="480" w:lineRule="auto"/>
        <w:jc w:val="center"/>
      </w:pPr>
    </w:p>
    <w:p w14:paraId="55E39766" w14:textId="1095AD6B" w:rsidR="00E102AD" w:rsidRDefault="00E102AD" w:rsidP="004966AF">
      <w:pPr>
        <w:spacing w:line="480" w:lineRule="auto"/>
        <w:jc w:val="center"/>
      </w:pPr>
      <w:r>
        <w:rPr>
          <w:noProof/>
        </w:rPr>
        <w:drawing>
          <wp:inline distT="0" distB="0" distL="0" distR="0" wp14:anchorId="592AA98A" wp14:editId="7AFBB61A">
            <wp:extent cx="4119824" cy="1989574"/>
            <wp:effectExtent l="0" t="0" r="8255" b="17145"/>
            <wp:docPr id="1778100070" name="Chart 1">
              <a:extLst xmlns:a="http://schemas.openxmlformats.org/drawingml/2006/main">
                <a:ext uri="{FF2B5EF4-FFF2-40B4-BE49-F238E27FC236}">
                  <a16:creationId xmlns:a16="http://schemas.microsoft.com/office/drawing/2014/main" id="{ECB10406-D11B-C39A-F1EB-E06188E198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D2597E" w14:textId="77777777" w:rsidR="00E102AD" w:rsidRDefault="00E102AD" w:rsidP="004966AF">
      <w:pPr>
        <w:spacing w:line="480" w:lineRule="auto"/>
      </w:pPr>
    </w:p>
    <w:p w14:paraId="42C1C5C2" w14:textId="3605E704" w:rsidR="00093B96" w:rsidRDefault="00093B96" w:rsidP="004966AF">
      <w:pPr>
        <w:spacing w:line="480" w:lineRule="auto"/>
      </w:pPr>
      <w:r>
        <w:t xml:space="preserve">Four out of six participants stated that they feel very proud when choosing a more challenging task and completing it successfully. </w:t>
      </w:r>
    </w:p>
    <w:p w14:paraId="64AF4A3B" w14:textId="77777777" w:rsidR="00093B96" w:rsidRDefault="00093B96" w:rsidP="004966AF">
      <w:pPr>
        <w:spacing w:line="480" w:lineRule="auto"/>
      </w:pPr>
    </w:p>
    <w:p w14:paraId="419A4E11" w14:textId="6CE40079" w:rsidR="00E102AD" w:rsidRDefault="00E102AD" w:rsidP="004966AF">
      <w:pPr>
        <w:spacing w:line="480" w:lineRule="auto"/>
        <w:jc w:val="center"/>
      </w:pPr>
      <w:r>
        <w:rPr>
          <w:noProof/>
        </w:rPr>
        <w:lastRenderedPageBreak/>
        <w:drawing>
          <wp:inline distT="0" distB="0" distL="0" distR="0" wp14:anchorId="01F30BE9" wp14:editId="6513987B">
            <wp:extent cx="4089623" cy="1999622"/>
            <wp:effectExtent l="0" t="0" r="12700" b="6985"/>
            <wp:docPr id="1815824005" name="Chart 1">
              <a:extLst xmlns:a="http://schemas.openxmlformats.org/drawingml/2006/main">
                <a:ext uri="{FF2B5EF4-FFF2-40B4-BE49-F238E27FC236}">
                  <a16:creationId xmlns:a16="http://schemas.microsoft.com/office/drawing/2014/main" id="{9E449ACD-FBD7-B9D3-DAEC-37194D1A7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39F319" w14:textId="77777777" w:rsidR="00546E3C" w:rsidRDefault="00546E3C" w:rsidP="004966AF">
      <w:pPr>
        <w:spacing w:line="480" w:lineRule="auto"/>
      </w:pPr>
    </w:p>
    <w:p w14:paraId="2675BCFF" w14:textId="3AB4AC12" w:rsidR="00E102AD" w:rsidRDefault="003B4019" w:rsidP="004966AF">
      <w:pPr>
        <w:spacing w:line="480" w:lineRule="auto"/>
      </w:pPr>
      <w:r>
        <w:t xml:space="preserve">Two thirds of participants </w:t>
      </w:r>
      <w:r w:rsidR="00E43F6A">
        <w:t>strongly agreed that choice and challenge help them to understand their learning more clearly.</w:t>
      </w:r>
    </w:p>
    <w:p w14:paraId="5CAEDA7B" w14:textId="77777777" w:rsidR="00093B96" w:rsidRDefault="00093B96" w:rsidP="004966AF">
      <w:pPr>
        <w:spacing w:line="480" w:lineRule="auto"/>
      </w:pPr>
    </w:p>
    <w:p w14:paraId="720F3416" w14:textId="03E5EE74" w:rsidR="00E102AD" w:rsidRDefault="00E102AD" w:rsidP="004966AF">
      <w:pPr>
        <w:spacing w:line="480" w:lineRule="auto"/>
        <w:jc w:val="center"/>
      </w:pPr>
      <w:r>
        <w:rPr>
          <w:noProof/>
        </w:rPr>
        <w:drawing>
          <wp:inline distT="0" distB="0" distL="0" distR="0" wp14:anchorId="26F9810E" wp14:editId="379FCD27">
            <wp:extent cx="4099448" cy="1949380"/>
            <wp:effectExtent l="0" t="0" r="15875" b="6985"/>
            <wp:docPr id="411312064" name="Chart 1">
              <a:extLst xmlns:a="http://schemas.openxmlformats.org/drawingml/2006/main">
                <a:ext uri="{FF2B5EF4-FFF2-40B4-BE49-F238E27FC236}">
                  <a16:creationId xmlns:a16="http://schemas.microsoft.com/office/drawing/2014/main" id="{9E273C88-8637-EAB6-D2D2-31F7DC549C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617995" w14:textId="77777777" w:rsidR="00E43F6A" w:rsidRDefault="00E43F6A" w:rsidP="004966AF">
      <w:pPr>
        <w:spacing w:line="480" w:lineRule="auto"/>
      </w:pPr>
    </w:p>
    <w:p w14:paraId="2036623D" w14:textId="7DC425AE" w:rsidR="00E43F6A" w:rsidRDefault="00E43F6A" w:rsidP="004966AF">
      <w:pPr>
        <w:spacing w:line="480" w:lineRule="auto"/>
      </w:pPr>
      <w:r>
        <w:t>Five out of six participants stated that they felt very determined or determined to complete the task when choosing a task that is too difficult for them.</w:t>
      </w:r>
    </w:p>
    <w:p w14:paraId="38523919" w14:textId="77777777" w:rsidR="00E102AD" w:rsidRDefault="00E102AD" w:rsidP="004966AF">
      <w:pPr>
        <w:spacing w:line="480" w:lineRule="auto"/>
        <w:jc w:val="center"/>
      </w:pPr>
    </w:p>
    <w:p w14:paraId="53DC2535" w14:textId="6B501135" w:rsidR="00E102AD" w:rsidRPr="00E102AD" w:rsidRDefault="00E102AD" w:rsidP="004966AF">
      <w:pPr>
        <w:spacing w:line="480" w:lineRule="auto"/>
        <w:jc w:val="center"/>
      </w:pPr>
      <w:r>
        <w:rPr>
          <w:noProof/>
        </w:rPr>
        <w:lastRenderedPageBreak/>
        <w:drawing>
          <wp:inline distT="0" distB="0" distL="0" distR="0" wp14:anchorId="79B1208D" wp14:editId="23E3A516">
            <wp:extent cx="4160018" cy="2140299"/>
            <wp:effectExtent l="0" t="0" r="18415" b="6350"/>
            <wp:docPr id="488405760" name="Chart 1">
              <a:extLst xmlns:a="http://schemas.openxmlformats.org/drawingml/2006/main">
                <a:ext uri="{FF2B5EF4-FFF2-40B4-BE49-F238E27FC236}">
                  <a16:creationId xmlns:a16="http://schemas.microsoft.com/office/drawing/2014/main" id="{BF7A33CF-C315-1A13-0DE3-0DADD2688B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BDC884" w14:textId="77777777" w:rsidR="00093B96" w:rsidRDefault="00093B96" w:rsidP="004966AF">
      <w:pPr>
        <w:spacing w:line="480" w:lineRule="auto"/>
        <w:rPr>
          <w:b/>
          <w:bCs/>
          <w:u w:val="single"/>
        </w:rPr>
      </w:pPr>
    </w:p>
    <w:p w14:paraId="6B1CEEBD" w14:textId="6E20F3BB" w:rsidR="00E43F6A" w:rsidRDefault="00E43F6A" w:rsidP="004966AF">
      <w:pPr>
        <w:spacing w:line="480" w:lineRule="auto"/>
      </w:pPr>
      <w:r w:rsidRPr="00E43F6A">
        <w:t>Half of participants strongly agreed that choice and challenge helped learners to devel</w:t>
      </w:r>
      <w:r>
        <w:t>o</w:t>
      </w:r>
      <w:r w:rsidRPr="00E43F6A">
        <w:t xml:space="preserve">p a more positive self-concept. </w:t>
      </w:r>
    </w:p>
    <w:p w14:paraId="24715416" w14:textId="77777777" w:rsidR="00E43F6A" w:rsidRDefault="00E43F6A" w:rsidP="004966AF">
      <w:pPr>
        <w:spacing w:line="480" w:lineRule="auto"/>
      </w:pPr>
    </w:p>
    <w:p w14:paraId="06E13850" w14:textId="5847A6EC" w:rsidR="00946718" w:rsidRDefault="00E43F6A" w:rsidP="004966AF">
      <w:pPr>
        <w:spacing w:line="480" w:lineRule="auto"/>
      </w:pPr>
      <w:r>
        <w:t xml:space="preserve">A Spearman’s rho analysis was conducted on each of the questions to determine a correlation between variables. A significant relationship was found between </w:t>
      </w:r>
      <w:r w:rsidR="00946718">
        <w:t xml:space="preserve">learner sense of achievement (Question 4) and learner perception of choice and challenge (Question 1), </w:t>
      </w:r>
      <w:proofErr w:type="gramStart"/>
      <w:r w:rsidR="00946718" w:rsidRPr="00946718">
        <w:rPr>
          <w:i/>
          <w:iCs/>
        </w:rPr>
        <w:t>r</w:t>
      </w:r>
      <w:r w:rsidR="00946718">
        <w:t>(</w:t>
      </w:r>
      <w:proofErr w:type="gramEnd"/>
      <w:r w:rsidR="00946718">
        <w:t>6) = [.91],</w:t>
      </w:r>
      <w:r w:rsidR="00946718" w:rsidRPr="00946718">
        <w:rPr>
          <w:i/>
          <w:iCs/>
        </w:rPr>
        <w:t>p</w:t>
      </w:r>
      <w:r w:rsidR="00946718">
        <w:t xml:space="preserve">=[&lt;.05]. Additionally, a significant relationship was found between learner </w:t>
      </w:r>
      <w:r w:rsidR="00AE26E0">
        <w:t xml:space="preserve">motivation </w:t>
      </w:r>
      <w:r w:rsidR="00946718">
        <w:t xml:space="preserve">(Question 6) and learner perception of choice and challenge (Question 1), </w:t>
      </w:r>
      <w:proofErr w:type="gramStart"/>
      <w:r w:rsidR="00946718" w:rsidRPr="00946718">
        <w:rPr>
          <w:i/>
          <w:iCs/>
        </w:rPr>
        <w:t>r</w:t>
      </w:r>
      <w:r w:rsidR="00946718">
        <w:t>(</w:t>
      </w:r>
      <w:proofErr w:type="gramEnd"/>
      <w:r w:rsidR="00946718">
        <w:t>6) = [.89],</w:t>
      </w:r>
      <w:r w:rsidR="00946718" w:rsidRPr="00946718">
        <w:rPr>
          <w:i/>
          <w:iCs/>
        </w:rPr>
        <w:t>p</w:t>
      </w:r>
      <w:r w:rsidR="00946718">
        <w:t>=[&lt;.05]</w:t>
      </w:r>
    </w:p>
    <w:p w14:paraId="2BFDD40F" w14:textId="65C605A3" w:rsidR="00C845A1" w:rsidRDefault="00C845A1" w:rsidP="004966AF">
      <w:pPr>
        <w:spacing w:line="480" w:lineRule="auto"/>
      </w:pPr>
    </w:p>
    <w:p w14:paraId="5914774E" w14:textId="41DF8C66" w:rsidR="00C845A1" w:rsidRDefault="00C845A1" w:rsidP="004966AF">
      <w:pPr>
        <w:spacing w:line="480" w:lineRule="auto"/>
      </w:pPr>
      <w:r>
        <w:t xml:space="preserve">An additional thematic analysis was conducted on Question 8 to Question 10 of the questionnaire. </w:t>
      </w:r>
    </w:p>
    <w:p w14:paraId="35FEAA0A" w14:textId="77777777" w:rsidR="00CD1996" w:rsidRDefault="00CD1996" w:rsidP="004966AF">
      <w:pPr>
        <w:spacing w:line="480" w:lineRule="auto"/>
      </w:pPr>
    </w:p>
    <w:p w14:paraId="2F206477" w14:textId="1CECBAEB" w:rsidR="00CD1996" w:rsidRDefault="00CD1996" w:rsidP="004966AF">
      <w:pPr>
        <w:spacing w:line="480" w:lineRule="auto"/>
        <w:rPr>
          <w:b/>
          <w:bCs/>
        </w:rPr>
      </w:pPr>
      <w:r w:rsidRPr="00CD1996">
        <w:rPr>
          <w:b/>
          <w:bCs/>
        </w:rPr>
        <w:t xml:space="preserve">Theme </w:t>
      </w:r>
      <w:r>
        <w:rPr>
          <w:b/>
          <w:bCs/>
        </w:rPr>
        <w:t>1</w:t>
      </w:r>
      <w:r w:rsidRPr="00CD1996">
        <w:rPr>
          <w:b/>
          <w:bCs/>
        </w:rPr>
        <w:t xml:space="preserve">: Desire for alteration or improvement </w:t>
      </w:r>
    </w:p>
    <w:p w14:paraId="6040D41C" w14:textId="7DEECA75" w:rsidR="00CD1996" w:rsidRDefault="00CD1996" w:rsidP="004966AF">
      <w:pPr>
        <w:spacing w:line="480" w:lineRule="auto"/>
      </w:pPr>
      <w:r>
        <w:t xml:space="preserve">This theme is represented by the responses </w:t>
      </w:r>
      <w:r w:rsidR="00546E3C">
        <w:t>that indicate a learner desire for change. Some learners suggest the need for easier tasks or activities, whilst others propose specific alteration to the choices.</w:t>
      </w:r>
    </w:p>
    <w:p w14:paraId="6859A671" w14:textId="77777777" w:rsidR="00CD1996" w:rsidRPr="00CD1996" w:rsidRDefault="00CD1996" w:rsidP="004966AF">
      <w:pPr>
        <w:spacing w:line="480" w:lineRule="auto"/>
      </w:pPr>
    </w:p>
    <w:p w14:paraId="50DF6C0C" w14:textId="5AEB9235" w:rsidR="00CD1996" w:rsidRDefault="00CD1996" w:rsidP="004966AF">
      <w:pPr>
        <w:spacing w:line="480" w:lineRule="auto"/>
        <w:rPr>
          <w:b/>
          <w:bCs/>
        </w:rPr>
      </w:pPr>
      <w:r w:rsidRPr="00CD1996">
        <w:rPr>
          <w:b/>
          <w:bCs/>
        </w:rPr>
        <w:t xml:space="preserve">Theme </w:t>
      </w:r>
      <w:r>
        <w:rPr>
          <w:b/>
          <w:bCs/>
        </w:rPr>
        <w:t>2</w:t>
      </w:r>
      <w:r w:rsidRPr="00CD1996">
        <w:rPr>
          <w:b/>
          <w:bCs/>
        </w:rPr>
        <w:t xml:space="preserve">: Satisfaction and achievement </w:t>
      </w:r>
    </w:p>
    <w:p w14:paraId="60360641" w14:textId="77777777" w:rsidR="00546E3C" w:rsidRDefault="00546E3C" w:rsidP="004966AF">
      <w:pPr>
        <w:spacing w:line="480" w:lineRule="auto"/>
        <w:rPr>
          <w:b/>
          <w:bCs/>
        </w:rPr>
      </w:pPr>
    </w:p>
    <w:p w14:paraId="353C51CD" w14:textId="25081F0B" w:rsidR="00546E3C" w:rsidRDefault="00546E3C" w:rsidP="004966AF">
      <w:pPr>
        <w:spacing w:line="480" w:lineRule="auto"/>
      </w:pPr>
      <w:r>
        <w:t xml:space="preserve">Responses indicated that some classmates felt a sense of pride or accomplishment when they successfully complete tasks. This theme suggests that choices in activities can influence students’ emotional responses and perceptions of achievement. </w:t>
      </w:r>
    </w:p>
    <w:p w14:paraId="47359871" w14:textId="77777777" w:rsidR="00546E3C" w:rsidRPr="00546E3C" w:rsidRDefault="00546E3C" w:rsidP="004966AF">
      <w:pPr>
        <w:spacing w:line="480" w:lineRule="auto"/>
      </w:pPr>
    </w:p>
    <w:p w14:paraId="61B51865" w14:textId="461AAD63" w:rsidR="00CD1996" w:rsidRDefault="00CD1996" w:rsidP="004966AF">
      <w:pPr>
        <w:spacing w:line="480" w:lineRule="auto"/>
        <w:rPr>
          <w:b/>
          <w:bCs/>
        </w:rPr>
      </w:pPr>
      <w:r w:rsidRPr="00CD1996">
        <w:rPr>
          <w:b/>
          <w:bCs/>
        </w:rPr>
        <w:t xml:space="preserve">Theme </w:t>
      </w:r>
      <w:r>
        <w:rPr>
          <w:b/>
          <w:bCs/>
        </w:rPr>
        <w:t>3</w:t>
      </w:r>
      <w:r w:rsidRPr="00CD1996">
        <w:rPr>
          <w:b/>
          <w:bCs/>
        </w:rPr>
        <w:t xml:space="preserve">: Preference for ease or difficulty </w:t>
      </w:r>
    </w:p>
    <w:p w14:paraId="4583BF67" w14:textId="77777777" w:rsidR="00546E3C" w:rsidRDefault="00546E3C" w:rsidP="004966AF">
      <w:pPr>
        <w:spacing w:line="480" w:lineRule="auto"/>
        <w:rPr>
          <w:b/>
          <w:bCs/>
        </w:rPr>
      </w:pPr>
    </w:p>
    <w:p w14:paraId="5C6AAEEA" w14:textId="1C44C596" w:rsidR="00CD1996" w:rsidRDefault="00546E3C" w:rsidP="004966AF">
      <w:pPr>
        <w:spacing w:line="480" w:lineRule="auto"/>
      </w:pPr>
      <w:r>
        <w:t xml:space="preserve">Some responses suggested an awareness of learners that their classmates often opt for tasks they perceive to be easier, possibly to avoid challenges or complete the work more quickly. </w:t>
      </w:r>
    </w:p>
    <w:p w14:paraId="6AD64515" w14:textId="77777777" w:rsidR="00546E3C" w:rsidRDefault="00546E3C" w:rsidP="004966AF">
      <w:pPr>
        <w:spacing w:line="480" w:lineRule="auto"/>
      </w:pPr>
    </w:p>
    <w:p w14:paraId="26B74C7C" w14:textId="2BF88A2B" w:rsidR="00546E3C" w:rsidRDefault="00AE26E0" w:rsidP="004966AF">
      <w:pPr>
        <w:spacing w:line="480" w:lineRule="auto"/>
        <w:rPr>
          <w:b/>
          <w:bCs/>
          <w:u w:val="single"/>
        </w:rPr>
      </w:pPr>
      <w:r>
        <w:rPr>
          <w:b/>
          <w:bCs/>
          <w:u w:val="single"/>
        </w:rPr>
        <w:t>Discussion</w:t>
      </w:r>
    </w:p>
    <w:p w14:paraId="335B2D2E" w14:textId="77777777" w:rsidR="005F7D05" w:rsidRDefault="005F7D05" w:rsidP="004966AF">
      <w:pPr>
        <w:spacing w:line="480" w:lineRule="auto"/>
        <w:rPr>
          <w:b/>
          <w:bCs/>
          <w:u w:val="single"/>
        </w:rPr>
      </w:pPr>
    </w:p>
    <w:p w14:paraId="0D87A2E7" w14:textId="0C982DD6" w:rsidR="005A0DE3" w:rsidRPr="00D05BB9" w:rsidRDefault="005A0DE3" w:rsidP="004966AF">
      <w:pPr>
        <w:spacing w:line="480" w:lineRule="auto"/>
        <w:rPr>
          <w:b/>
          <w:bCs/>
          <w:u w:val="single"/>
        </w:rPr>
      </w:pPr>
      <w:r w:rsidRPr="00AE26E0">
        <w:t xml:space="preserve">The data collected from both the classroom observation and participant questionnaire </w:t>
      </w:r>
      <w:r>
        <w:t xml:space="preserve">highlight key areas of interest when using choice and challenge. Pie chart analysis demonstrated an overall positive reception of learners for choice and challenge, suggesting that learners are supportive of this use of differentiation. In line with the findings of Bolivar and </w:t>
      </w:r>
      <w:proofErr w:type="spellStart"/>
      <w:r>
        <w:t>Capsada-Munsech’s</w:t>
      </w:r>
      <w:proofErr w:type="spellEnd"/>
      <w:r>
        <w:t xml:space="preserve"> (2021) learner motivation was significantly correlated with learner perception of choice and challenge, implying that when learners have a positive view of choosing their level of differentiation, their motivation to learn increases. The nature of a correlational analysis however does not determine the meaning behind the relationship; therefore, causality cannot be assumed (MacFarland </w:t>
      </w:r>
      <w:r>
        <w:lastRenderedPageBreak/>
        <w:t>and Yates, 2016). Moreover, a Spearman’s correlation assesses monotonic relationships, and so the relationship between motivation and participant views of choice and challenge cannot be assumed to be linear, moving at the same rate as one another (</w:t>
      </w:r>
      <w:proofErr w:type="spellStart"/>
      <w:r>
        <w:t>Alsaqr</w:t>
      </w:r>
      <w:proofErr w:type="spellEnd"/>
      <w:r>
        <w:t xml:space="preserve">, 2021). An additional finding of interest was that learner sense of achievement was significantly correlated with learner perception of choice and challenge. These findings </w:t>
      </w:r>
      <w:r>
        <w:t>illuminate</w:t>
      </w:r>
      <w:r>
        <w:t xml:space="preserve"> the benefit of choice and challenge over ability grouping on learner self-concept (</w:t>
      </w:r>
      <w:proofErr w:type="spellStart"/>
      <w:r>
        <w:t>MacIntre</w:t>
      </w:r>
      <w:proofErr w:type="spellEnd"/>
      <w:r>
        <w:t xml:space="preserve"> and Ireson, 2013). The results of thematic analysis however, shed more light on the individual experiences of learners. Some learners voiced their concerns that some of their peers choose the ‘easier’ option as it is less work, which highlights a limitation of the differentiation strategy. This attitude appears to demonstrate a lack of motivation from particular learners, who find the strategy a way of choosing the quickest route, rather than the most challenging. </w:t>
      </w:r>
    </w:p>
    <w:p w14:paraId="473805D3" w14:textId="77777777" w:rsidR="00AE26E0" w:rsidRPr="00AE26E0" w:rsidRDefault="00AE26E0" w:rsidP="004966AF">
      <w:pPr>
        <w:spacing w:line="480" w:lineRule="auto"/>
      </w:pPr>
    </w:p>
    <w:p w14:paraId="3C520304" w14:textId="15FCA1DE" w:rsidR="00E41A90" w:rsidRDefault="00E41A90" w:rsidP="004966AF">
      <w:pPr>
        <w:spacing w:line="480" w:lineRule="auto"/>
        <w:rPr>
          <w:b/>
          <w:bCs/>
          <w:u w:val="single"/>
        </w:rPr>
      </w:pPr>
      <w:r>
        <w:rPr>
          <w:b/>
          <w:bCs/>
          <w:u w:val="single"/>
        </w:rPr>
        <w:t>Conclusions</w:t>
      </w:r>
      <w:r w:rsidR="00D05BB9">
        <w:rPr>
          <w:b/>
          <w:bCs/>
          <w:u w:val="single"/>
        </w:rPr>
        <w:t xml:space="preserve"> / Recommendations</w:t>
      </w:r>
    </w:p>
    <w:p w14:paraId="6DCF8FCC" w14:textId="77777777" w:rsidR="006F2E06" w:rsidRDefault="006F2E06" w:rsidP="004966AF">
      <w:pPr>
        <w:spacing w:line="480" w:lineRule="auto"/>
        <w:rPr>
          <w:b/>
          <w:bCs/>
          <w:u w:val="single"/>
        </w:rPr>
      </w:pPr>
    </w:p>
    <w:p w14:paraId="0BE3E7DC" w14:textId="78ACEEFD" w:rsidR="00E41A90" w:rsidRDefault="00D05BB9" w:rsidP="004966AF">
      <w:pPr>
        <w:spacing w:line="480" w:lineRule="auto"/>
      </w:pPr>
      <w:r>
        <w:t xml:space="preserve">The methods of data collection in the present study were conducted within a Year 3 class, with six participants as the sample for the questionnaire. For the findings of the present study to be generalisable the sample size would need to be significantly larger, with </w:t>
      </w:r>
      <w:r w:rsidR="00CB7B53">
        <w:t>samples from a selection of schools ranging in age groups</w:t>
      </w:r>
      <w:r w:rsidR="001D1F48">
        <w:t xml:space="preserve"> (Menon, 2019)</w:t>
      </w:r>
      <w:r w:rsidR="00CB7B53">
        <w:t xml:space="preserve">. This would allow for increased generalisability as the sample population would be more representative. However, the methods which were used for this case study were valid, with a random sampling method used, a peer debrief of data analysis and </w:t>
      </w:r>
      <w:r w:rsidR="005F7D05">
        <w:t xml:space="preserve">both quantitative and qualitative methods of analysis. </w:t>
      </w:r>
      <w:r w:rsidR="00CB7B53">
        <w:t xml:space="preserve">A limitation of the sample was that only eight learners gave consent to take part, therefore there was a small sample pool </w:t>
      </w:r>
      <w:r w:rsidR="00CB7B53">
        <w:lastRenderedPageBreak/>
        <w:t>for the random sample to be generated from. In terms of future research, I would like to be able to conduct further investigation into the reasoning behind learners opting for the easier challenge where they are capable of more challenging work. I would like to analyse this relationship further, looking into whether this might be mediated by learner confidence or motivation. This additional research would link to the Professional Standards by meeting the Continuing Professional Learning strand.</w:t>
      </w:r>
    </w:p>
    <w:p w14:paraId="31AABBAE" w14:textId="77777777" w:rsidR="00CB7B53" w:rsidRDefault="00CB7B53" w:rsidP="004966AF">
      <w:pPr>
        <w:spacing w:line="480" w:lineRule="auto"/>
      </w:pPr>
    </w:p>
    <w:p w14:paraId="650A0A01" w14:textId="77777777" w:rsidR="005A0DE3" w:rsidRDefault="00CB7B53" w:rsidP="004966AF">
      <w:pPr>
        <w:spacing w:line="480" w:lineRule="auto"/>
      </w:pPr>
      <w:proofErr w:type="gramStart"/>
      <w:r>
        <w:t>In light of</w:t>
      </w:r>
      <w:proofErr w:type="gramEnd"/>
      <w:r>
        <w:t xml:space="preserve"> this research, it is important for teachers to consider the benefits of this method on learner motivation and self-concept. Learners expressed a sense of achievement in getting to choose their own level of challenge and noted a sense of increased motivation in doing so. Carrying forward into my own teaching practice, I would like to ensure that my learners feel comfortable to perceive their own academic abilities as opposed to myself confining them into a bracket of ability. However, to the contrary it is important to note that teachers will have to be vigilant to learners who opt for the less challenging option as a route of avoiding being challenged.</w:t>
      </w:r>
    </w:p>
    <w:p w14:paraId="70CF2A8E" w14:textId="77777777" w:rsidR="005A0DE3" w:rsidRDefault="005A0DE3" w:rsidP="004966AF">
      <w:pPr>
        <w:spacing w:line="480" w:lineRule="auto"/>
        <w:rPr>
          <w:b/>
          <w:bCs/>
          <w:u w:val="single"/>
        </w:rPr>
      </w:pPr>
    </w:p>
    <w:p w14:paraId="2E638312" w14:textId="77777777" w:rsidR="0012043B" w:rsidRDefault="0012043B" w:rsidP="004966AF">
      <w:pPr>
        <w:spacing w:line="480" w:lineRule="auto"/>
        <w:rPr>
          <w:b/>
          <w:bCs/>
          <w:u w:val="single"/>
        </w:rPr>
      </w:pPr>
    </w:p>
    <w:p w14:paraId="5D5CA930" w14:textId="77777777" w:rsidR="0012043B" w:rsidRDefault="0012043B" w:rsidP="004966AF">
      <w:pPr>
        <w:spacing w:line="480" w:lineRule="auto"/>
        <w:rPr>
          <w:b/>
          <w:bCs/>
          <w:u w:val="single"/>
        </w:rPr>
      </w:pPr>
    </w:p>
    <w:p w14:paraId="3A644FFF" w14:textId="77777777" w:rsidR="0012043B" w:rsidRDefault="0012043B" w:rsidP="004966AF">
      <w:pPr>
        <w:spacing w:line="480" w:lineRule="auto"/>
        <w:rPr>
          <w:b/>
          <w:bCs/>
          <w:u w:val="single"/>
        </w:rPr>
      </w:pPr>
    </w:p>
    <w:p w14:paraId="6A06E6A5" w14:textId="77777777" w:rsidR="0012043B" w:rsidRDefault="0012043B" w:rsidP="004966AF">
      <w:pPr>
        <w:spacing w:line="480" w:lineRule="auto"/>
        <w:rPr>
          <w:b/>
          <w:bCs/>
          <w:u w:val="single"/>
        </w:rPr>
      </w:pPr>
    </w:p>
    <w:p w14:paraId="7F206D33" w14:textId="77777777" w:rsidR="0012043B" w:rsidRDefault="0012043B" w:rsidP="004966AF">
      <w:pPr>
        <w:spacing w:line="480" w:lineRule="auto"/>
        <w:rPr>
          <w:b/>
          <w:bCs/>
          <w:u w:val="single"/>
        </w:rPr>
      </w:pPr>
    </w:p>
    <w:p w14:paraId="17986D8B" w14:textId="77777777" w:rsidR="0012043B" w:rsidRDefault="0012043B" w:rsidP="004966AF">
      <w:pPr>
        <w:spacing w:line="480" w:lineRule="auto"/>
        <w:rPr>
          <w:b/>
          <w:bCs/>
          <w:u w:val="single"/>
        </w:rPr>
      </w:pPr>
    </w:p>
    <w:p w14:paraId="54205027" w14:textId="77777777" w:rsidR="0012043B" w:rsidRDefault="0012043B" w:rsidP="004966AF">
      <w:pPr>
        <w:spacing w:line="480" w:lineRule="auto"/>
        <w:rPr>
          <w:b/>
          <w:bCs/>
          <w:u w:val="single"/>
        </w:rPr>
      </w:pPr>
    </w:p>
    <w:p w14:paraId="5005F4A6" w14:textId="77777777" w:rsidR="0012043B" w:rsidRDefault="0012043B" w:rsidP="004966AF">
      <w:pPr>
        <w:spacing w:line="480" w:lineRule="auto"/>
        <w:rPr>
          <w:b/>
          <w:bCs/>
          <w:u w:val="single"/>
        </w:rPr>
      </w:pPr>
    </w:p>
    <w:p w14:paraId="33B5CB89" w14:textId="45232855" w:rsidR="00E41A90" w:rsidRPr="005A0DE3" w:rsidRDefault="00E41A90" w:rsidP="004966AF">
      <w:pPr>
        <w:spacing w:line="480" w:lineRule="auto"/>
      </w:pPr>
      <w:r>
        <w:rPr>
          <w:b/>
          <w:bCs/>
          <w:u w:val="single"/>
        </w:rPr>
        <w:lastRenderedPageBreak/>
        <w:t>Reference List</w:t>
      </w:r>
    </w:p>
    <w:p w14:paraId="0377D2A0" w14:textId="77777777" w:rsidR="00E41A90" w:rsidRDefault="00E41A90" w:rsidP="004966AF">
      <w:pPr>
        <w:spacing w:line="480" w:lineRule="auto"/>
        <w:rPr>
          <w:b/>
          <w:bCs/>
          <w:u w:val="single"/>
        </w:rPr>
      </w:pPr>
    </w:p>
    <w:p w14:paraId="274C9A87" w14:textId="77777777" w:rsidR="007A1FE0" w:rsidRDefault="007A1FE0" w:rsidP="004966AF">
      <w:pPr>
        <w:spacing w:line="480" w:lineRule="auto"/>
        <w:ind w:left="720" w:hanging="720"/>
      </w:pPr>
      <w:proofErr w:type="spellStart"/>
      <w:r w:rsidRPr="007A1FE0">
        <w:t>Almalki</w:t>
      </w:r>
      <w:proofErr w:type="spellEnd"/>
      <w:r w:rsidRPr="007A1FE0">
        <w:t xml:space="preserve">, S. (2016). ‘Integrating quantitative and qualitative data in mixed methods research – challenges and benefits’, </w:t>
      </w:r>
      <w:r w:rsidRPr="007A1FE0">
        <w:rPr>
          <w:i/>
          <w:iCs/>
        </w:rPr>
        <w:t>Journal of Education and Learning,</w:t>
      </w:r>
      <w:r w:rsidRPr="007A1FE0">
        <w:t xml:space="preserve"> 5(3), p.388.</w:t>
      </w:r>
    </w:p>
    <w:p w14:paraId="121EE93E" w14:textId="77777777" w:rsidR="007A1FE0" w:rsidRPr="007A1FE0" w:rsidRDefault="007A1FE0" w:rsidP="004966AF">
      <w:pPr>
        <w:spacing w:line="480" w:lineRule="auto"/>
        <w:ind w:left="720" w:hanging="720"/>
      </w:pPr>
    </w:p>
    <w:p w14:paraId="40D0EC6F" w14:textId="77777777" w:rsidR="007A1FE0" w:rsidRDefault="007A1FE0" w:rsidP="004966AF">
      <w:pPr>
        <w:spacing w:line="480" w:lineRule="auto"/>
        <w:ind w:left="720" w:hanging="720"/>
      </w:pPr>
      <w:proofErr w:type="spellStart"/>
      <w:r w:rsidRPr="007A1FE0">
        <w:t>Alsaqr</w:t>
      </w:r>
      <w:proofErr w:type="spellEnd"/>
      <w:r w:rsidRPr="007A1FE0">
        <w:t xml:space="preserve">, A. (2021). ‘Remarks on the use of Pearson’s and Spearman’s correlation coefficients in assessing relationships in ophthalmic data’, </w:t>
      </w:r>
      <w:r w:rsidRPr="007A1FE0">
        <w:rPr>
          <w:i/>
          <w:iCs/>
        </w:rPr>
        <w:t>African Vision and Eye Health</w:t>
      </w:r>
      <w:r w:rsidRPr="007A1FE0">
        <w:t>, 80(1).</w:t>
      </w:r>
    </w:p>
    <w:p w14:paraId="19D7165E" w14:textId="77777777" w:rsidR="007A1FE0" w:rsidRPr="007A1FE0" w:rsidRDefault="007A1FE0" w:rsidP="004966AF">
      <w:pPr>
        <w:spacing w:line="480" w:lineRule="auto"/>
        <w:ind w:left="720" w:hanging="720"/>
      </w:pPr>
    </w:p>
    <w:p w14:paraId="2A0B2B6D" w14:textId="77777777" w:rsidR="007A1FE0" w:rsidRDefault="007A1FE0" w:rsidP="004966AF">
      <w:pPr>
        <w:spacing w:line="480" w:lineRule="auto"/>
        <w:ind w:left="720" w:hanging="720"/>
      </w:pPr>
      <w:r w:rsidRPr="007A1FE0">
        <w:t xml:space="preserve">Bennett, A. (2004). </w:t>
      </w:r>
      <w:r w:rsidRPr="007A1FE0">
        <w:rPr>
          <w:i/>
          <w:iCs/>
        </w:rPr>
        <w:t>Case study methods: design, use, and comparative advantages.</w:t>
      </w:r>
      <w:r w:rsidRPr="007A1FE0">
        <w:t xml:space="preserve"> The University of Michigan Press.</w:t>
      </w:r>
    </w:p>
    <w:p w14:paraId="6CEDF5A1" w14:textId="77777777" w:rsidR="007A1FE0" w:rsidRPr="007A1FE0" w:rsidRDefault="007A1FE0" w:rsidP="004966AF">
      <w:pPr>
        <w:spacing w:line="480" w:lineRule="auto"/>
        <w:ind w:left="720" w:hanging="720"/>
      </w:pPr>
    </w:p>
    <w:p w14:paraId="098DCAEB" w14:textId="77777777" w:rsidR="007A1FE0" w:rsidRDefault="007A1FE0" w:rsidP="004966AF">
      <w:pPr>
        <w:spacing w:line="480" w:lineRule="auto"/>
        <w:ind w:left="720" w:hanging="720"/>
        <w:rPr>
          <w:color w:val="232323"/>
          <w:shd w:val="clear" w:color="auto" w:fill="FFFFFF"/>
        </w:rPr>
      </w:pPr>
      <w:r w:rsidRPr="007A1FE0">
        <w:rPr>
          <w:color w:val="232323"/>
          <w:shd w:val="clear" w:color="auto" w:fill="FFFFFF"/>
        </w:rPr>
        <w:t xml:space="preserve">Bloom, B. (1956) </w:t>
      </w:r>
      <w:r w:rsidRPr="007A1FE0">
        <w:rPr>
          <w:i/>
          <w:iCs/>
          <w:color w:val="232323"/>
          <w:shd w:val="clear" w:color="auto" w:fill="FFFFFF"/>
        </w:rPr>
        <w:t>Taxonomy of Educational Objectives, Handbook: The Cognitive Domain</w:t>
      </w:r>
      <w:r w:rsidRPr="007A1FE0">
        <w:rPr>
          <w:color w:val="232323"/>
          <w:shd w:val="clear" w:color="auto" w:fill="FFFFFF"/>
        </w:rPr>
        <w:t>. David McKay, New York.</w:t>
      </w:r>
    </w:p>
    <w:p w14:paraId="7A3CD37E" w14:textId="77777777" w:rsidR="007A1FE0" w:rsidRPr="007A1FE0" w:rsidRDefault="007A1FE0" w:rsidP="004966AF">
      <w:pPr>
        <w:spacing w:line="480" w:lineRule="auto"/>
        <w:ind w:left="720" w:hanging="720"/>
        <w:rPr>
          <w:color w:val="232323"/>
          <w:shd w:val="clear" w:color="auto" w:fill="FFFFFF"/>
        </w:rPr>
      </w:pPr>
    </w:p>
    <w:p w14:paraId="1FAE5671" w14:textId="77777777" w:rsidR="007A1FE0" w:rsidRDefault="007A1FE0" w:rsidP="004966AF">
      <w:pPr>
        <w:spacing w:line="480" w:lineRule="auto"/>
        <w:ind w:left="720" w:hanging="720"/>
      </w:pPr>
      <w:proofErr w:type="spellStart"/>
      <w:r w:rsidRPr="007A1FE0">
        <w:t>Boliver</w:t>
      </w:r>
      <w:proofErr w:type="spellEnd"/>
      <w:r w:rsidRPr="007A1FE0">
        <w:t xml:space="preserve">, V. and </w:t>
      </w:r>
      <w:proofErr w:type="spellStart"/>
      <w:r w:rsidRPr="007A1FE0">
        <w:t>Capsada-Munsech</w:t>
      </w:r>
      <w:proofErr w:type="spellEnd"/>
      <w:r w:rsidRPr="007A1FE0">
        <w:t>, Q. (2023). ‘Does grammar school attendance increase the likelihood of attending a prestigious UK university?’, British Educational Research Journal, 50(1), pp. 348-366.</w:t>
      </w:r>
    </w:p>
    <w:p w14:paraId="7F093853" w14:textId="77777777" w:rsidR="007A1FE0" w:rsidRPr="007A1FE0" w:rsidRDefault="007A1FE0" w:rsidP="004966AF">
      <w:pPr>
        <w:spacing w:line="480" w:lineRule="auto"/>
        <w:ind w:left="720" w:hanging="720"/>
      </w:pPr>
    </w:p>
    <w:p w14:paraId="7E36E1F2" w14:textId="77777777" w:rsidR="007A1FE0" w:rsidRDefault="007A1FE0" w:rsidP="004966AF">
      <w:pPr>
        <w:spacing w:line="480" w:lineRule="auto"/>
        <w:ind w:left="720" w:hanging="720"/>
      </w:pPr>
      <w:r w:rsidRPr="007A1FE0">
        <w:t>Bragg, S. (2016). ‘Perspectives on ‘Choice and Challenge’ in primary schools’,</w:t>
      </w:r>
      <w:r w:rsidRPr="007A1FE0">
        <w:rPr>
          <w:i/>
          <w:iCs/>
        </w:rPr>
        <w:t xml:space="preserve"> Improving schools</w:t>
      </w:r>
      <w:r w:rsidRPr="007A1FE0">
        <w:t>, 19(1), 80-93.</w:t>
      </w:r>
    </w:p>
    <w:p w14:paraId="6F3F574A" w14:textId="77777777" w:rsidR="007A1FE0" w:rsidRPr="007A1FE0" w:rsidRDefault="007A1FE0" w:rsidP="004966AF">
      <w:pPr>
        <w:spacing w:line="480" w:lineRule="auto"/>
        <w:ind w:left="720" w:hanging="720"/>
      </w:pPr>
    </w:p>
    <w:p w14:paraId="1A870A43" w14:textId="77777777" w:rsidR="007A1FE0" w:rsidRDefault="007A1FE0" w:rsidP="004966AF">
      <w:pPr>
        <w:spacing w:line="480" w:lineRule="auto"/>
        <w:ind w:left="720" w:hanging="720"/>
      </w:pPr>
      <w:r w:rsidRPr="007A1FE0">
        <w:t xml:space="preserve">Braun, V. and Clarke, V. (2012). </w:t>
      </w:r>
      <w:r w:rsidRPr="007A1FE0">
        <w:rPr>
          <w:i/>
          <w:iCs/>
        </w:rPr>
        <w:t>Thematic analysis.</w:t>
      </w:r>
      <w:r w:rsidRPr="007A1FE0">
        <w:t xml:space="preserve"> American Psychological Association.</w:t>
      </w:r>
    </w:p>
    <w:p w14:paraId="07A4709C" w14:textId="77777777" w:rsidR="007A1FE0" w:rsidRPr="007A1FE0" w:rsidRDefault="007A1FE0" w:rsidP="004966AF">
      <w:pPr>
        <w:spacing w:line="480" w:lineRule="auto"/>
        <w:ind w:left="720" w:hanging="720"/>
      </w:pPr>
    </w:p>
    <w:p w14:paraId="49A15DDE" w14:textId="77777777" w:rsidR="007A1FE0" w:rsidRDefault="007A1FE0" w:rsidP="004966AF">
      <w:pPr>
        <w:spacing w:line="480" w:lineRule="auto"/>
        <w:ind w:left="720" w:hanging="720"/>
        <w:rPr>
          <w:rFonts w:cs="Open Sans"/>
          <w:color w:val="333333"/>
          <w:shd w:val="clear" w:color="auto" w:fill="FFFFFF"/>
        </w:rPr>
      </w:pPr>
      <w:r w:rsidRPr="007A1FE0">
        <w:rPr>
          <w:rFonts w:cs="Open Sans"/>
          <w:color w:val="333333"/>
          <w:shd w:val="clear" w:color="auto" w:fill="FFFFFF"/>
        </w:rPr>
        <w:t>British Educational Research Association (2018) </w:t>
      </w:r>
      <w:r w:rsidRPr="007A1FE0">
        <w:rPr>
          <w:rStyle w:val="Emphasis"/>
          <w:rFonts w:cs="Open Sans"/>
          <w:color w:val="333333"/>
        </w:rPr>
        <w:t>Ethical guidelines for educational research</w:t>
      </w:r>
      <w:r w:rsidRPr="007A1FE0">
        <w:rPr>
          <w:rFonts w:cs="Open Sans"/>
          <w:color w:val="333333"/>
          <w:shd w:val="clear" w:color="auto" w:fill="FFFFFF"/>
        </w:rPr>
        <w:t xml:space="preserve">. 4th </w:t>
      </w:r>
      <w:proofErr w:type="spellStart"/>
      <w:r w:rsidRPr="007A1FE0">
        <w:rPr>
          <w:rFonts w:cs="Open Sans"/>
          <w:color w:val="333333"/>
          <w:shd w:val="clear" w:color="auto" w:fill="FFFFFF"/>
        </w:rPr>
        <w:t>edn</w:t>
      </w:r>
      <w:proofErr w:type="spellEnd"/>
      <w:r w:rsidRPr="007A1FE0">
        <w:rPr>
          <w:rFonts w:cs="Open Sans"/>
          <w:color w:val="333333"/>
          <w:shd w:val="clear" w:color="auto" w:fill="FFFFFF"/>
        </w:rPr>
        <w:t>. Available at: </w:t>
      </w:r>
      <w:hyperlink r:id="rId14" w:history="1">
        <w:r w:rsidRPr="007A1FE0">
          <w:rPr>
            <w:rStyle w:val="Hyperlink"/>
            <w:rFonts w:cs="Open Sans"/>
            <w:color w:val="0075AE"/>
          </w:rPr>
          <w:t>https://www.bera.ac.uk/researchers-resources/publications/ethical-guidelines-for-educational-research-2018</w:t>
        </w:r>
      </w:hyperlink>
      <w:r w:rsidRPr="007A1FE0">
        <w:rPr>
          <w:rFonts w:cs="Open Sans"/>
          <w:color w:val="333333"/>
          <w:shd w:val="clear" w:color="auto" w:fill="FFFFFF"/>
        </w:rPr>
        <w:t> </w:t>
      </w:r>
    </w:p>
    <w:p w14:paraId="499E2FB7" w14:textId="77777777" w:rsidR="007A1FE0" w:rsidRPr="007A1FE0" w:rsidRDefault="007A1FE0" w:rsidP="004966AF">
      <w:pPr>
        <w:spacing w:line="480" w:lineRule="auto"/>
        <w:ind w:left="720" w:hanging="720"/>
        <w:rPr>
          <w:rFonts w:cs="Open Sans"/>
          <w:color w:val="333333"/>
          <w:shd w:val="clear" w:color="auto" w:fill="FFFFFF"/>
        </w:rPr>
      </w:pPr>
    </w:p>
    <w:p w14:paraId="4E9AE9F6" w14:textId="77777777" w:rsidR="007A1FE0" w:rsidRDefault="007A1FE0" w:rsidP="004966AF">
      <w:pPr>
        <w:spacing w:line="480" w:lineRule="auto"/>
        <w:ind w:left="720" w:hanging="720"/>
      </w:pPr>
      <w:r w:rsidRPr="007A1FE0">
        <w:t>Caruso, J. and Cliff, N. (1997). ‘Empirical size, coverage, and power of confidence intervals for Spearman’s rho’, Educational and Psychological Measurement, 57(4), pp.637-654.</w:t>
      </w:r>
    </w:p>
    <w:p w14:paraId="73BA45A6" w14:textId="77777777" w:rsidR="007A1FE0" w:rsidRPr="007A1FE0" w:rsidRDefault="007A1FE0" w:rsidP="004966AF">
      <w:pPr>
        <w:spacing w:line="480" w:lineRule="auto"/>
        <w:ind w:left="720" w:hanging="720"/>
      </w:pPr>
    </w:p>
    <w:p w14:paraId="280E53D1" w14:textId="77777777" w:rsidR="007A1FE0" w:rsidRDefault="007A1FE0" w:rsidP="004966AF">
      <w:pPr>
        <w:spacing w:line="480" w:lineRule="auto"/>
        <w:ind w:left="720" w:hanging="720"/>
      </w:pPr>
      <w:r w:rsidRPr="007A1FE0">
        <w:t xml:space="preserve">Choy, L. (2014). ‘The strengths and weaknesses of research methodology: Comparison and complimentary between qualitative and quantitative approaches’, </w:t>
      </w:r>
      <w:r w:rsidRPr="007A1FE0">
        <w:rPr>
          <w:i/>
          <w:iCs/>
        </w:rPr>
        <w:t>Journal of Humanities and Social Science,</w:t>
      </w:r>
      <w:r w:rsidRPr="007A1FE0">
        <w:t xml:space="preserve"> 19(4), pp.99-104. </w:t>
      </w:r>
    </w:p>
    <w:p w14:paraId="71B3383C" w14:textId="77777777" w:rsidR="007A1FE0" w:rsidRPr="007A1FE0" w:rsidRDefault="007A1FE0" w:rsidP="004966AF">
      <w:pPr>
        <w:spacing w:line="480" w:lineRule="auto"/>
        <w:ind w:left="720" w:hanging="720"/>
      </w:pPr>
    </w:p>
    <w:p w14:paraId="48B23D69" w14:textId="77777777" w:rsidR="007A1FE0" w:rsidRDefault="007A1FE0" w:rsidP="004966AF">
      <w:pPr>
        <w:spacing w:line="480" w:lineRule="auto"/>
        <w:ind w:left="720" w:hanging="720"/>
      </w:pPr>
      <w:proofErr w:type="spellStart"/>
      <w:r w:rsidRPr="007A1FE0">
        <w:t>Elfil</w:t>
      </w:r>
      <w:proofErr w:type="spellEnd"/>
      <w:r w:rsidRPr="007A1FE0">
        <w:t xml:space="preserve">, M. and </w:t>
      </w:r>
      <w:proofErr w:type="spellStart"/>
      <w:r w:rsidRPr="007A1FE0">
        <w:t>Negida</w:t>
      </w:r>
      <w:proofErr w:type="spellEnd"/>
      <w:r w:rsidRPr="007A1FE0">
        <w:t xml:space="preserve">, A. (2017). ‘Sampling methods in clinical research: an educational review’, </w:t>
      </w:r>
      <w:r w:rsidRPr="007A1FE0">
        <w:rPr>
          <w:i/>
          <w:iCs/>
        </w:rPr>
        <w:t xml:space="preserve">Emergency, </w:t>
      </w:r>
      <w:r w:rsidRPr="007A1FE0">
        <w:t>5(1), p.52.</w:t>
      </w:r>
    </w:p>
    <w:p w14:paraId="0FD09D96" w14:textId="77777777" w:rsidR="007A1FE0" w:rsidRPr="007A1FE0" w:rsidRDefault="007A1FE0" w:rsidP="004966AF">
      <w:pPr>
        <w:spacing w:line="480" w:lineRule="auto"/>
        <w:ind w:left="720" w:hanging="720"/>
      </w:pPr>
    </w:p>
    <w:p w14:paraId="78EABFBB" w14:textId="77777777" w:rsidR="007A1FE0" w:rsidRDefault="007A1FE0" w:rsidP="004966AF">
      <w:pPr>
        <w:spacing w:line="480" w:lineRule="auto"/>
        <w:ind w:left="720" w:hanging="720"/>
      </w:pPr>
      <w:proofErr w:type="spellStart"/>
      <w:r w:rsidRPr="007A1FE0">
        <w:t>Gentrup</w:t>
      </w:r>
      <w:proofErr w:type="spellEnd"/>
      <w:r w:rsidRPr="007A1FE0">
        <w:t xml:space="preserve">, S., Lorenz, G., Kristen, C. and Kogan, I. (2020). ‘Self-fulfilling prophecies in the classroom: Teacher expectations, teacher feedback and student achievement’, </w:t>
      </w:r>
      <w:r w:rsidRPr="007A1FE0">
        <w:rPr>
          <w:i/>
          <w:iCs/>
        </w:rPr>
        <w:t>Learning and Instruction,</w:t>
      </w:r>
      <w:r w:rsidRPr="007A1FE0">
        <w:t xml:space="preserve"> 66(5).</w:t>
      </w:r>
    </w:p>
    <w:p w14:paraId="4464A412" w14:textId="77777777" w:rsidR="004966AF" w:rsidRPr="007A1FE0" w:rsidRDefault="004966AF" w:rsidP="004966AF">
      <w:pPr>
        <w:spacing w:line="480" w:lineRule="auto"/>
        <w:ind w:left="720" w:hanging="720"/>
      </w:pPr>
    </w:p>
    <w:p w14:paraId="60CA59EC" w14:textId="77777777" w:rsidR="007A1FE0" w:rsidRDefault="007A1FE0" w:rsidP="004966AF">
      <w:pPr>
        <w:spacing w:line="480" w:lineRule="auto"/>
        <w:ind w:left="720" w:hanging="720"/>
      </w:pPr>
      <w:r w:rsidRPr="007A1FE0">
        <w:t xml:space="preserve">Grimm, E., Kaufman, T. and Doty, D. (2014). ‘Rethinking classroom observation’, </w:t>
      </w:r>
      <w:r w:rsidRPr="007A1FE0">
        <w:rPr>
          <w:i/>
          <w:iCs/>
        </w:rPr>
        <w:t>Educational Leadership</w:t>
      </w:r>
      <w:r w:rsidRPr="007A1FE0">
        <w:t>, 71(8), pp.24-29.</w:t>
      </w:r>
    </w:p>
    <w:p w14:paraId="699F06E3" w14:textId="77777777" w:rsidR="004966AF" w:rsidRDefault="004966AF" w:rsidP="004966AF">
      <w:pPr>
        <w:spacing w:line="480" w:lineRule="auto"/>
        <w:ind w:left="720" w:hanging="720"/>
      </w:pPr>
    </w:p>
    <w:p w14:paraId="4DE8AFA4" w14:textId="77777777" w:rsidR="007A1FE0" w:rsidRDefault="007A1FE0" w:rsidP="004966AF">
      <w:pPr>
        <w:spacing w:line="480" w:lineRule="auto"/>
        <w:ind w:left="720" w:hanging="720"/>
      </w:pPr>
      <w:r w:rsidRPr="007A1FE0">
        <w:lastRenderedPageBreak/>
        <w:t xml:space="preserve">Gustafsson, J. (2017). ‘Single case studies vs. multiple case studies: A comparative study’, Education. Retrieved from: </w:t>
      </w:r>
      <w:hyperlink r:id="rId15" w:history="1">
        <w:r w:rsidRPr="007A1FE0">
          <w:rPr>
            <w:rStyle w:val="Hyperlink"/>
          </w:rPr>
          <w:t>https://www.diva-portal.org/smash/get/diva2:1064378/FULLTEXT01.pdfig</w:t>
        </w:r>
      </w:hyperlink>
      <w:r w:rsidRPr="007A1FE0">
        <w:t xml:space="preserve"> </w:t>
      </w:r>
    </w:p>
    <w:p w14:paraId="2571CB38" w14:textId="77777777" w:rsidR="007A1FE0" w:rsidRPr="007A1FE0" w:rsidRDefault="007A1FE0" w:rsidP="004966AF">
      <w:pPr>
        <w:spacing w:line="480" w:lineRule="auto"/>
        <w:ind w:left="720" w:hanging="720"/>
      </w:pPr>
    </w:p>
    <w:p w14:paraId="72A6F88C" w14:textId="77777777" w:rsidR="007A1FE0" w:rsidRDefault="007A1FE0" w:rsidP="004966AF">
      <w:pPr>
        <w:spacing w:line="480" w:lineRule="auto"/>
        <w:ind w:left="720" w:hanging="720"/>
      </w:pPr>
      <w:r w:rsidRPr="007A1FE0">
        <w:t xml:space="preserve">Hart, S., Dixon, A., Drummond, M. and </w:t>
      </w:r>
      <w:proofErr w:type="spellStart"/>
      <w:r w:rsidRPr="007A1FE0">
        <w:t>McIntrye</w:t>
      </w:r>
      <w:proofErr w:type="spellEnd"/>
      <w:r w:rsidRPr="007A1FE0">
        <w:t xml:space="preserve">, D. (2004). </w:t>
      </w:r>
      <w:r w:rsidRPr="007A1FE0">
        <w:rPr>
          <w:i/>
          <w:iCs/>
        </w:rPr>
        <w:t xml:space="preserve">Learning without limits. </w:t>
      </w:r>
      <w:r w:rsidRPr="007A1FE0">
        <w:t>Open University Press.</w:t>
      </w:r>
    </w:p>
    <w:p w14:paraId="76596FB3" w14:textId="77777777" w:rsidR="007A1FE0" w:rsidRPr="007A1FE0" w:rsidRDefault="007A1FE0" w:rsidP="004966AF">
      <w:pPr>
        <w:spacing w:line="480" w:lineRule="auto"/>
        <w:ind w:left="720" w:hanging="720"/>
      </w:pPr>
    </w:p>
    <w:p w14:paraId="0A9A0820" w14:textId="77777777" w:rsidR="007A1FE0" w:rsidRDefault="007A1FE0" w:rsidP="004966AF">
      <w:pPr>
        <w:spacing w:line="480" w:lineRule="auto"/>
        <w:ind w:left="720" w:hanging="720"/>
        <w:rPr>
          <w:rFonts w:cs="Open Sans"/>
          <w:color w:val="333333"/>
          <w:shd w:val="clear" w:color="auto" w:fill="FFFFFF"/>
        </w:rPr>
      </w:pPr>
      <w:r w:rsidRPr="007A1FE0">
        <w:rPr>
          <w:rFonts w:cs="Open Sans"/>
          <w:color w:val="333333"/>
          <w:shd w:val="clear" w:color="auto" w:fill="FFFFFF"/>
        </w:rPr>
        <w:t xml:space="preserve">Holmes, A. (2020). ‘Researcher positionality – a consideration of its influence and place in qualitative research – a new researcher guide’, </w:t>
      </w:r>
      <w:r w:rsidRPr="007A1FE0">
        <w:rPr>
          <w:rFonts w:cs="Open Sans"/>
          <w:i/>
          <w:iCs/>
          <w:color w:val="333333"/>
          <w:shd w:val="clear" w:color="auto" w:fill="FFFFFF"/>
        </w:rPr>
        <w:t>Journal of Education</w:t>
      </w:r>
      <w:r w:rsidRPr="007A1FE0">
        <w:rPr>
          <w:rFonts w:cs="Open Sans"/>
          <w:color w:val="333333"/>
          <w:shd w:val="clear" w:color="auto" w:fill="FFFFFF"/>
        </w:rPr>
        <w:t>, 8(4), pp.1-10.</w:t>
      </w:r>
    </w:p>
    <w:p w14:paraId="2788C5E8" w14:textId="77777777" w:rsidR="007A1FE0" w:rsidRPr="007A1FE0" w:rsidRDefault="007A1FE0" w:rsidP="004966AF">
      <w:pPr>
        <w:spacing w:line="480" w:lineRule="auto"/>
        <w:ind w:left="720" w:hanging="720"/>
        <w:rPr>
          <w:rFonts w:cs="Open Sans"/>
          <w:color w:val="333333"/>
          <w:shd w:val="clear" w:color="auto" w:fill="FFFFFF"/>
        </w:rPr>
      </w:pPr>
    </w:p>
    <w:p w14:paraId="52367171" w14:textId="77777777" w:rsidR="007A1FE0" w:rsidRDefault="007A1FE0" w:rsidP="004966AF">
      <w:pPr>
        <w:spacing w:line="480" w:lineRule="auto"/>
        <w:ind w:left="720" w:hanging="720"/>
      </w:pPr>
      <w:r w:rsidRPr="007A1FE0">
        <w:t xml:space="preserve">Hornby, G., Witte, C. and Mitchell, D. (2011). ‘Policies and practices of ability grouping in New Zealand intermediate schools’, </w:t>
      </w:r>
      <w:r w:rsidRPr="007A1FE0">
        <w:rPr>
          <w:i/>
          <w:iCs/>
        </w:rPr>
        <w:t>Support for Learning</w:t>
      </w:r>
      <w:r w:rsidRPr="007A1FE0">
        <w:t>, 26(3), pp. 92-96.</w:t>
      </w:r>
    </w:p>
    <w:p w14:paraId="09EDBDB9" w14:textId="77777777" w:rsidR="007A1FE0" w:rsidRPr="007A1FE0" w:rsidRDefault="007A1FE0" w:rsidP="004966AF">
      <w:pPr>
        <w:spacing w:line="480" w:lineRule="auto"/>
        <w:ind w:left="720" w:hanging="720"/>
      </w:pPr>
    </w:p>
    <w:p w14:paraId="0DAAD046" w14:textId="77777777" w:rsidR="007A1FE0" w:rsidRDefault="007A1FE0" w:rsidP="004966AF">
      <w:pPr>
        <w:spacing w:line="480" w:lineRule="auto"/>
        <w:ind w:left="720" w:hanging="720"/>
      </w:pPr>
      <w:r w:rsidRPr="007A1FE0">
        <w:t xml:space="preserve">Joffe, H. (2011). ‘Thematic analysis’, </w:t>
      </w:r>
      <w:r w:rsidRPr="007A1FE0">
        <w:rPr>
          <w:i/>
          <w:iCs/>
        </w:rPr>
        <w:t xml:space="preserve">Qualitative Research Methods in Mental </w:t>
      </w:r>
      <w:proofErr w:type="gramStart"/>
      <w:r w:rsidRPr="007A1FE0">
        <w:rPr>
          <w:i/>
          <w:iCs/>
        </w:rPr>
        <w:t>Health</w:t>
      </w:r>
      <w:proofErr w:type="gramEnd"/>
      <w:r w:rsidRPr="007A1FE0">
        <w:rPr>
          <w:i/>
          <w:iCs/>
        </w:rPr>
        <w:t xml:space="preserve"> and Psychotherapy: A Guide for Students and Practitioners</w:t>
      </w:r>
      <w:r w:rsidRPr="007A1FE0">
        <w:t>, 15.</w:t>
      </w:r>
    </w:p>
    <w:p w14:paraId="4E80702F" w14:textId="77777777" w:rsidR="007A1FE0" w:rsidRPr="007A1FE0" w:rsidRDefault="007A1FE0" w:rsidP="004966AF">
      <w:pPr>
        <w:spacing w:line="480" w:lineRule="auto"/>
        <w:ind w:left="720" w:hanging="720"/>
      </w:pPr>
    </w:p>
    <w:p w14:paraId="6D04C732" w14:textId="77777777" w:rsidR="007A1FE0" w:rsidRDefault="007A1FE0" w:rsidP="004966AF">
      <w:pPr>
        <w:spacing w:line="480" w:lineRule="auto"/>
        <w:ind w:left="720" w:hanging="720"/>
      </w:pPr>
      <w:proofErr w:type="spellStart"/>
      <w:r w:rsidRPr="007A1FE0">
        <w:t>Lasagabaster</w:t>
      </w:r>
      <w:proofErr w:type="spellEnd"/>
      <w:r w:rsidRPr="007A1FE0">
        <w:t>, D. and Sierra, J. (2011). ‘Classroom observation: Desirable conditions established by teachers’, European Journal of Teacher Education, 34(4), pp.449-463.</w:t>
      </w:r>
    </w:p>
    <w:p w14:paraId="68EF677B" w14:textId="77777777" w:rsidR="007A1FE0" w:rsidRPr="007A1FE0" w:rsidRDefault="007A1FE0" w:rsidP="004966AF">
      <w:pPr>
        <w:spacing w:line="480" w:lineRule="auto"/>
        <w:ind w:left="720" w:hanging="720"/>
      </w:pPr>
    </w:p>
    <w:p w14:paraId="6B5ACB16" w14:textId="77777777" w:rsidR="007A1FE0" w:rsidRDefault="007A1FE0" w:rsidP="004966AF">
      <w:pPr>
        <w:spacing w:line="480" w:lineRule="auto"/>
        <w:ind w:left="720" w:hanging="720"/>
      </w:pPr>
      <w:proofErr w:type="spellStart"/>
      <w:r w:rsidRPr="007A1FE0">
        <w:t>MacIntyre</w:t>
      </w:r>
      <w:proofErr w:type="spellEnd"/>
      <w:r w:rsidRPr="007A1FE0">
        <w:t>, H. and Ireson, J. (2013). ‘Within-</w:t>
      </w:r>
      <w:proofErr w:type="spellStart"/>
      <w:r w:rsidRPr="007A1FE0">
        <w:t>calss</w:t>
      </w:r>
      <w:proofErr w:type="spellEnd"/>
      <w:r w:rsidRPr="007A1FE0">
        <w:t xml:space="preserve"> ability grouping: Placement of pupils in groups and self-concept’, </w:t>
      </w:r>
      <w:r w:rsidRPr="007A1FE0">
        <w:rPr>
          <w:i/>
          <w:iCs/>
        </w:rPr>
        <w:t>British Educational Research Journal,</w:t>
      </w:r>
      <w:r w:rsidRPr="007A1FE0">
        <w:t xml:space="preserve"> 28(2), pp. 249-263.</w:t>
      </w:r>
    </w:p>
    <w:p w14:paraId="19168BFD" w14:textId="77777777" w:rsidR="007A1FE0" w:rsidRPr="007A1FE0" w:rsidRDefault="007A1FE0" w:rsidP="004966AF">
      <w:pPr>
        <w:spacing w:line="480" w:lineRule="auto"/>
        <w:ind w:left="720" w:hanging="720"/>
      </w:pPr>
    </w:p>
    <w:p w14:paraId="152E0A00" w14:textId="77777777" w:rsidR="007A1FE0" w:rsidRDefault="007A1FE0" w:rsidP="004966AF">
      <w:pPr>
        <w:spacing w:line="480" w:lineRule="auto"/>
        <w:ind w:left="720" w:hanging="720"/>
      </w:pPr>
      <w:r w:rsidRPr="007A1FE0">
        <w:t xml:space="preserve">Maio, G. and </w:t>
      </w:r>
      <w:proofErr w:type="spellStart"/>
      <w:r w:rsidRPr="007A1FE0">
        <w:t>Esses</w:t>
      </w:r>
      <w:proofErr w:type="spellEnd"/>
      <w:r w:rsidRPr="007A1FE0">
        <w:t xml:space="preserve">, V. (2002). ‘The need for affect: Individual </w:t>
      </w:r>
      <w:proofErr w:type="spellStart"/>
      <w:r w:rsidRPr="007A1FE0">
        <w:t>differenes</w:t>
      </w:r>
      <w:proofErr w:type="spellEnd"/>
      <w:r w:rsidRPr="007A1FE0">
        <w:t xml:space="preserve"> in motivation to approach or avoid emotions’, </w:t>
      </w:r>
      <w:r w:rsidRPr="007A1FE0">
        <w:rPr>
          <w:i/>
          <w:iCs/>
        </w:rPr>
        <w:t>Journal of Personality</w:t>
      </w:r>
      <w:r w:rsidRPr="007A1FE0">
        <w:t>, 69(4), pp.583-614.</w:t>
      </w:r>
    </w:p>
    <w:p w14:paraId="0DB14189" w14:textId="77777777" w:rsidR="007A1FE0" w:rsidRPr="007A1FE0" w:rsidRDefault="007A1FE0" w:rsidP="004966AF">
      <w:pPr>
        <w:spacing w:line="480" w:lineRule="auto"/>
        <w:ind w:left="720" w:hanging="720"/>
      </w:pPr>
    </w:p>
    <w:p w14:paraId="224250FB" w14:textId="77777777" w:rsidR="007A1FE0" w:rsidRDefault="007A1FE0" w:rsidP="004966AF">
      <w:pPr>
        <w:spacing w:line="480" w:lineRule="auto"/>
        <w:ind w:left="720" w:hanging="720"/>
      </w:pPr>
      <w:r w:rsidRPr="007A1FE0">
        <w:t xml:space="preserve">Matthews, M., </w:t>
      </w:r>
      <w:proofErr w:type="spellStart"/>
      <w:r w:rsidRPr="007A1FE0">
        <w:t>Ritchotte</w:t>
      </w:r>
      <w:proofErr w:type="spellEnd"/>
      <w:r w:rsidRPr="007A1FE0">
        <w:t xml:space="preserve">, J. and </w:t>
      </w:r>
      <w:proofErr w:type="spellStart"/>
      <w:r w:rsidRPr="007A1FE0">
        <w:t>McBee</w:t>
      </w:r>
      <w:proofErr w:type="spellEnd"/>
      <w:r w:rsidRPr="007A1FE0">
        <w:t xml:space="preserve">, M. (2013). ‘Effects of schoolwide cluster grouping and within-class ability grouping on elementary school students’ academic achievement growth’, </w:t>
      </w:r>
      <w:r w:rsidRPr="007A1FE0">
        <w:rPr>
          <w:i/>
          <w:iCs/>
        </w:rPr>
        <w:t>High Ability Studies</w:t>
      </w:r>
      <w:r w:rsidRPr="007A1FE0">
        <w:t>, 24(2).</w:t>
      </w:r>
    </w:p>
    <w:p w14:paraId="00C8FDED" w14:textId="77777777" w:rsidR="007A1FE0" w:rsidRPr="007A1FE0" w:rsidRDefault="007A1FE0" w:rsidP="004966AF">
      <w:pPr>
        <w:spacing w:line="480" w:lineRule="auto"/>
        <w:ind w:left="720" w:hanging="720"/>
      </w:pPr>
    </w:p>
    <w:p w14:paraId="652982C0" w14:textId="77777777" w:rsidR="007A1FE0" w:rsidRDefault="007A1FE0" w:rsidP="004966AF">
      <w:pPr>
        <w:spacing w:line="480" w:lineRule="auto"/>
        <w:ind w:left="720" w:hanging="720"/>
      </w:pPr>
      <w:proofErr w:type="spellStart"/>
      <w:r w:rsidRPr="007A1FE0">
        <w:t>McGillicuddy</w:t>
      </w:r>
      <w:proofErr w:type="spellEnd"/>
      <w:r w:rsidRPr="007A1FE0">
        <w:t xml:space="preserve">, D. and Devine, D. (2018). “Turned off” or “ready to fly” – ability grouping as an act of symbolic violence in primary school’, </w:t>
      </w:r>
      <w:r w:rsidRPr="007A1FE0">
        <w:rPr>
          <w:i/>
          <w:iCs/>
        </w:rPr>
        <w:t>Teaching and Teacher Education,</w:t>
      </w:r>
      <w:r w:rsidRPr="007A1FE0">
        <w:t xml:space="preserve"> 70, 88-99.</w:t>
      </w:r>
    </w:p>
    <w:p w14:paraId="6626878F" w14:textId="77777777" w:rsidR="007A1FE0" w:rsidRPr="007A1FE0" w:rsidRDefault="007A1FE0" w:rsidP="004966AF">
      <w:pPr>
        <w:spacing w:line="480" w:lineRule="auto"/>
        <w:ind w:left="720" w:hanging="720"/>
      </w:pPr>
    </w:p>
    <w:p w14:paraId="6DE86BF9" w14:textId="77777777" w:rsidR="007A1FE0" w:rsidRDefault="007A1FE0" w:rsidP="004966AF">
      <w:pPr>
        <w:spacing w:line="480" w:lineRule="auto"/>
        <w:ind w:left="720" w:hanging="720"/>
      </w:pPr>
      <w:r w:rsidRPr="007A1FE0">
        <w:t xml:space="preserve">Menon, S. (2019). ‘Benefits and process improvements for ERP implementations: Results from an exploratory case study’, </w:t>
      </w:r>
      <w:r w:rsidRPr="007A1FE0">
        <w:rPr>
          <w:i/>
          <w:iCs/>
        </w:rPr>
        <w:t>International Business Research</w:t>
      </w:r>
      <w:r w:rsidRPr="007A1FE0">
        <w:t>, 12(8), p.9.</w:t>
      </w:r>
    </w:p>
    <w:p w14:paraId="0489EA3A" w14:textId="6F2B5F00" w:rsidR="007A1FE0" w:rsidRPr="007A1FE0" w:rsidRDefault="007A1FE0" w:rsidP="004966AF">
      <w:pPr>
        <w:spacing w:line="480" w:lineRule="auto"/>
        <w:ind w:left="720" w:hanging="720"/>
      </w:pPr>
      <w:r w:rsidRPr="007A1FE0">
        <w:t xml:space="preserve"> </w:t>
      </w:r>
    </w:p>
    <w:p w14:paraId="39EB6AD1" w14:textId="77777777" w:rsidR="007A1FE0" w:rsidRDefault="007A1FE0" w:rsidP="004966AF">
      <w:pPr>
        <w:spacing w:line="480" w:lineRule="auto"/>
        <w:ind w:left="720" w:hanging="720"/>
      </w:pPr>
      <w:r w:rsidRPr="007A1FE0">
        <w:t xml:space="preserve">Moller, J., </w:t>
      </w:r>
      <w:proofErr w:type="spellStart"/>
      <w:r w:rsidRPr="007A1FE0">
        <w:t>Zitzmann</w:t>
      </w:r>
      <w:proofErr w:type="spellEnd"/>
      <w:r w:rsidRPr="007A1FE0">
        <w:t xml:space="preserve">, S., Helm, F., </w:t>
      </w:r>
      <w:proofErr w:type="spellStart"/>
      <w:r w:rsidRPr="007A1FE0">
        <w:t>Machts</w:t>
      </w:r>
      <w:proofErr w:type="spellEnd"/>
      <w:r w:rsidRPr="007A1FE0">
        <w:t xml:space="preserve">, N. and Wolff, F. (2020). ‘A meta-analysis of relations between achievement and self-concept’, </w:t>
      </w:r>
      <w:r w:rsidRPr="007A1FE0">
        <w:rPr>
          <w:i/>
          <w:iCs/>
        </w:rPr>
        <w:t>Review of Educational Research</w:t>
      </w:r>
      <w:r w:rsidRPr="007A1FE0">
        <w:t xml:space="preserve">, 90(3), 376-419. </w:t>
      </w:r>
    </w:p>
    <w:p w14:paraId="28CB9A8B" w14:textId="77777777" w:rsidR="007A1FE0" w:rsidRPr="007A1FE0" w:rsidRDefault="007A1FE0" w:rsidP="004966AF">
      <w:pPr>
        <w:spacing w:line="480" w:lineRule="auto"/>
        <w:ind w:left="720" w:hanging="720"/>
      </w:pPr>
    </w:p>
    <w:p w14:paraId="176DB32A" w14:textId="77777777" w:rsidR="007A1FE0" w:rsidRDefault="007A1FE0" w:rsidP="004966AF">
      <w:pPr>
        <w:spacing w:line="480" w:lineRule="auto"/>
        <w:ind w:left="720" w:hanging="720"/>
      </w:pPr>
      <w:proofErr w:type="spellStart"/>
      <w:r w:rsidRPr="007A1FE0">
        <w:t>Nemoto</w:t>
      </w:r>
      <w:proofErr w:type="spellEnd"/>
      <w:r w:rsidRPr="007A1FE0">
        <w:t xml:space="preserve">, T. and </w:t>
      </w:r>
      <w:proofErr w:type="spellStart"/>
      <w:r w:rsidRPr="007A1FE0">
        <w:t>Beglar</w:t>
      </w:r>
      <w:proofErr w:type="spellEnd"/>
      <w:r w:rsidRPr="007A1FE0">
        <w:t xml:space="preserve">, D. (2014). </w:t>
      </w:r>
      <w:r w:rsidRPr="007A1FE0">
        <w:rPr>
          <w:i/>
          <w:iCs/>
        </w:rPr>
        <w:t xml:space="preserve">Developing Likert-scale Questionnaires. </w:t>
      </w:r>
      <w:r w:rsidRPr="007A1FE0">
        <w:t>JALT: Tokyo.</w:t>
      </w:r>
    </w:p>
    <w:p w14:paraId="300C82B8" w14:textId="77777777" w:rsidR="007A1FE0" w:rsidRPr="007A1FE0" w:rsidRDefault="007A1FE0" w:rsidP="004966AF">
      <w:pPr>
        <w:spacing w:line="480" w:lineRule="auto"/>
        <w:ind w:left="720" w:hanging="720"/>
      </w:pPr>
    </w:p>
    <w:p w14:paraId="667F0090" w14:textId="77777777" w:rsidR="007A1FE0" w:rsidRDefault="007A1FE0" w:rsidP="004966AF">
      <w:pPr>
        <w:spacing w:line="480" w:lineRule="auto"/>
        <w:ind w:left="720" w:hanging="720"/>
      </w:pPr>
      <w:r w:rsidRPr="007A1FE0">
        <w:lastRenderedPageBreak/>
        <w:t xml:space="preserve">Nguyen, W., </w:t>
      </w:r>
      <w:proofErr w:type="spellStart"/>
      <w:r w:rsidRPr="007A1FE0">
        <w:t>Ownsworth</w:t>
      </w:r>
      <w:proofErr w:type="spellEnd"/>
      <w:r w:rsidRPr="007A1FE0">
        <w:t xml:space="preserve">, T., Nicol, C. and Zimmerman, D. (2020). ‘How I see and feel about myself: domain specific self-concept and self-esteem in autistic adults’, </w:t>
      </w:r>
      <w:r w:rsidRPr="007A1FE0">
        <w:rPr>
          <w:i/>
          <w:iCs/>
        </w:rPr>
        <w:t>Frontiers in Psychology,</w:t>
      </w:r>
      <w:r w:rsidRPr="007A1FE0">
        <w:t xml:space="preserve"> 12(11), p.913.</w:t>
      </w:r>
    </w:p>
    <w:p w14:paraId="333F45DB" w14:textId="77777777" w:rsidR="007A1FE0" w:rsidRPr="007A1FE0" w:rsidRDefault="007A1FE0" w:rsidP="004966AF">
      <w:pPr>
        <w:spacing w:line="480" w:lineRule="auto"/>
        <w:ind w:left="720" w:hanging="720"/>
      </w:pPr>
    </w:p>
    <w:p w14:paraId="314577E5" w14:textId="77777777" w:rsidR="007A1FE0" w:rsidRDefault="007A1FE0" w:rsidP="004966AF">
      <w:pPr>
        <w:spacing w:line="480" w:lineRule="auto"/>
        <w:ind w:left="720" w:hanging="720"/>
      </w:pPr>
      <w:r w:rsidRPr="007A1FE0">
        <w:t xml:space="preserve">Nomi, T. (2009). ‘The effects of within-class ability grouping on academic achievement in early elementary years’, </w:t>
      </w:r>
      <w:r w:rsidRPr="007A1FE0">
        <w:rPr>
          <w:i/>
          <w:iCs/>
        </w:rPr>
        <w:t>Intervention, Evaluation, and Policy Studies</w:t>
      </w:r>
      <w:r w:rsidRPr="007A1FE0">
        <w:t>, 3(1), pp.56-92.</w:t>
      </w:r>
    </w:p>
    <w:p w14:paraId="6AB34FE0" w14:textId="77777777" w:rsidR="007A1FE0" w:rsidRPr="007A1FE0" w:rsidRDefault="007A1FE0" w:rsidP="004966AF">
      <w:pPr>
        <w:spacing w:line="480" w:lineRule="auto"/>
        <w:ind w:left="720" w:hanging="720"/>
      </w:pPr>
    </w:p>
    <w:p w14:paraId="51154F07" w14:textId="77777777" w:rsidR="007A1FE0" w:rsidRDefault="007A1FE0" w:rsidP="004966AF">
      <w:pPr>
        <w:spacing w:line="480" w:lineRule="auto"/>
        <w:ind w:left="720" w:hanging="720"/>
      </w:pPr>
      <w:r w:rsidRPr="007A1FE0">
        <w:t xml:space="preserve">Nunn, R. (2011). ‘Improving method-in-use through classroom observation’, </w:t>
      </w:r>
      <w:r w:rsidRPr="007A1FE0">
        <w:rPr>
          <w:i/>
          <w:iCs/>
        </w:rPr>
        <w:t>International Review of Applied Linguistics in Language Teaching</w:t>
      </w:r>
      <w:r w:rsidRPr="007A1FE0">
        <w:t>, 37, pp.23-42.</w:t>
      </w:r>
    </w:p>
    <w:p w14:paraId="7C794167" w14:textId="77777777" w:rsidR="007A1FE0" w:rsidRPr="007A1FE0" w:rsidRDefault="007A1FE0" w:rsidP="004966AF">
      <w:pPr>
        <w:spacing w:line="480" w:lineRule="auto"/>
        <w:ind w:left="720" w:hanging="720"/>
      </w:pPr>
    </w:p>
    <w:p w14:paraId="39859A48" w14:textId="77777777" w:rsidR="007A1FE0" w:rsidRDefault="007A1FE0" w:rsidP="004966AF">
      <w:pPr>
        <w:spacing w:line="480" w:lineRule="auto"/>
        <w:ind w:left="720" w:hanging="720"/>
      </w:pPr>
      <w:r w:rsidRPr="007A1FE0">
        <w:t xml:space="preserve">O’Leary, M. (2020). </w:t>
      </w:r>
      <w:r w:rsidRPr="007A1FE0">
        <w:rPr>
          <w:i/>
          <w:iCs/>
        </w:rPr>
        <w:t>Classroom Observation: A guide to the effective observation of teaching and learning</w:t>
      </w:r>
      <w:r w:rsidRPr="007A1FE0">
        <w:t>. Routledge: London.</w:t>
      </w:r>
    </w:p>
    <w:p w14:paraId="69CE1C68" w14:textId="77777777" w:rsidR="007A1FE0" w:rsidRPr="007A1FE0" w:rsidRDefault="007A1FE0" w:rsidP="004966AF">
      <w:pPr>
        <w:spacing w:line="480" w:lineRule="auto"/>
        <w:ind w:left="720" w:hanging="720"/>
      </w:pPr>
    </w:p>
    <w:p w14:paraId="557C94B8" w14:textId="77777777" w:rsidR="007A1FE0" w:rsidRDefault="007A1FE0" w:rsidP="004966AF">
      <w:pPr>
        <w:spacing w:line="480" w:lineRule="auto"/>
        <w:ind w:left="720" w:hanging="720"/>
        <w:rPr>
          <w:rFonts w:cs="Open Sans"/>
          <w:color w:val="1C1D1E"/>
          <w:shd w:val="clear" w:color="auto" w:fill="FFFFFF"/>
        </w:rPr>
      </w:pPr>
      <w:r w:rsidRPr="007A1FE0">
        <w:rPr>
          <w:rStyle w:val="groupname"/>
          <w:rFonts w:cs="Open Sans"/>
          <w:color w:val="1C1D1E"/>
        </w:rPr>
        <w:t>Office for Standards in Education (OFSTED)</w:t>
      </w:r>
      <w:r w:rsidRPr="007A1FE0">
        <w:rPr>
          <w:rFonts w:cs="Open Sans"/>
          <w:color w:val="1C1D1E"/>
          <w:shd w:val="clear" w:color="auto" w:fill="FFFFFF"/>
        </w:rPr>
        <w:t>.</w:t>
      </w:r>
      <w:r w:rsidRPr="007A1FE0">
        <w:rPr>
          <w:rStyle w:val="apple-converted-space"/>
          <w:rFonts w:cs="Open Sans"/>
          <w:color w:val="1C1D1E"/>
          <w:shd w:val="clear" w:color="auto" w:fill="FFFFFF"/>
        </w:rPr>
        <w:t> </w:t>
      </w:r>
      <w:r w:rsidRPr="007A1FE0">
        <w:rPr>
          <w:rStyle w:val="pubyear"/>
          <w:rFonts w:cs="Open Sans"/>
          <w:color w:val="1C1D1E"/>
        </w:rPr>
        <w:t>1994</w:t>
      </w:r>
      <w:r w:rsidRPr="007A1FE0">
        <w:rPr>
          <w:rFonts w:cs="Open Sans"/>
          <w:color w:val="1C1D1E"/>
          <w:shd w:val="clear" w:color="auto" w:fill="FFFFFF"/>
        </w:rPr>
        <w:t>.</w:t>
      </w:r>
      <w:r w:rsidRPr="007A1FE0">
        <w:rPr>
          <w:rStyle w:val="apple-converted-space"/>
          <w:rFonts w:cs="Open Sans"/>
          <w:color w:val="1C1D1E"/>
          <w:shd w:val="clear" w:color="auto" w:fill="FFFFFF"/>
        </w:rPr>
        <w:t>  </w:t>
      </w:r>
      <w:r w:rsidRPr="007A1FE0">
        <w:rPr>
          <w:rStyle w:val="booktitle"/>
          <w:rFonts w:cs="Open Sans"/>
          <w:i/>
          <w:iCs/>
          <w:color w:val="1C1D1E"/>
        </w:rPr>
        <w:t>Primary Matters: a discussion on teaching and learning in primary schools</w:t>
      </w:r>
      <w:r w:rsidRPr="007A1FE0">
        <w:rPr>
          <w:rFonts w:cs="Open Sans"/>
          <w:color w:val="1C1D1E"/>
          <w:shd w:val="clear" w:color="auto" w:fill="FFFFFF"/>
        </w:rPr>
        <w:t>, London: OFSTED.</w:t>
      </w:r>
    </w:p>
    <w:p w14:paraId="5166F26C" w14:textId="77777777" w:rsidR="007A1FE0" w:rsidRPr="007A1FE0" w:rsidRDefault="007A1FE0" w:rsidP="004966AF">
      <w:pPr>
        <w:spacing w:line="480" w:lineRule="auto"/>
        <w:ind w:left="720" w:hanging="720"/>
        <w:rPr>
          <w:rFonts w:cs="Open Sans"/>
          <w:color w:val="1C1D1E"/>
          <w:shd w:val="clear" w:color="auto" w:fill="FFFFFF"/>
        </w:rPr>
      </w:pPr>
    </w:p>
    <w:p w14:paraId="27624B82" w14:textId="77777777" w:rsidR="007A1FE0" w:rsidRDefault="007A1FE0" w:rsidP="004966AF">
      <w:pPr>
        <w:spacing w:line="480" w:lineRule="auto"/>
        <w:ind w:left="720" w:hanging="720"/>
      </w:pPr>
      <w:r w:rsidRPr="007A1FE0">
        <w:t xml:space="preserve">Prion, S. and </w:t>
      </w:r>
      <w:proofErr w:type="spellStart"/>
      <w:r w:rsidRPr="007A1FE0">
        <w:t>Haerling</w:t>
      </w:r>
      <w:proofErr w:type="spellEnd"/>
      <w:r w:rsidRPr="007A1FE0">
        <w:t xml:space="preserve">, K. (2014). ‘Making sense of methods and measurement: Spearman-rho ranked-order correlation coefficient’, </w:t>
      </w:r>
      <w:r w:rsidRPr="007A1FE0">
        <w:rPr>
          <w:i/>
          <w:iCs/>
        </w:rPr>
        <w:t>Clinical Simulation in Nursing</w:t>
      </w:r>
      <w:r w:rsidRPr="007A1FE0">
        <w:t>, 10(10), pp.535-536.</w:t>
      </w:r>
    </w:p>
    <w:p w14:paraId="6EDDF96D" w14:textId="77777777" w:rsidR="007A1FE0" w:rsidRPr="007A1FE0" w:rsidRDefault="007A1FE0" w:rsidP="004966AF">
      <w:pPr>
        <w:spacing w:line="480" w:lineRule="auto"/>
        <w:ind w:left="720" w:hanging="720"/>
      </w:pPr>
    </w:p>
    <w:p w14:paraId="00F78CF4" w14:textId="77777777" w:rsidR="007A1FE0" w:rsidRDefault="007A1FE0" w:rsidP="004966AF">
      <w:pPr>
        <w:spacing w:line="480" w:lineRule="auto"/>
        <w:ind w:left="720" w:hanging="720"/>
      </w:pPr>
      <w:proofErr w:type="spellStart"/>
      <w:r w:rsidRPr="007A1FE0">
        <w:t>Reja</w:t>
      </w:r>
      <w:proofErr w:type="spellEnd"/>
      <w:r w:rsidRPr="007A1FE0">
        <w:t xml:space="preserve">, U., </w:t>
      </w:r>
      <w:proofErr w:type="spellStart"/>
      <w:r w:rsidRPr="007A1FE0">
        <w:t>Manfreda</w:t>
      </w:r>
      <w:proofErr w:type="spellEnd"/>
      <w:r w:rsidRPr="007A1FE0">
        <w:t xml:space="preserve">, K., </w:t>
      </w:r>
      <w:proofErr w:type="spellStart"/>
      <w:r w:rsidRPr="007A1FE0">
        <w:t>Hlebec</w:t>
      </w:r>
      <w:proofErr w:type="spellEnd"/>
      <w:r w:rsidRPr="007A1FE0">
        <w:t xml:space="preserve">, V. and </w:t>
      </w:r>
      <w:proofErr w:type="spellStart"/>
      <w:r w:rsidRPr="007A1FE0">
        <w:t>Vehovar</w:t>
      </w:r>
      <w:proofErr w:type="spellEnd"/>
      <w:r w:rsidRPr="007A1FE0">
        <w:t xml:space="preserve">, V. (2003). ‘Open-ended vs. close-ended questions in web questionnaires’, </w:t>
      </w:r>
      <w:r w:rsidRPr="007A1FE0">
        <w:rPr>
          <w:i/>
          <w:iCs/>
        </w:rPr>
        <w:t>Advanced Methodologies and Statistics</w:t>
      </w:r>
      <w:r w:rsidRPr="007A1FE0">
        <w:t>, 19.</w:t>
      </w:r>
    </w:p>
    <w:p w14:paraId="00AF0D55" w14:textId="77777777" w:rsidR="007A1FE0" w:rsidRPr="007A1FE0" w:rsidRDefault="007A1FE0" w:rsidP="004966AF">
      <w:pPr>
        <w:spacing w:line="480" w:lineRule="auto"/>
        <w:ind w:left="720" w:hanging="720"/>
      </w:pPr>
    </w:p>
    <w:p w14:paraId="33E70E22" w14:textId="77777777" w:rsidR="007A1FE0" w:rsidRDefault="007A1FE0" w:rsidP="004966AF">
      <w:pPr>
        <w:spacing w:line="480" w:lineRule="auto"/>
        <w:ind w:left="720" w:hanging="720"/>
      </w:pPr>
      <w:proofErr w:type="spellStart"/>
      <w:r w:rsidRPr="007A1FE0">
        <w:lastRenderedPageBreak/>
        <w:t>Riger</w:t>
      </w:r>
      <w:proofErr w:type="spellEnd"/>
      <w:r w:rsidRPr="007A1FE0">
        <w:t xml:space="preserve">, S. and </w:t>
      </w:r>
      <w:proofErr w:type="spellStart"/>
      <w:r w:rsidRPr="007A1FE0">
        <w:t>Sigurvinsdottir</w:t>
      </w:r>
      <w:proofErr w:type="spellEnd"/>
      <w:r w:rsidRPr="007A1FE0">
        <w:t xml:space="preserve">, R. (2016). </w:t>
      </w:r>
      <w:r w:rsidRPr="007A1FE0">
        <w:rPr>
          <w:i/>
          <w:iCs/>
        </w:rPr>
        <w:t>Thematic analysis</w:t>
      </w:r>
      <w:r w:rsidRPr="007A1FE0">
        <w:t xml:space="preserve">. Oxford University Press. </w:t>
      </w:r>
    </w:p>
    <w:p w14:paraId="311C8F97" w14:textId="77777777" w:rsidR="007A1FE0" w:rsidRPr="007A1FE0" w:rsidRDefault="007A1FE0" w:rsidP="004966AF">
      <w:pPr>
        <w:spacing w:line="480" w:lineRule="auto"/>
        <w:ind w:left="720" w:hanging="720"/>
      </w:pPr>
    </w:p>
    <w:p w14:paraId="42160F9C" w14:textId="77777777" w:rsidR="007A1FE0" w:rsidRDefault="007A1FE0" w:rsidP="004966AF">
      <w:pPr>
        <w:spacing w:line="480" w:lineRule="auto"/>
        <w:ind w:left="720" w:hanging="720"/>
      </w:pPr>
      <w:r w:rsidRPr="007A1FE0">
        <w:t xml:space="preserve">Roberson, T. (1998). Classroom Observation: Issues Regarding Validity and Reliability. </w:t>
      </w:r>
      <w:proofErr w:type="spellStart"/>
      <w:r w:rsidRPr="007A1FE0">
        <w:t>Retreived</w:t>
      </w:r>
      <w:proofErr w:type="spellEnd"/>
      <w:r w:rsidRPr="007A1FE0">
        <w:t xml:space="preserve"> from: </w:t>
      </w:r>
      <w:hyperlink r:id="rId16" w:history="1">
        <w:r w:rsidRPr="007A1FE0">
          <w:rPr>
            <w:rStyle w:val="Hyperlink"/>
          </w:rPr>
          <w:t>https://eric.ed.gov/?id=ED427070</w:t>
        </w:r>
      </w:hyperlink>
      <w:r w:rsidRPr="007A1FE0">
        <w:t xml:space="preserve"> </w:t>
      </w:r>
    </w:p>
    <w:p w14:paraId="0DEFFC54" w14:textId="77777777" w:rsidR="007A1FE0" w:rsidRPr="007A1FE0" w:rsidRDefault="007A1FE0" w:rsidP="004966AF">
      <w:pPr>
        <w:spacing w:line="480" w:lineRule="auto"/>
        <w:ind w:left="720" w:hanging="720"/>
      </w:pPr>
    </w:p>
    <w:p w14:paraId="6361B02B" w14:textId="77777777" w:rsidR="007A1FE0" w:rsidRDefault="007A1FE0" w:rsidP="004966AF">
      <w:pPr>
        <w:spacing w:line="480" w:lineRule="auto"/>
        <w:ind w:left="720" w:hanging="720"/>
      </w:pPr>
      <w:r w:rsidRPr="007A1FE0">
        <w:t xml:space="preserve">Schofield, J. (2010). ‘International evidence on ability grouping with curriculum differentiation and the achievement gap in secondary schools’, </w:t>
      </w:r>
      <w:r w:rsidRPr="007A1FE0">
        <w:rPr>
          <w:i/>
          <w:iCs/>
        </w:rPr>
        <w:t>Teachers College Record</w:t>
      </w:r>
      <w:r w:rsidRPr="007A1FE0">
        <w:t>, 112(5), pp. 1492-1528.</w:t>
      </w:r>
    </w:p>
    <w:p w14:paraId="5507D616" w14:textId="63F71B22" w:rsidR="007A1FE0" w:rsidRPr="007A1FE0" w:rsidRDefault="007A1FE0" w:rsidP="004966AF">
      <w:pPr>
        <w:spacing w:line="480" w:lineRule="auto"/>
        <w:ind w:left="720" w:hanging="720"/>
      </w:pPr>
    </w:p>
    <w:p w14:paraId="35B057B6" w14:textId="77777777" w:rsidR="007A1FE0" w:rsidRDefault="007A1FE0" w:rsidP="004966AF">
      <w:pPr>
        <w:spacing w:line="480" w:lineRule="auto"/>
        <w:ind w:left="720" w:hanging="720"/>
      </w:pPr>
      <w:proofErr w:type="spellStart"/>
      <w:r w:rsidRPr="007A1FE0">
        <w:t>Sivrikaya</w:t>
      </w:r>
      <w:proofErr w:type="spellEnd"/>
      <w:r w:rsidRPr="007A1FE0">
        <w:t xml:space="preserve">, H. (2019). ‘The relationship between academic motivation and </w:t>
      </w:r>
      <w:proofErr w:type="spellStart"/>
      <w:r w:rsidRPr="007A1FE0">
        <w:t>acadmic</w:t>
      </w:r>
      <w:proofErr w:type="spellEnd"/>
      <w:r w:rsidRPr="007A1FE0">
        <w:t xml:space="preserve"> achievement of the students’, </w:t>
      </w:r>
      <w:r w:rsidRPr="007A1FE0">
        <w:rPr>
          <w:i/>
          <w:iCs/>
        </w:rPr>
        <w:t>Asian Journal of Education and Training,</w:t>
      </w:r>
      <w:r w:rsidRPr="007A1FE0">
        <w:t xml:space="preserve"> 5(2), pp.302-215.</w:t>
      </w:r>
    </w:p>
    <w:p w14:paraId="12BEB275" w14:textId="77777777" w:rsidR="007A1FE0" w:rsidRPr="007A1FE0" w:rsidRDefault="007A1FE0" w:rsidP="004966AF">
      <w:pPr>
        <w:spacing w:line="480" w:lineRule="auto"/>
        <w:ind w:left="720" w:hanging="720"/>
      </w:pPr>
    </w:p>
    <w:p w14:paraId="49219EC8" w14:textId="77777777" w:rsidR="007A1FE0" w:rsidRDefault="007A1FE0" w:rsidP="004966AF">
      <w:pPr>
        <w:spacing w:line="480" w:lineRule="auto"/>
        <w:ind w:left="720" w:hanging="720"/>
      </w:pPr>
      <w:proofErr w:type="spellStart"/>
      <w:r w:rsidRPr="007A1FE0">
        <w:t>Steenbergen</w:t>
      </w:r>
      <w:proofErr w:type="spellEnd"/>
      <w:r w:rsidRPr="007A1FE0">
        <w:t xml:space="preserve">-Hu, S., </w:t>
      </w:r>
      <w:proofErr w:type="spellStart"/>
      <w:r w:rsidRPr="007A1FE0">
        <w:t>Makel</w:t>
      </w:r>
      <w:proofErr w:type="spellEnd"/>
      <w:r w:rsidRPr="007A1FE0">
        <w:t xml:space="preserve">, M. and </w:t>
      </w:r>
      <w:proofErr w:type="spellStart"/>
      <w:r w:rsidRPr="007A1FE0">
        <w:t>Olszewski_Kubilius</w:t>
      </w:r>
      <w:proofErr w:type="spellEnd"/>
      <w:r w:rsidRPr="007A1FE0">
        <w:t xml:space="preserve">, P. (2016). ‘What one hundred years of research says about the effects of ability grouping and acceleration on K-12 students’ academic achievement: findings on two second-order meta-analyses’, </w:t>
      </w:r>
      <w:r w:rsidRPr="007A1FE0">
        <w:rPr>
          <w:i/>
          <w:iCs/>
        </w:rPr>
        <w:t>Review of Educational Research,</w:t>
      </w:r>
      <w:r w:rsidRPr="007A1FE0">
        <w:t xml:space="preserve"> 86(4), 849-899.</w:t>
      </w:r>
    </w:p>
    <w:p w14:paraId="41D43731" w14:textId="77777777" w:rsidR="007A1FE0" w:rsidRPr="007A1FE0" w:rsidRDefault="007A1FE0" w:rsidP="004966AF">
      <w:pPr>
        <w:spacing w:line="480" w:lineRule="auto"/>
        <w:ind w:left="720" w:hanging="720"/>
      </w:pPr>
    </w:p>
    <w:p w14:paraId="29D54B4E" w14:textId="77777777" w:rsidR="007A1FE0" w:rsidRPr="007A1FE0" w:rsidRDefault="007A1FE0" w:rsidP="004966AF">
      <w:pPr>
        <w:spacing w:line="480" w:lineRule="auto"/>
        <w:ind w:left="720" w:hanging="720"/>
      </w:pPr>
      <w:r w:rsidRPr="007A1FE0">
        <w:t xml:space="preserve">Van de </w:t>
      </w:r>
      <w:proofErr w:type="spellStart"/>
      <w:r w:rsidRPr="007A1FE0">
        <w:t>Mortel</w:t>
      </w:r>
      <w:proofErr w:type="spellEnd"/>
      <w:r w:rsidRPr="007A1FE0">
        <w:t xml:space="preserve"> (2008). ‘Faking it: social desirability response bias in self-report research’, </w:t>
      </w:r>
      <w:r w:rsidRPr="007A1FE0">
        <w:rPr>
          <w:i/>
          <w:iCs/>
        </w:rPr>
        <w:t>Australian Journal of Advanced Nursing</w:t>
      </w:r>
      <w:r w:rsidRPr="007A1FE0">
        <w:t>, 25, pp. 40-48.</w:t>
      </w:r>
    </w:p>
    <w:p w14:paraId="76B6B158" w14:textId="77777777" w:rsidR="007A1FE0" w:rsidRDefault="007A1FE0" w:rsidP="004966AF">
      <w:pPr>
        <w:spacing w:line="480" w:lineRule="auto"/>
        <w:ind w:left="720" w:hanging="720"/>
      </w:pPr>
      <w:r w:rsidRPr="007A1FE0">
        <w:t xml:space="preserve">Wenz, A., </w:t>
      </w:r>
      <w:proofErr w:type="spellStart"/>
      <w:r w:rsidRPr="007A1FE0">
        <w:t>Baghal</w:t>
      </w:r>
      <w:proofErr w:type="spellEnd"/>
      <w:r w:rsidRPr="007A1FE0">
        <w:t xml:space="preserve">, T. and Gaia, A. (2021). ‘Language proficiency among respondents: implications for data quality in a longitudinal face-to-face survey’, </w:t>
      </w:r>
      <w:r w:rsidRPr="007A1FE0">
        <w:rPr>
          <w:i/>
          <w:iCs/>
        </w:rPr>
        <w:t>Journal of Survey Statistics and Methodology</w:t>
      </w:r>
      <w:r w:rsidRPr="007A1FE0">
        <w:t xml:space="preserve">, 9(1), pp.73-93. </w:t>
      </w:r>
    </w:p>
    <w:p w14:paraId="54C7CF16" w14:textId="77777777" w:rsidR="007A1FE0" w:rsidRPr="007A1FE0" w:rsidRDefault="007A1FE0" w:rsidP="004966AF">
      <w:pPr>
        <w:spacing w:line="480" w:lineRule="auto"/>
        <w:ind w:left="720" w:hanging="720"/>
      </w:pPr>
    </w:p>
    <w:p w14:paraId="59BE7E25" w14:textId="77777777" w:rsidR="007A1FE0" w:rsidRDefault="007A1FE0" w:rsidP="004966AF">
      <w:pPr>
        <w:spacing w:line="480" w:lineRule="auto"/>
        <w:ind w:left="720" w:hanging="720"/>
      </w:pPr>
      <w:proofErr w:type="spellStart"/>
      <w:r w:rsidRPr="007A1FE0">
        <w:lastRenderedPageBreak/>
        <w:t>Wikfeldt</w:t>
      </w:r>
      <w:proofErr w:type="spellEnd"/>
      <w:r w:rsidRPr="007A1FE0">
        <w:t xml:space="preserve">, E. (2016). ‘Generalising from Case Studies’, </w:t>
      </w:r>
      <w:r w:rsidRPr="007A1FE0">
        <w:rPr>
          <w:i/>
          <w:iCs/>
        </w:rPr>
        <w:t>Education,</w:t>
      </w:r>
      <w:r w:rsidRPr="007A1FE0">
        <w:t xml:space="preserve"> </w:t>
      </w:r>
      <w:proofErr w:type="spellStart"/>
      <w:r w:rsidRPr="007A1FE0">
        <w:t>doi</w:t>
      </w:r>
      <w:proofErr w:type="spellEnd"/>
      <w:r w:rsidRPr="007A1FE0">
        <w:t xml:space="preserve">: 10.13140/RG.2.2.25554.76480 </w:t>
      </w:r>
    </w:p>
    <w:p w14:paraId="5E02B51B" w14:textId="77777777" w:rsidR="007A1FE0" w:rsidRPr="007A1FE0" w:rsidRDefault="007A1FE0" w:rsidP="004966AF">
      <w:pPr>
        <w:spacing w:line="480" w:lineRule="auto"/>
        <w:ind w:left="720" w:hanging="720"/>
      </w:pPr>
    </w:p>
    <w:p w14:paraId="7BFA30F9" w14:textId="77777777" w:rsidR="007A1FE0" w:rsidRDefault="007A1FE0" w:rsidP="004966AF">
      <w:pPr>
        <w:spacing w:line="480" w:lineRule="auto"/>
        <w:ind w:left="720" w:hanging="720"/>
      </w:pPr>
      <w:r w:rsidRPr="007A1FE0">
        <w:t xml:space="preserve">Wragg, T. (2011). </w:t>
      </w:r>
      <w:r w:rsidRPr="007A1FE0">
        <w:rPr>
          <w:i/>
          <w:iCs/>
        </w:rPr>
        <w:t>An Introduction to Classroom Observation</w:t>
      </w:r>
      <w:r w:rsidRPr="007A1FE0">
        <w:t>. Routledge: London.</w:t>
      </w:r>
    </w:p>
    <w:p w14:paraId="4FA5C1D8" w14:textId="77777777" w:rsidR="007A1FE0" w:rsidRPr="007A1FE0" w:rsidRDefault="007A1FE0" w:rsidP="004966AF">
      <w:pPr>
        <w:spacing w:line="480" w:lineRule="auto"/>
        <w:ind w:left="720" w:hanging="720"/>
      </w:pPr>
    </w:p>
    <w:p w14:paraId="183B2C17" w14:textId="60E109E2" w:rsidR="007A1FE0" w:rsidRDefault="007A1FE0" w:rsidP="004966AF">
      <w:pPr>
        <w:spacing w:line="480" w:lineRule="auto"/>
        <w:ind w:left="720" w:hanging="720"/>
      </w:pPr>
      <w:proofErr w:type="spellStart"/>
      <w:r w:rsidRPr="007A1FE0">
        <w:t>Zaare</w:t>
      </w:r>
      <w:proofErr w:type="spellEnd"/>
      <w:r w:rsidRPr="007A1FE0">
        <w:t xml:space="preserve">, M. (2013). ‘An investigation into the effect of classroom observation on teaching methodology’, </w:t>
      </w:r>
      <w:r w:rsidRPr="007A1FE0">
        <w:rPr>
          <w:i/>
          <w:iCs/>
        </w:rPr>
        <w:t>Social and Behavioural Sciences,</w:t>
      </w:r>
      <w:r w:rsidRPr="007A1FE0">
        <w:t xml:space="preserve"> 70, pp. 605-614</w:t>
      </w:r>
      <w:r>
        <w:t>.</w:t>
      </w:r>
    </w:p>
    <w:p w14:paraId="4835B100" w14:textId="31172B33" w:rsidR="007A1FE0" w:rsidRPr="007A1FE0" w:rsidRDefault="007A1FE0" w:rsidP="004966AF">
      <w:pPr>
        <w:spacing w:line="480" w:lineRule="auto"/>
        <w:ind w:left="720" w:hanging="720"/>
      </w:pPr>
    </w:p>
    <w:p w14:paraId="4ED4203F" w14:textId="77777777" w:rsidR="007A1FE0" w:rsidRPr="007A1FE0" w:rsidRDefault="007A1FE0" w:rsidP="004966AF">
      <w:pPr>
        <w:spacing w:line="480" w:lineRule="auto"/>
        <w:ind w:left="720" w:hanging="720"/>
      </w:pPr>
      <w:r w:rsidRPr="007A1FE0">
        <w:t xml:space="preserve">Zainal, Z. (2007). ‘Case study as a research method’, </w:t>
      </w:r>
      <w:proofErr w:type="spellStart"/>
      <w:r w:rsidRPr="007A1FE0">
        <w:rPr>
          <w:i/>
          <w:iCs/>
        </w:rPr>
        <w:t>Jurnul</w:t>
      </w:r>
      <w:proofErr w:type="spellEnd"/>
      <w:r w:rsidRPr="007A1FE0">
        <w:rPr>
          <w:i/>
          <w:iCs/>
        </w:rPr>
        <w:t xml:space="preserve"> </w:t>
      </w:r>
      <w:proofErr w:type="spellStart"/>
      <w:r w:rsidRPr="007A1FE0">
        <w:rPr>
          <w:i/>
          <w:iCs/>
        </w:rPr>
        <w:t>Kemanusiaan</w:t>
      </w:r>
      <w:proofErr w:type="spellEnd"/>
      <w:r w:rsidRPr="007A1FE0">
        <w:rPr>
          <w:i/>
          <w:iCs/>
        </w:rPr>
        <w:t>,</w:t>
      </w:r>
      <w:r w:rsidRPr="007A1FE0">
        <w:t xml:space="preserve"> 9. </w:t>
      </w:r>
    </w:p>
    <w:p w14:paraId="761295E6" w14:textId="77777777" w:rsidR="007A1FE0" w:rsidRDefault="007A1FE0">
      <w:pPr>
        <w:rPr>
          <w:b/>
          <w:bCs/>
          <w:u w:val="single"/>
        </w:rPr>
      </w:pPr>
    </w:p>
    <w:p w14:paraId="46A17C59" w14:textId="2A3380B1" w:rsidR="00E41A90" w:rsidRPr="00AD6A96" w:rsidRDefault="00E41A90">
      <w:pPr>
        <w:rPr>
          <w:b/>
          <w:bCs/>
          <w:u w:val="single"/>
        </w:rPr>
      </w:pPr>
    </w:p>
    <w:sectPr w:rsidR="00E41A90" w:rsidRPr="00AD6A9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350B8" w14:textId="77777777" w:rsidR="008A09CE" w:rsidRDefault="008A09CE" w:rsidP="00B674DD">
      <w:r>
        <w:separator/>
      </w:r>
    </w:p>
  </w:endnote>
  <w:endnote w:type="continuationSeparator" w:id="0">
    <w:p w14:paraId="249345DD" w14:textId="77777777" w:rsidR="008A09CE" w:rsidRDefault="008A09CE" w:rsidP="00B67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A2D9B" w14:textId="77777777" w:rsidR="008A09CE" w:rsidRDefault="008A09CE" w:rsidP="00B674DD">
      <w:r>
        <w:separator/>
      </w:r>
    </w:p>
  </w:footnote>
  <w:footnote w:type="continuationSeparator" w:id="0">
    <w:p w14:paraId="79E7049F" w14:textId="77777777" w:rsidR="008A09CE" w:rsidRDefault="008A09CE" w:rsidP="00B674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BA704" w14:textId="646CF7A4" w:rsidR="00B674DD" w:rsidRDefault="00B674DD" w:rsidP="00B674DD">
    <w:pPr>
      <w:pStyle w:val="Header"/>
      <w:tabs>
        <w:tab w:val="clear" w:pos="4513"/>
        <w:tab w:val="clear" w:pos="9026"/>
        <w:tab w:val="left" w:pos="7675"/>
      </w:tabs>
    </w:pPr>
    <w:r>
      <w:t>Module Code: ECAD7004                                                                           Student Number: 2304959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A96"/>
    <w:rsid w:val="00032522"/>
    <w:rsid w:val="00093B96"/>
    <w:rsid w:val="000A6B13"/>
    <w:rsid w:val="000B6F58"/>
    <w:rsid w:val="000C1775"/>
    <w:rsid w:val="000C26D5"/>
    <w:rsid w:val="000D32B0"/>
    <w:rsid w:val="000E1074"/>
    <w:rsid w:val="0012043B"/>
    <w:rsid w:val="00176696"/>
    <w:rsid w:val="001C36ED"/>
    <w:rsid w:val="001D1F48"/>
    <w:rsid w:val="0021629F"/>
    <w:rsid w:val="00251F1C"/>
    <w:rsid w:val="002966D2"/>
    <w:rsid w:val="002B6D9C"/>
    <w:rsid w:val="00310D0C"/>
    <w:rsid w:val="00355652"/>
    <w:rsid w:val="00356DE7"/>
    <w:rsid w:val="00370513"/>
    <w:rsid w:val="003B4019"/>
    <w:rsid w:val="003F660A"/>
    <w:rsid w:val="003F6955"/>
    <w:rsid w:val="00453A19"/>
    <w:rsid w:val="004966AF"/>
    <w:rsid w:val="004B4F15"/>
    <w:rsid w:val="004C0DA6"/>
    <w:rsid w:val="00533A25"/>
    <w:rsid w:val="00546E3C"/>
    <w:rsid w:val="005507CA"/>
    <w:rsid w:val="005A0DE3"/>
    <w:rsid w:val="005B35EF"/>
    <w:rsid w:val="005E15A4"/>
    <w:rsid w:val="005F3823"/>
    <w:rsid w:val="005F7D05"/>
    <w:rsid w:val="006409D7"/>
    <w:rsid w:val="00643446"/>
    <w:rsid w:val="0068520F"/>
    <w:rsid w:val="006E203E"/>
    <w:rsid w:val="006F2E06"/>
    <w:rsid w:val="00701C8B"/>
    <w:rsid w:val="00710EAD"/>
    <w:rsid w:val="00714283"/>
    <w:rsid w:val="00737A58"/>
    <w:rsid w:val="00756536"/>
    <w:rsid w:val="007A1FE0"/>
    <w:rsid w:val="007C175D"/>
    <w:rsid w:val="00800D31"/>
    <w:rsid w:val="008152DF"/>
    <w:rsid w:val="008265EA"/>
    <w:rsid w:val="0085433F"/>
    <w:rsid w:val="008578A4"/>
    <w:rsid w:val="00883CAF"/>
    <w:rsid w:val="008A09CE"/>
    <w:rsid w:val="008B797E"/>
    <w:rsid w:val="008D4AE0"/>
    <w:rsid w:val="00923D62"/>
    <w:rsid w:val="00946718"/>
    <w:rsid w:val="0095566E"/>
    <w:rsid w:val="0097670B"/>
    <w:rsid w:val="00A5258F"/>
    <w:rsid w:val="00A53F3C"/>
    <w:rsid w:val="00A60261"/>
    <w:rsid w:val="00AB5FA3"/>
    <w:rsid w:val="00AD6A96"/>
    <w:rsid w:val="00AE26E0"/>
    <w:rsid w:val="00B01B63"/>
    <w:rsid w:val="00B674DD"/>
    <w:rsid w:val="00B95003"/>
    <w:rsid w:val="00BA70D4"/>
    <w:rsid w:val="00BD128A"/>
    <w:rsid w:val="00BD1BB1"/>
    <w:rsid w:val="00BD48CC"/>
    <w:rsid w:val="00C12460"/>
    <w:rsid w:val="00C455A2"/>
    <w:rsid w:val="00C77ED7"/>
    <w:rsid w:val="00C845A1"/>
    <w:rsid w:val="00CB7B53"/>
    <w:rsid w:val="00CD1996"/>
    <w:rsid w:val="00D05BB9"/>
    <w:rsid w:val="00D21021"/>
    <w:rsid w:val="00D32C13"/>
    <w:rsid w:val="00D45BB8"/>
    <w:rsid w:val="00D6344F"/>
    <w:rsid w:val="00D6524B"/>
    <w:rsid w:val="00D7179A"/>
    <w:rsid w:val="00D765B6"/>
    <w:rsid w:val="00D946AE"/>
    <w:rsid w:val="00DC58E0"/>
    <w:rsid w:val="00E037EC"/>
    <w:rsid w:val="00E102AD"/>
    <w:rsid w:val="00E107F9"/>
    <w:rsid w:val="00E219FA"/>
    <w:rsid w:val="00E41A90"/>
    <w:rsid w:val="00E43F6A"/>
    <w:rsid w:val="00E57887"/>
    <w:rsid w:val="00E605CB"/>
    <w:rsid w:val="00EA7C9A"/>
    <w:rsid w:val="00EC6C9D"/>
    <w:rsid w:val="00EC77FF"/>
    <w:rsid w:val="00EF1D52"/>
    <w:rsid w:val="00F85EA9"/>
    <w:rsid w:val="00FC620E"/>
    <w:rsid w:val="00FE7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83B66"/>
  <w15:chartTrackingRefBased/>
  <w15:docId w15:val="{883FB33A-C5ED-994E-B39F-BD5DD8011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A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A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A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A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A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A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A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A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A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A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A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A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A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A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A96"/>
    <w:rPr>
      <w:rFonts w:eastAsiaTheme="majorEastAsia" w:cstheme="majorBidi"/>
      <w:color w:val="272727" w:themeColor="text1" w:themeTint="D8"/>
    </w:rPr>
  </w:style>
  <w:style w:type="paragraph" w:styleId="Title">
    <w:name w:val="Title"/>
    <w:basedOn w:val="Normal"/>
    <w:next w:val="Normal"/>
    <w:link w:val="TitleChar"/>
    <w:uiPriority w:val="10"/>
    <w:qFormat/>
    <w:rsid w:val="00AD6A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A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A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A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A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6A96"/>
    <w:rPr>
      <w:i/>
      <w:iCs/>
      <w:color w:val="404040" w:themeColor="text1" w:themeTint="BF"/>
    </w:rPr>
  </w:style>
  <w:style w:type="paragraph" w:styleId="ListParagraph">
    <w:name w:val="List Paragraph"/>
    <w:basedOn w:val="Normal"/>
    <w:uiPriority w:val="34"/>
    <w:qFormat/>
    <w:rsid w:val="00AD6A96"/>
    <w:pPr>
      <w:ind w:left="720"/>
      <w:contextualSpacing/>
    </w:pPr>
  </w:style>
  <w:style w:type="character" w:styleId="IntenseEmphasis">
    <w:name w:val="Intense Emphasis"/>
    <w:basedOn w:val="DefaultParagraphFont"/>
    <w:uiPriority w:val="21"/>
    <w:qFormat/>
    <w:rsid w:val="00AD6A96"/>
    <w:rPr>
      <w:i/>
      <w:iCs/>
      <w:color w:val="0F4761" w:themeColor="accent1" w:themeShade="BF"/>
    </w:rPr>
  </w:style>
  <w:style w:type="paragraph" w:styleId="IntenseQuote">
    <w:name w:val="Intense Quote"/>
    <w:basedOn w:val="Normal"/>
    <w:next w:val="Normal"/>
    <w:link w:val="IntenseQuoteChar"/>
    <w:uiPriority w:val="30"/>
    <w:qFormat/>
    <w:rsid w:val="00AD6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A96"/>
    <w:rPr>
      <w:i/>
      <w:iCs/>
      <w:color w:val="0F4761" w:themeColor="accent1" w:themeShade="BF"/>
    </w:rPr>
  </w:style>
  <w:style w:type="character" w:styleId="IntenseReference">
    <w:name w:val="Intense Reference"/>
    <w:basedOn w:val="DefaultParagraphFont"/>
    <w:uiPriority w:val="32"/>
    <w:qFormat/>
    <w:rsid w:val="00AD6A96"/>
    <w:rPr>
      <w:b/>
      <w:bCs/>
      <w:smallCaps/>
      <w:color w:val="0F4761" w:themeColor="accent1" w:themeShade="BF"/>
      <w:spacing w:val="5"/>
    </w:rPr>
  </w:style>
  <w:style w:type="character" w:customStyle="1" w:styleId="apple-converted-space">
    <w:name w:val="apple-converted-space"/>
    <w:basedOn w:val="DefaultParagraphFont"/>
    <w:rsid w:val="007A1FE0"/>
  </w:style>
  <w:style w:type="character" w:styleId="Emphasis">
    <w:name w:val="Emphasis"/>
    <w:basedOn w:val="DefaultParagraphFont"/>
    <w:uiPriority w:val="20"/>
    <w:qFormat/>
    <w:rsid w:val="007A1FE0"/>
    <w:rPr>
      <w:i/>
      <w:iCs/>
    </w:rPr>
  </w:style>
  <w:style w:type="character" w:customStyle="1" w:styleId="groupname">
    <w:name w:val="groupname"/>
    <w:basedOn w:val="DefaultParagraphFont"/>
    <w:rsid w:val="007A1FE0"/>
  </w:style>
  <w:style w:type="character" w:customStyle="1" w:styleId="pubyear">
    <w:name w:val="pubyear"/>
    <w:basedOn w:val="DefaultParagraphFont"/>
    <w:rsid w:val="007A1FE0"/>
  </w:style>
  <w:style w:type="character" w:customStyle="1" w:styleId="booktitle">
    <w:name w:val="booktitle"/>
    <w:basedOn w:val="DefaultParagraphFont"/>
    <w:rsid w:val="007A1FE0"/>
  </w:style>
  <w:style w:type="character" w:styleId="Hyperlink">
    <w:name w:val="Hyperlink"/>
    <w:basedOn w:val="DefaultParagraphFont"/>
    <w:uiPriority w:val="99"/>
    <w:unhideWhenUsed/>
    <w:rsid w:val="007A1FE0"/>
    <w:rPr>
      <w:color w:val="467886" w:themeColor="hyperlink"/>
      <w:u w:val="single"/>
    </w:rPr>
  </w:style>
  <w:style w:type="paragraph" w:styleId="Header">
    <w:name w:val="header"/>
    <w:basedOn w:val="Normal"/>
    <w:link w:val="HeaderChar"/>
    <w:uiPriority w:val="99"/>
    <w:unhideWhenUsed/>
    <w:rsid w:val="00B674DD"/>
    <w:pPr>
      <w:tabs>
        <w:tab w:val="center" w:pos="4513"/>
        <w:tab w:val="right" w:pos="9026"/>
      </w:tabs>
    </w:pPr>
  </w:style>
  <w:style w:type="character" w:customStyle="1" w:styleId="HeaderChar">
    <w:name w:val="Header Char"/>
    <w:basedOn w:val="DefaultParagraphFont"/>
    <w:link w:val="Header"/>
    <w:uiPriority w:val="99"/>
    <w:rsid w:val="00B674DD"/>
  </w:style>
  <w:style w:type="paragraph" w:styleId="Footer">
    <w:name w:val="footer"/>
    <w:basedOn w:val="Normal"/>
    <w:link w:val="FooterChar"/>
    <w:uiPriority w:val="99"/>
    <w:unhideWhenUsed/>
    <w:rsid w:val="00B674DD"/>
    <w:pPr>
      <w:tabs>
        <w:tab w:val="center" w:pos="4513"/>
        <w:tab w:val="right" w:pos="9026"/>
      </w:tabs>
    </w:pPr>
  </w:style>
  <w:style w:type="character" w:customStyle="1" w:styleId="FooterChar">
    <w:name w:val="Footer Char"/>
    <w:basedOn w:val="DefaultParagraphFont"/>
    <w:link w:val="Footer"/>
    <w:uiPriority w:val="99"/>
    <w:rsid w:val="00B674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ric.ed.gov/?id=ED42707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hyperlink" Target="https://www.diva-portal.org/smash/get/diva2:1064378/FULLTEXT01.pdfig" TargetMode="External"/><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hyperlink" Target="https://www.bera.ac.uk/researchers-resources/publications/ethical-guidelines-for-educational-research-20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Q1: How do you feel when you get to choose which activity to work on during lessons?</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Q1: How do you feel when you get to choose which activity to work on during lessons?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EB-A347-A6AB-7E366E020C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EB-A347-A6AB-7E366E020C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0EB-A347-A6AB-7E366E020C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0EB-A347-A6AB-7E366E020C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0EB-A347-A6AB-7E366E020CF8}"/>
              </c:ext>
            </c:extLst>
          </c:dPt>
          <c:cat>
            <c:strRef>
              <c:f>Sheet1!$B$1:$F$1</c:f>
              <c:strCache>
                <c:ptCount val="5"/>
                <c:pt idx="0">
                  <c:v>Very Excited </c:v>
                </c:pt>
                <c:pt idx="1">
                  <c:v>Excited</c:v>
                </c:pt>
                <c:pt idx="2">
                  <c:v>Neutral</c:v>
                </c:pt>
                <c:pt idx="3">
                  <c:v>Nervous</c:v>
                </c:pt>
                <c:pt idx="4">
                  <c:v>Very Nervous</c:v>
                </c:pt>
              </c:strCache>
            </c:strRef>
          </c:cat>
          <c:val>
            <c:numRef>
              <c:f>Sheet1!$B$2:$F$2</c:f>
              <c:numCache>
                <c:formatCode>General</c:formatCode>
                <c:ptCount val="5"/>
                <c:pt idx="0">
                  <c:v>2</c:v>
                </c:pt>
                <c:pt idx="1">
                  <c:v>2</c:v>
                </c:pt>
                <c:pt idx="2">
                  <c:v>2</c:v>
                </c:pt>
                <c:pt idx="3">
                  <c:v>0</c:v>
                </c:pt>
                <c:pt idx="4">
                  <c:v>0</c:v>
                </c:pt>
              </c:numCache>
            </c:numRef>
          </c:val>
          <c:extLst>
            <c:ext xmlns:c16="http://schemas.microsoft.com/office/drawing/2014/chart" uri="{C3380CC4-5D6E-409C-BE32-E72D297353CC}">
              <c16:uniqueId val="{0000000A-A0EB-A347-A6AB-7E366E020C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Q2: Do you like having different taks to choose from based on how confident you feel?</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Sheet1!$A$4</c:f>
              <c:strCache>
                <c:ptCount val="1"/>
                <c:pt idx="0">
                  <c:v>Q2: Do you like having different taks to choose from based on how confident you feel?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43A-8B47-9AEA-DC8A448DC63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43A-8B47-9AEA-DC8A448DC63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43A-8B47-9AEA-DC8A448DC63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43A-8B47-9AEA-DC8A448DC63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43A-8B47-9AEA-DC8A448DC636}"/>
              </c:ext>
            </c:extLst>
          </c:dPt>
          <c:cat>
            <c:strRef>
              <c:f>Sheet1!$B$3:$F$3</c:f>
              <c:strCache>
                <c:ptCount val="5"/>
                <c:pt idx="0">
                  <c:v>Strongly Agree</c:v>
                </c:pt>
                <c:pt idx="1">
                  <c:v>Agree</c:v>
                </c:pt>
                <c:pt idx="2">
                  <c:v>Neutral</c:v>
                </c:pt>
                <c:pt idx="3">
                  <c:v>Disagree</c:v>
                </c:pt>
                <c:pt idx="4">
                  <c:v>Strongly Disagree</c:v>
                </c:pt>
              </c:strCache>
            </c:strRef>
          </c:cat>
          <c:val>
            <c:numRef>
              <c:f>Sheet1!$B$4:$F$4</c:f>
              <c:numCache>
                <c:formatCode>General</c:formatCode>
                <c:ptCount val="5"/>
                <c:pt idx="0">
                  <c:v>1</c:v>
                </c:pt>
                <c:pt idx="1">
                  <c:v>1</c:v>
                </c:pt>
                <c:pt idx="2">
                  <c:v>2</c:v>
                </c:pt>
                <c:pt idx="3">
                  <c:v>2</c:v>
                </c:pt>
                <c:pt idx="4">
                  <c:v>0</c:v>
                </c:pt>
              </c:numCache>
            </c:numRef>
          </c:val>
          <c:extLst>
            <c:ext xmlns:c16="http://schemas.microsoft.com/office/drawing/2014/chart" uri="{C3380CC4-5D6E-409C-BE32-E72D297353CC}">
              <c16:uniqueId val="{0000000A-143A-8B47-9AEA-DC8A448DC63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Q3: When you get to pick your activity, do you feel more motivated to learn?</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Sheet1!$A$6</c:f>
              <c:strCache>
                <c:ptCount val="1"/>
                <c:pt idx="0">
                  <c:v>Q3: When you get to pick your activity, do you feel more motivated to learn?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24-F94C-8E2E-2828198AA29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24-F94C-8E2E-2828198AA29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24-F94C-8E2E-2828198AA29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24-F94C-8E2E-2828198AA29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B24-F94C-8E2E-2828198AA29F}"/>
              </c:ext>
            </c:extLst>
          </c:dPt>
          <c:cat>
            <c:strRef>
              <c:f>Sheet1!$B$5:$F$5</c:f>
              <c:strCache>
                <c:ptCount val="5"/>
                <c:pt idx="0">
                  <c:v>Strongly Agree</c:v>
                </c:pt>
                <c:pt idx="1">
                  <c:v>Agree</c:v>
                </c:pt>
                <c:pt idx="2">
                  <c:v>Neutral</c:v>
                </c:pt>
                <c:pt idx="3">
                  <c:v>Disagree</c:v>
                </c:pt>
                <c:pt idx="4">
                  <c:v>Strongly Disagree</c:v>
                </c:pt>
              </c:strCache>
            </c:strRef>
          </c:cat>
          <c:val>
            <c:numRef>
              <c:f>Sheet1!$B$6:$F$6</c:f>
              <c:numCache>
                <c:formatCode>General</c:formatCode>
                <c:ptCount val="5"/>
                <c:pt idx="0">
                  <c:v>3</c:v>
                </c:pt>
                <c:pt idx="1">
                  <c:v>0</c:v>
                </c:pt>
                <c:pt idx="2">
                  <c:v>1</c:v>
                </c:pt>
                <c:pt idx="3">
                  <c:v>1</c:v>
                </c:pt>
                <c:pt idx="4">
                  <c:v>1</c:v>
                </c:pt>
              </c:numCache>
            </c:numRef>
          </c:val>
          <c:extLst>
            <c:ext xmlns:c16="http://schemas.microsoft.com/office/drawing/2014/chart" uri="{C3380CC4-5D6E-409C-BE32-E72D297353CC}">
              <c16:uniqueId val="{0000000A-6B24-F94C-8E2E-2828198AA29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Q4: How does it make you feel when you choose a challenging task and complete it successfully?</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Sheet1!$A$8</c:f>
              <c:strCache>
                <c:ptCount val="1"/>
                <c:pt idx="0">
                  <c:v>Q4: How does it make you feel when you choose a challenging task and complete it successfully?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5E-AC46-91B2-A4CDE34D7F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5E-AC46-91B2-A4CDE34D7F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5E-AC46-91B2-A4CDE34D7F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5E-AC46-91B2-A4CDE34D7F4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85E-AC46-91B2-A4CDE34D7F40}"/>
              </c:ext>
            </c:extLst>
          </c:dPt>
          <c:cat>
            <c:strRef>
              <c:f>Sheet1!$B$7:$F$7</c:f>
              <c:strCache>
                <c:ptCount val="5"/>
                <c:pt idx="0">
                  <c:v>Very Proud</c:v>
                </c:pt>
                <c:pt idx="1">
                  <c:v>Proud</c:v>
                </c:pt>
                <c:pt idx="2">
                  <c:v>Neutral</c:v>
                </c:pt>
                <c:pt idx="3">
                  <c:v>Not Very Proud</c:v>
                </c:pt>
                <c:pt idx="4">
                  <c:v>Not Very Proud at All</c:v>
                </c:pt>
              </c:strCache>
            </c:strRef>
          </c:cat>
          <c:val>
            <c:numRef>
              <c:f>Sheet1!$B$8:$F$8</c:f>
              <c:numCache>
                <c:formatCode>General</c:formatCode>
                <c:ptCount val="5"/>
                <c:pt idx="0">
                  <c:v>4</c:v>
                </c:pt>
                <c:pt idx="1">
                  <c:v>1</c:v>
                </c:pt>
                <c:pt idx="2">
                  <c:v>1</c:v>
                </c:pt>
                <c:pt idx="3">
                  <c:v>0</c:v>
                </c:pt>
                <c:pt idx="4">
                  <c:v>0</c:v>
                </c:pt>
              </c:numCache>
            </c:numRef>
          </c:val>
          <c:extLst>
            <c:ext xmlns:c16="http://schemas.microsoft.com/office/drawing/2014/chart" uri="{C3380CC4-5D6E-409C-BE32-E72D297353CC}">
              <c16:uniqueId val="{0000000A-E85E-AC46-91B2-A4CDE34D7F4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Q5: Do you think being able to choose tasks helps you to understand the topic better?</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Sheet1!$A$10</c:f>
              <c:strCache>
                <c:ptCount val="1"/>
                <c:pt idx="0">
                  <c:v>Q5: Do you think being able to choose tasks helps you to understand the topic better?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6D-DE41-A4D6-4437CB051F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6D-DE41-A4D6-4437CB051F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6D-DE41-A4D6-4437CB051F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6D-DE41-A4D6-4437CB051F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06D-DE41-A4D6-4437CB051FDD}"/>
              </c:ext>
            </c:extLst>
          </c:dPt>
          <c:cat>
            <c:strRef>
              <c:f>Sheet1!$B$9:$F$9</c:f>
              <c:strCache>
                <c:ptCount val="5"/>
                <c:pt idx="0">
                  <c:v>Strongly Agree</c:v>
                </c:pt>
                <c:pt idx="1">
                  <c:v>Agree</c:v>
                </c:pt>
                <c:pt idx="2">
                  <c:v>Neutral</c:v>
                </c:pt>
                <c:pt idx="3">
                  <c:v>Disagree</c:v>
                </c:pt>
                <c:pt idx="4">
                  <c:v>Strongly Disagree</c:v>
                </c:pt>
              </c:strCache>
            </c:strRef>
          </c:cat>
          <c:val>
            <c:numRef>
              <c:f>Sheet1!$B$10:$F$10</c:f>
              <c:numCache>
                <c:formatCode>General</c:formatCode>
                <c:ptCount val="5"/>
                <c:pt idx="0">
                  <c:v>4</c:v>
                </c:pt>
                <c:pt idx="1">
                  <c:v>1</c:v>
                </c:pt>
                <c:pt idx="2">
                  <c:v>0</c:v>
                </c:pt>
                <c:pt idx="3">
                  <c:v>1</c:v>
                </c:pt>
                <c:pt idx="4">
                  <c:v>0</c:v>
                </c:pt>
              </c:numCache>
            </c:numRef>
          </c:val>
          <c:extLst>
            <c:ext xmlns:c16="http://schemas.microsoft.com/office/drawing/2014/chart" uri="{C3380CC4-5D6E-409C-BE32-E72D297353CC}">
              <c16:uniqueId val="{0000000A-B06D-DE41-A4D6-4437CB051F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Q6: How do you feel when you choose a task that is too difficult for you?</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Sheet1!$A$12</c:f>
              <c:strCache>
                <c:ptCount val="1"/>
                <c:pt idx="0">
                  <c:v>Q6: How do you feel when you choose a task that is too difficult for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282-2942-B796-12FA860651A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282-2942-B796-12FA860651A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282-2942-B796-12FA860651A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282-2942-B796-12FA860651A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282-2942-B796-12FA860651AB}"/>
              </c:ext>
            </c:extLst>
          </c:dPt>
          <c:cat>
            <c:strRef>
              <c:f>Sheet1!$B$11:$F$11</c:f>
              <c:strCache>
                <c:ptCount val="5"/>
                <c:pt idx="0">
                  <c:v>Very Frustrated</c:v>
                </c:pt>
                <c:pt idx="1">
                  <c:v>Frustrated</c:v>
                </c:pt>
                <c:pt idx="2">
                  <c:v>Neutral</c:v>
                </c:pt>
                <c:pt idx="3">
                  <c:v>Determined</c:v>
                </c:pt>
                <c:pt idx="4">
                  <c:v>Very Determined</c:v>
                </c:pt>
              </c:strCache>
            </c:strRef>
          </c:cat>
          <c:val>
            <c:numRef>
              <c:f>Sheet1!$B$12:$F$12</c:f>
              <c:numCache>
                <c:formatCode>General</c:formatCode>
                <c:ptCount val="5"/>
                <c:pt idx="0">
                  <c:v>1</c:v>
                </c:pt>
                <c:pt idx="1">
                  <c:v>0</c:v>
                </c:pt>
                <c:pt idx="2">
                  <c:v>0</c:v>
                </c:pt>
                <c:pt idx="3">
                  <c:v>2</c:v>
                </c:pt>
                <c:pt idx="4">
                  <c:v>3</c:v>
                </c:pt>
              </c:numCache>
            </c:numRef>
          </c:val>
          <c:extLst>
            <c:ext xmlns:c16="http://schemas.microsoft.com/office/drawing/2014/chart" uri="{C3380CC4-5D6E-409C-BE32-E72D297353CC}">
              <c16:uniqueId val="{0000000A-5282-2942-B796-12FA860651A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Q7: Do you think being able to choose tasks based on your confidence level helps you feel better about yourself?</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Sheet1!$A$14</c:f>
              <c:strCache>
                <c:ptCount val="1"/>
                <c:pt idx="0">
                  <c:v>Q7: Do you think being able to choose tasks based on your confidence level helps you feel better about yourself?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3E9-1D4D-B6C9-3B4B5D32DF5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3E9-1D4D-B6C9-3B4B5D32DF5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3E9-1D4D-B6C9-3B4B5D32DF5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3E9-1D4D-B6C9-3B4B5D32DF5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3E9-1D4D-B6C9-3B4B5D32DF52}"/>
              </c:ext>
            </c:extLst>
          </c:dPt>
          <c:cat>
            <c:strRef>
              <c:f>Sheet1!$B$13:$F$13</c:f>
              <c:strCache>
                <c:ptCount val="5"/>
                <c:pt idx="0">
                  <c:v>Strongly Agree</c:v>
                </c:pt>
                <c:pt idx="1">
                  <c:v>Agree</c:v>
                </c:pt>
                <c:pt idx="2">
                  <c:v>Neutral</c:v>
                </c:pt>
                <c:pt idx="3">
                  <c:v>Disagree</c:v>
                </c:pt>
                <c:pt idx="4">
                  <c:v>Strongly Disagree</c:v>
                </c:pt>
              </c:strCache>
            </c:strRef>
          </c:cat>
          <c:val>
            <c:numRef>
              <c:f>Sheet1!$B$14:$F$14</c:f>
              <c:numCache>
                <c:formatCode>General</c:formatCode>
                <c:ptCount val="5"/>
                <c:pt idx="0">
                  <c:v>3</c:v>
                </c:pt>
                <c:pt idx="1">
                  <c:v>1</c:v>
                </c:pt>
                <c:pt idx="2">
                  <c:v>1</c:v>
                </c:pt>
                <c:pt idx="3">
                  <c:v>1</c:v>
                </c:pt>
                <c:pt idx="4">
                  <c:v>0</c:v>
                </c:pt>
              </c:numCache>
            </c:numRef>
          </c:val>
          <c:extLst>
            <c:ext xmlns:c16="http://schemas.microsoft.com/office/drawing/2014/chart" uri="{C3380CC4-5D6E-409C-BE32-E72D297353CC}">
              <c16:uniqueId val="{0000000A-B3E9-1D4D-B6C9-3B4B5D32DF5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543</TotalTime>
  <Pages>30</Pages>
  <Words>6007</Words>
  <Characters>34242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Francis (2304959)</dc:creator>
  <cp:keywords/>
  <dc:description/>
  <cp:lastModifiedBy>Caitlin Francis (2304959)</cp:lastModifiedBy>
  <cp:revision>36</cp:revision>
  <dcterms:created xsi:type="dcterms:W3CDTF">2024-03-12T14:33:00Z</dcterms:created>
  <dcterms:modified xsi:type="dcterms:W3CDTF">2024-05-05T17:13:00Z</dcterms:modified>
</cp:coreProperties>
</file>