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97612F" w14:textId="74633C93" w:rsidR="00D31929" w:rsidRPr="00D31929" w:rsidRDefault="00D31929" w:rsidP="00D31929">
      <w:pPr>
        <w:jc w:val="center"/>
        <w:rPr>
          <w:rFonts w:ascii="Arial" w:hAnsi="Arial" w:cs="Arial"/>
          <w:b/>
        </w:rPr>
      </w:pPr>
      <w:r w:rsidRPr="00D121B3">
        <w:rPr>
          <w:rFonts w:ascii="Arial" w:hAnsi="Arial" w:cs="Arial"/>
          <w:noProof/>
        </w:rPr>
        <w:drawing>
          <wp:inline distT="0" distB="0" distL="0" distR="0" wp14:anchorId="1886FB6A" wp14:editId="4816F46D">
            <wp:extent cx="3143250" cy="3143250"/>
            <wp:effectExtent l="0" t="0" r="0" b="0"/>
            <wp:docPr id="2087103328" name="Picture 5" descr="University of Wales Trinity Saint David - Climate Cym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niversity of Wales Trinity Saint David - Climate Cymru"/>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43250" cy="3143250"/>
                    </a:xfrm>
                    <a:prstGeom prst="rect">
                      <a:avLst/>
                    </a:prstGeom>
                    <a:noFill/>
                    <a:ln>
                      <a:noFill/>
                    </a:ln>
                  </pic:spPr>
                </pic:pic>
              </a:graphicData>
            </a:graphic>
          </wp:inline>
        </w:drawing>
      </w:r>
    </w:p>
    <w:p w14:paraId="2C783492" w14:textId="77777777" w:rsidR="00D31929" w:rsidRPr="00D31929" w:rsidRDefault="00D31929" w:rsidP="00D31929">
      <w:pPr>
        <w:rPr>
          <w:rFonts w:ascii="Arial" w:hAnsi="Arial" w:cs="Arial"/>
        </w:rPr>
      </w:pPr>
    </w:p>
    <w:p w14:paraId="1A859F7B" w14:textId="77777777" w:rsidR="00D31929" w:rsidRPr="00D31929" w:rsidRDefault="00D31929" w:rsidP="00D31929">
      <w:pPr>
        <w:rPr>
          <w:rFonts w:ascii="Arial" w:hAnsi="Arial" w:cs="Arial"/>
          <w:b/>
          <w:bCs/>
        </w:rPr>
      </w:pPr>
      <w:proofErr w:type="spellStart"/>
      <w:r w:rsidRPr="00D31929">
        <w:rPr>
          <w:rFonts w:ascii="Arial" w:hAnsi="Arial" w:cs="Arial"/>
          <w:b/>
          <w:bCs/>
        </w:rPr>
        <w:t>Programme</w:t>
      </w:r>
      <w:proofErr w:type="spellEnd"/>
      <w:r w:rsidRPr="00D31929">
        <w:rPr>
          <w:rFonts w:ascii="Arial" w:hAnsi="Arial" w:cs="Arial"/>
          <w:b/>
          <w:bCs/>
        </w:rPr>
        <w:t>: Master of Business Administration</w:t>
      </w:r>
    </w:p>
    <w:p w14:paraId="1343EE61" w14:textId="77777777" w:rsidR="00D31929" w:rsidRPr="00D31929" w:rsidRDefault="00D31929" w:rsidP="00D31929">
      <w:pPr>
        <w:rPr>
          <w:rFonts w:ascii="Arial" w:hAnsi="Arial" w:cs="Arial"/>
          <w:b/>
          <w:bCs/>
        </w:rPr>
      </w:pPr>
      <w:r w:rsidRPr="00D31929">
        <w:rPr>
          <w:rFonts w:ascii="Arial" w:hAnsi="Arial" w:cs="Arial"/>
          <w:b/>
          <w:bCs/>
        </w:rPr>
        <w:t>Module: Marketing Management</w:t>
      </w:r>
    </w:p>
    <w:p w14:paraId="301CB7A9" w14:textId="77777777" w:rsidR="00D31929" w:rsidRPr="00D31929" w:rsidRDefault="00D31929" w:rsidP="00D31929">
      <w:pPr>
        <w:rPr>
          <w:rFonts w:ascii="Arial" w:hAnsi="Arial" w:cs="Arial"/>
          <w:b/>
          <w:bCs/>
        </w:rPr>
      </w:pPr>
      <w:r w:rsidRPr="00D31929">
        <w:rPr>
          <w:rFonts w:ascii="Arial" w:hAnsi="Arial" w:cs="Arial"/>
          <w:b/>
          <w:bCs/>
        </w:rPr>
        <w:t>Module code: LCMB7024</w:t>
      </w:r>
    </w:p>
    <w:p w14:paraId="58BE9F9E" w14:textId="77777777" w:rsidR="00D31929" w:rsidRPr="00D31929" w:rsidRDefault="00D31929" w:rsidP="00D31929">
      <w:pPr>
        <w:rPr>
          <w:rFonts w:ascii="Arial" w:hAnsi="Arial" w:cs="Arial"/>
          <w:b/>
          <w:bCs/>
        </w:rPr>
      </w:pPr>
      <w:r w:rsidRPr="00D31929">
        <w:rPr>
          <w:rFonts w:ascii="Arial" w:hAnsi="Arial" w:cs="Arial"/>
          <w:b/>
          <w:bCs/>
        </w:rPr>
        <w:t>Assignment Title: Assessment Component 1- Essay</w:t>
      </w:r>
    </w:p>
    <w:p w14:paraId="23FE4658" w14:textId="77777777" w:rsidR="00D31929" w:rsidRPr="00D31929" w:rsidRDefault="00D31929" w:rsidP="00D31929">
      <w:pPr>
        <w:rPr>
          <w:rFonts w:ascii="Arial" w:hAnsi="Arial" w:cs="Arial"/>
          <w:b/>
          <w:bCs/>
        </w:rPr>
      </w:pPr>
      <w:r w:rsidRPr="00D31929">
        <w:rPr>
          <w:rFonts w:ascii="Arial" w:hAnsi="Arial" w:cs="Arial"/>
          <w:b/>
          <w:bCs/>
        </w:rPr>
        <w:t xml:space="preserve">Essay Title: </w:t>
      </w:r>
      <w:r w:rsidRPr="00D31929">
        <w:rPr>
          <w:rFonts w:ascii="Arial" w:hAnsi="Arial" w:cs="Arial"/>
        </w:rPr>
        <w:t xml:space="preserve">Pioneering vs. Following in Strategic Marketing: </w:t>
      </w:r>
      <w:proofErr w:type="spellStart"/>
      <w:r w:rsidRPr="00D31929">
        <w:rPr>
          <w:rFonts w:ascii="Arial" w:hAnsi="Arial" w:cs="Arial"/>
        </w:rPr>
        <w:t>Analysing</w:t>
      </w:r>
      <w:proofErr w:type="spellEnd"/>
      <w:r w:rsidRPr="00D31929">
        <w:rPr>
          <w:rFonts w:ascii="Arial" w:hAnsi="Arial" w:cs="Arial"/>
        </w:rPr>
        <w:t xml:space="preserve"> Competitive Strategies and Product Life Cycle Management</w:t>
      </w:r>
    </w:p>
    <w:p w14:paraId="6CDD5E8E" w14:textId="77777777" w:rsidR="00D31929" w:rsidRPr="00D31929" w:rsidRDefault="00D31929" w:rsidP="00D31929">
      <w:pPr>
        <w:rPr>
          <w:rFonts w:ascii="Arial" w:hAnsi="Arial" w:cs="Arial"/>
          <w:b/>
          <w:bCs/>
        </w:rPr>
      </w:pPr>
    </w:p>
    <w:p w14:paraId="03815D75" w14:textId="77777777" w:rsidR="00D31929" w:rsidRPr="00D31929" w:rsidRDefault="00D31929" w:rsidP="00D31929">
      <w:pPr>
        <w:rPr>
          <w:rFonts w:ascii="Arial" w:hAnsi="Arial" w:cs="Arial"/>
          <w:b/>
          <w:bCs/>
        </w:rPr>
      </w:pPr>
    </w:p>
    <w:p w14:paraId="14EB0C53" w14:textId="77777777" w:rsidR="00D31929" w:rsidRPr="00D31929" w:rsidRDefault="00D31929" w:rsidP="00D31929">
      <w:pPr>
        <w:rPr>
          <w:rFonts w:ascii="Arial" w:hAnsi="Arial" w:cs="Arial"/>
          <w:b/>
          <w:bCs/>
        </w:rPr>
      </w:pPr>
    </w:p>
    <w:p w14:paraId="1844962F" w14:textId="3BC07DD3" w:rsidR="00D31929" w:rsidRPr="00D31929" w:rsidRDefault="00D31929" w:rsidP="00D31929">
      <w:pPr>
        <w:rPr>
          <w:rFonts w:ascii="Arial" w:hAnsi="Arial" w:cs="Arial"/>
          <w:b/>
          <w:bCs/>
        </w:rPr>
      </w:pPr>
      <w:r w:rsidRPr="00D31929">
        <w:rPr>
          <w:rFonts w:ascii="Arial" w:hAnsi="Arial" w:cs="Arial"/>
          <w:b/>
          <w:bCs/>
        </w:rPr>
        <w:t xml:space="preserve">Lecturer: </w:t>
      </w:r>
      <w:r w:rsidRPr="00D121B3">
        <w:rPr>
          <w:rFonts w:ascii="Arial" w:hAnsi="Arial" w:cs="Arial"/>
          <w:b/>
          <w:bCs/>
        </w:rPr>
        <w:t xml:space="preserve">Laila </w:t>
      </w:r>
      <w:proofErr w:type="spellStart"/>
      <w:r w:rsidRPr="00D121B3">
        <w:rPr>
          <w:rFonts w:ascii="Arial" w:hAnsi="Arial" w:cs="Arial"/>
          <w:b/>
          <w:bCs/>
        </w:rPr>
        <w:t>Maazouz</w:t>
      </w:r>
      <w:proofErr w:type="spellEnd"/>
    </w:p>
    <w:p w14:paraId="1A424E3C" w14:textId="77777777" w:rsidR="00D31929" w:rsidRPr="00D31929" w:rsidRDefault="00D31929" w:rsidP="00D31929">
      <w:pPr>
        <w:rPr>
          <w:rFonts w:ascii="Arial" w:hAnsi="Arial" w:cs="Arial"/>
        </w:rPr>
      </w:pPr>
    </w:p>
    <w:p w14:paraId="7CC0205F" w14:textId="76C61DBD" w:rsidR="00D31929" w:rsidRPr="00D31929" w:rsidRDefault="00D31929" w:rsidP="00D31929">
      <w:pPr>
        <w:rPr>
          <w:rFonts w:ascii="Arial" w:hAnsi="Arial" w:cs="Arial"/>
        </w:rPr>
      </w:pPr>
      <w:r w:rsidRPr="00D31929">
        <w:rPr>
          <w:rFonts w:ascii="Arial" w:hAnsi="Arial" w:cs="Arial"/>
        </w:rPr>
        <w:t>Student Name:</w:t>
      </w:r>
      <w:r w:rsidR="0023047B" w:rsidRPr="00D121B3">
        <w:rPr>
          <w:rFonts w:ascii="Arial" w:hAnsi="Arial" w:cs="Arial"/>
        </w:rPr>
        <w:t xml:space="preserve"> Shahriyar Emon Shuvo</w:t>
      </w:r>
    </w:p>
    <w:p w14:paraId="71A6CEC6" w14:textId="19E8287D" w:rsidR="00D31929" w:rsidRPr="00D31929" w:rsidRDefault="00D31929" w:rsidP="00D31929">
      <w:pPr>
        <w:rPr>
          <w:rFonts w:ascii="Arial" w:hAnsi="Arial" w:cs="Arial"/>
        </w:rPr>
      </w:pPr>
      <w:r w:rsidRPr="00D31929">
        <w:rPr>
          <w:rFonts w:ascii="Arial" w:hAnsi="Arial" w:cs="Arial"/>
        </w:rPr>
        <w:t>Student ID:</w:t>
      </w:r>
      <w:r w:rsidR="0023047B" w:rsidRPr="00D121B3">
        <w:rPr>
          <w:rFonts w:ascii="Arial" w:hAnsi="Arial" w:cs="Arial"/>
        </w:rPr>
        <w:t>2418580</w:t>
      </w:r>
    </w:p>
    <w:p w14:paraId="780C4559" w14:textId="109177E2" w:rsidR="00214EBE" w:rsidRPr="00214EBE" w:rsidRDefault="00214EBE" w:rsidP="00214EBE">
      <w:pPr>
        <w:rPr>
          <w:rFonts w:ascii="Arial" w:hAnsi="Arial" w:cs="Arial"/>
        </w:rPr>
      </w:pPr>
      <w:r w:rsidRPr="00214EBE">
        <w:rPr>
          <w:rFonts w:ascii="Arial" w:hAnsi="Arial" w:cs="Arial"/>
        </w:rPr>
        <w:t>Submission Date:28</w:t>
      </w:r>
      <w:r w:rsidRPr="00214EBE">
        <w:rPr>
          <w:rFonts w:ascii="Arial" w:hAnsi="Arial" w:cs="Arial"/>
          <w:vertAlign w:val="superscript"/>
        </w:rPr>
        <w:t>th</w:t>
      </w:r>
      <w:r w:rsidRPr="00214EBE">
        <w:rPr>
          <w:rFonts w:ascii="Arial" w:hAnsi="Arial" w:cs="Arial"/>
        </w:rPr>
        <w:t xml:space="preserve"> </w:t>
      </w:r>
      <w:r w:rsidR="00D121B3">
        <w:rPr>
          <w:rFonts w:ascii="Arial" w:hAnsi="Arial" w:cs="Arial"/>
        </w:rPr>
        <w:t>M</w:t>
      </w:r>
      <w:r w:rsidRPr="00214EBE">
        <w:rPr>
          <w:rFonts w:ascii="Arial" w:hAnsi="Arial" w:cs="Arial"/>
        </w:rPr>
        <w:t>arch 2025</w:t>
      </w:r>
    </w:p>
    <w:p w14:paraId="632DE3D6" w14:textId="77777777" w:rsidR="00D31929" w:rsidRPr="00D31929" w:rsidRDefault="00D31929" w:rsidP="00D31929">
      <w:pPr>
        <w:rPr>
          <w:rFonts w:ascii="Arial" w:hAnsi="Arial" w:cs="Arial"/>
        </w:rPr>
      </w:pPr>
      <w:r w:rsidRPr="00D31929">
        <w:rPr>
          <w:rFonts w:ascii="Arial" w:hAnsi="Arial" w:cs="Arial"/>
        </w:rPr>
        <w:t>Word Count: 2742</w:t>
      </w:r>
    </w:p>
    <w:p w14:paraId="728A8738" w14:textId="77777777" w:rsidR="00D31929" w:rsidRPr="00D31929" w:rsidRDefault="00D31929" w:rsidP="00D31929">
      <w:pPr>
        <w:rPr>
          <w:rFonts w:ascii="Arial" w:hAnsi="Arial" w:cs="Arial"/>
        </w:rPr>
      </w:pPr>
    </w:p>
    <w:p w14:paraId="4772608F" w14:textId="77777777" w:rsidR="00D31929" w:rsidRPr="00D31929" w:rsidRDefault="00D31929" w:rsidP="00D31929">
      <w:pPr>
        <w:rPr>
          <w:rFonts w:ascii="Arial" w:hAnsi="Arial" w:cs="Arial"/>
        </w:rPr>
      </w:pPr>
    </w:p>
    <w:p w14:paraId="09EF397A" w14:textId="77777777" w:rsidR="00D31929" w:rsidRPr="00D31929" w:rsidRDefault="00D31929" w:rsidP="00D31929">
      <w:pPr>
        <w:rPr>
          <w:rFonts w:ascii="Arial" w:hAnsi="Arial" w:cs="Arial"/>
        </w:rPr>
      </w:pPr>
      <w:r w:rsidRPr="00D31929">
        <w:rPr>
          <w:rFonts w:ascii="Arial" w:hAnsi="Arial" w:cs="Arial"/>
        </w:rPr>
        <w:br w:type="page"/>
      </w:r>
    </w:p>
    <w:sdt>
      <w:sdtPr>
        <w:rPr>
          <w:rFonts w:ascii="Arial" w:hAnsi="Arial" w:cs="Arial"/>
          <w:b/>
          <w:bCs/>
        </w:rPr>
        <w:id w:val="1876883143"/>
        <w:docPartObj>
          <w:docPartGallery w:val="Table of Contents"/>
          <w:docPartUnique/>
        </w:docPartObj>
      </w:sdtPr>
      <w:sdtContent>
        <w:p w14:paraId="397CA389" w14:textId="77777777" w:rsidR="00D31929" w:rsidRPr="00D31929" w:rsidRDefault="00D31929" w:rsidP="00D31929">
          <w:pPr>
            <w:rPr>
              <w:rFonts w:ascii="Arial" w:hAnsi="Arial" w:cs="Arial"/>
              <w:b/>
              <w:bCs/>
            </w:rPr>
          </w:pPr>
          <w:r w:rsidRPr="00D31929">
            <w:rPr>
              <w:rFonts w:ascii="Arial" w:hAnsi="Arial" w:cs="Arial"/>
              <w:b/>
              <w:bCs/>
            </w:rPr>
            <w:t>Table of Contents</w:t>
          </w:r>
        </w:p>
        <w:p w14:paraId="7D9A8AAB" w14:textId="77777777" w:rsidR="00D31929" w:rsidRPr="00D31929" w:rsidRDefault="00D31929" w:rsidP="00D31929">
          <w:pPr>
            <w:rPr>
              <w:rFonts w:ascii="Arial" w:hAnsi="Arial" w:cs="Arial"/>
            </w:rPr>
          </w:pPr>
          <w:r w:rsidRPr="00D31929">
            <w:rPr>
              <w:rFonts w:ascii="Arial" w:hAnsi="Arial" w:cs="Arial"/>
            </w:rPr>
            <w:fldChar w:fldCharType="begin"/>
          </w:r>
          <w:r w:rsidRPr="00D31929">
            <w:rPr>
              <w:rFonts w:ascii="Arial" w:hAnsi="Arial" w:cs="Arial"/>
            </w:rPr>
            <w:instrText xml:space="preserve"> TOC \o "1-3" \h \z \u </w:instrText>
          </w:r>
          <w:r w:rsidRPr="00D31929">
            <w:rPr>
              <w:rFonts w:ascii="Arial" w:hAnsi="Arial" w:cs="Arial"/>
            </w:rPr>
            <w:fldChar w:fldCharType="separate"/>
          </w:r>
          <w:hyperlink r:id="rId8" w:anchor="_Toc193755234" w:history="1">
            <w:r w:rsidRPr="00D31929">
              <w:rPr>
                <w:rStyle w:val="Hyperlink"/>
                <w:rFonts w:ascii="Arial" w:hAnsi="Arial" w:cs="Arial"/>
              </w:rPr>
              <w:t>Introduction</w:t>
            </w:r>
            <w:r w:rsidRPr="00D31929">
              <w:rPr>
                <w:rStyle w:val="Hyperlink"/>
                <w:rFonts w:ascii="Arial" w:hAnsi="Arial" w:cs="Arial"/>
                <w:webHidden/>
              </w:rPr>
              <w:tab/>
            </w:r>
            <w:r w:rsidRPr="00D31929">
              <w:rPr>
                <w:rStyle w:val="Hyperlink"/>
                <w:rFonts w:ascii="Arial" w:hAnsi="Arial" w:cs="Arial"/>
                <w:webHidden/>
              </w:rPr>
              <w:fldChar w:fldCharType="begin"/>
            </w:r>
            <w:r w:rsidRPr="00D31929">
              <w:rPr>
                <w:rStyle w:val="Hyperlink"/>
                <w:rFonts w:ascii="Arial" w:hAnsi="Arial" w:cs="Arial"/>
                <w:webHidden/>
              </w:rPr>
              <w:instrText xml:space="preserve"> PAGEREF _Toc193755234 \h </w:instrText>
            </w:r>
            <w:r w:rsidRPr="00D31929">
              <w:rPr>
                <w:rStyle w:val="Hyperlink"/>
                <w:rFonts w:ascii="Arial" w:hAnsi="Arial" w:cs="Arial"/>
                <w:webHidden/>
              </w:rPr>
            </w:r>
            <w:r w:rsidRPr="00D31929">
              <w:rPr>
                <w:rStyle w:val="Hyperlink"/>
                <w:rFonts w:ascii="Arial" w:hAnsi="Arial" w:cs="Arial"/>
                <w:webHidden/>
              </w:rPr>
              <w:fldChar w:fldCharType="separate"/>
            </w:r>
            <w:r w:rsidRPr="00D31929">
              <w:rPr>
                <w:rStyle w:val="Hyperlink"/>
                <w:rFonts w:ascii="Arial" w:hAnsi="Arial" w:cs="Arial"/>
                <w:webHidden/>
              </w:rPr>
              <w:t>3</w:t>
            </w:r>
            <w:r w:rsidRPr="00D31929">
              <w:rPr>
                <w:rStyle w:val="Hyperlink"/>
                <w:rFonts w:ascii="Arial" w:hAnsi="Arial" w:cs="Arial"/>
                <w:webHidden/>
              </w:rPr>
              <w:fldChar w:fldCharType="end"/>
            </w:r>
          </w:hyperlink>
        </w:p>
        <w:p w14:paraId="2CC6C266" w14:textId="77777777" w:rsidR="00D31929" w:rsidRPr="00D31929" w:rsidRDefault="00D31929" w:rsidP="00D31929">
          <w:pPr>
            <w:rPr>
              <w:rFonts w:ascii="Arial" w:hAnsi="Arial" w:cs="Arial"/>
            </w:rPr>
          </w:pPr>
          <w:hyperlink r:id="rId9" w:anchor="_Toc193755235" w:history="1">
            <w:r w:rsidRPr="00D31929">
              <w:rPr>
                <w:rStyle w:val="Hyperlink"/>
                <w:rFonts w:ascii="Arial" w:hAnsi="Arial" w:cs="Arial"/>
              </w:rPr>
              <w:t>TASK 1. Advantages and Risks of Being a Pioneer vs. a Follower</w:t>
            </w:r>
            <w:r w:rsidRPr="00D31929">
              <w:rPr>
                <w:rStyle w:val="Hyperlink"/>
                <w:rFonts w:ascii="Arial" w:hAnsi="Arial" w:cs="Arial"/>
                <w:webHidden/>
              </w:rPr>
              <w:tab/>
            </w:r>
            <w:r w:rsidRPr="00D31929">
              <w:rPr>
                <w:rStyle w:val="Hyperlink"/>
                <w:rFonts w:ascii="Arial" w:hAnsi="Arial" w:cs="Arial"/>
                <w:webHidden/>
              </w:rPr>
              <w:fldChar w:fldCharType="begin"/>
            </w:r>
            <w:r w:rsidRPr="00D31929">
              <w:rPr>
                <w:rStyle w:val="Hyperlink"/>
                <w:rFonts w:ascii="Arial" w:hAnsi="Arial" w:cs="Arial"/>
                <w:webHidden/>
              </w:rPr>
              <w:instrText xml:space="preserve"> PAGEREF _Toc193755235 \h </w:instrText>
            </w:r>
            <w:r w:rsidRPr="00D31929">
              <w:rPr>
                <w:rStyle w:val="Hyperlink"/>
                <w:rFonts w:ascii="Arial" w:hAnsi="Arial" w:cs="Arial"/>
                <w:webHidden/>
              </w:rPr>
            </w:r>
            <w:r w:rsidRPr="00D31929">
              <w:rPr>
                <w:rStyle w:val="Hyperlink"/>
                <w:rFonts w:ascii="Arial" w:hAnsi="Arial" w:cs="Arial"/>
                <w:webHidden/>
              </w:rPr>
              <w:fldChar w:fldCharType="separate"/>
            </w:r>
            <w:r w:rsidRPr="00D31929">
              <w:rPr>
                <w:rStyle w:val="Hyperlink"/>
                <w:rFonts w:ascii="Arial" w:hAnsi="Arial" w:cs="Arial"/>
                <w:webHidden/>
              </w:rPr>
              <w:t>4</w:t>
            </w:r>
            <w:r w:rsidRPr="00D31929">
              <w:rPr>
                <w:rStyle w:val="Hyperlink"/>
                <w:rFonts w:ascii="Arial" w:hAnsi="Arial" w:cs="Arial"/>
                <w:webHidden/>
              </w:rPr>
              <w:fldChar w:fldCharType="end"/>
            </w:r>
          </w:hyperlink>
        </w:p>
        <w:p w14:paraId="601C9BB1" w14:textId="77777777" w:rsidR="00D31929" w:rsidRPr="00D31929" w:rsidRDefault="00D31929" w:rsidP="00D31929">
          <w:pPr>
            <w:rPr>
              <w:rFonts w:ascii="Arial" w:hAnsi="Arial" w:cs="Arial"/>
            </w:rPr>
          </w:pPr>
          <w:hyperlink r:id="rId10" w:anchor="_Toc193755236" w:history="1">
            <w:r w:rsidRPr="00D31929">
              <w:rPr>
                <w:rStyle w:val="Hyperlink"/>
                <w:rFonts w:ascii="Arial" w:hAnsi="Arial" w:cs="Arial"/>
              </w:rPr>
              <w:t>1.1 Understanding First-Mover and Follower Strategies</w:t>
            </w:r>
            <w:r w:rsidRPr="00D31929">
              <w:rPr>
                <w:rStyle w:val="Hyperlink"/>
                <w:rFonts w:ascii="Arial" w:hAnsi="Arial" w:cs="Arial"/>
                <w:webHidden/>
              </w:rPr>
              <w:tab/>
            </w:r>
            <w:r w:rsidRPr="00D31929">
              <w:rPr>
                <w:rStyle w:val="Hyperlink"/>
                <w:rFonts w:ascii="Arial" w:hAnsi="Arial" w:cs="Arial"/>
                <w:webHidden/>
              </w:rPr>
              <w:fldChar w:fldCharType="begin"/>
            </w:r>
            <w:r w:rsidRPr="00D31929">
              <w:rPr>
                <w:rStyle w:val="Hyperlink"/>
                <w:rFonts w:ascii="Arial" w:hAnsi="Arial" w:cs="Arial"/>
                <w:webHidden/>
              </w:rPr>
              <w:instrText xml:space="preserve"> PAGEREF _Toc193755236 \h </w:instrText>
            </w:r>
            <w:r w:rsidRPr="00D31929">
              <w:rPr>
                <w:rStyle w:val="Hyperlink"/>
                <w:rFonts w:ascii="Arial" w:hAnsi="Arial" w:cs="Arial"/>
                <w:webHidden/>
              </w:rPr>
            </w:r>
            <w:r w:rsidRPr="00D31929">
              <w:rPr>
                <w:rStyle w:val="Hyperlink"/>
                <w:rFonts w:ascii="Arial" w:hAnsi="Arial" w:cs="Arial"/>
                <w:webHidden/>
              </w:rPr>
              <w:fldChar w:fldCharType="separate"/>
            </w:r>
            <w:r w:rsidRPr="00D31929">
              <w:rPr>
                <w:rStyle w:val="Hyperlink"/>
                <w:rFonts w:ascii="Arial" w:hAnsi="Arial" w:cs="Arial"/>
                <w:webHidden/>
              </w:rPr>
              <w:t>4</w:t>
            </w:r>
            <w:r w:rsidRPr="00D31929">
              <w:rPr>
                <w:rStyle w:val="Hyperlink"/>
                <w:rFonts w:ascii="Arial" w:hAnsi="Arial" w:cs="Arial"/>
                <w:webHidden/>
              </w:rPr>
              <w:fldChar w:fldCharType="end"/>
            </w:r>
          </w:hyperlink>
        </w:p>
        <w:p w14:paraId="448DD0EF" w14:textId="77777777" w:rsidR="00D31929" w:rsidRPr="00D31929" w:rsidRDefault="00D31929" w:rsidP="00D31929">
          <w:pPr>
            <w:rPr>
              <w:rFonts w:ascii="Arial" w:hAnsi="Arial" w:cs="Arial"/>
            </w:rPr>
          </w:pPr>
          <w:hyperlink r:id="rId11" w:anchor="_Toc193755237" w:history="1">
            <w:r w:rsidRPr="00D31929">
              <w:rPr>
                <w:rStyle w:val="Hyperlink"/>
                <w:rFonts w:ascii="Arial" w:hAnsi="Arial" w:cs="Arial"/>
              </w:rPr>
              <w:t>1.2 Advantages of Being a Pioneer</w:t>
            </w:r>
            <w:r w:rsidRPr="00D31929">
              <w:rPr>
                <w:rStyle w:val="Hyperlink"/>
                <w:rFonts w:ascii="Arial" w:hAnsi="Arial" w:cs="Arial"/>
                <w:webHidden/>
              </w:rPr>
              <w:tab/>
            </w:r>
            <w:r w:rsidRPr="00D31929">
              <w:rPr>
                <w:rStyle w:val="Hyperlink"/>
                <w:rFonts w:ascii="Arial" w:hAnsi="Arial" w:cs="Arial"/>
                <w:webHidden/>
              </w:rPr>
              <w:fldChar w:fldCharType="begin"/>
            </w:r>
            <w:r w:rsidRPr="00D31929">
              <w:rPr>
                <w:rStyle w:val="Hyperlink"/>
                <w:rFonts w:ascii="Arial" w:hAnsi="Arial" w:cs="Arial"/>
                <w:webHidden/>
              </w:rPr>
              <w:instrText xml:space="preserve"> PAGEREF _Toc193755237 \h </w:instrText>
            </w:r>
            <w:r w:rsidRPr="00D31929">
              <w:rPr>
                <w:rStyle w:val="Hyperlink"/>
                <w:rFonts w:ascii="Arial" w:hAnsi="Arial" w:cs="Arial"/>
                <w:webHidden/>
              </w:rPr>
            </w:r>
            <w:r w:rsidRPr="00D31929">
              <w:rPr>
                <w:rStyle w:val="Hyperlink"/>
                <w:rFonts w:ascii="Arial" w:hAnsi="Arial" w:cs="Arial"/>
                <w:webHidden/>
              </w:rPr>
              <w:fldChar w:fldCharType="separate"/>
            </w:r>
            <w:r w:rsidRPr="00D31929">
              <w:rPr>
                <w:rStyle w:val="Hyperlink"/>
                <w:rFonts w:ascii="Arial" w:hAnsi="Arial" w:cs="Arial"/>
                <w:webHidden/>
              </w:rPr>
              <w:t>4</w:t>
            </w:r>
            <w:r w:rsidRPr="00D31929">
              <w:rPr>
                <w:rStyle w:val="Hyperlink"/>
                <w:rFonts w:ascii="Arial" w:hAnsi="Arial" w:cs="Arial"/>
                <w:webHidden/>
              </w:rPr>
              <w:fldChar w:fldCharType="end"/>
            </w:r>
          </w:hyperlink>
        </w:p>
        <w:p w14:paraId="0F952F6D" w14:textId="77777777" w:rsidR="00D31929" w:rsidRPr="00D31929" w:rsidRDefault="00D31929" w:rsidP="00D31929">
          <w:pPr>
            <w:rPr>
              <w:rFonts w:ascii="Arial" w:hAnsi="Arial" w:cs="Arial"/>
            </w:rPr>
          </w:pPr>
          <w:hyperlink r:id="rId12" w:anchor="_Toc193755238" w:history="1">
            <w:r w:rsidRPr="00D31929">
              <w:rPr>
                <w:rStyle w:val="Hyperlink"/>
                <w:rFonts w:ascii="Arial" w:hAnsi="Arial" w:cs="Arial"/>
              </w:rPr>
              <w:t>1.3 Risks and Challenges for Pioneers</w:t>
            </w:r>
            <w:r w:rsidRPr="00D31929">
              <w:rPr>
                <w:rStyle w:val="Hyperlink"/>
                <w:rFonts w:ascii="Arial" w:hAnsi="Arial" w:cs="Arial"/>
                <w:webHidden/>
              </w:rPr>
              <w:tab/>
            </w:r>
            <w:r w:rsidRPr="00D31929">
              <w:rPr>
                <w:rStyle w:val="Hyperlink"/>
                <w:rFonts w:ascii="Arial" w:hAnsi="Arial" w:cs="Arial"/>
                <w:webHidden/>
              </w:rPr>
              <w:fldChar w:fldCharType="begin"/>
            </w:r>
            <w:r w:rsidRPr="00D31929">
              <w:rPr>
                <w:rStyle w:val="Hyperlink"/>
                <w:rFonts w:ascii="Arial" w:hAnsi="Arial" w:cs="Arial"/>
                <w:webHidden/>
              </w:rPr>
              <w:instrText xml:space="preserve"> PAGEREF _Toc193755238 \h </w:instrText>
            </w:r>
            <w:r w:rsidRPr="00D31929">
              <w:rPr>
                <w:rStyle w:val="Hyperlink"/>
                <w:rFonts w:ascii="Arial" w:hAnsi="Arial" w:cs="Arial"/>
                <w:webHidden/>
              </w:rPr>
            </w:r>
            <w:r w:rsidRPr="00D31929">
              <w:rPr>
                <w:rStyle w:val="Hyperlink"/>
                <w:rFonts w:ascii="Arial" w:hAnsi="Arial" w:cs="Arial"/>
                <w:webHidden/>
              </w:rPr>
              <w:fldChar w:fldCharType="separate"/>
            </w:r>
            <w:r w:rsidRPr="00D31929">
              <w:rPr>
                <w:rStyle w:val="Hyperlink"/>
                <w:rFonts w:ascii="Arial" w:hAnsi="Arial" w:cs="Arial"/>
                <w:webHidden/>
              </w:rPr>
              <w:t>5</w:t>
            </w:r>
            <w:r w:rsidRPr="00D31929">
              <w:rPr>
                <w:rStyle w:val="Hyperlink"/>
                <w:rFonts w:ascii="Arial" w:hAnsi="Arial" w:cs="Arial"/>
                <w:webHidden/>
              </w:rPr>
              <w:fldChar w:fldCharType="end"/>
            </w:r>
          </w:hyperlink>
        </w:p>
        <w:p w14:paraId="694930D4" w14:textId="77777777" w:rsidR="00D31929" w:rsidRPr="00D31929" w:rsidRDefault="00D31929" w:rsidP="00D31929">
          <w:pPr>
            <w:rPr>
              <w:rFonts w:ascii="Arial" w:hAnsi="Arial" w:cs="Arial"/>
            </w:rPr>
          </w:pPr>
          <w:hyperlink r:id="rId13" w:anchor="_Toc193755239" w:history="1">
            <w:r w:rsidRPr="00D31929">
              <w:rPr>
                <w:rStyle w:val="Hyperlink"/>
                <w:rFonts w:ascii="Arial" w:hAnsi="Arial" w:cs="Arial"/>
              </w:rPr>
              <w:t>1.4 Advantages of Being a Follower</w:t>
            </w:r>
            <w:r w:rsidRPr="00D31929">
              <w:rPr>
                <w:rStyle w:val="Hyperlink"/>
                <w:rFonts w:ascii="Arial" w:hAnsi="Arial" w:cs="Arial"/>
                <w:webHidden/>
              </w:rPr>
              <w:tab/>
            </w:r>
            <w:r w:rsidRPr="00D31929">
              <w:rPr>
                <w:rStyle w:val="Hyperlink"/>
                <w:rFonts w:ascii="Arial" w:hAnsi="Arial" w:cs="Arial"/>
                <w:webHidden/>
              </w:rPr>
              <w:fldChar w:fldCharType="begin"/>
            </w:r>
            <w:r w:rsidRPr="00D31929">
              <w:rPr>
                <w:rStyle w:val="Hyperlink"/>
                <w:rFonts w:ascii="Arial" w:hAnsi="Arial" w:cs="Arial"/>
                <w:webHidden/>
              </w:rPr>
              <w:instrText xml:space="preserve"> PAGEREF _Toc193755239 \h </w:instrText>
            </w:r>
            <w:r w:rsidRPr="00D31929">
              <w:rPr>
                <w:rStyle w:val="Hyperlink"/>
                <w:rFonts w:ascii="Arial" w:hAnsi="Arial" w:cs="Arial"/>
                <w:webHidden/>
              </w:rPr>
            </w:r>
            <w:r w:rsidRPr="00D31929">
              <w:rPr>
                <w:rStyle w:val="Hyperlink"/>
                <w:rFonts w:ascii="Arial" w:hAnsi="Arial" w:cs="Arial"/>
                <w:webHidden/>
              </w:rPr>
              <w:fldChar w:fldCharType="separate"/>
            </w:r>
            <w:r w:rsidRPr="00D31929">
              <w:rPr>
                <w:rStyle w:val="Hyperlink"/>
                <w:rFonts w:ascii="Arial" w:hAnsi="Arial" w:cs="Arial"/>
                <w:webHidden/>
              </w:rPr>
              <w:t>6</w:t>
            </w:r>
            <w:r w:rsidRPr="00D31929">
              <w:rPr>
                <w:rStyle w:val="Hyperlink"/>
                <w:rFonts w:ascii="Arial" w:hAnsi="Arial" w:cs="Arial"/>
                <w:webHidden/>
              </w:rPr>
              <w:fldChar w:fldCharType="end"/>
            </w:r>
          </w:hyperlink>
        </w:p>
        <w:p w14:paraId="37E312C0" w14:textId="77777777" w:rsidR="00D31929" w:rsidRPr="00D31929" w:rsidRDefault="00D31929" w:rsidP="00D31929">
          <w:pPr>
            <w:rPr>
              <w:rFonts w:ascii="Arial" w:hAnsi="Arial" w:cs="Arial"/>
            </w:rPr>
          </w:pPr>
          <w:hyperlink r:id="rId14" w:anchor="_Toc193755240" w:history="1">
            <w:r w:rsidRPr="00D31929">
              <w:rPr>
                <w:rStyle w:val="Hyperlink"/>
                <w:rFonts w:ascii="Arial" w:hAnsi="Arial" w:cs="Arial"/>
              </w:rPr>
              <w:t>1.5 Risks and Challenges for Followers</w:t>
            </w:r>
            <w:r w:rsidRPr="00D31929">
              <w:rPr>
                <w:rStyle w:val="Hyperlink"/>
                <w:rFonts w:ascii="Arial" w:hAnsi="Arial" w:cs="Arial"/>
                <w:webHidden/>
              </w:rPr>
              <w:tab/>
            </w:r>
            <w:r w:rsidRPr="00D31929">
              <w:rPr>
                <w:rStyle w:val="Hyperlink"/>
                <w:rFonts w:ascii="Arial" w:hAnsi="Arial" w:cs="Arial"/>
                <w:webHidden/>
              </w:rPr>
              <w:fldChar w:fldCharType="begin"/>
            </w:r>
            <w:r w:rsidRPr="00D31929">
              <w:rPr>
                <w:rStyle w:val="Hyperlink"/>
                <w:rFonts w:ascii="Arial" w:hAnsi="Arial" w:cs="Arial"/>
                <w:webHidden/>
              </w:rPr>
              <w:instrText xml:space="preserve"> PAGEREF _Toc193755240 \h </w:instrText>
            </w:r>
            <w:r w:rsidRPr="00D31929">
              <w:rPr>
                <w:rStyle w:val="Hyperlink"/>
                <w:rFonts w:ascii="Arial" w:hAnsi="Arial" w:cs="Arial"/>
                <w:webHidden/>
              </w:rPr>
            </w:r>
            <w:r w:rsidRPr="00D31929">
              <w:rPr>
                <w:rStyle w:val="Hyperlink"/>
                <w:rFonts w:ascii="Arial" w:hAnsi="Arial" w:cs="Arial"/>
                <w:webHidden/>
              </w:rPr>
              <w:fldChar w:fldCharType="separate"/>
            </w:r>
            <w:r w:rsidRPr="00D31929">
              <w:rPr>
                <w:rStyle w:val="Hyperlink"/>
                <w:rFonts w:ascii="Arial" w:hAnsi="Arial" w:cs="Arial"/>
                <w:webHidden/>
              </w:rPr>
              <w:t>7</w:t>
            </w:r>
            <w:r w:rsidRPr="00D31929">
              <w:rPr>
                <w:rStyle w:val="Hyperlink"/>
                <w:rFonts w:ascii="Arial" w:hAnsi="Arial" w:cs="Arial"/>
                <w:webHidden/>
              </w:rPr>
              <w:fldChar w:fldCharType="end"/>
            </w:r>
          </w:hyperlink>
        </w:p>
        <w:p w14:paraId="1D533282" w14:textId="77777777" w:rsidR="00D31929" w:rsidRPr="00D31929" w:rsidRDefault="00D31929" w:rsidP="00D31929">
          <w:pPr>
            <w:rPr>
              <w:rFonts w:ascii="Arial" w:hAnsi="Arial" w:cs="Arial"/>
            </w:rPr>
          </w:pPr>
          <w:hyperlink r:id="rId15" w:anchor="_Toc193755241" w:history="1">
            <w:r w:rsidRPr="00D31929">
              <w:rPr>
                <w:rStyle w:val="Hyperlink"/>
                <w:rFonts w:ascii="Arial" w:hAnsi="Arial" w:cs="Arial"/>
              </w:rPr>
              <w:t>TASK 2. Product Life Cycle Strategies for Pioneers and Followers</w:t>
            </w:r>
            <w:r w:rsidRPr="00D31929">
              <w:rPr>
                <w:rStyle w:val="Hyperlink"/>
                <w:rFonts w:ascii="Arial" w:hAnsi="Arial" w:cs="Arial"/>
                <w:webHidden/>
              </w:rPr>
              <w:tab/>
            </w:r>
            <w:r w:rsidRPr="00D31929">
              <w:rPr>
                <w:rStyle w:val="Hyperlink"/>
                <w:rFonts w:ascii="Arial" w:hAnsi="Arial" w:cs="Arial"/>
                <w:webHidden/>
              </w:rPr>
              <w:fldChar w:fldCharType="begin"/>
            </w:r>
            <w:r w:rsidRPr="00D31929">
              <w:rPr>
                <w:rStyle w:val="Hyperlink"/>
                <w:rFonts w:ascii="Arial" w:hAnsi="Arial" w:cs="Arial"/>
                <w:webHidden/>
              </w:rPr>
              <w:instrText xml:space="preserve"> PAGEREF _Toc193755241 \h </w:instrText>
            </w:r>
            <w:r w:rsidRPr="00D31929">
              <w:rPr>
                <w:rStyle w:val="Hyperlink"/>
                <w:rFonts w:ascii="Arial" w:hAnsi="Arial" w:cs="Arial"/>
                <w:webHidden/>
              </w:rPr>
            </w:r>
            <w:r w:rsidRPr="00D31929">
              <w:rPr>
                <w:rStyle w:val="Hyperlink"/>
                <w:rFonts w:ascii="Arial" w:hAnsi="Arial" w:cs="Arial"/>
                <w:webHidden/>
              </w:rPr>
              <w:fldChar w:fldCharType="separate"/>
            </w:r>
            <w:r w:rsidRPr="00D31929">
              <w:rPr>
                <w:rStyle w:val="Hyperlink"/>
                <w:rFonts w:ascii="Arial" w:hAnsi="Arial" w:cs="Arial"/>
                <w:webHidden/>
              </w:rPr>
              <w:t>8</w:t>
            </w:r>
            <w:r w:rsidRPr="00D31929">
              <w:rPr>
                <w:rStyle w:val="Hyperlink"/>
                <w:rFonts w:ascii="Arial" w:hAnsi="Arial" w:cs="Arial"/>
                <w:webHidden/>
              </w:rPr>
              <w:fldChar w:fldCharType="end"/>
            </w:r>
          </w:hyperlink>
        </w:p>
        <w:p w14:paraId="1BC56824" w14:textId="77777777" w:rsidR="00D31929" w:rsidRPr="00D31929" w:rsidRDefault="00D31929" w:rsidP="00D31929">
          <w:pPr>
            <w:rPr>
              <w:rFonts w:ascii="Arial" w:hAnsi="Arial" w:cs="Arial"/>
            </w:rPr>
          </w:pPr>
          <w:hyperlink r:id="rId16" w:anchor="_Toc193755242" w:history="1">
            <w:r w:rsidRPr="00D31929">
              <w:rPr>
                <w:rStyle w:val="Hyperlink"/>
                <w:rFonts w:ascii="Arial" w:hAnsi="Arial" w:cs="Arial"/>
              </w:rPr>
              <w:t>2.1 Understanding the Product Life Cycle (PLC)</w:t>
            </w:r>
            <w:r w:rsidRPr="00D31929">
              <w:rPr>
                <w:rStyle w:val="Hyperlink"/>
                <w:rFonts w:ascii="Arial" w:hAnsi="Arial" w:cs="Arial"/>
                <w:webHidden/>
              </w:rPr>
              <w:tab/>
            </w:r>
            <w:r w:rsidRPr="00D31929">
              <w:rPr>
                <w:rStyle w:val="Hyperlink"/>
                <w:rFonts w:ascii="Arial" w:hAnsi="Arial" w:cs="Arial"/>
                <w:webHidden/>
              </w:rPr>
              <w:fldChar w:fldCharType="begin"/>
            </w:r>
            <w:r w:rsidRPr="00D31929">
              <w:rPr>
                <w:rStyle w:val="Hyperlink"/>
                <w:rFonts w:ascii="Arial" w:hAnsi="Arial" w:cs="Arial"/>
                <w:webHidden/>
              </w:rPr>
              <w:instrText xml:space="preserve"> PAGEREF _Toc193755242 \h </w:instrText>
            </w:r>
            <w:r w:rsidRPr="00D31929">
              <w:rPr>
                <w:rStyle w:val="Hyperlink"/>
                <w:rFonts w:ascii="Arial" w:hAnsi="Arial" w:cs="Arial"/>
                <w:webHidden/>
              </w:rPr>
            </w:r>
            <w:r w:rsidRPr="00D31929">
              <w:rPr>
                <w:rStyle w:val="Hyperlink"/>
                <w:rFonts w:ascii="Arial" w:hAnsi="Arial" w:cs="Arial"/>
                <w:webHidden/>
              </w:rPr>
              <w:fldChar w:fldCharType="separate"/>
            </w:r>
            <w:r w:rsidRPr="00D31929">
              <w:rPr>
                <w:rStyle w:val="Hyperlink"/>
                <w:rFonts w:ascii="Arial" w:hAnsi="Arial" w:cs="Arial"/>
                <w:webHidden/>
              </w:rPr>
              <w:t>8</w:t>
            </w:r>
            <w:r w:rsidRPr="00D31929">
              <w:rPr>
                <w:rStyle w:val="Hyperlink"/>
                <w:rFonts w:ascii="Arial" w:hAnsi="Arial" w:cs="Arial"/>
                <w:webHidden/>
              </w:rPr>
              <w:fldChar w:fldCharType="end"/>
            </w:r>
          </w:hyperlink>
        </w:p>
        <w:p w14:paraId="7F38E86B" w14:textId="77777777" w:rsidR="00D31929" w:rsidRPr="00D31929" w:rsidRDefault="00D31929" w:rsidP="00D31929">
          <w:pPr>
            <w:rPr>
              <w:rFonts w:ascii="Arial" w:hAnsi="Arial" w:cs="Arial"/>
            </w:rPr>
          </w:pPr>
          <w:hyperlink r:id="rId17" w:anchor="_Toc193755243" w:history="1">
            <w:r w:rsidRPr="00D31929">
              <w:rPr>
                <w:rStyle w:val="Hyperlink"/>
                <w:rFonts w:ascii="Arial" w:hAnsi="Arial" w:cs="Arial"/>
              </w:rPr>
              <w:t>2.2 Product Life Cycle Strategies for Pioneers</w:t>
            </w:r>
            <w:r w:rsidRPr="00D31929">
              <w:rPr>
                <w:rStyle w:val="Hyperlink"/>
                <w:rFonts w:ascii="Arial" w:hAnsi="Arial" w:cs="Arial"/>
                <w:webHidden/>
              </w:rPr>
              <w:tab/>
            </w:r>
            <w:r w:rsidRPr="00D31929">
              <w:rPr>
                <w:rStyle w:val="Hyperlink"/>
                <w:rFonts w:ascii="Arial" w:hAnsi="Arial" w:cs="Arial"/>
                <w:webHidden/>
              </w:rPr>
              <w:fldChar w:fldCharType="begin"/>
            </w:r>
            <w:r w:rsidRPr="00D31929">
              <w:rPr>
                <w:rStyle w:val="Hyperlink"/>
                <w:rFonts w:ascii="Arial" w:hAnsi="Arial" w:cs="Arial"/>
                <w:webHidden/>
              </w:rPr>
              <w:instrText xml:space="preserve"> PAGEREF _Toc193755243 \h </w:instrText>
            </w:r>
            <w:r w:rsidRPr="00D31929">
              <w:rPr>
                <w:rStyle w:val="Hyperlink"/>
                <w:rFonts w:ascii="Arial" w:hAnsi="Arial" w:cs="Arial"/>
                <w:webHidden/>
              </w:rPr>
            </w:r>
            <w:r w:rsidRPr="00D31929">
              <w:rPr>
                <w:rStyle w:val="Hyperlink"/>
                <w:rFonts w:ascii="Arial" w:hAnsi="Arial" w:cs="Arial"/>
                <w:webHidden/>
              </w:rPr>
              <w:fldChar w:fldCharType="separate"/>
            </w:r>
            <w:r w:rsidRPr="00D31929">
              <w:rPr>
                <w:rStyle w:val="Hyperlink"/>
                <w:rFonts w:ascii="Arial" w:hAnsi="Arial" w:cs="Arial"/>
                <w:webHidden/>
              </w:rPr>
              <w:t>9</w:t>
            </w:r>
            <w:r w:rsidRPr="00D31929">
              <w:rPr>
                <w:rStyle w:val="Hyperlink"/>
                <w:rFonts w:ascii="Arial" w:hAnsi="Arial" w:cs="Arial"/>
                <w:webHidden/>
              </w:rPr>
              <w:fldChar w:fldCharType="end"/>
            </w:r>
          </w:hyperlink>
        </w:p>
        <w:p w14:paraId="45394BAE" w14:textId="77777777" w:rsidR="00D31929" w:rsidRPr="00D31929" w:rsidRDefault="00D31929" w:rsidP="00D31929">
          <w:pPr>
            <w:rPr>
              <w:rFonts w:ascii="Arial" w:hAnsi="Arial" w:cs="Arial"/>
            </w:rPr>
          </w:pPr>
          <w:hyperlink r:id="rId18" w:anchor="_Toc193755244" w:history="1">
            <w:r w:rsidRPr="00D31929">
              <w:rPr>
                <w:rStyle w:val="Hyperlink"/>
                <w:rFonts w:ascii="Arial" w:hAnsi="Arial" w:cs="Arial"/>
              </w:rPr>
              <w:t>2.3 Product Life Cycle Strategies for Followers</w:t>
            </w:r>
            <w:r w:rsidRPr="00D31929">
              <w:rPr>
                <w:rStyle w:val="Hyperlink"/>
                <w:rFonts w:ascii="Arial" w:hAnsi="Arial" w:cs="Arial"/>
                <w:webHidden/>
              </w:rPr>
              <w:tab/>
            </w:r>
            <w:r w:rsidRPr="00D31929">
              <w:rPr>
                <w:rStyle w:val="Hyperlink"/>
                <w:rFonts w:ascii="Arial" w:hAnsi="Arial" w:cs="Arial"/>
                <w:webHidden/>
              </w:rPr>
              <w:fldChar w:fldCharType="begin"/>
            </w:r>
            <w:r w:rsidRPr="00D31929">
              <w:rPr>
                <w:rStyle w:val="Hyperlink"/>
                <w:rFonts w:ascii="Arial" w:hAnsi="Arial" w:cs="Arial"/>
                <w:webHidden/>
              </w:rPr>
              <w:instrText xml:space="preserve"> PAGEREF _Toc193755244 \h </w:instrText>
            </w:r>
            <w:r w:rsidRPr="00D31929">
              <w:rPr>
                <w:rStyle w:val="Hyperlink"/>
                <w:rFonts w:ascii="Arial" w:hAnsi="Arial" w:cs="Arial"/>
                <w:webHidden/>
              </w:rPr>
            </w:r>
            <w:r w:rsidRPr="00D31929">
              <w:rPr>
                <w:rStyle w:val="Hyperlink"/>
                <w:rFonts w:ascii="Arial" w:hAnsi="Arial" w:cs="Arial"/>
                <w:webHidden/>
              </w:rPr>
              <w:fldChar w:fldCharType="separate"/>
            </w:r>
            <w:r w:rsidRPr="00D31929">
              <w:rPr>
                <w:rStyle w:val="Hyperlink"/>
                <w:rFonts w:ascii="Arial" w:hAnsi="Arial" w:cs="Arial"/>
                <w:webHidden/>
              </w:rPr>
              <w:t>10</w:t>
            </w:r>
            <w:r w:rsidRPr="00D31929">
              <w:rPr>
                <w:rStyle w:val="Hyperlink"/>
                <w:rFonts w:ascii="Arial" w:hAnsi="Arial" w:cs="Arial"/>
                <w:webHidden/>
              </w:rPr>
              <w:fldChar w:fldCharType="end"/>
            </w:r>
          </w:hyperlink>
        </w:p>
        <w:p w14:paraId="421920F6" w14:textId="77777777" w:rsidR="00D31929" w:rsidRPr="00D31929" w:rsidRDefault="00D31929" w:rsidP="00D31929">
          <w:pPr>
            <w:rPr>
              <w:rFonts w:ascii="Arial" w:hAnsi="Arial" w:cs="Arial"/>
            </w:rPr>
          </w:pPr>
          <w:hyperlink r:id="rId19" w:anchor="_Toc193755245" w:history="1">
            <w:r w:rsidRPr="00D31929">
              <w:rPr>
                <w:rStyle w:val="Hyperlink"/>
                <w:rFonts w:ascii="Arial" w:hAnsi="Arial" w:cs="Arial"/>
              </w:rPr>
              <w:t>2.4 Comparative Analysis of Pioneer vs. Follower PLC Strategies</w:t>
            </w:r>
            <w:r w:rsidRPr="00D31929">
              <w:rPr>
                <w:rStyle w:val="Hyperlink"/>
                <w:rFonts w:ascii="Arial" w:hAnsi="Arial" w:cs="Arial"/>
                <w:webHidden/>
              </w:rPr>
              <w:tab/>
            </w:r>
            <w:r w:rsidRPr="00D31929">
              <w:rPr>
                <w:rStyle w:val="Hyperlink"/>
                <w:rFonts w:ascii="Arial" w:hAnsi="Arial" w:cs="Arial"/>
                <w:webHidden/>
              </w:rPr>
              <w:fldChar w:fldCharType="begin"/>
            </w:r>
            <w:r w:rsidRPr="00D31929">
              <w:rPr>
                <w:rStyle w:val="Hyperlink"/>
                <w:rFonts w:ascii="Arial" w:hAnsi="Arial" w:cs="Arial"/>
                <w:webHidden/>
              </w:rPr>
              <w:instrText xml:space="preserve"> PAGEREF _Toc193755245 \h </w:instrText>
            </w:r>
            <w:r w:rsidRPr="00D31929">
              <w:rPr>
                <w:rStyle w:val="Hyperlink"/>
                <w:rFonts w:ascii="Arial" w:hAnsi="Arial" w:cs="Arial"/>
                <w:webHidden/>
              </w:rPr>
            </w:r>
            <w:r w:rsidRPr="00D31929">
              <w:rPr>
                <w:rStyle w:val="Hyperlink"/>
                <w:rFonts w:ascii="Arial" w:hAnsi="Arial" w:cs="Arial"/>
                <w:webHidden/>
              </w:rPr>
              <w:fldChar w:fldCharType="separate"/>
            </w:r>
            <w:r w:rsidRPr="00D31929">
              <w:rPr>
                <w:rStyle w:val="Hyperlink"/>
                <w:rFonts w:ascii="Arial" w:hAnsi="Arial" w:cs="Arial"/>
                <w:webHidden/>
              </w:rPr>
              <w:t>12</w:t>
            </w:r>
            <w:r w:rsidRPr="00D31929">
              <w:rPr>
                <w:rStyle w:val="Hyperlink"/>
                <w:rFonts w:ascii="Arial" w:hAnsi="Arial" w:cs="Arial"/>
                <w:webHidden/>
              </w:rPr>
              <w:fldChar w:fldCharType="end"/>
            </w:r>
          </w:hyperlink>
        </w:p>
        <w:p w14:paraId="59125389" w14:textId="77777777" w:rsidR="00D31929" w:rsidRPr="00D31929" w:rsidRDefault="00D31929" w:rsidP="00D31929">
          <w:pPr>
            <w:rPr>
              <w:rFonts w:ascii="Arial" w:hAnsi="Arial" w:cs="Arial"/>
            </w:rPr>
          </w:pPr>
          <w:hyperlink r:id="rId20" w:anchor="_Toc193755246" w:history="1">
            <w:r w:rsidRPr="00D31929">
              <w:rPr>
                <w:rStyle w:val="Hyperlink"/>
                <w:rFonts w:ascii="Arial" w:hAnsi="Arial" w:cs="Arial"/>
              </w:rPr>
              <w:t>Conclusion</w:t>
            </w:r>
            <w:r w:rsidRPr="00D31929">
              <w:rPr>
                <w:rStyle w:val="Hyperlink"/>
                <w:rFonts w:ascii="Arial" w:hAnsi="Arial" w:cs="Arial"/>
                <w:webHidden/>
              </w:rPr>
              <w:tab/>
            </w:r>
            <w:r w:rsidRPr="00D31929">
              <w:rPr>
                <w:rStyle w:val="Hyperlink"/>
                <w:rFonts w:ascii="Arial" w:hAnsi="Arial" w:cs="Arial"/>
                <w:webHidden/>
              </w:rPr>
              <w:fldChar w:fldCharType="begin"/>
            </w:r>
            <w:r w:rsidRPr="00D31929">
              <w:rPr>
                <w:rStyle w:val="Hyperlink"/>
                <w:rFonts w:ascii="Arial" w:hAnsi="Arial" w:cs="Arial"/>
                <w:webHidden/>
              </w:rPr>
              <w:instrText xml:space="preserve"> PAGEREF _Toc193755246 \h </w:instrText>
            </w:r>
            <w:r w:rsidRPr="00D31929">
              <w:rPr>
                <w:rStyle w:val="Hyperlink"/>
                <w:rFonts w:ascii="Arial" w:hAnsi="Arial" w:cs="Arial"/>
                <w:webHidden/>
              </w:rPr>
            </w:r>
            <w:r w:rsidRPr="00D31929">
              <w:rPr>
                <w:rStyle w:val="Hyperlink"/>
                <w:rFonts w:ascii="Arial" w:hAnsi="Arial" w:cs="Arial"/>
                <w:webHidden/>
              </w:rPr>
              <w:fldChar w:fldCharType="separate"/>
            </w:r>
            <w:r w:rsidRPr="00D31929">
              <w:rPr>
                <w:rStyle w:val="Hyperlink"/>
                <w:rFonts w:ascii="Arial" w:hAnsi="Arial" w:cs="Arial"/>
                <w:webHidden/>
              </w:rPr>
              <w:t>13</w:t>
            </w:r>
            <w:r w:rsidRPr="00D31929">
              <w:rPr>
                <w:rStyle w:val="Hyperlink"/>
                <w:rFonts w:ascii="Arial" w:hAnsi="Arial" w:cs="Arial"/>
                <w:webHidden/>
              </w:rPr>
              <w:fldChar w:fldCharType="end"/>
            </w:r>
          </w:hyperlink>
        </w:p>
        <w:p w14:paraId="2F1B8444" w14:textId="77777777" w:rsidR="00D31929" w:rsidRPr="00D31929" w:rsidRDefault="00D31929" w:rsidP="00D31929">
          <w:pPr>
            <w:rPr>
              <w:rFonts w:ascii="Arial" w:hAnsi="Arial" w:cs="Arial"/>
            </w:rPr>
          </w:pPr>
          <w:hyperlink r:id="rId21" w:anchor="_Toc193755247" w:history="1">
            <w:r w:rsidRPr="00D31929">
              <w:rPr>
                <w:rStyle w:val="Hyperlink"/>
                <w:rFonts w:ascii="Arial" w:hAnsi="Arial" w:cs="Arial"/>
              </w:rPr>
              <w:t>References</w:t>
            </w:r>
            <w:r w:rsidRPr="00D31929">
              <w:rPr>
                <w:rStyle w:val="Hyperlink"/>
                <w:rFonts w:ascii="Arial" w:hAnsi="Arial" w:cs="Arial"/>
                <w:webHidden/>
              </w:rPr>
              <w:tab/>
            </w:r>
            <w:r w:rsidRPr="00D31929">
              <w:rPr>
                <w:rStyle w:val="Hyperlink"/>
                <w:rFonts w:ascii="Arial" w:hAnsi="Arial" w:cs="Arial"/>
                <w:webHidden/>
              </w:rPr>
              <w:fldChar w:fldCharType="begin"/>
            </w:r>
            <w:r w:rsidRPr="00D31929">
              <w:rPr>
                <w:rStyle w:val="Hyperlink"/>
                <w:rFonts w:ascii="Arial" w:hAnsi="Arial" w:cs="Arial"/>
                <w:webHidden/>
              </w:rPr>
              <w:instrText xml:space="preserve"> PAGEREF _Toc193755247 \h </w:instrText>
            </w:r>
            <w:r w:rsidRPr="00D31929">
              <w:rPr>
                <w:rStyle w:val="Hyperlink"/>
                <w:rFonts w:ascii="Arial" w:hAnsi="Arial" w:cs="Arial"/>
                <w:webHidden/>
              </w:rPr>
            </w:r>
            <w:r w:rsidRPr="00D31929">
              <w:rPr>
                <w:rStyle w:val="Hyperlink"/>
                <w:rFonts w:ascii="Arial" w:hAnsi="Arial" w:cs="Arial"/>
                <w:webHidden/>
              </w:rPr>
              <w:fldChar w:fldCharType="separate"/>
            </w:r>
            <w:r w:rsidRPr="00D31929">
              <w:rPr>
                <w:rStyle w:val="Hyperlink"/>
                <w:rFonts w:ascii="Arial" w:hAnsi="Arial" w:cs="Arial"/>
                <w:webHidden/>
              </w:rPr>
              <w:t>14</w:t>
            </w:r>
            <w:r w:rsidRPr="00D31929">
              <w:rPr>
                <w:rStyle w:val="Hyperlink"/>
                <w:rFonts w:ascii="Arial" w:hAnsi="Arial" w:cs="Arial"/>
                <w:webHidden/>
              </w:rPr>
              <w:fldChar w:fldCharType="end"/>
            </w:r>
          </w:hyperlink>
        </w:p>
        <w:p w14:paraId="4DADE1D8" w14:textId="77777777" w:rsidR="00D31929" w:rsidRPr="00D31929" w:rsidRDefault="00D31929" w:rsidP="00D31929">
          <w:pPr>
            <w:rPr>
              <w:rFonts w:ascii="Arial" w:hAnsi="Arial" w:cs="Arial"/>
            </w:rPr>
          </w:pPr>
          <w:r w:rsidRPr="00D31929">
            <w:rPr>
              <w:rFonts w:ascii="Arial" w:hAnsi="Arial" w:cs="Arial"/>
            </w:rPr>
            <w:fldChar w:fldCharType="end"/>
          </w:r>
        </w:p>
      </w:sdtContent>
    </w:sdt>
    <w:p w14:paraId="22BDFDB4" w14:textId="77777777" w:rsidR="00D31929" w:rsidRPr="00D31929" w:rsidRDefault="00D31929" w:rsidP="00D31929">
      <w:pPr>
        <w:rPr>
          <w:rFonts w:ascii="Arial" w:hAnsi="Arial" w:cs="Arial"/>
          <w:b/>
        </w:rPr>
      </w:pPr>
      <w:r w:rsidRPr="00D31929">
        <w:rPr>
          <w:rFonts w:ascii="Arial" w:hAnsi="Arial" w:cs="Arial"/>
        </w:rPr>
        <w:br w:type="page"/>
      </w:r>
    </w:p>
    <w:p w14:paraId="6DBA9AE2" w14:textId="302C3D2E" w:rsidR="00D31929" w:rsidRPr="00D31929" w:rsidRDefault="00D31929" w:rsidP="00D31929">
      <w:pPr>
        <w:rPr>
          <w:rFonts w:ascii="Arial" w:hAnsi="Arial" w:cs="Arial"/>
          <w:b/>
        </w:rPr>
      </w:pPr>
      <w:bookmarkStart w:id="0" w:name="_Toc193755234"/>
      <w:r w:rsidRPr="00D31929">
        <w:rPr>
          <w:rFonts w:ascii="Arial" w:hAnsi="Arial" w:cs="Arial"/>
          <w:b/>
        </w:rPr>
        <w:lastRenderedPageBreak/>
        <w:t>Introduction</w:t>
      </w:r>
      <w:bookmarkEnd w:id="0"/>
      <w:r w:rsidR="00D121B3">
        <w:rPr>
          <w:rFonts w:ascii="Arial" w:hAnsi="Arial" w:cs="Arial"/>
          <w:b/>
        </w:rPr>
        <w:t>:</w:t>
      </w:r>
    </w:p>
    <w:p w14:paraId="2AD4CEA8" w14:textId="77777777" w:rsidR="00D31929" w:rsidRPr="00D31929" w:rsidRDefault="00D31929" w:rsidP="00D31929">
      <w:pPr>
        <w:rPr>
          <w:rFonts w:ascii="Arial" w:hAnsi="Arial" w:cs="Arial"/>
          <w:b/>
        </w:rPr>
      </w:pPr>
      <w:r w:rsidRPr="00D31929">
        <w:rPr>
          <w:rFonts w:ascii="Arial" w:hAnsi="Arial" w:cs="Arial"/>
        </w:rPr>
        <w:t>Timing of launches of products and technology is critical for the success of business. Innovation or improved offerings in the existing markets, companies can either pioneer or follow. The two strategies are considered in terms of their advantages and problems, issues widely debated by Strategic Marketing (Jackson 2022). Competitive advantage is made by market entry strategy. First movers enjoy first-mover advantages in terms of brand recognition and leadership, but in fact, they pay with high risks. Instead, followers learn from pioneers’ mistakes and offer better products at a lower price(Bagozzi and Coronel, 2021). Finally, these strategies are in concert with the Product Life Cycle (PLC) theory and First Mover Advantage and suggest a long-term market positioning. In this essay, the benefits and the costs of being the pioneers or the followers, and PLC strategies for maintaining success will be investigated. It offers an analysis of the real-world case, outlining the strategies of market entry and their affiliation with the growth of a business.</w:t>
      </w:r>
      <w:r w:rsidRPr="00D31929">
        <w:rPr>
          <w:rFonts w:ascii="Arial" w:hAnsi="Arial" w:cs="Arial"/>
        </w:rPr>
        <w:br w:type="page"/>
      </w:r>
    </w:p>
    <w:p w14:paraId="4108D4EE" w14:textId="77777777" w:rsidR="00D31929" w:rsidRPr="00D31929" w:rsidRDefault="00D31929" w:rsidP="00D31929">
      <w:pPr>
        <w:rPr>
          <w:rFonts w:ascii="Arial" w:hAnsi="Arial" w:cs="Arial"/>
          <w:b/>
        </w:rPr>
      </w:pPr>
      <w:bookmarkStart w:id="1" w:name="_Toc193755235"/>
      <w:r w:rsidRPr="00D31929">
        <w:rPr>
          <w:rFonts w:ascii="Arial" w:hAnsi="Arial" w:cs="Arial"/>
          <w:b/>
        </w:rPr>
        <w:lastRenderedPageBreak/>
        <w:t>TASK 1. Advantages and Risks of Being a Pioneer vs. a Follower</w:t>
      </w:r>
      <w:bookmarkEnd w:id="1"/>
    </w:p>
    <w:p w14:paraId="0ADD7665" w14:textId="77777777" w:rsidR="00D31929" w:rsidRPr="00D31929" w:rsidRDefault="00D31929" w:rsidP="00D31929">
      <w:pPr>
        <w:rPr>
          <w:rFonts w:ascii="Arial" w:hAnsi="Arial" w:cs="Arial"/>
          <w:b/>
        </w:rPr>
      </w:pPr>
      <w:bookmarkStart w:id="2" w:name="_Toc193755236"/>
      <w:r w:rsidRPr="00D31929">
        <w:rPr>
          <w:rFonts w:ascii="Arial" w:hAnsi="Arial" w:cs="Arial"/>
          <w:b/>
        </w:rPr>
        <w:t>1.1 Understanding First-Mover and Follower Strategies</w:t>
      </w:r>
      <w:bookmarkEnd w:id="2"/>
    </w:p>
    <w:p w14:paraId="6D13C28D" w14:textId="77777777" w:rsidR="00D31929" w:rsidRPr="00D31929" w:rsidRDefault="00D31929" w:rsidP="00D31929">
      <w:pPr>
        <w:rPr>
          <w:rFonts w:ascii="Arial" w:hAnsi="Arial" w:cs="Arial"/>
        </w:rPr>
      </w:pPr>
      <w:r w:rsidRPr="00D31929">
        <w:rPr>
          <w:rFonts w:ascii="Arial" w:hAnsi="Arial" w:cs="Arial"/>
        </w:rPr>
        <w:t>A first-mover (pioneer) is a company that introduces a new product, service, or technology before competitors. First-movers aim to gain a competitive advantage through brand recognition, customer loyalty, and early market dominance (Solis, 2022). In contrast, a follower enters the market after the pioneer, learning from the first-mover’s successes and failures to improve offerings and reduce risks. Lieberman and Montgomery (1988) introduced the First-Mover Advantage (FMA) theory, which highlights how pioneers benefit from early entry. Key advantages include technological leadership, pre-emptive asset acquisition, and customer switching costs (Lee, 2023). However, FMA also acknowledges risks such as high research costs and uncertain market acceptance. Followers can leverage second-mover advantages, refining innovations and avoiding costly mistakes. For example, Amazon pioneered online retail in the 1990s, but later entrants like Alibaba adapted and succeeded by refining e-commerce strategies.</w:t>
      </w:r>
    </w:p>
    <w:p w14:paraId="2A1B8E77" w14:textId="77777777" w:rsidR="00D31929" w:rsidRPr="00D31929" w:rsidRDefault="00D31929" w:rsidP="00D31929">
      <w:pPr>
        <w:rPr>
          <w:rFonts w:ascii="Arial" w:hAnsi="Arial" w:cs="Arial"/>
          <w:b/>
        </w:rPr>
      </w:pPr>
      <w:bookmarkStart w:id="3" w:name="_Toc193755237"/>
      <w:r w:rsidRPr="00D31929">
        <w:rPr>
          <w:rFonts w:ascii="Arial" w:hAnsi="Arial" w:cs="Arial"/>
          <w:bCs/>
        </w:rPr>
        <w:t>1.2 Advantages of Being a Pioneer</w:t>
      </w:r>
      <w:bookmarkEnd w:id="3"/>
    </w:p>
    <w:p w14:paraId="7E352CCA" w14:textId="77777777" w:rsidR="00D31929" w:rsidRPr="00D31929" w:rsidRDefault="00D31929" w:rsidP="00D31929">
      <w:pPr>
        <w:rPr>
          <w:rFonts w:ascii="Arial" w:hAnsi="Arial" w:cs="Arial"/>
        </w:rPr>
      </w:pPr>
      <w:r w:rsidRPr="00D31929">
        <w:rPr>
          <w:rFonts w:ascii="Arial" w:hAnsi="Arial" w:cs="Arial"/>
          <w:b/>
          <w:bCs/>
        </w:rPr>
        <w:t>Brand Recognition and Market Leadership</w:t>
      </w:r>
    </w:p>
    <w:p w14:paraId="59043F1C" w14:textId="77777777" w:rsidR="00D31929" w:rsidRPr="00D31929" w:rsidRDefault="00D31929" w:rsidP="00D31929">
      <w:pPr>
        <w:rPr>
          <w:rFonts w:ascii="Arial" w:hAnsi="Arial" w:cs="Arial"/>
        </w:rPr>
      </w:pPr>
      <w:r w:rsidRPr="00D31929">
        <w:rPr>
          <w:rFonts w:ascii="Arial" w:hAnsi="Arial" w:cs="Arial"/>
        </w:rPr>
        <w:t xml:space="preserve">First-movers often gain strong brand recognition and establish themselves as market leaders, making it difficult for competitors to overtake them. By being the first to introduce a product, they shape customer preferences and industry standards. Apple’s iPhone </w:t>
      </w:r>
      <w:proofErr w:type="spellStart"/>
      <w:r w:rsidRPr="00D31929">
        <w:rPr>
          <w:rFonts w:ascii="Arial" w:hAnsi="Arial" w:cs="Arial"/>
        </w:rPr>
        <w:t>revolutionised</w:t>
      </w:r>
      <w:proofErr w:type="spellEnd"/>
      <w:r w:rsidRPr="00D31929">
        <w:rPr>
          <w:rFonts w:ascii="Arial" w:hAnsi="Arial" w:cs="Arial"/>
        </w:rPr>
        <w:t xml:space="preserve"> the smartphone industry in 2007, setting the standard for touchscreen devices (Taneja, 2023). Despite competition from Samsung and Huawei, Apple maintains brand dominance through innovation, premium pricing, and an integrated ecosystem. Tesla pioneered the electric vehicle (EV) industry, launching the Model S in 2012 when mainstream carmakers were hesitant about EV viability (Barry, 2022). Today, Tesla leads in global EV sales, benefiting from early investment in battery technology and infrastructure.</w:t>
      </w:r>
    </w:p>
    <w:p w14:paraId="12F60D96" w14:textId="77777777" w:rsidR="00D31929" w:rsidRPr="00D31929" w:rsidRDefault="00D31929" w:rsidP="00D31929">
      <w:pPr>
        <w:rPr>
          <w:rFonts w:ascii="Arial" w:hAnsi="Arial" w:cs="Arial"/>
        </w:rPr>
      </w:pPr>
      <w:r w:rsidRPr="00D31929">
        <w:rPr>
          <w:rFonts w:ascii="Arial" w:hAnsi="Arial" w:cs="Arial"/>
          <w:b/>
          <w:bCs/>
        </w:rPr>
        <w:t>Patent Protection and Technological Edge</w:t>
      </w:r>
    </w:p>
    <w:p w14:paraId="0473E300" w14:textId="77777777" w:rsidR="00D31929" w:rsidRPr="00D31929" w:rsidRDefault="00D31929" w:rsidP="00D31929">
      <w:pPr>
        <w:rPr>
          <w:rFonts w:ascii="Arial" w:hAnsi="Arial" w:cs="Arial"/>
        </w:rPr>
      </w:pPr>
      <w:r w:rsidRPr="00D31929">
        <w:rPr>
          <w:rFonts w:ascii="Arial" w:hAnsi="Arial" w:cs="Arial"/>
        </w:rPr>
        <w:t>Pioneers frequently secure patents and intellectual property rights, preventing competitors from replicating their innovations for a certain period (Government of Canada, 2021). This exclusive control strengthens their competitive edge. Pfizer’s COVID-19 vaccine, developed in partnership with BioNTech, was the first mRNA vaccine to gain regulatory approval (Pfizer, 2020). This first-mover advantage allowed Pfizer to secure global contracts and market dominance before Moderna and other vaccine developers.</w:t>
      </w:r>
    </w:p>
    <w:p w14:paraId="6CD8309E" w14:textId="77777777" w:rsidR="00D31929" w:rsidRPr="00D31929" w:rsidRDefault="00D31929" w:rsidP="00D31929">
      <w:pPr>
        <w:rPr>
          <w:rFonts w:ascii="Arial" w:hAnsi="Arial" w:cs="Arial"/>
        </w:rPr>
      </w:pPr>
      <w:r w:rsidRPr="00D31929">
        <w:rPr>
          <w:rFonts w:ascii="Arial" w:hAnsi="Arial" w:cs="Arial"/>
          <w:b/>
          <w:bCs/>
        </w:rPr>
        <w:t>Customer Loyalty and Switching Costs</w:t>
      </w:r>
    </w:p>
    <w:p w14:paraId="3CCE1163" w14:textId="77777777" w:rsidR="00D31929" w:rsidRPr="00D31929" w:rsidRDefault="00D31929" w:rsidP="00D31929">
      <w:pPr>
        <w:rPr>
          <w:rFonts w:ascii="Arial" w:hAnsi="Arial" w:cs="Arial"/>
        </w:rPr>
      </w:pPr>
      <w:r w:rsidRPr="00D31929">
        <w:rPr>
          <w:rFonts w:ascii="Arial" w:hAnsi="Arial" w:cs="Arial"/>
        </w:rPr>
        <w:lastRenderedPageBreak/>
        <w:t>First-movers benefit from high customer retention due to brand trust and switching costs, which make it inconvenient for customers to switch to competitors (Lam and Murthy, 2019). Microsoft Office became the default productivity suite for businesses worldwide due to its early market presence. The deep integration of Word, Excel, and PowerPoint across industries has created a high switching cost, making it challenging for companies to migrate to alternatives like Google Workspace.</w:t>
      </w:r>
    </w:p>
    <w:p w14:paraId="487DE3B2" w14:textId="77777777" w:rsidR="00D31929" w:rsidRPr="00D31929" w:rsidRDefault="00D31929" w:rsidP="00D31929">
      <w:pPr>
        <w:rPr>
          <w:rFonts w:ascii="Arial" w:hAnsi="Arial" w:cs="Arial"/>
        </w:rPr>
      </w:pPr>
      <w:r w:rsidRPr="00D31929">
        <w:rPr>
          <w:rFonts w:ascii="Arial" w:hAnsi="Arial" w:cs="Arial"/>
          <w:b/>
          <w:bCs/>
        </w:rPr>
        <w:t>Higher Profit Margins and Pricing Power</w:t>
      </w:r>
    </w:p>
    <w:p w14:paraId="2095109D" w14:textId="77777777" w:rsidR="00D31929" w:rsidRPr="00D31929" w:rsidRDefault="00D31929" w:rsidP="00D31929">
      <w:pPr>
        <w:rPr>
          <w:rFonts w:ascii="Arial" w:hAnsi="Arial" w:cs="Arial"/>
        </w:rPr>
      </w:pPr>
      <w:r w:rsidRPr="00D31929">
        <w:rPr>
          <w:rFonts w:ascii="Arial" w:hAnsi="Arial" w:cs="Arial"/>
        </w:rPr>
        <w:t>Early entrants can leverage premium pricing strategies due to limited competition and high demand for innovation. They can capture a significant market share before competitors introduce price wars. Amazon, as an e-commerce pioneer in the late 1990s, dominated online retail by building an extensive logistics network before traditional retailers adapted to digital commerce (Ntumba and Maina, 2023). Its early expansion allowed it to establish strong pricing power and market influence, securing long-term profitability.</w:t>
      </w:r>
    </w:p>
    <w:p w14:paraId="11AB0E8F" w14:textId="77777777" w:rsidR="00D31929" w:rsidRPr="00D31929" w:rsidRDefault="00D31929" w:rsidP="00D31929">
      <w:pPr>
        <w:rPr>
          <w:rFonts w:ascii="Arial" w:hAnsi="Arial" w:cs="Arial"/>
          <w:b/>
        </w:rPr>
      </w:pPr>
      <w:bookmarkStart w:id="4" w:name="_Toc193755238"/>
      <w:r w:rsidRPr="00D31929">
        <w:rPr>
          <w:rFonts w:ascii="Arial" w:hAnsi="Arial" w:cs="Arial"/>
          <w:bCs/>
        </w:rPr>
        <w:t>1.3 Risks and Challenges for Pioneers</w:t>
      </w:r>
      <w:bookmarkEnd w:id="4"/>
    </w:p>
    <w:p w14:paraId="6A5A4E47" w14:textId="77777777" w:rsidR="00D31929" w:rsidRPr="00D31929" w:rsidRDefault="00D31929" w:rsidP="00D31929">
      <w:pPr>
        <w:rPr>
          <w:rFonts w:ascii="Arial" w:hAnsi="Arial" w:cs="Arial"/>
        </w:rPr>
      </w:pPr>
      <w:r w:rsidRPr="00D31929">
        <w:rPr>
          <w:rFonts w:ascii="Arial" w:hAnsi="Arial" w:cs="Arial"/>
          <w:b/>
          <w:bCs/>
        </w:rPr>
        <w:t>High R&amp;D and Market Education Costs</w:t>
      </w:r>
    </w:p>
    <w:p w14:paraId="2579DAD4" w14:textId="77777777" w:rsidR="00D31929" w:rsidRPr="00D31929" w:rsidRDefault="00D31929" w:rsidP="00D31929">
      <w:pPr>
        <w:rPr>
          <w:rFonts w:ascii="Arial" w:hAnsi="Arial" w:cs="Arial"/>
        </w:rPr>
      </w:pPr>
      <w:r w:rsidRPr="00D31929">
        <w:rPr>
          <w:rFonts w:ascii="Arial" w:hAnsi="Arial" w:cs="Arial"/>
        </w:rPr>
        <w:t xml:space="preserve">First-movers often face significant research and development (R&amp;D) expenses, as they must innovate from scratch. Additionally, they must educate the market, which can be costly and time-consuming. Xerox PARC (Palo Alto Research Center) developed groundbreaking technologies, including the Graphical User Interface (GUI), which later inspired Apple and Microsoft (Apple Scoop, 2024). However, Xerox failed to </w:t>
      </w:r>
      <w:proofErr w:type="spellStart"/>
      <w:r w:rsidRPr="00D31929">
        <w:rPr>
          <w:rFonts w:ascii="Arial" w:hAnsi="Arial" w:cs="Arial"/>
        </w:rPr>
        <w:t>commercialise</w:t>
      </w:r>
      <w:proofErr w:type="spellEnd"/>
      <w:r w:rsidRPr="00D31929">
        <w:rPr>
          <w:rFonts w:ascii="Arial" w:hAnsi="Arial" w:cs="Arial"/>
        </w:rPr>
        <w:t xml:space="preserve"> its innovation effectively, allowing competitors to dominate the market.</w:t>
      </w:r>
    </w:p>
    <w:p w14:paraId="4ECCB31C" w14:textId="77777777" w:rsidR="00D31929" w:rsidRPr="00D31929" w:rsidRDefault="00D31929" w:rsidP="00D31929">
      <w:pPr>
        <w:rPr>
          <w:rFonts w:ascii="Arial" w:hAnsi="Arial" w:cs="Arial"/>
        </w:rPr>
      </w:pPr>
      <w:r w:rsidRPr="00D31929">
        <w:rPr>
          <w:rFonts w:ascii="Arial" w:hAnsi="Arial" w:cs="Arial"/>
          <w:b/>
          <w:bCs/>
        </w:rPr>
        <w:t>Market Uncertainty and Demand Creation</w:t>
      </w:r>
    </w:p>
    <w:p w14:paraId="1E000693" w14:textId="77777777" w:rsidR="00D31929" w:rsidRPr="00D31929" w:rsidRDefault="00D31929" w:rsidP="00D31929">
      <w:pPr>
        <w:rPr>
          <w:rFonts w:ascii="Arial" w:hAnsi="Arial" w:cs="Arial"/>
        </w:rPr>
      </w:pPr>
      <w:r w:rsidRPr="00D31929">
        <w:rPr>
          <w:rFonts w:ascii="Arial" w:hAnsi="Arial" w:cs="Arial"/>
        </w:rPr>
        <w:t>Pioneers face uncertainty regarding consumer demand and may struggle to convince customers to adopt new products. If the market is not ready, initial investments may be wasted. Google Glass, launched in 2013, introduced augmented reality (AR) for personal use, but privacy concerns and a lack of clear consumer applications led to its failure (Smriti, 2024). Segway, despite being an innovative personal transportation device, failed due to high costs and limited practical use.</w:t>
      </w:r>
    </w:p>
    <w:p w14:paraId="0209013C" w14:textId="77777777" w:rsidR="00D31929" w:rsidRPr="00D31929" w:rsidRDefault="00D31929" w:rsidP="00D31929">
      <w:pPr>
        <w:rPr>
          <w:rFonts w:ascii="Arial" w:hAnsi="Arial" w:cs="Arial"/>
        </w:rPr>
      </w:pPr>
      <w:r w:rsidRPr="00D31929">
        <w:rPr>
          <w:rFonts w:ascii="Arial" w:hAnsi="Arial" w:cs="Arial"/>
          <w:b/>
          <w:bCs/>
        </w:rPr>
        <w:t>Risk of Fast-Followers Overtaking</w:t>
      </w:r>
    </w:p>
    <w:p w14:paraId="2E810761" w14:textId="77777777" w:rsidR="00D31929" w:rsidRPr="00D31929" w:rsidRDefault="00D31929" w:rsidP="00D31929">
      <w:pPr>
        <w:rPr>
          <w:rFonts w:ascii="Arial" w:hAnsi="Arial" w:cs="Arial"/>
        </w:rPr>
      </w:pPr>
      <w:r w:rsidRPr="00D31929">
        <w:rPr>
          <w:rFonts w:ascii="Arial" w:hAnsi="Arial" w:cs="Arial"/>
        </w:rPr>
        <w:t xml:space="preserve">While pioneers invest heavily in innovation, followers can refine and improve their ideas, often achieving greater commercial success with lower risks. Facebook was not the first social media platform but learned from predecessors like Myspace (Ortner et al., 2018). By improving user experience and </w:t>
      </w:r>
      <w:proofErr w:type="spellStart"/>
      <w:r w:rsidRPr="00D31929">
        <w:rPr>
          <w:rFonts w:ascii="Arial" w:hAnsi="Arial" w:cs="Arial"/>
        </w:rPr>
        <w:t>monetisation</w:t>
      </w:r>
      <w:proofErr w:type="spellEnd"/>
      <w:r w:rsidRPr="00D31929">
        <w:rPr>
          <w:rFonts w:ascii="Arial" w:hAnsi="Arial" w:cs="Arial"/>
        </w:rPr>
        <w:t xml:space="preserve"> strategies, it surpassed competitors, dominating social networking globally.</w:t>
      </w:r>
    </w:p>
    <w:p w14:paraId="2704F101" w14:textId="77777777" w:rsidR="00D31929" w:rsidRPr="00D31929" w:rsidRDefault="00D31929" w:rsidP="00D31929">
      <w:pPr>
        <w:rPr>
          <w:rFonts w:ascii="Arial" w:hAnsi="Arial" w:cs="Arial"/>
          <w:b/>
        </w:rPr>
      </w:pPr>
      <w:bookmarkStart w:id="5" w:name="_Toc193755239"/>
      <w:r w:rsidRPr="00D31929">
        <w:rPr>
          <w:rFonts w:ascii="Arial" w:hAnsi="Arial" w:cs="Arial"/>
          <w:bCs/>
        </w:rPr>
        <w:lastRenderedPageBreak/>
        <w:t>1.4 Advantages of Being a Follower</w:t>
      </w:r>
      <w:bookmarkEnd w:id="5"/>
    </w:p>
    <w:p w14:paraId="039E78E7" w14:textId="77777777" w:rsidR="00D31929" w:rsidRPr="00D31929" w:rsidRDefault="00D31929" w:rsidP="00D31929">
      <w:pPr>
        <w:rPr>
          <w:rFonts w:ascii="Arial" w:hAnsi="Arial" w:cs="Arial"/>
        </w:rPr>
      </w:pPr>
      <w:r w:rsidRPr="00D31929">
        <w:rPr>
          <w:rFonts w:ascii="Arial" w:hAnsi="Arial" w:cs="Arial"/>
          <w:b/>
          <w:bCs/>
        </w:rPr>
        <w:t>Learning from First Movers’ Mistakes</w:t>
      </w:r>
    </w:p>
    <w:p w14:paraId="7190D89B" w14:textId="77777777" w:rsidR="00D31929" w:rsidRPr="00D31929" w:rsidRDefault="00D31929" w:rsidP="00D31929">
      <w:pPr>
        <w:rPr>
          <w:rFonts w:ascii="Arial" w:hAnsi="Arial" w:cs="Arial"/>
        </w:rPr>
      </w:pPr>
      <w:r w:rsidRPr="00D31929">
        <w:rPr>
          <w:rFonts w:ascii="Arial" w:hAnsi="Arial" w:cs="Arial"/>
        </w:rPr>
        <w:t xml:space="preserve">Followers benefit from observing the challenges and failures of pioneers, allowing them to refine products and strategies. By avoiding costly errors, they can create improved versions that better meet market needs (Maslach and Lamont, 2024). Samsung entered the smartphone market after Apple but quickly adapted, offering devices with larger screens, </w:t>
      </w:r>
      <w:proofErr w:type="spellStart"/>
      <w:r w:rsidRPr="00D31929">
        <w:rPr>
          <w:rFonts w:ascii="Arial" w:hAnsi="Arial" w:cs="Arial"/>
        </w:rPr>
        <w:t>customisable</w:t>
      </w:r>
      <w:proofErr w:type="spellEnd"/>
      <w:r w:rsidRPr="00D31929">
        <w:rPr>
          <w:rFonts w:ascii="Arial" w:hAnsi="Arial" w:cs="Arial"/>
        </w:rPr>
        <w:t xml:space="preserve"> software, and wider price ranges. This approach helped it secure a significant share of the market while improving upon Apple’s initial innovations.</w:t>
      </w:r>
    </w:p>
    <w:p w14:paraId="5CD2B655" w14:textId="77777777" w:rsidR="00D31929" w:rsidRPr="00D31929" w:rsidRDefault="00D31929" w:rsidP="00D31929">
      <w:pPr>
        <w:rPr>
          <w:rFonts w:ascii="Arial" w:hAnsi="Arial" w:cs="Arial"/>
        </w:rPr>
      </w:pPr>
      <w:r w:rsidRPr="00D31929">
        <w:rPr>
          <w:rFonts w:ascii="Arial" w:hAnsi="Arial" w:cs="Arial"/>
          <w:b/>
          <w:bCs/>
        </w:rPr>
        <w:t>Lower R&amp;D Costs and Faster Scalability</w:t>
      </w:r>
    </w:p>
    <w:p w14:paraId="1AA9B6D2" w14:textId="77777777" w:rsidR="00D31929" w:rsidRPr="00D31929" w:rsidRDefault="00D31929" w:rsidP="00D31929">
      <w:pPr>
        <w:rPr>
          <w:rFonts w:ascii="Arial" w:hAnsi="Arial" w:cs="Arial"/>
        </w:rPr>
      </w:pPr>
      <w:r w:rsidRPr="00D31929">
        <w:rPr>
          <w:rFonts w:ascii="Arial" w:hAnsi="Arial" w:cs="Arial"/>
        </w:rPr>
        <w:t xml:space="preserve">Unlike pioneers who invest heavily in research and development, followers can build on existing technologies and scale rapidly (Lund and Nielsen, 2018). Facebook was not the first social media platform but studied </w:t>
      </w:r>
      <w:proofErr w:type="spellStart"/>
      <w:r w:rsidRPr="00D31929">
        <w:rPr>
          <w:rFonts w:ascii="Arial" w:hAnsi="Arial" w:cs="Arial"/>
        </w:rPr>
        <w:t>MySpace’s</w:t>
      </w:r>
      <w:proofErr w:type="spellEnd"/>
      <w:r w:rsidRPr="00D31929">
        <w:rPr>
          <w:rFonts w:ascii="Arial" w:hAnsi="Arial" w:cs="Arial"/>
        </w:rPr>
        <w:t xml:space="preserve"> weaknesses, such as poor user experience and lack of adaptability. By offering a cleaner interface, targeted advertising, and continuous innovation, Facebook quickly overtook </w:t>
      </w:r>
      <w:proofErr w:type="spellStart"/>
      <w:r w:rsidRPr="00D31929">
        <w:rPr>
          <w:rFonts w:ascii="Arial" w:hAnsi="Arial" w:cs="Arial"/>
        </w:rPr>
        <w:t>MySpace</w:t>
      </w:r>
      <w:proofErr w:type="spellEnd"/>
      <w:r w:rsidRPr="00D31929">
        <w:rPr>
          <w:rFonts w:ascii="Arial" w:hAnsi="Arial" w:cs="Arial"/>
        </w:rPr>
        <w:t>.</w:t>
      </w:r>
    </w:p>
    <w:p w14:paraId="7BD744E4" w14:textId="77777777" w:rsidR="00D31929" w:rsidRPr="00D31929" w:rsidRDefault="00D31929" w:rsidP="00D31929">
      <w:pPr>
        <w:rPr>
          <w:rFonts w:ascii="Arial" w:hAnsi="Arial" w:cs="Arial"/>
        </w:rPr>
      </w:pPr>
      <w:r w:rsidRPr="00D31929">
        <w:rPr>
          <w:rFonts w:ascii="Arial" w:hAnsi="Arial" w:cs="Arial"/>
          <w:b/>
          <w:bCs/>
        </w:rPr>
        <w:t>Strong Market Penetration Through Established Demand</w:t>
      </w:r>
    </w:p>
    <w:p w14:paraId="0C7ADE49" w14:textId="77777777" w:rsidR="00D31929" w:rsidRPr="00D31929" w:rsidRDefault="00D31929" w:rsidP="00D31929">
      <w:pPr>
        <w:rPr>
          <w:rFonts w:ascii="Arial" w:hAnsi="Arial" w:cs="Arial"/>
        </w:rPr>
      </w:pPr>
      <w:r w:rsidRPr="00D31929">
        <w:rPr>
          <w:rFonts w:ascii="Arial" w:hAnsi="Arial" w:cs="Arial"/>
        </w:rPr>
        <w:t xml:space="preserve">Followers enter markets where consumer demand has already been established, reducing the risk of failure. Spotify </w:t>
      </w:r>
      <w:proofErr w:type="spellStart"/>
      <w:r w:rsidRPr="00D31929">
        <w:rPr>
          <w:rFonts w:ascii="Arial" w:hAnsi="Arial" w:cs="Arial"/>
        </w:rPr>
        <w:t>capitalised</w:t>
      </w:r>
      <w:proofErr w:type="spellEnd"/>
      <w:r w:rsidRPr="00D31929">
        <w:rPr>
          <w:rFonts w:ascii="Arial" w:hAnsi="Arial" w:cs="Arial"/>
        </w:rPr>
        <w:t xml:space="preserve"> on the demand for digital music streaming, refining Napster’s failed model by securing licensing deals and creating a subscription-based service, making it the industry leader.</w:t>
      </w:r>
    </w:p>
    <w:p w14:paraId="60AE48F2" w14:textId="77777777" w:rsidR="00D31929" w:rsidRPr="00D31929" w:rsidRDefault="00D31929" w:rsidP="00D31929">
      <w:pPr>
        <w:rPr>
          <w:rFonts w:ascii="Arial" w:hAnsi="Arial" w:cs="Arial"/>
        </w:rPr>
      </w:pPr>
      <w:r w:rsidRPr="00D31929">
        <w:rPr>
          <w:rFonts w:ascii="Arial" w:hAnsi="Arial" w:cs="Arial"/>
          <w:b/>
          <w:bCs/>
        </w:rPr>
        <w:t>Cost-Effective Innovation and Competitive Pricing</w:t>
      </w:r>
    </w:p>
    <w:p w14:paraId="19314F1F" w14:textId="77777777" w:rsidR="00D31929" w:rsidRPr="00D31929" w:rsidRDefault="00D31929" w:rsidP="00D31929">
      <w:pPr>
        <w:rPr>
          <w:rFonts w:ascii="Arial" w:hAnsi="Arial" w:cs="Arial"/>
        </w:rPr>
      </w:pPr>
      <w:r w:rsidRPr="00D31929">
        <w:rPr>
          <w:rFonts w:ascii="Arial" w:hAnsi="Arial" w:cs="Arial"/>
        </w:rPr>
        <w:t>By leveraging existing technologies, followers can offer products at lower costs while maintaining quality. Xiaomi entered the smartphone market by producing feature-rich, budget-friendly devices, disrupting competitors like Apple and Samsung with aggressive pricing and direct-to-consumer sales strategies (Panigrahi, 2019).</w:t>
      </w:r>
    </w:p>
    <w:p w14:paraId="13B51E9F" w14:textId="77777777" w:rsidR="00D31929" w:rsidRPr="00D31929" w:rsidRDefault="00D31929" w:rsidP="00D31929">
      <w:pPr>
        <w:rPr>
          <w:rFonts w:ascii="Arial" w:hAnsi="Arial" w:cs="Arial"/>
          <w:b/>
        </w:rPr>
      </w:pPr>
      <w:bookmarkStart w:id="6" w:name="_Toc193755240"/>
      <w:r w:rsidRPr="00D31929">
        <w:rPr>
          <w:rFonts w:ascii="Arial" w:hAnsi="Arial" w:cs="Arial"/>
          <w:bCs/>
        </w:rPr>
        <w:t>1.5 Risks and Challenges for Followers</w:t>
      </w:r>
      <w:bookmarkEnd w:id="6"/>
    </w:p>
    <w:p w14:paraId="266482BE" w14:textId="77777777" w:rsidR="00D31929" w:rsidRPr="00D31929" w:rsidRDefault="00D31929" w:rsidP="00D31929">
      <w:pPr>
        <w:rPr>
          <w:rFonts w:ascii="Arial" w:hAnsi="Arial" w:cs="Arial"/>
        </w:rPr>
      </w:pPr>
      <w:r w:rsidRPr="00D31929">
        <w:rPr>
          <w:rFonts w:ascii="Arial" w:hAnsi="Arial" w:cs="Arial"/>
          <w:b/>
          <w:bCs/>
        </w:rPr>
        <w:t>Brand Perception as a "Copycat"</w:t>
      </w:r>
    </w:p>
    <w:p w14:paraId="78F889B6" w14:textId="77777777" w:rsidR="00D31929" w:rsidRPr="00D31929" w:rsidRDefault="00D31929" w:rsidP="00D31929">
      <w:pPr>
        <w:rPr>
          <w:rFonts w:ascii="Arial" w:hAnsi="Arial" w:cs="Arial"/>
        </w:rPr>
      </w:pPr>
      <w:r w:rsidRPr="00D31929">
        <w:rPr>
          <w:rFonts w:ascii="Arial" w:hAnsi="Arial" w:cs="Arial"/>
        </w:rPr>
        <w:t xml:space="preserve">Followers often struggle with being viewed as imitators rather than innovators, making it difficult to establish a unique brand identity (Mergen and </w:t>
      </w:r>
      <w:proofErr w:type="spellStart"/>
      <w:r w:rsidRPr="00D31929">
        <w:rPr>
          <w:rFonts w:ascii="Arial" w:hAnsi="Arial" w:cs="Arial"/>
        </w:rPr>
        <w:t>Ozbilgin</w:t>
      </w:r>
      <w:proofErr w:type="spellEnd"/>
      <w:r w:rsidRPr="00D31929">
        <w:rPr>
          <w:rFonts w:ascii="Arial" w:hAnsi="Arial" w:cs="Arial"/>
        </w:rPr>
        <w:t>, 2020). Pepsi has long faced challenges in competing with Coca-Cola’s strong brand heritage and customer loyalty (Ellen, 2020). Despite offering similar products, Coca-Cola's historical dominance and effective marketing strategies have kept it ahead in consumer preference.</w:t>
      </w:r>
    </w:p>
    <w:p w14:paraId="71C81163" w14:textId="77777777" w:rsidR="00D31929" w:rsidRPr="00D31929" w:rsidRDefault="00D31929" w:rsidP="00D31929">
      <w:pPr>
        <w:rPr>
          <w:rFonts w:ascii="Arial" w:hAnsi="Arial" w:cs="Arial"/>
        </w:rPr>
      </w:pPr>
      <w:r w:rsidRPr="00D31929">
        <w:rPr>
          <w:rFonts w:ascii="Arial" w:hAnsi="Arial" w:cs="Arial"/>
          <w:b/>
          <w:bCs/>
        </w:rPr>
        <w:t>Challenges in Differentiation</w:t>
      </w:r>
    </w:p>
    <w:p w14:paraId="234FEFFD" w14:textId="77777777" w:rsidR="00D31929" w:rsidRPr="00D31929" w:rsidRDefault="00D31929" w:rsidP="00D31929">
      <w:pPr>
        <w:rPr>
          <w:rFonts w:ascii="Arial" w:hAnsi="Arial" w:cs="Arial"/>
        </w:rPr>
      </w:pPr>
      <w:r w:rsidRPr="00D31929">
        <w:rPr>
          <w:rFonts w:ascii="Arial" w:hAnsi="Arial" w:cs="Arial"/>
        </w:rPr>
        <w:t xml:space="preserve">Entering a market dominated by pioneers requires followers to offer unique features or superior quality, which can be difficult. Huawei has worked hard to compete with Apple </w:t>
      </w:r>
      <w:r w:rsidRPr="00D31929">
        <w:rPr>
          <w:rFonts w:ascii="Arial" w:hAnsi="Arial" w:cs="Arial"/>
        </w:rPr>
        <w:lastRenderedPageBreak/>
        <w:t>and Samsung in the premium smartphone market but has struggled due to perceived lower brand prestige and software restrictions, particularly after sanctions limiting its access to Google services (Yang, 2025).</w:t>
      </w:r>
    </w:p>
    <w:p w14:paraId="4CB67B7A" w14:textId="77777777" w:rsidR="00D31929" w:rsidRPr="00D31929" w:rsidRDefault="00D31929" w:rsidP="00D31929">
      <w:pPr>
        <w:rPr>
          <w:rFonts w:ascii="Arial" w:hAnsi="Arial" w:cs="Arial"/>
        </w:rPr>
      </w:pPr>
      <w:r w:rsidRPr="00D31929">
        <w:rPr>
          <w:rFonts w:ascii="Arial" w:hAnsi="Arial" w:cs="Arial"/>
          <w:b/>
          <w:bCs/>
        </w:rPr>
        <w:t>Dependence on First Movers’ Market Creation</w:t>
      </w:r>
    </w:p>
    <w:p w14:paraId="0FABC480" w14:textId="77777777" w:rsidR="00D31929" w:rsidRPr="00D31929" w:rsidRDefault="00D31929" w:rsidP="00D31929">
      <w:pPr>
        <w:rPr>
          <w:rFonts w:ascii="Arial" w:hAnsi="Arial" w:cs="Arial"/>
        </w:rPr>
      </w:pPr>
      <w:r w:rsidRPr="00D31929">
        <w:rPr>
          <w:rFonts w:ascii="Arial" w:hAnsi="Arial" w:cs="Arial"/>
        </w:rPr>
        <w:t>Followers rely on pioneers to create and educate the market, but this limits their control over customer expectations and adoption rates. Android initially struggled against Apple’s App Store, as developers and consumers were already invested in Apple’s ecosystem (Yang, 2025). Google had to invest heavily in developer incentives and system improvements to make Android a viable alternative.</w:t>
      </w:r>
    </w:p>
    <w:p w14:paraId="4B9E196C" w14:textId="77777777" w:rsidR="00D31929" w:rsidRPr="00D31929" w:rsidRDefault="00D31929" w:rsidP="00D31929">
      <w:pPr>
        <w:rPr>
          <w:rFonts w:ascii="Arial" w:hAnsi="Arial" w:cs="Arial"/>
        </w:rPr>
      </w:pPr>
      <w:r w:rsidRPr="00D31929">
        <w:rPr>
          <w:rFonts w:ascii="Arial" w:hAnsi="Arial" w:cs="Arial"/>
          <w:b/>
          <w:bCs/>
        </w:rPr>
        <w:t>Legal and Patent Challenges</w:t>
      </w:r>
    </w:p>
    <w:p w14:paraId="0B42238C" w14:textId="77777777" w:rsidR="00D31929" w:rsidRPr="00D31929" w:rsidRDefault="00D31929" w:rsidP="00D31929">
      <w:pPr>
        <w:rPr>
          <w:rFonts w:ascii="Arial" w:hAnsi="Arial" w:cs="Arial"/>
        </w:rPr>
      </w:pPr>
      <w:r w:rsidRPr="00D31929">
        <w:rPr>
          <w:rFonts w:ascii="Arial" w:hAnsi="Arial" w:cs="Arial"/>
        </w:rPr>
        <w:t>Followers may face intellectual property lawsuits or patent restrictions, increasing operational risks. Samsung has repeatedly faced patent infringement lawsuits from Apple, impacting its brand image and leading to costly legal battles.</w:t>
      </w:r>
    </w:p>
    <w:p w14:paraId="035A6723" w14:textId="77777777" w:rsidR="00D31929" w:rsidRPr="00D31929" w:rsidRDefault="00D31929" w:rsidP="00D31929">
      <w:pPr>
        <w:rPr>
          <w:rFonts w:ascii="Arial" w:hAnsi="Arial" w:cs="Arial"/>
          <w:b/>
        </w:rPr>
      </w:pPr>
      <w:bookmarkStart w:id="7" w:name="_Toc193755241"/>
      <w:r w:rsidRPr="00D31929">
        <w:rPr>
          <w:rFonts w:ascii="Arial" w:hAnsi="Arial" w:cs="Arial"/>
          <w:b/>
        </w:rPr>
        <w:t>TASK 2. Product Life Cycle Strategies for Pioneers and Followers</w:t>
      </w:r>
      <w:bookmarkEnd w:id="7"/>
    </w:p>
    <w:p w14:paraId="3E3362D0" w14:textId="77777777" w:rsidR="00D31929" w:rsidRPr="00D31929" w:rsidRDefault="00D31929" w:rsidP="00D31929">
      <w:pPr>
        <w:rPr>
          <w:rFonts w:ascii="Arial" w:hAnsi="Arial" w:cs="Arial"/>
          <w:b/>
        </w:rPr>
      </w:pPr>
      <w:bookmarkStart w:id="8" w:name="_Toc193755242"/>
      <w:r w:rsidRPr="00D31929">
        <w:rPr>
          <w:rFonts w:ascii="Arial" w:hAnsi="Arial" w:cs="Arial"/>
          <w:b/>
        </w:rPr>
        <w:t>2.1 Understanding the Product Life Cycle (PLC)</w:t>
      </w:r>
      <w:bookmarkEnd w:id="8"/>
    </w:p>
    <w:p w14:paraId="546288C6" w14:textId="77777777" w:rsidR="00D31929" w:rsidRPr="00D31929" w:rsidRDefault="00D31929" w:rsidP="00D31929">
      <w:pPr>
        <w:rPr>
          <w:rFonts w:ascii="Arial" w:hAnsi="Arial" w:cs="Arial"/>
        </w:rPr>
      </w:pPr>
      <w:r w:rsidRPr="00D31929">
        <w:rPr>
          <w:rFonts w:ascii="Arial" w:hAnsi="Arial" w:cs="Arial"/>
        </w:rPr>
        <w:t>The Product Life Cycle (PLC) is a model that describes the stages a product goes through from launch to decline. It consists of four key phases: Introduction, Growth, Maturity, and Decline (Stark, 2022).</w:t>
      </w:r>
    </w:p>
    <w:p w14:paraId="6325EB25" w14:textId="77777777" w:rsidR="00D31929" w:rsidRPr="00D31929" w:rsidRDefault="00D31929" w:rsidP="00D31929">
      <w:pPr>
        <w:rPr>
          <w:rFonts w:ascii="Arial" w:hAnsi="Arial" w:cs="Arial"/>
          <w:b/>
        </w:rPr>
      </w:pPr>
      <w:r w:rsidRPr="00D31929">
        <w:rPr>
          <w:rFonts w:ascii="Arial" w:hAnsi="Arial" w:cs="Arial"/>
        </w:rPr>
        <w:t xml:space="preserve">During the introduction stage pioneers allocate substantial resources toward discovering new technologies while marketing them to end consumers (Stark, 2022). Market education about electric vehicles took up major resources when Tesla launched its first EV models. The followers that start after the initial launch gain from existing consumer interest and improved comprehension of the product. </w:t>
      </w:r>
      <w:proofErr w:type="spellStart"/>
      <w:r w:rsidRPr="00D31929">
        <w:rPr>
          <w:rFonts w:ascii="Arial" w:hAnsi="Arial" w:cs="Arial"/>
        </w:rPr>
        <w:t>Organisations</w:t>
      </w:r>
      <w:proofErr w:type="spellEnd"/>
      <w:r w:rsidRPr="00D31929">
        <w:rPr>
          <w:rFonts w:ascii="Arial" w:hAnsi="Arial" w:cs="Arial"/>
        </w:rPr>
        <w:t xml:space="preserve"> active in the Growth stage strive to both expand their production capacity and dominate market sectors. The swift market success of Apple’s iPhone forced Samsung to introduce matching smartphone products. During the Maturity stage the market reaches its maximum competitive level so companies prioritize effective differentiation alongside cost reduction measures. Every major product choice between Coca-Cola and Pepsi centers on branding and introducing new product lines. The Decline stage brings sales declines because market saturation occurs or innovations enter the market. Companies that launched first try reinvention whereas companies that followed generally choose emerging markets and new product lines as their path forward.</w:t>
      </w:r>
    </w:p>
    <w:p w14:paraId="40BAD4C4" w14:textId="77777777" w:rsidR="00D31929" w:rsidRPr="00D31929" w:rsidRDefault="00D31929" w:rsidP="00D31929">
      <w:pPr>
        <w:rPr>
          <w:rFonts w:ascii="Arial" w:hAnsi="Arial" w:cs="Arial"/>
          <w:b/>
        </w:rPr>
      </w:pPr>
      <w:bookmarkStart w:id="9" w:name="_Toc193755243"/>
      <w:r w:rsidRPr="00D31929">
        <w:rPr>
          <w:rFonts w:ascii="Arial" w:hAnsi="Arial" w:cs="Arial"/>
          <w:bCs/>
        </w:rPr>
        <w:t>2.2 Product Life Cycle Strategies for Pioneers</w:t>
      </w:r>
      <w:bookmarkEnd w:id="9"/>
    </w:p>
    <w:p w14:paraId="5A813360" w14:textId="77777777" w:rsidR="00D31929" w:rsidRPr="00D31929" w:rsidRDefault="00D31929" w:rsidP="00D31929">
      <w:pPr>
        <w:rPr>
          <w:rFonts w:ascii="Arial" w:hAnsi="Arial" w:cs="Arial"/>
        </w:rPr>
      </w:pPr>
      <w:r w:rsidRPr="00D31929">
        <w:rPr>
          <w:rFonts w:ascii="Arial" w:hAnsi="Arial" w:cs="Arial"/>
        </w:rPr>
        <w:t xml:space="preserve">New market formation depends heavily on pioneers who allocate substantial resources to innovation alongside brand development and consumer awareness programs (Sala </w:t>
      </w:r>
      <w:r w:rsidRPr="00D31929">
        <w:rPr>
          <w:rFonts w:ascii="Arial" w:hAnsi="Arial" w:cs="Arial"/>
        </w:rPr>
        <w:lastRenderedPageBreak/>
        <w:t>and Ardente, 2021). The Product Life Cycle (PLC) development requires pioneers to implement diverse strategies that help preserve their competitive advantage and profitability maintenance.</w:t>
      </w:r>
    </w:p>
    <w:p w14:paraId="299CD15A" w14:textId="77777777" w:rsidR="00D31929" w:rsidRPr="00D31929" w:rsidRDefault="00D31929" w:rsidP="00D31929">
      <w:pPr>
        <w:rPr>
          <w:rFonts w:ascii="Arial" w:hAnsi="Arial" w:cs="Arial"/>
        </w:rPr>
      </w:pPr>
      <w:r w:rsidRPr="00D31929">
        <w:rPr>
          <w:rFonts w:ascii="Arial" w:hAnsi="Arial" w:cs="Arial"/>
          <w:b/>
          <w:bCs/>
        </w:rPr>
        <w:t>Introduction Stage: Market Creation &amp; High R&amp;D Investment</w:t>
      </w:r>
    </w:p>
    <w:p w14:paraId="00183D9F" w14:textId="77777777" w:rsidR="00D31929" w:rsidRPr="00D31929" w:rsidRDefault="00D31929" w:rsidP="00D31929">
      <w:pPr>
        <w:rPr>
          <w:rFonts w:ascii="Arial" w:hAnsi="Arial" w:cs="Arial"/>
        </w:rPr>
      </w:pPr>
      <w:r w:rsidRPr="00D31929">
        <w:rPr>
          <w:rFonts w:ascii="Arial" w:hAnsi="Arial" w:cs="Arial"/>
        </w:rPr>
        <w:t xml:space="preserve">Pioneering companies within the introduction phase must endure excessive R&amp;D spending and minimal product demand and aim to instruct their target market. Market awareness promotion stands as the principal objective while the aim of building a solid foundation supports upcoming growth (Min and </w:t>
      </w:r>
      <w:proofErr w:type="spellStart"/>
      <w:r w:rsidRPr="00D31929">
        <w:rPr>
          <w:rFonts w:ascii="Arial" w:hAnsi="Arial" w:cs="Arial"/>
        </w:rPr>
        <w:t>Sawng</w:t>
      </w:r>
      <w:proofErr w:type="spellEnd"/>
      <w:r w:rsidRPr="00D31929">
        <w:rPr>
          <w:rFonts w:ascii="Arial" w:hAnsi="Arial" w:cs="Arial"/>
        </w:rPr>
        <w:t xml:space="preserve">, 2020). A prime example is Tesla, which pioneered the electric vehicle (EV) market by investing significantly in battery technology, charging infrastructure, and government lobbying for incentives (Hopkins and </w:t>
      </w:r>
      <w:proofErr w:type="spellStart"/>
      <w:r w:rsidRPr="00D31929">
        <w:rPr>
          <w:rFonts w:ascii="Arial" w:hAnsi="Arial" w:cs="Arial"/>
        </w:rPr>
        <w:t>Lazonick</w:t>
      </w:r>
      <w:proofErr w:type="spellEnd"/>
      <w:r w:rsidRPr="00D31929">
        <w:rPr>
          <w:rFonts w:ascii="Arial" w:hAnsi="Arial" w:cs="Arial"/>
        </w:rPr>
        <w:t>, 2024). This strategy allowed Tesla to gain early market leadership and establish a reputation for innovation, despite high initial production costs.</w:t>
      </w:r>
    </w:p>
    <w:p w14:paraId="3D009AA9" w14:textId="77777777" w:rsidR="00D31929" w:rsidRPr="00D31929" w:rsidRDefault="00D31929" w:rsidP="00D31929">
      <w:pPr>
        <w:rPr>
          <w:rFonts w:ascii="Arial" w:hAnsi="Arial" w:cs="Arial"/>
        </w:rPr>
      </w:pPr>
      <w:r w:rsidRPr="00D31929">
        <w:rPr>
          <w:rFonts w:ascii="Arial" w:hAnsi="Arial" w:cs="Arial"/>
          <w:b/>
          <w:bCs/>
        </w:rPr>
        <w:t>Growth Stage: Scaling Up and Market Penetration</w:t>
      </w:r>
    </w:p>
    <w:p w14:paraId="5B3A0B14" w14:textId="77777777" w:rsidR="00D31929" w:rsidRPr="00D31929" w:rsidRDefault="00D31929" w:rsidP="00D31929">
      <w:pPr>
        <w:rPr>
          <w:rFonts w:ascii="Arial" w:hAnsi="Arial" w:cs="Arial"/>
        </w:rPr>
      </w:pPr>
      <w:r w:rsidRPr="00D31929">
        <w:rPr>
          <w:rFonts w:ascii="Arial" w:hAnsi="Arial" w:cs="Arial"/>
        </w:rPr>
        <w:t xml:space="preserve">Once the market accepts the product, pioneers shift their focus to rapid scaling, improving efficiency, and capturing greater market share. This often involves frequent product updates, aggressive marketing, and expansion into new regions (Stayton and </w:t>
      </w:r>
      <w:proofErr w:type="spellStart"/>
      <w:r w:rsidRPr="00D31929">
        <w:rPr>
          <w:rFonts w:ascii="Arial" w:hAnsi="Arial" w:cs="Arial"/>
        </w:rPr>
        <w:t>Mangematin</w:t>
      </w:r>
      <w:proofErr w:type="spellEnd"/>
      <w:r w:rsidRPr="00D31929">
        <w:rPr>
          <w:rFonts w:ascii="Arial" w:hAnsi="Arial" w:cs="Arial"/>
        </w:rPr>
        <w:t>, 2018). Apple’s iPhone exemplifies this strategy. By launching new models every year with improved features, Apple maintains consumer interest and ensures continued revenue growth. Its ability to iterate quickly while maintaining brand exclusivity has solidified its dominance in the smartphone industry.</w:t>
      </w:r>
    </w:p>
    <w:p w14:paraId="5CC7E2E5" w14:textId="77777777" w:rsidR="00D31929" w:rsidRPr="00D31929" w:rsidRDefault="00D31929" w:rsidP="00D31929">
      <w:pPr>
        <w:rPr>
          <w:rFonts w:ascii="Arial" w:hAnsi="Arial" w:cs="Arial"/>
        </w:rPr>
      </w:pPr>
      <w:r w:rsidRPr="00D31929">
        <w:rPr>
          <w:rFonts w:ascii="Arial" w:hAnsi="Arial" w:cs="Arial"/>
          <w:b/>
          <w:bCs/>
        </w:rPr>
        <w:t>Maturity Stage: Brand Loyalty and Differentiation</w:t>
      </w:r>
    </w:p>
    <w:p w14:paraId="7B5842DB" w14:textId="77777777" w:rsidR="00D31929" w:rsidRPr="00D31929" w:rsidRDefault="00D31929" w:rsidP="00D31929">
      <w:pPr>
        <w:rPr>
          <w:rFonts w:ascii="Arial" w:hAnsi="Arial" w:cs="Arial"/>
        </w:rPr>
      </w:pPr>
      <w:r w:rsidRPr="00D31929">
        <w:rPr>
          <w:rFonts w:ascii="Arial" w:hAnsi="Arial" w:cs="Arial"/>
        </w:rPr>
        <w:t xml:space="preserve">In the maturity stage, competition intensifies as more firms enter the market. Pioneers must differentiate themselves through strong branding, technological advancements, and customer loyalty </w:t>
      </w:r>
      <w:proofErr w:type="spellStart"/>
      <w:r w:rsidRPr="00D31929">
        <w:rPr>
          <w:rFonts w:ascii="Arial" w:hAnsi="Arial" w:cs="Arial"/>
        </w:rPr>
        <w:t>programmes</w:t>
      </w:r>
      <w:proofErr w:type="spellEnd"/>
      <w:r w:rsidRPr="00D31929">
        <w:rPr>
          <w:rFonts w:ascii="Arial" w:hAnsi="Arial" w:cs="Arial"/>
        </w:rPr>
        <w:t xml:space="preserve"> to sustain profitability. Nike’s long-term success is rooted in this strategy(Fischer, 2024) By continuously innovating with technologies like </w:t>
      </w:r>
      <w:proofErr w:type="spellStart"/>
      <w:r w:rsidRPr="00D31929">
        <w:rPr>
          <w:rFonts w:ascii="Arial" w:hAnsi="Arial" w:cs="Arial"/>
        </w:rPr>
        <w:t>Flyknit</w:t>
      </w:r>
      <w:proofErr w:type="spellEnd"/>
      <w:r w:rsidRPr="00D31929">
        <w:rPr>
          <w:rFonts w:ascii="Arial" w:hAnsi="Arial" w:cs="Arial"/>
        </w:rPr>
        <w:t xml:space="preserve"> and Air Zoom, and leveraging strong marketing campaigns featuring athletes, Nike has built a brand that remains relevant despite the entry of new competitors.</w:t>
      </w:r>
    </w:p>
    <w:p w14:paraId="0409B955" w14:textId="77777777" w:rsidR="00D31929" w:rsidRPr="00D31929" w:rsidRDefault="00D31929" w:rsidP="00D31929">
      <w:pPr>
        <w:rPr>
          <w:rFonts w:ascii="Arial" w:hAnsi="Arial" w:cs="Arial"/>
        </w:rPr>
      </w:pPr>
      <w:r w:rsidRPr="00D31929">
        <w:rPr>
          <w:rFonts w:ascii="Arial" w:hAnsi="Arial" w:cs="Arial"/>
          <w:b/>
          <w:bCs/>
        </w:rPr>
        <w:t>Decline Stage: Diversification and Adaptation</w:t>
      </w:r>
    </w:p>
    <w:p w14:paraId="0417A968" w14:textId="77777777" w:rsidR="00D31929" w:rsidRPr="00D31929" w:rsidRDefault="00D31929" w:rsidP="00D31929">
      <w:pPr>
        <w:rPr>
          <w:rFonts w:ascii="Arial" w:hAnsi="Arial" w:cs="Arial"/>
        </w:rPr>
      </w:pPr>
      <w:r w:rsidRPr="00D31929">
        <w:rPr>
          <w:rFonts w:ascii="Arial" w:hAnsi="Arial" w:cs="Arial"/>
        </w:rPr>
        <w:t>As products reach the decline stage, pioneers must adapt to shifting market trends, diversify offerings, or transition to new business models. Companies that fail to evolve risk becoming obsolete. A notable example is IBM, which initially focused on hardware manufacturing but pivoted to cloud computing and artificial intelligence services (Peddireddy, 2024). By embracing technological change, IBM remained a major player in the IT sector rather than fading into irrelevance like other early computer manufacturers.</w:t>
      </w:r>
    </w:p>
    <w:p w14:paraId="1ACA9EC0" w14:textId="77777777" w:rsidR="00D31929" w:rsidRPr="00D31929" w:rsidRDefault="00D31929" w:rsidP="00D31929">
      <w:pPr>
        <w:rPr>
          <w:rFonts w:ascii="Arial" w:hAnsi="Arial" w:cs="Arial"/>
          <w:b/>
        </w:rPr>
      </w:pPr>
      <w:bookmarkStart w:id="10" w:name="_Toc193755244"/>
      <w:r w:rsidRPr="00D31929">
        <w:rPr>
          <w:rFonts w:ascii="Arial" w:hAnsi="Arial" w:cs="Arial"/>
          <w:bCs/>
        </w:rPr>
        <w:t>2.3 Product Life Cycle Strategies for Followers</w:t>
      </w:r>
      <w:bookmarkEnd w:id="10"/>
    </w:p>
    <w:p w14:paraId="6A38E66B" w14:textId="77777777" w:rsidR="00D31929" w:rsidRPr="00D31929" w:rsidRDefault="00D31929" w:rsidP="00D31929">
      <w:pPr>
        <w:rPr>
          <w:rFonts w:ascii="Arial" w:hAnsi="Arial" w:cs="Arial"/>
        </w:rPr>
      </w:pPr>
      <w:r w:rsidRPr="00D31929">
        <w:rPr>
          <w:rFonts w:ascii="Arial" w:hAnsi="Arial" w:cs="Arial"/>
        </w:rPr>
        <w:lastRenderedPageBreak/>
        <w:t xml:space="preserve">The market entry point for followers comes after pioneers who utilize the consumer demand to improve their business models by learning from pioneer successes and failures. </w:t>
      </w:r>
      <w:proofErr w:type="spellStart"/>
      <w:r w:rsidRPr="00D31929">
        <w:rPr>
          <w:rFonts w:ascii="Arial" w:hAnsi="Arial" w:cs="Arial"/>
        </w:rPr>
        <w:t>Organisations</w:t>
      </w:r>
      <w:proofErr w:type="spellEnd"/>
      <w:r w:rsidRPr="00D31929">
        <w:rPr>
          <w:rFonts w:ascii="Arial" w:hAnsi="Arial" w:cs="Arial"/>
        </w:rPr>
        <w:t xml:space="preserve"> that adopt the Product Life Cycle (PLC) strategy emphasize cost-efficient processes alongside innovation together with flexibility to preserve continuous expansion over time.</w:t>
      </w:r>
    </w:p>
    <w:p w14:paraId="23EC7954" w14:textId="77777777" w:rsidR="00D31929" w:rsidRPr="00D31929" w:rsidRDefault="00D31929" w:rsidP="00D31929">
      <w:pPr>
        <w:rPr>
          <w:rFonts w:ascii="Arial" w:hAnsi="Arial" w:cs="Arial"/>
        </w:rPr>
      </w:pPr>
      <w:r w:rsidRPr="00D31929">
        <w:rPr>
          <w:rFonts w:ascii="Arial" w:hAnsi="Arial" w:cs="Arial"/>
          <w:b/>
          <w:bCs/>
        </w:rPr>
        <w:t>Introduction Stage: Aggressive Pricing and Market Positioning</w:t>
      </w:r>
    </w:p>
    <w:p w14:paraId="41F758EB" w14:textId="77777777" w:rsidR="00D31929" w:rsidRPr="00D31929" w:rsidRDefault="00D31929" w:rsidP="00D31929">
      <w:pPr>
        <w:rPr>
          <w:rFonts w:ascii="Arial" w:hAnsi="Arial" w:cs="Arial"/>
        </w:rPr>
      </w:pPr>
      <w:r w:rsidRPr="00D31929">
        <w:rPr>
          <w:rFonts w:ascii="Arial" w:hAnsi="Arial" w:cs="Arial"/>
        </w:rPr>
        <w:t>Followers usually launch their products at affordable prices to gain price-sensitive shoppers and expand their market presence. Their primary approach consists of providing competitive substitutes to pioneer products that present themselves as affordable choices (Rajagopal and Rajagopal, 2019). Xiaomi became a leader in mobile smartphone disruption by providing high-end products at substantial discounts compared to Samsung and Apple. Xiaomi reduced distribution expenses through direct online customer sales which enabled the company to maintain competitive pricing while funding new features. Through its aggressive pricing approach, Xiaomi established rapid market growth in India China, and other emerging markets.</w:t>
      </w:r>
    </w:p>
    <w:p w14:paraId="491AFB33" w14:textId="77777777" w:rsidR="00D31929" w:rsidRPr="00D31929" w:rsidRDefault="00D31929" w:rsidP="00D31929">
      <w:pPr>
        <w:rPr>
          <w:rFonts w:ascii="Arial" w:hAnsi="Arial" w:cs="Arial"/>
        </w:rPr>
      </w:pPr>
      <w:r w:rsidRPr="00D31929">
        <w:rPr>
          <w:rFonts w:ascii="Arial" w:hAnsi="Arial" w:cs="Arial"/>
          <w:b/>
          <w:bCs/>
        </w:rPr>
        <w:t>Growth Stage: Competitive Innovation &amp; Feature Enhancement</w:t>
      </w:r>
    </w:p>
    <w:p w14:paraId="2B23A679" w14:textId="77777777" w:rsidR="00D31929" w:rsidRPr="00D31929" w:rsidRDefault="00D31929" w:rsidP="00D31929">
      <w:pPr>
        <w:rPr>
          <w:rFonts w:ascii="Arial" w:hAnsi="Arial" w:cs="Arial"/>
        </w:rPr>
      </w:pPr>
      <w:r w:rsidRPr="00D31929">
        <w:rPr>
          <w:rFonts w:ascii="Arial" w:hAnsi="Arial" w:cs="Arial"/>
        </w:rPr>
        <w:t>After achieving market presence a follower needs to focus on innovation together with differentiation. Followers continue to develop current technologies by adding new features and buying strategic assets while improving user experience and market expansion (Yang and Yang, 2018). Through its acquisition of WhatsApp and Instagram Facebook demonstrated its market follower strategy. The acquisition of platforms by Facebook helped the company solidify its market position while merging new features including Stories as well as improving user engagement. Facebook avoided direct competition with initial movers through the expansion of its network while guaranteeing a lasting position in the digital field.</w:t>
      </w:r>
    </w:p>
    <w:p w14:paraId="11B64CB9" w14:textId="77777777" w:rsidR="00D31929" w:rsidRPr="00D31929" w:rsidRDefault="00D31929" w:rsidP="00D31929">
      <w:pPr>
        <w:rPr>
          <w:rFonts w:ascii="Arial" w:hAnsi="Arial" w:cs="Arial"/>
        </w:rPr>
      </w:pPr>
      <w:r w:rsidRPr="00D31929">
        <w:rPr>
          <w:rFonts w:ascii="Arial" w:hAnsi="Arial" w:cs="Arial"/>
          <w:b/>
          <w:bCs/>
        </w:rPr>
        <w:t>Maturity Stage: Strategic Alliances and Cost Leadership</w:t>
      </w:r>
    </w:p>
    <w:p w14:paraId="19AA03BD" w14:textId="77777777" w:rsidR="00D31929" w:rsidRPr="00D31929" w:rsidRDefault="00D31929" w:rsidP="00D31929">
      <w:pPr>
        <w:rPr>
          <w:rFonts w:ascii="Arial" w:hAnsi="Arial" w:cs="Arial"/>
        </w:rPr>
      </w:pPr>
      <w:r w:rsidRPr="00D31929">
        <w:rPr>
          <w:rFonts w:ascii="Arial" w:hAnsi="Arial" w:cs="Arial"/>
        </w:rPr>
        <w:t>During the maturity stage, followers must sustain profitability despite increased competition. Strategies include cost leadership, operational efficiency, and forming strategic partnerships to expand market access. Netflix’s partnerships with telecom providers illustrate this approach. By collaborating with mobile carriers and broadband companies, Netflix gained direct access to millions of potential subscribers (Netflix, 2023). These alliances helped Netflix reduce customer acquisition costs and maintain a competitive edge against traditional broadcasters and new streaming competitors.</w:t>
      </w:r>
    </w:p>
    <w:p w14:paraId="2A5E3BC9" w14:textId="77777777" w:rsidR="00D31929" w:rsidRPr="00D31929" w:rsidRDefault="00D31929" w:rsidP="00D31929">
      <w:pPr>
        <w:rPr>
          <w:rFonts w:ascii="Arial" w:hAnsi="Arial" w:cs="Arial"/>
        </w:rPr>
      </w:pPr>
      <w:r w:rsidRPr="00D31929">
        <w:rPr>
          <w:rFonts w:ascii="Arial" w:hAnsi="Arial" w:cs="Arial"/>
          <w:b/>
          <w:bCs/>
        </w:rPr>
        <w:t>Decline Stage: Reinvention and Market Exit Strategies</w:t>
      </w:r>
    </w:p>
    <w:p w14:paraId="7C28447D" w14:textId="77777777" w:rsidR="00D31929" w:rsidRPr="00D31929" w:rsidRDefault="00D31929" w:rsidP="00D31929">
      <w:pPr>
        <w:rPr>
          <w:rFonts w:ascii="Arial" w:hAnsi="Arial" w:cs="Arial"/>
        </w:rPr>
      </w:pPr>
      <w:r w:rsidRPr="00D31929">
        <w:rPr>
          <w:rFonts w:ascii="Arial" w:hAnsi="Arial" w:cs="Arial"/>
        </w:rPr>
        <w:t xml:space="preserve">During the decline stage of a product followers need to determine between altering their approach to the market by pivoting or exiting the market entirely. </w:t>
      </w:r>
      <w:proofErr w:type="spellStart"/>
      <w:r w:rsidRPr="00D31929">
        <w:rPr>
          <w:rFonts w:ascii="Arial" w:hAnsi="Arial" w:cs="Arial"/>
        </w:rPr>
        <w:t>Organisations</w:t>
      </w:r>
      <w:proofErr w:type="spellEnd"/>
      <w:r w:rsidRPr="00D31929">
        <w:rPr>
          <w:rFonts w:ascii="Arial" w:hAnsi="Arial" w:cs="Arial"/>
        </w:rPr>
        <w:t xml:space="preserve"> that </w:t>
      </w:r>
      <w:r w:rsidRPr="00D31929">
        <w:rPr>
          <w:rFonts w:ascii="Arial" w:hAnsi="Arial" w:cs="Arial"/>
        </w:rPr>
        <w:lastRenderedPageBreak/>
        <w:t xml:space="preserve">ignore industrial changes are destined to lose their market standing and financial performance. The B2B network solutions transition made by Nokia serves as a fundamental case in point. Nokia shifted its operations to network infrastructure and 5G technology after Apple and Android captured the smartphone market share (Katajisto and </w:t>
      </w:r>
      <w:proofErr w:type="spellStart"/>
      <w:r w:rsidRPr="00D31929">
        <w:rPr>
          <w:rFonts w:ascii="Arial" w:hAnsi="Arial" w:cs="Arial"/>
        </w:rPr>
        <w:t>Kivilä</w:t>
      </w:r>
      <w:proofErr w:type="spellEnd"/>
      <w:r w:rsidRPr="00D31929">
        <w:rPr>
          <w:rFonts w:ascii="Arial" w:hAnsi="Arial" w:cs="Arial"/>
        </w:rPr>
        <w:t>, 2023). The decision to concentrate on the telecommunications business maintained Nokia's position as an industry-important company instead of disappearing from the market. Followers who implement adaptive strategies throughout the PLC can effectively challenge pioneers and maintain long-term market success.</w:t>
      </w:r>
    </w:p>
    <w:p w14:paraId="2FD871A3" w14:textId="77777777" w:rsidR="00D31929" w:rsidRPr="00D31929" w:rsidRDefault="00D31929" w:rsidP="00D31929">
      <w:pPr>
        <w:rPr>
          <w:rFonts w:ascii="Arial" w:hAnsi="Arial" w:cs="Arial"/>
          <w:b/>
        </w:rPr>
      </w:pPr>
      <w:bookmarkStart w:id="11" w:name="_Toc193755245"/>
      <w:r w:rsidRPr="00D31929">
        <w:rPr>
          <w:rFonts w:ascii="Arial" w:hAnsi="Arial" w:cs="Arial"/>
          <w:bCs/>
        </w:rPr>
        <w:t>2.4 Comparative Analysis of Pioneer vs. Follower PLC Strategies</w:t>
      </w:r>
      <w:bookmarkEnd w:id="11"/>
    </w:p>
    <w:p w14:paraId="1D8C485E" w14:textId="77777777" w:rsidR="00D31929" w:rsidRPr="00D31929" w:rsidRDefault="00D31929" w:rsidP="00D31929">
      <w:pPr>
        <w:rPr>
          <w:rFonts w:ascii="Arial" w:hAnsi="Arial" w:cs="Arial"/>
          <w:i/>
          <w:iCs/>
        </w:rPr>
      </w:pPr>
      <w:r w:rsidRPr="00D31929">
        <w:rPr>
          <w:rFonts w:ascii="Arial" w:hAnsi="Arial" w:cs="Arial"/>
        </w:rPr>
        <w:t>Pioneers and followers implement Product Life Cycle strategies that vary substantially because of their contrasting approaches to market entry and their different methods of risk mitigation and future business success. Different strategies for pioneers and followers are compared within the Product Life Cycle through this table.</w:t>
      </w:r>
    </w:p>
    <w:p w14:paraId="29C102EF" w14:textId="77777777" w:rsidR="00D31929" w:rsidRPr="00D31929" w:rsidRDefault="00D31929" w:rsidP="00D31929">
      <w:pPr>
        <w:rPr>
          <w:rFonts w:ascii="Arial" w:hAnsi="Arial" w:cs="Arial"/>
          <w:i/>
          <w:iCs/>
        </w:rPr>
      </w:pPr>
      <w:r w:rsidRPr="00D31929">
        <w:rPr>
          <w:rFonts w:ascii="Arial" w:hAnsi="Arial" w:cs="Arial"/>
          <w:i/>
          <w:iCs/>
        </w:rPr>
        <w:t xml:space="preserve">Table </w:t>
      </w:r>
      <w:r w:rsidRPr="00D31929">
        <w:rPr>
          <w:rFonts w:ascii="Arial" w:hAnsi="Arial" w:cs="Arial"/>
          <w:i/>
          <w:iCs/>
        </w:rPr>
        <w:fldChar w:fldCharType="begin"/>
      </w:r>
      <w:r w:rsidRPr="00D31929">
        <w:rPr>
          <w:rFonts w:ascii="Arial" w:hAnsi="Arial" w:cs="Arial"/>
          <w:i/>
          <w:iCs/>
        </w:rPr>
        <w:instrText xml:space="preserve"> SEQ Table \* ARABIC </w:instrText>
      </w:r>
      <w:r w:rsidRPr="00D31929">
        <w:rPr>
          <w:rFonts w:ascii="Arial" w:hAnsi="Arial" w:cs="Arial"/>
          <w:i/>
          <w:iCs/>
        </w:rPr>
        <w:fldChar w:fldCharType="separate"/>
      </w:r>
      <w:r w:rsidRPr="00D31929">
        <w:rPr>
          <w:rFonts w:ascii="Arial" w:hAnsi="Arial" w:cs="Arial"/>
          <w:i/>
          <w:iCs/>
        </w:rPr>
        <w:t>1</w:t>
      </w:r>
      <w:r w:rsidRPr="00D31929">
        <w:rPr>
          <w:rFonts w:ascii="Arial" w:hAnsi="Arial" w:cs="Arial"/>
        </w:rPr>
        <w:fldChar w:fldCharType="end"/>
      </w:r>
      <w:r w:rsidRPr="00D31929">
        <w:rPr>
          <w:rFonts w:ascii="Arial" w:hAnsi="Arial" w:cs="Arial"/>
          <w:i/>
          <w:iCs/>
        </w:rPr>
        <w:t>: Comparison of Pioneer vs. Follower Strategies Across Product Life Cycle Stages</w:t>
      </w:r>
    </w:p>
    <w:tbl>
      <w:tblPr>
        <w:tblStyle w:val="GridTable1Light-Accent5"/>
        <w:tblW w:w="0" w:type="auto"/>
        <w:tblLook w:val="04A0" w:firstRow="1" w:lastRow="0" w:firstColumn="1" w:lastColumn="0" w:noHBand="0" w:noVBand="1"/>
      </w:tblPr>
      <w:tblGrid>
        <w:gridCol w:w="1616"/>
        <w:gridCol w:w="3657"/>
        <w:gridCol w:w="4077"/>
      </w:tblGrid>
      <w:tr w:rsidR="00D31929" w:rsidRPr="00D31929" w14:paraId="573348A2" w14:textId="77777777" w:rsidTr="00D319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E59EDC" w:themeColor="accent5" w:themeTint="66"/>
              <w:left w:val="single" w:sz="4" w:space="0" w:color="E59EDC" w:themeColor="accent5" w:themeTint="66"/>
              <w:right w:val="single" w:sz="4" w:space="0" w:color="E59EDC" w:themeColor="accent5" w:themeTint="66"/>
            </w:tcBorders>
            <w:hideMark/>
          </w:tcPr>
          <w:p w14:paraId="6C9A5AEC" w14:textId="77777777" w:rsidR="00D31929" w:rsidRPr="00D31929" w:rsidRDefault="00D31929" w:rsidP="00D31929">
            <w:pPr>
              <w:spacing w:after="160" w:line="278" w:lineRule="auto"/>
              <w:rPr>
                <w:rFonts w:ascii="Arial" w:hAnsi="Arial" w:cs="Arial"/>
              </w:rPr>
            </w:pPr>
            <w:r w:rsidRPr="00D31929">
              <w:rPr>
                <w:rFonts w:ascii="Arial" w:hAnsi="Arial" w:cs="Arial"/>
              </w:rPr>
              <w:t>PLC Stage</w:t>
            </w:r>
          </w:p>
        </w:tc>
        <w:tc>
          <w:tcPr>
            <w:tcW w:w="0" w:type="auto"/>
            <w:tcBorders>
              <w:top w:val="single" w:sz="4" w:space="0" w:color="E59EDC" w:themeColor="accent5" w:themeTint="66"/>
              <w:left w:val="single" w:sz="4" w:space="0" w:color="E59EDC" w:themeColor="accent5" w:themeTint="66"/>
              <w:right w:val="single" w:sz="4" w:space="0" w:color="E59EDC" w:themeColor="accent5" w:themeTint="66"/>
            </w:tcBorders>
            <w:hideMark/>
          </w:tcPr>
          <w:p w14:paraId="789EF03D" w14:textId="77777777" w:rsidR="00D31929" w:rsidRPr="00D31929" w:rsidRDefault="00D31929" w:rsidP="00D31929">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D31929">
              <w:rPr>
                <w:rFonts w:ascii="Arial" w:hAnsi="Arial" w:cs="Arial"/>
              </w:rPr>
              <w:t>Pioneers</w:t>
            </w:r>
          </w:p>
        </w:tc>
        <w:tc>
          <w:tcPr>
            <w:tcW w:w="0" w:type="auto"/>
            <w:tcBorders>
              <w:top w:val="single" w:sz="4" w:space="0" w:color="E59EDC" w:themeColor="accent5" w:themeTint="66"/>
              <w:left w:val="single" w:sz="4" w:space="0" w:color="E59EDC" w:themeColor="accent5" w:themeTint="66"/>
              <w:right w:val="single" w:sz="4" w:space="0" w:color="E59EDC" w:themeColor="accent5" w:themeTint="66"/>
            </w:tcBorders>
            <w:hideMark/>
          </w:tcPr>
          <w:p w14:paraId="04735291" w14:textId="77777777" w:rsidR="00D31929" w:rsidRPr="00D31929" w:rsidRDefault="00D31929" w:rsidP="00D31929">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D31929">
              <w:rPr>
                <w:rFonts w:ascii="Arial" w:hAnsi="Arial" w:cs="Arial"/>
              </w:rPr>
              <w:t>Followers</w:t>
            </w:r>
          </w:p>
        </w:tc>
      </w:tr>
      <w:tr w:rsidR="00D31929" w:rsidRPr="00D31929" w14:paraId="5F55ECB7" w14:textId="77777777" w:rsidTr="00D31929">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tcBorders>
            <w:hideMark/>
          </w:tcPr>
          <w:p w14:paraId="65766563" w14:textId="77777777" w:rsidR="00D31929" w:rsidRPr="00D31929" w:rsidRDefault="00D31929" w:rsidP="00D31929">
            <w:pPr>
              <w:spacing w:after="160" w:line="278" w:lineRule="auto"/>
              <w:rPr>
                <w:rFonts w:ascii="Arial" w:hAnsi="Arial" w:cs="Arial"/>
              </w:rPr>
            </w:pPr>
            <w:r w:rsidRPr="00D31929">
              <w:rPr>
                <w:rFonts w:ascii="Arial" w:hAnsi="Arial" w:cs="Arial"/>
              </w:rPr>
              <w:t>Introduction</w:t>
            </w:r>
          </w:p>
        </w:tc>
        <w:tc>
          <w:tcPr>
            <w:tcW w:w="0" w:type="auto"/>
            <w:tc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tcBorders>
            <w:hideMark/>
          </w:tcPr>
          <w:p w14:paraId="0A1C6E72" w14:textId="77777777" w:rsidR="00D31929" w:rsidRPr="00D31929" w:rsidRDefault="00D31929" w:rsidP="00D31929">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31929">
              <w:rPr>
                <w:rFonts w:ascii="Arial" w:hAnsi="Arial" w:cs="Arial"/>
              </w:rPr>
              <w:t>High R&amp;D investment, market creation</w:t>
            </w:r>
          </w:p>
        </w:tc>
        <w:tc>
          <w:tcPr>
            <w:tcW w:w="0" w:type="auto"/>
            <w:tc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tcBorders>
            <w:hideMark/>
          </w:tcPr>
          <w:p w14:paraId="7FC5B8F8" w14:textId="77777777" w:rsidR="00D31929" w:rsidRPr="00D31929" w:rsidRDefault="00D31929" w:rsidP="00D31929">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31929">
              <w:rPr>
                <w:rFonts w:ascii="Arial" w:hAnsi="Arial" w:cs="Arial"/>
              </w:rPr>
              <w:t>Aggressive pricing, market positioning</w:t>
            </w:r>
          </w:p>
        </w:tc>
      </w:tr>
      <w:tr w:rsidR="00D31929" w:rsidRPr="00D31929" w14:paraId="2E58886B" w14:textId="77777777" w:rsidTr="00D31929">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tcBorders>
            <w:hideMark/>
          </w:tcPr>
          <w:p w14:paraId="7E671499" w14:textId="77777777" w:rsidR="00D31929" w:rsidRPr="00D31929" w:rsidRDefault="00D31929" w:rsidP="00D31929">
            <w:pPr>
              <w:spacing w:after="160" w:line="278" w:lineRule="auto"/>
              <w:rPr>
                <w:rFonts w:ascii="Arial" w:hAnsi="Arial" w:cs="Arial"/>
              </w:rPr>
            </w:pPr>
            <w:r w:rsidRPr="00D31929">
              <w:rPr>
                <w:rFonts w:ascii="Arial" w:hAnsi="Arial" w:cs="Arial"/>
              </w:rPr>
              <w:t>Growth</w:t>
            </w:r>
          </w:p>
        </w:tc>
        <w:tc>
          <w:tcPr>
            <w:tcW w:w="0" w:type="auto"/>
            <w:tc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tcBorders>
            <w:hideMark/>
          </w:tcPr>
          <w:p w14:paraId="538E35E8" w14:textId="77777777" w:rsidR="00D31929" w:rsidRPr="00D31929" w:rsidRDefault="00D31929" w:rsidP="00D31929">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31929">
              <w:rPr>
                <w:rFonts w:ascii="Arial" w:hAnsi="Arial" w:cs="Arial"/>
              </w:rPr>
              <w:t>Innovation and brand loyalty</w:t>
            </w:r>
          </w:p>
        </w:tc>
        <w:tc>
          <w:tcPr>
            <w:tcW w:w="0" w:type="auto"/>
            <w:tc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tcBorders>
            <w:hideMark/>
          </w:tcPr>
          <w:p w14:paraId="11B6D6BB" w14:textId="77777777" w:rsidR="00D31929" w:rsidRPr="00D31929" w:rsidRDefault="00D31929" w:rsidP="00D31929">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31929">
              <w:rPr>
                <w:rFonts w:ascii="Arial" w:hAnsi="Arial" w:cs="Arial"/>
              </w:rPr>
              <w:t>Competitive innovation, feature enhancement</w:t>
            </w:r>
          </w:p>
        </w:tc>
      </w:tr>
      <w:tr w:rsidR="00D31929" w:rsidRPr="00D31929" w14:paraId="68D80341" w14:textId="77777777" w:rsidTr="00D31929">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tcBorders>
            <w:hideMark/>
          </w:tcPr>
          <w:p w14:paraId="15764B76" w14:textId="77777777" w:rsidR="00D31929" w:rsidRPr="00D31929" w:rsidRDefault="00D31929" w:rsidP="00D31929">
            <w:pPr>
              <w:spacing w:after="160" w:line="278" w:lineRule="auto"/>
              <w:rPr>
                <w:rFonts w:ascii="Arial" w:hAnsi="Arial" w:cs="Arial"/>
              </w:rPr>
            </w:pPr>
            <w:r w:rsidRPr="00D31929">
              <w:rPr>
                <w:rFonts w:ascii="Arial" w:hAnsi="Arial" w:cs="Arial"/>
              </w:rPr>
              <w:t>Maturity</w:t>
            </w:r>
          </w:p>
        </w:tc>
        <w:tc>
          <w:tcPr>
            <w:tcW w:w="0" w:type="auto"/>
            <w:tc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tcBorders>
            <w:hideMark/>
          </w:tcPr>
          <w:p w14:paraId="7639B87E" w14:textId="77777777" w:rsidR="00D31929" w:rsidRPr="00D31929" w:rsidRDefault="00D31929" w:rsidP="00D31929">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31929">
              <w:rPr>
                <w:rFonts w:ascii="Arial" w:hAnsi="Arial" w:cs="Arial"/>
              </w:rPr>
              <w:t>Market dominance, brand differentiation</w:t>
            </w:r>
          </w:p>
        </w:tc>
        <w:tc>
          <w:tcPr>
            <w:tcW w:w="0" w:type="auto"/>
            <w:tc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tcBorders>
            <w:hideMark/>
          </w:tcPr>
          <w:p w14:paraId="1F67B6AE" w14:textId="77777777" w:rsidR="00D31929" w:rsidRPr="00D31929" w:rsidRDefault="00D31929" w:rsidP="00D31929">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31929">
              <w:rPr>
                <w:rFonts w:ascii="Arial" w:hAnsi="Arial" w:cs="Arial"/>
              </w:rPr>
              <w:t>Strategic alliances, cost leadership</w:t>
            </w:r>
          </w:p>
        </w:tc>
      </w:tr>
      <w:tr w:rsidR="00D31929" w:rsidRPr="00D31929" w14:paraId="13F010F0" w14:textId="77777777" w:rsidTr="00D31929">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tcBorders>
            <w:hideMark/>
          </w:tcPr>
          <w:p w14:paraId="4201D0D8" w14:textId="77777777" w:rsidR="00D31929" w:rsidRPr="00D31929" w:rsidRDefault="00D31929" w:rsidP="00D31929">
            <w:pPr>
              <w:spacing w:after="160" w:line="278" w:lineRule="auto"/>
              <w:rPr>
                <w:rFonts w:ascii="Arial" w:hAnsi="Arial" w:cs="Arial"/>
              </w:rPr>
            </w:pPr>
            <w:r w:rsidRPr="00D31929">
              <w:rPr>
                <w:rFonts w:ascii="Arial" w:hAnsi="Arial" w:cs="Arial"/>
              </w:rPr>
              <w:t>Decline</w:t>
            </w:r>
          </w:p>
        </w:tc>
        <w:tc>
          <w:tcPr>
            <w:tcW w:w="0" w:type="auto"/>
            <w:tc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tcBorders>
            <w:hideMark/>
          </w:tcPr>
          <w:p w14:paraId="5AB5CE73" w14:textId="77777777" w:rsidR="00D31929" w:rsidRPr="00D31929" w:rsidRDefault="00D31929" w:rsidP="00D31929">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31929">
              <w:rPr>
                <w:rFonts w:ascii="Arial" w:hAnsi="Arial" w:cs="Arial"/>
              </w:rPr>
              <w:t>Diversification or exit strategies</w:t>
            </w:r>
          </w:p>
        </w:tc>
        <w:tc>
          <w:tcPr>
            <w:tcW w:w="0" w:type="auto"/>
            <w:tc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tcBorders>
            <w:hideMark/>
          </w:tcPr>
          <w:p w14:paraId="0BBE05C5" w14:textId="77777777" w:rsidR="00D31929" w:rsidRPr="00D31929" w:rsidRDefault="00D31929" w:rsidP="00D31929">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31929">
              <w:rPr>
                <w:rFonts w:ascii="Arial" w:hAnsi="Arial" w:cs="Arial"/>
              </w:rPr>
              <w:t>Reinvention or market exit strategies</w:t>
            </w:r>
          </w:p>
        </w:tc>
      </w:tr>
    </w:tbl>
    <w:p w14:paraId="7BC68DC4" w14:textId="77777777" w:rsidR="00D31929" w:rsidRPr="00D31929" w:rsidRDefault="00D31929" w:rsidP="00D31929">
      <w:pPr>
        <w:rPr>
          <w:rFonts w:ascii="Arial" w:hAnsi="Arial" w:cs="Arial"/>
        </w:rPr>
      </w:pPr>
    </w:p>
    <w:p w14:paraId="0B399C75" w14:textId="77777777" w:rsidR="00D31929" w:rsidRPr="00D31929" w:rsidRDefault="00D31929" w:rsidP="00D31929">
      <w:pPr>
        <w:rPr>
          <w:rFonts w:ascii="Arial" w:hAnsi="Arial" w:cs="Arial"/>
        </w:rPr>
      </w:pPr>
      <w:r w:rsidRPr="00D31929">
        <w:rPr>
          <w:rFonts w:ascii="Arial" w:hAnsi="Arial" w:cs="Arial"/>
        </w:rPr>
        <w:t xml:space="preserve">How pioneers and followers move through each Product Life Cycle (PLC) stage is laid out in the table. R&amp;D and market creation are high investments by pioneers while followers focus on pricing and positioning. </w:t>
      </w:r>
      <w:proofErr w:type="spellStart"/>
      <w:r w:rsidRPr="00D31929">
        <w:rPr>
          <w:rFonts w:ascii="Arial" w:hAnsi="Arial" w:cs="Arial"/>
        </w:rPr>
        <w:t>Pioncers</w:t>
      </w:r>
      <w:proofErr w:type="spellEnd"/>
      <w:r w:rsidRPr="00D31929">
        <w:rPr>
          <w:rFonts w:ascii="Arial" w:hAnsi="Arial" w:cs="Arial"/>
        </w:rPr>
        <w:t xml:space="preserve"> create brand loyalty and followers improve features. In maturity, cost strategies are dominant; and the followers piggyback on the pioneers. In decline the two adapt or exit.</w:t>
      </w:r>
    </w:p>
    <w:p w14:paraId="3C33D88C" w14:textId="77777777" w:rsidR="00D31929" w:rsidRPr="00D31929" w:rsidRDefault="00D31929" w:rsidP="00D31929">
      <w:pPr>
        <w:rPr>
          <w:rFonts w:ascii="Arial" w:hAnsi="Arial" w:cs="Arial"/>
        </w:rPr>
      </w:pPr>
    </w:p>
    <w:p w14:paraId="2C073480" w14:textId="77777777" w:rsidR="00D31929" w:rsidRPr="00D31929" w:rsidRDefault="00D31929" w:rsidP="00D31929">
      <w:pPr>
        <w:rPr>
          <w:rFonts w:ascii="Arial" w:hAnsi="Arial" w:cs="Arial"/>
        </w:rPr>
      </w:pPr>
    </w:p>
    <w:p w14:paraId="2B75CA79" w14:textId="77777777" w:rsidR="00D31929" w:rsidRPr="00D31929" w:rsidRDefault="00D31929" w:rsidP="00D31929">
      <w:pPr>
        <w:rPr>
          <w:rFonts w:ascii="Arial" w:hAnsi="Arial" w:cs="Arial"/>
        </w:rPr>
      </w:pPr>
    </w:p>
    <w:p w14:paraId="60E551BB" w14:textId="77777777" w:rsidR="00D31929" w:rsidRPr="00D31929" w:rsidRDefault="00D31929" w:rsidP="00D31929">
      <w:pPr>
        <w:rPr>
          <w:rFonts w:ascii="Arial" w:hAnsi="Arial" w:cs="Arial"/>
        </w:rPr>
      </w:pPr>
    </w:p>
    <w:p w14:paraId="587D619A" w14:textId="77777777" w:rsidR="00D31929" w:rsidRPr="00D31929" w:rsidRDefault="00D31929" w:rsidP="00D31929">
      <w:pPr>
        <w:rPr>
          <w:rFonts w:ascii="Arial" w:hAnsi="Arial" w:cs="Arial"/>
        </w:rPr>
      </w:pPr>
    </w:p>
    <w:p w14:paraId="5D1635A6" w14:textId="77777777" w:rsidR="00D31929" w:rsidRPr="00D31929" w:rsidRDefault="00D31929" w:rsidP="00D31929">
      <w:pPr>
        <w:rPr>
          <w:rFonts w:ascii="Arial" w:hAnsi="Arial" w:cs="Arial"/>
          <w:b/>
        </w:rPr>
      </w:pPr>
      <w:bookmarkStart w:id="12" w:name="_Toc193755246"/>
      <w:r w:rsidRPr="00D31929">
        <w:rPr>
          <w:rFonts w:ascii="Arial" w:hAnsi="Arial" w:cs="Arial"/>
          <w:b/>
        </w:rPr>
        <w:t>Conclusion</w:t>
      </w:r>
      <w:bookmarkEnd w:id="12"/>
    </w:p>
    <w:p w14:paraId="3814FFF1" w14:textId="77777777" w:rsidR="00D31929" w:rsidRPr="00D31929" w:rsidRDefault="00D31929" w:rsidP="00D31929">
      <w:pPr>
        <w:rPr>
          <w:rFonts w:ascii="Arial" w:hAnsi="Arial" w:cs="Arial"/>
        </w:rPr>
      </w:pPr>
      <w:r w:rsidRPr="00D31929">
        <w:rPr>
          <w:rFonts w:ascii="Arial" w:hAnsi="Arial" w:cs="Arial"/>
        </w:rPr>
        <w:t xml:space="preserve">Pioneer and follower strategies are advantageous and disadvantageous in different ways. It is the winners, those who become pioneers - not only with strong brand and differentiation but power in the technology arena that win, but they also incur high R&amp;D costs and uncertain markets that will challenge us. These risks are avoided by followers who capitalize on two benefits of pioneers’ mistakes and established markets but struggle with differentiation. PLC strategies help in market entry, growth, maturity, and decline management. A company must decide its approach—pioneers would innovate and cost-conscious firms would adopt the following model—in a manner guided by a judgment of market conditions and resources. PLC strategies must adapt to the market trends for competitiveness. Market entry will become more precise and efficient with refined technologies and AI. It’s critical to Data-Driven marketing for survival because consumer insights and product </w:t>
      </w:r>
      <w:proofErr w:type="spellStart"/>
      <w:r w:rsidRPr="00D31929">
        <w:rPr>
          <w:rFonts w:ascii="Arial" w:hAnsi="Arial" w:cs="Arial"/>
        </w:rPr>
        <w:t>optimisation</w:t>
      </w:r>
      <w:proofErr w:type="spellEnd"/>
      <w:r w:rsidRPr="00D31929">
        <w:rPr>
          <w:rFonts w:ascii="Arial" w:hAnsi="Arial" w:cs="Arial"/>
        </w:rPr>
        <w:t xml:space="preserve"> happen throughout the lifecycle, Plasma cycle (PLC). To lead the market, the companies must be agile.</w:t>
      </w:r>
    </w:p>
    <w:p w14:paraId="18AB83D7" w14:textId="77777777" w:rsidR="00D31929" w:rsidRPr="00D31929" w:rsidRDefault="00D31929" w:rsidP="00D31929">
      <w:pPr>
        <w:rPr>
          <w:rFonts w:ascii="Arial" w:hAnsi="Arial" w:cs="Arial"/>
        </w:rPr>
      </w:pPr>
    </w:p>
    <w:p w14:paraId="06ED86EE" w14:textId="77777777" w:rsidR="00D31929" w:rsidRPr="00D31929" w:rsidRDefault="00D31929" w:rsidP="00D31929">
      <w:pPr>
        <w:rPr>
          <w:rFonts w:ascii="Arial" w:hAnsi="Arial" w:cs="Arial"/>
        </w:rPr>
      </w:pPr>
    </w:p>
    <w:p w14:paraId="615E184C" w14:textId="77777777" w:rsidR="00D31929" w:rsidRPr="00D31929" w:rsidRDefault="00D31929" w:rsidP="00D31929">
      <w:pPr>
        <w:rPr>
          <w:rFonts w:ascii="Arial" w:hAnsi="Arial" w:cs="Arial"/>
        </w:rPr>
      </w:pPr>
    </w:p>
    <w:p w14:paraId="71D71285" w14:textId="77777777" w:rsidR="00D31929" w:rsidRPr="00D31929" w:rsidRDefault="00D31929" w:rsidP="00D31929">
      <w:pPr>
        <w:rPr>
          <w:rFonts w:ascii="Arial" w:hAnsi="Arial" w:cs="Arial"/>
        </w:rPr>
      </w:pPr>
    </w:p>
    <w:p w14:paraId="62EE5C45" w14:textId="77777777" w:rsidR="00D31929" w:rsidRPr="00D31929" w:rsidRDefault="00D31929" w:rsidP="00D31929">
      <w:pPr>
        <w:rPr>
          <w:rFonts w:ascii="Arial" w:hAnsi="Arial" w:cs="Arial"/>
        </w:rPr>
      </w:pPr>
    </w:p>
    <w:p w14:paraId="6D56A8E4" w14:textId="77777777" w:rsidR="00D31929" w:rsidRPr="00D31929" w:rsidRDefault="00D31929" w:rsidP="00D31929">
      <w:pPr>
        <w:rPr>
          <w:rFonts w:ascii="Arial" w:hAnsi="Arial" w:cs="Arial"/>
        </w:rPr>
      </w:pPr>
    </w:p>
    <w:p w14:paraId="309A2D43" w14:textId="77777777" w:rsidR="00D31929" w:rsidRPr="00D31929" w:rsidRDefault="00D31929" w:rsidP="00D31929">
      <w:pPr>
        <w:rPr>
          <w:rFonts w:ascii="Arial" w:hAnsi="Arial" w:cs="Arial"/>
          <w:b/>
        </w:rPr>
      </w:pPr>
      <w:r w:rsidRPr="00D31929">
        <w:rPr>
          <w:rFonts w:ascii="Arial" w:hAnsi="Arial" w:cs="Arial"/>
        </w:rPr>
        <w:br w:type="page"/>
      </w:r>
    </w:p>
    <w:p w14:paraId="25C735B0" w14:textId="77777777" w:rsidR="00D31929" w:rsidRPr="00D31929" w:rsidRDefault="00D31929" w:rsidP="00D31929">
      <w:pPr>
        <w:rPr>
          <w:rFonts w:ascii="Arial" w:hAnsi="Arial" w:cs="Arial"/>
          <w:b/>
        </w:rPr>
      </w:pPr>
      <w:bookmarkStart w:id="13" w:name="_Toc193755247"/>
      <w:r w:rsidRPr="00D31929">
        <w:rPr>
          <w:rFonts w:ascii="Arial" w:hAnsi="Arial" w:cs="Arial"/>
          <w:b/>
        </w:rPr>
        <w:lastRenderedPageBreak/>
        <w:t>References</w:t>
      </w:r>
      <w:bookmarkEnd w:id="13"/>
    </w:p>
    <w:p w14:paraId="66636C50" w14:textId="77777777" w:rsidR="00D31929" w:rsidRPr="00D31929" w:rsidRDefault="00D31929" w:rsidP="00D31929">
      <w:pPr>
        <w:rPr>
          <w:rFonts w:ascii="Arial" w:hAnsi="Arial" w:cs="Arial"/>
        </w:rPr>
      </w:pPr>
      <w:r w:rsidRPr="00D31929">
        <w:rPr>
          <w:rFonts w:ascii="Arial" w:hAnsi="Arial" w:cs="Arial"/>
        </w:rPr>
        <w:t xml:space="preserve">Apple Scoop (2024). </w:t>
      </w:r>
      <w:r w:rsidRPr="00D31929">
        <w:rPr>
          <w:rFonts w:ascii="Arial" w:hAnsi="Arial" w:cs="Arial"/>
          <w:i/>
          <w:iCs/>
        </w:rPr>
        <w:t>Xerox PARC Explained: How It Shaped Today’s Technology</w:t>
      </w:r>
      <w:r w:rsidRPr="00D31929">
        <w:rPr>
          <w:rFonts w:ascii="Arial" w:hAnsi="Arial" w:cs="Arial"/>
        </w:rPr>
        <w:t>. [online] Applescoop.org. Available at: https://applescoop.org/story/xerox-parc-explained-how-it-shaped-todays-technology#google_vignette [Accessed 13 Mar. 2025].</w:t>
      </w:r>
    </w:p>
    <w:p w14:paraId="0F3F2EEE" w14:textId="77777777" w:rsidR="00D31929" w:rsidRPr="00D31929" w:rsidRDefault="00D31929" w:rsidP="00D31929">
      <w:pPr>
        <w:rPr>
          <w:rFonts w:ascii="Arial" w:hAnsi="Arial" w:cs="Arial"/>
        </w:rPr>
      </w:pPr>
      <w:r w:rsidRPr="00D31929">
        <w:rPr>
          <w:rFonts w:ascii="Arial" w:hAnsi="Arial" w:cs="Arial"/>
        </w:rPr>
        <w:t xml:space="preserve">Bagozzi, R.P. and Coronel, F. (2021). </w:t>
      </w:r>
      <w:r w:rsidRPr="00D31929">
        <w:rPr>
          <w:rFonts w:ascii="Arial" w:hAnsi="Arial" w:cs="Arial"/>
          <w:i/>
          <w:iCs/>
        </w:rPr>
        <w:t>Marketing management</w:t>
      </w:r>
      <w:r w:rsidRPr="00D31929">
        <w:rPr>
          <w:rFonts w:ascii="Arial" w:hAnsi="Arial" w:cs="Arial"/>
        </w:rPr>
        <w:t>. Upper Saddle River, N.J.: Prentice Hall.</w:t>
      </w:r>
    </w:p>
    <w:p w14:paraId="05F8093A" w14:textId="77777777" w:rsidR="00D31929" w:rsidRPr="00D31929" w:rsidRDefault="00D31929" w:rsidP="00D31929">
      <w:pPr>
        <w:rPr>
          <w:rFonts w:ascii="Arial" w:hAnsi="Arial" w:cs="Arial"/>
        </w:rPr>
      </w:pPr>
      <w:r w:rsidRPr="00D31929">
        <w:rPr>
          <w:rFonts w:ascii="Arial" w:hAnsi="Arial" w:cs="Arial"/>
        </w:rPr>
        <w:t xml:space="preserve">Barry, K. (2022). </w:t>
      </w:r>
      <w:r w:rsidRPr="00D31929">
        <w:rPr>
          <w:rFonts w:ascii="Arial" w:hAnsi="Arial" w:cs="Arial"/>
          <w:i/>
          <w:iCs/>
        </w:rPr>
        <w:t>How the Tesla Model S Changed the World</w:t>
      </w:r>
      <w:r w:rsidRPr="00D31929">
        <w:rPr>
          <w:rFonts w:ascii="Arial" w:hAnsi="Arial" w:cs="Arial"/>
        </w:rPr>
        <w:t>. [online] Consumer Reports. Available at: https://www.consumerreports.org/cars/hybrids-evs/how-the-tesla-model-s-changed-the-world-a7291465820/.</w:t>
      </w:r>
    </w:p>
    <w:p w14:paraId="1786A25B" w14:textId="77777777" w:rsidR="00D31929" w:rsidRPr="00D31929" w:rsidRDefault="00D31929" w:rsidP="00D31929">
      <w:pPr>
        <w:rPr>
          <w:rFonts w:ascii="Arial" w:hAnsi="Arial" w:cs="Arial"/>
        </w:rPr>
      </w:pPr>
      <w:r w:rsidRPr="00D31929">
        <w:rPr>
          <w:rFonts w:ascii="Arial" w:hAnsi="Arial" w:cs="Arial"/>
        </w:rPr>
        <w:t xml:space="preserve">Ellen (2020). </w:t>
      </w:r>
      <w:r w:rsidRPr="00D31929">
        <w:rPr>
          <w:rFonts w:ascii="Arial" w:hAnsi="Arial" w:cs="Arial"/>
          <w:i/>
          <w:iCs/>
        </w:rPr>
        <w:t>The Competition Strategy between Coca-Cola vs. Pepsi Company - ProQuest</w:t>
      </w:r>
      <w:r w:rsidRPr="00D31929">
        <w:rPr>
          <w:rFonts w:ascii="Arial" w:hAnsi="Arial" w:cs="Arial"/>
        </w:rPr>
        <w:t>. [online] www.proquest.com. Available at: https://www.proquest.com/openview/0848fff31763e682817625ea0fcd3393/1?cbl=1046413&amp;pq-origsite=gscholar.</w:t>
      </w:r>
    </w:p>
    <w:p w14:paraId="230F3DF3" w14:textId="77777777" w:rsidR="00D31929" w:rsidRPr="00D31929" w:rsidRDefault="00D31929" w:rsidP="00D31929">
      <w:pPr>
        <w:rPr>
          <w:rFonts w:ascii="Arial" w:hAnsi="Arial" w:cs="Arial"/>
        </w:rPr>
      </w:pPr>
      <w:r w:rsidRPr="00D31929">
        <w:rPr>
          <w:rFonts w:ascii="Arial" w:hAnsi="Arial" w:cs="Arial"/>
        </w:rPr>
        <w:t xml:space="preserve">Fischer, Z. (2024). </w:t>
      </w:r>
      <w:r w:rsidRPr="00D31929">
        <w:rPr>
          <w:rFonts w:ascii="Arial" w:hAnsi="Arial" w:cs="Arial"/>
          <w:i/>
          <w:iCs/>
        </w:rPr>
        <w:t>Proceedings of the 9th International Conference on Financial Innovation and Economic Development (ICFIED 2024)</w:t>
      </w:r>
      <w:r w:rsidRPr="00D31929">
        <w:rPr>
          <w:rFonts w:ascii="Arial" w:hAnsi="Arial" w:cs="Arial"/>
        </w:rPr>
        <w:t>. [online] Google Books. Available at: https://books.google.com.bd/books?hl=en&amp;lr=&amp;id=imcGEQAAQBAJ&amp;oi=fnd&amp;pg=PA426&amp;dq=.+Nike%E2%80%99s+long-term+success+is+rooted+in+this+strategy.+By+continuously+innovating+with+technologies+like+Flyknit+and+Air+Zoom&amp;ots=Fhcsjm21Xw&amp;sig=_HXYCns9BTi9tJsVWwy_1LrVxEs&amp;redir_esc=y#v=onepage&amp;q&amp;f=false [Accessed 24 Mar. 2025].</w:t>
      </w:r>
    </w:p>
    <w:p w14:paraId="1AC8524B" w14:textId="77777777" w:rsidR="00D31929" w:rsidRPr="00D31929" w:rsidRDefault="00D31929" w:rsidP="00D31929">
      <w:pPr>
        <w:rPr>
          <w:rFonts w:ascii="Arial" w:hAnsi="Arial" w:cs="Arial"/>
        </w:rPr>
      </w:pPr>
      <w:r w:rsidRPr="00D31929">
        <w:rPr>
          <w:rFonts w:ascii="Arial" w:hAnsi="Arial" w:cs="Arial"/>
        </w:rPr>
        <w:t xml:space="preserve">Government of Canada, I. (2021). </w:t>
      </w:r>
      <w:r w:rsidRPr="00D31929">
        <w:rPr>
          <w:rFonts w:ascii="Arial" w:hAnsi="Arial" w:cs="Arial"/>
          <w:i/>
          <w:iCs/>
        </w:rPr>
        <w:t>What is a patent?</w:t>
      </w:r>
      <w:r w:rsidRPr="00D31929">
        <w:rPr>
          <w:rFonts w:ascii="Arial" w:hAnsi="Arial" w:cs="Arial"/>
        </w:rPr>
        <w:t xml:space="preserve"> [online] ised-isde.canada.ca. Available at: https://ised-isde.canada.ca/site/canadian-intellectual-property-office/en/patents/what-patent.</w:t>
      </w:r>
    </w:p>
    <w:p w14:paraId="1209D7DF" w14:textId="77777777" w:rsidR="00D31929" w:rsidRPr="00D31929" w:rsidRDefault="00D31929" w:rsidP="00D31929">
      <w:pPr>
        <w:rPr>
          <w:rFonts w:ascii="Arial" w:hAnsi="Arial" w:cs="Arial"/>
        </w:rPr>
      </w:pPr>
      <w:r w:rsidRPr="00D31929">
        <w:rPr>
          <w:rFonts w:ascii="Arial" w:hAnsi="Arial" w:cs="Arial"/>
        </w:rPr>
        <w:t xml:space="preserve">Hopkins, M. and </w:t>
      </w:r>
      <w:proofErr w:type="spellStart"/>
      <w:r w:rsidRPr="00D31929">
        <w:rPr>
          <w:rFonts w:ascii="Arial" w:hAnsi="Arial" w:cs="Arial"/>
        </w:rPr>
        <w:t>Lazonick</w:t>
      </w:r>
      <w:proofErr w:type="spellEnd"/>
      <w:r w:rsidRPr="00D31929">
        <w:rPr>
          <w:rFonts w:ascii="Arial" w:hAnsi="Arial" w:cs="Arial"/>
        </w:rPr>
        <w:t xml:space="preserve">, W. (2024). </w:t>
      </w:r>
      <w:r w:rsidRPr="00D31929">
        <w:rPr>
          <w:rFonts w:ascii="Arial" w:hAnsi="Arial" w:cs="Arial"/>
          <w:i/>
          <w:iCs/>
        </w:rPr>
        <w:t>Tesla as a Global Competitor: Strategic Control in the EV Transition</w:t>
      </w:r>
      <w:r w:rsidRPr="00D31929">
        <w:rPr>
          <w:rFonts w:ascii="Arial" w:hAnsi="Arial" w:cs="Arial"/>
        </w:rPr>
        <w:t>. [online] Ssrn.com. Available at: https://papers.ssrn.com/sol3/papers.cfm?abstract_id=4973602.</w:t>
      </w:r>
    </w:p>
    <w:p w14:paraId="1EAB4A93" w14:textId="77777777" w:rsidR="00D31929" w:rsidRPr="00D31929" w:rsidRDefault="00D31929" w:rsidP="00D31929">
      <w:pPr>
        <w:rPr>
          <w:rFonts w:ascii="Arial" w:hAnsi="Arial" w:cs="Arial"/>
        </w:rPr>
      </w:pPr>
      <w:r w:rsidRPr="00D31929">
        <w:rPr>
          <w:rFonts w:ascii="Arial" w:hAnsi="Arial" w:cs="Arial"/>
        </w:rPr>
        <w:t xml:space="preserve">Jackson, G.A. (2022). Winning in Emerging Markets: A Roadmap for Strategy and Execution, </w:t>
      </w:r>
      <w:proofErr w:type="spellStart"/>
      <w:r w:rsidRPr="00D31929">
        <w:rPr>
          <w:rFonts w:ascii="Arial" w:hAnsi="Arial" w:cs="Arial"/>
        </w:rPr>
        <w:t>byTarun</w:t>
      </w:r>
      <w:proofErr w:type="spellEnd"/>
      <w:r w:rsidRPr="00D31929">
        <w:rPr>
          <w:rFonts w:ascii="Arial" w:hAnsi="Arial" w:cs="Arial"/>
        </w:rPr>
        <w:t xml:space="preserve"> Khanna and Krishna G. Palepu. </w:t>
      </w:r>
      <w:r w:rsidRPr="00D31929">
        <w:rPr>
          <w:rFonts w:ascii="Arial" w:hAnsi="Arial" w:cs="Arial"/>
          <w:i/>
          <w:iCs/>
        </w:rPr>
        <w:t>Journal of Business-to-Business Marketing</w:t>
      </w:r>
      <w:r w:rsidRPr="00D31929">
        <w:rPr>
          <w:rFonts w:ascii="Arial" w:hAnsi="Arial" w:cs="Arial"/>
        </w:rPr>
        <w:t xml:space="preserve">, 19(2), pp.174–180. </w:t>
      </w:r>
      <w:proofErr w:type="spellStart"/>
      <w:r w:rsidRPr="00D31929">
        <w:rPr>
          <w:rFonts w:ascii="Arial" w:hAnsi="Arial" w:cs="Arial"/>
        </w:rPr>
        <w:t>doi:https</w:t>
      </w:r>
      <w:proofErr w:type="spellEnd"/>
      <w:r w:rsidRPr="00D31929">
        <w:rPr>
          <w:rFonts w:ascii="Arial" w:hAnsi="Arial" w:cs="Arial"/>
        </w:rPr>
        <w:t>://doi.org/10.1080/1051712x.2012.666487.</w:t>
      </w:r>
    </w:p>
    <w:p w14:paraId="2C58A499" w14:textId="77777777" w:rsidR="00D31929" w:rsidRPr="00D31929" w:rsidRDefault="00D31929" w:rsidP="00D31929">
      <w:pPr>
        <w:rPr>
          <w:rFonts w:ascii="Arial" w:hAnsi="Arial" w:cs="Arial"/>
        </w:rPr>
      </w:pPr>
      <w:r w:rsidRPr="00D31929">
        <w:rPr>
          <w:rFonts w:ascii="Arial" w:hAnsi="Arial" w:cs="Arial"/>
        </w:rPr>
        <w:t xml:space="preserve">Katajisto, A. and </w:t>
      </w:r>
      <w:proofErr w:type="spellStart"/>
      <w:r w:rsidRPr="00D31929">
        <w:rPr>
          <w:rFonts w:ascii="Arial" w:hAnsi="Arial" w:cs="Arial"/>
        </w:rPr>
        <w:t>Kivilä</w:t>
      </w:r>
      <w:proofErr w:type="spellEnd"/>
      <w:r w:rsidRPr="00D31929">
        <w:rPr>
          <w:rFonts w:ascii="Arial" w:hAnsi="Arial" w:cs="Arial"/>
        </w:rPr>
        <w:t xml:space="preserve">, A. (2023). </w:t>
      </w:r>
      <w:r w:rsidRPr="00D31929">
        <w:rPr>
          <w:rFonts w:ascii="Arial" w:hAnsi="Arial" w:cs="Arial"/>
          <w:i/>
          <w:iCs/>
        </w:rPr>
        <w:t>Nokia Network Boost: a Case Study of Nokia Corporation</w:t>
      </w:r>
      <w:r w:rsidRPr="00D31929">
        <w:rPr>
          <w:rFonts w:ascii="Arial" w:hAnsi="Arial" w:cs="Arial"/>
        </w:rPr>
        <w:t>.</w:t>
      </w:r>
    </w:p>
    <w:p w14:paraId="5FAF4817" w14:textId="77777777" w:rsidR="00D31929" w:rsidRPr="00D31929" w:rsidRDefault="00D31929" w:rsidP="00D31929">
      <w:pPr>
        <w:rPr>
          <w:rFonts w:ascii="Arial" w:hAnsi="Arial" w:cs="Arial"/>
        </w:rPr>
      </w:pPr>
      <w:r w:rsidRPr="00D31929">
        <w:rPr>
          <w:rFonts w:ascii="Arial" w:hAnsi="Arial" w:cs="Arial"/>
        </w:rPr>
        <w:t xml:space="preserve">Lam, S.Y. and Murthy, B. (2019). Customer Value, Satisfaction, Loyalty, and Switching Costs: an Illustration from a Business-to-Business Service Context. </w:t>
      </w:r>
      <w:r w:rsidRPr="00D31929">
        <w:rPr>
          <w:rFonts w:ascii="Arial" w:hAnsi="Arial" w:cs="Arial"/>
          <w:i/>
          <w:iCs/>
        </w:rPr>
        <w:t>Journal of the Academy of Marketing Science</w:t>
      </w:r>
      <w:r w:rsidRPr="00D31929">
        <w:rPr>
          <w:rFonts w:ascii="Arial" w:hAnsi="Arial" w:cs="Arial"/>
        </w:rPr>
        <w:t>, 32(3), pp.293–311.</w:t>
      </w:r>
    </w:p>
    <w:p w14:paraId="626D7145" w14:textId="77777777" w:rsidR="00D31929" w:rsidRPr="00D31929" w:rsidRDefault="00D31929" w:rsidP="00D31929">
      <w:pPr>
        <w:rPr>
          <w:rFonts w:ascii="Arial" w:hAnsi="Arial" w:cs="Arial"/>
        </w:rPr>
      </w:pPr>
      <w:r w:rsidRPr="00D31929">
        <w:rPr>
          <w:rFonts w:ascii="Arial" w:hAnsi="Arial" w:cs="Arial"/>
        </w:rPr>
        <w:lastRenderedPageBreak/>
        <w:t xml:space="preserve">Lee, G. (2023). </w:t>
      </w:r>
      <w:r w:rsidRPr="00D31929">
        <w:rPr>
          <w:rFonts w:ascii="Arial" w:hAnsi="Arial" w:cs="Arial"/>
          <w:i/>
          <w:iCs/>
        </w:rPr>
        <w:t>First-Mover Advantage</w:t>
      </w:r>
      <w:r w:rsidRPr="00D31929">
        <w:rPr>
          <w:rFonts w:ascii="Arial" w:hAnsi="Arial" w:cs="Arial"/>
        </w:rPr>
        <w:t>. [online] obo. Available at: https://www.oxfordbibliographies.com/display/document/obo-9780199846740/obo-9780199846740-0215.xml.</w:t>
      </w:r>
    </w:p>
    <w:p w14:paraId="1B9F58E2" w14:textId="77777777" w:rsidR="00D31929" w:rsidRPr="00D31929" w:rsidRDefault="00D31929" w:rsidP="00D31929">
      <w:pPr>
        <w:rPr>
          <w:rFonts w:ascii="Arial" w:hAnsi="Arial" w:cs="Arial"/>
        </w:rPr>
      </w:pPr>
      <w:r w:rsidRPr="00D31929">
        <w:rPr>
          <w:rFonts w:ascii="Arial" w:hAnsi="Arial" w:cs="Arial"/>
        </w:rPr>
        <w:t xml:space="preserve">Lund, M. and Nielsen, C. (2018). The Concept of Business Model Scalability. </w:t>
      </w:r>
      <w:r w:rsidRPr="00D31929">
        <w:rPr>
          <w:rFonts w:ascii="Arial" w:hAnsi="Arial" w:cs="Arial"/>
          <w:i/>
          <w:iCs/>
        </w:rPr>
        <w:t>Journal of Business Models</w:t>
      </w:r>
      <w:r w:rsidRPr="00D31929">
        <w:rPr>
          <w:rFonts w:ascii="Arial" w:hAnsi="Arial" w:cs="Arial"/>
        </w:rPr>
        <w:t xml:space="preserve">, [online] 6(1), pp.1–18. </w:t>
      </w:r>
      <w:proofErr w:type="spellStart"/>
      <w:r w:rsidRPr="00D31929">
        <w:rPr>
          <w:rFonts w:ascii="Arial" w:hAnsi="Arial" w:cs="Arial"/>
        </w:rPr>
        <w:t>doi:https</w:t>
      </w:r>
      <w:proofErr w:type="spellEnd"/>
      <w:r w:rsidRPr="00D31929">
        <w:rPr>
          <w:rFonts w:ascii="Arial" w:hAnsi="Arial" w:cs="Arial"/>
        </w:rPr>
        <w:t>://doi.org/10.5278/ojs.jbm.v6i1.2235.</w:t>
      </w:r>
    </w:p>
    <w:p w14:paraId="4B219065" w14:textId="77777777" w:rsidR="00D31929" w:rsidRPr="00D31929" w:rsidRDefault="00D31929" w:rsidP="00D31929">
      <w:pPr>
        <w:rPr>
          <w:rFonts w:ascii="Arial" w:hAnsi="Arial" w:cs="Arial"/>
        </w:rPr>
      </w:pPr>
      <w:r w:rsidRPr="00D31929">
        <w:rPr>
          <w:rFonts w:ascii="Arial" w:hAnsi="Arial" w:cs="Arial"/>
        </w:rPr>
        <w:t xml:space="preserve">Maslach, D. and Lamont, B. (2024). Pioneer Learning From Failure: How Competitor Entry and Consumer Reports Improve Learning From Failure Repositories. </w:t>
      </w:r>
      <w:r w:rsidRPr="00D31929">
        <w:rPr>
          <w:rFonts w:ascii="Arial" w:hAnsi="Arial" w:cs="Arial"/>
          <w:i/>
          <w:iCs/>
        </w:rPr>
        <w:t>Journal of Management</w:t>
      </w:r>
      <w:r w:rsidRPr="00D31929">
        <w:rPr>
          <w:rFonts w:ascii="Arial" w:hAnsi="Arial" w:cs="Arial"/>
        </w:rPr>
        <w:t xml:space="preserve">. </w:t>
      </w:r>
      <w:proofErr w:type="spellStart"/>
      <w:r w:rsidRPr="00D31929">
        <w:rPr>
          <w:rFonts w:ascii="Arial" w:hAnsi="Arial" w:cs="Arial"/>
        </w:rPr>
        <w:t>doi:https</w:t>
      </w:r>
      <w:proofErr w:type="spellEnd"/>
      <w:r w:rsidRPr="00D31929">
        <w:rPr>
          <w:rFonts w:ascii="Arial" w:hAnsi="Arial" w:cs="Arial"/>
        </w:rPr>
        <w:t>://doi.org/10.1177/01492063241303059.</w:t>
      </w:r>
    </w:p>
    <w:p w14:paraId="61AD58AB" w14:textId="77777777" w:rsidR="00D31929" w:rsidRPr="00D31929" w:rsidRDefault="00D31929" w:rsidP="00D31929">
      <w:pPr>
        <w:rPr>
          <w:rFonts w:ascii="Arial" w:hAnsi="Arial" w:cs="Arial"/>
        </w:rPr>
      </w:pPr>
      <w:r w:rsidRPr="00D31929">
        <w:rPr>
          <w:rFonts w:ascii="Arial" w:hAnsi="Arial" w:cs="Arial"/>
        </w:rPr>
        <w:t xml:space="preserve">Mergen, A. and </w:t>
      </w:r>
      <w:proofErr w:type="spellStart"/>
      <w:r w:rsidRPr="00D31929">
        <w:rPr>
          <w:rFonts w:ascii="Arial" w:hAnsi="Arial" w:cs="Arial"/>
        </w:rPr>
        <w:t>Ozbilgin</w:t>
      </w:r>
      <w:proofErr w:type="spellEnd"/>
      <w:r w:rsidRPr="00D31929">
        <w:rPr>
          <w:rFonts w:ascii="Arial" w:hAnsi="Arial" w:cs="Arial"/>
        </w:rPr>
        <w:t xml:space="preserve">, M.F. (2020). Understanding the Followers of Toxic Leaders: Toxic </w:t>
      </w:r>
      <w:proofErr w:type="spellStart"/>
      <w:r w:rsidRPr="00D31929">
        <w:rPr>
          <w:rFonts w:ascii="Arial" w:hAnsi="Arial" w:cs="Arial"/>
        </w:rPr>
        <w:t>Illusio</w:t>
      </w:r>
      <w:proofErr w:type="spellEnd"/>
      <w:r w:rsidRPr="00D31929">
        <w:rPr>
          <w:rFonts w:ascii="Arial" w:hAnsi="Arial" w:cs="Arial"/>
        </w:rPr>
        <w:t xml:space="preserve"> and Personal Uncertainty. </w:t>
      </w:r>
      <w:r w:rsidRPr="00D31929">
        <w:rPr>
          <w:rFonts w:ascii="Arial" w:hAnsi="Arial" w:cs="Arial"/>
          <w:i/>
          <w:iCs/>
        </w:rPr>
        <w:t>International Journal of Management Reviews</w:t>
      </w:r>
      <w:r w:rsidRPr="00D31929">
        <w:rPr>
          <w:rFonts w:ascii="Arial" w:hAnsi="Arial" w:cs="Arial"/>
        </w:rPr>
        <w:t xml:space="preserve">, 23(1). </w:t>
      </w:r>
      <w:proofErr w:type="spellStart"/>
      <w:r w:rsidRPr="00D31929">
        <w:rPr>
          <w:rFonts w:ascii="Arial" w:hAnsi="Arial" w:cs="Arial"/>
        </w:rPr>
        <w:t>doi:https</w:t>
      </w:r>
      <w:proofErr w:type="spellEnd"/>
      <w:r w:rsidRPr="00D31929">
        <w:rPr>
          <w:rFonts w:ascii="Arial" w:hAnsi="Arial" w:cs="Arial"/>
        </w:rPr>
        <w:t>://doi.org/10.1111/ijmr.12240.</w:t>
      </w:r>
    </w:p>
    <w:p w14:paraId="522F7A20" w14:textId="77777777" w:rsidR="00D31929" w:rsidRPr="00D31929" w:rsidRDefault="00D31929" w:rsidP="00D31929">
      <w:pPr>
        <w:rPr>
          <w:rFonts w:ascii="Arial" w:hAnsi="Arial" w:cs="Arial"/>
        </w:rPr>
      </w:pPr>
      <w:r w:rsidRPr="00D31929">
        <w:rPr>
          <w:rFonts w:ascii="Arial" w:hAnsi="Arial" w:cs="Arial"/>
        </w:rPr>
        <w:t xml:space="preserve">Min, S. and </w:t>
      </w:r>
      <w:proofErr w:type="spellStart"/>
      <w:r w:rsidRPr="00D31929">
        <w:rPr>
          <w:rFonts w:ascii="Arial" w:hAnsi="Arial" w:cs="Arial"/>
        </w:rPr>
        <w:t>Sawng</w:t>
      </w:r>
      <w:proofErr w:type="spellEnd"/>
      <w:r w:rsidRPr="00D31929">
        <w:rPr>
          <w:rFonts w:ascii="Arial" w:hAnsi="Arial" w:cs="Arial"/>
        </w:rPr>
        <w:t xml:space="preserve">, Y.-W. (2020). The effect of innovation network size and public R&amp;D investment on regional innovation efficiency. </w:t>
      </w:r>
      <w:r w:rsidRPr="00D31929">
        <w:rPr>
          <w:rFonts w:ascii="Arial" w:hAnsi="Arial" w:cs="Arial"/>
          <w:i/>
          <w:iCs/>
        </w:rPr>
        <w:t>Technological Forecasting and Social Change</w:t>
      </w:r>
      <w:r w:rsidRPr="00D31929">
        <w:rPr>
          <w:rFonts w:ascii="Arial" w:hAnsi="Arial" w:cs="Arial"/>
        </w:rPr>
        <w:t xml:space="preserve">, 155, p.119998. </w:t>
      </w:r>
      <w:proofErr w:type="spellStart"/>
      <w:r w:rsidRPr="00D31929">
        <w:rPr>
          <w:rFonts w:ascii="Arial" w:hAnsi="Arial" w:cs="Arial"/>
        </w:rPr>
        <w:t>doi:https</w:t>
      </w:r>
      <w:proofErr w:type="spellEnd"/>
      <w:r w:rsidRPr="00D31929">
        <w:rPr>
          <w:rFonts w:ascii="Arial" w:hAnsi="Arial" w:cs="Arial"/>
        </w:rPr>
        <w:t>://doi.org/10.1016/j.techfore.2020.119998.</w:t>
      </w:r>
    </w:p>
    <w:p w14:paraId="026D0DF2" w14:textId="77777777" w:rsidR="00D31929" w:rsidRPr="00D31929" w:rsidRDefault="00D31929" w:rsidP="00D31929">
      <w:pPr>
        <w:rPr>
          <w:rFonts w:ascii="Arial" w:hAnsi="Arial" w:cs="Arial"/>
        </w:rPr>
      </w:pPr>
      <w:r w:rsidRPr="00D31929">
        <w:rPr>
          <w:rFonts w:ascii="Arial" w:hAnsi="Arial" w:cs="Arial"/>
        </w:rPr>
        <w:t xml:space="preserve">Netflix (2023). </w:t>
      </w:r>
      <w:r w:rsidRPr="00D31929">
        <w:rPr>
          <w:rFonts w:ascii="Arial" w:hAnsi="Arial" w:cs="Arial"/>
          <w:i/>
          <w:iCs/>
        </w:rPr>
        <w:t>SK Telecom, SK Broadband &amp; Netflix Establish Strategic Partnership to Enhance Customers’ Entertainment Experience</w:t>
      </w:r>
      <w:r w:rsidRPr="00D31929">
        <w:rPr>
          <w:rFonts w:ascii="Arial" w:hAnsi="Arial" w:cs="Arial"/>
        </w:rPr>
        <w:t>. [online] About Netflix. Available at: https://about.netflix.com/en/news/sk-telecom-sk-broadband-and-netflix-establish-strategic-partnership-to.</w:t>
      </w:r>
    </w:p>
    <w:p w14:paraId="2CBCBB1B" w14:textId="77777777" w:rsidR="00D31929" w:rsidRPr="00D31929" w:rsidRDefault="00D31929" w:rsidP="00D31929">
      <w:pPr>
        <w:rPr>
          <w:rFonts w:ascii="Arial" w:hAnsi="Arial" w:cs="Arial"/>
        </w:rPr>
      </w:pPr>
      <w:r w:rsidRPr="00D31929">
        <w:rPr>
          <w:rFonts w:ascii="Arial" w:hAnsi="Arial" w:cs="Arial"/>
        </w:rPr>
        <w:t xml:space="preserve">Ntumba, C. and Maina, K. (2023). Revolutionizing Retail: A Mini Review of E-commerce Evolution. </w:t>
      </w:r>
      <w:r w:rsidRPr="00D31929">
        <w:rPr>
          <w:rFonts w:ascii="Arial" w:hAnsi="Arial" w:cs="Arial"/>
          <w:i/>
          <w:iCs/>
        </w:rPr>
        <w:t>Journal of Digital Marketing and Communication</w:t>
      </w:r>
      <w:r w:rsidRPr="00D31929">
        <w:rPr>
          <w:rFonts w:ascii="Arial" w:hAnsi="Arial" w:cs="Arial"/>
        </w:rPr>
        <w:t>, [online] 3(2), pp.100–110. Available at: https://tecnoscientifica.com/journal/jdmc/article/view/365#cite.</w:t>
      </w:r>
    </w:p>
    <w:p w14:paraId="5F62CB82" w14:textId="77777777" w:rsidR="00D31929" w:rsidRPr="00D31929" w:rsidRDefault="00D31929" w:rsidP="00D31929">
      <w:pPr>
        <w:rPr>
          <w:rFonts w:ascii="Arial" w:hAnsi="Arial" w:cs="Arial"/>
        </w:rPr>
      </w:pPr>
      <w:r w:rsidRPr="00D31929">
        <w:rPr>
          <w:rFonts w:ascii="Arial" w:hAnsi="Arial" w:cs="Arial"/>
        </w:rPr>
        <w:t>Ortner, C., Sinner, P. and Jadin, T., 2018. The history of online social media. </w:t>
      </w:r>
      <w:r w:rsidRPr="00D31929">
        <w:rPr>
          <w:rFonts w:ascii="Arial" w:hAnsi="Arial" w:cs="Arial"/>
          <w:i/>
          <w:iCs/>
        </w:rPr>
        <w:t>The SAGE handbook of web history</w:t>
      </w:r>
      <w:r w:rsidRPr="00D31929">
        <w:rPr>
          <w:rFonts w:ascii="Arial" w:hAnsi="Arial" w:cs="Arial"/>
        </w:rPr>
        <w:t>, pp.372-384.</w:t>
      </w:r>
    </w:p>
    <w:p w14:paraId="6C261CC1" w14:textId="77777777" w:rsidR="00D31929" w:rsidRPr="00D31929" w:rsidRDefault="00D31929" w:rsidP="00D31929">
      <w:pPr>
        <w:rPr>
          <w:rFonts w:ascii="Arial" w:hAnsi="Arial" w:cs="Arial"/>
        </w:rPr>
      </w:pPr>
      <w:r w:rsidRPr="00D31929">
        <w:rPr>
          <w:rFonts w:ascii="Arial" w:hAnsi="Arial" w:cs="Arial"/>
        </w:rPr>
        <w:t xml:space="preserve">Panigrahi, A. (2019). </w:t>
      </w:r>
      <w:r w:rsidRPr="00D31929">
        <w:rPr>
          <w:rFonts w:ascii="Arial" w:hAnsi="Arial" w:cs="Arial"/>
          <w:i/>
          <w:iCs/>
        </w:rPr>
        <w:t>A Case Study on Marketing Strategy of Xiaomi</w:t>
      </w:r>
      <w:r w:rsidRPr="00D31929">
        <w:rPr>
          <w:rFonts w:ascii="Arial" w:hAnsi="Arial" w:cs="Arial"/>
        </w:rPr>
        <w:t>. [online] papers.ssrn.com. Available at: https://papers.ssrn.com/sol3/papers.cfm?abstract_id=3469979.</w:t>
      </w:r>
    </w:p>
    <w:p w14:paraId="0D2A12D9" w14:textId="77777777" w:rsidR="00D31929" w:rsidRPr="00D31929" w:rsidRDefault="00D31929" w:rsidP="00D31929">
      <w:pPr>
        <w:rPr>
          <w:rFonts w:ascii="Arial" w:hAnsi="Arial" w:cs="Arial"/>
        </w:rPr>
      </w:pPr>
      <w:r w:rsidRPr="00D31929">
        <w:rPr>
          <w:rFonts w:ascii="Arial" w:hAnsi="Arial" w:cs="Arial"/>
        </w:rPr>
        <w:t>Peddireddy, K., 2024. Cloud Computing Platforms. In </w:t>
      </w:r>
      <w:r w:rsidRPr="00D31929">
        <w:rPr>
          <w:rFonts w:ascii="Arial" w:hAnsi="Arial" w:cs="Arial"/>
          <w:i/>
          <w:iCs/>
        </w:rPr>
        <w:t>Emerging Trends in Cloud Computing Analytics, Scalability, and Service Models</w:t>
      </w:r>
      <w:r w:rsidRPr="00D31929">
        <w:rPr>
          <w:rFonts w:ascii="Arial" w:hAnsi="Arial" w:cs="Arial"/>
        </w:rPr>
        <w:t> (pp. 186-199). IGI Global Scientific Publishing.</w:t>
      </w:r>
    </w:p>
    <w:p w14:paraId="2221D6B1" w14:textId="77777777" w:rsidR="00D31929" w:rsidRPr="00D31929" w:rsidRDefault="00D31929" w:rsidP="00D31929">
      <w:pPr>
        <w:rPr>
          <w:rFonts w:ascii="Arial" w:hAnsi="Arial" w:cs="Arial"/>
        </w:rPr>
      </w:pPr>
      <w:r w:rsidRPr="00D31929">
        <w:rPr>
          <w:rFonts w:ascii="Arial" w:hAnsi="Arial" w:cs="Arial"/>
        </w:rPr>
        <w:t xml:space="preserve">Pfizer (2020). </w:t>
      </w:r>
      <w:r w:rsidRPr="00D31929">
        <w:rPr>
          <w:rFonts w:ascii="Arial" w:hAnsi="Arial" w:cs="Arial"/>
          <w:i/>
          <w:iCs/>
        </w:rPr>
        <w:t>Pfizer and BioNTech Announce Further Details on Collaboration to Accelerate Global COVID-19 Vaccine Development | Pfizer</w:t>
      </w:r>
      <w:r w:rsidRPr="00D31929">
        <w:rPr>
          <w:rFonts w:ascii="Arial" w:hAnsi="Arial" w:cs="Arial"/>
        </w:rPr>
        <w:t>. [online] Pfizer.com. Available at: https://www.pfizer.com/news/press-release/press-release-detail/pfizer-and-biontech-announce-further-details-collaboration.</w:t>
      </w:r>
    </w:p>
    <w:p w14:paraId="0735FF33" w14:textId="77777777" w:rsidR="00D31929" w:rsidRPr="00D31929" w:rsidRDefault="00D31929" w:rsidP="00D31929">
      <w:pPr>
        <w:rPr>
          <w:rFonts w:ascii="Arial" w:hAnsi="Arial" w:cs="Arial"/>
        </w:rPr>
      </w:pPr>
      <w:r w:rsidRPr="00D31929">
        <w:rPr>
          <w:rFonts w:ascii="Arial" w:hAnsi="Arial" w:cs="Arial"/>
        </w:rPr>
        <w:t>Rajagopal and Rajagopal, 2019. Branding Strategy. </w:t>
      </w:r>
      <w:r w:rsidRPr="00D31929">
        <w:rPr>
          <w:rFonts w:ascii="Arial" w:hAnsi="Arial" w:cs="Arial"/>
          <w:i/>
          <w:iCs/>
        </w:rPr>
        <w:t>Competitive Branding Strategies: Managing Performance in Emerging Markets</w:t>
      </w:r>
      <w:r w:rsidRPr="00D31929">
        <w:rPr>
          <w:rFonts w:ascii="Arial" w:hAnsi="Arial" w:cs="Arial"/>
        </w:rPr>
        <w:t>, pp.107-141.</w:t>
      </w:r>
    </w:p>
    <w:p w14:paraId="3D8BF229" w14:textId="77777777" w:rsidR="00D31929" w:rsidRPr="00D31929" w:rsidRDefault="00D31929" w:rsidP="00D31929">
      <w:pPr>
        <w:rPr>
          <w:rFonts w:ascii="Arial" w:hAnsi="Arial" w:cs="Arial"/>
        </w:rPr>
      </w:pPr>
      <w:r w:rsidRPr="00D31929">
        <w:rPr>
          <w:rFonts w:ascii="Arial" w:hAnsi="Arial" w:cs="Arial"/>
        </w:rPr>
        <w:lastRenderedPageBreak/>
        <w:t xml:space="preserve">Sala, S. and Ardente, F. (2021). The Evolution of Life Cycle Assessment in European Policies over Three Decades. </w:t>
      </w:r>
      <w:r w:rsidRPr="00D31929">
        <w:rPr>
          <w:rFonts w:ascii="Arial" w:hAnsi="Arial" w:cs="Arial"/>
          <w:i/>
          <w:iCs/>
        </w:rPr>
        <w:t>The International Journal of Life Cycle Assessment</w:t>
      </w:r>
      <w:r w:rsidRPr="00D31929">
        <w:rPr>
          <w:rFonts w:ascii="Arial" w:hAnsi="Arial" w:cs="Arial"/>
        </w:rPr>
        <w:t xml:space="preserve">, 26. </w:t>
      </w:r>
      <w:proofErr w:type="spellStart"/>
      <w:r w:rsidRPr="00D31929">
        <w:rPr>
          <w:rFonts w:ascii="Arial" w:hAnsi="Arial" w:cs="Arial"/>
        </w:rPr>
        <w:t>doi:https</w:t>
      </w:r>
      <w:proofErr w:type="spellEnd"/>
      <w:r w:rsidRPr="00D31929">
        <w:rPr>
          <w:rFonts w:ascii="Arial" w:hAnsi="Arial" w:cs="Arial"/>
        </w:rPr>
        <w:t>://doi.org/10.1007/s11367-021-01893-2.</w:t>
      </w:r>
    </w:p>
    <w:p w14:paraId="3CD5F64C" w14:textId="77777777" w:rsidR="00D31929" w:rsidRPr="00D31929" w:rsidRDefault="00D31929" w:rsidP="00D31929">
      <w:pPr>
        <w:rPr>
          <w:rFonts w:ascii="Arial" w:hAnsi="Arial" w:cs="Arial"/>
        </w:rPr>
      </w:pPr>
      <w:r w:rsidRPr="00D31929">
        <w:rPr>
          <w:rFonts w:ascii="Arial" w:hAnsi="Arial" w:cs="Arial"/>
        </w:rPr>
        <w:t xml:space="preserve">Smriti (2024). </w:t>
      </w:r>
      <w:r w:rsidRPr="00D31929">
        <w:rPr>
          <w:rFonts w:ascii="Arial" w:hAnsi="Arial" w:cs="Arial"/>
          <w:i/>
          <w:iCs/>
        </w:rPr>
        <w:t>Google Glass Failure: Why was it discontinued?</w:t>
      </w:r>
      <w:r w:rsidRPr="00D31929">
        <w:rPr>
          <w:rFonts w:ascii="Arial" w:hAnsi="Arial" w:cs="Arial"/>
        </w:rPr>
        <w:t xml:space="preserve"> [online] </w:t>
      </w:r>
      <w:proofErr w:type="spellStart"/>
      <w:r w:rsidRPr="00D31929">
        <w:rPr>
          <w:rFonts w:ascii="Arial" w:hAnsi="Arial" w:cs="Arial"/>
        </w:rPr>
        <w:t>InspireIP</w:t>
      </w:r>
      <w:proofErr w:type="spellEnd"/>
      <w:r w:rsidRPr="00D31929">
        <w:rPr>
          <w:rFonts w:ascii="Arial" w:hAnsi="Arial" w:cs="Arial"/>
        </w:rPr>
        <w:t>. Available at: https://inspireip.com/google-glass-failure-why-was-it-discontinued/.</w:t>
      </w:r>
    </w:p>
    <w:p w14:paraId="77568E8F" w14:textId="77777777" w:rsidR="00D31929" w:rsidRPr="00D31929" w:rsidRDefault="00D31929" w:rsidP="00D31929">
      <w:pPr>
        <w:rPr>
          <w:rFonts w:ascii="Arial" w:hAnsi="Arial" w:cs="Arial"/>
        </w:rPr>
      </w:pPr>
      <w:r w:rsidRPr="00D31929">
        <w:rPr>
          <w:rFonts w:ascii="Arial" w:hAnsi="Arial" w:cs="Arial"/>
        </w:rPr>
        <w:t xml:space="preserve">Solis, F. (2022). </w:t>
      </w:r>
      <w:r w:rsidRPr="00D31929">
        <w:rPr>
          <w:rFonts w:ascii="Arial" w:hAnsi="Arial" w:cs="Arial"/>
          <w:i/>
          <w:iCs/>
        </w:rPr>
        <w:t>First Mover Advantage | Definition, Strategy &amp; Examples</w:t>
      </w:r>
      <w:r w:rsidRPr="00D31929">
        <w:rPr>
          <w:rFonts w:ascii="Arial" w:hAnsi="Arial" w:cs="Arial"/>
        </w:rPr>
        <w:t>. [online] Study.com. Available at: https://study.com/learn/lesson/first-mover-overview-advantages-disadvantages.html.</w:t>
      </w:r>
    </w:p>
    <w:p w14:paraId="4EA7F2B1" w14:textId="77777777" w:rsidR="00D31929" w:rsidRPr="00D31929" w:rsidRDefault="00D31929" w:rsidP="00D31929">
      <w:pPr>
        <w:rPr>
          <w:rFonts w:ascii="Arial" w:hAnsi="Arial" w:cs="Arial"/>
        </w:rPr>
      </w:pPr>
      <w:r w:rsidRPr="00D31929">
        <w:rPr>
          <w:rFonts w:ascii="Arial" w:hAnsi="Arial" w:cs="Arial"/>
        </w:rPr>
        <w:t xml:space="preserve">Stark, J. (2022). Product Lifecycle Management (PLM). </w:t>
      </w:r>
      <w:r w:rsidRPr="00D31929">
        <w:rPr>
          <w:rFonts w:ascii="Arial" w:hAnsi="Arial" w:cs="Arial"/>
          <w:i/>
          <w:iCs/>
        </w:rPr>
        <w:t>Product Lifecycle Management (Volume 1)</w:t>
      </w:r>
      <w:r w:rsidRPr="00D31929">
        <w:rPr>
          <w:rFonts w:ascii="Arial" w:hAnsi="Arial" w:cs="Arial"/>
        </w:rPr>
        <w:t>, 1(1), pp.1–32.</w:t>
      </w:r>
    </w:p>
    <w:p w14:paraId="1C165C20" w14:textId="77777777" w:rsidR="00D31929" w:rsidRPr="00D31929" w:rsidRDefault="00D31929" w:rsidP="00D31929">
      <w:pPr>
        <w:rPr>
          <w:rFonts w:ascii="Arial" w:hAnsi="Arial" w:cs="Arial"/>
        </w:rPr>
      </w:pPr>
      <w:r w:rsidRPr="00D31929">
        <w:rPr>
          <w:rFonts w:ascii="Arial" w:hAnsi="Arial" w:cs="Arial"/>
        </w:rPr>
        <w:t xml:space="preserve">Stayton, J. and </w:t>
      </w:r>
      <w:proofErr w:type="spellStart"/>
      <w:r w:rsidRPr="00D31929">
        <w:rPr>
          <w:rFonts w:ascii="Arial" w:hAnsi="Arial" w:cs="Arial"/>
        </w:rPr>
        <w:t>Mangematin</w:t>
      </w:r>
      <w:proofErr w:type="spellEnd"/>
      <w:r w:rsidRPr="00D31929">
        <w:rPr>
          <w:rFonts w:ascii="Arial" w:hAnsi="Arial" w:cs="Arial"/>
        </w:rPr>
        <w:t xml:space="preserve">, V. (2018). Seed accelerators and the speed of new venture creation. </w:t>
      </w:r>
      <w:r w:rsidRPr="00D31929">
        <w:rPr>
          <w:rFonts w:ascii="Arial" w:hAnsi="Arial" w:cs="Arial"/>
          <w:i/>
          <w:iCs/>
        </w:rPr>
        <w:t>The Journal of Technology Transfer</w:t>
      </w:r>
      <w:r w:rsidRPr="00D31929">
        <w:rPr>
          <w:rFonts w:ascii="Arial" w:hAnsi="Arial" w:cs="Arial"/>
        </w:rPr>
        <w:t xml:space="preserve">, [online] 44(4), pp.1163–1187. </w:t>
      </w:r>
      <w:proofErr w:type="spellStart"/>
      <w:r w:rsidRPr="00D31929">
        <w:rPr>
          <w:rFonts w:ascii="Arial" w:hAnsi="Arial" w:cs="Arial"/>
        </w:rPr>
        <w:t>doi:https</w:t>
      </w:r>
      <w:proofErr w:type="spellEnd"/>
      <w:r w:rsidRPr="00D31929">
        <w:rPr>
          <w:rFonts w:ascii="Arial" w:hAnsi="Arial" w:cs="Arial"/>
        </w:rPr>
        <w:t>://doi.org/10.1007/s10961-017-9646-0.</w:t>
      </w:r>
    </w:p>
    <w:p w14:paraId="20D8F9B7" w14:textId="77777777" w:rsidR="00D31929" w:rsidRPr="00D31929" w:rsidRDefault="00D31929" w:rsidP="00D31929">
      <w:pPr>
        <w:rPr>
          <w:rFonts w:ascii="Arial" w:hAnsi="Arial" w:cs="Arial"/>
        </w:rPr>
      </w:pPr>
      <w:r w:rsidRPr="00D31929">
        <w:rPr>
          <w:rFonts w:ascii="Arial" w:hAnsi="Arial" w:cs="Arial"/>
        </w:rPr>
        <w:t xml:space="preserve">Taneja, A. (2023). </w:t>
      </w:r>
      <w:r w:rsidRPr="00D31929">
        <w:rPr>
          <w:rFonts w:ascii="Arial" w:hAnsi="Arial" w:cs="Arial"/>
          <w:i/>
          <w:iCs/>
        </w:rPr>
        <w:t xml:space="preserve">How iPhone Revolutionized The Smartphone Industry | </w:t>
      </w:r>
      <w:proofErr w:type="spellStart"/>
      <w:r w:rsidRPr="00D31929">
        <w:rPr>
          <w:rFonts w:ascii="Arial" w:hAnsi="Arial" w:cs="Arial"/>
          <w:i/>
          <w:iCs/>
        </w:rPr>
        <w:t>Cashify</w:t>
      </w:r>
      <w:proofErr w:type="spellEnd"/>
      <w:r w:rsidRPr="00D31929">
        <w:rPr>
          <w:rFonts w:ascii="Arial" w:hAnsi="Arial" w:cs="Arial"/>
          <w:i/>
          <w:iCs/>
        </w:rPr>
        <w:t xml:space="preserve"> Mobile Phones Blog</w:t>
      </w:r>
      <w:r w:rsidRPr="00D31929">
        <w:rPr>
          <w:rFonts w:ascii="Arial" w:hAnsi="Arial" w:cs="Arial"/>
        </w:rPr>
        <w:t xml:space="preserve">. [online] </w:t>
      </w:r>
      <w:proofErr w:type="spellStart"/>
      <w:r w:rsidRPr="00D31929">
        <w:rPr>
          <w:rFonts w:ascii="Arial" w:hAnsi="Arial" w:cs="Arial"/>
        </w:rPr>
        <w:t>Cashify</w:t>
      </w:r>
      <w:proofErr w:type="spellEnd"/>
      <w:r w:rsidRPr="00D31929">
        <w:rPr>
          <w:rFonts w:ascii="Arial" w:hAnsi="Arial" w:cs="Arial"/>
        </w:rPr>
        <w:t>. Available at: https://www.cashify.in/iphone-revolution-in-smartphone-industry.</w:t>
      </w:r>
    </w:p>
    <w:p w14:paraId="3EF09CE6" w14:textId="77777777" w:rsidR="00D31929" w:rsidRPr="00D31929" w:rsidRDefault="00D31929" w:rsidP="00D31929">
      <w:pPr>
        <w:rPr>
          <w:rFonts w:ascii="Arial" w:hAnsi="Arial" w:cs="Arial"/>
        </w:rPr>
      </w:pPr>
      <w:r w:rsidRPr="00D31929">
        <w:rPr>
          <w:rFonts w:ascii="Arial" w:hAnsi="Arial" w:cs="Arial"/>
        </w:rPr>
        <w:t xml:space="preserve">Yang, H. and Yang, J. (2018). The effects of transformational leadership, competitive intensity and technological innovation on performance. </w:t>
      </w:r>
      <w:r w:rsidRPr="00D31929">
        <w:rPr>
          <w:rFonts w:ascii="Arial" w:hAnsi="Arial" w:cs="Arial"/>
          <w:i/>
          <w:iCs/>
        </w:rPr>
        <w:t>Technology Analysis &amp; Strategic Management</w:t>
      </w:r>
      <w:r w:rsidRPr="00D31929">
        <w:rPr>
          <w:rFonts w:ascii="Arial" w:hAnsi="Arial" w:cs="Arial"/>
        </w:rPr>
        <w:t xml:space="preserve">, 31(3), pp.292–305. </w:t>
      </w:r>
      <w:proofErr w:type="spellStart"/>
      <w:r w:rsidRPr="00D31929">
        <w:rPr>
          <w:rFonts w:ascii="Arial" w:hAnsi="Arial" w:cs="Arial"/>
        </w:rPr>
        <w:t>doi:https</w:t>
      </w:r>
      <w:proofErr w:type="spellEnd"/>
      <w:r w:rsidRPr="00D31929">
        <w:rPr>
          <w:rFonts w:ascii="Arial" w:hAnsi="Arial" w:cs="Arial"/>
        </w:rPr>
        <w:t>://doi.org/10.1080/09537325.2018.1498475.</w:t>
      </w:r>
    </w:p>
    <w:p w14:paraId="2FBFFEF8" w14:textId="77777777" w:rsidR="00D31929" w:rsidRPr="00D31929" w:rsidRDefault="00D31929" w:rsidP="00D31929">
      <w:pPr>
        <w:rPr>
          <w:rFonts w:ascii="Arial" w:hAnsi="Arial" w:cs="Arial"/>
        </w:rPr>
      </w:pPr>
      <w:r w:rsidRPr="00D31929">
        <w:rPr>
          <w:rFonts w:ascii="Arial" w:hAnsi="Arial" w:cs="Arial"/>
        </w:rPr>
        <w:t xml:space="preserve">Yang, W. (2025). APPLE’S STRATEGIC DECISION-MAKING Apple’s Strategic Decision-Making: Navigating Innovation and Market Dynamics. </w:t>
      </w:r>
      <w:r w:rsidRPr="00D31929">
        <w:rPr>
          <w:rFonts w:ascii="Arial" w:hAnsi="Arial" w:cs="Arial"/>
          <w:i/>
          <w:iCs/>
        </w:rPr>
        <w:t>SSRN Electronic Journal</w:t>
      </w:r>
      <w:r w:rsidRPr="00D31929">
        <w:rPr>
          <w:rFonts w:ascii="Arial" w:hAnsi="Arial" w:cs="Arial"/>
        </w:rPr>
        <w:t xml:space="preserve">. </w:t>
      </w:r>
      <w:proofErr w:type="spellStart"/>
      <w:r w:rsidRPr="00D31929">
        <w:rPr>
          <w:rFonts w:ascii="Arial" w:hAnsi="Arial" w:cs="Arial"/>
        </w:rPr>
        <w:t>doi:https</w:t>
      </w:r>
      <w:proofErr w:type="spellEnd"/>
      <w:r w:rsidRPr="00D31929">
        <w:rPr>
          <w:rFonts w:ascii="Arial" w:hAnsi="Arial" w:cs="Arial"/>
        </w:rPr>
        <w:t>://doi.org/10.2139/ssrn.5060488.</w:t>
      </w:r>
    </w:p>
    <w:p w14:paraId="73A53AA5" w14:textId="77777777" w:rsidR="00D31929" w:rsidRPr="00D31929" w:rsidRDefault="00D31929" w:rsidP="00D31929">
      <w:pPr>
        <w:rPr>
          <w:rFonts w:ascii="Arial" w:hAnsi="Arial" w:cs="Arial"/>
        </w:rPr>
      </w:pPr>
    </w:p>
    <w:p w14:paraId="55C0EABF" w14:textId="77777777" w:rsidR="00D31929" w:rsidRPr="00D121B3" w:rsidRDefault="00D31929">
      <w:pPr>
        <w:rPr>
          <w:rFonts w:ascii="Arial" w:hAnsi="Arial" w:cs="Arial"/>
        </w:rPr>
      </w:pPr>
    </w:p>
    <w:sectPr w:rsidR="00D31929" w:rsidRPr="00D121B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929"/>
    <w:rsid w:val="00214EBE"/>
    <w:rsid w:val="0023047B"/>
    <w:rsid w:val="00356087"/>
    <w:rsid w:val="003F2C1F"/>
    <w:rsid w:val="00D121B3"/>
    <w:rsid w:val="00D319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DFECC"/>
  <w15:chartTrackingRefBased/>
  <w15:docId w15:val="{64D8B9C1-9A31-4F0E-AB4F-65BB26B85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9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19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19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19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19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19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19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19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19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19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19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19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19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19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19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19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19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1929"/>
    <w:rPr>
      <w:rFonts w:eastAsiaTheme="majorEastAsia" w:cstheme="majorBidi"/>
      <w:color w:val="272727" w:themeColor="text1" w:themeTint="D8"/>
    </w:rPr>
  </w:style>
  <w:style w:type="paragraph" w:styleId="Title">
    <w:name w:val="Title"/>
    <w:basedOn w:val="Normal"/>
    <w:next w:val="Normal"/>
    <w:link w:val="TitleChar"/>
    <w:uiPriority w:val="10"/>
    <w:qFormat/>
    <w:rsid w:val="00D319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9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19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19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1929"/>
    <w:pPr>
      <w:spacing w:before="160"/>
      <w:jc w:val="center"/>
    </w:pPr>
    <w:rPr>
      <w:i/>
      <w:iCs/>
      <w:color w:val="404040" w:themeColor="text1" w:themeTint="BF"/>
    </w:rPr>
  </w:style>
  <w:style w:type="character" w:customStyle="1" w:styleId="QuoteChar">
    <w:name w:val="Quote Char"/>
    <w:basedOn w:val="DefaultParagraphFont"/>
    <w:link w:val="Quote"/>
    <w:uiPriority w:val="29"/>
    <w:rsid w:val="00D31929"/>
    <w:rPr>
      <w:i/>
      <w:iCs/>
      <w:color w:val="404040" w:themeColor="text1" w:themeTint="BF"/>
    </w:rPr>
  </w:style>
  <w:style w:type="paragraph" w:styleId="ListParagraph">
    <w:name w:val="List Paragraph"/>
    <w:basedOn w:val="Normal"/>
    <w:uiPriority w:val="34"/>
    <w:qFormat/>
    <w:rsid w:val="00D31929"/>
    <w:pPr>
      <w:ind w:left="720"/>
      <w:contextualSpacing/>
    </w:pPr>
  </w:style>
  <w:style w:type="character" w:styleId="IntenseEmphasis">
    <w:name w:val="Intense Emphasis"/>
    <w:basedOn w:val="DefaultParagraphFont"/>
    <w:uiPriority w:val="21"/>
    <w:qFormat/>
    <w:rsid w:val="00D31929"/>
    <w:rPr>
      <w:i/>
      <w:iCs/>
      <w:color w:val="0F4761" w:themeColor="accent1" w:themeShade="BF"/>
    </w:rPr>
  </w:style>
  <w:style w:type="paragraph" w:styleId="IntenseQuote">
    <w:name w:val="Intense Quote"/>
    <w:basedOn w:val="Normal"/>
    <w:next w:val="Normal"/>
    <w:link w:val="IntenseQuoteChar"/>
    <w:uiPriority w:val="30"/>
    <w:qFormat/>
    <w:rsid w:val="00D319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1929"/>
    <w:rPr>
      <w:i/>
      <w:iCs/>
      <w:color w:val="0F4761" w:themeColor="accent1" w:themeShade="BF"/>
    </w:rPr>
  </w:style>
  <w:style w:type="character" w:styleId="IntenseReference">
    <w:name w:val="Intense Reference"/>
    <w:basedOn w:val="DefaultParagraphFont"/>
    <w:uiPriority w:val="32"/>
    <w:qFormat/>
    <w:rsid w:val="00D31929"/>
    <w:rPr>
      <w:b/>
      <w:bCs/>
      <w:smallCaps/>
      <w:color w:val="0F4761" w:themeColor="accent1" w:themeShade="BF"/>
      <w:spacing w:val="5"/>
    </w:rPr>
  </w:style>
  <w:style w:type="table" w:styleId="GridTable1Light-Accent5">
    <w:name w:val="Grid Table 1 Light Accent 5"/>
    <w:basedOn w:val="TableNormal"/>
    <w:uiPriority w:val="46"/>
    <w:rsid w:val="00D31929"/>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D31929"/>
    <w:rPr>
      <w:color w:val="467886" w:themeColor="hyperlink"/>
      <w:u w:val="single"/>
    </w:rPr>
  </w:style>
  <w:style w:type="character" w:styleId="UnresolvedMention">
    <w:name w:val="Unresolved Mention"/>
    <w:basedOn w:val="DefaultParagraphFont"/>
    <w:uiPriority w:val="99"/>
    <w:semiHidden/>
    <w:unhideWhenUsed/>
    <w:rsid w:val="00D319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556306">
      <w:bodyDiv w:val="1"/>
      <w:marLeft w:val="0"/>
      <w:marRight w:val="0"/>
      <w:marTop w:val="0"/>
      <w:marBottom w:val="0"/>
      <w:divBdr>
        <w:top w:val="none" w:sz="0" w:space="0" w:color="auto"/>
        <w:left w:val="none" w:sz="0" w:space="0" w:color="auto"/>
        <w:bottom w:val="none" w:sz="0" w:space="0" w:color="auto"/>
        <w:right w:val="none" w:sz="0" w:space="0" w:color="auto"/>
      </w:divBdr>
    </w:div>
    <w:div w:id="324403586">
      <w:bodyDiv w:val="1"/>
      <w:marLeft w:val="0"/>
      <w:marRight w:val="0"/>
      <w:marTop w:val="0"/>
      <w:marBottom w:val="0"/>
      <w:divBdr>
        <w:top w:val="none" w:sz="0" w:space="0" w:color="auto"/>
        <w:left w:val="none" w:sz="0" w:space="0" w:color="auto"/>
        <w:bottom w:val="none" w:sz="0" w:space="0" w:color="auto"/>
        <w:right w:val="none" w:sz="0" w:space="0" w:color="auto"/>
      </w:divBdr>
    </w:div>
    <w:div w:id="510682673">
      <w:bodyDiv w:val="1"/>
      <w:marLeft w:val="0"/>
      <w:marRight w:val="0"/>
      <w:marTop w:val="0"/>
      <w:marBottom w:val="0"/>
      <w:divBdr>
        <w:top w:val="none" w:sz="0" w:space="0" w:color="auto"/>
        <w:left w:val="none" w:sz="0" w:space="0" w:color="auto"/>
        <w:bottom w:val="none" w:sz="0" w:space="0" w:color="auto"/>
        <w:right w:val="none" w:sz="0" w:space="0" w:color="auto"/>
      </w:divBdr>
    </w:div>
    <w:div w:id="2097700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Windows\Downloads\MBA%20LCBM7024%20-Marketing%20Management-%20Assessment%20Brief-%20Component%201-%20Feb%202025%20(copy-2).docx" TargetMode="External"/><Relationship Id="rId13" Type="http://schemas.openxmlformats.org/officeDocument/2006/relationships/hyperlink" Target="file:///C:\Users\Windows\Downloads\MBA%20LCBM7024%20-Marketing%20Management-%20Assessment%20Brief-%20Component%201-%20Feb%202025%20(copy-2).docx" TargetMode="External"/><Relationship Id="rId18" Type="http://schemas.openxmlformats.org/officeDocument/2006/relationships/hyperlink" Target="file:///C:\Users\Windows\Downloads\MBA%20LCBM7024%20-Marketing%20Management-%20Assessment%20Brief-%20Component%201-%20Feb%202025%20(copy-2).docx" TargetMode="External"/><Relationship Id="rId3" Type="http://schemas.openxmlformats.org/officeDocument/2006/relationships/customXml" Target="../customXml/item3.xml"/><Relationship Id="rId21" Type="http://schemas.openxmlformats.org/officeDocument/2006/relationships/hyperlink" Target="file:///C:\Users\Windows\Downloads\MBA%20LCBM7024%20-Marketing%20Management-%20Assessment%20Brief-%20Component%201-%20Feb%202025%20(copy-2).docx" TargetMode="External"/><Relationship Id="rId7" Type="http://schemas.openxmlformats.org/officeDocument/2006/relationships/image" Target="media/image1.jpeg"/><Relationship Id="rId12" Type="http://schemas.openxmlformats.org/officeDocument/2006/relationships/hyperlink" Target="file:///C:\Users\Windows\Downloads\MBA%20LCBM7024%20-Marketing%20Management-%20Assessment%20Brief-%20Component%201-%20Feb%202025%20(copy-2).docx" TargetMode="External"/><Relationship Id="rId17" Type="http://schemas.openxmlformats.org/officeDocument/2006/relationships/hyperlink" Target="file:///C:\Users\Windows\Downloads\MBA%20LCBM7024%20-Marketing%20Management-%20Assessment%20Brief-%20Component%201-%20Feb%202025%20(copy-2).docx" TargetMode="External"/><Relationship Id="rId2" Type="http://schemas.openxmlformats.org/officeDocument/2006/relationships/customXml" Target="../customXml/item2.xml"/><Relationship Id="rId16" Type="http://schemas.openxmlformats.org/officeDocument/2006/relationships/hyperlink" Target="file:///C:\Users\Windows\Downloads\MBA%20LCBM7024%20-Marketing%20Management-%20Assessment%20Brief-%20Component%201-%20Feb%202025%20(copy-2).docx" TargetMode="External"/><Relationship Id="rId20" Type="http://schemas.openxmlformats.org/officeDocument/2006/relationships/hyperlink" Target="file:///C:\Users\Windows\Downloads\MBA%20LCBM7024%20-Marketing%20Management-%20Assessment%20Brief-%20Component%201-%20Feb%202025%20(copy-2).doc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Windows\Downloads\MBA%20LCBM7024%20-Marketing%20Management-%20Assessment%20Brief-%20Component%201-%20Feb%202025%20(copy-2).docx" TargetMode="External"/><Relationship Id="rId5" Type="http://schemas.openxmlformats.org/officeDocument/2006/relationships/settings" Target="settings.xml"/><Relationship Id="rId15" Type="http://schemas.openxmlformats.org/officeDocument/2006/relationships/hyperlink" Target="file:///C:\Users\Windows\Downloads\MBA%20LCBM7024%20-Marketing%20Management-%20Assessment%20Brief-%20Component%201-%20Feb%202025%20(copy-2).docx" TargetMode="External"/><Relationship Id="rId23" Type="http://schemas.openxmlformats.org/officeDocument/2006/relationships/theme" Target="theme/theme1.xml"/><Relationship Id="rId10" Type="http://schemas.openxmlformats.org/officeDocument/2006/relationships/hyperlink" Target="file:///C:\Users\Windows\Downloads\MBA%20LCBM7024%20-Marketing%20Management-%20Assessment%20Brief-%20Component%201-%20Feb%202025%20(copy-2).docx" TargetMode="External"/><Relationship Id="rId19" Type="http://schemas.openxmlformats.org/officeDocument/2006/relationships/hyperlink" Target="file:///C:\Users\Windows\Downloads\MBA%20LCBM7024%20-Marketing%20Management-%20Assessment%20Brief-%20Component%201-%20Feb%202025%20(copy-2).docx" TargetMode="External"/><Relationship Id="rId4" Type="http://schemas.openxmlformats.org/officeDocument/2006/relationships/styles" Target="styles.xml"/><Relationship Id="rId9" Type="http://schemas.openxmlformats.org/officeDocument/2006/relationships/hyperlink" Target="file:///C:\Users\Windows\Downloads\MBA%20LCBM7024%20-Marketing%20Management-%20Assessment%20Brief-%20Component%201-%20Feb%202025%20(copy-2).docx" TargetMode="External"/><Relationship Id="rId14" Type="http://schemas.openxmlformats.org/officeDocument/2006/relationships/hyperlink" Target="file:///C:\Users\Windows\Downloads\MBA%20LCBM7024%20-Marketing%20Management-%20Assessment%20Brief-%20Component%201-%20Feb%202025%20(copy-2).doc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6" ma:contentTypeDescription="Create a new document." ma:contentTypeScope="" ma:versionID="e926e30fc7aaed2bf5ce9f07094f8b76">
  <xsd:schema xmlns:xsd="http://www.w3.org/2001/XMLSchema" xmlns:xs="http://www.w3.org/2001/XMLSchema" xmlns:p="http://schemas.microsoft.com/office/2006/metadata/properties" xmlns:ns3="dd86abe3-ec21-467e-8687-9d211c569818" targetNamespace="http://schemas.microsoft.com/office/2006/metadata/properties" ma:root="true" ma:fieldsID="edc5f03a16f14630e5b2d4b66c4e4de7"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7F117ED7-C158-4E5A-90FC-DDB07CC25E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AC0363-D4C2-4EED-BD23-08987BD586B0}">
  <ds:schemaRefs>
    <ds:schemaRef ds:uri="http://schemas.microsoft.com/sharepoint/v3/contenttype/forms"/>
  </ds:schemaRefs>
</ds:datastoreItem>
</file>

<file path=customXml/itemProps3.xml><?xml version="1.0" encoding="utf-8"?>
<ds:datastoreItem xmlns:ds="http://schemas.openxmlformats.org/officeDocument/2006/customXml" ds:itemID="{B93997DC-F1E8-4B24-83DD-82A7262165BF}">
  <ds:schemaRefs>
    <ds:schemaRef ds:uri="http://purl.org/dc/elements/1.1/"/>
    <ds:schemaRef ds:uri="http://schemas.microsoft.com/office/2006/documentManagement/types"/>
    <ds:schemaRef ds:uri="http://purl.org/dc/terms/"/>
    <ds:schemaRef ds:uri="http://schemas.openxmlformats.org/package/2006/metadata/core-properties"/>
    <ds:schemaRef ds:uri="http://schemas.microsoft.com/office/infopath/2007/PartnerControls"/>
    <ds:schemaRef ds:uri="http://schemas.microsoft.com/office/2006/metadata/properties"/>
    <ds:schemaRef ds:uri="dd86abe3-ec21-467e-8687-9d211c569818"/>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4483</Words>
  <Characters>25555</Characters>
  <Application>Microsoft Office Word</Application>
  <DocSecurity>0</DocSecurity>
  <Lines>212</Lines>
  <Paragraphs>59</Paragraphs>
  <ScaleCrop>false</ScaleCrop>
  <Company/>
  <LinksUpToDate>false</LinksUpToDate>
  <CharactersWithSpaces>29979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Shahriyar Emon Shuvo (2418580)</dc:creator>
  <cp:keywords/>
  <dc:description/>
  <cp:lastModifiedBy>Shahriyar Emon Shuvo (2418580)</cp:lastModifiedBy>
  <cp:revision>2</cp:revision>
  <dcterms:created xsi:type="dcterms:W3CDTF">2025-03-28T05:41:00Z</dcterms:created>
  <dcterms:modified xsi:type="dcterms:W3CDTF">2025-03-28T05:41:00Z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