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BF58D2" w14:textId="0E4CD7CF" w:rsidR="00AE23A8" w:rsidRPr="00F77FEC" w:rsidRDefault="00580FA1">
      <w:pPr>
        <w:rPr>
          <w:rFonts w:ascii="Abadi Extra Light" w:hAnsi="Abadi Extra Light"/>
          <w:u w:val="single"/>
        </w:rPr>
      </w:pPr>
      <w:r>
        <w:rPr>
          <w:rFonts w:ascii="Abadi Extra Light" w:hAnsi="Abadi Extra Light"/>
        </w:rPr>
        <w:t>I</w:t>
      </w:r>
      <w:r w:rsidR="00F77FEC" w:rsidRPr="00F77FEC">
        <w:rPr>
          <w:rFonts w:ascii="Abadi Extra Light" w:hAnsi="Abadi Extra Light"/>
          <w:u w:val="single"/>
        </w:rPr>
        <w:t>ntroduction</w:t>
      </w:r>
    </w:p>
    <w:p w14:paraId="75C65A57" w14:textId="1148C3D8" w:rsidR="007808C8" w:rsidRDefault="00FA3794">
      <w:pPr>
        <w:rPr>
          <w:rFonts w:ascii="Abadi Extra Light" w:hAnsi="Abadi Extra Light"/>
        </w:rPr>
      </w:pPr>
      <w:r>
        <w:rPr>
          <w:rFonts w:ascii="Abadi Extra Light" w:hAnsi="Abadi Extra Light"/>
        </w:rPr>
        <w:t xml:space="preserve">The intricate relationship between </w:t>
      </w:r>
      <w:r w:rsidR="00955168">
        <w:rPr>
          <w:rFonts w:ascii="Abadi Extra Light" w:hAnsi="Abadi Extra Light"/>
        </w:rPr>
        <w:t xml:space="preserve">equity and trust, along with the potential reform of establishing a single regulatory authority, presents a significant area of legal discourse. </w:t>
      </w:r>
      <w:r w:rsidR="00131B39">
        <w:rPr>
          <w:rFonts w:ascii="Abadi Extra Light" w:hAnsi="Abadi Extra Light"/>
        </w:rPr>
        <w:t xml:space="preserve">Equity and trust are foundational in ensuring fairness and justice, particularly </w:t>
      </w:r>
      <w:r w:rsidR="000879A5">
        <w:rPr>
          <w:rFonts w:ascii="Abadi Extra Light" w:hAnsi="Abadi Extra Light"/>
        </w:rPr>
        <w:t xml:space="preserve">in scenarios where rigid legal rules might otherwise result in unjust outcomes. </w:t>
      </w:r>
      <w:r w:rsidR="00980789">
        <w:rPr>
          <w:rFonts w:ascii="Abadi Extra Light" w:hAnsi="Abadi Extra Light"/>
        </w:rPr>
        <w:t>Trusts, as legal mechanisms</w:t>
      </w:r>
      <w:r w:rsidR="00BA6C95">
        <w:rPr>
          <w:rFonts w:ascii="Abadi Extra Light" w:hAnsi="Abadi Extra Light"/>
        </w:rPr>
        <w:t>, allow one party to hold property for the benefit of another, necessi</w:t>
      </w:r>
      <w:r w:rsidR="0057452F">
        <w:rPr>
          <w:rFonts w:ascii="Abadi Extra Light" w:hAnsi="Abadi Extra Light"/>
        </w:rPr>
        <w:t xml:space="preserve">tating stringent regulation to prevent abuse and safeguard beneficiaries’ interests. </w:t>
      </w:r>
      <w:r w:rsidR="007A7A5D">
        <w:rPr>
          <w:rFonts w:ascii="Abadi Extra Light" w:hAnsi="Abadi Extra Light"/>
        </w:rPr>
        <w:t>The proposal for a single regulatory authority aims to streamline oversight, reduce inconsistencies</w:t>
      </w:r>
      <w:r w:rsidR="00557821">
        <w:rPr>
          <w:rFonts w:ascii="Abadi Extra Light" w:hAnsi="Abadi Extra Light"/>
        </w:rPr>
        <w:t xml:space="preserve"> and enhance the enforcement of equitable principles. Current regulatory </w:t>
      </w:r>
      <w:r w:rsidR="008964A0">
        <w:rPr>
          <w:rFonts w:ascii="Abadi Extra Light" w:hAnsi="Abadi Extra Light"/>
        </w:rPr>
        <w:t xml:space="preserve">frameworks involve multiple bodies overseeing various aspects of equity and trust, leading to fragmented regulation and potential loopholes. A unified authority </w:t>
      </w:r>
      <w:r w:rsidR="00720EDD">
        <w:rPr>
          <w:rFonts w:ascii="Abadi Extra Light" w:hAnsi="Abadi Extra Light"/>
        </w:rPr>
        <w:t xml:space="preserve">could offer clearer guidance, consistent rulings and a centralised approach to managing </w:t>
      </w:r>
      <w:r w:rsidR="007D4EE0">
        <w:rPr>
          <w:rFonts w:ascii="Abadi Extra Light" w:hAnsi="Abadi Extra Light"/>
        </w:rPr>
        <w:t>disputes and ensuring compliance. However, the implementation of such reform must address potential challenges</w:t>
      </w:r>
      <w:r w:rsidR="00AD58AF">
        <w:rPr>
          <w:rFonts w:ascii="Abadi Extra Light" w:hAnsi="Abadi Extra Light"/>
        </w:rPr>
        <w:t>, including the risk of over-centralisation and the need to balance flexibility with standardisation</w:t>
      </w:r>
      <w:r w:rsidR="00B92465">
        <w:rPr>
          <w:rFonts w:ascii="Abadi Extra Light" w:hAnsi="Abadi Extra Light"/>
        </w:rPr>
        <w:t xml:space="preserve">. The new regulatory framework must be comprehensive yet adaptable to diverse trust arrangements and equitable issues. This </w:t>
      </w:r>
      <w:r w:rsidR="00BF3BFA">
        <w:rPr>
          <w:rFonts w:ascii="Abadi Extra Light" w:hAnsi="Abadi Extra Light"/>
        </w:rPr>
        <w:t xml:space="preserve">introduction sets the stage for a detailed examination of the benefits and challenges associated with </w:t>
      </w:r>
      <w:r w:rsidR="00D81D2D">
        <w:rPr>
          <w:rFonts w:ascii="Abadi Extra Light" w:hAnsi="Abadi Extra Light"/>
        </w:rPr>
        <w:t>the establishment of a single regulatory authority for equity and trust, highlighting the importance of maintaining balance and fairness.</w:t>
      </w:r>
    </w:p>
    <w:p w14:paraId="07234836" w14:textId="770B9789" w:rsidR="003332EE" w:rsidRPr="00D96D30" w:rsidRDefault="00D96D30">
      <w:pPr>
        <w:rPr>
          <w:rFonts w:ascii="Abadi Extra Light" w:hAnsi="Abadi Extra Light"/>
          <w:u w:val="single"/>
        </w:rPr>
      </w:pPr>
      <w:r w:rsidRPr="00D96D30">
        <w:rPr>
          <w:rFonts w:ascii="Abadi Extra Light" w:hAnsi="Abadi Extra Light"/>
          <w:u w:val="single"/>
        </w:rPr>
        <w:t xml:space="preserve">Current Positions </w:t>
      </w:r>
    </w:p>
    <w:p w14:paraId="7AFB8A8F" w14:textId="17340E82" w:rsidR="00181780" w:rsidRDefault="00B57032">
      <w:pPr>
        <w:rPr>
          <w:rFonts w:ascii="Abadi Extra Light" w:hAnsi="Abadi Extra Light"/>
        </w:rPr>
      </w:pPr>
      <w:r>
        <w:rPr>
          <w:rFonts w:ascii="Abadi Extra Light" w:hAnsi="Abadi Extra Light"/>
        </w:rPr>
        <w:t xml:space="preserve">The regulation of equity and trusts is not centralised under a single regulatory </w:t>
      </w:r>
      <w:r w:rsidR="002946BE">
        <w:rPr>
          <w:rFonts w:ascii="Abadi Extra Light" w:hAnsi="Abadi Extra Light"/>
        </w:rPr>
        <w:t xml:space="preserve">body, but rather distributed among various entities, each overseeing different </w:t>
      </w:r>
      <w:r w:rsidR="00426F65">
        <w:rPr>
          <w:rFonts w:ascii="Abadi Extra Light" w:hAnsi="Abadi Extra Light"/>
        </w:rPr>
        <w:t xml:space="preserve">aspects of trust management and administration. The </w:t>
      </w:r>
      <w:r w:rsidR="00F35514">
        <w:rPr>
          <w:rFonts w:ascii="Abadi Extra Light" w:hAnsi="Abadi Extra Light"/>
        </w:rPr>
        <w:t xml:space="preserve">Charity Commission plays a pivotal role in regulating charitable trusts, ensuring </w:t>
      </w:r>
      <w:r w:rsidR="00E2252A">
        <w:rPr>
          <w:rFonts w:ascii="Abadi Extra Light" w:hAnsi="Abadi Extra Light"/>
        </w:rPr>
        <w:t xml:space="preserve">that they adhere to charity law and operate for the public benefit. This body has the authority </w:t>
      </w:r>
      <w:r w:rsidR="00181780">
        <w:rPr>
          <w:rFonts w:ascii="Abadi Extra Light" w:hAnsi="Abadi Extra Light"/>
        </w:rPr>
        <w:t>to investigate and take action against trustees who fail to comply with their legal obligations</w:t>
      </w:r>
      <w:r w:rsidR="00365585">
        <w:rPr>
          <w:rFonts w:ascii="Abadi Extra Light" w:hAnsi="Abadi Extra Light"/>
        </w:rPr>
        <w:t xml:space="preserve"> </w:t>
      </w:r>
      <w:sdt>
        <w:sdtPr>
          <w:rPr>
            <w:rFonts w:ascii="Abadi Extra Light" w:hAnsi="Abadi Extra Light"/>
          </w:rPr>
          <w:id w:val="1262875727"/>
          <w:citation/>
        </w:sdtPr>
        <w:sdtContent>
          <w:r w:rsidR="00365585">
            <w:rPr>
              <w:rFonts w:ascii="Abadi Extra Light" w:hAnsi="Abadi Extra Light"/>
            </w:rPr>
            <w:fldChar w:fldCharType="begin"/>
          </w:r>
          <w:r w:rsidR="00365585">
            <w:rPr>
              <w:rFonts w:ascii="Abadi Extra Light" w:hAnsi="Abadi Extra Light"/>
            </w:rPr>
            <w:instrText xml:space="preserve"> CITATION GOV18 \l 2057 </w:instrText>
          </w:r>
          <w:r w:rsidR="00365585">
            <w:rPr>
              <w:rFonts w:ascii="Abadi Extra Light" w:hAnsi="Abadi Extra Light"/>
            </w:rPr>
            <w:fldChar w:fldCharType="separate"/>
          </w:r>
          <w:r w:rsidR="00365585" w:rsidRPr="00365585">
            <w:rPr>
              <w:rFonts w:ascii="Abadi Extra Light" w:hAnsi="Abadi Extra Light"/>
              <w:noProof/>
            </w:rPr>
            <w:t>(GOV, 2018)</w:t>
          </w:r>
          <w:r w:rsidR="00365585">
            <w:rPr>
              <w:rFonts w:ascii="Abadi Extra Light" w:hAnsi="Abadi Extra Light"/>
            </w:rPr>
            <w:fldChar w:fldCharType="end"/>
          </w:r>
        </w:sdtContent>
      </w:sdt>
    </w:p>
    <w:p w14:paraId="318A7F8E" w14:textId="0BCC6254" w:rsidR="007808C8" w:rsidRDefault="00886472">
      <w:pPr>
        <w:rPr>
          <w:rFonts w:ascii="Abadi Extra Light" w:hAnsi="Abadi Extra Light"/>
        </w:rPr>
      </w:pPr>
      <w:r>
        <w:rPr>
          <w:rFonts w:ascii="Abadi Extra Light" w:hAnsi="Abadi Extra Light"/>
        </w:rPr>
        <w:t xml:space="preserve">For non-charitable, private trusts, </w:t>
      </w:r>
      <w:r w:rsidR="002556FB">
        <w:rPr>
          <w:rFonts w:ascii="Abadi Extra Light" w:hAnsi="Abadi Extra Light"/>
        </w:rPr>
        <w:t xml:space="preserve">the judicial system, particularly the Chancery Division of the High Court, serves </w:t>
      </w:r>
      <w:r w:rsidR="00076CAC">
        <w:rPr>
          <w:rFonts w:ascii="Abadi Extra Light" w:hAnsi="Abadi Extra Light"/>
        </w:rPr>
        <w:t xml:space="preserve">as the primary mechanism for oversight. The courts are responsible for adjudicating </w:t>
      </w:r>
      <w:r w:rsidR="00993C7F">
        <w:rPr>
          <w:rFonts w:ascii="Abadi Extra Light" w:hAnsi="Abadi Extra Light"/>
        </w:rPr>
        <w:t xml:space="preserve">disputes, interpreting trust documents and ensuring that trustees fulfil their </w:t>
      </w:r>
      <w:r w:rsidR="001742D3">
        <w:rPr>
          <w:rFonts w:ascii="Abadi Extra Light" w:hAnsi="Abadi Extra Light"/>
        </w:rPr>
        <w:t xml:space="preserve">fiduciary duties to beneficiaries. This judicial oversight is crucial in maintaining the integrity </w:t>
      </w:r>
      <w:r w:rsidR="00E9457B">
        <w:rPr>
          <w:rFonts w:ascii="Abadi Extra Light" w:hAnsi="Abadi Extra Light"/>
        </w:rPr>
        <w:t>and proper functioning of private trusts.</w:t>
      </w:r>
      <w:r w:rsidR="002726A6" w:rsidRPr="002726A6">
        <w:rPr>
          <w:rFonts w:ascii="Abadi Extra Light" w:hAnsi="Abadi Extra Light"/>
        </w:rPr>
        <w:t xml:space="preserve"> </w:t>
      </w:r>
      <w:sdt>
        <w:sdtPr>
          <w:rPr>
            <w:rFonts w:ascii="Abadi Extra Light" w:hAnsi="Abadi Extra Light"/>
          </w:rPr>
          <w:id w:val="642326191"/>
          <w:citation/>
        </w:sdtPr>
        <w:sdtContent>
          <w:r w:rsidR="002726A6">
            <w:rPr>
              <w:rFonts w:ascii="Abadi Extra Light" w:hAnsi="Abadi Extra Light"/>
            </w:rPr>
            <w:fldChar w:fldCharType="begin"/>
          </w:r>
          <w:r w:rsidR="002726A6">
            <w:rPr>
              <w:rFonts w:ascii="Abadi Extra Light" w:hAnsi="Abadi Extra Light"/>
            </w:rPr>
            <w:instrText xml:space="preserve"> CITATION Min17 \l 2057 </w:instrText>
          </w:r>
          <w:r w:rsidR="002726A6">
            <w:rPr>
              <w:rFonts w:ascii="Abadi Extra Light" w:hAnsi="Abadi Extra Light"/>
            </w:rPr>
            <w:fldChar w:fldCharType="separate"/>
          </w:r>
          <w:r w:rsidR="002726A6" w:rsidRPr="005F50B8">
            <w:rPr>
              <w:rFonts w:ascii="Abadi Extra Light" w:hAnsi="Abadi Extra Light"/>
              <w:noProof/>
            </w:rPr>
            <w:t>(Ministry of Justice, 2017)</w:t>
          </w:r>
          <w:r w:rsidR="002726A6">
            <w:rPr>
              <w:rFonts w:ascii="Abadi Extra Light" w:hAnsi="Abadi Extra Light"/>
            </w:rPr>
            <w:fldChar w:fldCharType="end"/>
          </w:r>
        </w:sdtContent>
      </w:sdt>
      <w:r w:rsidR="002726A6">
        <w:rPr>
          <w:rFonts w:ascii="Abadi Extra Light" w:hAnsi="Abadi Extra Light"/>
        </w:rPr>
        <w:t>.</w:t>
      </w:r>
    </w:p>
    <w:p w14:paraId="666F5B59" w14:textId="6183DA79" w:rsidR="00E9457B" w:rsidRDefault="00E9457B">
      <w:pPr>
        <w:rPr>
          <w:rFonts w:ascii="Abadi Extra Light" w:hAnsi="Abadi Extra Light"/>
        </w:rPr>
      </w:pPr>
      <w:r>
        <w:rPr>
          <w:rFonts w:ascii="Abadi Extra Light" w:hAnsi="Abadi Extra Light"/>
        </w:rPr>
        <w:t xml:space="preserve">Additionally, professional regulatory bodies such as the </w:t>
      </w:r>
      <w:r w:rsidR="009F7936">
        <w:rPr>
          <w:rFonts w:ascii="Abadi Extra Light" w:hAnsi="Abadi Extra Light"/>
        </w:rPr>
        <w:t>Solicitors</w:t>
      </w:r>
      <w:r>
        <w:rPr>
          <w:rFonts w:ascii="Abadi Extra Light" w:hAnsi="Abadi Extra Light"/>
        </w:rPr>
        <w:t xml:space="preserve"> Regulation Authority </w:t>
      </w:r>
      <w:r w:rsidR="00E43165">
        <w:rPr>
          <w:rFonts w:ascii="Abadi Extra Light" w:hAnsi="Abadi Extra Light"/>
        </w:rPr>
        <w:t xml:space="preserve">(SRA) and the Financial Conduct Authority (FCA) oversee </w:t>
      </w:r>
      <w:r w:rsidR="009F7936">
        <w:rPr>
          <w:rFonts w:ascii="Abadi Extra Light" w:hAnsi="Abadi Extra Light"/>
        </w:rPr>
        <w:t>legal and financial professionals who may act as trustee</w:t>
      </w:r>
      <w:r w:rsidR="00195328">
        <w:rPr>
          <w:rFonts w:ascii="Abadi Extra Light" w:hAnsi="Abadi Extra Light"/>
        </w:rPr>
        <w:t>s. Theses bodies enforce standards of professional conduct and ensure that trustees pos</w:t>
      </w:r>
      <w:r w:rsidR="003D56AF">
        <w:rPr>
          <w:rFonts w:ascii="Abadi Extra Light" w:hAnsi="Abadi Extra Light"/>
        </w:rPr>
        <w:t>sess the necessary expertise and ethical standards to manage trusts effectively</w:t>
      </w:r>
      <w:r w:rsidR="00ED1D6D">
        <w:rPr>
          <w:rFonts w:ascii="Abadi Extra Light" w:hAnsi="Abadi Extra Light"/>
        </w:rPr>
        <w:t xml:space="preserve"> </w:t>
      </w:r>
      <w:sdt>
        <w:sdtPr>
          <w:rPr>
            <w:rFonts w:ascii="Abadi Extra Light" w:hAnsi="Abadi Extra Light"/>
          </w:rPr>
          <w:id w:val="2121715025"/>
          <w:citation/>
        </w:sdtPr>
        <w:sdtContent>
          <w:r w:rsidR="00ED1D6D">
            <w:rPr>
              <w:rFonts w:ascii="Abadi Extra Light" w:hAnsi="Abadi Extra Light"/>
            </w:rPr>
            <w:fldChar w:fldCharType="begin"/>
          </w:r>
          <w:r w:rsidR="00ED1D6D">
            <w:rPr>
              <w:rFonts w:ascii="Abadi Extra Light" w:hAnsi="Abadi Extra Light"/>
            </w:rPr>
            <w:instrText xml:space="preserve"> CITATION Sos18 \l 2057 </w:instrText>
          </w:r>
          <w:r w:rsidR="00ED1D6D">
            <w:rPr>
              <w:rFonts w:ascii="Abadi Extra Light" w:hAnsi="Abadi Extra Light"/>
            </w:rPr>
            <w:fldChar w:fldCharType="separate"/>
          </w:r>
          <w:r w:rsidR="00ED1D6D" w:rsidRPr="00ED1D6D">
            <w:rPr>
              <w:rFonts w:ascii="Abadi Extra Light" w:hAnsi="Abadi Extra Light"/>
              <w:noProof/>
            </w:rPr>
            <w:t>(Sosborn, 2018)</w:t>
          </w:r>
          <w:r w:rsidR="00ED1D6D">
            <w:rPr>
              <w:rFonts w:ascii="Abadi Extra Light" w:hAnsi="Abadi Extra Light"/>
            </w:rPr>
            <w:fldChar w:fldCharType="end"/>
          </w:r>
        </w:sdtContent>
      </w:sdt>
      <w:r w:rsidR="007B5FCF">
        <w:rPr>
          <w:rFonts w:ascii="Abadi Extra Light" w:hAnsi="Abadi Extra Light"/>
        </w:rPr>
        <w:t>.</w:t>
      </w:r>
    </w:p>
    <w:p w14:paraId="7BA5BDF1" w14:textId="79A8BC0B" w:rsidR="003D56AF" w:rsidRDefault="00B73DDB">
      <w:pPr>
        <w:rPr>
          <w:rFonts w:ascii="Abadi Extra Light" w:hAnsi="Abadi Extra Light"/>
        </w:rPr>
      </w:pPr>
      <w:r>
        <w:rPr>
          <w:rFonts w:ascii="Abadi Extra Light" w:hAnsi="Abadi Extra Light"/>
        </w:rPr>
        <w:t xml:space="preserve">Overall, the regulation of equity and trusts is </w:t>
      </w:r>
      <w:r w:rsidR="002A145B">
        <w:rPr>
          <w:rFonts w:ascii="Abadi Extra Light" w:hAnsi="Abadi Extra Light"/>
        </w:rPr>
        <w:t xml:space="preserve">a multifaceted system involving various entities, each </w:t>
      </w:r>
      <w:r w:rsidR="00115D8C">
        <w:rPr>
          <w:rFonts w:ascii="Abadi Extra Light" w:hAnsi="Abadi Extra Light"/>
        </w:rPr>
        <w:t>contributing</w:t>
      </w:r>
      <w:r w:rsidR="002A145B">
        <w:rPr>
          <w:rFonts w:ascii="Abadi Extra Light" w:hAnsi="Abadi Extra Light"/>
        </w:rPr>
        <w:t xml:space="preserve"> to the </w:t>
      </w:r>
      <w:r w:rsidR="00115D8C">
        <w:rPr>
          <w:rFonts w:ascii="Abadi Extra Light" w:hAnsi="Abadi Extra Light"/>
        </w:rPr>
        <w:t>governance</w:t>
      </w:r>
      <w:r w:rsidR="002A145B">
        <w:rPr>
          <w:rFonts w:ascii="Abadi Extra Light" w:hAnsi="Abadi Extra Light"/>
        </w:rPr>
        <w:t xml:space="preserve"> and accountability </w:t>
      </w:r>
      <w:r w:rsidR="00115D8C">
        <w:rPr>
          <w:rFonts w:ascii="Abadi Extra Light" w:hAnsi="Abadi Extra Light"/>
        </w:rPr>
        <w:t>of trustees in different contexts.</w:t>
      </w:r>
    </w:p>
    <w:p w14:paraId="58DFE5D3" w14:textId="77777777" w:rsidR="003332EE" w:rsidRDefault="003332EE">
      <w:pPr>
        <w:rPr>
          <w:rFonts w:ascii="Abadi Extra Light" w:hAnsi="Abadi Extra Light"/>
        </w:rPr>
      </w:pPr>
    </w:p>
    <w:p w14:paraId="20F8D108" w14:textId="77777777" w:rsidR="00D96D30" w:rsidRDefault="00D96D30">
      <w:pPr>
        <w:rPr>
          <w:rFonts w:ascii="Abadi Extra Light" w:hAnsi="Abadi Extra Light"/>
        </w:rPr>
      </w:pPr>
    </w:p>
    <w:p w14:paraId="5350B991" w14:textId="77777777" w:rsidR="00CD1EB4" w:rsidRDefault="00CD1EB4">
      <w:pPr>
        <w:rPr>
          <w:rFonts w:ascii="Abadi Extra Light" w:hAnsi="Abadi Extra Light"/>
          <w:u w:val="single"/>
        </w:rPr>
      </w:pPr>
    </w:p>
    <w:p w14:paraId="177E2713" w14:textId="4C0E1537" w:rsidR="0052770E" w:rsidRDefault="00D96D30">
      <w:pPr>
        <w:rPr>
          <w:rFonts w:ascii="Abadi Extra Light" w:hAnsi="Abadi Extra Light"/>
          <w:u w:val="single"/>
        </w:rPr>
      </w:pPr>
      <w:r w:rsidRPr="00C50196">
        <w:rPr>
          <w:rFonts w:ascii="Abadi Extra Light" w:hAnsi="Abadi Extra Light"/>
          <w:u w:val="single"/>
        </w:rPr>
        <w:t>Current Challenges</w:t>
      </w:r>
    </w:p>
    <w:p w14:paraId="363A7983" w14:textId="600413F2" w:rsidR="00ED1CF3" w:rsidRPr="003332EE" w:rsidRDefault="0056405A">
      <w:pPr>
        <w:rPr>
          <w:rFonts w:ascii="Abadi Extra Light" w:hAnsi="Abadi Extra Light"/>
          <w:u w:val="single"/>
        </w:rPr>
      </w:pPr>
      <w:r>
        <w:rPr>
          <w:rFonts w:ascii="Abadi Extra Light" w:hAnsi="Abadi Extra Light"/>
        </w:rPr>
        <w:t xml:space="preserve">The regulation of equity and trusts operates within a complex framework that lacks a singular </w:t>
      </w:r>
      <w:r w:rsidR="00A827AF">
        <w:rPr>
          <w:rFonts w:ascii="Abadi Extra Light" w:hAnsi="Abadi Extra Light"/>
        </w:rPr>
        <w:t>governing body, leading to a multifaceted system of oversight.</w:t>
      </w:r>
      <w:r w:rsidR="008454A8">
        <w:rPr>
          <w:rFonts w:ascii="Abadi Extra Light" w:hAnsi="Abadi Extra Light"/>
        </w:rPr>
        <w:t xml:space="preserve"> This structure</w:t>
      </w:r>
      <w:r w:rsidR="000F0087">
        <w:rPr>
          <w:rFonts w:ascii="Abadi Extra Light" w:hAnsi="Abadi Extra Light"/>
        </w:rPr>
        <w:t xml:space="preserve"> encompasses various entities, each responsible for different aspects of trust management and presents several challenges that impact</w:t>
      </w:r>
      <w:r w:rsidR="00506C7D">
        <w:rPr>
          <w:rFonts w:ascii="Abadi Extra Light" w:hAnsi="Abadi Extra Light"/>
        </w:rPr>
        <w:t xml:space="preserve"> the efficacy of regulation and the protection of beneficiaries.</w:t>
      </w:r>
    </w:p>
    <w:p w14:paraId="0E2C2F64" w14:textId="3D3365C5" w:rsidR="00506C7D" w:rsidRDefault="00506C7D">
      <w:pPr>
        <w:rPr>
          <w:rFonts w:ascii="Abadi Extra Light" w:hAnsi="Abadi Extra Light"/>
        </w:rPr>
      </w:pPr>
      <w:r>
        <w:rPr>
          <w:rFonts w:ascii="Abadi Extra Light" w:hAnsi="Abadi Extra Light"/>
        </w:rPr>
        <w:t>At the forefront of this regulatory landscape is the Charity Commission</w:t>
      </w:r>
      <w:r w:rsidR="004C0E61">
        <w:rPr>
          <w:rFonts w:ascii="Abadi Extra Light" w:hAnsi="Abadi Extra Light"/>
        </w:rPr>
        <w:t xml:space="preserve">, which oversees charitable trusts. Established under the Charities Act 2011, the commission ensure that charitable </w:t>
      </w:r>
      <w:r w:rsidR="00C1299A">
        <w:rPr>
          <w:rFonts w:ascii="Abadi Extra Light" w:hAnsi="Abadi Extra Light"/>
        </w:rPr>
        <w:t>organisations operate in accordance with charity law, promoting account</w:t>
      </w:r>
      <w:r w:rsidR="00B813CF">
        <w:rPr>
          <w:rFonts w:ascii="Abadi Extra Light" w:hAnsi="Abadi Extra Light"/>
        </w:rPr>
        <w:t xml:space="preserve">ability and transparency. It has the authority to investigate </w:t>
      </w:r>
      <w:r w:rsidR="001A1BAF">
        <w:rPr>
          <w:rFonts w:ascii="Abadi Extra Light" w:hAnsi="Abadi Extra Light"/>
        </w:rPr>
        <w:t>breaches of duty by trustees and can impose sanctions or remove trustees who fail to comply</w:t>
      </w:r>
      <w:r w:rsidR="001A2BFE">
        <w:rPr>
          <w:rFonts w:ascii="Abadi Extra Light" w:hAnsi="Abadi Extra Light"/>
        </w:rPr>
        <w:t xml:space="preserve"> with their responsibilities. However, the reliance on the Charity </w:t>
      </w:r>
      <w:r w:rsidR="00B37CF0">
        <w:rPr>
          <w:rFonts w:ascii="Abadi Extra Light" w:hAnsi="Abadi Extra Light"/>
        </w:rPr>
        <w:t>Commission</w:t>
      </w:r>
      <w:r w:rsidR="001A2BFE">
        <w:rPr>
          <w:rFonts w:ascii="Abadi Extra Light" w:hAnsi="Abadi Extra Light"/>
        </w:rPr>
        <w:t xml:space="preserve"> </w:t>
      </w:r>
      <w:r w:rsidR="00B37CF0">
        <w:rPr>
          <w:rFonts w:ascii="Abadi Extra Light" w:hAnsi="Abadi Extra Light"/>
        </w:rPr>
        <w:t>for oversight of charitable trusts can lead to inconsistencies</w:t>
      </w:r>
      <w:r w:rsidR="00B856EC">
        <w:rPr>
          <w:rFonts w:ascii="Abadi Extra Light" w:hAnsi="Abadi Extra Light"/>
        </w:rPr>
        <w:t>, as the Commissions resources are often stretched, limiting its ability to monitor all charitable activities effectively</w:t>
      </w:r>
      <w:r w:rsidR="00A353D2">
        <w:rPr>
          <w:rFonts w:ascii="Abadi Extra Light" w:hAnsi="Abadi Extra Light"/>
        </w:rPr>
        <w:t xml:space="preserve"> </w:t>
      </w:r>
      <w:sdt>
        <w:sdtPr>
          <w:rPr>
            <w:rFonts w:ascii="Abadi Extra Light" w:hAnsi="Abadi Extra Light"/>
          </w:rPr>
          <w:id w:val="-1856801985"/>
          <w:citation/>
        </w:sdtPr>
        <w:sdtContent>
          <w:r w:rsidR="00E03920">
            <w:rPr>
              <w:rFonts w:ascii="Abadi Extra Light" w:hAnsi="Abadi Extra Light"/>
            </w:rPr>
            <w:fldChar w:fldCharType="begin"/>
          </w:r>
          <w:r w:rsidR="00E03920">
            <w:rPr>
              <w:rFonts w:ascii="Abadi Extra Light" w:hAnsi="Abadi Extra Light"/>
            </w:rPr>
            <w:instrText xml:space="preserve">CITATION Cha24 \l 2057 </w:instrText>
          </w:r>
          <w:r w:rsidR="00E03920">
            <w:rPr>
              <w:rFonts w:ascii="Abadi Extra Light" w:hAnsi="Abadi Extra Light"/>
            </w:rPr>
            <w:fldChar w:fldCharType="separate"/>
          </w:r>
          <w:r w:rsidR="00E03920" w:rsidRPr="00E03920">
            <w:rPr>
              <w:rFonts w:ascii="Abadi Extra Light" w:hAnsi="Abadi Extra Light"/>
              <w:noProof/>
            </w:rPr>
            <w:t>(GOV, 2024)</w:t>
          </w:r>
          <w:r w:rsidR="00E03920">
            <w:rPr>
              <w:rFonts w:ascii="Abadi Extra Light" w:hAnsi="Abadi Extra Light"/>
            </w:rPr>
            <w:fldChar w:fldCharType="end"/>
          </w:r>
        </w:sdtContent>
      </w:sdt>
      <w:r w:rsidR="00E03920">
        <w:rPr>
          <w:rFonts w:ascii="Abadi Extra Light" w:hAnsi="Abadi Extra Light"/>
        </w:rPr>
        <w:t>.</w:t>
      </w:r>
    </w:p>
    <w:p w14:paraId="02EB73A4" w14:textId="3BA6FA3B" w:rsidR="00B856EC" w:rsidRDefault="008326C9">
      <w:pPr>
        <w:rPr>
          <w:rFonts w:ascii="Abadi Extra Light" w:hAnsi="Abadi Extra Light"/>
        </w:rPr>
      </w:pPr>
      <w:r>
        <w:rPr>
          <w:rFonts w:ascii="Abadi Extra Light" w:hAnsi="Abadi Extra Light"/>
        </w:rPr>
        <w:t xml:space="preserve">For private trusts, the primary regulatory </w:t>
      </w:r>
      <w:r w:rsidR="000A65F7">
        <w:rPr>
          <w:rFonts w:ascii="Abadi Extra Light" w:hAnsi="Abadi Extra Light"/>
        </w:rPr>
        <w:t xml:space="preserve">framework is provided by the judicial system, </w:t>
      </w:r>
      <w:r w:rsidR="00CA7E35">
        <w:rPr>
          <w:rFonts w:ascii="Abadi Extra Light" w:hAnsi="Abadi Extra Light"/>
        </w:rPr>
        <w:t>particularly</w:t>
      </w:r>
      <w:r w:rsidR="000A65F7">
        <w:rPr>
          <w:rFonts w:ascii="Abadi Extra Light" w:hAnsi="Abadi Extra Light"/>
        </w:rPr>
        <w:t xml:space="preserve"> </w:t>
      </w:r>
      <w:r w:rsidR="00CA7E35">
        <w:rPr>
          <w:rFonts w:ascii="Abadi Extra Light" w:hAnsi="Abadi Extra Light"/>
        </w:rPr>
        <w:t xml:space="preserve">through the Chancery Division of the High Court. </w:t>
      </w:r>
      <w:r w:rsidR="000516AA">
        <w:rPr>
          <w:rFonts w:ascii="Abadi Extra Light" w:hAnsi="Abadi Extra Light"/>
        </w:rPr>
        <w:t xml:space="preserve">The courts </w:t>
      </w:r>
      <w:r w:rsidR="000B573D">
        <w:rPr>
          <w:rFonts w:ascii="Abadi Extra Light" w:hAnsi="Abadi Extra Light"/>
        </w:rPr>
        <w:t xml:space="preserve">play a crucial role in interpreting trust documents, resolving </w:t>
      </w:r>
      <w:r w:rsidR="009105C6">
        <w:rPr>
          <w:rFonts w:ascii="Abadi Extra Light" w:hAnsi="Abadi Extra Light"/>
        </w:rPr>
        <w:t xml:space="preserve">disputes among beneficiaries and trustees and ensuring that fiduciary </w:t>
      </w:r>
      <w:r w:rsidR="009E1BD8">
        <w:rPr>
          <w:rFonts w:ascii="Abadi Extra Light" w:hAnsi="Abadi Extra Light"/>
        </w:rPr>
        <w:t>duties are upheld. However, the court system can be slow and expensive, which may deter beneficiaries from p</w:t>
      </w:r>
      <w:r w:rsidR="00C67F37">
        <w:rPr>
          <w:rFonts w:ascii="Abadi Extra Light" w:hAnsi="Abadi Extra Light"/>
        </w:rPr>
        <w:t xml:space="preserve">ursuing legal action against trustees who may be mismanaging the trust or failing to act in the best interest </w:t>
      </w:r>
      <w:r w:rsidR="00D56443">
        <w:rPr>
          <w:rFonts w:ascii="Abadi Extra Light" w:hAnsi="Abadi Extra Light"/>
        </w:rPr>
        <w:t xml:space="preserve">of the beneficiaries. The complexities of the legal proceedings </w:t>
      </w:r>
      <w:r w:rsidR="00EA312F">
        <w:rPr>
          <w:rFonts w:ascii="Abadi Extra Light" w:hAnsi="Abadi Extra Light"/>
        </w:rPr>
        <w:t xml:space="preserve">often exacerbate the challenges faced by beneficiaries, particularly those who may not </w:t>
      </w:r>
      <w:r w:rsidR="00F11840">
        <w:rPr>
          <w:rFonts w:ascii="Abadi Extra Light" w:hAnsi="Abadi Extra Light"/>
        </w:rPr>
        <w:t>have the resources to engage in protracted litigation</w:t>
      </w:r>
      <w:r w:rsidR="00D15337">
        <w:rPr>
          <w:rFonts w:ascii="Abadi Extra Light" w:hAnsi="Abadi Extra Light"/>
        </w:rPr>
        <w:t xml:space="preserve"> </w:t>
      </w:r>
      <w:sdt>
        <w:sdtPr>
          <w:rPr>
            <w:rFonts w:ascii="Abadi Extra Light" w:hAnsi="Abadi Extra Light"/>
          </w:rPr>
          <w:id w:val="-554621713"/>
          <w:citation/>
        </w:sdtPr>
        <w:sdtContent>
          <w:r w:rsidR="00D15337">
            <w:rPr>
              <w:rFonts w:ascii="Abadi Extra Light" w:hAnsi="Abadi Extra Light"/>
            </w:rPr>
            <w:fldChar w:fldCharType="begin"/>
          </w:r>
          <w:r w:rsidR="00D15337">
            <w:rPr>
              <w:rFonts w:ascii="Abadi Extra Light" w:hAnsi="Abadi Extra Light"/>
            </w:rPr>
            <w:instrText xml:space="preserve"> CITATION Lee24 \l 2057 </w:instrText>
          </w:r>
          <w:r w:rsidR="00D15337">
            <w:rPr>
              <w:rFonts w:ascii="Abadi Extra Light" w:hAnsi="Abadi Extra Light"/>
            </w:rPr>
            <w:fldChar w:fldCharType="separate"/>
          </w:r>
          <w:r w:rsidR="00D15337" w:rsidRPr="00D15337">
            <w:rPr>
              <w:rFonts w:ascii="Abadi Extra Light" w:hAnsi="Abadi Extra Light"/>
              <w:noProof/>
            </w:rPr>
            <w:t>(Lee &amp; Yip, 2024)</w:t>
          </w:r>
          <w:r w:rsidR="00D15337">
            <w:rPr>
              <w:rFonts w:ascii="Abadi Extra Light" w:hAnsi="Abadi Extra Light"/>
            </w:rPr>
            <w:fldChar w:fldCharType="end"/>
          </w:r>
        </w:sdtContent>
      </w:sdt>
      <w:r w:rsidR="00E64CAD">
        <w:rPr>
          <w:rFonts w:ascii="Abadi Extra Light" w:hAnsi="Abadi Extra Light"/>
        </w:rPr>
        <w:t>.</w:t>
      </w:r>
    </w:p>
    <w:p w14:paraId="46D55DD8" w14:textId="7AFB9FC4" w:rsidR="00F11840" w:rsidRDefault="00F11840">
      <w:pPr>
        <w:rPr>
          <w:rFonts w:ascii="Abadi Extra Light" w:hAnsi="Abadi Extra Light"/>
        </w:rPr>
      </w:pPr>
      <w:r>
        <w:rPr>
          <w:rFonts w:ascii="Abadi Extra Light" w:hAnsi="Abadi Extra Light"/>
        </w:rPr>
        <w:t xml:space="preserve">One of the significant challenges in the regulation of trusts is the increasing complexity </w:t>
      </w:r>
      <w:r w:rsidR="00EE3931">
        <w:rPr>
          <w:rFonts w:ascii="Abadi Extra Light" w:hAnsi="Abadi Extra Light"/>
        </w:rPr>
        <w:t>of trust arrangements. With the advent of digital assets, cry</w:t>
      </w:r>
      <w:r w:rsidR="00F8186C">
        <w:rPr>
          <w:rFonts w:ascii="Abadi Extra Light" w:hAnsi="Abadi Extra Light"/>
        </w:rPr>
        <w:t xml:space="preserve">ptocurrencies and modern investment </w:t>
      </w:r>
      <w:r w:rsidR="00125669">
        <w:rPr>
          <w:rFonts w:ascii="Abadi Extra Light" w:hAnsi="Abadi Extra Light"/>
        </w:rPr>
        <w:t>vehicles</w:t>
      </w:r>
      <w:r w:rsidR="00F8186C">
        <w:rPr>
          <w:rFonts w:ascii="Abadi Extra Light" w:hAnsi="Abadi Extra Light"/>
        </w:rPr>
        <w:t xml:space="preserve">, many traditional </w:t>
      </w:r>
      <w:r w:rsidR="00125669">
        <w:rPr>
          <w:rFonts w:ascii="Abadi Extra Light" w:hAnsi="Abadi Extra Light"/>
        </w:rPr>
        <w:t xml:space="preserve">regulatory frameworks are ill-equipped to address </w:t>
      </w:r>
      <w:r w:rsidR="002C28F0">
        <w:rPr>
          <w:rFonts w:ascii="Abadi Extra Light" w:hAnsi="Abadi Extra Light"/>
        </w:rPr>
        <w:t>these new forms of property</w:t>
      </w:r>
      <w:r w:rsidR="00E7658B">
        <w:rPr>
          <w:rFonts w:ascii="Abadi Extra Light" w:hAnsi="Abadi Extra Light"/>
        </w:rPr>
        <w:t xml:space="preserve"> </w:t>
      </w:r>
      <w:sdt>
        <w:sdtPr>
          <w:rPr>
            <w:rFonts w:ascii="Abadi Extra Light" w:hAnsi="Abadi Extra Light"/>
          </w:rPr>
          <w:id w:val="-2063704358"/>
          <w:citation/>
        </w:sdtPr>
        <w:sdtContent>
          <w:r w:rsidR="00E7658B">
            <w:rPr>
              <w:rFonts w:ascii="Abadi Extra Light" w:hAnsi="Abadi Extra Light"/>
            </w:rPr>
            <w:fldChar w:fldCharType="begin"/>
          </w:r>
          <w:r w:rsidR="00E7658B">
            <w:rPr>
              <w:rFonts w:ascii="Abadi Extra Light" w:hAnsi="Abadi Extra Light"/>
            </w:rPr>
            <w:instrText xml:space="preserve"> CITATION FCA23 \l 2057 </w:instrText>
          </w:r>
          <w:r w:rsidR="00E7658B">
            <w:rPr>
              <w:rFonts w:ascii="Abadi Extra Light" w:hAnsi="Abadi Extra Light"/>
            </w:rPr>
            <w:fldChar w:fldCharType="separate"/>
          </w:r>
          <w:r w:rsidR="00E7658B" w:rsidRPr="00E7658B">
            <w:rPr>
              <w:rFonts w:ascii="Abadi Extra Light" w:hAnsi="Abadi Extra Light"/>
              <w:noProof/>
            </w:rPr>
            <w:t>(FCA, 2023)</w:t>
          </w:r>
          <w:r w:rsidR="00E7658B">
            <w:rPr>
              <w:rFonts w:ascii="Abadi Extra Light" w:hAnsi="Abadi Extra Light"/>
            </w:rPr>
            <w:fldChar w:fldCharType="end"/>
          </w:r>
        </w:sdtContent>
      </w:sdt>
      <w:r w:rsidR="00E7658B">
        <w:rPr>
          <w:rFonts w:ascii="Abadi Extra Light" w:hAnsi="Abadi Extra Light"/>
        </w:rPr>
        <w:t>.</w:t>
      </w:r>
      <w:r w:rsidR="002C28F0">
        <w:rPr>
          <w:rFonts w:ascii="Abadi Extra Light" w:hAnsi="Abadi Extra Light"/>
        </w:rPr>
        <w:t xml:space="preserve"> This lack of clarity can create </w:t>
      </w:r>
      <w:r w:rsidR="00473020">
        <w:rPr>
          <w:rFonts w:ascii="Abadi Extra Light" w:hAnsi="Abadi Extra Light"/>
        </w:rPr>
        <w:t xml:space="preserve">uncertainty for trustees and beneficiaries alike, as the legal status of these assets within a trust may not be well defined. </w:t>
      </w:r>
      <w:r w:rsidR="00B774EF">
        <w:rPr>
          <w:rFonts w:ascii="Abadi Extra Light" w:hAnsi="Abadi Extra Light"/>
        </w:rPr>
        <w:t xml:space="preserve">Furthermore, the rapid pace of technological change often outstrips the ability of regulatory </w:t>
      </w:r>
      <w:r w:rsidR="00CF7CD5">
        <w:rPr>
          <w:rFonts w:ascii="Abadi Extra Light" w:hAnsi="Abadi Extra Light"/>
        </w:rPr>
        <w:t>bodies to adapt, leading to gaps in protection and oversight</w:t>
      </w:r>
      <w:r w:rsidR="009F1802">
        <w:rPr>
          <w:rFonts w:ascii="Abadi Extra Light" w:hAnsi="Abadi Extra Light"/>
        </w:rPr>
        <w:t xml:space="preserve"> </w:t>
      </w:r>
      <w:sdt>
        <w:sdtPr>
          <w:rPr>
            <w:rFonts w:ascii="Abadi Extra Light" w:hAnsi="Abadi Extra Light"/>
          </w:rPr>
          <w:id w:val="220100139"/>
          <w:citation/>
        </w:sdtPr>
        <w:sdtContent>
          <w:r w:rsidR="009F1802">
            <w:rPr>
              <w:rFonts w:ascii="Abadi Extra Light" w:hAnsi="Abadi Extra Light"/>
            </w:rPr>
            <w:fldChar w:fldCharType="begin"/>
          </w:r>
          <w:r w:rsidR="009F1802">
            <w:rPr>
              <w:rFonts w:ascii="Abadi Extra Light" w:hAnsi="Abadi Extra Light"/>
            </w:rPr>
            <w:instrText xml:space="preserve"> CITATION Law232 \l 2057 </w:instrText>
          </w:r>
          <w:r w:rsidR="009F1802">
            <w:rPr>
              <w:rFonts w:ascii="Abadi Extra Light" w:hAnsi="Abadi Extra Light"/>
            </w:rPr>
            <w:fldChar w:fldCharType="separate"/>
          </w:r>
          <w:r w:rsidR="009F1802" w:rsidRPr="009F1802">
            <w:rPr>
              <w:rFonts w:ascii="Abadi Extra Light" w:hAnsi="Abadi Extra Light"/>
              <w:noProof/>
            </w:rPr>
            <w:t>(Law Commission, 2023)</w:t>
          </w:r>
          <w:r w:rsidR="009F1802">
            <w:rPr>
              <w:rFonts w:ascii="Abadi Extra Light" w:hAnsi="Abadi Extra Light"/>
            </w:rPr>
            <w:fldChar w:fldCharType="end"/>
          </w:r>
        </w:sdtContent>
      </w:sdt>
      <w:r w:rsidR="009F1802">
        <w:rPr>
          <w:rFonts w:ascii="Abadi Extra Light" w:hAnsi="Abadi Extra Light"/>
        </w:rPr>
        <w:t>.</w:t>
      </w:r>
    </w:p>
    <w:p w14:paraId="728176D0" w14:textId="27F0D8E4" w:rsidR="00882ECF" w:rsidRDefault="00882ECF">
      <w:pPr>
        <w:rPr>
          <w:rFonts w:ascii="Abadi Extra Light" w:hAnsi="Abadi Extra Light"/>
        </w:rPr>
      </w:pPr>
      <w:r>
        <w:rPr>
          <w:rFonts w:ascii="Abadi Extra Light" w:hAnsi="Abadi Extra Light"/>
        </w:rPr>
        <w:t>Another Critical issue is the accou</w:t>
      </w:r>
      <w:r w:rsidR="000B06E4">
        <w:rPr>
          <w:rFonts w:ascii="Abadi Extra Light" w:hAnsi="Abadi Extra Light"/>
        </w:rPr>
        <w:t>ntability of trustees. While trustees have a fiduciary duty to act in the best interests of the benef</w:t>
      </w:r>
      <w:r w:rsidR="005C3F27">
        <w:rPr>
          <w:rFonts w:ascii="Abadi Extra Light" w:hAnsi="Abadi Extra Light"/>
        </w:rPr>
        <w:t xml:space="preserve">iciaries, the enforcement of this duty can be challenging. </w:t>
      </w:r>
      <w:r w:rsidR="00566A2C">
        <w:rPr>
          <w:rFonts w:ascii="Abadi Extra Light" w:hAnsi="Abadi Extra Light"/>
        </w:rPr>
        <w:t>Beneficiaries may find it difficult to obtain information regarding the management</w:t>
      </w:r>
      <w:r w:rsidR="005B6537">
        <w:rPr>
          <w:rFonts w:ascii="Abadi Extra Light" w:hAnsi="Abadi Extra Light"/>
        </w:rPr>
        <w:t xml:space="preserve"> of the trust, leading to a lack of transparency. This opacity can hinder beneficiaries</w:t>
      </w:r>
      <w:r w:rsidR="00B13C1B">
        <w:rPr>
          <w:rFonts w:ascii="Abadi Extra Light" w:hAnsi="Abadi Extra Light"/>
        </w:rPr>
        <w:t>’ ability to hold trustees accountable for their actions</w:t>
      </w:r>
      <w:r w:rsidR="009A1F18">
        <w:rPr>
          <w:rFonts w:ascii="Abadi Extra Light" w:hAnsi="Abadi Extra Light"/>
        </w:rPr>
        <w:t>, particularly in cases where trustees may be acting in their own interests rather than those of the beneficiaries</w:t>
      </w:r>
      <w:r w:rsidR="009666B0">
        <w:rPr>
          <w:rFonts w:ascii="Abadi Extra Light" w:hAnsi="Abadi Extra Light"/>
        </w:rPr>
        <w:t>. Moreover, the legal complexities involved in trust administration can create barriers for ben</w:t>
      </w:r>
      <w:r w:rsidR="00000F40">
        <w:rPr>
          <w:rFonts w:ascii="Abadi Extra Light" w:hAnsi="Abadi Extra Light"/>
        </w:rPr>
        <w:t>eficiaries seeking to challenge trustee decisions or seek redress or mismanagement</w:t>
      </w:r>
      <w:r w:rsidR="004A2736">
        <w:rPr>
          <w:rFonts w:ascii="Abadi Extra Light" w:hAnsi="Abadi Extra Light"/>
        </w:rPr>
        <w:t xml:space="preserve"> </w:t>
      </w:r>
      <w:sdt>
        <w:sdtPr>
          <w:rPr>
            <w:rFonts w:ascii="Abadi Extra Light" w:hAnsi="Abadi Extra Light"/>
          </w:rPr>
          <w:id w:val="-418409775"/>
          <w:citation/>
        </w:sdtPr>
        <w:sdtContent>
          <w:r w:rsidR="004A2736">
            <w:rPr>
              <w:rFonts w:ascii="Abadi Extra Light" w:hAnsi="Abadi Extra Light"/>
            </w:rPr>
            <w:fldChar w:fldCharType="begin"/>
          </w:r>
          <w:r w:rsidR="004A2736">
            <w:rPr>
              <w:rFonts w:ascii="Abadi Extra Light" w:hAnsi="Abadi Extra Light"/>
            </w:rPr>
            <w:instrText xml:space="preserve"> CITATION Cha241 \l 2057 </w:instrText>
          </w:r>
          <w:r w:rsidR="004A2736">
            <w:rPr>
              <w:rFonts w:ascii="Abadi Extra Light" w:hAnsi="Abadi Extra Light"/>
            </w:rPr>
            <w:fldChar w:fldCharType="separate"/>
          </w:r>
          <w:r w:rsidR="004A2736" w:rsidRPr="004A2736">
            <w:rPr>
              <w:rFonts w:ascii="Abadi Extra Light" w:hAnsi="Abadi Extra Light"/>
              <w:noProof/>
            </w:rPr>
            <w:t>(Charity Commission , 2024)</w:t>
          </w:r>
          <w:r w:rsidR="004A2736">
            <w:rPr>
              <w:rFonts w:ascii="Abadi Extra Light" w:hAnsi="Abadi Extra Light"/>
            </w:rPr>
            <w:fldChar w:fldCharType="end"/>
          </w:r>
        </w:sdtContent>
      </w:sdt>
      <w:r w:rsidR="004A2736">
        <w:rPr>
          <w:rFonts w:ascii="Abadi Extra Light" w:hAnsi="Abadi Extra Light"/>
        </w:rPr>
        <w:t>.</w:t>
      </w:r>
    </w:p>
    <w:p w14:paraId="6936244B" w14:textId="60E59DFE" w:rsidR="00000F40" w:rsidRDefault="00AE31C4">
      <w:pPr>
        <w:rPr>
          <w:rFonts w:ascii="Abadi Extra Light" w:hAnsi="Abadi Extra Light"/>
        </w:rPr>
      </w:pPr>
      <w:r>
        <w:rPr>
          <w:rFonts w:ascii="Abadi Extra Light" w:hAnsi="Abadi Extra Light"/>
        </w:rPr>
        <w:t>The regulatory framework for equity and trust</w:t>
      </w:r>
      <w:r w:rsidR="00E548F3">
        <w:rPr>
          <w:rFonts w:ascii="Abadi Extra Light" w:hAnsi="Abadi Extra Light"/>
        </w:rPr>
        <w:t>s also faces challenges related to the evolving nature of societal values and expectations</w:t>
      </w:r>
      <w:r w:rsidR="00F25AF3">
        <w:rPr>
          <w:rFonts w:ascii="Abadi Extra Light" w:hAnsi="Abadi Extra Light"/>
        </w:rPr>
        <w:t xml:space="preserve">. As public awareness </w:t>
      </w:r>
      <w:r w:rsidR="00F41930">
        <w:rPr>
          <w:rFonts w:ascii="Abadi Extra Light" w:hAnsi="Abadi Extra Light"/>
        </w:rPr>
        <w:t xml:space="preserve">of issues such as diversity, equity and inclusion </w:t>
      </w:r>
      <w:r w:rsidR="0072169F">
        <w:rPr>
          <w:rFonts w:ascii="Abadi Extra Light" w:hAnsi="Abadi Extra Light"/>
        </w:rPr>
        <w:t>grow</w:t>
      </w:r>
      <w:r w:rsidR="00F41930">
        <w:rPr>
          <w:rFonts w:ascii="Abadi Extra Light" w:hAnsi="Abadi Extra Light"/>
        </w:rPr>
        <w:t xml:space="preserve">, there is increasing </w:t>
      </w:r>
      <w:r w:rsidR="0072169F">
        <w:rPr>
          <w:rFonts w:ascii="Abadi Extra Light" w:hAnsi="Abadi Extra Light"/>
        </w:rPr>
        <w:t xml:space="preserve">pressure on trustees to consider these factors in </w:t>
      </w:r>
      <w:r w:rsidR="0072169F">
        <w:rPr>
          <w:rFonts w:ascii="Abadi Extra Light" w:hAnsi="Abadi Extra Light"/>
        </w:rPr>
        <w:lastRenderedPageBreak/>
        <w:t xml:space="preserve">their decision-making processes. This </w:t>
      </w:r>
      <w:r w:rsidR="00525FB8">
        <w:rPr>
          <w:rFonts w:ascii="Abadi Extra Light" w:hAnsi="Abadi Extra Light"/>
        </w:rPr>
        <w:t xml:space="preserve">shift necessitates a </w:t>
      </w:r>
      <w:r w:rsidR="00463D2B">
        <w:rPr>
          <w:rFonts w:ascii="Abadi Extra Light" w:hAnsi="Abadi Extra Light"/>
        </w:rPr>
        <w:t xml:space="preserve">revaluation of traditional practices </w:t>
      </w:r>
      <w:r w:rsidR="000219C2">
        <w:rPr>
          <w:rFonts w:ascii="Abadi Extra Light" w:hAnsi="Abadi Extra Light"/>
        </w:rPr>
        <w:t>and a more proactive approach to governance within trusts. However, the lack of clear guidelines on how to inc</w:t>
      </w:r>
      <w:r w:rsidR="004C4368">
        <w:rPr>
          <w:rFonts w:ascii="Abadi Extra Light" w:hAnsi="Abadi Extra Light"/>
        </w:rPr>
        <w:t xml:space="preserve">orporate these values into trust management can create confusion and </w:t>
      </w:r>
      <w:r w:rsidR="0017642B">
        <w:rPr>
          <w:rFonts w:ascii="Abadi Extra Light" w:hAnsi="Abadi Extra Light"/>
        </w:rPr>
        <w:t>inconsistency in practice.</w:t>
      </w:r>
    </w:p>
    <w:p w14:paraId="4B4EC53C" w14:textId="7C6C0D6F" w:rsidR="0017642B" w:rsidRDefault="00EE34EF">
      <w:pPr>
        <w:rPr>
          <w:rFonts w:ascii="Abadi Extra Light" w:hAnsi="Abadi Extra Light"/>
        </w:rPr>
      </w:pPr>
      <w:r>
        <w:rPr>
          <w:rFonts w:ascii="Abadi Extra Light" w:hAnsi="Abadi Extra Light"/>
        </w:rPr>
        <w:t xml:space="preserve">Additionally, the resources available to regulatory bodies pose a significant challenge. The Chairty </w:t>
      </w:r>
      <w:r w:rsidR="00491014">
        <w:rPr>
          <w:rFonts w:ascii="Abadi Extra Light" w:hAnsi="Abadi Extra Light"/>
        </w:rPr>
        <w:t xml:space="preserve">Commission and other oversight entities often operate with limited funding and staffing, which can impede their ability to effectively monitor compliance across the vast array of trusts in operation. This resource constraint can lead to a reactive </w:t>
      </w:r>
      <w:r w:rsidR="00130295">
        <w:rPr>
          <w:rFonts w:ascii="Abadi Extra Light" w:hAnsi="Abadi Extra Light"/>
        </w:rPr>
        <w:t xml:space="preserve">rather than proactive approach to regulation, further complicating </w:t>
      </w:r>
      <w:r w:rsidR="00783A97">
        <w:rPr>
          <w:rFonts w:ascii="Abadi Extra Light" w:hAnsi="Abadi Extra Light"/>
        </w:rPr>
        <w:t>the landscape for beneficiaries seeking protection and accountability</w:t>
      </w:r>
      <w:r w:rsidR="00C0169A">
        <w:rPr>
          <w:rFonts w:ascii="Abadi Extra Light" w:hAnsi="Abadi Extra Light"/>
        </w:rPr>
        <w:t xml:space="preserve"> </w:t>
      </w:r>
      <w:sdt>
        <w:sdtPr>
          <w:rPr>
            <w:rFonts w:ascii="Abadi Extra Light" w:hAnsi="Abadi Extra Light"/>
          </w:rPr>
          <w:id w:val="266900308"/>
          <w:citation/>
        </w:sdtPr>
        <w:sdtContent>
          <w:r w:rsidR="00C0169A">
            <w:rPr>
              <w:rFonts w:ascii="Abadi Extra Light" w:hAnsi="Abadi Extra Light"/>
            </w:rPr>
            <w:fldChar w:fldCharType="begin"/>
          </w:r>
          <w:r w:rsidR="00C0169A">
            <w:rPr>
              <w:rFonts w:ascii="Abadi Extra Light" w:hAnsi="Abadi Extra Light"/>
            </w:rPr>
            <w:instrText xml:space="preserve"> CITATION NAO13 \l 2057 </w:instrText>
          </w:r>
          <w:r w:rsidR="00C0169A">
            <w:rPr>
              <w:rFonts w:ascii="Abadi Extra Light" w:hAnsi="Abadi Extra Light"/>
            </w:rPr>
            <w:fldChar w:fldCharType="separate"/>
          </w:r>
          <w:r w:rsidR="00C0169A" w:rsidRPr="00C0169A">
            <w:rPr>
              <w:rFonts w:ascii="Abadi Extra Light" w:hAnsi="Abadi Extra Light"/>
              <w:noProof/>
            </w:rPr>
            <w:t>(NAO, 2013)</w:t>
          </w:r>
          <w:r w:rsidR="00C0169A">
            <w:rPr>
              <w:rFonts w:ascii="Abadi Extra Light" w:hAnsi="Abadi Extra Light"/>
            </w:rPr>
            <w:fldChar w:fldCharType="end"/>
          </w:r>
        </w:sdtContent>
      </w:sdt>
      <w:r w:rsidR="00C0169A">
        <w:rPr>
          <w:rFonts w:ascii="Abadi Extra Light" w:hAnsi="Abadi Extra Light"/>
        </w:rPr>
        <w:t>.</w:t>
      </w:r>
    </w:p>
    <w:p w14:paraId="629E4A38" w14:textId="58F28BFA" w:rsidR="00783A97" w:rsidRDefault="00A71BE1">
      <w:pPr>
        <w:rPr>
          <w:rFonts w:ascii="Abadi Extra Light" w:hAnsi="Abadi Extra Light"/>
        </w:rPr>
      </w:pPr>
      <w:r>
        <w:rPr>
          <w:rFonts w:ascii="Abadi Extra Light" w:hAnsi="Abadi Extra Light"/>
        </w:rPr>
        <w:t>The regulation of equity and trusts is charact</w:t>
      </w:r>
      <w:r w:rsidR="00CD2833">
        <w:rPr>
          <w:rFonts w:ascii="Abadi Extra Light" w:hAnsi="Abadi Extra Light"/>
        </w:rPr>
        <w:t xml:space="preserve">erised by a decentralised framework that presents numerous challenges. The lack of unified </w:t>
      </w:r>
      <w:r w:rsidR="005A0417">
        <w:rPr>
          <w:rFonts w:ascii="Abadi Extra Light" w:hAnsi="Abadi Extra Light"/>
        </w:rPr>
        <w:t>regulatory body, coupled with the increasing complexity of trust</w:t>
      </w:r>
      <w:r w:rsidR="001D5AFE">
        <w:rPr>
          <w:rFonts w:ascii="Abadi Extra Light" w:hAnsi="Abadi Extra Light"/>
        </w:rPr>
        <w:t xml:space="preserve"> arrangements and the need for greater transparency and accountability, highlights the nec</w:t>
      </w:r>
      <w:r w:rsidR="00ED5A0B">
        <w:rPr>
          <w:rFonts w:ascii="Abadi Extra Light" w:hAnsi="Abadi Extra Light"/>
        </w:rPr>
        <w:t>essity for reform. Addressing these challenges will require a concerted effort from regulators, legal practitioners and policymakers to create a more cohesive and effective system</w:t>
      </w:r>
      <w:r w:rsidR="00834EBE">
        <w:rPr>
          <w:rFonts w:ascii="Abadi Extra Light" w:hAnsi="Abadi Extra Light"/>
        </w:rPr>
        <w:t xml:space="preserve"> that safeguards the rights of beneficiaries and ensures that trustees </w:t>
      </w:r>
      <w:r w:rsidR="008B5DEE">
        <w:rPr>
          <w:rFonts w:ascii="Abadi Extra Light" w:hAnsi="Abadi Extra Light"/>
        </w:rPr>
        <w:t>fulfil</w:t>
      </w:r>
      <w:r w:rsidR="00834EBE">
        <w:rPr>
          <w:rFonts w:ascii="Abadi Extra Light" w:hAnsi="Abadi Extra Light"/>
        </w:rPr>
        <w:t xml:space="preserve"> their fid</w:t>
      </w:r>
      <w:r w:rsidR="001C0A9A">
        <w:rPr>
          <w:rFonts w:ascii="Abadi Extra Light" w:hAnsi="Abadi Extra Light"/>
        </w:rPr>
        <w:t xml:space="preserve">uciary duties. As the landscape of trust management continues to </w:t>
      </w:r>
      <w:r w:rsidR="00521C27">
        <w:rPr>
          <w:rFonts w:ascii="Abadi Extra Light" w:hAnsi="Abadi Extra Light"/>
        </w:rPr>
        <w:t>evolve</w:t>
      </w:r>
      <w:r w:rsidR="001C0A9A">
        <w:rPr>
          <w:rFonts w:ascii="Abadi Extra Light" w:hAnsi="Abadi Extra Light"/>
        </w:rPr>
        <w:t xml:space="preserve">, so too must the </w:t>
      </w:r>
      <w:r w:rsidR="008B5DEE">
        <w:rPr>
          <w:rFonts w:ascii="Abadi Extra Light" w:hAnsi="Abadi Extra Light"/>
        </w:rPr>
        <w:t xml:space="preserve">regulatory frameworks that govern these essential legal instruments. </w:t>
      </w:r>
    </w:p>
    <w:p w14:paraId="4FB1AEE4" w14:textId="473D8733" w:rsidR="00ED1CF3" w:rsidRPr="00B37DBE" w:rsidRDefault="00B37DBE">
      <w:pPr>
        <w:rPr>
          <w:rFonts w:ascii="Abadi Extra Light" w:hAnsi="Abadi Extra Light"/>
          <w:u w:val="single"/>
        </w:rPr>
      </w:pPr>
      <w:r w:rsidRPr="00B37DBE">
        <w:rPr>
          <w:rFonts w:ascii="Abadi Extra Light" w:hAnsi="Abadi Extra Light"/>
          <w:u w:val="single"/>
        </w:rPr>
        <w:t>Proposals for Reform</w:t>
      </w:r>
    </w:p>
    <w:p w14:paraId="4052383E" w14:textId="389D1510" w:rsidR="008149DC" w:rsidRDefault="00E13877">
      <w:pPr>
        <w:rPr>
          <w:rFonts w:ascii="Abadi Extra Light" w:hAnsi="Abadi Extra Light"/>
        </w:rPr>
      </w:pPr>
      <w:r>
        <w:rPr>
          <w:rFonts w:ascii="Abadi Extra Light" w:hAnsi="Abadi Extra Light"/>
        </w:rPr>
        <w:t>An Act to establish a single Regulatory Authority for Trustees; to set standards and guidelines for trustees; to protect beneficiaries’ rights; and for related purposes.</w:t>
      </w:r>
    </w:p>
    <w:p w14:paraId="3F433268" w14:textId="34BC1836" w:rsidR="00E13877" w:rsidRDefault="00E13877" w:rsidP="00E13877">
      <w:pPr>
        <w:rPr>
          <w:rFonts w:ascii="Abadi Extra Light" w:hAnsi="Abadi Extra Light"/>
        </w:rPr>
      </w:pPr>
      <w:r>
        <w:rPr>
          <w:rFonts w:ascii="Abadi Extra Light" w:hAnsi="Abadi Extra Light"/>
        </w:rPr>
        <w:t>Be it enacted by the Parliament of the United Kingdom as follows:</w:t>
      </w:r>
    </w:p>
    <w:p w14:paraId="3BB2D5FF" w14:textId="5614E102" w:rsidR="00E13877" w:rsidRDefault="00E13877" w:rsidP="00E13877">
      <w:pPr>
        <w:pStyle w:val="ListParagraph"/>
        <w:numPr>
          <w:ilvl w:val="0"/>
          <w:numId w:val="2"/>
        </w:numPr>
        <w:rPr>
          <w:rFonts w:ascii="Abadi Extra Light" w:hAnsi="Abadi Extra Light"/>
        </w:rPr>
      </w:pPr>
      <w:r>
        <w:rPr>
          <w:rFonts w:ascii="Abadi Extra Light" w:hAnsi="Abadi Extra Light"/>
        </w:rPr>
        <w:t>Establishment of the Regulatory Authority</w:t>
      </w:r>
    </w:p>
    <w:p w14:paraId="43FA8D3C" w14:textId="39543BA7" w:rsidR="00E13877" w:rsidRDefault="00E13877" w:rsidP="00E13877">
      <w:pPr>
        <w:pStyle w:val="ListParagraph"/>
        <w:numPr>
          <w:ilvl w:val="0"/>
          <w:numId w:val="3"/>
        </w:numPr>
        <w:rPr>
          <w:rFonts w:ascii="Abadi Extra Light" w:hAnsi="Abadi Extra Light"/>
        </w:rPr>
      </w:pPr>
      <w:r>
        <w:rPr>
          <w:rFonts w:ascii="Abadi Extra Light" w:hAnsi="Abadi Extra Light"/>
        </w:rPr>
        <w:t>A body known as the Regulatory Authority for trustees (the authority) shall be established.</w:t>
      </w:r>
    </w:p>
    <w:p w14:paraId="17A2234A" w14:textId="651F262E" w:rsidR="00E13877" w:rsidRPr="00E13877" w:rsidRDefault="00E13877" w:rsidP="00E13877">
      <w:pPr>
        <w:pStyle w:val="ListParagraph"/>
        <w:numPr>
          <w:ilvl w:val="0"/>
          <w:numId w:val="3"/>
        </w:numPr>
        <w:rPr>
          <w:rFonts w:ascii="Abadi Extra Light" w:hAnsi="Abadi Extra Light"/>
        </w:rPr>
      </w:pPr>
      <w:r>
        <w:rPr>
          <w:rFonts w:ascii="Abadi Extra Light" w:hAnsi="Abadi Extra Light"/>
        </w:rPr>
        <w:t>The Authority shall have the power to establish and enforce standards and guidelines for trustees’ conduct.</w:t>
      </w:r>
    </w:p>
    <w:p w14:paraId="6C203538" w14:textId="56B9BA0A" w:rsidR="00E13877" w:rsidRDefault="00E13877" w:rsidP="00E13877">
      <w:pPr>
        <w:pStyle w:val="ListParagraph"/>
        <w:numPr>
          <w:ilvl w:val="0"/>
          <w:numId w:val="2"/>
        </w:numPr>
        <w:rPr>
          <w:rFonts w:ascii="Abadi Extra Light" w:hAnsi="Abadi Extra Light"/>
        </w:rPr>
      </w:pPr>
      <w:r>
        <w:rPr>
          <w:rFonts w:ascii="Abadi Extra Light" w:hAnsi="Abadi Extra Light"/>
        </w:rPr>
        <w:t>Fiduciary Duties and Ethical Standards</w:t>
      </w:r>
    </w:p>
    <w:p w14:paraId="10F4A17D" w14:textId="71BBCA64" w:rsidR="00E13877" w:rsidRDefault="00E13877" w:rsidP="00E13877">
      <w:pPr>
        <w:pStyle w:val="ListParagraph"/>
        <w:numPr>
          <w:ilvl w:val="0"/>
          <w:numId w:val="4"/>
        </w:numPr>
        <w:rPr>
          <w:rFonts w:ascii="Abadi Extra Light" w:hAnsi="Abadi Extra Light"/>
        </w:rPr>
      </w:pPr>
      <w:r>
        <w:rPr>
          <w:rFonts w:ascii="Abadi Extra Light" w:hAnsi="Abadi Extra Light"/>
        </w:rPr>
        <w:t>The authority shall develop a code of ethics for trustees.</w:t>
      </w:r>
    </w:p>
    <w:p w14:paraId="3B6F1A07" w14:textId="4E3CADE9" w:rsidR="00E13877" w:rsidRPr="00E13877" w:rsidRDefault="00E13877" w:rsidP="00E13877">
      <w:pPr>
        <w:pStyle w:val="ListParagraph"/>
        <w:numPr>
          <w:ilvl w:val="0"/>
          <w:numId w:val="4"/>
        </w:numPr>
        <w:rPr>
          <w:rFonts w:ascii="Abadi Extra Light" w:hAnsi="Abadi Extra Light"/>
        </w:rPr>
      </w:pPr>
      <w:r>
        <w:rPr>
          <w:rFonts w:ascii="Abadi Extra Light" w:hAnsi="Abadi Extra Light"/>
        </w:rPr>
        <w:t>The Authority shall implement mandatory training and certification programs for trustees.</w:t>
      </w:r>
    </w:p>
    <w:p w14:paraId="49DEE45D" w14:textId="641817D0" w:rsidR="00E13877" w:rsidRDefault="00E13877" w:rsidP="00E13877">
      <w:pPr>
        <w:pStyle w:val="ListParagraph"/>
        <w:numPr>
          <w:ilvl w:val="0"/>
          <w:numId w:val="2"/>
        </w:numPr>
        <w:rPr>
          <w:rFonts w:ascii="Abadi Extra Light" w:hAnsi="Abadi Extra Light"/>
        </w:rPr>
      </w:pPr>
      <w:r>
        <w:rPr>
          <w:rFonts w:ascii="Abadi Extra Light" w:hAnsi="Abadi Extra Light"/>
        </w:rPr>
        <w:t xml:space="preserve">Dispute Resolution Mechanism </w:t>
      </w:r>
    </w:p>
    <w:p w14:paraId="0C7AD88F" w14:textId="5C98E796" w:rsidR="00E13877" w:rsidRDefault="00E13877" w:rsidP="00E13877">
      <w:pPr>
        <w:pStyle w:val="ListParagraph"/>
        <w:numPr>
          <w:ilvl w:val="0"/>
          <w:numId w:val="5"/>
        </w:numPr>
        <w:rPr>
          <w:rFonts w:ascii="Abadi Extra Light" w:hAnsi="Abadi Extra Light"/>
        </w:rPr>
      </w:pPr>
      <w:r>
        <w:rPr>
          <w:rFonts w:ascii="Abadi Extra Light" w:hAnsi="Abadi Extra Light"/>
        </w:rPr>
        <w:t>The Authority shall address grievances and disputes between trustees and beneficiaries.</w:t>
      </w:r>
    </w:p>
    <w:p w14:paraId="28FEC383" w14:textId="27641027" w:rsidR="00E13877" w:rsidRDefault="00E13877" w:rsidP="00E13877">
      <w:pPr>
        <w:pStyle w:val="ListParagraph"/>
        <w:numPr>
          <w:ilvl w:val="0"/>
          <w:numId w:val="5"/>
        </w:numPr>
        <w:rPr>
          <w:rFonts w:ascii="Abadi Extra Light" w:hAnsi="Abadi Extra Light"/>
        </w:rPr>
      </w:pPr>
      <w:r>
        <w:rPr>
          <w:rFonts w:ascii="Abadi Extra Light" w:hAnsi="Abadi Extra Light"/>
        </w:rPr>
        <w:t>The Authority shall provide a framework for dispute resolution, enabling beneficiaries to seek redress.</w:t>
      </w:r>
    </w:p>
    <w:p w14:paraId="6FCD7023" w14:textId="27B7C81C" w:rsidR="00E13877" w:rsidRDefault="00E13877" w:rsidP="00E13877">
      <w:pPr>
        <w:pStyle w:val="ListParagraph"/>
        <w:numPr>
          <w:ilvl w:val="0"/>
          <w:numId w:val="2"/>
        </w:numPr>
        <w:rPr>
          <w:rFonts w:ascii="Abadi Extra Light" w:hAnsi="Abadi Extra Light"/>
        </w:rPr>
      </w:pPr>
      <w:r>
        <w:rPr>
          <w:rFonts w:ascii="Abadi Extra Light" w:hAnsi="Abadi Extra Light"/>
        </w:rPr>
        <w:t>Transparency and Accountability</w:t>
      </w:r>
    </w:p>
    <w:p w14:paraId="49499A78" w14:textId="2C48E910" w:rsidR="00E13877" w:rsidRDefault="00E13877" w:rsidP="00E13877">
      <w:pPr>
        <w:pStyle w:val="ListParagraph"/>
        <w:numPr>
          <w:ilvl w:val="0"/>
          <w:numId w:val="6"/>
        </w:numPr>
        <w:rPr>
          <w:rFonts w:ascii="Abadi Extra Light" w:hAnsi="Abadi Extra Light"/>
        </w:rPr>
      </w:pPr>
      <w:r>
        <w:rPr>
          <w:rFonts w:ascii="Abadi Extra Light" w:hAnsi="Abadi Extra Light"/>
        </w:rPr>
        <w:t>The Authority shall promote transparency and accountability through regular reporting and oversight.</w:t>
      </w:r>
    </w:p>
    <w:p w14:paraId="20F20780" w14:textId="7BCEB647" w:rsidR="00E13877" w:rsidRDefault="00E13877" w:rsidP="00E13877">
      <w:pPr>
        <w:pStyle w:val="ListParagraph"/>
        <w:numPr>
          <w:ilvl w:val="0"/>
          <w:numId w:val="2"/>
        </w:numPr>
        <w:rPr>
          <w:rFonts w:ascii="Abadi Extra Light" w:hAnsi="Abadi Extra Light"/>
        </w:rPr>
      </w:pPr>
      <w:r>
        <w:rPr>
          <w:rFonts w:ascii="Abadi Extra Light" w:hAnsi="Abadi Extra Light"/>
        </w:rPr>
        <w:t>Commencement</w:t>
      </w:r>
    </w:p>
    <w:p w14:paraId="0D33AD04" w14:textId="48D7D550" w:rsidR="00E13877" w:rsidRDefault="00E13877" w:rsidP="00E13877">
      <w:pPr>
        <w:pStyle w:val="ListParagraph"/>
        <w:numPr>
          <w:ilvl w:val="0"/>
          <w:numId w:val="7"/>
        </w:numPr>
        <w:rPr>
          <w:rFonts w:ascii="Abadi Extra Light" w:hAnsi="Abadi Extra Light"/>
        </w:rPr>
      </w:pPr>
      <w:r>
        <w:rPr>
          <w:rFonts w:ascii="Abadi Extra Light" w:hAnsi="Abadi Extra Light"/>
        </w:rPr>
        <w:t>This act shall come into force on a date appointed by the Secretary of State.</w:t>
      </w:r>
    </w:p>
    <w:p w14:paraId="1A064FB1" w14:textId="63A8ABE2" w:rsidR="00E13877" w:rsidRDefault="00E13877" w:rsidP="00E13877">
      <w:pPr>
        <w:pStyle w:val="ListParagraph"/>
        <w:numPr>
          <w:ilvl w:val="0"/>
          <w:numId w:val="2"/>
        </w:numPr>
        <w:rPr>
          <w:rFonts w:ascii="Abadi Extra Light" w:hAnsi="Abadi Extra Light"/>
        </w:rPr>
      </w:pPr>
      <w:r>
        <w:rPr>
          <w:rFonts w:ascii="Abadi Extra Light" w:hAnsi="Abadi Extra Light"/>
        </w:rPr>
        <w:t>Short Title</w:t>
      </w:r>
    </w:p>
    <w:p w14:paraId="46485E7B" w14:textId="3FCC0148" w:rsidR="00E13877" w:rsidRDefault="00E13877" w:rsidP="00E13877">
      <w:pPr>
        <w:pStyle w:val="ListParagraph"/>
        <w:numPr>
          <w:ilvl w:val="0"/>
          <w:numId w:val="8"/>
        </w:numPr>
        <w:rPr>
          <w:rFonts w:ascii="Abadi Extra Light" w:hAnsi="Abadi Extra Light"/>
        </w:rPr>
      </w:pPr>
      <w:r>
        <w:rPr>
          <w:rFonts w:ascii="Abadi Extra Light" w:hAnsi="Abadi Extra Light"/>
        </w:rPr>
        <w:lastRenderedPageBreak/>
        <w:t>This Act may be cited as the Trustees Regulatory Authority Act 2024</w:t>
      </w:r>
    </w:p>
    <w:p w14:paraId="67948BED" w14:textId="6C1D576B" w:rsidR="00E13877" w:rsidRPr="00E13877" w:rsidRDefault="00E13877" w:rsidP="00E13877">
      <w:pPr>
        <w:rPr>
          <w:rFonts w:ascii="Abadi Extra Light" w:hAnsi="Abadi Extra Light"/>
        </w:rPr>
      </w:pPr>
      <w:r>
        <w:rPr>
          <w:rFonts w:ascii="Abadi Extra Light" w:hAnsi="Abadi Extra Light"/>
        </w:rPr>
        <w:t>This Act establishes a Regulatory Authority to enhance beneficiary protection, promote ethical conduct and ensure fiduciary compliance in trusts.</w:t>
      </w:r>
    </w:p>
    <w:p w14:paraId="013891C3" w14:textId="2989DAAB" w:rsidR="00E13877" w:rsidRPr="0077393F" w:rsidRDefault="0077393F" w:rsidP="00C50196">
      <w:pPr>
        <w:rPr>
          <w:rFonts w:ascii="Abadi Extra Light" w:hAnsi="Abadi Extra Light"/>
          <w:u w:val="single"/>
        </w:rPr>
      </w:pPr>
      <w:r w:rsidRPr="0077393F">
        <w:rPr>
          <w:rFonts w:ascii="Abadi Extra Light" w:hAnsi="Abadi Extra Light"/>
          <w:u w:val="single"/>
        </w:rPr>
        <w:t xml:space="preserve">Evaluation of the Reform Proposals </w:t>
      </w:r>
    </w:p>
    <w:p w14:paraId="2E1C4292" w14:textId="2E0BE336" w:rsidR="00D95772" w:rsidRDefault="00134DD9">
      <w:pPr>
        <w:rPr>
          <w:rFonts w:ascii="Abadi Extra Light" w:hAnsi="Abadi Extra Light"/>
        </w:rPr>
      </w:pPr>
      <w:r>
        <w:rPr>
          <w:rFonts w:ascii="Abadi Extra Light" w:hAnsi="Abadi Extra Light"/>
        </w:rPr>
        <w:t xml:space="preserve">One notable </w:t>
      </w:r>
      <w:r w:rsidR="009C5B78">
        <w:rPr>
          <w:rFonts w:ascii="Abadi Extra Light" w:hAnsi="Abadi Extra Light"/>
        </w:rPr>
        <w:t xml:space="preserve">strength of the proposed reform is their direct </w:t>
      </w:r>
      <w:r w:rsidR="002667B9">
        <w:rPr>
          <w:rFonts w:ascii="Abadi Extra Light" w:hAnsi="Abadi Extra Light"/>
        </w:rPr>
        <w:t xml:space="preserve">approach to enhancing transparency and accountability </w:t>
      </w:r>
      <w:r w:rsidR="009214C5">
        <w:rPr>
          <w:rFonts w:ascii="Abadi Extra Light" w:hAnsi="Abadi Extra Light"/>
        </w:rPr>
        <w:t xml:space="preserve">within the trustee system. By establishing a Regulatory Authority </w:t>
      </w:r>
      <w:r w:rsidR="00322C48">
        <w:rPr>
          <w:rFonts w:ascii="Abadi Extra Light" w:hAnsi="Abadi Extra Light"/>
        </w:rPr>
        <w:t xml:space="preserve">for Trustees, the reform creates a dedicated oversight body that monitors trustee conduct. This </w:t>
      </w:r>
      <w:r w:rsidR="00AA46F8">
        <w:rPr>
          <w:rFonts w:ascii="Abadi Extra Light" w:hAnsi="Abadi Extra Light"/>
        </w:rPr>
        <w:t>development</w:t>
      </w:r>
      <w:r w:rsidR="00322C48">
        <w:rPr>
          <w:rFonts w:ascii="Abadi Extra Light" w:hAnsi="Abadi Extra Light"/>
        </w:rPr>
        <w:t xml:space="preserve"> ensures that benef</w:t>
      </w:r>
      <w:r w:rsidR="00AA46F8">
        <w:rPr>
          <w:rFonts w:ascii="Abadi Extra Light" w:hAnsi="Abadi Extra Light"/>
        </w:rPr>
        <w:t xml:space="preserve">iciaries have a clear channel for raising grievances, thereby addressing </w:t>
      </w:r>
      <w:r w:rsidR="00EA13D5">
        <w:rPr>
          <w:rFonts w:ascii="Abadi Extra Light" w:hAnsi="Abadi Extra Light"/>
        </w:rPr>
        <w:t>the existing gaps in oversight and promoting ethical behaviour among trustees</w:t>
      </w:r>
      <w:r w:rsidR="00FB0C9B">
        <w:rPr>
          <w:rFonts w:ascii="Abadi Extra Light" w:hAnsi="Abadi Extra Light"/>
        </w:rPr>
        <w:t xml:space="preserve"> </w:t>
      </w:r>
      <w:sdt>
        <w:sdtPr>
          <w:rPr>
            <w:rFonts w:ascii="Abadi Extra Light" w:hAnsi="Abadi Extra Light"/>
          </w:rPr>
          <w:id w:val="1594517748"/>
          <w:citation/>
        </w:sdtPr>
        <w:sdtContent>
          <w:r w:rsidR="00FB0C9B">
            <w:rPr>
              <w:rFonts w:ascii="Abadi Extra Light" w:hAnsi="Abadi Extra Light"/>
            </w:rPr>
            <w:fldChar w:fldCharType="begin"/>
          </w:r>
          <w:r w:rsidR="00FB0C9B">
            <w:rPr>
              <w:rFonts w:ascii="Abadi Extra Light" w:hAnsi="Abadi Extra Light"/>
            </w:rPr>
            <w:instrText xml:space="preserve"> CITATION GOV13 \l 2057 </w:instrText>
          </w:r>
          <w:r w:rsidR="00FB0C9B">
            <w:rPr>
              <w:rFonts w:ascii="Abadi Extra Light" w:hAnsi="Abadi Extra Light"/>
            </w:rPr>
            <w:fldChar w:fldCharType="separate"/>
          </w:r>
          <w:r w:rsidR="00FB0C9B" w:rsidRPr="00FB0C9B">
            <w:rPr>
              <w:rFonts w:ascii="Abadi Extra Light" w:hAnsi="Abadi Extra Light"/>
              <w:noProof/>
            </w:rPr>
            <w:t>(GOV, 2013)</w:t>
          </w:r>
          <w:r w:rsidR="00FB0C9B">
            <w:rPr>
              <w:rFonts w:ascii="Abadi Extra Light" w:hAnsi="Abadi Extra Light"/>
            </w:rPr>
            <w:fldChar w:fldCharType="end"/>
          </w:r>
        </w:sdtContent>
      </w:sdt>
      <w:r w:rsidR="00FB0C9B">
        <w:rPr>
          <w:rFonts w:ascii="Abadi Extra Light" w:hAnsi="Abadi Extra Light"/>
        </w:rPr>
        <w:t>.</w:t>
      </w:r>
    </w:p>
    <w:p w14:paraId="67DE253D" w14:textId="0A75CD84" w:rsidR="00EA13D5" w:rsidRDefault="00EA13D5">
      <w:pPr>
        <w:rPr>
          <w:rFonts w:ascii="Abadi Extra Light" w:hAnsi="Abadi Extra Light"/>
        </w:rPr>
      </w:pPr>
      <w:r>
        <w:rPr>
          <w:rFonts w:ascii="Abadi Extra Light" w:hAnsi="Abadi Extra Light"/>
        </w:rPr>
        <w:t xml:space="preserve">However, while these reforms partially mitigate the identified </w:t>
      </w:r>
      <w:r w:rsidR="00DE7635">
        <w:rPr>
          <w:rFonts w:ascii="Abadi Extra Light" w:hAnsi="Abadi Extra Light"/>
        </w:rPr>
        <w:t>challenges, there are aspects where they may not completely resolve the issues at hand. For instance</w:t>
      </w:r>
      <w:r w:rsidR="005243EB">
        <w:rPr>
          <w:rFonts w:ascii="Abadi Extra Light" w:hAnsi="Abadi Extra Light"/>
        </w:rPr>
        <w:t xml:space="preserve">, the introduction of a dispute resolution mechanism </w:t>
      </w:r>
      <w:r w:rsidR="009E033A">
        <w:rPr>
          <w:rFonts w:ascii="Abadi Extra Light" w:hAnsi="Abadi Extra Light"/>
        </w:rPr>
        <w:t xml:space="preserve">represents a significant advancement; </w:t>
      </w:r>
      <w:r w:rsidR="00260D89">
        <w:rPr>
          <w:rFonts w:ascii="Abadi Extra Light" w:hAnsi="Abadi Extra Light"/>
        </w:rPr>
        <w:t>yet</w:t>
      </w:r>
      <w:r w:rsidR="009E033A">
        <w:rPr>
          <w:rFonts w:ascii="Abadi Extra Light" w:hAnsi="Abadi Extra Light"/>
        </w:rPr>
        <w:t xml:space="preserve"> it may not encomp</w:t>
      </w:r>
      <w:r w:rsidR="00260D89">
        <w:rPr>
          <w:rFonts w:ascii="Abadi Extra Light" w:hAnsi="Abadi Extra Light"/>
        </w:rPr>
        <w:t>ass all potential conflicts arising between trustees and beneficiaries. Certain disputes</w:t>
      </w:r>
      <w:r w:rsidR="00F4374A">
        <w:rPr>
          <w:rFonts w:ascii="Abadi Extra Light" w:hAnsi="Abadi Extra Light"/>
        </w:rPr>
        <w:t xml:space="preserve"> could require more nuanced and </w:t>
      </w:r>
      <w:r w:rsidR="00E86627">
        <w:rPr>
          <w:rFonts w:ascii="Abadi Extra Light" w:hAnsi="Abadi Extra Light"/>
        </w:rPr>
        <w:t xml:space="preserve">individualised </w:t>
      </w:r>
      <w:r w:rsidR="00545705">
        <w:rPr>
          <w:rFonts w:ascii="Abadi Extra Light" w:hAnsi="Abadi Extra Light"/>
        </w:rPr>
        <w:t>approaches,</w:t>
      </w:r>
      <w:r w:rsidR="00E86627">
        <w:rPr>
          <w:rFonts w:ascii="Abadi Extra Light" w:hAnsi="Abadi Extra Light"/>
        </w:rPr>
        <w:t xml:space="preserve"> and the framework provided by the reforms might not suffice for addressing complex cases effectively</w:t>
      </w:r>
      <w:r w:rsidR="00790BB4">
        <w:rPr>
          <w:rFonts w:ascii="Abadi Extra Light" w:hAnsi="Abadi Extra Light"/>
        </w:rPr>
        <w:t xml:space="preserve"> </w:t>
      </w:r>
      <w:sdt>
        <w:sdtPr>
          <w:rPr>
            <w:rFonts w:ascii="Abadi Extra Light" w:hAnsi="Abadi Extra Light"/>
          </w:rPr>
          <w:id w:val="1601675747"/>
          <w:citation/>
        </w:sdtPr>
        <w:sdtContent>
          <w:r w:rsidR="00790BB4">
            <w:rPr>
              <w:rFonts w:ascii="Abadi Extra Light" w:hAnsi="Abadi Extra Light"/>
            </w:rPr>
            <w:fldChar w:fldCharType="begin"/>
          </w:r>
          <w:r w:rsidR="00790BB4">
            <w:rPr>
              <w:rFonts w:ascii="Abadi Extra Light" w:hAnsi="Abadi Extra Light"/>
            </w:rPr>
            <w:instrText xml:space="preserve"> CITATION NCV22 \l 2057 </w:instrText>
          </w:r>
          <w:r w:rsidR="00790BB4">
            <w:rPr>
              <w:rFonts w:ascii="Abadi Extra Light" w:hAnsi="Abadi Extra Light"/>
            </w:rPr>
            <w:fldChar w:fldCharType="separate"/>
          </w:r>
          <w:r w:rsidR="00790BB4" w:rsidRPr="00790BB4">
            <w:rPr>
              <w:rFonts w:ascii="Abadi Extra Light" w:hAnsi="Abadi Extra Light"/>
              <w:noProof/>
            </w:rPr>
            <w:t>(NCVO, 2022)</w:t>
          </w:r>
          <w:r w:rsidR="00790BB4">
            <w:rPr>
              <w:rFonts w:ascii="Abadi Extra Light" w:hAnsi="Abadi Extra Light"/>
            </w:rPr>
            <w:fldChar w:fldCharType="end"/>
          </w:r>
        </w:sdtContent>
      </w:sdt>
      <w:r w:rsidR="00790BB4">
        <w:rPr>
          <w:rFonts w:ascii="Abadi Extra Light" w:hAnsi="Abadi Extra Light"/>
        </w:rPr>
        <w:t>.</w:t>
      </w:r>
    </w:p>
    <w:p w14:paraId="71EDB3C9" w14:textId="77670E7E" w:rsidR="00E86627" w:rsidRDefault="00545705">
      <w:pPr>
        <w:rPr>
          <w:rFonts w:ascii="Abadi Extra Light" w:hAnsi="Abadi Extra Light"/>
        </w:rPr>
      </w:pPr>
      <w:r>
        <w:rPr>
          <w:rFonts w:ascii="Abadi Extra Light" w:hAnsi="Abadi Extra Light"/>
        </w:rPr>
        <w:t xml:space="preserve">The balance between the rights and obligations of trustees </w:t>
      </w:r>
      <w:r w:rsidR="00156B93">
        <w:rPr>
          <w:rFonts w:ascii="Abadi Extra Light" w:hAnsi="Abadi Extra Light"/>
        </w:rPr>
        <w:t xml:space="preserve">and beneficiaries is another critical </w:t>
      </w:r>
      <w:r w:rsidR="005E5844">
        <w:rPr>
          <w:rFonts w:ascii="Abadi Extra Light" w:hAnsi="Abadi Extra Light"/>
        </w:rPr>
        <w:t xml:space="preserve">consideration. The proposed reforms aim to safeguard the interests of beneficiaries while </w:t>
      </w:r>
      <w:r w:rsidR="00213DA7">
        <w:rPr>
          <w:rFonts w:ascii="Abadi Extra Light" w:hAnsi="Abadi Extra Light"/>
        </w:rPr>
        <w:t xml:space="preserve">simultaneously ensuring that trustees </w:t>
      </w:r>
      <w:r w:rsidR="007D5621">
        <w:rPr>
          <w:rFonts w:ascii="Abadi Extra Light" w:hAnsi="Abadi Extra Light"/>
        </w:rPr>
        <w:t>can fulfil their responsibilities without facing undue hindrance</w:t>
      </w:r>
      <w:r w:rsidR="00BD37B0">
        <w:rPr>
          <w:rFonts w:ascii="Abadi Extra Light" w:hAnsi="Abadi Extra Light"/>
        </w:rPr>
        <w:t xml:space="preserve"> </w:t>
      </w:r>
      <w:sdt>
        <w:sdtPr>
          <w:rPr>
            <w:rFonts w:ascii="Abadi Extra Light" w:hAnsi="Abadi Extra Light"/>
          </w:rPr>
          <w:id w:val="-876696870"/>
          <w:citation/>
        </w:sdtPr>
        <w:sdtContent>
          <w:r w:rsidR="00BD37B0">
            <w:rPr>
              <w:rFonts w:ascii="Abadi Extra Light" w:hAnsi="Abadi Extra Light"/>
            </w:rPr>
            <w:fldChar w:fldCharType="begin"/>
          </w:r>
          <w:r w:rsidR="00BD37B0">
            <w:rPr>
              <w:rFonts w:ascii="Abadi Extra Light" w:hAnsi="Abadi Extra Light"/>
            </w:rPr>
            <w:instrText xml:space="preserve"> CITATION The02 \l 2057 </w:instrText>
          </w:r>
          <w:r w:rsidR="00BD37B0">
            <w:rPr>
              <w:rFonts w:ascii="Abadi Extra Light" w:hAnsi="Abadi Extra Light"/>
            </w:rPr>
            <w:fldChar w:fldCharType="separate"/>
          </w:r>
          <w:r w:rsidR="00BD37B0" w:rsidRPr="00BD37B0">
            <w:rPr>
              <w:rFonts w:ascii="Abadi Extra Light" w:hAnsi="Abadi Extra Light"/>
              <w:noProof/>
            </w:rPr>
            <w:t>(The Law Commission , 2002)</w:t>
          </w:r>
          <w:r w:rsidR="00BD37B0">
            <w:rPr>
              <w:rFonts w:ascii="Abadi Extra Light" w:hAnsi="Abadi Extra Light"/>
            </w:rPr>
            <w:fldChar w:fldCharType="end"/>
          </w:r>
        </w:sdtContent>
      </w:sdt>
      <w:r w:rsidR="00BD37B0">
        <w:rPr>
          <w:rFonts w:ascii="Abadi Extra Light" w:hAnsi="Abadi Extra Light"/>
        </w:rPr>
        <w:t>.</w:t>
      </w:r>
      <w:r w:rsidR="007D5621">
        <w:rPr>
          <w:rFonts w:ascii="Abadi Extra Light" w:hAnsi="Abadi Extra Light"/>
        </w:rPr>
        <w:t xml:space="preserve"> </w:t>
      </w:r>
      <w:r w:rsidR="00321C64">
        <w:rPr>
          <w:rFonts w:ascii="Abadi Extra Light" w:hAnsi="Abadi Extra Light"/>
        </w:rPr>
        <w:t xml:space="preserve">Nevertheless, there is a potential risk that an increased focus on accountability may create </w:t>
      </w:r>
      <w:r w:rsidR="00BF26A0">
        <w:rPr>
          <w:rFonts w:ascii="Abadi Extra Light" w:hAnsi="Abadi Extra Light"/>
        </w:rPr>
        <w:t xml:space="preserve">an environment </w:t>
      </w:r>
      <w:r w:rsidR="00BA26C8">
        <w:rPr>
          <w:rFonts w:ascii="Abadi Extra Light" w:hAnsi="Abadi Extra Light"/>
        </w:rPr>
        <w:t xml:space="preserve">where trustees feel excessively scrutinised, </w:t>
      </w:r>
      <w:r w:rsidR="009E4630">
        <w:rPr>
          <w:rFonts w:ascii="Abadi Extra Light" w:hAnsi="Abadi Extra Light"/>
        </w:rPr>
        <w:t xml:space="preserve">which could deter capable </w:t>
      </w:r>
      <w:r w:rsidR="00BC73E5">
        <w:rPr>
          <w:rFonts w:ascii="Abadi Extra Light" w:hAnsi="Abadi Extra Light"/>
        </w:rPr>
        <w:t xml:space="preserve">individuals from assuming these roles. </w:t>
      </w:r>
      <w:r w:rsidR="00CE4165">
        <w:rPr>
          <w:rFonts w:ascii="Abadi Extra Light" w:hAnsi="Abadi Extra Light"/>
        </w:rPr>
        <w:t xml:space="preserve">While a balance is intended, further </w:t>
      </w:r>
      <w:r w:rsidR="006023BE">
        <w:rPr>
          <w:rFonts w:ascii="Abadi Extra Light" w:hAnsi="Abadi Extra Light"/>
        </w:rPr>
        <w:t xml:space="preserve">refinement may be necessary to prevent discouraging competent trustees from </w:t>
      </w:r>
      <w:r w:rsidR="00E72138">
        <w:rPr>
          <w:rFonts w:ascii="Abadi Extra Light" w:hAnsi="Abadi Extra Light"/>
        </w:rPr>
        <w:t>participating in the system</w:t>
      </w:r>
      <w:r w:rsidR="00945130">
        <w:rPr>
          <w:rFonts w:ascii="Abadi Extra Light" w:hAnsi="Abadi Extra Light"/>
        </w:rPr>
        <w:t xml:space="preserve"> </w:t>
      </w:r>
      <w:sdt>
        <w:sdtPr>
          <w:rPr>
            <w:rFonts w:ascii="Abadi Extra Light" w:hAnsi="Abadi Extra Light"/>
          </w:rPr>
          <w:id w:val="724954411"/>
          <w:citation/>
        </w:sdtPr>
        <w:sdtContent>
          <w:r w:rsidR="00945130">
            <w:rPr>
              <w:rFonts w:ascii="Abadi Extra Light" w:hAnsi="Abadi Extra Light"/>
            </w:rPr>
            <w:fldChar w:fldCharType="begin"/>
          </w:r>
          <w:r w:rsidR="00945130">
            <w:rPr>
              <w:rFonts w:ascii="Abadi Extra Light" w:hAnsi="Abadi Extra Light"/>
            </w:rPr>
            <w:instrText xml:space="preserve"> CITATION Law08 \l 2057 </w:instrText>
          </w:r>
          <w:r w:rsidR="00945130">
            <w:rPr>
              <w:rFonts w:ascii="Abadi Extra Light" w:hAnsi="Abadi Extra Light"/>
            </w:rPr>
            <w:fldChar w:fldCharType="separate"/>
          </w:r>
          <w:r w:rsidR="00945130" w:rsidRPr="00945130">
            <w:rPr>
              <w:rFonts w:ascii="Abadi Extra Light" w:hAnsi="Abadi Extra Light"/>
              <w:noProof/>
            </w:rPr>
            <w:t>(Law Commission , 2008)</w:t>
          </w:r>
          <w:r w:rsidR="00945130">
            <w:rPr>
              <w:rFonts w:ascii="Abadi Extra Light" w:hAnsi="Abadi Extra Light"/>
            </w:rPr>
            <w:fldChar w:fldCharType="end"/>
          </w:r>
        </w:sdtContent>
      </w:sdt>
      <w:r w:rsidR="00945130">
        <w:rPr>
          <w:rFonts w:ascii="Abadi Extra Light" w:hAnsi="Abadi Extra Light"/>
        </w:rPr>
        <w:t>.</w:t>
      </w:r>
    </w:p>
    <w:p w14:paraId="7D480DF8" w14:textId="73949EB6" w:rsidR="008D7341" w:rsidRDefault="008D7341">
      <w:pPr>
        <w:rPr>
          <w:rFonts w:ascii="Abadi Extra Light" w:hAnsi="Abadi Extra Light"/>
        </w:rPr>
      </w:pPr>
      <w:r>
        <w:rPr>
          <w:rFonts w:ascii="Abadi Extra Light" w:hAnsi="Abadi Extra Light"/>
        </w:rPr>
        <w:t xml:space="preserve">New challenges may also emerge as a result of these reforms, particularly concerning the potential for increased bureaucracy. The establishment for a </w:t>
      </w:r>
      <w:r w:rsidR="00AD703A">
        <w:rPr>
          <w:rFonts w:ascii="Abadi Extra Light" w:hAnsi="Abadi Extra Light"/>
        </w:rPr>
        <w:t xml:space="preserve">Regulatory Authority could inadvertently lead to delays in decision-making </w:t>
      </w:r>
      <w:r w:rsidR="00237939">
        <w:rPr>
          <w:rFonts w:ascii="Abadi Extra Light" w:hAnsi="Abadi Extra Light"/>
        </w:rPr>
        <w:t xml:space="preserve">processes, as the trustees may need to navigate additional layers of oversight. This could hinder the timely </w:t>
      </w:r>
      <w:r w:rsidR="003260F6">
        <w:rPr>
          <w:rFonts w:ascii="Abadi Extra Light" w:hAnsi="Abadi Extra Light"/>
        </w:rPr>
        <w:t xml:space="preserve">administration of trusts, which is essential </w:t>
      </w:r>
      <w:r w:rsidR="000A43FC">
        <w:rPr>
          <w:rFonts w:ascii="Abadi Extra Light" w:hAnsi="Abadi Extra Light"/>
        </w:rPr>
        <w:t>for meeting the needs of beneficiaries.</w:t>
      </w:r>
    </w:p>
    <w:p w14:paraId="4A529B8B" w14:textId="6E2A7D18" w:rsidR="000A43FC" w:rsidRPr="00350CB0" w:rsidRDefault="000A43FC">
      <w:pPr>
        <w:rPr>
          <w:rFonts w:ascii="Abadi Extra Light" w:hAnsi="Abadi Extra Light"/>
          <w:u w:val="single"/>
        </w:rPr>
      </w:pPr>
      <w:r>
        <w:rPr>
          <w:rFonts w:ascii="Abadi Extra Light" w:hAnsi="Abadi Extra Light"/>
        </w:rPr>
        <w:t>When considering the construction of the legislation</w:t>
      </w:r>
      <w:r w:rsidR="009B1BE2">
        <w:rPr>
          <w:rFonts w:ascii="Abadi Extra Light" w:hAnsi="Abadi Extra Light"/>
        </w:rPr>
        <w:t xml:space="preserve">, it is imperative to carefully evaluate the wording of the clauses. If the language is too broad, it may lead to varying interpretations, resulting in uncertainty and confusion. Conversely, </w:t>
      </w:r>
      <w:r w:rsidR="00350CB0">
        <w:rPr>
          <w:rFonts w:ascii="Abadi Extra Light" w:hAnsi="Abadi Extra Light"/>
        </w:rPr>
        <w:t xml:space="preserve">if the wording is overly narrow, it could limit </w:t>
      </w:r>
      <w:r w:rsidR="00350CB0" w:rsidRPr="00350CB0">
        <w:rPr>
          <w:rFonts w:ascii="Abadi Extra Light" w:hAnsi="Abadi Extra Light"/>
        </w:rPr>
        <w:t xml:space="preserve">the </w:t>
      </w:r>
      <w:r w:rsidR="00A53759" w:rsidRPr="00350CB0">
        <w:rPr>
          <w:rFonts w:ascii="Abadi Extra Light" w:hAnsi="Abadi Extra Light"/>
        </w:rPr>
        <w:t>Authorit</w:t>
      </w:r>
      <w:r w:rsidR="00A53759">
        <w:rPr>
          <w:rFonts w:ascii="Abadi Extra Light" w:hAnsi="Abadi Extra Light"/>
        </w:rPr>
        <w:t>ies</w:t>
      </w:r>
      <w:r w:rsidR="00350CB0" w:rsidRPr="00350CB0">
        <w:rPr>
          <w:rFonts w:ascii="Abadi Extra Light" w:hAnsi="Abadi Extra Light"/>
        </w:rPr>
        <w:t xml:space="preserve"> eff</w:t>
      </w:r>
      <w:r w:rsidR="00350CB0">
        <w:rPr>
          <w:rFonts w:ascii="Abadi Extra Light" w:hAnsi="Abadi Extra Light"/>
        </w:rPr>
        <w:t>ectiveness</w:t>
      </w:r>
      <w:r w:rsidR="00100895">
        <w:rPr>
          <w:rFonts w:ascii="Abadi Extra Light" w:hAnsi="Abadi Extra Light"/>
        </w:rPr>
        <w:t xml:space="preserve"> in carrying out its mandate. Key omissions, such as lack of specific guidelines for the training and certification of trustees, </w:t>
      </w:r>
      <w:r w:rsidR="00F70B3F">
        <w:rPr>
          <w:rFonts w:ascii="Abadi Extra Light" w:hAnsi="Abadi Extra Light"/>
        </w:rPr>
        <w:t xml:space="preserve">could further weaken the proposed reforms. Including clear criteria for trustee qualifications would enhance </w:t>
      </w:r>
      <w:r w:rsidR="00A53759">
        <w:rPr>
          <w:rFonts w:ascii="Abadi Extra Light" w:hAnsi="Abadi Extra Light"/>
        </w:rPr>
        <w:t>the Authorities ability to enforce high standards</w:t>
      </w:r>
      <w:r w:rsidR="00974490">
        <w:rPr>
          <w:rFonts w:ascii="Abadi Extra Light" w:hAnsi="Abadi Extra Light"/>
        </w:rPr>
        <w:t xml:space="preserve"> </w:t>
      </w:r>
      <w:sdt>
        <w:sdtPr>
          <w:rPr>
            <w:rFonts w:ascii="Abadi Extra Light" w:hAnsi="Abadi Extra Light"/>
          </w:rPr>
          <w:id w:val="-615987801"/>
          <w:citation/>
        </w:sdtPr>
        <w:sdtContent>
          <w:r w:rsidR="00974490">
            <w:rPr>
              <w:rFonts w:ascii="Abadi Extra Light" w:hAnsi="Abadi Extra Light"/>
            </w:rPr>
            <w:fldChar w:fldCharType="begin"/>
          </w:r>
          <w:r w:rsidR="00974490">
            <w:rPr>
              <w:rFonts w:ascii="Abadi Extra Light" w:hAnsi="Abadi Extra Light"/>
            </w:rPr>
            <w:instrText xml:space="preserve"> CITATION Par17 \l 2057 </w:instrText>
          </w:r>
          <w:r w:rsidR="00974490">
            <w:rPr>
              <w:rFonts w:ascii="Abadi Extra Light" w:hAnsi="Abadi Extra Light"/>
            </w:rPr>
            <w:fldChar w:fldCharType="separate"/>
          </w:r>
          <w:r w:rsidR="00974490" w:rsidRPr="00974490">
            <w:rPr>
              <w:rFonts w:ascii="Abadi Extra Light" w:hAnsi="Abadi Extra Light"/>
              <w:noProof/>
            </w:rPr>
            <w:t>(Parliament , 2017)</w:t>
          </w:r>
          <w:r w:rsidR="00974490">
            <w:rPr>
              <w:rFonts w:ascii="Abadi Extra Light" w:hAnsi="Abadi Extra Light"/>
            </w:rPr>
            <w:fldChar w:fldCharType="end"/>
          </w:r>
        </w:sdtContent>
      </w:sdt>
      <w:r w:rsidR="00974490">
        <w:rPr>
          <w:rFonts w:ascii="Abadi Extra Light" w:hAnsi="Abadi Extra Light"/>
        </w:rPr>
        <w:t>.</w:t>
      </w:r>
    </w:p>
    <w:p w14:paraId="6BB8CDAD" w14:textId="725C2ACF" w:rsidR="00E13877" w:rsidRDefault="002D6B69">
      <w:pPr>
        <w:rPr>
          <w:rFonts w:ascii="Abadi Extra Light" w:hAnsi="Abadi Extra Light"/>
        </w:rPr>
      </w:pPr>
      <w:r>
        <w:rPr>
          <w:rFonts w:ascii="Abadi Extra Light" w:hAnsi="Abadi Extra Light"/>
        </w:rPr>
        <w:t>Additionally, the scope of the clauses should be scrutinized to ensure that they do not extend too far. If the Authority</w:t>
      </w:r>
      <w:r w:rsidR="0037619F">
        <w:rPr>
          <w:rFonts w:ascii="Abadi Extra Light" w:hAnsi="Abadi Extra Light"/>
        </w:rPr>
        <w:t xml:space="preserve"> possesses excessive power without appropriate </w:t>
      </w:r>
      <w:r w:rsidR="00DD14B4">
        <w:rPr>
          <w:rFonts w:ascii="Abadi Extra Light" w:hAnsi="Abadi Extra Light"/>
        </w:rPr>
        <w:t>checks and balances, it may lead to overreach for misuse of authority. Implementing</w:t>
      </w:r>
      <w:r w:rsidR="008575C9">
        <w:rPr>
          <w:rFonts w:ascii="Abadi Extra Light" w:hAnsi="Abadi Extra Light"/>
        </w:rPr>
        <w:t xml:space="preserve"> limitation clauses could help define </w:t>
      </w:r>
      <w:r w:rsidR="008575C9">
        <w:rPr>
          <w:rFonts w:ascii="Abadi Extra Light" w:hAnsi="Abadi Extra Light"/>
        </w:rPr>
        <w:lastRenderedPageBreak/>
        <w:t xml:space="preserve">the boundaries of the Authorities powers, ensuring it operates within reasonable and justifiable </w:t>
      </w:r>
      <w:r w:rsidR="005743B5">
        <w:rPr>
          <w:rFonts w:ascii="Abadi Extra Light" w:hAnsi="Abadi Extra Light"/>
        </w:rPr>
        <w:t xml:space="preserve">framework </w:t>
      </w:r>
      <w:sdt>
        <w:sdtPr>
          <w:rPr>
            <w:rFonts w:ascii="Abadi Extra Light" w:hAnsi="Abadi Extra Light"/>
          </w:rPr>
          <w:id w:val="-1506047097"/>
          <w:citation/>
        </w:sdtPr>
        <w:sdtContent>
          <w:r w:rsidR="005743B5">
            <w:rPr>
              <w:rFonts w:ascii="Abadi Extra Light" w:hAnsi="Abadi Extra Light"/>
            </w:rPr>
            <w:fldChar w:fldCharType="begin"/>
          </w:r>
          <w:r w:rsidR="005743B5">
            <w:rPr>
              <w:rFonts w:ascii="Abadi Extra Light" w:hAnsi="Abadi Extra Light"/>
            </w:rPr>
            <w:instrText xml:space="preserve"> CITATION Hug23 \l 2057 </w:instrText>
          </w:r>
          <w:r w:rsidR="005743B5">
            <w:rPr>
              <w:rFonts w:ascii="Abadi Extra Light" w:hAnsi="Abadi Extra Light"/>
            </w:rPr>
            <w:fldChar w:fldCharType="separate"/>
          </w:r>
          <w:r w:rsidR="005743B5" w:rsidRPr="005743B5">
            <w:rPr>
              <w:rFonts w:ascii="Abadi Extra Light" w:hAnsi="Abadi Extra Light"/>
              <w:noProof/>
            </w:rPr>
            <w:t>(Hughes, 2023)</w:t>
          </w:r>
          <w:r w:rsidR="005743B5">
            <w:rPr>
              <w:rFonts w:ascii="Abadi Extra Light" w:hAnsi="Abadi Extra Light"/>
            </w:rPr>
            <w:fldChar w:fldCharType="end"/>
          </w:r>
        </w:sdtContent>
      </w:sdt>
      <w:r w:rsidR="005743B5">
        <w:rPr>
          <w:rFonts w:ascii="Abadi Extra Light" w:hAnsi="Abadi Extra Light"/>
        </w:rPr>
        <w:t>.</w:t>
      </w:r>
    </w:p>
    <w:p w14:paraId="1D6B7DD7" w14:textId="685880CE" w:rsidR="00636492" w:rsidRDefault="00636492">
      <w:pPr>
        <w:rPr>
          <w:rFonts w:ascii="Abadi Extra Light" w:hAnsi="Abadi Extra Light"/>
        </w:rPr>
      </w:pPr>
      <w:r>
        <w:rPr>
          <w:rFonts w:ascii="Abadi Extra Light" w:hAnsi="Abadi Extra Light"/>
        </w:rPr>
        <w:t xml:space="preserve">The context in which these reforms </w:t>
      </w:r>
      <w:r w:rsidR="004B39A5">
        <w:rPr>
          <w:rFonts w:ascii="Abadi Extra Light" w:hAnsi="Abadi Extra Light"/>
        </w:rPr>
        <w:t xml:space="preserve">will be implemented is also vital. They must interact effectively with existing </w:t>
      </w:r>
      <w:r w:rsidR="004A5616">
        <w:rPr>
          <w:rFonts w:ascii="Abadi Extra Light" w:hAnsi="Abadi Extra Light"/>
        </w:rPr>
        <w:t>laws that govern the duties of trustees and the rights of the beneficiaries. If the proposed reforms conflict with established legal principles, they could create confusion and undermine the intended improvements. Therefore, it is essential to ensure that the new</w:t>
      </w:r>
      <w:r w:rsidR="00711170">
        <w:rPr>
          <w:rFonts w:ascii="Abadi Extra Light" w:hAnsi="Abadi Extra Light"/>
        </w:rPr>
        <w:t xml:space="preserve"> regulations complement the existing legal framework rather than complicate it</w:t>
      </w:r>
      <w:r w:rsidR="00901770">
        <w:rPr>
          <w:rFonts w:ascii="Abadi Extra Light" w:hAnsi="Abadi Extra Light"/>
        </w:rPr>
        <w:t xml:space="preserve"> </w:t>
      </w:r>
      <w:sdt>
        <w:sdtPr>
          <w:rPr>
            <w:rFonts w:ascii="Abadi Extra Light" w:hAnsi="Abadi Extra Light"/>
          </w:rPr>
          <w:id w:val="769670680"/>
          <w:citation/>
        </w:sdtPr>
        <w:sdtContent>
          <w:r w:rsidR="00901770">
            <w:rPr>
              <w:rFonts w:ascii="Abadi Extra Light" w:hAnsi="Abadi Extra Light"/>
            </w:rPr>
            <w:fldChar w:fldCharType="begin"/>
          </w:r>
          <w:r w:rsidR="00901770">
            <w:rPr>
              <w:rFonts w:ascii="Abadi Extra Light" w:hAnsi="Abadi Extra Light"/>
            </w:rPr>
            <w:instrText xml:space="preserve"> CITATION DWP18 \l 2057 </w:instrText>
          </w:r>
          <w:r w:rsidR="00901770">
            <w:rPr>
              <w:rFonts w:ascii="Abadi Extra Light" w:hAnsi="Abadi Extra Light"/>
            </w:rPr>
            <w:fldChar w:fldCharType="separate"/>
          </w:r>
          <w:r w:rsidR="00901770" w:rsidRPr="00901770">
            <w:rPr>
              <w:rFonts w:ascii="Abadi Extra Light" w:hAnsi="Abadi Extra Light"/>
              <w:noProof/>
            </w:rPr>
            <w:t>(DWP, 2018)</w:t>
          </w:r>
          <w:r w:rsidR="00901770">
            <w:rPr>
              <w:rFonts w:ascii="Abadi Extra Light" w:hAnsi="Abadi Extra Light"/>
            </w:rPr>
            <w:fldChar w:fldCharType="end"/>
          </w:r>
        </w:sdtContent>
      </w:sdt>
      <w:r w:rsidR="00901770">
        <w:rPr>
          <w:rFonts w:ascii="Abadi Extra Light" w:hAnsi="Abadi Extra Light"/>
        </w:rPr>
        <w:t>.</w:t>
      </w:r>
    </w:p>
    <w:p w14:paraId="39CD263F" w14:textId="57D23B67" w:rsidR="00095BB3" w:rsidRPr="005B4A39" w:rsidRDefault="005B4A39">
      <w:pPr>
        <w:rPr>
          <w:rFonts w:ascii="Abadi Extra Light" w:hAnsi="Abadi Extra Light"/>
          <w:u w:val="single"/>
        </w:rPr>
      </w:pPr>
      <w:r w:rsidRPr="005B4A39">
        <w:rPr>
          <w:rFonts w:ascii="Abadi Extra Light" w:hAnsi="Abadi Extra Light"/>
          <w:u w:val="single"/>
        </w:rPr>
        <w:t>Conclusion</w:t>
      </w:r>
    </w:p>
    <w:p w14:paraId="430D6379" w14:textId="536FABED" w:rsidR="006758C6" w:rsidRDefault="00351BEF" w:rsidP="00B32E89">
      <w:pPr>
        <w:rPr>
          <w:rFonts w:ascii="Abadi Extra Light" w:hAnsi="Abadi Extra Light"/>
        </w:rPr>
      </w:pPr>
      <w:r>
        <w:rPr>
          <w:rFonts w:ascii="Abadi Extra Light" w:hAnsi="Abadi Extra Light"/>
        </w:rPr>
        <w:t>In conclusion</w:t>
      </w:r>
      <w:r w:rsidR="00574BC1">
        <w:rPr>
          <w:rFonts w:ascii="Abadi Extra Light" w:hAnsi="Abadi Extra Light"/>
        </w:rPr>
        <w:t xml:space="preserve">, </w:t>
      </w:r>
      <w:r w:rsidR="00A65266">
        <w:rPr>
          <w:rFonts w:ascii="Abadi Extra Light" w:hAnsi="Abadi Extra Light"/>
        </w:rPr>
        <w:t xml:space="preserve">the establishment of a single regulatory </w:t>
      </w:r>
      <w:r w:rsidR="004101DD">
        <w:rPr>
          <w:rFonts w:ascii="Abadi Extra Light" w:hAnsi="Abadi Extra Light"/>
        </w:rPr>
        <w:t>body for trusts presents a multifaceted approach to enhancing the governance and oversight of trust activities. This unified reg</w:t>
      </w:r>
      <w:r w:rsidR="00A00582">
        <w:rPr>
          <w:rFonts w:ascii="Abadi Extra Light" w:hAnsi="Abadi Extra Light"/>
        </w:rPr>
        <w:t>ulatory framework aims to simplify oversight processes, ensuring consistent enforcement of standards</w:t>
      </w:r>
      <w:r w:rsidR="0088071C">
        <w:rPr>
          <w:rFonts w:ascii="Abadi Extra Light" w:hAnsi="Abadi Extra Light"/>
        </w:rPr>
        <w:t xml:space="preserve"> and reducing the administrative complexities that currently burden the system. Th</w:t>
      </w:r>
      <w:r w:rsidR="00855B9E">
        <w:rPr>
          <w:rFonts w:ascii="Abadi Extra Light" w:hAnsi="Abadi Extra Light"/>
        </w:rPr>
        <w:t xml:space="preserve">e introduction of new legislation brings forward measures designed to </w:t>
      </w:r>
      <w:r w:rsidR="00742401">
        <w:rPr>
          <w:rFonts w:ascii="Abadi Extra Light" w:hAnsi="Abadi Extra Light"/>
        </w:rPr>
        <w:t>improve transparency and accountability, effectively addressing the ambiguities and potential for misuse found in the old legislation.</w:t>
      </w:r>
    </w:p>
    <w:p w14:paraId="359BF0E8" w14:textId="07B7CFD3" w:rsidR="00742401" w:rsidRDefault="00742401" w:rsidP="00B32E89">
      <w:pPr>
        <w:rPr>
          <w:rFonts w:ascii="Abadi Extra Light" w:hAnsi="Abadi Extra Light"/>
        </w:rPr>
      </w:pPr>
      <w:r>
        <w:rPr>
          <w:rFonts w:ascii="Abadi Extra Light" w:hAnsi="Abadi Extra Light"/>
        </w:rPr>
        <w:t xml:space="preserve">However, while these reforms promise significant improvements, they also introduce certain challenges. One of the primary concerns is the potential for increased bureaucracy, which could lead to </w:t>
      </w:r>
      <w:r w:rsidR="00DE3D76">
        <w:rPr>
          <w:rFonts w:ascii="Abadi Extra Light" w:hAnsi="Abadi Extra Light"/>
        </w:rPr>
        <w:t xml:space="preserve">inefficiencies and slow down the regulatory process. Additionally, the risk of over-regulation may stifle </w:t>
      </w:r>
      <w:r w:rsidR="002D50B6">
        <w:rPr>
          <w:rFonts w:ascii="Abadi Extra Light" w:hAnsi="Abadi Extra Light"/>
        </w:rPr>
        <w:t>flexibility and innovation within the trustee system, potentially hindering the ability of trusts to adopt to changing circumstances and needs.</w:t>
      </w:r>
    </w:p>
    <w:p w14:paraId="39FDB296" w14:textId="787588E7" w:rsidR="00311B6B" w:rsidRPr="00B32E89" w:rsidRDefault="00BF456C" w:rsidP="00B32E89">
      <w:pPr>
        <w:rPr>
          <w:rFonts w:ascii="Abadi Extra Light" w:hAnsi="Abadi Extra Light"/>
        </w:rPr>
      </w:pPr>
      <w:r>
        <w:rPr>
          <w:rFonts w:ascii="Abadi Extra Light" w:hAnsi="Abadi Extra Light"/>
        </w:rPr>
        <w:t xml:space="preserve">Balancing these advantages and disadvantages is crucial. A well-designed </w:t>
      </w:r>
      <w:r w:rsidR="000702AA">
        <w:rPr>
          <w:rFonts w:ascii="Abadi Extra Light" w:hAnsi="Abadi Extra Light"/>
        </w:rPr>
        <w:t xml:space="preserve">regulatory framework must ensure the integrity and efficiency of the trusts system. This involves fostering </w:t>
      </w:r>
      <w:r w:rsidR="001A6EDF">
        <w:rPr>
          <w:rFonts w:ascii="Abadi Extra Light" w:hAnsi="Abadi Extra Light"/>
        </w:rPr>
        <w:t xml:space="preserve">an environment where trusts can operate transparently and accountably, without being hindered by excessive </w:t>
      </w:r>
      <w:r w:rsidR="00CD6A47">
        <w:rPr>
          <w:rFonts w:ascii="Abadi Extra Light" w:hAnsi="Abadi Extra Light"/>
        </w:rPr>
        <w:t xml:space="preserve">bureaucratic hurdles. Continuous evaluation and refinement of the regulatory </w:t>
      </w:r>
      <w:r w:rsidR="00BB6E14">
        <w:rPr>
          <w:rFonts w:ascii="Abadi Extra Light" w:hAnsi="Abadi Extra Light"/>
        </w:rPr>
        <w:t xml:space="preserve">mechanisms are essential to maintaining their effectiveness and relevance. By doing so, the framework can adopt to the evolving landscape of trust administration, ensuring that it supports </w:t>
      </w:r>
      <w:r w:rsidR="004243E6">
        <w:rPr>
          <w:rFonts w:ascii="Abadi Extra Light" w:hAnsi="Abadi Extra Light"/>
        </w:rPr>
        <w:t>innovation and flexibility while upholding rigorous standards. Ultimately, this approach aims to create a robust and fair system, that enhances public confidence in trusts and their management.</w:t>
      </w:r>
    </w:p>
    <w:sectPr w:rsidR="00311B6B" w:rsidRPr="00B32E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93316B" w14:textId="77777777" w:rsidR="00BE343A" w:rsidRDefault="00BE343A" w:rsidP="00D96D30">
      <w:pPr>
        <w:spacing w:after="0" w:line="240" w:lineRule="auto"/>
      </w:pPr>
      <w:r>
        <w:separator/>
      </w:r>
    </w:p>
  </w:endnote>
  <w:endnote w:type="continuationSeparator" w:id="0">
    <w:p w14:paraId="0826C5CE" w14:textId="77777777" w:rsidR="00BE343A" w:rsidRDefault="00BE343A" w:rsidP="00D96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5C2A68" w14:textId="77777777" w:rsidR="00BE343A" w:rsidRDefault="00BE343A" w:rsidP="00D96D30">
      <w:pPr>
        <w:spacing w:after="0" w:line="240" w:lineRule="auto"/>
      </w:pPr>
      <w:r>
        <w:separator/>
      </w:r>
    </w:p>
  </w:footnote>
  <w:footnote w:type="continuationSeparator" w:id="0">
    <w:p w14:paraId="03689A62" w14:textId="77777777" w:rsidR="00BE343A" w:rsidRDefault="00BE343A" w:rsidP="00D96D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CB1830"/>
    <w:multiLevelType w:val="hybridMultilevel"/>
    <w:tmpl w:val="19A2BAAC"/>
    <w:lvl w:ilvl="0" w:tplc="006684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163AFD"/>
    <w:multiLevelType w:val="hybridMultilevel"/>
    <w:tmpl w:val="586EFA26"/>
    <w:lvl w:ilvl="0" w:tplc="9CCCE7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606CD1"/>
    <w:multiLevelType w:val="hybridMultilevel"/>
    <w:tmpl w:val="AD46D95A"/>
    <w:lvl w:ilvl="0" w:tplc="1842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9910CD"/>
    <w:multiLevelType w:val="hybridMultilevel"/>
    <w:tmpl w:val="D99CCDD8"/>
    <w:lvl w:ilvl="0" w:tplc="060C4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051D7"/>
    <w:multiLevelType w:val="hybridMultilevel"/>
    <w:tmpl w:val="4FF4B5E2"/>
    <w:lvl w:ilvl="0" w:tplc="A81499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381863"/>
    <w:multiLevelType w:val="hybridMultilevel"/>
    <w:tmpl w:val="B2F4BA2C"/>
    <w:lvl w:ilvl="0" w:tplc="1040CC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4D2D31"/>
    <w:multiLevelType w:val="hybridMultilevel"/>
    <w:tmpl w:val="2B9C6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78395F"/>
    <w:multiLevelType w:val="hybridMultilevel"/>
    <w:tmpl w:val="1DD4D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5363605">
    <w:abstractNumId w:val="6"/>
  </w:num>
  <w:num w:numId="2" w16cid:durableId="716196578">
    <w:abstractNumId w:val="7"/>
  </w:num>
  <w:num w:numId="3" w16cid:durableId="1002664957">
    <w:abstractNumId w:val="3"/>
  </w:num>
  <w:num w:numId="4" w16cid:durableId="427391557">
    <w:abstractNumId w:val="0"/>
  </w:num>
  <w:num w:numId="5" w16cid:durableId="149449117">
    <w:abstractNumId w:val="2"/>
  </w:num>
  <w:num w:numId="6" w16cid:durableId="413473890">
    <w:abstractNumId w:val="5"/>
  </w:num>
  <w:num w:numId="7" w16cid:durableId="611598005">
    <w:abstractNumId w:val="4"/>
  </w:num>
  <w:num w:numId="8" w16cid:durableId="1751659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36C"/>
    <w:rsid w:val="00000F40"/>
    <w:rsid w:val="00006F77"/>
    <w:rsid w:val="0001060E"/>
    <w:rsid w:val="00015E86"/>
    <w:rsid w:val="00021445"/>
    <w:rsid w:val="000219C2"/>
    <w:rsid w:val="000516AA"/>
    <w:rsid w:val="00057840"/>
    <w:rsid w:val="000702AA"/>
    <w:rsid w:val="00076CAC"/>
    <w:rsid w:val="00077ADD"/>
    <w:rsid w:val="000879A5"/>
    <w:rsid w:val="0009576E"/>
    <w:rsid w:val="00095BB3"/>
    <w:rsid w:val="000A43FC"/>
    <w:rsid w:val="000A65F7"/>
    <w:rsid w:val="000B06E4"/>
    <w:rsid w:val="000B573D"/>
    <w:rsid w:val="000D40D2"/>
    <w:rsid w:val="000F0087"/>
    <w:rsid w:val="00100895"/>
    <w:rsid w:val="00105954"/>
    <w:rsid w:val="00115D8C"/>
    <w:rsid w:val="00125669"/>
    <w:rsid w:val="00130295"/>
    <w:rsid w:val="00131B39"/>
    <w:rsid w:val="00133016"/>
    <w:rsid w:val="00134DD9"/>
    <w:rsid w:val="00137E40"/>
    <w:rsid w:val="00156B93"/>
    <w:rsid w:val="001742D3"/>
    <w:rsid w:val="0017642B"/>
    <w:rsid w:val="00181780"/>
    <w:rsid w:val="00195328"/>
    <w:rsid w:val="001A1BAF"/>
    <w:rsid w:val="001A2BFE"/>
    <w:rsid w:val="001A6EDF"/>
    <w:rsid w:val="001C0A9A"/>
    <w:rsid w:val="001C25F2"/>
    <w:rsid w:val="001D5AFE"/>
    <w:rsid w:val="001F149C"/>
    <w:rsid w:val="00213DA7"/>
    <w:rsid w:val="00217AEB"/>
    <w:rsid w:val="00222CDF"/>
    <w:rsid w:val="00223650"/>
    <w:rsid w:val="00237939"/>
    <w:rsid w:val="002556FB"/>
    <w:rsid w:val="00260D89"/>
    <w:rsid w:val="00261D48"/>
    <w:rsid w:val="002667B9"/>
    <w:rsid w:val="002726A6"/>
    <w:rsid w:val="002839BD"/>
    <w:rsid w:val="002946BE"/>
    <w:rsid w:val="002A145B"/>
    <w:rsid w:val="002A7EDD"/>
    <w:rsid w:val="002C28F0"/>
    <w:rsid w:val="002C2B45"/>
    <w:rsid w:val="002D50B6"/>
    <w:rsid w:val="002D6B69"/>
    <w:rsid w:val="002F469C"/>
    <w:rsid w:val="002F6AE1"/>
    <w:rsid w:val="00311B6B"/>
    <w:rsid w:val="003174F2"/>
    <w:rsid w:val="00321C64"/>
    <w:rsid w:val="00322C48"/>
    <w:rsid w:val="003260F6"/>
    <w:rsid w:val="003332EE"/>
    <w:rsid w:val="00350CB0"/>
    <w:rsid w:val="00351BEF"/>
    <w:rsid w:val="00365585"/>
    <w:rsid w:val="003678B0"/>
    <w:rsid w:val="0037619F"/>
    <w:rsid w:val="003779C1"/>
    <w:rsid w:val="00385E95"/>
    <w:rsid w:val="003A29F4"/>
    <w:rsid w:val="003C0D88"/>
    <w:rsid w:val="003C2CA3"/>
    <w:rsid w:val="003D56AF"/>
    <w:rsid w:val="004011B8"/>
    <w:rsid w:val="004101DD"/>
    <w:rsid w:val="004120AD"/>
    <w:rsid w:val="004146AD"/>
    <w:rsid w:val="004243E6"/>
    <w:rsid w:val="00426F65"/>
    <w:rsid w:val="00463D2B"/>
    <w:rsid w:val="00467325"/>
    <w:rsid w:val="00470A12"/>
    <w:rsid w:val="00473020"/>
    <w:rsid w:val="00491014"/>
    <w:rsid w:val="004A2736"/>
    <w:rsid w:val="004A4246"/>
    <w:rsid w:val="004A5616"/>
    <w:rsid w:val="004B29B6"/>
    <w:rsid w:val="004B39A5"/>
    <w:rsid w:val="004C0E61"/>
    <w:rsid w:val="004C185F"/>
    <w:rsid w:val="004C4368"/>
    <w:rsid w:val="00501ECA"/>
    <w:rsid w:val="00503D2B"/>
    <w:rsid w:val="0050612E"/>
    <w:rsid w:val="00506C7D"/>
    <w:rsid w:val="00517C8E"/>
    <w:rsid w:val="00521C27"/>
    <w:rsid w:val="005243EB"/>
    <w:rsid w:val="00525FB8"/>
    <w:rsid w:val="0052770E"/>
    <w:rsid w:val="00545705"/>
    <w:rsid w:val="00557821"/>
    <w:rsid w:val="0056405A"/>
    <w:rsid w:val="00566A2C"/>
    <w:rsid w:val="005743B5"/>
    <w:rsid w:val="0057452F"/>
    <w:rsid w:val="00574BC1"/>
    <w:rsid w:val="00580FA1"/>
    <w:rsid w:val="005A0417"/>
    <w:rsid w:val="005A7594"/>
    <w:rsid w:val="005B4A39"/>
    <w:rsid w:val="005B6537"/>
    <w:rsid w:val="005C3F27"/>
    <w:rsid w:val="005D1921"/>
    <w:rsid w:val="005E5844"/>
    <w:rsid w:val="005F47D0"/>
    <w:rsid w:val="005F50B8"/>
    <w:rsid w:val="006023BE"/>
    <w:rsid w:val="00636492"/>
    <w:rsid w:val="006618FE"/>
    <w:rsid w:val="006758C6"/>
    <w:rsid w:val="006925FB"/>
    <w:rsid w:val="006A77D0"/>
    <w:rsid w:val="006B3F8E"/>
    <w:rsid w:val="006C7B06"/>
    <w:rsid w:val="006D1F62"/>
    <w:rsid w:val="006F102B"/>
    <w:rsid w:val="00711170"/>
    <w:rsid w:val="00720EDD"/>
    <w:rsid w:val="0072169F"/>
    <w:rsid w:val="00723001"/>
    <w:rsid w:val="00736BA0"/>
    <w:rsid w:val="00742401"/>
    <w:rsid w:val="00747D52"/>
    <w:rsid w:val="00751A5B"/>
    <w:rsid w:val="007679D2"/>
    <w:rsid w:val="0077393F"/>
    <w:rsid w:val="007808C8"/>
    <w:rsid w:val="00783A97"/>
    <w:rsid w:val="00790BB4"/>
    <w:rsid w:val="007A58F4"/>
    <w:rsid w:val="007A7A5D"/>
    <w:rsid w:val="007B285B"/>
    <w:rsid w:val="007B5FCF"/>
    <w:rsid w:val="007D4EE0"/>
    <w:rsid w:val="007D5621"/>
    <w:rsid w:val="008149DC"/>
    <w:rsid w:val="0082702C"/>
    <w:rsid w:val="008326C9"/>
    <w:rsid w:val="00834EBE"/>
    <w:rsid w:val="008454A8"/>
    <w:rsid w:val="00855B9E"/>
    <w:rsid w:val="008575C9"/>
    <w:rsid w:val="00860DC7"/>
    <w:rsid w:val="0088071C"/>
    <w:rsid w:val="008816F6"/>
    <w:rsid w:val="00882ECF"/>
    <w:rsid w:val="00886472"/>
    <w:rsid w:val="008964A0"/>
    <w:rsid w:val="00896B9B"/>
    <w:rsid w:val="008A7B23"/>
    <w:rsid w:val="008B5DEE"/>
    <w:rsid w:val="008D7341"/>
    <w:rsid w:val="008D7BDB"/>
    <w:rsid w:val="00901770"/>
    <w:rsid w:val="009029DC"/>
    <w:rsid w:val="009105C6"/>
    <w:rsid w:val="009214C5"/>
    <w:rsid w:val="00945130"/>
    <w:rsid w:val="00950339"/>
    <w:rsid w:val="009514EE"/>
    <w:rsid w:val="00953724"/>
    <w:rsid w:val="00955168"/>
    <w:rsid w:val="009666B0"/>
    <w:rsid w:val="00974490"/>
    <w:rsid w:val="00980789"/>
    <w:rsid w:val="00993C7F"/>
    <w:rsid w:val="0099760C"/>
    <w:rsid w:val="009A1F18"/>
    <w:rsid w:val="009B1BE2"/>
    <w:rsid w:val="009B54EB"/>
    <w:rsid w:val="009C5B78"/>
    <w:rsid w:val="009D2145"/>
    <w:rsid w:val="009D7583"/>
    <w:rsid w:val="009E033A"/>
    <w:rsid w:val="009E1BD8"/>
    <w:rsid w:val="009E4630"/>
    <w:rsid w:val="009F1802"/>
    <w:rsid w:val="009F223F"/>
    <w:rsid w:val="009F7936"/>
    <w:rsid w:val="00A00582"/>
    <w:rsid w:val="00A05EA0"/>
    <w:rsid w:val="00A10778"/>
    <w:rsid w:val="00A353D2"/>
    <w:rsid w:val="00A53759"/>
    <w:rsid w:val="00A65266"/>
    <w:rsid w:val="00A71BE1"/>
    <w:rsid w:val="00A827AF"/>
    <w:rsid w:val="00AA46F8"/>
    <w:rsid w:val="00AD58AF"/>
    <w:rsid w:val="00AD703A"/>
    <w:rsid w:val="00AE23A8"/>
    <w:rsid w:val="00AE31C4"/>
    <w:rsid w:val="00AF2265"/>
    <w:rsid w:val="00B12514"/>
    <w:rsid w:val="00B13C1B"/>
    <w:rsid w:val="00B158F5"/>
    <w:rsid w:val="00B32E89"/>
    <w:rsid w:val="00B35FBA"/>
    <w:rsid w:val="00B37CF0"/>
    <w:rsid w:val="00B37DBE"/>
    <w:rsid w:val="00B47E8E"/>
    <w:rsid w:val="00B512A0"/>
    <w:rsid w:val="00B57032"/>
    <w:rsid w:val="00B73DDB"/>
    <w:rsid w:val="00B774EF"/>
    <w:rsid w:val="00B813CF"/>
    <w:rsid w:val="00B856EC"/>
    <w:rsid w:val="00B92465"/>
    <w:rsid w:val="00BA134F"/>
    <w:rsid w:val="00BA26C8"/>
    <w:rsid w:val="00BA6C95"/>
    <w:rsid w:val="00BB6E14"/>
    <w:rsid w:val="00BC73E5"/>
    <w:rsid w:val="00BD37B0"/>
    <w:rsid w:val="00BD5026"/>
    <w:rsid w:val="00BE343A"/>
    <w:rsid w:val="00BE3645"/>
    <w:rsid w:val="00BF196A"/>
    <w:rsid w:val="00BF26A0"/>
    <w:rsid w:val="00BF37A6"/>
    <w:rsid w:val="00BF3BFA"/>
    <w:rsid w:val="00BF456C"/>
    <w:rsid w:val="00C0169A"/>
    <w:rsid w:val="00C07BAA"/>
    <w:rsid w:val="00C1299A"/>
    <w:rsid w:val="00C15D05"/>
    <w:rsid w:val="00C22CB1"/>
    <w:rsid w:val="00C26C03"/>
    <w:rsid w:val="00C50196"/>
    <w:rsid w:val="00C67F37"/>
    <w:rsid w:val="00C91735"/>
    <w:rsid w:val="00CA7E35"/>
    <w:rsid w:val="00CB636C"/>
    <w:rsid w:val="00CC5059"/>
    <w:rsid w:val="00CD1EB4"/>
    <w:rsid w:val="00CD2833"/>
    <w:rsid w:val="00CD3999"/>
    <w:rsid w:val="00CD5603"/>
    <w:rsid w:val="00CD6A47"/>
    <w:rsid w:val="00CE4165"/>
    <w:rsid w:val="00CF7CD5"/>
    <w:rsid w:val="00D01C7C"/>
    <w:rsid w:val="00D126CD"/>
    <w:rsid w:val="00D15337"/>
    <w:rsid w:val="00D2086F"/>
    <w:rsid w:val="00D56443"/>
    <w:rsid w:val="00D81D2D"/>
    <w:rsid w:val="00D83E5E"/>
    <w:rsid w:val="00D95772"/>
    <w:rsid w:val="00D96D30"/>
    <w:rsid w:val="00DA45D4"/>
    <w:rsid w:val="00DD14B4"/>
    <w:rsid w:val="00DE3D76"/>
    <w:rsid w:val="00DE7635"/>
    <w:rsid w:val="00E03920"/>
    <w:rsid w:val="00E04ECB"/>
    <w:rsid w:val="00E10985"/>
    <w:rsid w:val="00E13877"/>
    <w:rsid w:val="00E2252A"/>
    <w:rsid w:val="00E27914"/>
    <w:rsid w:val="00E43165"/>
    <w:rsid w:val="00E548F3"/>
    <w:rsid w:val="00E64CAD"/>
    <w:rsid w:val="00E72138"/>
    <w:rsid w:val="00E75BEC"/>
    <w:rsid w:val="00E7658B"/>
    <w:rsid w:val="00E86627"/>
    <w:rsid w:val="00E9457B"/>
    <w:rsid w:val="00EA13D5"/>
    <w:rsid w:val="00EA312F"/>
    <w:rsid w:val="00EA3E72"/>
    <w:rsid w:val="00ED1CF3"/>
    <w:rsid w:val="00ED1D6D"/>
    <w:rsid w:val="00ED2B74"/>
    <w:rsid w:val="00ED5A0B"/>
    <w:rsid w:val="00EE34EF"/>
    <w:rsid w:val="00EE3931"/>
    <w:rsid w:val="00F11840"/>
    <w:rsid w:val="00F213BC"/>
    <w:rsid w:val="00F25AF3"/>
    <w:rsid w:val="00F35514"/>
    <w:rsid w:val="00F362C1"/>
    <w:rsid w:val="00F41930"/>
    <w:rsid w:val="00F42839"/>
    <w:rsid w:val="00F4374A"/>
    <w:rsid w:val="00F70B3F"/>
    <w:rsid w:val="00F767C6"/>
    <w:rsid w:val="00F77FEC"/>
    <w:rsid w:val="00F8186C"/>
    <w:rsid w:val="00F90926"/>
    <w:rsid w:val="00F95501"/>
    <w:rsid w:val="00FA3794"/>
    <w:rsid w:val="00FB0C9B"/>
    <w:rsid w:val="00FC700F"/>
    <w:rsid w:val="00FD0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5F81"/>
  <w15:chartTrackingRefBased/>
  <w15:docId w15:val="{C98B2D8E-60D8-4E10-B22A-44596F542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3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3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3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3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36C"/>
    <w:rPr>
      <w:rFonts w:eastAsiaTheme="majorEastAsia" w:cstheme="majorBidi"/>
      <w:color w:val="272727" w:themeColor="text1" w:themeTint="D8"/>
    </w:rPr>
  </w:style>
  <w:style w:type="paragraph" w:styleId="Title">
    <w:name w:val="Title"/>
    <w:basedOn w:val="Normal"/>
    <w:next w:val="Normal"/>
    <w:link w:val="TitleChar"/>
    <w:uiPriority w:val="10"/>
    <w:qFormat/>
    <w:rsid w:val="00CB6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36C"/>
    <w:pPr>
      <w:spacing w:before="160"/>
      <w:jc w:val="center"/>
    </w:pPr>
    <w:rPr>
      <w:i/>
      <w:iCs/>
      <w:color w:val="404040" w:themeColor="text1" w:themeTint="BF"/>
    </w:rPr>
  </w:style>
  <w:style w:type="character" w:customStyle="1" w:styleId="QuoteChar">
    <w:name w:val="Quote Char"/>
    <w:basedOn w:val="DefaultParagraphFont"/>
    <w:link w:val="Quote"/>
    <w:uiPriority w:val="29"/>
    <w:rsid w:val="00CB636C"/>
    <w:rPr>
      <w:i/>
      <w:iCs/>
      <w:color w:val="404040" w:themeColor="text1" w:themeTint="BF"/>
    </w:rPr>
  </w:style>
  <w:style w:type="paragraph" w:styleId="ListParagraph">
    <w:name w:val="List Paragraph"/>
    <w:basedOn w:val="Normal"/>
    <w:uiPriority w:val="34"/>
    <w:qFormat/>
    <w:rsid w:val="00CB636C"/>
    <w:pPr>
      <w:ind w:left="720"/>
      <w:contextualSpacing/>
    </w:pPr>
  </w:style>
  <w:style w:type="character" w:styleId="IntenseEmphasis">
    <w:name w:val="Intense Emphasis"/>
    <w:basedOn w:val="DefaultParagraphFont"/>
    <w:uiPriority w:val="21"/>
    <w:qFormat/>
    <w:rsid w:val="00CB636C"/>
    <w:rPr>
      <w:i/>
      <w:iCs/>
      <w:color w:val="0F4761" w:themeColor="accent1" w:themeShade="BF"/>
    </w:rPr>
  </w:style>
  <w:style w:type="paragraph" w:styleId="IntenseQuote">
    <w:name w:val="Intense Quote"/>
    <w:basedOn w:val="Normal"/>
    <w:next w:val="Normal"/>
    <w:link w:val="IntenseQuoteChar"/>
    <w:uiPriority w:val="30"/>
    <w:qFormat/>
    <w:rsid w:val="00CB6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36C"/>
    <w:rPr>
      <w:i/>
      <w:iCs/>
      <w:color w:val="0F4761" w:themeColor="accent1" w:themeShade="BF"/>
    </w:rPr>
  </w:style>
  <w:style w:type="character" w:styleId="IntenseReference">
    <w:name w:val="Intense Reference"/>
    <w:basedOn w:val="DefaultParagraphFont"/>
    <w:uiPriority w:val="32"/>
    <w:qFormat/>
    <w:rsid w:val="00CB636C"/>
    <w:rPr>
      <w:b/>
      <w:bCs/>
      <w:smallCaps/>
      <w:color w:val="0F4761" w:themeColor="accent1" w:themeShade="BF"/>
      <w:spacing w:val="5"/>
    </w:rPr>
  </w:style>
  <w:style w:type="paragraph" w:styleId="Header">
    <w:name w:val="header"/>
    <w:basedOn w:val="Normal"/>
    <w:link w:val="HeaderChar"/>
    <w:uiPriority w:val="99"/>
    <w:unhideWhenUsed/>
    <w:rsid w:val="00D96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D30"/>
  </w:style>
  <w:style w:type="paragraph" w:styleId="Footer">
    <w:name w:val="footer"/>
    <w:basedOn w:val="Normal"/>
    <w:link w:val="FooterChar"/>
    <w:uiPriority w:val="99"/>
    <w:unhideWhenUsed/>
    <w:rsid w:val="00D96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172932">
      <w:bodyDiv w:val="1"/>
      <w:marLeft w:val="0"/>
      <w:marRight w:val="0"/>
      <w:marTop w:val="0"/>
      <w:marBottom w:val="0"/>
      <w:divBdr>
        <w:top w:val="none" w:sz="0" w:space="0" w:color="auto"/>
        <w:left w:val="none" w:sz="0" w:space="0" w:color="auto"/>
        <w:bottom w:val="none" w:sz="0" w:space="0" w:color="auto"/>
        <w:right w:val="none" w:sz="0" w:space="0" w:color="auto"/>
      </w:divBdr>
    </w:div>
    <w:div w:id="307782527">
      <w:bodyDiv w:val="1"/>
      <w:marLeft w:val="0"/>
      <w:marRight w:val="0"/>
      <w:marTop w:val="0"/>
      <w:marBottom w:val="0"/>
      <w:divBdr>
        <w:top w:val="none" w:sz="0" w:space="0" w:color="auto"/>
        <w:left w:val="none" w:sz="0" w:space="0" w:color="auto"/>
        <w:bottom w:val="none" w:sz="0" w:space="0" w:color="auto"/>
        <w:right w:val="none" w:sz="0" w:space="0" w:color="auto"/>
      </w:divBdr>
    </w:div>
    <w:div w:id="369493550">
      <w:bodyDiv w:val="1"/>
      <w:marLeft w:val="0"/>
      <w:marRight w:val="0"/>
      <w:marTop w:val="0"/>
      <w:marBottom w:val="0"/>
      <w:divBdr>
        <w:top w:val="none" w:sz="0" w:space="0" w:color="auto"/>
        <w:left w:val="none" w:sz="0" w:space="0" w:color="auto"/>
        <w:bottom w:val="none" w:sz="0" w:space="0" w:color="auto"/>
        <w:right w:val="none" w:sz="0" w:space="0" w:color="auto"/>
      </w:divBdr>
    </w:div>
    <w:div w:id="490677623">
      <w:bodyDiv w:val="1"/>
      <w:marLeft w:val="0"/>
      <w:marRight w:val="0"/>
      <w:marTop w:val="0"/>
      <w:marBottom w:val="0"/>
      <w:divBdr>
        <w:top w:val="none" w:sz="0" w:space="0" w:color="auto"/>
        <w:left w:val="none" w:sz="0" w:space="0" w:color="auto"/>
        <w:bottom w:val="none" w:sz="0" w:space="0" w:color="auto"/>
        <w:right w:val="none" w:sz="0" w:space="0" w:color="auto"/>
      </w:divBdr>
    </w:div>
    <w:div w:id="495656127">
      <w:bodyDiv w:val="1"/>
      <w:marLeft w:val="0"/>
      <w:marRight w:val="0"/>
      <w:marTop w:val="0"/>
      <w:marBottom w:val="0"/>
      <w:divBdr>
        <w:top w:val="none" w:sz="0" w:space="0" w:color="auto"/>
        <w:left w:val="none" w:sz="0" w:space="0" w:color="auto"/>
        <w:bottom w:val="none" w:sz="0" w:space="0" w:color="auto"/>
        <w:right w:val="none" w:sz="0" w:space="0" w:color="auto"/>
      </w:divBdr>
    </w:div>
    <w:div w:id="543373946">
      <w:bodyDiv w:val="1"/>
      <w:marLeft w:val="0"/>
      <w:marRight w:val="0"/>
      <w:marTop w:val="0"/>
      <w:marBottom w:val="0"/>
      <w:divBdr>
        <w:top w:val="none" w:sz="0" w:space="0" w:color="auto"/>
        <w:left w:val="none" w:sz="0" w:space="0" w:color="auto"/>
        <w:bottom w:val="none" w:sz="0" w:space="0" w:color="auto"/>
        <w:right w:val="none" w:sz="0" w:space="0" w:color="auto"/>
      </w:divBdr>
    </w:div>
    <w:div w:id="646399296">
      <w:bodyDiv w:val="1"/>
      <w:marLeft w:val="0"/>
      <w:marRight w:val="0"/>
      <w:marTop w:val="0"/>
      <w:marBottom w:val="0"/>
      <w:divBdr>
        <w:top w:val="none" w:sz="0" w:space="0" w:color="auto"/>
        <w:left w:val="none" w:sz="0" w:space="0" w:color="auto"/>
        <w:bottom w:val="none" w:sz="0" w:space="0" w:color="auto"/>
        <w:right w:val="none" w:sz="0" w:space="0" w:color="auto"/>
      </w:divBdr>
    </w:div>
    <w:div w:id="886987789">
      <w:bodyDiv w:val="1"/>
      <w:marLeft w:val="0"/>
      <w:marRight w:val="0"/>
      <w:marTop w:val="0"/>
      <w:marBottom w:val="0"/>
      <w:divBdr>
        <w:top w:val="none" w:sz="0" w:space="0" w:color="auto"/>
        <w:left w:val="none" w:sz="0" w:space="0" w:color="auto"/>
        <w:bottom w:val="none" w:sz="0" w:space="0" w:color="auto"/>
        <w:right w:val="none" w:sz="0" w:space="0" w:color="auto"/>
      </w:divBdr>
    </w:div>
    <w:div w:id="988091400">
      <w:bodyDiv w:val="1"/>
      <w:marLeft w:val="0"/>
      <w:marRight w:val="0"/>
      <w:marTop w:val="0"/>
      <w:marBottom w:val="0"/>
      <w:divBdr>
        <w:top w:val="none" w:sz="0" w:space="0" w:color="auto"/>
        <w:left w:val="none" w:sz="0" w:space="0" w:color="auto"/>
        <w:bottom w:val="none" w:sz="0" w:space="0" w:color="auto"/>
        <w:right w:val="none" w:sz="0" w:space="0" w:color="auto"/>
      </w:divBdr>
    </w:div>
    <w:div w:id="1122111711">
      <w:bodyDiv w:val="1"/>
      <w:marLeft w:val="0"/>
      <w:marRight w:val="0"/>
      <w:marTop w:val="0"/>
      <w:marBottom w:val="0"/>
      <w:divBdr>
        <w:top w:val="none" w:sz="0" w:space="0" w:color="auto"/>
        <w:left w:val="none" w:sz="0" w:space="0" w:color="auto"/>
        <w:bottom w:val="none" w:sz="0" w:space="0" w:color="auto"/>
        <w:right w:val="none" w:sz="0" w:space="0" w:color="auto"/>
      </w:divBdr>
    </w:div>
    <w:div w:id="1126967770">
      <w:bodyDiv w:val="1"/>
      <w:marLeft w:val="0"/>
      <w:marRight w:val="0"/>
      <w:marTop w:val="0"/>
      <w:marBottom w:val="0"/>
      <w:divBdr>
        <w:top w:val="none" w:sz="0" w:space="0" w:color="auto"/>
        <w:left w:val="none" w:sz="0" w:space="0" w:color="auto"/>
        <w:bottom w:val="none" w:sz="0" w:space="0" w:color="auto"/>
        <w:right w:val="none" w:sz="0" w:space="0" w:color="auto"/>
      </w:divBdr>
    </w:div>
    <w:div w:id="1263880098">
      <w:bodyDiv w:val="1"/>
      <w:marLeft w:val="0"/>
      <w:marRight w:val="0"/>
      <w:marTop w:val="0"/>
      <w:marBottom w:val="0"/>
      <w:divBdr>
        <w:top w:val="none" w:sz="0" w:space="0" w:color="auto"/>
        <w:left w:val="none" w:sz="0" w:space="0" w:color="auto"/>
        <w:bottom w:val="none" w:sz="0" w:space="0" w:color="auto"/>
        <w:right w:val="none" w:sz="0" w:space="0" w:color="auto"/>
      </w:divBdr>
    </w:div>
    <w:div w:id="1360818589">
      <w:bodyDiv w:val="1"/>
      <w:marLeft w:val="0"/>
      <w:marRight w:val="0"/>
      <w:marTop w:val="0"/>
      <w:marBottom w:val="0"/>
      <w:divBdr>
        <w:top w:val="none" w:sz="0" w:space="0" w:color="auto"/>
        <w:left w:val="none" w:sz="0" w:space="0" w:color="auto"/>
        <w:bottom w:val="none" w:sz="0" w:space="0" w:color="auto"/>
        <w:right w:val="none" w:sz="0" w:space="0" w:color="auto"/>
      </w:divBdr>
    </w:div>
    <w:div w:id="1579293376">
      <w:bodyDiv w:val="1"/>
      <w:marLeft w:val="0"/>
      <w:marRight w:val="0"/>
      <w:marTop w:val="0"/>
      <w:marBottom w:val="0"/>
      <w:divBdr>
        <w:top w:val="none" w:sz="0" w:space="0" w:color="auto"/>
        <w:left w:val="none" w:sz="0" w:space="0" w:color="auto"/>
        <w:bottom w:val="none" w:sz="0" w:space="0" w:color="auto"/>
        <w:right w:val="none" w:sz="0" w:space="0" w:color="auto"/>
      </w:divBdr>
    </w:div>
    <w:div w:id="1688603467">
      <w:bodyDiv w:val="1"/>
      <w:marLeft w:val="0"/>
      <w:marRight w:val="0"/>
      <w:marTop w:val="0"/>
      <w:marBottom w:val="0"/>
      <w:divBdr>
        <w:top w:val="none" w:sz="0" w:space="0" w:color="auto"/>
        <w:left w:val="none" w:sz="0" w:space="0" w:color="auto"/>
        <w:bottom w:val="none" w:sz="0" w:space="0" w:color="auto"/>
        <w:right w:val="none" w:sz="0" w:space="0" w:color="auto"/>
      </w:divBdr>
    </w:div>
    <w:div w:id="1859153383">
      <w:bodyDiv w:val="1"/>
      <w:marLeft w:val="0"/>
      <w:marRight w:val="0"/>
      <w:marTop w:val="0"/>
      <w:marBottom w:val="0"/>
      <w:divBdr>
        <w:top w:val="none" w:sz="0" w:space="0" w:color="auto"/>
        <w:left w:val="none" w:sz="0" w:space="0" w:color="auto"/>
        <w:bottom w:val="none" w:sz="0" w:space="0" w:color="auto"/>
        <w:right w:val="none" w:sz="0" w:space="0" w:color="auto"/>
      </w:divBdr>
    </w:div>
    <w:div w:id="1893729377">
      <w:bodyDiv w:val="1"/>
      <w:marLeft w:val="0"/>
      <w:marRight w:val="0"/>
      <w:marTop w:val="0"/>
      <w:marBottom w:val="0"/>
      <w:divBdr>
        <w:top w:val="none" w:sz="0" w:space="0" w:color="auto"/>
        <w:left w:val="none" w:sz="0" w:space="0" w:color="auto"/>
        <w:bottom w:val="none" w:sz="0" w:space="0" w:color="auto"/>
        <w:right w:val="none" w:sz="0" w:space="0" w:color="auto"/>
      </w:divBdr>
    </w:div>
    <w:div w:id="213379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32bb9f4d1f911fe23a7bd4dbe4d4572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08f3724d45ac2e16c5f2ba257a73c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{910431C2-30C7-455C-AD2C-6FCE6B0C75B4}</b:Guid>
    <b:Author>
      <b:Author>
        <b:Corporate>Ministry  of Justice</b:Corporate>
      </b:Author>
    </b:Author>
    <b:Title>PART 64 – ESTATES, TRUSTS AND CHARITIES</b:Title>
    <b:Year>2017</b:Year>
    <b:YearAccessed>2024</b:YearAccessed>
    <b:MonthAccessed>November</b:MonthAccessed>
    <b:DayAccessed>1st</b:DayAccessed>
    <b:URL>https://www.justice.gov.uk/courts/procedure-rules/civil/rules/part64</b:URL>
    <b:RefOrder>2</b:RefOrder>
  </b:Source>
  <b:Source>
    <b:Tag>GOV18</b:Tag>
    <b:SourceType>InternetSite</b:SourceType>
    <b:Guid>{6D2F6139-C54F-4D04-9F8D-1FBE0EE380B4}</b:Guid>
    <b:Author>
      <b:Author>
        <b:Corporate>GOV</b:Corporate>
      </b:Author>
    </b:Author>
    <b:Title>The essential trustee: what you need to know, what you need to do</b:Title>
    <b:Year>2018</b:Year>
    <b:YearAccessed>2024</b:YearAccessed>
    <b:MonthAccessed>November</b:MonthAccessed>
    <b:DayAccessed>8th</b:DayAccessed>
    <b:URL>https://www.gov.uk/government/publications/the-essential-trustee-what-you-need-to-know-cc3/the-essential-trustee-what-you-need-to-know-what-you-need-to-do</b:URL>
    <b:RefOrder>1</b:RefOrder>
  </b:Source>
  <b:Source>
    <b:Tag>Sos18</b:Tag>
    <b:SourceType>DocumentFromInternetSite</b:SourceType>
    <b:Guid>{84E5120D-EBEC-48C0-B07A-C78F382AEB88}</b:Guid>
    <b:Author>
      <b:Author>
        <b:NameList>
          <b:Person>
            <b:Last>Sosborn</b:Last>
          </b:Person>
        </b:NameList>
      </b:Author>
    </b:Author>
    <b:Title>Discussion Paper on a duty of care and potential alternative approaches</b:Title>
    <b:Year>2018</b:Year>
    <b:YearAccessed>2024</b:YearAccessed>
    <b:MonthAccessed>November</b:MonthAccessed>
    <b:DayAccessed>6th</b:DayAccessed>
    <b:URL>https://www.fca.org.uk/publication/discussion/dp-18-05.pdf</b:URL>
    <b:Month>07</b:Month>
    <b:Day>17</b:Day>
    <b:RefOrder>3</b:RefOrder>
  </b:Source>
  <b:Source>
    <b:Tag>Cha24</b:Tag>
    <b:SourceType>InternetSite</b:SourceType>
    <b:Guid>{AFB6C6F7-FDF9-4468-8165-3453354D088D}</b:Guid>
    <b:Title>Charity Commission Strategy 2024-2029</b:Title>
    <b:Year>2024</b:Year>
    <b:YearAccessed>2024</b:YearAccessed>
    <b:MonthAccessed>November</b:MonthAccessed>
    <b:DayAccessed>2nd</b:DayAccessed>
    <b:URL>https://www.gov.uk/government/publications/charity-commission-strategy-2024-2029/charity-commission-strategy-2024-2029</b:URL>
    <b:Author>
      <b:Author>
        <b:Corporate>GOV</b:Corporate>
      </b:Author>
    </b:Author>
    <b:RefOrder>4</b:RefOrder>
  </b:Source>
  <b:Source>
    <b:Tag>Lee24</b:Tag>
    <b:SourceType>Book</b:SourceType>
    <b:Guid>{1CE2420E-D449-4A45-8E00-6B451263DCBC}</b:Guid>
    <b:Title>Statutory Trusts and Trusty Statutes</b:Title>
    <b:Year>2024</b:Year>
    <b:City>Oxford</b:City>
    <b:Publisher>Kings Law Journal</b:Publisher>
    <b:Edition>10th</b:Edition>
    <b:Author>
      <b:Author>
        <b:NameList>
          <b:Person>
            <b:Last>Lee</b:Last>
            <b:First>James</b:First>
          </b:Person>
          <b:Person>
            <b:Last>Yip</b:Last>
            <b:First>Man</b:First>
          </b:Person>
        </b:NameList>
      </b:Author>
    </b:Author>
    <b:RefOrder>5</b:RefOrder>
  </b:Source>
  <b:Source>
    <b:Tag>FCA23</b:Tag>
    <b:SourceType>InternetSite</b:SourceType>
    <b:Guid>{60E21AED-62FD-48CD-AA44-A9F9F0ECB9E2}</b:Guid>
    <b:Title>Regulation of Digital Assets in the UK</b:Title>
    <b:Year>2023</b:Year>
    <b:Author>
      <b:Author>
        <b:Corporate>FCA</b:Corporate>
      </b:Author>
    </b:Author>
    <b:YearAccessed>2024</b:YearAccessed>
    <b:MonthAccessed>November</b:MonthAccessed>
    <b:DayAccessed>8th</b:DayAccessed>
    <b:URL>https://www.fca.org.uk/news/speeches/regulation-digital-assets-uk</b:URL>
    <b:RefOrder>6</b:RefOrder>
  </b:Source>
  <b:Source>
    <b:Tag>Law232</b:Tag>
    <b:SourceType>DocumentFromInternetSite</b:SourceType>
    <b:Guid>{D8BA8B10-5A1F-4763-A163-411037602278}</b:Guid>
    <b:Title>Digital Assets: Final report</b:Title>
    <b:Year>2023</b:Year>
    <b:YearAccessed>2024</b:YearAccessed>
    <b:MonthAccessed>November</b:MonthAccessed>
    <b:DayAccessed>5th</b:DayAccessed>
    <b:URL>https://s3-eu-west-2.amazonaws.com/cloud-platform-e218f50a4812967ba1215eaecede923f/uploads/sites/30/2023/06/Final-digital-assets-report-FOR-WEBSITE-2.pdf</b:URL>
    <b:Author>
      <b:Author>
        <b:Corporate>Law Commission</b:Corporate>
      </b:Author>
    </b:Author>
    <b:Month>06</b:Month>
    <b:Day>29</b:Day>
    <b:RefOrder>7</b:RefOrder>
  </b:Source>
  <b:Source>
    <b:Tag>Cha241</b:Tag>
    <b:SourceType>DocumentFromInternetSite</b:SourceType>
    <b:Guid>{1C8BAF5D-2C93-4808-AB02-E8FFFC39349D}</b:Guid>
    <b:Author>
      <b:Author>
        <b:Corporate>Charity Commission </b:Corporate>
      </b:Author>
    </b:Author>
    <b:Title>The essential trustee: what you need to know, what you need to do</b:Title>
    <b:Year>2024</b:Year>
    <b:Month>04</b:Month>
    <b:Day>24</b:Day>
    <b:YearAccessed>2024</b:YearAccessed>
    <b:MonthAccessed>November</b:MonthAccessed>
    <b:DayAccessed>2nd</b:DayAccessed>
    <b:URL>https://assets.publishing.service.gov.uk/media/66290919b0ace32985a7e6c3/CC3_feb24.pdf</b:URL>
    <b:RefOrder>8</b:RefOrder>
  </b:Source>
  <b:Source>
    <b:Tag>NAO13</b:Tag>
    <b:SourceType>DocumentFromInternetSite</b:SourceType>
    <b:Guid>{D174826D-36CC-4719-A3C7-EA956E688C72}</b:Guid>
    <b:Author>
      <b:Author>
        <b:Corporate>NAO</b:Corporate>
      </b:Author>
    </b:Author>
    <b:Title>The regulatory effectiveness of the Charity Commission</b:Title>
    <b:Year>2013</b:Year>
    <b:Month>12</b:Month>
    <b:Day>02</b:Day>
    <b:YearAccessed>2024</b:YearAccessed>
    <b:MonthAccessed>November</b:MonthAccessed>
    <b:DayAccessed>9th</b:DayAccessed>
    <b:URL>https://www.nao.org.uk/wp-content/uploads/2013/11/10297-001-Charity-Commission-Book.pdf</b:URL>
    <b:RefOrder>9</b:RefOrder>
  </b:Source>
  <b:Source>
    <b:Tag>Par17</b:Tag>
    <b:SourceType>InternetSite</b:SourceType>
    <b:Guid>{E80172ED-D33F-422F-AFAF-4D9C60B2056A}</b:Guid>
    <b:Title>Chapter 4: The quality of legislation</b:Title>
    <b:Year>2017</b:Year>
    <b:YearAccessed>2024</b:YearAccessed>
    <b:MonthAccessed>November</b:MonthAccessed>
    <b:DayAccessed>1st</b:DayAccessed>
    <b:URL>https://publications.parliament.uk/pa/ld201719/ldselect/ldconst/27/2707.htm</b:URL>
    <b:Author>
      <b:Author>
        <b:Corporate>Parliament </b:Corporate>
      </b:Author>
    </b:Author>
    <b:RefOrder>14</b:RefOrder>
  </b:Source>
  <b:Source>
    <b:Tag>Hug23</b:Tag>
    <b:SourceType>DocumentFromInternetSite</b:SourceType>
    <b:Guid>{B860E94E-C258-463F-BF65-F1062626A7CD}</b:Guid>
    <b:Title>The Interface Between Contract and Equity</b:Title>
    <b:Year>2023</b:Year>
    <b:YearAccessed>2024</b:YearAccessed>
    <b:MonthAccessed>November</b:MonthAccessed>
    <b:DayAccessed>7th</b:DayAccessed>
    <b:URL>https://www.supremecourt.uk/docs/speech-231219.pdf</b:URL>
    <b:Month>12</b:Month>
    <b:Day>21</b:Day>
    <b:Author>
      <b:Author>
        <b:NameList>
          <b:Person>
            <b:Last>Hughes</b:Last>
            <b:First>Alexander</b:First>
          </b:Person>
        </b:NameList>
      </b:Author>
    </b:Author>
    <b:RefOrder>15</b:RefOrder>
  </b:Source>
  <b:Source>
    <b:Tag>Law08</b:Tag>
    <b:SourceType>DocumentFromInternetSite</b:SourceType>
    <b:Guid>{698C64F9-226A-4B81-B9A6-852C8CEE943C}</b:Guid>
    <b:Author>
      <b:Author>
        <b:Corporate>Law Commission </b:Corporate>
      </b:Author>
    </b:Author>
    <b:Title>TRUSTEES’ POWERS AND DUTIES</b:Title>
    <b:Year>2008</b:Year>
    <b:Month>02</b:Month>
    <b:Day>26</b:Day>
    <b:YearAccessed>2024</b:YearAccessed>
    <b:MonthAccessed>November</b:MonthAccessed>
    <b:DayAccessed>6th</b:DayAccessed>
    <b:URL>https://www.scotlawcom.gov.uk/files/7912/7989/7339/rep172.pdf</b:URL>
    <b:RefOrder>13</b:RefOrder>
  </b:Source>
  <b:Source>
    <b:Tag>GOV13</b:Tag>
    <b:SourceType>DocumentFromInternetSite</b:SourceType>
    <b:Guid>{610F914F-0313-4FED-875E-D60CCE3EC414}</b:Guid>
    <b:Author>
      <b:Author>
        <b:Corporate>GOV</b:Corporate>
      </b:Author>
    </b:Author>
    <b:Title>TRANSPARENCY &amp; TRUST</b:Title>
    <b:Year>2013</b:Year>
    <b:Month>07</b:Month>
    <b:Day>11</b:Day>
    <b:YearAccessed>2024</b:YearAccessed>
    <b:MonthAccessed>November</b:MonthAccessed>
    <b:DayAccessed>7th</b:DayAccessed>
    <b:URL>https://assets.publishing.service.gov.uk/media/5a7ca3dfed915d6969f464df/bis-13-959-transparency-and-trust-enhancing-the-transparency-of-uk-company-ownership-and-increaing-trust-in-uk-business.pdf</b:URL>
    <b:RefOrder>10</b:RefOrder>
  </b:Source>
  <b:Source>
    <b:Tag>DWP18</b:Tag>
    <b:SourceType>DocumentFromInternetSite</b:SourceType>
    <b:Guid>{84A28EE3-1D3A-467D-81BE-276B594FFA9C}</b:Guid>
    <b:Author>
      <b:Author>
        <b:Corporate>DWP</b:Corporate>
      </b:Author>
    </b:Author>
    <b:Title>Clarifying and strengthening trustees’ investment duties</b:Title>
    <b:Year>2018</b:Year>
    <b:Month>09</b:Month>
    <b:Day>10</b:Day>
    <b:YearAccessed>2024</b:YearAccessed>
    <b:MonthAccessed>November</b:MonthAccessed>
    <b:DayAccessed>10th</b:DayAccessed>
    <b:URL>https://assets.publishing.service.gov.uk/media/5b965f7bed915d4d716e0424/response-clarifying-and-strengthening-trustees-investment-duties.pdf</b:URL>
    <b:RefOrder>16</b:RefOrder>
  </b:Source>
  <b:Source>
    <b:Tag>NCV22</b:Tag>
    <b:SourceType>InternetSite</b:SourceType>
    <b:Guid>{1454BC32-B47D-4388-8F06-E364B1B264F0}</b:Guid>
    <b:Title>Dealing with problems and disputes between trustees</b:Title>
    <b:Year>2022</b:Year>
    <b:YearAccessed>2024</b:YearAccessed>
    <b:MonthAccessed>November</b:MonthAccessed>
    <b:DayAccessed>10th</b:DayAccessed>
    <b:URL>https://www.ncvo.org.uk/help-and-guidance/governance/managing-board-relationships/approaching-board-relationship-challenges/dealing-with-problems-and-disputes-between-trustees/</b:URL>
    <b:Author>
      <b:Author>
        <b:Corporate>NCVO</b:Corporate>
      </b:Author>
    </b:Author>
    <b:RefOrder>11</b:RefOrder>
  </b:Source>
  <b:Source>
    <b:Tag>The02</b:Tag>
    <b:SourceType>DocumentFromInternetSite</b:SourceType>
    <b:Guid>{34049F09-705D-4A5F-B798-860072F3CA0F}</b:Guid>
    <b:Title>TRUSTEE EXEMPTION CLAUSES</b:Title>
    <b:Year>2002</b:Year>
    <b:YearAccessed>2024</b:YearAccessed>
    <b:MonthAccessed>November</b:MonthAccessed>
    <b:DayAccessed>1st</b:DayAccessed>
    <b:URL>https://www.treasurers.org/ACTmedia/cp171.pdf</b:URL>
    <b:Author>
      <b:Author>
        <b:Corporate>The Law Commission </b:Corporate>
      </b:Author>
    </b:Author>
    <b:Month>12</b:Month>
    <b:Day>10</b:Day>
    <b:RefOrder>12</b:RefOrder>
  </b:Source>
</b:Sources>
</file>

<file path=customXml/itemProps1.xml><?xml version="1.0" encoding="utf-8"?>
<ds:datastoreItem xmlns:ds="http://schemas.openxmlformats.org/officeDocument/2006/customXml" ds:itemID="{D696929E-574C-42FF-80C5-822E6BDDB379}">
  <ds:schemaRefs>
    <ds:schemaRef ds:uri="http://purl.org/dc/terms/"/>
    <ds:schemaRef ds:uri="0338428b-3fc8-4989-9d03-78e16c931d9f"/>
    <ds:schemaRef ds:uri="http://schemas.microsoft.com/office/2006/metadata/properties"/>
    <ds:schemaRef ds:uri="http://purl.org/dc/dcmitype/"/>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4055ddc6-ee7b-4b5b-b8fb-52871646f80e"/>
    <ds:schemaRef ds:uri="http://purl.org/dc/elements/1.1/"/>
  </ds:schemaRefs>
</ds:datastoreItem>
</file>

<file path=customXml/itemProps2.xml><?xml version="1.0" encoding="utf-8"?>
<ds:datastoreItem xmlns:ds="http://schemas.openxmlformats.org/officeDocument/2006/customXml" ds:itemID="{368C65C7-D99E-409F-942A-20B441A3D933}">
  <ds:schemaRefs>
    <ds:schemaRef ds:uri="http://schemas.microsoft.com/sharepoint/v3/contenttype/forms"/>
  </ds:schemaRefs>
</ds:datastoreItem>
</file>

<file path=customXml/itemProps3.xml><?xml version="1.0" encoding="utf-8"?>
<ds:datastoreItem xmlns:ds="http://schemas.openxmlformats.org/officeDocument/2006/customXml" ds:itemID="{E52393CC-E89E-4C10-B335-34B839A92C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17F770-729C-423B-A081-D3C0D8026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2290</Words>
  <Characters>13054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2</cp:revision>
  <dcterms:created xsi:type="dcterms:W3CDTF">2024-11-11T12:48:00Z</dcterms:created>
  <dcterms:modified xsi:type="dcterms:W3CDTF">2024-11-11T12:48:00Z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