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63088930"/>
        <w:docPartObj>
          <w:docPartGallery w:val="Cover Pages"/>
          <w:docPartUnique/>
        </w:docPartObj>
      </w:sdtPr>
      <w:sdtEndPr>
        <w:rPr>
          <w:rFonts w:ascii="Times New Roman" w:hAnsi="Times New Roman"/>
          <w:noProof/>
          <w:color w:val="462300"/>
        </w:rPr>
      </w:sdtEndPr>
      <w:sdtContent>
        <w:p w14:paraId="2ADE6E4E" w14:textId="77777777" w:rsidR="00CE29F0" w:rsidRDefault="00CE29F0" w:rsidP="00CE29F0">
          <w:r>
            <w:rPr>
              <w:noProof/>
            </w:rPr>
            <mc:AlternateContent>
              <mc:Choice Requires="wps">
                <w:drawing>
                  <wp:anchor distT="0" distB="0" distL="114300" distR="114300" simplePos="0" relativeHeight="251659264" behindDoc="0" locked="0" layoutInCell="1" allowOverlap="1" wp14:anchorId="08BDCD8D" wp14:editId="74835B08">
                    <wp:simplePos x="0" y="0"/>
                    <wp:positionH relativeFrom="page">
                      <wp:posOffset>1041400</wp:posOffset>
                    </wp:positionH>
                    <wp:positionV relativeFrom="page">
                      <wp:posOffset>-50800</wp:posOffset>
                    </wp:positionV>
                    <wp:extent cx="6527800" cy="10737850"/>
                    <wp:effectExtent l="0" t="0" r="6350" b="635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527800" cy="10737850"/>
                            </a:xfrm>
                            <a:prstGeom prst="rect">
                              <a:avLst/>
                            </a:prstGeom>
                            <a:solidFill>
                              <a:schemeClr val="accent1"/>
                            </a:solidFill>
                            <a:ln>
                              <a:noFill/>
                            </a:ln>
                          </wps:spPr>
                          <wps:txbx>
                            <w:txbxContent>
                              <w:p w14:paraId="09DD0EB9" w14:textId="7AD67CC5" w:rsidR="00CE29F0" w:rsidRPr="00CE29F0" w:rsidRDefault="00000000" w:rsidP="00CE29F0">
                                <w:pPr>
                                  <w:pStyle w:val="Title"/>
                                  <w:ind w:left="284" w:right="1469"/>
                                  <w:rPr>
                                    <w:rFonts w:ascii="Aparajita" w:hAnsi="Aparajita" w:cs="Aparajita"/>
                                    <w:b/>
                                    <w:bCs/>
                                    <w:caps/>
                                    <w:color w:val="FFFFFF" w:themeColor="background1"/>
                                    <w:sz w:val="52"/>
                                    <w:szCs w:val="52"/>
                                  </w:rPr>
                                </w:pPr>
                                <w:sdt>
                                  <w:sdtPr>
                                    <w:rPr>
                                      <w:rFonts w:ascii="Aparajita" w:hAnsi="Aparajita" w:cs="Aparajita"/>
                                      <w:b/>
                                      <w:bCs/>
                                      <w:caps/>
                                      <w:color w:val="FFFFFF" w:themeColor="background1"/>
                                      <w:sz w:val="52"/>
                                      <w:szCs w:val="52"/>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r w:rsidR="00CE29F0" w:rsidRPr="00CE29F0">
                                      <w:rPr>
                                        <w:rFonts w:ascii="Aparajita" w:hAnsi="Aparajita" w:cs="Aparajita"/>
                                        <w:b/>
                                        <w:bCs/>
                                        <w:caps/>
                                        <w:color w:val="FFFFFF" w:themeColor="background1"/>
                                        <w:sz w:val="52"/>
                                        <w:szCs w:val="52"/>
                                      </w:rPr>
                                      <w:t xml:space="preserve">     </w:t>
                                    </w:r>
                                  </w:sdtContent>
                                </w:sdt>
                                <w:r w:rsidR="00CE29F0" w:rsidRPr="00CE29F0">
                                  <w:rPr>
                                    <w:rFonts w:ascii="Aparajita" w:hAnsi="Aparajita" w:cs="Aparajita"/>
                                    <w:b/>
                                    <w:bCs/>
                                    <w:caps/>
                                    <w:color w:val="FFFFFF" w:themeColor="background1"/>
                                    <w:sz w:val="52"/>
                                    <w:szCs w:val="52"/>
                                  </w:rPr>
                                  <w:t xml:space="preserve"> </w:t>
                                </w:r>
                                <w:sdt>
                                  <w:sdtPr>
                                    <w:rPr>
                                      <w:rFonts w:ascii="Aparajita" w:hAnsi="Aparajita" w:cs="Aparajita"/>
                                      <w:b/>
                                      <w:bCs/>
                                      <w:caps/>
                                      <w:color w:val="FFFFFF" w:themeColor="background1"/>
                                      <w:sz w:val="52"/>
                                      <w:szCs w:val="52"/>
                                    </w:rPr>
                                    <w:alias w:val="Title"/>
                                    <w:id w:val="-1967033847"/>
                                    <w:showingPlcHdr/>
                                    <w:dataBinding w:prefixMappings="xmlns:ns0='http://schemas.openxmlformats.org/package/2006/metadata/core-properties' xmlns:ns1='http://purl.org/dc/elements/1.1/'" w:xpath="/ns0:coreProperties[1]/ns1:title[1]" w:storeItemID="{6C3C8BC8-F283-45AE-878A-BAB7291924A1}"/>
                                    <w:text/>
                                  </w:sdtPr>
                                  <w:sdtContent>
                                    <w:r w:rsidR="00CE29F0" w:rsidRPr="00CE29F0">
                                      <w:rPr>
                                        <w:rFonts w:ascii="Aparajita" w:hAnsi="Aparajita" w:cs="Aparajita"/>
                                        <w:b/>
                                        <w:bCs/>
                                        <w:caps/>
                                        <w:color w:val="FFFFFF" w:themeColor="background1"/>
                                        <w:sz w:val="52"/>
                                        <w:szCs w:val="52"/>
                                      </w:rPr>
                                      <w:t xml:space="preserve">     </w:t>
                                    </w:r>
                                  </w:sdtContent>
                                </w:sdt>
                              </w:p>
                              <w:p w14:paraId="6B575B0C" w14:textId="335020B3" w:rsidR="00CE29F0" w:rsidRPr="00CE29F0" w:rsidRDefault="00CE29F0" w:rsidP="00CE29F0">
                                <w:pPr>
                                  <w:pStyle w:val="Title"/>
                                  <w:ind w:left="284" w:right="1469"/>
                                  <w:rPr>
                                    <w:rFonts w:ascii="Aparajita" w:hAnsi="Aparajita" w:cs="Aparajita"/>
                                    <w:b/>
                                    <w:bCs/>
                                    <w:caps/>
                                    <w:color w:val="FFFFFF" w:themeColor="background1"/>
                                    <w:sz w:val="52"/>
                                    <w:szCs w:val="52"/>
                                  </w:rPr>
                                </w:pPr>
                                <w:r w:rsidRPr="00CE29F0">
                                  <w:rPr>
                                    <w:rFonts w:ascii="Aparajita" w:hAnsi="Aparajita" w:cs="Aparajita"/>
                                    <w:b/>
                                    <w:bCs/>
                                    <w:caps/>
                                    <w:color w:val="FFFFFF" w:themeColor="background1"/>
                                    <w:sz w:val="52"/>
                                    <w:szCs w:val="52"/>
                                  </w:rPr>
                                  <w:t xml:space="preserve">ANALYSING AND MITIGATING CYBERSECURITY THREATS IN SMART MANUFACTURING: </w:t>
                                </w:r>
                                <w:r w:rsidRPr="009408AB">
                                  <w:rPr>
                                    <w:rFonts w:ascii="Aparajita" w:hAnsi="Aparajita" w:cs="Aparajita"/>
                                    <w:caps/>
                                    <w:color w:val="FFFFFF" w:themeColor="background1"/>
                                    <w:sz w:val="52"/>
                                    <w:szCs w:val="52"/>
                                  </w:rPr>
                                  <w:t>THE CASE OF STEELFORM MANUFACTURING LTD</w:t>
                                </w:r>
                              </w:p>
                              <w:p w14:paraId="114CC277" w14:textId="77777777" w:rsidR="00CE29F0" w:rsidRPr="00CE29F0" w:rsidRDefault="00CE29F0" w:rsidP="00CE29F0">
                                <w:pPr>
                                  <w:pStyle w:val="ListParagraph"/>
                                  <w:ind w:left="1728"/>
                                  <w:rPr>
                                    <w:color w:val="FFFFFF" w:themeColor="background1"/>
                                  </w:rPr>
                                </w:pPr>
                              </w:p>
                              <w:p w14:paraId="48CD004F" w14:textId="77777777" w:rsidR="00CE29F0" w:rsidRPr="00CE29F0" w:rsidRDefault="00CE29F0" w:rsidP="00CE29F0">
                                <w:pPr>
                                  <w:pStyle w:val="ListParagraph"/>
                                  <w:ind w:left="1728"/>
                                  <w:rPr>
                                    <w:color w:val="FFFFFF" w:themeColor="background1"/>
                                  </w:rPr>
                                </w:pPr>
                              </w:p>
                              <w:p w14:paraId="7B91AF90" w14:textId="77777777" w:rsidR="00CE29F0" w:rsidRPr="00CE29F0" w:rsidRDefault="00CE29F0" w:rsidP="00CE29F0">
                                <w:pPr>
                                  <w:pStyle w:val="ListParagraph"/>
                                  <w:ind w:left="1728"/>
                                  <w:rPr>
                                    <w:color w:val="FFFFFF" w:themeColor="background1"/>
                                  </w:rPr>
                                </w:pPr>
                              </w:p>
                              <w:p w14:paraId="1F09117D" w14:textId="77777777" w:rsidR="00CE29F0" w:rsidRPr="00CE29F0" w:rsidRDefault="00CE29F0" w:rsidP="00CE29F0">
                                <w:pPr>
                                  <w:pStyle w:val="ListParagraph"/>
                                  <w:ind w:left="1728"/>
                                  <w:rPr>
                                    <w:color w:val="FFFFFF" w:themeColor="background1"/>
                                  </w:rPr>
                                </w:pPr>
                              </w:p>
                              <w:p w14:paraId="39F0AAB9" w14:textId="77777777" w:rsidR="00CE29F0" w:rsidRDefault="00CE29F0" w:rsidP="00CE29F0">
                                <w:pPr>
                                  <w:pStyle w:val="ListParagraph"/>
                                  <w:ind w:left="1728"/>
                                  <w:rPr>
                                    <w:color w:val="FFFFFF" w:themeColor="background1"/>
                                  </w:rPr>
                                </w:pPr>
                              </w:p>
                              <w:p w14:paraId="60D24B87" w14:textId="77777777" w:rsidR="00CE29F0" w:rsidRDefault="00CE29F0" w:rsidP="00CE29F0">
                                <w:pPr>
                                  <w:pStyle w:val="ListParagraph"/>
                                  <w:ind w:left="1728"/>
                                  <w:rPr>
                                    <w:color w:val="FFFFFF" w:themeColor="background1"/>
                                  </w:rPr>
                                </w:pPr>
                              </w:p>
                              <w:p w14:paraId="7EA86F74" w14:textId="77777777" w:rsidR="00CE29F0" w:rsidRDefault="00CE29F0" w:rsidP="00CE29F0">
                                <w:pPr>
                                  <w:pStyle w:val="ListParagraph"/>
                                  <w:ind w:left="1728"/>
                                  <w:rPr>
                                    <w:color w:val="FFFFFF" w:themeColor="background1"/>
                                  </w:rPr>
                                </w:pPr>
                              </w:p>
                              <w:p w14:paraId="1EC8A72F" w14:textId="77777777" w:rsidR="00CE29F0" w:rsidRDefault="00CE29F0" w:rsidP="00CE29F0">
                                <w:pPr>
                                  <w:pStyle w:val="ListParagraph"/>
                                  <w:ind w:left="1728"/>
                                  <w:rPr>
                                    <w:color w:val="FFFFFF" w:themeColor="background1"/>
                                  </w:rPr>
                                </w:pPr>
                              </w:p>
                              <w:p w14:paraId="12C27B3C" w14:textId="77777777" w:rsidR="00CE29F0" w:rsidRPr="006771AC" w:rsidRDefault="00CE29F0" w:rsidP="00CE29F0">
                                <w:pPr>
                                  <w:pStyle w:val="ListParagraph"/>
                                  <w:ind w:left="1728"/>
                                  <w:rPr>
                                    <w:b/>
                                    <w:bCs/>
                                    <w:color w:val="FFFFFF" w:themeColor="background1"/>
                                    <w:sz w:val="36"/>
                                    <w:szCs w:val="36"/>
                                  </w:rPr>
                                </w:pPr>
                              </w:p>
                              <w:p w14:paraId="49FE7960" w14:textId="77777777" w:rsidR="00CE29F0" w:rsidRPr="006771AC" w:rsidRDefault="00CE29F0" w:rsidP="00CE29F0">
                                <w:pPr>
                                  <w:spacing w:line="276" w:lineRule="auto"/>
                                  <w:ind w:left="284"/>
                                  <w:rPr>
                                    <w:rFonts w:ascii="Aparajita" w:hAnsi="Aparajita" w:cs="Aparajita"/>
                                    <w:b/>
                                    <w:bCs/>
                                    <w:color w:val="FFFFFF" w:themeColor="background1"/>
                                    <w:sz w:val="36"/>
                                    <w:szCs w:val="36"/>
                                  </w:rPr>
                                </w:pPr>
                                <w:r w:rsidRPr="006771AC">
                                  <w:rPr>
                                    <w:rFonts w:ascii="Aparajita" w:hAnsi="Aparajita" w:cs="Aparajita"/>
                                    <w:b/>
                                    <w:bCs/>
                                    <w:color w:val="FFFFFF" w:themeColor="background1"/>
                                    <w:sz w:val="36"/>
                                    <w:szCs w:val="36"/>
                                  </w:rPr>
                                  <w:t>UNIVERSITY OF WALES TRINITY SAINT DAVID</w:t>
                                </w:r>
                              </w:p>
                              <w:p w14:paraId="428323C7" w14:textId="77777777" w:rsidR="00CE29F0" w:rsidRPr="006771AC" w:rsidRDefault="00CE29F0" w:rsidP="00CE29F0">
                                <w:pPr>
                                  <w:spacing w:line="276" w:lineRule="auto"/>
                                  <w:ind w:left="284"/>
                                  <w:rPr>
                                    <w:rFonts w:ascii="Aparajita" w:hAnsi="Aparajita" w:cs="Aparajita"/>
                                    <w:color w:val="FFFFFF" w:themeColor="background1"/>
                                    <w:sz w:val="36"/>
                                    <w:szCs w:val="36"/>
                                  </w:rPr>
                                </w:pPr>
                                <w:r w:rsidRPr="006771AC">
                                  <w:rPr>
                                    <w:rFonts w:ascii="Aparajita" w:hAnsi="Aparajita" w:cs="Aparajita"/>
                                    <w:color w:val="FFFFFF" w:themeColor="background1"/>
                                    <w:sz w:val="36"/>
                                    <w:szCs w:val="36"/>
                                  </w:rPr>
                                  <w:t xml:space="preserve">Module Name: Networks and Cyber Security Essentials </w:t>
                                </w:r>
                              </w:p>
                              <w:p w14:paraId="75EAC0E4" w14:textId="2403423B" w:rsidR="00CE29F0" w:rsidRPr="00CE29F0" w:rsidRDefault="00CE29F0" w:rsidP="00CE29F0">
                                <w:pPr>
                                  <w:spacing w:line="276" w:lineRule="auto"/>
                                  <w:ind w:left="284"/>
                                  <w:rPr>
                                    <w:rFonts w:ascii="Aparajita" w:hAnsi="Aparajita" w:cs="Aparajita"/>
                                    <w:color w:val="FFFFFF" w:themeColor="background1"/>
                                    <w:sz w:val="36"/>
                                    <w:szCs w:val="36"/>
                                  </w:rPr>
                                </w:pPr>
                                <w:r w:rsidRPr="006771AC">
                                  <w:rPr>
                                    <w:rFonts w:ascii="Aparajita" w:hAnsi="Aparajita" w:cs="Aparajita"/>
                                    <w:color w:val="FFFFFF" w:themeColor="background1"/>
                                    <w:sz w:val="36"/>
                                    <w:szCs w:val="36"/>
                                  </w:rPr>
                                  <w:t>Module Code: ACCA4024 | Lecturer: Amit Naik</w:t>
                                </w:r>
                              </w:p>
                              <w:p w14:paraId="49F6E676" w14:textId="77777777" w:rsidR="00CE29F0" w:rsidRDefault="00CE29F0" w:rsidP="00CE29F0">
                                <w:pPr>
                                  <w:spacing w:line="276" w:lineRule="auto"/>
                                  <w:ind w:left="284"/>
                                  <w:rPr>
                                    <w:color w:val="FFFFFF" w:themeColor="background1"/>
                                    <w:sz w:val="36"/>
                                    <w:szCs w:val="36"/>
                                  </w:rPr>
                                </w:pPr>
                              </w:p>
                              <w:p w14:paraId="1FF40B9E" w14:textId="77777777" w:rsidR="00CE29F0" w:rsidRPr="006771AC" w:rsidRDefault="00CE29F0" w:rsidP="00CE29F0">
                                <w:pPr>
                                  <w:spacing w:line="276" w:lineRule="auto"/>
                                  <w:ind w:left="284"/>
                                  <w:rPr>
                                    <w:rFonts w:ascii="Aparajita" w:hAnsi="Aparajita" w:cs="Aparajita"/>
                                    <w:color w:val="FFFFFF" w:themeColor="background1"/>
                                    <w:sz w:val="36"/>
                                    <w:szCs w:val="36"/>
                                  </w:rPr>
                                </w:pPr>
                                <w:r w:rsidRPr="006771AC">
                                  <w:rPr>
                                    <w:rFonts w:ascii="Aparajita" w:hAnsi="Aparajita" w:cs="Aparajita"/>
                                    <w:color w:val="FFFFFF" w:themeColor="background1"/>
                                    <w:sz w:val="36"/>
                                    <w:szCs w:val="36"/>
                                  </w:rPr>
                                  <w:t>Student: Jamile Barbosa Kashif</w:t>
                                </w:r>
                              </w:p>
                              <w:p w14:paraId="5A93CA2B" w14:textId="2C1084B0" w:rsidR="00CE29F0" w:rsidRPr="006771AC" w:rsidRDefault="00CE29F0" w:rsidP="00CE29F0">
                                <w:pPr>
                                  <w:spacing w:line="276" w:lineRule="auto"/>
                                  <w:ind w:left="284"/>
                                  <w:rPr>
                                    <w:rFonts w:ascii="Aparajita" w:hAnsi="Aparajita" w:cs="Aparajita"/>
                                    <w:color w:val="FFFFFF" w:themeColor="background1"/>
                                    <w:sz w:val="36"/>
                                    <w:szCs w:val="36"/>
                                  </w:rPr>
                                </w:pPr>
                                <w:r w:rsidRPr="006771AC">
                                  <w:rPr>
                                    <w:rFonts w:ascii="Aparajita" w:hAnsi="Aparajita" w:cs="Aparajita"/>
                                    <w:color w:val="FFFFFF" w:themeColor="background1"/>
                                    <w:sz w:val="36"/>
                                    <w:szCs w:val="36"/>
                                  </w:rPr>
                                  <w:t>Student ID: 2514981</w:t>
                                </w:r>
                              </w:p>
                              <w:p w14:paraId="72BFB733" w14:textId="77777777" w:rsidR="00CE29F0" w:rsidRPr="006771AC" w:rsidRDefault="00CE29F0" w:rsidP="00CE29F0">
                                <w:pPr>
                                  <w:spacing w:line="276" w:lineRule="auto"/>
                                  <w:ind w:left="284"/>
                                  <w:rPr>
                                    <w:rFonts w:ascii="Aparajita" w:hAnsi="Aparajita" w:cs="Aparajita"/>
                                    <w:color w:val="FFFFFF" w:themeColor="background1"/>
                                    <w:sz w:val="36"/>
                                    <w:szCs w:val="36"/>
                                  </w:rPr>
                                </w:pPr>
                              </w:p>
                              <w:p w14:paraId="3FE408BA" w14:textId="77777777" w:rsidR="00CE29F0" w:rsidRPr="006771AC" w:rsidRDefault="00CE29F0" w:rsidP="00CE29F0">
                                <w:pPr>
                                  <w:spacing w:line="276" w:lineRule="auto"/>
                                  <w:ind w:left="284"/>
                                  <w:rPr>
                                    <w:rFonts w:ascii="Aparajita" w:hAnsi="Aparajita" w:cs="Aparajita"/>
                                    <w:color w:val="FFFFFF" w:themeColor="background1"/>
                                    <w:sz w:val="36"/>
                                    <w:szCs w:val="36"/>
                                  </w:rPr>
                                </w:pPr>
                                <w:r w:rsidRPr="006771AC">
                                  <w:rPr>
                                    <w:rFonts w:ascii="Aparajita" w:hAnsi="Aparajita" w:cs="Aparajita"/>
                                    <w:color w:val="FFFFFF" w:themeColor="background1"/>
                                    <w:sz w:val="36"/>
                                    <w:szCs w:val="36"/>
                                  </w:rPr>
                                  <w:t>Date: 13 August 2026</w:t>
                                </w:r>
                              </w:p>
                              <w:p w14:paraId="2A2FA24F" w14:textId="77777777" w:rsidR="00CE29F0" w:rsidRPr="006771AC" w:rsidRDefault="00CE29F0" w:rsidP="00CE29F0">
                                <w:pPr>
                                  <w:spacing w:before="240"/>
                                  <w:ind w:left="284"/>
                                  <w:rPr>
                                    <w:color w:val="FFFFFF" w:themeColor="background1"/>
                                  </w:rPr>
                                </w:pPr>
                              </w:p>
                              <w:p w14:paraId="00728945" w14:textId="77777777" w:rsidR="00CE29F0" w:rsidRPr="006771AC" w:rsidRDefault="00CE29F0" w:rsidP="00CE29F0">
                                <w:pPr>
                                  <w:pStyle w:val="ListParagraph"/>
                                  <w:spacing w:before="240"/>
                                  <w:ind w:left="1728"/>
                                  <w:jc w:val="center"/>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08BDCD8D" id="Rectangle 16" o:spid="_x0000_s1026" style="position:absolute;margin-left:82pt;margin-top:-4pt;width:514pt;height:84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o3x6AEAALMDAAAOAAAAZHJzL2Uyb0RvYy54bWysU9tu2zAMfR+wfxD0vvjSpMmMOMXQosOA&#10;7gJ0/QBZlmNhsqhRSuzs60cpl3br27AXQRTJY57D4/XNNBi2V+g12JoXs5wzZSW02m5r/vT9/t2K&#10;Mx+EbYUBq2p+UJ7fbN6+WY+uUiX0YFqFjECsr0ZX8z4EV2WZl70ahJ+BU5aSHeAgAoW4zVoUI6EP&#10;Jivz/DobAVuHIJX39Hp3TPJNwu86JcPXrvMqMFNzmi2kE9PZxDPbrEW1ReF6LU9jiH+YYhDa0kcv&#10;UHciCLZD/Qpq0BLBQxdmEoYMuk5LlTgQmyL/i81jL5xKXEgc7y4y+f8HK7/sH903jKN79wDyhydF&#10;stH56pKJgaca1oyfoaUdil2ARHbqcIidRINNSdPDRVM1BSbp8XpRLlc5SS8pV+TLq+VqkWTPRHXu&#10;d+jDRwUDi5eaI20t4Yv9gw9xHlGdS9KgYHR7r41JQXSKujXI9oJ2LKRUNhRxr9TlX1YaG+stxM5j&#10;Or4krpFetIyvwtRMlIzXBtoDsUY4moZMTpce8BdnIxmm5v7nTqDizHyytJFyOb8qo8VS9L6YzyNr&#10;/CPXpGi+WMZCYSWh1VwGPAe34WjNnUO97elzRdLBwgeSvNNJi+fRTsOTMxLZk4uj9V7Gqer5X9v8&#10;BgAA//8DAFBLAwQUAAYACAAAACEA1ct6Ut8AAAAMAQAADwAAAGRycy9kb3ducmV2LnhtbExPQU7D&#10;MBC8I/EHa5G4tU5DVYUQp0JIHEAcoPTQ4zbeJhaxHcVOk/J6Nid62hnNaHam2E62FWfqg/FOwWqZ&#10;gCBXeW1crWD//brIQISITmPrHSm4UIBteXtTYK796L7ovIu14BAXclTQxNjlUoaqIYth6TtyrJ18&#10;bzEy7Wupexw53LYyTZKNtGgcf2iwo5eGqp/dYBWMv+3lcxzS4c2Y9enwEbDeH96Vur+bnp9ARJri&#10;vxnm+lwdSu509IPTQbTMN2veEhUsMr6zYfWYMjrOUvaQgCwLeT2i/AMAAP//AwBQSwECLQAUAAYA&#10;CAAAACEAtoM4kv4AAADhAQAAEwAAAAAAAAAAAAAAAAAAAAAAW0NvbnRlbnRfVHlwZXNdLnhtbFBL&#10;AQItABQABgAIAAAAIQA4/SH/1gAAAJQBAAALAAAAAAAAAAAAAAAAAC8BAABfcmVscy8ucmVsc1BL&#10;AQItABQABgAIAAAAIQBiHo3x6AEAALMDAAAOAAAAAAAAAAAAAAAAAC4CAABkcnMvZTJvRG9jLnht&#10;bFBLAQItABQABgAIAAAAIQDVy3pS3wAAAAwBAAAPAAAAAAAAAAAAAAAAAEIEAABkcnMvZG93bnJl&#10;di54bWxQSwUGAAAAAAQABADzAAAATgUAAAAA&#10;" fillcolor="#156082 [3204]" stroked="f">
                    <v:textbox inset="21.6pt,1in,21.6pt">
                      <w:txbxContent>
                        <w:p w14:paraId="09DD0EB9" w14:textId="7AD67CC5" w:rsidR="00CE29F0" w:rsidRPr="00CE29F0" w:rsidRDefault="00000000" w:rsidP="00CE29F0">
                          <w:pPr>
                            <w:pStyle w:val="Title"/>
                            <w:ind w:left="284" w:right="1469"/>
                            <w:rPr>
                              <w:rFonts w:ascii="Aparajita" w:hAnsi="Aparajita" w:cs="Aparajita"/>
                              <w:b/>
                              <w:bCs/>
                              <w:caps/>
                              <w:color w:val="FFFFFF" w:themeColor="background1"/>
                              <w:sz w:val="52"/>
                              <w:szCs w:val="52"/>
                            </w:rPr>
                          </w:pPr>
                          <w:sdt>
                            <w:sdtPr>
                              <w:rPr>
                                <w:rFonts w:ascii="Aparajita" w:hAnsi="Aparajita" w:cs="Aparajita"/>
                                <w:b/>
                                <w:bCs/>
                                <w:caps/>
                                <w:color w:val="FFFFFF" w:themeColor="background1"/>
                                <w:sz w:val="52"/>
                                <w:szCs w:val="52"/>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r w:rsidR="00CE29F0" w:rsidRPr="00CE29F0">
                                <w:rPr>
                                  <w:rFonts w:ascii="Aparajita" w:hAnsi="Aparajita" w:cs="Aparajita"/>
                                  <w:b/>
                                  <w:bCs/>
                                  <w:caps/>
                                  <w:color w:val="FFFFFF" w:themeColor="background1"/>
                                  <w:sz w:val="52"/>
                                  <w:szCs w:val="52"/>
                                </w:rPr>
                                <w:t xml:space="preserve">     </w:t>
                              </w:r>
                            </w:sdtContent>
                          </w:sdt>
                          <w:r w:rsidR="00CE29F0" w:rsidRPr="00CE29F0">
                            <w:rPr>
                              <w:rFonts w:ascii="Aparajita" w:hAnsi="Aparajita" w:cs="Aparajita"/>
                              <w:b/>
                              <w:bCs/>
                              <w:caps/>
                              <w:color w:val="FFFFFF" w:themeColor="background1"/>
                              <w:sz w:val="52"/>
                              <w:szCs w:val="52"/>
                            </w:rPr>
                            <w:t xml:space="preserve"> </w:t>
                          </w:r>
                          <w:sdt>
                            <w:sdtPr>
                              <w:rPr>
                                <w:rFonts w:ascii="Aparajita" w:hAnsi="Aparajita" w:cs="Aparajita"/>
                                <w:b/>
                                <w:bCs/>
                                <w:caps/>
                                <w:color w:val="FFFFFF" w:themeColor="background1"/>
                                <w:sz w:val="52"/>
                                <w:szCs w:val="52"/>
                              </w:rPr>
                              <w:alias w:val="Title"/>
                              <w:id w:val="-1967033847"/>
                              <w:showingPlcHdr/>
                              <w:dataBinding w:prefixMappings="xmlns:ns0='http://schemas.openxmlformats.org/package/2006/metadata/core-properties' xmlns:ns1='http://purl.org/dc/elements/1.1/'" w:xpath="/ns0:coreProperties[1]/ns1:title[1]" w:storeItemID="{6C3C8BC8-F283-45AE-878A-BAB7291924A1}"/>
                              <w:text/>
                            </w:sdtPr>
                            <w:sdtContent>
                              <w:r w:rsidR="00CE29F0" w:rsidRPr="00CE29F0">
                                <w:rPr>
                                  <w:rFonts w:ascii="Aparajita" w:hAnsi="Aparajita" w:cs="Aparajita"/>
                                  <w:b/>
                                  <w:bCs/>
                                  <w:caps/>
                                  <w:color w:val="FFFFFF" w:themeColor="background1"/>
                                  <w:sz w:val="52"/>
                                  <w:szCs w:val="52"/>
                                </w:rPr>
                                <w:t xml:space="preserve">     </w:t>
                              </w:r>
                            </w:sdtContent>
                          </w:sdt>
                        </w:p>
                        <w:p w14:paraId="6B575B0C" w14:textId="335020B3" w:rsidR="00CE29F0" w:rsidRPr="00CE29F0" w:rsidRDefault="00CE29F0" w:rsidP="00CE29F0">
                          <w:pPr>
                            <w:pStyle w:val="Title"/>
                            <w:ind w:left="284" w:right="1469"/>
                            <w:rPr>
                              <w:rFonts w:ascii="Aparajita" w:hAnsi="Aparajita" w:cs="Aparajita"/>
                              <w:b/>
                              <w:bCs/>
                              <w:caps/>
                              <w:color w:val="FFFFFF" w:themeColor="background1"/>
                              <w:sz w:val="52"/>
                              <w:szCs w:val="52"/>
                            </w:rPr>
                          </w:pPr>
                          <w:r w:rsidRPr="00CE29F0">
                            <w:rPr>
                              <w:rFonts w:ascii="Aparajita" w:hAnsi="Aparajita" w:cs="Aparajita"/>
                              <w:b/>
                              <w:bCs/>
                              <w:caps/>
                              <w:color w:val="FFFFFF" w:themeColor="background1"/>
                              <w:sz w:val="52"/>
                              <w:szCs w:val="52"/>
                            </w:rPr>
                            <w:t xml:space="preserve">ANALYSING AND MITIGATING CYBERSECURITY THREATS IN SMART MANUFACTURING: </w:t>
                          </w:r>
                          <w:r w:rsidRPr="009408AB">
                            <w:rPr>
                              <w:rFonts w:ascii="Aparajita" w:hAnsi="Aparajita" w:cs="Aparajita"/>
                              <w:caps/>
                              <w:color w:val="FFFFFF" w:themeColor="background1"/>
                              <w:sz w:val="52"/>
                              <w:szCs w:val="52"/>
                            </w:rPr>
                            <w:t>THE CASE OF STEELFORM MANUFACTURING LTD</w:t>
                          </w:r>
                        </w:p>
                        <w:p w14:paraId="114CC277" w14:textId="77777777" w:rsidR="00CE29F0" w:rsidRPr="00CE29F0" w:rsidRDefault="00CE29F0" w:rsidP="00CE29F0">
                          <w:pPr>
                            <w:pStyle w:val="ListParagraph"/>
                            <w:ind w:left="1728"/>
                            <w:rPr>
                              <w:color w:val="FFFFFF" w:themeColor="background1"/>
                            </w:rPr>
                          </w:pPr>
                        </w:p>
                        <w:p w14:paraId="48CD004F" w14:textId="77777777" w:rsidR="00CE29F0" w:rsidRPr="00CE29F0" w:rsidRDefault="00CE29F0" w:rsidP="00CE29F0">
                          <w:pPr>
                            <w:pStyle w:val="ListParagraph"/>
                            <w:ind w:left="1728"/>
                            <w:rPr>
                              <w:color w:val="FFFFFF" w:themeColor="background1"/>
                            </w:rPr>
                          </w:pPr>
                        </w:p>
                        <w:p w14:paraId="7B91AF90" w14:textId="77777777" w:rsidR="00CE29F0" w:rsidRPr="00CE29F0" w:rsidRDefault="00CE29F0" w:rsidP="00CE29F0">
                          <w:pPr>
                            <w:pStyle w:val="ListParagraph"/>
                            <w:ind w:left="1728"/>
                            <w:rPr>
                              <w:color w:val="FFFFFF" w:themeColor="background1"/>
                            </w:rPr>
                          </w:pPr>
                        </w:p>
                        <w:p w14:paraId="1F09117D" w14:textId="77777777" w:rsidR="00CE29F0" w:rsidRPr="00CE29F0" w:rsidRDefault="00CE29F0" w:rsidP="00CE29F0">
                          <w:pPr>
                            <w:pStyle w:val="ListParagraph"/>
                            <w:ind w:left="1728"/>
                            <w:rPr>
                              <w:color w:val="FFFFFF" w:themeColor="background1"/>
                            </w:rPr>
                          </w:pPr>
                        </w:p>
                        <w:p w14:paraId="39F0AAB9" w14:textId="77777777" w:rsidR="00CE29F0" w:rsidRDefault="00CE29F0" w:rsidP="00CE29F0">
                          <w:pPr>
                            <w:pStyle w:val="ListParagraph"/>
                            <w:ind w:left="1728"/>
                            <w:rPr>
                              <w:color w:val="FFFFFF" w:themeColor="background1"/>
                            </w:rPr>
                          </w:pPr>
                        </w:p>
                        <w:p w14:paraId="60D24B87" w14:textId="77777777" w:rsidR="00CE29F0" w:rsidRDefault="00CE29F0" w:rsidP="00CE29F0">
                          <w:pPr>
                            <w:pStyle w:val="ListParagraph"/>
                            <w:ind w:left="1728"/>
                            <w:rPr>
                              <w:color w:val="FFFFFF" w:themeColor="background1"/>
                            </w:rPr>
                          </w:pPr>
                        </w:p>
                        <w:p w14:paraId="7EA86F74" w14:textId="77777777" w:rsidR="00CE29F0" w:rsidRDefault="00CE29F0" w:rsidP="00CE29F0">
                          <w:pPr>
                            <w:pStyle w:val="ListParagraph"/>
                            <w:ind w:left="1728"/>
                            <w:rPr>
                              <w:color w:val="FFFFFF" w:themeColor="background1"/>
                            </w:rPr>
                          </w:pPr>
                        </w:p>
                        <w:p w14:paraId="1EC8A72F" w14:textId="77777777" w:rsidR="00CE29F0" w:rsidRDefault="00CE29F0" w:rsidP="00CE29F0">
                          <w:pPr>
                            <w:pStyle w:val="ListParagraph"/>
                            <w:ind w:left="1728"/>
                            <w:rPr>
                              <w:color w:val="FFFFFF" w:themeColor="background1"/>
                            </w:rPr>
                          </w:pPr>
                        </w:p>
                        <w:p w14:paraId="12C27B3C" w14:textId="77777777" w:rsidR="00CE29F0" w:rsidRPr="006771AC" w:rsidRDefault="00CE29F0" w:rsidP="00CE29F0">
                          <w:pPr>
                            <w:pStyle w:val="ListParagraph"/>
                            <w:ind w:left="1728"/>
                            <w:rPr>
                              <w:b/>
                              <w:bCs/>
                              <w:color w:val="FFFFFF" w:themeColor="background1"/>
                              <w:sz w:val="36"/>
                              <w:szCs w:val="36"/>
                            </w:rPr>
                          </w:pPr>
                        </w:p>
                        <w:p w14:paraId="49FE7960" w14:textId="77777777" w:rsidR="00CE29F0" w:rsidRPr="006771AC" w:rsidRDefault="00CE29F0" w:rsidP="00CE29F0">
                          <w:pPr>
                            <w:spacing w:line="276" w:lineRule="auto"/>
                            <w:ind w:left="284"/>
                            <w:rPr>
                              <w:rFonts w:ascii="Aparajita" w:hAnsi="Aparajita" w:cs="Aparajita"/>
                              <w:b/>
                              <w:bCs/>
                              <w:color w:val="FFFFFF" w:themeColor="background1"/>
                              <w:sz w:val="36"/>
                              <w:szCs w:val="36"/>
                            </w:rPr>
                          </w:pPr>
                          <w:r w:rsidRPr="006771AC">
                            <w:rPr>
                              <w:rFonts w:ascii="Aparajita" w:hAnsi="Aparajita" w:cs="Aparajita"/>
                              <w:b/>
                              <w:bCs/>
                              <w:color w:val="FFFFFF" w:themeColor="background1"/>
                              <w:sz w:val="36"/>
                              <w:szCs w:val="36"/>
                            </w:rPr>
                            <w:t>UNIVERSITY OF WALES TRINITY SAINT DAVID</w:t>
                          </w:r>
                        </w:p>
                        <w:p w14:paraId="428323C7" w14:textId="77777777" w:rsidR="00CE29F0" w:rsidRPr="006771AC" w:rsidRDefault="00CE29F0" w:rsidP="00CE29F0">
                          <w:pPr>
                            <w:spacing w:line="276" w:lineRule="auto"/>
                            <w:ind w:left="284"/>
                            <w:rPr>
                              <w:rFonts w:ascii="Aparajita" w:hAnsi="Aparajita" w:cs="Aparajita"/>
                              <w:color w:val="FFFFFF" w:themeColor="background1"/>
                              <w:sz w:val="36"/>
                              <w:szCs w:val="36"/>
                            </w:rPr>
                          </w:pPr>
                          <w:r w:rsidRPr="006771AC">
                            <w:rPr>
                              <w:rFonts w:ascii="Aparajita" w:hAnsi="Aparajita" w:cs="Aparajita"/>
                              <w:color w:val="FFFFFF" w:themeColor="background1"/>
                              <w:sz w:val="36"/>
                              <w:szCs w:val="36"/>
                            </w:rPr>
                            <w:t xml:space="preserve">Module Name: Networks and Cyber Security Essentials </w:t>
                          </w:r>
                        </w:p>
                        <w:p w14:paraId="75EAC0E4" w14:textId="2403423B" w:rsidR="00CE29F0" w:rsidRPr="00CE29F0" w:rsidRDefault="00CE29F0" w:rsidP="00CE29F0">
                          <w:pPr>
                            <w:spacing w:line="276" w:lineRule="auto"/>
                            <w:ind w:left="284"/>
                            <w:rPr>
                              <w:rFonts w:ascii="Aparajita" w:hAnsi="Aparajita" w:cs="Aparajita"/>
                              <w:color w:val="FFFFFF" w:themeColor="background1"/>
                              <w:sz w:val="36"/>
                              <w:szCs w:val="36"/>
                            </w:rPr>
                          </w:pPr>
                          <w:r w:rsidRPr="006771AC">
                            <w:rPr>
                              <w:rFonts w:ascii="Aparajita" w:hAnsi="Aparajita" w:cs="Aparajita"/>
                              <w:color w:val="FFFFFF" w:themeColor="background1"/>
                              <w:sz w:val="36"/>
                              <w:szCs w:val="36"/>
                            </w:rPr>
                            <w:t>Module Code: ACCA4024 | Lecturer: Amit Naik</w:t>
                          </w:r>
                        </w:p>
                        <w:p w14:paraId="49F6E676" w14:textId="77777777" w:rsidR="00CE29F0" w:rsidRDefault="00CE29F0" w:rsidP="00CE29F0">
                          <w:pPr>
                            <w:spacing w:line="276" w:lineRule="auto"/>
                            <w:ind w:left="284"/>
                            <w:rPr>
                              <w:color w:val="FFFFFF" w:themeColor="background1"/>
                              <w:sz w:val="36"/>
                              <w:szCs w:val="36"/>
                            </w:rPr>
                          </w:pPr>
                        </w:p>
                        <w:p w14:paraId="1FF40B9E" w14:textId="77777777" w:rsidR="00CE29F0" w:rsidRPr="006771AC" w:rsidRDefault="00CE29F0" w:rsidP="00CE29F0">
                          <w:pPr>
                            <w:spacing w:line="276" w:lineRule="auto"/>
                            <w:ind w:left="284"/>
                            <w:rPr>
                              <w:rFonts w:ascii="Aparajita" w:hAnsi="Aparajita" w:cs="Aparajita"/>
                              <w:color w:val="FFFFFF" w:themeColor="background1"/>
                              <w:sz w:val="36"/>
                              <w:szCs w:val="36"/>
                            </w:rPr>
                          </w:pPr>
                          <w:r w:rsidRPr="006771AC">
                            <w:rPr>
                              <w:rFonts w:ascii="Aparajita" w:hAnsi="Aparajita" w:cs="Aparajita"/>
                              <w:color w:val="FFFFFF" w:themeColor="background1"/>
                              <w:sz w:val="36"/>
                              <w:szCs w:val="36"/>
                            </w:rPr>
                            <w:t>Student: Jamile Barbosa Kashif</w:t>
                          </w:r>
                        </w:p>
                        <w:p w14:paraId="5A93CA2B" w14:textId="2C1084B0" w:rsidR="00CE29F0" w:rsidRPr="006771AC" w:rsidRDefault="00CE29F0" w:rsidP="00CE29F0">
                          <w:pPr>
                            <w:spacing w:line="276" w:lineRule="auto"/>
                            <w:ind w:left="284"/>
                            <w:rPr>
                              <w:rFonts w:ascii="Aparajita" w:hAnsi="Aparajita" w:cs="Aparajita"/>
                              <w:color w:val="FFFFFF" w:themeColor="background1"/>
                              <w:sz w:val="36"/>
                              <w:szCs w:val="36"/>
                            </w:rPr>
                          </w:pPr>
                          <w:r w:rsidRPr="006771AC">
                            <w:rPr>
                              <w:rFonts w:ascii="Aparajita" w:hAnsi="Aparajita" w:cs="Aparajita"/>
                              <w:color w:val="FFFFFF" w:themeColor="background1"/>
                              <w:sz w:val="36"/>
                              <w:szCs w:val="36"/>
                            </w:rPr>
                            <w:t>Student ID: 2514981</w:t>
                          </w:r>
                        </w:p>
                        <w:p w14:paraId="72BFB733" w14:textId="77777777" w:rsidR="00CE29F0" w:rsidRPr="006771AC" w:rsidRDefault="00CE29F0" w:rsidP="00CE29F0">
                          <w:pPr>
                            <w:spacing w:line="276" w:lineRule="auto"/>
                            <w:ind w:left="284"/>
                            <w:rPr>
                              <w:rFonts w:ascii="Aparajita" w:hAnsi="Aparajita" w:cs="Aparajita"/>
                              <w:color w:val="FFFFFF" w:themeColor="background1"/>
                              <w:sz w:val="36"/>
                              <w:szCs w:val="36"/>
                            </w:rPr>
                          </w:pPr>
                        </w:p>
                        <w:p w14:paraId="3FE408BA" w14:textId="77777777" w:rsidR="00CE29F0" w:rsidRPr="006771AC" w:rsidRDefault="00CE29F0" w:rsidP="00CE29F0">
                          <w:pPr>
                            <w:spacing w:line="276" w:lineRule="auto"/>
                            <w:ind w:left="284"/>
                            <w:rPr>
                              <w:rFonts w:ascii="Aparajita" w:hAnsi="Aparajita" w:cs="Aparajita"/>
                              <w:color w:val="FFFFFF" w:themeColor="background1"/>
                              <w:sz w:val="36"/>
                              <w:szCs w:val="36"/>
                            </w:rPr>
                          </w:pPr>
                          <w:r w:rsidRPr="006771AC">
                            <w:rPr>
                              <w:rFonts w:ascii="Aparajita" w:hAnsi="Aparajita" w:cs="Aparajita"/>
                              <w:color w:val="FFFFFF" w:themeColor="background1"/>
                              <w:sz w:val="36"/>
                              <w:szCs w:val="36"/>
                            </w:rPr>
                            <w:t>Date: 13 August 2026</w:t>
                          </w:r>
                        </w:p>
                        <w:p w14:paraId="2A2FA24F" w14:textId="77777777" w:rsidR="00CE29F0" w:rsidRPr="006771AC" w:rsidRDefault="00CE29F0" w:rsidP="00CE29F0">
                          <w:pPr>
                            <w:spacing w:before="240"/>
                            <w:ind w:left="284"/>
                            <w:rPr>
                              <w:color w:val="FFFFFF" w:themeColor="background1"/>
                            </w:rPr>
                          </w:pPr>
                        </w:p>
                        <w:p w14:paraId="00728945" w14:textId="77777777" w:rsidR="00CE29F0" w:rsidRPr="006771AC" w:rsidRDefault="00CE29F0" w:rsidP="00CE29F0">
                          <w:pPr>
                            <w:pStyle w:val="ListParagraph"/>
                            <w:spacing w:before="240"/>
                            <w:ind w:left="1728"/>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E4846AD" wp14:editId="65CC55F4">
                    <wp:simplePos x="0" y="0"/>
                    <wp:positionH relativeFrom="page">
                      <wp:posOffset>-6350</wp:posOffset>
                    </wp:positionH>
                    <wp:positionV relativeFrom="page">
                      <wp:posOffset>-50800</wp:posOffset>
                    </wp:positionV>
                    <wp:extent cx="914400" cy="10737850"/>
                    <wp:effectExtent l="0" t="0" r="0" b="635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107378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7C542D15" w14:textId="77777777" w:rsidR="00CE29F0" w:rsidRDefault="00CE29F0" w:rsidP="00CE29F0">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E4846AD" id="Rectangle 268" o:spid="_x0000_s1027" style="position:absolute;margin-left:-.5pt;margin-top:-4pt;width:1in;height:84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x1ClQIAAIwFAAAOAAAAZHJzL2Uyb0RvYy54bWysVFFP3DAMfp+0/xDlfbS9wbhV9NAJxDTp&#10;BAiYeM6lCa2WxlmSu/b26+ckbWEM7WFaH6I6tj/bX2yfnQ+dInthXQu6osVRTonQHOpWP1X028PV&#10;hyUlzjNdMwVaVPQgHD1fvX931ptSLKABVQtLEES7sjcVbbw3ZZY53oiOuSMwQqNSgu2YR9E+ZbVl&#10;PaJ3Klvk+aesB1sbC1w4h7eXSUlXEV9Kwf2NlE54oiqKufl42nhuw5mtzlj5ZJlpWj6mwf4hi461&#10;GoPOUJfMM7Kz7R9QXcstOJD+iEOXgZQtF7EGrKbIX1Vz3zAjYi1IjjMzTe7/wfLr/b25tSF1ZzbA&#10;vztkJOuNK2dNENxoM0jbBVtMnAyRxcPMohg84Xj5uTg+zpFrjqoiP/14ujyJPGesnNyNdf6LgI6E&#10;n4pafKbIHttvnA8JsHIyiZmBauurVqkohNYQF8qSPcNH9cMiPCJ6uJdWSgdbDcErqcNNLCzVEqvy&#10;ByWCndJ3QpK2xuwXMZHYf89BGOdC+yKpGlaLFPskx2+KPqUVc4mAAVli/Bl7BJgsE8iEnbIc7YOr&#10;iO07O+d/Syw5zx4xMmg/O3etBvsWgMKqxsjJfiIpURNY8sN2QG7wMYNluNlCfbi1xEIaJ2f4VYsP&#10;uWHO3zKL84OvjzvB3+AhFfQVhfGPkgbsz7fugz22NWop6XEeK+p+7JgVlKivGhu+WC6WyzDBUTo+&#10;OV2gYH9TbV+q9K67AOyPAveP4fE3OHg1/UoL3SMuj3WIiyqmOUavKPd2Ei582hS4frhYr6MZjq1h&#10;fqPvDQ/ggenQqg/DI7Nm7GePo3AN0/Sy8lVbJ9vgqWG98yDb2PPPzI5vgCMfm2lcT2GnvJSj1fMS&#10;Xf0CAAD//wMAUEsDBBQABgAIAAAAIQDpFuMf3QAAAAoBAAAPAAAAZHJzL2Rvd25yZXYueG1sTE9B&#10;TsMwELwj8Qdrkbi1TimKQohToUpUHLi0IEFvbrzEEfE6ip007evZnsppZjWj2ZliNblWjNiHxpOC&#10;xTwBgVR501Ct4PPjdZaBCFGT0a0nVHDCAKvy9qbQufFH2uK4i7XgEAq5VmBj7HIpQ2XR6TD3HRJr&#10;P753OvLZ19L0+sjhrpUPSZJKpxviD1Z3uLZY/e4Gp2C/f1sO6Xo8b77d0+Zrerens7FK3d9NL88g&#10;Ik7xaoZLfa4OJXc6+IFMEK2C2YKnRMaM8aI/LpkcmKQZM1kW8v+E8g8AAP//AwBQSwECLQAUAAYA&#10;CAAAACEAtoM4kv4AAADhAQAAEwAAAAAAAAAAAAAAAAAAAAAAW0NvbnRlbnRfVHlwZXNdLnhtbFBL&#10;AQItABQABgAIAAAAIQA4/SH/1gAAAJQBAAALAAAAAAAAAAAAAAAAAC8BAABfcmVscy8ucmVsc1BL&#10;AQItABQABgAIAAAAIQBsUx1ClQIAAIwFAAAOAAAAAAAAAAAAAAAAAC4CAABkcnMvZTJvRG9jLnht&#10;bFBLAQItABQABgAIAAAAIQDpFuMf3QAAAAoBAAAPAAAAAAAAAAAAAAAAAO8EAABkcnMvZG93bnJl&#10;di54bWxQSwUGAAAAAAQABADzAAAA+QUAAAAA&#10;" fillcolor="#0e2841 [3215]" stroked="f" strokeweight="1.5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7C542D15" w14:textId="77777777" w:rsidR="00CE29F0" w:rsidRDefault="00CE29F0" w:rsidP="00CE29F0">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14:paraId="323A66A0" w14:textId="77777777" w:rsidR="00CE29F0" w:rsidRDefault="00CE29F0" w:rsidP="00CE29F0"/>
        <w:p w14:paraId="057FDC20" w14:textId="77777777" w:rsidR="00CE29F0" w:rsidRDefault="00CE29F0" w:rsidP="00CE29F0">
          <w:pPr>
            <w:rPr>
              <w:rFonts w:ascii="Times New Roman" w:hAnsi="Times New Roman"/>
              <w:noProof/>
              <w:color w:val="462300"/>
            </w:rPr>
          </w:pPr>
          <w:r>
            <w:rPr>
              <w:rFonts w:ascii="Times New Roman" w:hAnsi="Times New Roman"/>
              <w:noProof/>
              <w:color w:val="462300"/>
            </w:rPr>
            <w:br w:type="page"/>
          </w:r>
        </w:p>
      </w:sdtContent>
    </w:sdt>
    <w:p w14:paraId="152C5C7E" w14:textId="77777777" w:rsidR="00CE29F0" w:rsidRDefault="00CE29F0" w:rsidP="00CE29F0">
      <w:pPr>
        <w:sectPr w:rsidR="00CE29F0" w:rsidSect="00CE29F0">
          <w:pgSz w:w="11906" w:h="16838"/>
          <w:pgMar w:top="1400" w:right="1400" w:bottom="1400" w:left="1400" w:header="708" w:footer="708" w:gutter="0"/>
          <w:pgNumType w:start="0"/>
          <w:cols w:space="720"/>
          <w:titlePg/>
          <w:docGrid w:linePitch="360"/>
        </w:sectPr>
      </w:pPr>
    </w:p>
    <w:p w14:paraId="4B224C13" w14:textId="77777777" w:rsidR="0051439B" w:rsidRDefault="0051439B" w:rsidP="0051439B">
      <w:pPr>
        <w:pStyle w:val="Heading1"/>
        <w:spacing w:after="300"/>
      </w:pPr>
      <w:bookmarkStart w:id="0" w:name="_Toc237436409"/>
      <w:r>
        <w:rPr>
          <w:color w:val="1F3864"/>
          <w:sz w:val="30"/>
          <w:szCs w:val="30"/>
        </w:rPr>
        <w:lastRenderedPageBreak/>
        <w:t>Table of Contents</w:t>
      </w:r>
      <w:bookmarkEnd w:id="0"/>
    </w:p>
    <w:sdt>
      <w:sdtPr>
        <w:alias w:val="Table of Contents"/>
        <w:id w:val="-210422730"/>
      </w:sdtPr>
      <w:sdtEndPr/>
      <w:sdtContent>
        <w:p w14:paraId="7DCD5615" w14:textId="6A9C28C4" w:rsidR="0051439B" w:rsidRPr="00AA0322" w:rsidRDefault="0051439B" w:rsidP="0051439B">
          <w:pPr>
            <w:pStyle w:val="TOC1"/>
            <w:tabs>
              <w:tab w:val="right" w:leader="dot" w:pos="9296"/>
            </w:tabs>
            <w:rPr>
              <w:noProof/>
            </w:rPr>
          </w:pPr>
          <w:r w:rsidRPr="00AA0322">
            <w:fldChar w:fldCharType="begin"/>
          </w:r>
          <w:r w:rsidRPr="00AA0322">
            <w:instrText>TOC \h \o "1-2"</w:instrText>
          </w:r>
          <w:r w:rsidRPr="00AA0322">
            <w:fldChar w:fldCharType="separate"/>
          </w:r>
          <w:hyperlink w:anchor="_Toc237436409" w:history="1">
            <w:r w:rsidRPr="00AA0322">
              <w:rPr>
                <w:rStyle w:val="Hyperlink"/>
                <w:noProof/>
              </w:rPr>
              <w:t>Table of Contents</w:t>
            </w:r>
            <w:r w:rsidRPr="00AA0322">
              <w:rPr>
                <w:noProof/>
              </w:rPr>
              <w:tab/>
            </w:r>
            <w:r w:rsidRPr="00AA0322">
              <w:rPr>
                <w:noProof/>
              </w:rPr>
              <w:fldChar w:fldCharType="begin"/>
            </w:r>
            <w:r w:rsidRPr="00AA0322">
              <w:rPr>
                <w:noProof/>
              </w:rPr>
              <w:instrText xml:space="preserve"> PAGEREF _Toc237436409 \h </w:instrText>
            </w:r>
            <w:r w:rsidRPr="00AA0322">
              <w:rPr>
                <w:noProof/>
              </w:rPr>
            </w:r>
            <w:r w:rsidRPr="00AA0322">
              <w:rPr>
                <w:noProof/>
              </w:rPr>
              <w:fldChar w:fldCharType="separate"/>
            </w:r>
            <w:r w:rsidR="00987A9F" w:rsidRPr="00AA0322">
              <w:rPr>
                <w:noProof/>
              </w:rPr>
              <w:t>1</w:t>
            </w:r>
            <w:r w:rsidRPr="00AA0322">
              <w:rPr>
                <w:noProof/>
              </w:rPr>
              <w:fldChar w:fldCharType="end"/>
            </w:r>
          </w:hyperlink>
        </w:p>
        <w:p w14:paraId="496C5405" w14:textId="18DE1C8B" w:rsidR="0051439B" w:rsidRPr="00AA0322" w:rsidRDefault="0051439B" w:rsidP="0051439B">
          <w:pPr>
            <w:pStyle w:val="TOC1"/>
            <w:tabs>
              <w:tab w:val="right" w:leader="dot" w:pos="9296"/>
            </w:tabs>
            <w:rPr>
              <w:noProof/>
            </w:rPr>
          </w:pPr>
          <w:hyperlink w:anchor="_Toc237436410" w:history="1">
            <w:r w:rsidRPr="00AA0322">
              <w:rPr>
                <w:rStyle w:val="Hyperlink"/>
                <w:noProof/>
              </w:rPr>
              <w:t>1. Introduction</w:t>
            </w:r>
            <w:r w:rsidRPr="00AA0322">
              <w:rPr>
                <w:noProof/>
              </w:rPr>
              <w:tab/>
            </w:r>
            <w:r w:rsidRPr="00AA0322">
              <w:rPr>
                <w:noProof/>
              </w:rPr>
              <w:fldChar w:fldCharType="begin"/>
            </w:r>
            <w:r w:rsidRPr="00AA0322">
              <w:rPr>
                <w:noProof/>
              </w:rPr>
              <w:instrText xml:space="preserve"> PAGEREF _Toc237436410 \h </w:instrText>
            </w:r>
            <w:r w:rsidRPr="00AA0322">
              <w:rPr>
                <w:noProof/>
              </w:rPr>
            </w:r>
            <w:r w:rsidRPr="00AA0322">
              <w:rPr>
                <w:noProof/>
              </w:rPr>
              <w:fldChar w:fldCharType="separate"/>
            </w:r>
            <w:r w:rsidR="00987A9F" w:rsidRPr="00AA0322">
              <w:rPr>
                <w:noProof/>
              </w:rPr>
              <w:t>2</w:t>
            </w:r>
            <w:r w:rsidRPr="00AA0322">
              <w:rPr>
                <w:noProof/>
              </w:rPr>
              <w:fldChar w:fldCharType="end"/>
            </w:r>
          </w:hyperlink>
        </w:p>
        <w:p w14:paraId="5BE02F56" w14:textId="579690D1" w:rsidR="0051439B" w:rsidRPr="00AA0322" w:rsidRDefault="0051439B" w:rsidP="0051439B">
          <w:pPr>
            <w:pStyle w:val="TOC1"/>
            <w:tabs>
              <w:tab w:val="right" w:leader="dot" w:pos="9296"/>
            </w:tabs>
            <w:rPr>
              <w:noProof/>
            </w:rPr>
          </w:pPr>
          <w:hyperlink w:anchor="_Toc237436411" w:history="1">
            <w:r w:rsidRPr="00AA0322">
              <w:rPr>
                <w:rStyle w:val="Hyperlink"/>
                <w:noProof/>
              </w:rPr>
              <w:t>2. Identification of Threats</w:t>
            </w:r>
            <w:r w:rsidRPr="00AA0322">
              <w:rPr>
                <w:noProof/>
              </w:rPr>
              <w:tab/>
            </w:r>
            <w:r w:rsidRPr="00AA0322">
              <w:rPr>
                <w:noProof/>
              </w:rPr>
              <w:fldChar w:fldCharType="begin"/>
            </w:r>
            <w:r w:rsidRPr="00AA0322">
              <w:rPr>
                <w:noProof/>
              </w:rPr>
              <w:instrText xml:space="preserve"> PAGEREF _Toc237436411 \h </w:instrText>
            </w:r>
            <w:r w:rsidRPr="00AA0322">
              <w:rPr>
                <w:noProof/>
              </w:rPr>
            </w:r>
            <w:r w:rsidRPr="00AA0322">
              <w:rPr>
                <w:noProof/>
              </w:rPr>
              <w:fldChar w:fldCharType="separate"/>
            </w:r>
            <w:r w:rsidR="00987A9F" w:rsidRPr="00AA0322">
              <w:rPr>
                <w:noProof/>
              </w:rPr>
              <w:t>2</w:t>
            </w:r>
            <w:r w:rsidRPr="00AA0322">
              <w:rPr>
                <w:noProof/>
              </w:rPr>
              <w:fldChar w:fldCharType="end"/>
            </w:r>
          </w:hyperlink>
        </w:p>
        <w:p w14:paraId="4284E92F" w14:textId="64EE2D95" w:rsidR="0051439B" w:rsidRPr="00AA0322" w:rsidRDefault="0051439B" w:rsidP="0051439B">
          <w:pPr>
            <w:pStyle w:val="TOC2"/>
            <w:tabs>
              <w:tab w:val="right" w:leader="dot" w:pos="9296"/>
            </w:tabs>
            <w:rPr>
              <w:noProof/>
            </w:rPr>
          </w:pPr>
          <w:hyperlink w:anchor="_Toc237436412" w:history="1">
            <w:r w:rsidRPr="00AA0322">
              <w:rPr>
                <w:rStyle w:val="Hyperlink"/>
                <w:noProof/>
              </w:rPr>
              <w:t>2.1 Internal Threats</w:t>
            </w:r>
            <w:r w:rsidRPr="00AA0322">
              <w:rPr>
                <w:noProof/>
              </w:rPr>
              <w:tab/>
            </w:r>
            <w:r w:rsidRPr="00AA0322">
              <w:rPr>
                <w:noProof/>
              </w:rPr>
              <w:fldChar w:fldCharType="begin"/>
            </w:r>
            <w:r w:rsidRPr="00AA0322">
              <w:rPr>
                <w:noProof/>
              </w:rPr>
              <w:instrText xml:space="preserve"> PAGEREF _Toc237436412 \h </w:instrText>
            </w:r>
            <w:r w:rsidRPr="00AA0322">
              <w:rPr>
                <w:noProof/>
              </w:rPr>
            </w:r>
            <w:r w:rsidRPr="00AA0322">
              <w:rPr>
                <w:noProof/>
              </w:rPr>
              <w:fldChar w:fldCharType="separate"/>
            </w:r>
            <w:r w:rsidR="00987A9F" w:rsidRPr="00AA0322">
              <w:rPr>
                <w:noProof/>
              </w:rPr>
              <w:t>2</w:t>
            </w:r>
            <w:r w:rsidRPr="00AA0322">
              <w:rPr>
                <w:noProof/>
              </w:rPr>
              <w:fldChar w:fldCharType="end"/>
            </w:r>
          </w:hyperlink>
        </w:p>
        <w:p w14:paraId="7FF27BF9" w14:textId="5B0990EF" w:rsidR="0051439B" w:rsidRPr="00AA0322" w:rsidRDefault="0051439B" w:rsidP="0051439B">
          <w:pPr>
            <w:pStyle w:val="TOC2"/>
            <w:tabs>
              <w:tab w:val="right" w:leader="dot" w:pos="9296"/>
            </w:tabs>
            <w:rPr>
              <w:noProof/>
            </w:rPr>
          </w:pPr>
          <w:hyperlink w:anchor="_Toc237436413" w:history="1">
            <w:r w:rsidRPr="00AA0322">
              <w:rPr>
                <w:rStyle w:val="Hyperlink"/>
                <w:noProof/>
              </w:rPr>
              <w:t>2.2 External Threats</w:t>
            </w:r>
            <w:r w:rsidRPr="00AA0322">
              <w:rPr>
                <w:noProof/>
              </w:rPr>
              <w:tab/>
            </w:r>
            <w:r w:rsidRPr="00AA0322">
              <w:rPr>
                <w:noProof/>
              </w:rPr>
              <w:fldChar w:fldCharType="begin"/>
            </w:r>
            <w:r w:rsidRPr="00AA0322">
              <w:rPr>
                <w:noProof/>
              </w:rPr>
              <w:instrText xml:space="preserve"> PAGEREF _Toc237436413 \h </w:instrText>
            </w:r>
            <w:r w:rsidRPr="00AA0322">
              <w:rPr>
                <w:noProof/>
              </w:rPr>
            </w:r>
            <w:r w:rsidRPr="00AA0322">
              <w:rPr>
                <w:noProof/>
              </w:rPr>
              <w:fldChar w:fldCharType="separate"/>
            </w:r>
            <w:r w:rsidR="00987A9F" w:rsidRPr="00AA0322">
              <w:rPr>
                <w:noProof/>
              </w:rPr>
              <w:t>2</w:t>
            </w:r>
            <w:r w:rsidRPr="00AA0322">
              <w:rPr>
                <w:noProof/>
              </w:rPr>
              <w:fldChar w:fldCharType="end"/>
            </w:r>
          </w:hyperlink>
        </w:p>
        <w:p w14:paraId="148AFFBD" w14:textId="30F8C560" w:rsidR="0051439B" w:rsidRPr="00AA0322" w:rsidRDefault="0051439B" w:rsidP="0051439B">
          <w:pPr>
            <w:pStyle w:val="TOC1"/>
            <w:tabs>
              <w:tab w:val="right" w:leader="dot" w:pos="9296"/>
            </w:tabs>
            <w:rPr>
              <w:noProof/>
            </w:rPr>
          </w:pPr>
          <w:hyperlink w:anchor="_Toc237436414" w:history="1">
            <w:r w:rsidRPr="00AA0322">
              <w:rPr>
                <w:rStyle w:val="Hyperlink"/>
                <w:noProof/>
              </w:rPr>
              <w:t>3. Security Policies</w:t>
            </w:r>
            <w:r w:rsidRPr="00AA0322">
              <w:rPr>
                <w:noProof/>
              </w:rPr>
              <w:tab/>
            </w:r>
            <w:r w:rsidRPr="00AA0322">
              <w:rPr>
                <w:noProof/>
              </w:rPr>
              <w:fldChar w:fldCharType="begin"/>
            </w:r>
            <w:r w:rsidRPr="00AA0322">
              <w:rPr>
                <w:noProof/>
              </w:rPr>
              <w:instrText xml:space="preserve"> PAGEREF _Toc237436414 \h </w:instrText>
            </w:r>
            <w:r w:rsidRPr="00AA0322">
              <w:rPr>
                <w:noProof/>
              </w:rPr>
            </w:r>
            <w:r w:rsidRPr="00AA0322">
              <w:rPr>
                <w:noProof/>
              </w:rPr>
              <w:fldChar w:fldCharType="separate"/>
            </w:r>
            <w:r w:rsidR="00987A9F" w:rsidRPr="00AA0322">
              <w:rPr>
                <w:noProof/>
              </w:rPr>
              <w:t>3</w:t>
            </w:r>
            <w:r w:rsidRPr="00AA0322">
              <w:rPr>
                <w:noProof/>
              </w:rPr>
              <w:fldChar w:fldCharType="end"/>
            </w:r>
          </w:hyperlink>
        </w:p>
        <w:p w14:paraId="3381A7F0" w14:textId="16C436A3" w:rsidR="0051439B" w:rsidRPr="00AA0322" w:rsidRDefault="0051439B" w:rsidP="0051439B">
          <w:pPr>
            <w:pStyle w:val="TOC1"/>
            <w:tabs>
              <w:tab w:val="right" w:leader="dot" w:pos="9296"/>
            </w:tabs>
            <w:rPr>
              <w:noProof/>
            </w:rPr>
          </w:pPr>
          <w:hyperlink w:anchor="_Toc237436415" w:history="1">
            <w:r w:rsidRPr="00AA0322">
              <w:rPr>
                <w:rStyle w:val="Hyperlink"/>
                <w:noProof/>
              </w:rPr>
              <w:t>4. Mitigation Measures</w:t>
            </w:r>
            <w:r w:rsidRPr="00AA0322">
              <w:rPr>
                <w:noProof/>
              </w:rPr>
              <w:tab/>
            </w:r>
            <w:r w:rsidRPr="00AA0322">
              <w:rPr>
                <w:noProof/>
              </w:rPr>
              <w:fldChar w:fldCharType="begin"/>
            </w:r>
            <w:r w:rsidRPr="00AA0322">
              <w:rPr>
                <w:noProof/>
              </w:rPr>
              <w:instrText xml:space="preserve"> PAGEREF _Toc237436415 \h </w:instrText>
            </w:r>
            <w:r w:rsidRPr="00AA0322">
              <w:rPr>
                <w:noProof/>
              </w:rPr>
            </w:r>
            <w:r w:rsidRPr="00AA0322">
              <w:rPr>
                <w:noProof/>
              </w:rPr>
              <w:fldChar w:fldCharType="separate"/>
            </w:r>
            <w:r w:rsidR="00987A9F" w:rsidRPr="00AA0322">
              <w:rPr>
                <w:noProof/>
              </w:rPr>
              <w:t>4</w:t>
            </w:r>
            <w:r w:rsidRPr="00AA0322">
              <w:rPr>
                <w:noProof/>
              </w:rPr>
              <w:fldChar w:fldCharType="end"/>
            </w:r>
          </w:hyperlink>
        </w:p>
        <w:p w14:paraId="10147776" w14:textId="038678FD" w:rsidR="0051439B" w:rsidRPr="00AA0322" w:rsidRDefault="0051439B" w:rsidP="0051439B">
          <w:pPr>
            <w:pStyle w:val="TOC1"/>
            <w:tabs>
              <w:tab w:val="right" w:leader="dot" w:pos="9296"/>
            </w:tabs>
            <w:rPr>
              <w:noProof/>
            </w:rPr>
          </w:pPr>
          <w:hyperlink w:anchor="_Toc237436416" w:history="1">
            <w:r w:rsidRPr="00AA0322">
              <w:rPr>
                <w:rStyle w:val="Hyperlink"/>
                <w:noProof/>
              </w:rPr>
              <w:t>5. Monitoring and Response</w:t>
            </w:r>
            <w:r w:rsidRPr="00AA0322">
              <w:rPr>
                <w:noProof/>
              </w:rPr>
              <w:tab/>
            </w:r>
            <w:r w:rsidRPr="00AA0322">
              <w:rPr>
                <w:noProof/>
              </w:rPr>
              <w:fldChar w:fldCharType="begin"/>
            </w:r>
            <w:r w:rsidRPr="00AA0322">
              <w:rPr>
                <w:noProof/>
              </w:rPr>
              <w:instrText xml:space="preserve"> PAGEREF _Toc237436416 \h </w:instrText>
            </w:r>
            <w:r w:rsidRPr="00AA0322">
              <w:rPr>
                <w:noProof/>
              </w:rPr>
            </w:r>
            <w:r w:rsidRPr="00AA0322">
              <w:rPr>
                <w:noProof/>
              </w:rPr>
              <w:fldChar w:fldCharType="separate"/>
            </w:r>
            <w:r w:rsidR="00987A9F" w:rsidRPr="00AA0322">
              <w:rPr>
                <w:noProof/>
              </w:rPr>
              <w:t>4</w:t>
            </w:r>
            <w:r w:rsidRPr="00AA0322">
              <w:rPr>
                <w:noProof/>
              </w:rPr>
              <w:fldChar w:fldCharType="end"/>
            </w:r>
          </w:hyperlink>
        </w:p>
        <w:p w14:paraId="7C37921A" w14:textId="147FE28C" w:rsidR="0051439B" w:rsidRPr="00AA0322" w:rsidRDefault="0051439B" w:rsidP="0051439B">
          <w:pPr>
            <w:pStyle w:val="TOC1"/>
            <w:tabs>
              <w:tab w:val="right" w:leader="dot" w:pos="9296"/>
            </w:tabs>
            <w:rPr>
              <w:noProof/>
            </w:rPr>
          </w:pPr>
          <w:hyperlink w:anchor="_Toc237436417" w:history="1">
            <w:r w:rsidRPr="00AA0322">
              <w:rPr>
                <w:rStyle w:val="Hyperlink"/>
                <w:noProof/>
              </w:rPr>
              <w:t>6. Training and Awareness</w:t>
            </w:r>
            <w:r w:rsidRPr="00AA0322">
              <w:rPr>
                <w:noProof/>
              </w:rPr>
              <w:tab/>
            </w:r>
            <w:r w:rsidRPr="00AA0322">
              <w:rPr>
                <w:noProof/>
              </w:rPr>
              <w:fldChar w:fldCharType="begin"/>
            </w:r>
            <w:r w:rsidRPr="00AA0322">
              <w:rPr>
                <w:noProof/>
              </w:rPr>
              <w:instrText xml:space="preserve"> PAGEREF _Toc237436417 \h </w:instrText>
            </w:r>
            <w:r w:rsidRPr="00AA0322">
              <w:rPr>
                <w:noProof/>
              </w:rPr>
            </w:r>
            <w:r w:rsidRPr="00AA0322">
              <w:rPr>
                <w:noProof/>
              </w:rPr>
              <w:fldChar w:fldCharType="separate"/>
            </w:r>
            <w:r w:rsidR="00987A9F" w:rsidRPr="00AA0322">
              <w:rPr>
                <w:noProof/>
              </w:rPr>
              <w:t>5</w:t>
            </w:r>
            <w:r w:rsidRPr="00AA0322">
              <w:rPr>
                <w:noProof/>
              </w:rPr>
              <w:fldChar w:fldCharType="end"/>
            </w:r>
          </w:hyperlink>
        </w:p>
        <w:p w14:paraId="7AECDE09" w14:textId="19A837AC" w:rsidR="0051439B" w:rsidRPr="00AA0322" w:rsidRDefault="0051439B" w:rsidP="0051439B">
          <w:pPr>
            <w:pStyle w:val="TOC1"/>
            <w:tabs>
              <w:tab w:val="right" w:leader="dot" w:pos="9296"/>
            </w:tabs>
            <w:rPr>
              <w:noProof/>
            </w:rPr>
          </w:pPr>
          <w:hyperlink w:anchor="_Toc237436418" w:history="1">
            <w:r w:rsidRPr="00AA0322">
              <w:rPr>
                <w:rStyle w:val="Hyperlink"/>
                <w:noProof/>
              </w:rPr>
              <w:t>7. Conclusion</w:t>
            </w:r>
            <w:r w:rsidRPr="00AA0322">
              <w:rPr>
                <w:noProof/>
              </w:rPr>
              <w:tab/>
            </w:r>
            <w:r w:rsidRPr="00AA0322">
              <w:rPr>
                <w:noProof/>
              </w:rPr>
              <w:fldChar w:fldCharType="begin"/>
            </w:r>
            <w:r w:rsidRPr="00AA0322">
              <w:rPr>
                <w:noProof/>
              </w:rPr>
              <w:instrText xml:space="preserve"> PAGEREF _Toc237436418 \h </w:instrText>
            </w:r>
            <w:r w:rsidRPr="00AA0322">
              <w:rPr>
                <w:noProof/>
              </w:rPr>
            </w:r>
            <w:r w:rsidRPr="00AA0322">
              <w:rPr>
                <w:noProof/>
              </w:rPr>
              <w:fldChar w:fldCharType="separate"/>
            </w:r>
            <w:r w:rsidR="00987A9F" w:rsidRPr="00AA0322">
              <w:rPr>
                <w:noProof/>
              </w:rPr>
              <w:t>6</w:t>
            </w:r>
            <w:r w:rsidRPr="00AA0322">
              <w:rPr>
                <w:noProof/>
              </w:rPr>
              <w:fldChar w:fldCharType="end"/>
            </w:r>
          </w:hyperlink>
        </w:p>
        <w:p w14:paraId="6C0F035E" w14:textId="0D1A8FAE" w:rsidR="0051439B" w:rsidRPr="00AA0322" w:rsidRDefault="0051439B" w:rsidP="0051439B">
          <w:pPr>
            <w:pStyle w:val="TOC1"/>
            <w:tabs>
              <w:tab w:val="right" w:leader="dot" w:pos="9296"/>
            </w:tabs>
            <w:rPr>
              <w:noProof/>
            </w:rPr>
          </w:pPr>
          <w:hyperlink w:anchor="_Toc237436419" w:history="1">
            <w:r w:rsidRPr="00AA0322">
              <w:rPr>
                <w:rStyle w:val="Hyperlink"/>
                <w:noProof/>
              </w:rPr>
              <w:t>References</w:t>
            </w:r>
            <w:r w:rsidRPr="00AA0322">
              <w:rPr>
                <w:noProof/>
              </w:rPr>
              <w:tab/>
            </w:r>
            <w:r w:rsidRPr="00AA0322">
              <w:rPr>
                <w:noProof/>
              </w:rPr>
              <w:fldChar w:fldCharType="begin"/>
            </w:r>
            <w:r w:rsidRPr="00AA0322">
              <w:rPr>
                <w:noProof/>
              </w:rPr>
              <w:instrText xml:space="preserve"> PAGEREF _Toc237436419 \h </w:instrText>
            </w:r>
            <w:r w:rsidRPr="00AA0322">
              <w:rPr>
                <w:noProof/>
              </w:rPr>
            </w:r>
            <w:r w:rsidRPr="00AA0322">
              <w:rPr>
                <w:noProof/>
              </w:rPr>
              <w:fldChar w:fldCharType="separate"/>
            </w:r>
            <w:r w:rsidR="00987A9F" w:rsidRPr="00AA0322">
              <w:rPr>
                <w:noProof/>
              </w:rPr>
              <w:t>7</w:t>
            </w:r>
            <w:r w:rsidRPr="00AA0322">
              <w:rPr>
                <w:noProof/>
              </w:rPr>
              <w:fldChar w:fldCharType="end"/>
            </w:r>
          </w:hyperlink>
        </w:p>
        <w:p w14:paraId="17010FFB" w14:textId="512DD9AD" w:rsidR="0051439B" w:rsidRPr="00AA0322" w:rsidRDefault="0051439B" w:rsidP="0051439B">
          <w:pPr>
            <w:pStyle w:val="TOC1"/>
            <w:tabs>
              <w:tab w:val="right" w:leader="dot" w:pos="9296"/>
            </w:tabs>
            <w:rPr>
              <w:noProof/>
            </w:rPr>
          </w:pPr>
          <w:hyperlink w:anchor="_Toc237436420" w:history="1">
            <w:r w:rsidRPr="00AA0322">
              <w:rPr>
                <w:rStyle w:val="Hyperlink"/>
                <w:noProof/>
              </w:rPr>
              <w:t>Appendix: Board Presentation Slides</w:t>
            </w:r>
            <w:r w:rsidRPr="00AA0322">
              <w:rPr>
                <w:noProof/>
              </w:rPr>
              <w:tab/>
            </w:r>
            <w:r w:rsidRPr="00AA0322">
              <w:rPr>
                <w:noProof/>
              </w:rPr>
              <w:fldChar w:fldCharType="begin"/>
            </w:r>
            <w:r w:rsidRPr="00AA0322">
              <w:rPr>
                <w:noProof/>
              </w:rPr>
              <w:instrText xml:space="preserve"> PAGEREF _Toc237436420 \h </w:instrText>
            </w:r>
            <w:r w:rsidRPr="00AA0322">
              <w:rPr>
                <w:noProof/>
              </w:rPr>
            </w:r>
            <w:r w:rsidRPr="00AA0322">
              <w:rPr>
                <w:noProof/>
              </w:rPr>
              <w:fldChar w:fldCharType="separate"/>
            </w:r>
            <w:r w:rsidR="00987A9F" w:rsidRPr="00AA0322">
              <w:rPr>
                <w:noProof/>
              </w:rPr>
              <w:t>8</w:t>
            </w:r>
            <w:r w:rsidRPr="00AA0322">
              <w:rPr>
                <w:noProof/>
              </w:rPr>
              <w:fldChar w:fldCharType="end"/>
            </w:r>
          </w:hyperlink>
        </w:p>
        <w:p w14:paraId="2F3B08C4" w14:textId="09BDDAD6" w:rsidR="0051439B" w:rsidRDefault="0051439B" w:rsidP="0051439B">
          <w:pPr>
            <w:sectPr w:rsidR="0051439B" w:rsidSect="0051439B">
              <w:pgSz w:w="11906" w:h="16838"/>
              <w:pgMar w:top="1300" w:right="1300" w:bottom="1300" w:left="1300" w:header="708" w:footer="708" w:gutter="0"/>
              <w:cols w:space="720"/>
              <w:docGrid w:linePitch="360"/>
            </w:sectPr>
          </w:pPr>
          <w:r w:rsidRPr="00AA0322">
            <w:fldChar w:fldCharType="end"/>
          </w:r>
        </w:p>
      </w:sdtContent>
    </w:sdt>
    <w:p w14:paraId="06CC12BC" w14:textId="77777777" w:rsidR="0051439B" w:rsidRDefault="0051439B" w:rsidP="0051439B">
      <w:pPr>
        <w:pStyle w:val="Heading1"/>
        <w:spacing w:before="380" w:after="180"/>
      </w:pPr>
      <w:bookmarkStart w:id="1" w:name="_Toc237436410"/>
      <w:r>
        <w:rPr>
          <w:color w:val="1F3864"/>
          <w:sz w:val="28"/>
          <w:szCs w:val="28"/>
        </w:rPr>
        <w:lastRenderedPageBreak/>
        <w:t>1. Introduction</w:t>
      </w:r>
      <w:bookmarkEnd w:id="1"/>
    </w:p>
    <w:p w14:paraId="5DF778DF" w14:textId="2778CF2C" w:rsidR="0051439B" w:rsidRDefault="0051439B" w:rsidP="0051439B">
      <w:pPr>
        <w:spacing w:after="200" w:line="300" w:lineRule="auto"/>
        <w:jc w:val="both"/>
      </w:pPr>
      <w:r>
        <w:t>SteelForm Manufacturing Ltd (SFM) has adopted Industry 4.0 technologies, including IoT-enabled sensors, automated machinery and a cloud-based production management system to remain competitive in the automotive and aerospace supply chain. This increased connectivity has, however, expanded SFM's attack surface</w:t>
      </w:r>
      <w:r w:rsidR="000E39B6">
        <w:t>.</w:t>
      </w:r>
      <w:r>
        <w:t xml:space="preserve"> </w:t>
      </w:r>
      <w:r w:rsidR="000E39B6">
        <w:t>T</w:t>
      </w:r>
      <w:r>
        <w:t>he company has recently experienced malware infections, phishing attempts against procurement staff and unauthorised access attempts on its production network. This report identifies the internal and external threats facing SFM, proposes a set of security policies aligned with recognised standards, details practical mitigation measures, outlines a monitoring and incident response plan, and describes a staff training programme, structured around the CIA triad (Confidentiality, Integrity, Availability) and informed by ISO/IEC 27001:2022 [1] and the NIST Cybersecurity Framework 2.0 [2].</w:t>
      </w:r>
    </w:p>
    <w:p w14:paraId="79E4D88A" w14:textId="77777777" w:rsidR="0051439B" w:rsidRDefault="0051439B" w:rsidP="0051439B">
      <w:pPr>
        <w:pStyle w:val="Heading1"/>
        <w:spacing w:before="380" w:after="180"/>
      </w:pPr>
      <w:bookmarkStart w:id="2" w:name="_Toc237436411"/>
      <w:r>
        <w:rPr>
          <w:color w:val="1F3864"/>
          <w:sz w:val="28"/>
          <w:szCs w:val="28"/>
        </w:rPr>
        <w:t>2. Identification of Threats</w:t>
      </w:r>
      <w:bookmarkEnd w:id="2"/>
    </w:p>
    <w:p w14:paraId="5B542044" w14:textId="77777777" w:rsidR="0051439B" w:rsidRDefault="0051439B" w:rsidP="0051439B">
      <w:pPr>
        <w:spacing w:after="200" w:line="300" w:lineRule="auto"/>
        <w:jc w:val="both"/>
      </w:pPr>
      <w:r>
        <w:t>Threats to SFM's operational and information systems fall into two broad categories, summarised in Figure 1 and mapped against the confidentiality, integrity and availability of its data and production systems.</w:t>
      </w:r>
    </w:p>
    <w:p w14:paraId="4566AD8A" w14:textId="77777777" w:rsidR="0051439B" w:rsidRDefault="0051439B" w:rsidP="0051439B">
      <w:pPr>
        <w:pStyle w:val="Heading2"/>
        <w:spacing w:before="260" w:after="140"/>
      </w:pPr>
      <w:bookmarkStart w:id="3" w:name="_Toc237436412"/>
      <w:r>
        <w:rPr>
          <w:b/>
          <w:color w:val="2E5B8A"/>
          <w:sz w:val="24"/>
          <w:szCs w:val="24"/>
        </w:rPr>
        <w:t>2.1 Internal Threats</w:t>
      </w:r>
      <w:bookmarkEnd w:id="3"/>
    </w:p>
    <w:p w14:paraId="0F1C6300" w14:textId="77777777" w:rsidR="0051439B" w:rsidRDefault="0051439B" w:rsidP="0051439B">
      <w:pPr>
        <w:pStyle w:val="ListParagraph"/>
        <w:numPr>
          <w:ilvl w:val="0"/>
          <w:numId w:val="2"/>
        </w:numPr>
        <w:spacing w:after="120" w:line="290" w:lineRule="auto"/>
        <w:contextualSpacing w:val="0"/>
        <w:jc w:val="both"/>
      </w:pPr>
      <w:r>
        <w:t>Phishing susceptibility among procurement staff, who routinely exchange invoices and purchase orders with external suppliers and are therefore prime targets for business email compromise.</w:t>
      </w:r>
    </w:p>
    <w:p w14:paraId="4F0E9EA3" w14:textId="77777777" w:rsidR="0051439B" w:rsidRDefault="0051439B" w:rsidP="0051439B">
      <w:pPr>
        <w:pStyle w:val="ListParagraph"/>
        <w:numPr>
          <w:ilvl w:val="0"/>
          <w:numId w:val="2"/>
        </w:numPr>
        <w:spacing w:after="120" w:line="290" w:lineRule="auto"/>
        <w:contextualSpacing w:val="0"/>
        <w:jc w:val="both"/>
      </w:pPr>
      <w:r>
        <w:t>Insider misuse or accidental exposure of design and customer data by employees with excessive or poorly reviewed access rights.</w:t>
      </w:r>
    </w:p>
    <w:p w14:paraId="7EE8B06C" w14:textId="77777777" w:rsidR="0051439B" w:rsidRDefault="0051439B" w:rsidP="0051439B">
      <w:pPr>
        <w:pStyle w:val="ListParagraph"/>
        <w:numPr>
          <w:ilvl w:val="0"/>
          <w:numId w:val="2"/>
        </w:numPr>
        <w:spacing w:after="120" w:line="290" w:lineRule="auto"/>
        <w:contextualSpacing w:val="0"/>
        <w:jc w:val="both"/>
      </w:pPr>
      <w:r>
        <w:t>Weak or shared credentials and a lack of multi-factor authentication on internal systems, increasing the impact of any single compromised account.</w:t>
      </w:r>
    </w:p>
    <w:p w14:paraId="3FC51DF0" w14:textId="77777777" w:rsidR="0051439B" w:rsidRDefault="0051439B" w:rsidP="0051439B">
      <w:pPr>
        <w:pStyle w:val="ListParagraph"/>
        <w:numPr>
          <w:ilvl w:val="0"/>
          <w:numId w:val="2"/>
        </w:numPr>
        <w:spacing w:after="120" w:line="290" w:lineRule="auto"/>
        <w:contextualSpacing w:val="0"/>
        <w:jc w:val="both"/>
      </w:pPr>
      <w:r>
        <w:t>Unpatched legacy operational technology (OT), including older automated machinery that cannot easily be updated without halting production.</w:t>
      </w:r>
    </w:p>
    <w:p w14:paraId="081A6006" w14:textId="77777777" w:rsidR="0051439B" w:rsidRDefault="0051439B" w:rsidP="0051439B">
      <w:pPr>
        <w:pStyle w:val="Heading2"/>
        <w:spacing w:before="260" w:after="140"/>
      </w:pPr>
      <w:bookmarkStart w:id="4" w:name="_Toc237436413"/>
      <w:r>
        <w:rPr>
          <w:b/>
          <w:color w:val="2E5B8A"/>
          <w:sz w:val="24"/>
          <w:szCs w:val="24"/>
        </w:rPr>
        <w:t>2.2 External Threats</w:t>
      </w:r>
      <w:bookmarkEnd w:id="4"/>
    </w:p>
    <w:p w14:paraId="76E285DE" w14:textId="77777777" w:rsidR="0051439B" w:rsidRDefault="0051439B" w:rsidP="0051439B">
      <w:pPr>
        <w:pStyle w:val="ListParagraph"/>
        <w:numPr>
          <w:ilvl w:val="0"/>
          <w:numId w:val="2"/>
        </w:numPr>
        <w:spacing w:after="120" w:line="290" w:lineRule="auto"/>
        <w:contextualSpacing w:val="0"/>
        <w:jc w:val="both"/>
      </w:pPr>
      <w:r>
        <w:t>Ransomware targeting industrial control systems, illustrated by the 2019 LockerGoga attack on aluminium manufacturer Norsk Hydro, which forced a switch to manual production across 40 countries and cost an estimated $71 million to remediate [3].</w:t>
      </w:r>
    </w:p>
    <w:p w14:paraId="6B367E9F" w14:textId="77777777" w:rsidR="0051439B" w:rsidRDefault="0051439B" w:rsidP="0051439B">
      <w:pPr>
        <w:pStyle w:val="ListParagraph"/>
        <w:numPr>
          <w:ilvl w:val="0"/>
          <w:numId w:val="2"/>
        </w:numPr>
        <w:spacing w:after="120" w:line="290" w:lineRule="auto"/>
        <w:contextualSpacing w:val="0"/>
        <w:jc w:val="both"/>
      </w:pPr>
      <w:r>
        <w:t>Supply-chain and third-party compromise: Verizon [4] found that manufacturing breaches are dominated by System Intrusion and Social Engineering, with 73% of manufacturing sector breaches originating from external actors.</w:t>
      </w:r>
    </w:p>
    <w:p w14:paraId="24A48609" w14:textId="77777777" w:rsidR="0051439B" w:rsidRDefault="0051439B" w:rsidP="0051439B">
      <w:pPr>
        <w:pStyle w:val="ListParagraph"/>
        <w:numPr>
          <w:ilvl w:val="0"/>
          <w:numId w:val="2"/>
        </w:numPr>
        <w:spacing w:after="120" w:line="290" w:lineRule="auto"/>
        <w:contextualSpacing w:val="0"/>
        <w:jc w:val="both"/>
      </w:pPr>
      <w:r>
        <w:t>Industrial espionage motivated by SFM's automotive and aerospace component designs; ENISA [5] reports a near sixfold rise in espionage-motivated breaches against the manufacturing sector.</w:t>
      </w:r>
    </w:p>
    <w:p w14:paraId="56B6CCE0" w14:textId="77777777" w:rsidR="0051439B" w:rsidRDefault="0051439B" w:rsidP="0051439B">
      <w:pPr>
        <w:pStyle w:val="ListParagraph"/>
        <w:numPr>
          <w:ilvl w:val="0"/>
          <w:numId w:val="2"/>
        </w:numPr>
        <w:spacing w:after="120" w:line="290" w:lineRule="auto"/>
        <w:contextualSpacing w:val="0"/>
        <w:jc w:val="both"/>
      </w:pPr>
      <w:r>
        <w:t>Exploitation of unsecured IoT sensors and remote-access points, often via default or unpatched credentials, providing a route into the production network.</w:t>
      </w:r>
    </w:p>
    <w:p w14:paraId="3DDEA3C3" w14:textId="77777777" w:rsidR="0051439B" w:rsidRDefault="0051439B" w:rsidP="0051439B">
      <w:pPr>
        <w:spacing w:before="200" w:after="40"/>
        <w:jc w:val="center"/>
      </w:pPr>
      <w:r>
        <w:rPr>
          <w:noProof/>
        </w:rPr>
        <w:lastRenderedPageBreak/>
        <w:drawing>
          <wp:inline distT="0" distB="0" distL="0" distR="0" wp14:anchorId="021758CA" wp14:editId="0F97CF5B">
            <wp:extent cx="5033998" cy="2597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7"/>
                    <a:srcRect b="11752"/>
                    <a:stretch>
                      <a:fillRect/>
                    </a:stretch>
                  </pic:blipFill>
                  <pic:spPr bwMode="auto">
                    <a:xfrm>
                      <a:off x="0" y="0"/>
                      <a:ext cx="5064184" cy="2612724"/>
                    </a:xfrm>
                    <a:prstGeom prst="rect">
                      <a:avLst/>
                    </a:prstGeom>
                    <a:ln>
                      <a:noFill/>
                    </a:ln>
                    <a:extLst>
                      <a:ext uri="{53640926-AAD7-44D8-BBD7-CCE9431645EC}">
                        <a14:shadowObscured xmlns:a14="http://schemas.microsoft.com/office/drawing/2010/main"/>
                      </a:ext>
                    </a:extLst>
                  </pic:spPr>
                </pic:pic>
              </a:graphicData>
            </a:graphic>
          </wp:inline>
        </w:drawing>
      </w:r>
    </w:p>
    <w:p w14:paraId="213D4962" w14:textId="77777777" w:rsidR="0051439B" w:rsidRDefault="0051439B" w:rsidP="0051439B">
      <w:pPr>
        <w:spacing w:before="100" w:after="320"/>
        <w:jc w:val="center"/>
      </w:pPr>
      <w:r>
        <w:rPr>
          <w:i/>
          <w:iCs/>
          <w:color w:val="444444"/>
          <w:sz w:val="19"/>
          <w:szCs w:val="19"/>
        </w:rPr>
        <w:t>Figure 1. Internal and external threats facing SFM, mapped against the CIA triad.</w:t>
      </w:r>
    </w:p>
    <w:p w14:paraId="4734EA66" w14:textId="77777777" w:rsidR="0051439B" w:rsidRDefault="0051439B" w:rsidP="0051439B">
      <w:pPr>
        <w:pStyle w:val="Heading1"/>
        <w:spacing w:before="380" w:after="180"/>
      </w:pPr>
      <w:bookmarkStart w:id="5" w:name="_Toc237436414"/>
      <w:r>
        <w:rPr>
          <w:color w:val="1F3864"/>
          <w:sz w:val="28"/>
          <w:szCs w:val="28"/>
        </w:rPr>
        <w:t>3. Security Policies</w:t>
      </w:r>
      <w:bookmarkEnd w:id="5"/>
    </w:p>
    <w:p w14:paraId="541134ED" w14:textId="77777777" w:rsidR="0051439B" w:rsidRDefault="0051439B" w:rsidP="0051439B">
      <w:pPr>
        <w:spacing w:after="200" w:line="300" w:lineRule="auto"/>
        <w:jc w:val="both"/>
      </w:pPr>
      <w:r>
        <w:t>The following policies (Table 1) are recommended to give SFM a structured, auditable basis for protecting its systems and data, aligned with ISO/IEC 27001:2022 [1], the NIST Cybersecurity Framework 2.0 [2] and, where personal or customer data is processed, GDPR principles [6].</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3600"/>
        <w:gridCol w:w="3300"/>
      </w:tblGrid>
      <w:tr w:rsidR="0051439B" w14:paraId="39BF999F" w14:textId="77777777" w:rsidTr="00274C3A">
        <w:trPr>
          <w:tblHeader/>
        </w:trPr>
        <w:tc>
          <w:tcPr>
            <w:tcW w:w="2600" w:type="dxa"/>
            <w:shd w:val="clear" w:color="auto" w:fill="1F3864"/>
            <w:tcMar>
              <w:top w:w="100" w:type="dxa"/>
              <w:left w:w="120" w:type="dxa"/>
              <w:bottom w:w="100" w:type="dxa"/>
              <w:right w:w="120" w:type="dxa"/>
            </w:tcMar>
          </w:tcPr>
          <w:p w14:paraId="33285B30" w14:textId="77777777" w:rsidR="0051439B" w:rsidRDefault="0051439B" w:rsidP="009C7CB6">
            <w:pPr>
              <w:jc w:val="center"/>
            </w:pPr>
            <w:r>
              <w:rPr>
                <w:b/>
                <w:bCs/>
                <w:color w:val="FFFFFF"/>
                <w:sz w:val="19"/>
                <w:szCs w:val="19"/>
              </w:rPr>
              <w:t>Policy</w:t>
            </w:r>
          </w:p>
        </w:tc>
        <w:tc>
          <w:tcPr>
            <w:tcW w:w="3600" w:type="dxa"/>
            <w:shd w:val="clear" w:color="auto" w:fill="1F3864"/>
            <w:tcMar>
              <w:top w:w="100" w:type="dxa"/>
              <w:left w:w="120" w:type="dxa"/>
              <w:bottom w:w="100" w:type="dxa"/>
              <w:right w:w="120" w:type="dxa"/>
            </w:tcMar>
          </w:tcPr>
          <w:p w14:paraId="2E3F1A47" w14:textId="77777777" w:rsidR="0051439B" w:rsidRDefault="0051439B" w:rsidP="009C7CB6">
            <w:pPr>
              <w:jc w:val="center"/>
            </w:pPr>
            <w:r>
              <w:rPr>
                <w:b/>
                <w:bCs/>
                <w:color w:val="FFFFFF"/>
                <w:sz w:val="19"/>
                <w:szCs w:val="19"/>
              </w:rPr>
              <w:t>Purpose</w:t>
            </w:r>
          </w:p>
        </w:tc>
        <w:tc>
          <w:tcPr>
            <w:tcW w:w="3300" w:type="dxa"/>
            <w:shd w:val="clear" w:color="auto" w:fill="1F3864"/>
            <w:tcMar>
              <w:top w:w="100" w:type="dxa"/>
              <w:left w:w="120" w:type="dxa"/>
              <w:bottom w:w="100" w:type="dxa"/>
              <w:right w:w="120" w:type="dxa"/>
            </w:tcMar>
          </w:tcPr>
          <w:p w14:paraId="45DFE777" w14:textId="77777777" w:rsidR="0051439B" w:rsidRDefault="0051439B" w:rsidP="009C7CB6">
            <w:pPr>
              <w:jc w:val="center"/>
            </w:pPr>
            <w:r>
              <w:rPr>
                <w:b/>
                <w:bCs/>
                <w:color w:val="FFFFFF"/>
                <w:sz w:val="19"/>
                <w:szCs w:val="19"/>
              </w:rPr>
              <w:t>Framework alignment</w:t>
            </w:r>
          </w:p>
        </w:tc>
      </w:tr>
      <w:tr w:rsidR="0051439B" w14:paraId="3039492E" w14:textId="77777777" w:rsidTr="00274C3A">
        <w:tc>
          <w:tcPr>
            <w:tcW w:w="2600" w:type="dxa"/>
            <w:shd w:val="clear" w:color="auto" w:fill="EAF2FB"/>
            <w:tcMar>
              <w:top w:w="100" w:type="dxa"/>
              <w:left w:w="120" w:type="dxa"/>
              <w:bottom w:w="100" w:type="dxa"/>
              <w:right w:w="120" w:type="dxa"/>
            </w:tcMar>
          </w:tcPr>
          <w:p w14:paraId="067536FE" w14:textId="77777777" w:rsidR="0051439B" w:rsidRDefault="0051439B" w:rsidP="00274C3A">
            <w:r>
              <w:rPr>
                <w:color w:val="1A1A1A"/>
                <w:sz w:val="19"/>
                <w:szCs w:val="19"/>
              </w:rPr>
              <w:t>Access Control Policy</w:t>
            </w:r>
          </w:p>
        </w:tc>
        <w:tc>
          <w:tcPr>
            <w:tcW w:w="3600" w:type="dxa"/>
            <w:shd w:val="clear" w:color="auto" w:fill="EAF2FB"/>
            <w:tcMar>
              <w:top w:w="100" w:type="dxa"/>
              <w:left w:w="120" w:type="dxa"/>
              <w:bottom w:w="100" w:type="dxa"/>
              <w:right w:w="120" w:type="dxa"/>
            </w:tcMar>
          </w:tcPr>
          <w:p w14:paraId="59CB53A9" w14:textId="77777777" w:rsidR="0051439B" w:rsidRDefault="0051439B" w:rsidP="00274C3A">
            <w:r>
              <w:rPr>
                <w:color w:val="1A1A1A"/>
                <w:sz w:val="19"/>
                <w:szCs w:val="19"/>
              </w:rPr>
              <w:t>Enforces least privilege, role-based access and mandatory MFA for all remote and administrative access.</w:t>
            </w:r>
          </w:p>
        </w:tc>
        <w:tc>
          <w:tcPr>
            <w:tcW w:w="3300" w:type="dxa"/>
            <w:shd w:val="clear" w:color="auto" w:fill="EAF2FB"/>
            <w:tcMar>
              <w:top w:w="100" w:type="dxa"/>
              <w:left w:w="120" w:type="dxa"/>
              <w:bottom w:w="100" w:type="dxa"/>
              <w:right w:w="120" w:type="dxa"/>
            </w:tcMar>
          </w:tcPr>
          <w:p w14:paraId="68556CBC" w14:textId="77777777" w:rsidR="0051439B" w:rsidRDefault="0051439B" w:rsidP="00274C3A">
            <w:r>
              <w:rPr>
                <w:color w:val="1A1A1A"/>
                <w:sz w:val="19"/>
                <w:szCs w:val="19"/>
              </w:rPr>
              <w:t>ISO/IEC 27001:2022 [1], Annex A.5, A.8</w:t>
            </w:r>
          </w:p>
        </w:tc>
      </w:tr>
      <w:tr w:rsidR="0051439B" w14:paraId="159E771C" w14:textId="77777777" w:rsidTr="00274C3A">
        <w:tc>
          <w:tcPr>
            <w:tcW w:w="2600" w:type="dxa"/>
            <w:shd w:val="clear" w:color="auto" w:fill="FFFFFF"/>
            <w:tcMar>
              <w:top w:w="100" w:type="dxa"/>
              <w:left w:w="120" w:type="dxa"/>
              <w:bottom w:w="100" w:type="dxa"/>
              <w:right w:w="120" w:type="dxa"/>
            </w:tcMar>
          </w:tcPr>
          <w:p w14:paraId="20B93E3B" w14:textId="77777777" w:rsidR="0051439B" w:rsidRDefault="0051439B" w:rsidP="00274C3A">
            <w:r>
              <w:rPr>
                <w:color w:val="1A1A1A"/>
                <w:sz w:val="19"/>
                <w:szCs w:val="19"/>
              </w:rPr>
              <w:t>Network Segmentation Policy</w:t>
            </w:r>
          </w:p>
        </w:tc>
        <w:tc>
          <w:tcPr>
            <w:tcW w:w="3600" w:type="dxa"/>
            <w:shd w:val="clear" w:color="auto" w:fill="FFFFFF"/>
            <w:tcMar>
              <w:top w:w="100" w:type="dxa"/>
              <w:left w:w="120" w:type="dxa"/>
              <w:bottom w:w="100" w:type="dxa"/>
              <w:right w:w="120" w:type="dxa"/>
            </w:tcMar>
          </w:tcPr>
          <w:p w14:paraId="7D953313" w14:textId="77777777" w:rsidR="0051439B" w:rsidRDefault="0051439B" w:rsidP="00274C3A">
            <w:r>
              <w:rPr>
                <w:color w:val="1A1A1A"/>
                <w:sz w:val="19"/>
                <w:szCs w:val="19"/>
              </w:rPr>
              <w:t>Separates corporate IT from production OT networks via firewalls and a demilitarised zone (DMZ).</w:t>
            </w:r>
          </w:p>
        </w:tc>
        <w:tc>
          <w:tcPr>
            <w:tcW w:w="3300" w:type="dxa"/>
            <w:shd w:val="clear" w:color="auto" w:fill="FFFFFF"/>
            <w:tcMar>
              <w:top w:w="100" w:type="dxa"/>
              <w:left w:w="120" w:type="dxa"/>
              <w:bottom w:w="100" w:type="dxa"/>
              <w:right w:w="120" w:type="dxa"/>
            </w:tcMar>
          </w:tcPr>
          <w:p w14:paraId="5FD55158" w14:textId="77777777" w:rsidR="0051439B" w:rsidRDefault="0051439B" w:rsidP="00274C3A">
            <w:r>
              <w:rPr>
                <w:color w:val="1A1A1A"/>
                <w:sz w:val="19"/>
                <w:szCs w:val="19"/>
              </w:rPr>
              <w:t>NIST CSF 2.0 [2] – Protect</w:t>
            </w:r>
          </w:p>
        </w:tc>
      </w:tr>
      <w:tr w:rsidR="0051439B" w14:paraId="4C66D40A" w14:textId="77777777" w:rsidTr="00274C3A">
        <w:tc>
          <w:tcPr>
            <w:tcW w:w="2600" w:type="dxa"/>
            <w:shd w:val="clear" w:color="auto" w:fill="EAF2FB"/>
            <w:tcMar>
              <w:top w:w="100" w:type="dxa"/>
              <w:left w:w="120" w:type="dxa"/>
              <w:bottom w:w="100" w:type="dxa"/>
              <w:right w:w="120" w:type="dxa"/>
            </w:tcMar>
          </w:tcPr>
          <w:p w14:paraId="7B4C345A" w14:textId="77777777" w:rsidR="0051439B" w:rsidRDefault="0051439B" w:rsidP="00274C3A">
            <w:r>
              <w:rPr>
                <w:color w:val="1A1A1A"/>
                <w:sz w:val="19"/>
                <w:szCs w:val="19"/>
              </w:rPr>
              <w:t>Data Governance Policy</w:t>
            </w:r>
          </w:p>
        </w:tc>
        <w:tc>
          <w:tcPr>
            <w:tcW w:w="3600" w:type="dxa"/>
            <w:shd w:val="clear" w:color="auto" w:fill="EAF2FB"/>
            <w:tcMar>
              <w:top w:w="100" w:type="dxa"/>
              <w:left w:w="120" w:type="dxa"/>
              <w:bottom w:w="100" w:type="dxa"/>
              <w:right w:w="120" w:type="dxa"/>
            </w:tcMar>
          </w:tcPr>
          <w:p w14:paraId="35814FF7" w14:textId="77777777" w:rsidR="0051439B" w:rsidRDefault="0051439B" w:rsidP="00274C3A">
            <w:r>
              <w:rPr>
                <w:color w:val="1A1A1A"/>
                <w:sz w:val="19"/>
                <w:szCs w:val="19"/>
              </w:rPr>
              <w:t>Classifies data by sensitivity and mandates encryption in transit and at rest for design and customer data.</w:t>
            </w:r>
          </w:p>
        </w:tc>
        <w:tc>
          <w:tcPr>
            <w:tcW w:w="3300" w:type="dxa"/>
            <w:shd w:val="clear" w:color="auto" w:fill="EAF2FB"/>
            <w:tcMar>
              <w:top w:w="100" w:type="dxa"/>
              <w:left w:w="120" w:type="dxa"/>
              <w:bottom w:w="100" w:type="dxa"/>
              <w:right w:w="120" w:type="dxa"/>
            </w:tcMar>
          </w:tcPr>
          <w:p w14:paraId="3CE58688" w14:textId="77777777" w:rsidR="0051439B" w:rsidRDefault="0051439B" w:rsidP="00274C3A">
            <w:r>
              <w:rPr>
                <w:color w:val="1A1A1A"/>
                <w:sz w:val="19"/>
                <w:szCs w:val="19"/>
              </w:rPr>
              <w:t>ISO/IEC 27001:2022 [1], Annex A.8; UK/EU GDPR [6]</w:t>
            </w:r>
          </w:p>
        </w:tc>
      </w:tr>
      <w:tr w:rsidR="0051439B" w14:paraId="43C2FEB5" w14:textId="77777777" w:rsidTr="00274C3A">
        <w:tc>
          <w:tcPr>
            <w:tcW w:w="2600" w:type="dxa"/>
            <w:shd w:val="clear" w:color="auto" w:fill="FFFFFF"/>
            <w:tcMar>
              <w:top w:w="100" w:type="dxa"/>
              <w:left w:w="120" w:type="dxa"/>
              <w:bottom w:w="100" w:type="dxa"/>
              <w:right w:w="120" w:type="dxa"/>
            </w:tcMar>
          </w:tcPr>
          <w:p w14:paraId="1FE16C29" w14:textId="77777777" w:rsidR="0051439B" w:rsidRDefault="0051439B" w:rsidP="00274C3A">
            <w:r>
              <w:rPr>
                <w:color w:val="1A1A1A"/>
                <w:sz w:val="19"/>
                <w:szCs w:val="19"/>
              </w:rPr>
              <w:t>Vendor &amp; Supply Chain Policy</w:t>
            </w:r>
          </w:p>
        </w:tc>
        <w:tc>
          <w:tcPr>
            <w:tcW w:w="3600" w:type="dxa"/>
            <w:shd w:val="clear" w:color="auto" w:fill="FFFFFF"/>
            <w:tcMar>
              <w:top w:w="100" w:type="dxa"/>
              <w:left w:w="120" w:type="dxa"/>
              <w:bottom w:w="100" w:type="dxa"/>
              <w:right w:w="120" w:type="dxa"/>
            </w:tcMar>
          </w:tcPr>
          <w:p w14:paraId="25FF2348" w14:textId="77777777" w:rsidR="0051439B" w:rsidRDefault="0051439B" w:rsidP="00274C3A">
            <w:r>
              <w:rPr>
                <w:color w:val="1A1A1A"/>
                <w:sz w:val="19"/>
                <w:szCs w:val="19"/>
              </w:rPr>
              <w:t>Requires security due diligence and contractual controls before third parties are granted network access.</w:t>
            </w:r>
          </w:p>
        </w:tc>
        <w:tc>
          <w:tcPr>
            <w:tcW w:w="3300" w:type="dxa"/>
            <w:shd w:val="clear" w:color="auto" w:fill="FFFFFF"/>
            <w:tcMar>
              <w:top w:w="100" w:type="dxa"/>
              <w:left w:w="120" w:type="dxa"/>
              <w:bottom w:w="100" w:type="dxa"/>
              <w:right w:w="120" w:type="dxa"/>
            </w:tcMar>
          </w:tcPr>
          <w:p w14:paraId="47F95873" w14:textId="77777777" w:rsidR="0051439B" w:rsidRDefault="0051439B" w:rsidP="00274C3A">
            <w:r>
              <w:rPr>
                <w:color w:val="1A1A1A"/>
                <w:sz w:val="19"/>
                <w:szCs w:val="19"/>
              </w:rPr>
              <w:t>NIST CSF 2.0 [2] – Govern (supply chain)</w:t>
            </w:r>
          </w:p>
        </w:tc>
      </w:tr>
      <w:tr w:rsidR="0051439B" w14:paraId="18C59443" w14:textId="77777777" w:rsidTr="00274C3A">
        <w:tc>
          <w:tcPr>
            <w:tcW w:w="2600" w:type="dxa"/>
            <w:shd w:val="clear" w:color="auto" w:fill="EAF2FB"/>
            <w:tcMar>
              <w:top w:w="100" w:type="dxa"/>
              <w:left w:w="120" w:type="dxa"/>
              <w:bottom w:w="100" w:type="dxa"/>
              <w:right w:w="120" w:type="dxa"/>
            </w:tcMar>
          </w:tcPr>
          <w:p w14:paraId="2AB231CF" w14:textId="77777777" w:rsidR="0051439B" w:rsidRDefault="0051439B" w:rsidP="00274C3A">
            <w:r>
              <w:rPr>
                <w:color w:val="1A1A1A"/>
                <w:sz w:val="19"/>
                <w:szCs w:val="19"/>
              </w:rPr>
              <w:t>Patch &amp; Vulnerability Management Policy</w:t>
            </w:r>
          </w:p>
        </w:tc>
        <w:tc>
          <w:tcPr>
            <w:tcW w:w="3600" w:type="dxa"/>
            <w:shd w:val="clear" w:color="auto" w:fill="EAF2FB"/>
            <w:tcMar>
              <w:top w:w="100" w:type="dxa"/>
              <w:left w:w="120" w:type="dxa"/>
              <w:bottom w:w="100" w:type="dxa"/>
              <w:right w:w="120" w:type="dxa"/>
            </w:tcMar>
          </w:tcPr>
          <w:p w14:paraId="112D93B1" w14:textId="77777777" w:rsidR="0051439B" w:rsidRDefault="0051439B" w:rsidP="00274C3A">
            <w:r>
              <w:rPr>
                <w:color w:val="1A1A1A"/>
                <w:sz w:val="19"/>
                <w:szCs w:val="19"/>
              </w:rPr>
              <w:t>Sets patching cadence for IT systems and compensating controls for legacy OT devices that cannot be patched.</w:t>
            </w:r>
          </w:p>
        </w:tc>
        <w:tc>
          <w:tcPr>
            <w:tcW w:w="3300" w:type="dxa"/>
            <w:shd w:val="clear" w:color="auto" w:fill="EAF2FB"/>
            <w:tcMar>
              <w:top w:w="100" w:type="dxa"/>
              <w:left w:w="120" w:type="dxa"/>
              <w:bottom w:w="100" w:type="dxa"/>
              <w:right w:w="120" w:type="dxa"/>
            </w:tcMar>
          </w:tcPr>
          <w:p w14:paraId="1C879757" w14:textId="77777777" w:rsidR="0051439B" w:rsidRDefault="0051439B" w:rsidP="00274C3A">
            <w:r>
              <w:rPr>
                <w:color w:val="1A1A1A"/>
                <w:sz w:val="19"/>
                <w:szCs w:val="19"/>
              </w:rPr>
              <w:t>NIST CSF 2.0 [2] – Protect, Identify</w:t>
            </w:r>
          </w:p>
        </w:tc>
      </w:tr>
      <w:tr w:rsidR="0051439B" w14:paraId="0CF0C2C5" w14:textId="77777777" w:rsidTr="00274C3A">
        <w:tc>
          <w:tcPr>
            <w:tcW w:w="2600" w:type="dxa"/>
            <w:shd w:val="clear" w:color="auto" w:fill="FFFFFF"/>
            <w:tcMar>
              <w:top w:w="100" w:type="dxa"/>
              <w:left w:w="120" w:type="dxa"/>
              <w:bottom w:w="100" w:type="dxa"/>
              <w:right w:w="120" w:type="dxa"/>
            </w:tcMar>
          </w:tcPr>
          <w:p w14:paraId="6ED595E5" w14:textId="77777777" w:rsidR="0051439B" w:rsidRDefault="0051439B" w:rsidP="00274C3A">
            <w:r>
              <w:rPr>
                <w:color w:val="1A1A1A"/>
                <w:sz w:val="19"/>
                <w:szCs w:val="19"/>
              </w:rPr>
              <w:t>Acceptable Use &amp; Email Security Policy</w:t>
            </w:r>
          </w:p>
        </w:tc>
        <w:tc>
          <w:tcPr>
            <w:tcW w:w="3600" w:type="dxa"/>
            <w:shd w:val="clear" w:color="auto" w:fill="FFFFFF"/>
            <w:tcMar>
              <w:top w:w="100" w:type="dxa"/>
              <w:left w:w="120" w:type="dxa"/>
              <w:bottom w:w="100" w:type="dxa"/>
              <w:right w:w="120" w:type="dxa"/>
            </w:tcMar>
          </w:tcPr>
          <w:p w14:paraId="12E45DF1" w14:textId="77777777" w:rsidR="0051439B" w:rsidRDefault="0051439B" w:rsidP="00274C3A">
            <w:r>
              <w:rPr>
                <w:color w:val="1A1A1A"/>
                <w:sz w:val="19"/>
                <w:szCs w:val="19"/>
              </w:rPr>
              <w:t>Defines safe use of company systems and mandates anti-phishing controls (SPF/DKIM/DMARC, attachment sandboxing).</w:t>
            </w:r>
          </w:p>
        </w:tc>
        <w:tc>
          <w:tcPr>
            <w:tcW w:w="3300" w:type="dxa"/>
            <w:shd w:val="clear" w:color="auto" w:fill="FFFFFF"/>
            <w:tcMar>
              <w:top w:w="100" w:type="dxa"/>
              <w:left w:w="120" w:type="dxa"/>
              <w:bottom w:w="100" w:type="dxa"/>
              <w:right w:w="120" w:type="dxa"/>
            </w:tcMar>
          </w:tcPr>
          <w:p w14:paraId="5DF4A1D1" w14:textId="77777777" w:rsidR="0051439B" w:rsidRDefault="0051439B" w:rsidP="00274C3A">
            <w:r>
              <w:rPr>
                <w:color w:val="1A1A1A"/>
                <w:sz w:val="19"/>
                <w:szCs w:val="19"/>
              </w:rPr>
              <w:t>ISO/IEC 27001:2022 [1], Annex A.5</w:t>
            </w:r>
          </w:p>
        </w:tc>
      </w:tr>
      <w:tr w:rsidR="0051439B" w14:paraId="5B38DFC1" w14:textId="77777777" w:rsidTr="00274C3A">
        <w:tc>
          <w:tcPr>
            <w:tcW w:w="2600" w:type="dxa"/>
            <w:shd w:val="clear" w:color="auto" w:fill="EAF2FB"/>
            <w:tcMar>
              <w:top w:w="100" w:type="dxa"/>
              <w:left w:w="120" w:type="dxa"/>
              <w:bottom w:w="100" w:type="dxa"/>
              <w:right w:w="120" w:type="dxa"/>
            </w:tcMar>
          </w:tcPr>
          <w:p w14:paraId="0B6CAC01" w14:textId="77777777" w:rsidR="0051439B" w:rsidRDefault="0051439B" w:rsidP="00274C3A">
            <w:r>
              <w:rPr>
                <w:color w:val="1A1A1A"/>
                <w:sz w:val="19"/>
                <w:szCs w:val="19"/>
              </w:rPr>
              <w:t>Incident Response Policy</w:t>
            </w:r>
          </w:p>
        </w:tc>
        <w:tc>
          <w:tcPr>
            <w:tcW w:w="3600" w:type="dxa"/>
            <w:shd w:val="clear" w:color="auto" w:fill="EAF2FB"/>
            <w:tcMar>
              <w:top w:w="100" w:type="dxa"/>
              <w:left w:w="120" w:type="dxa"/>
              <w:bottom w:w="100" w:type="dxa"/>
              <w:right w:w="120" w:type="dxa"/>
            </w:tcMar>
          </w:tcPr>
          <w:p w14:paraId="630F4AD3" w14:textId="77777777" w:rsidR="0051439B" w:rsidRDefault="0051439B" w:rsidP="00274C3A">
            <w:r>
              <w:rPr>
                <w:color w:val="1A1A1A"/>
                <w:sz w:val="19"/>
                <w:szCs w:val="19"/>
              </w:rPr>
              <w:t>Defines roles, escalation paths and reporting timelines for suspected or confirmed security incidents.</w:t>
            </w:r>
          </w:p>
        </w:tc>
        <w:tc>
          <w:tcPr>
            <w:tcW w:w="3300" w:type="dxa"/>
            <w:shd w:val="clear" w:color="auto" w:fill="EAF2FB"/>
            <w:tcMar>
              <w:top w:w="100" w:type="dxa"/>
              <w:left w:w="120" w:type="dxa"/>
              <w:bottom w:w="100" w:type="dxa"/>
              <w:right w:w="120" w:type="dxa"/>
            </w:tcMar>
          </w:tcPr>
          <w:p w14:paraId="5CB65DC9" w14:textId="77777777" w:rsidR="0051439B" w:rsidRDefault="0051439B" w:rsidP="00274C3A">
            <w:r>
              <w:rPr>
                <w:color w:val="1A1A1A"/>
                <w:sz w:val="19"/>
                <w:szCs w:val="19"/>
              </w:rPr>
              <w:t>NIST SP 800-61 Rev. 2 [7]</w:t>
            </w:r>
          </w:p>
        </w:tc>
      </w:tr>
    </w:tbl>
    <w:p w14:paraId="2B6738FC" w14:textId="77777777" w:rsidR="0051439B" w:rsidRDefault="0051439B" w:rsidP="0051439B">
      <w:pPr>
        <w:spacing w:before="100" w:after="320"/>
        <w:jc w:val="center"/>
      </w:pPr>
      <w:r>
        <w:rPr>
          <w:i/>
          <w:iCs/>
          <w:color w:val="444444"/>
          <w:sz w:val="19"/>
          <w:szCs w:val="19"/>
        </w:rPr>
        <w:t>Table 1. Proposed security policies and their alignment with recognised standards.</w:t>
      </w:r>
    </w:p>
    <w:p w14:paraId="3201E5CD" w14:textId="77777777" w:rsidR="0051439B" w:rsidRDefault="0051439B" w:rsidP="0051439B">
      <w:pPr>
        <w:spacing w:after="200" w:line="300" w:lineRule="auto"/>
        <w:jc w:val="both"/>
      </w:pPr>
      <w:r>
        <w:lastRenderedPageBreak/>
        <w:t>Together, these policies address the Govern, Identify and Protect functions of the NIST CSF 2.0 [2], giving the board a clear governance structure while leaving the technical detail of implementation to the mitigation measures described in Section 4.</w:t>
      </w:r>
    </w:p>
    <w:p w14:paraId="0DD9C38A" w14:textId="77777777" w:rsidR="0051439B" w:rsidRDefault="0051439B" w:rsidP="0051439B">
      <w:pPr>
        <w:pStyle w:val="Heading1"/>
        <w:spacing w:before="380" w:after="180"/>
      </w:pPr>
      <w:bookmarkStart w:id="6" w:name="_Toc237436415"/>
      <w:r>
        <w:rPr>
          <w:color w:val="1F3864"/>
          <w:sz w:val="28"/>
          <w:szCs w:val="28"/>
        </w:rPr>
        <w:t>4. Mitigation Measures</w:t>
      </w:r>
      <w:bookmarkEnd w:id="6"/>
    </w:p>
    <w:p w14:paraId="762F4558" w14:textId="77777777" w:rsidR="0051439B" w:rsidRDefault="0051439B" w:rsidP="0051439B">
      <w:pPr>
        <w:spacing w:after="200" w:line="300" w:lineRule="auto"/>
        <w:jc w:val="both"/>
      </w:pPr>
      <w:r>
        <w:t>Each policy above is translated into specific, implementable controls.</w:t>
      </w:r>
    </w:p>
    <w:p w14:paraId="0E84345D" w14:textId="77777777" w:rsidR="0051439B" w:rsidRDefault="0051439B" w:rsidP="0051439B">
      <w:pPr>
        <w:pStyle w:val="ListParagraph"/>
        <w:numPr>
          <w:ilvl w:val="0"/>
          <w:numId w:val="2"/>
        </w:numPr>
        <w:spacing w:after="120" w:line="290" w:lineRule="auto"/>
        <w:contextualSpacing w:val="0"/>
        <w:jc w:val="both"/>
      </w:pPr>
      <w:r>
        <w:t>Network segmentation: separate VLANs and firewalls between corporate IT and production OT networks, with a DMZ for any system that must communicate across the boundary, limiting how far ransomware can spread if IT is compromised.</w:t>
      </w:r>
    </w:p>
    <w:p w14:paraId="00D97CC6" w14:textId="77777777" w:rsidR="0051439B" w:rsidRDefault="0051439B" w:rsidP="0051439B">
      <w:pPr>
        <w:pStyle w:val="ListParagraph"/>
        <w:numPr>
          <w:ilvl w:val="0"/>
          <w:numId w:val="2"/>
        </w:numPr>
        <w:spacing w:after="120" w:line="290" w:lineRule="auto"/>
        <w:contextualSpacing w:val="0"/>
        <w:jc w:val="both"/>
      </w:pPr>
      <w:r>
        <w:t>Multi-factor authentication (MFA): enforced on all remote access, cloud production management accounts and privileged administrative accounts.</w:t>
      </w:r>
    </w:p>
    <w:p w14:paraId="3294791E" w14:textId="77777777" w:rsidR="0051439B" w:rsidRDefault="0051439B" w:rsidP="0051439B">
      <w:pPr>
        <w:pStyle w:val="ListParagraph"/>
        <w:numPr>
          <w:ilvl w:val="0"/>
          <w:numId w:val="2"/>
        </w:numPr>
        <w:spacing w:after="120" w:line="290" w:lineRule="auto"/>
        <w:contextualSpacing w:val="0"/>
        <w:jc w:val="both"/>
      </w:pPr>
      <w:r>
        <w:t>Email security gateway: SPF, DKIM and DMARC enforcement plus attachment sandboxing to reduce phishing emails reaching procurement staff.</w:t>
      </w:r>
    </w:p>
    <w:p w14:paraId="04F74ECB" w14:textId="77777777" w:rsidR="0051439B" w:rsidRDefault="0051439B" w:rsidP="0051439B">
      <w:pPr>
        <w:pStyle w:val="ListParagraph"/>
        <w:numPr>
          <w:ilvl w:val="0"/>
          <w:numId w:val="2"/>
        </w:numPr>
        <w:spacing w:after="120" w:line="290" w:lineRule="auto"/>
        <w:contextualSpacing w:val="0"/>
        <w:jc w:val="both"/>
      </w:pPr>
      <w:r>
        <w:t>Endpoint detection and response (EDR) on IT endpoints, paired with passive network-based anomaly detection on OT segments where installing agents on legacy machinery is not feasible.</w:t>
      </w:r>
    </w:p>
    <w:p w14:paraId="1E966706" w14:textId="77777777" w:rsidR="0051439B" w:rsidRDefault="0051439B" w:rsidP="0051439B">
      <w:pPr>
        <w:pStyle w:val="ListParagraph"/>
        <w:numPr>
          <w:ilvl w:val="0"/>
          <w:numId w:val="2"/>
        </w:numPr>
        <w:spacing w:after="120" w:line="290" w:lineRule="auto"/>
        <w:contextualSpacing w:val="0"/>
        <w:jc w:val="both"/>
      </w:pPr>
      <w:r>
        <w:t>Immutable, offline backups following the 3-2-1 rule (three copies, two media types, one off-site/offline), tested quarterly – the single control most credited with Norsk Hydro's recovery without paying ransom [3].</w:t>
      </w:r>
    </w:p>
    <w:p w14:paraId="0AFB25E4" w14:textId="77777777" w:rsidR="0051439B" w:rsidRDefault="0051439B" w:rsidP="0051439B">
      <w:pPr>
        <w:pStyle w:val="ListParagraph"/>
        <w:numPr>
          <w:ilvl w:val="0"/>
          <w:numId w:val="2"/>
        </w:numPr>
        <w:spacing w:after="120" w:line="290" w:lineRule="auto"/>
        <w:contextualSpacing w:val="0"/>
        <w:jc w:val="both"/>
      </w:pPr>
      <w:r>
        <w:t>Vulnerability and patch management, with compensating controls (network isolation, virtual patching) applied to OT devices that cannot be patched directly without production downtime.</w:t>
      </w:r>
    </w:p>
    <w:p w14:paraId="5FE94958" w14:textId="77777777" w:rsidR="0051439B" w:rsidRDefault="0051439B" w:rsidP="0051439B">
      <w:pPr>
        <w:pStyle w:val="ListParagraph"/>
        <w:numPr>
          <w:ilvl w:val="0"/>
          <w:numId w:val="2"/>
        </w:numPr>
        <w:spacing w:after="120" w:line="290" w:lineRule="auto"/>
        <w:contextualSpacing w:val="0"/>
        <w:jc w:val="both"/>
      </w:pPr>
      <w:r>
        <w:t xml:space="preserve">Vendor risk assessments and </w:t>
      </w:r>
      <w:proofErr w:type="gramStart"/>
      <w:r>
        <w:t>minimum security</w:t>
      </w:r>
      <w:proofErr w:type="gramEnd"/>
      <w:r>
        <w:t xml:space="preserve"> clauses in supplier contracts before any third party is granted network access.</w:t>
      </w:r>
    </w:p>
    <w:p w14:paraId="13AFAF4B" w14:textId="77777777" w:rsidR="0051439B" w:rsidRDefault="0051439B" w:rsidP="0051439B">
      <w:pPr>
        <w:pStyle w:val="Heading1"/>
        <w:spacing w:before="380" w:after="180"/>
      </w:pPr>
      <w:bookmarkStart w:id="7" w:name="_Toc237436416"/>
      <w:r>
        <w:rPr>
          <w:color w:val="1F3864"/>
          <w:sz w:val="28"/>
          <w:szCs w:val="28"/>
        </w:rPr>
        <w:t>5. Monitoring and Response</w:t>
      </w:r>
      <w:bookmarkEnd w:id="7"/>
    </w:p>
    <w:p w14:paraId="55E484D8" w14:textId="77777777" w:rsidR="0051439B" w:rsidRDefault="0051439B" w:rsidP="0051439B">
      <w:pPr>
        <w:spacing w:after="200" w:line="300" w:lineRule="auto"/>
        <w:jc w:val="both"/>
      </w:pPr>
      <w:r>
        <w:t>Continuous monitoring should combine a Security Information and Event Management (SIEM) platform aggregating logs from IT and OT segments with passive intrusion detection sensors on the production network, avoiding active scanning that could disrupt sensitive machinery. Given SFM's size, engaging a managed security service provider (MSSP) for 24/7 tier-one alert triage is likely more cost-effective than building an in-house Security Operations Centre.</w:t>
      </w:r>
    </w:p>
    <w:p w14:paraId="3AC93FF1" w14:textId="77777777" w:rsidR="0051439B" w:rsidRDefault="0051439B" w:rsidP="0051439B">
      <w:pPr>
        <w:spacing w:after="200" w:line="300" w:lineRule="auto"/>
        <w:jc w:val="both"/>
      </w:pPr>
      <w:r>
        <w:t>Incident response should follow the four-phase lifecycle defined in NIST SP 800-61 Rev. 2 [7], shown in Figure 2: Preparation, Detection and Analysis, Containment/Eradication/Recovery, and Post-Incident Activity. This is a continuous cycle rather than a linear process – lessons from each incident feed back into preparation for the next.</w:t>
      </w:r>
    </w:p>
    <w:p w14:paraId="55A6C27D" w14:textId="0CFB3E76" w:rsidR="0051439B" w:rsidRDefault="001627D6" w:rsidP="0051439B">
      <w:pPr>
        <w:spacing w:before="200" w:after="40"/>
        <w:jc w:val="center"/>
      </w:pPr>
      <w:r>
        <w:rPr>
          <w:noProof/>
          <w14:ligatures w14:val="standardContextual"/>
        </w:rPr>
        <w:lastRenderedPageBreak/>
        <w:drawing>
          <wp:inline distT="0" distB="0" distL="0" distR="0" wp14:anchorId="1D97F7EE" wp14:editId="777F981B">
            <wp:extent cx="3999889" cy="3674631"/>
            <wp:effectExtent l="0" t="0" r="635" b="2540"/>
            <wp:docPr id="6042101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10116" name="Picture 604210116"/>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21640" cy="3694613"/>
                    </a:xfrm>
                    <a:prstGeom prst="rect">
                      <a:avLst/>
                    </a:prstGeom>
                  </pic:spPr>
                </pic:pic>
              </a:graphicData>
            </a:graphic>
          </wp:inline>
        </w:drawing>
      </w:r>
    </w:p>
    <w:p w14:paraId="79800940" w14:textId="77777777" w:rsidR="0051439B" w:rsidRDefault="0051439B" w:rsidP="0051439B">
      <w:pPr>
        <w:spacing w:before="100" w:after="320"/>
        <w:jc w:val="center"/>
      </w:pPr>
      <w:r>
        <w:rPr>
          <w:i/>
          <w:iCs/>
          <w:color w:val="444444"/>
          <w:sz w:val="19"/>
          <w:szCs w:val="19"/>
        </w:rPr>
        <w:t>Figure 2. Incident response lifecycle for SFM, adapted from NIST SP 800-61 Rev. 2 [7].</w:t>
      </w:r>
    </w:p>
    <w:p w14:paraId="3FEFE645" w14:textId="77777777" w:rsidR="0051439B" w:rsidRDefault="0051439B" w:rsidP="0051439B">
      <w:pPr>
        <w:spacing w:after="200" w:line="300" w:lineRule="auto"/>
        <w:jc w:val="both"/>
      </w:pPr>
      <w:r>
        <w:t>A named Incident Response Team, with clear escalation paths to the board, should be established, and a communication plan should specify how staff, customers and, where personal data is affected, regulators are notified. Where GDPR-relevant personal data is involved, notification to the relevant supervisory authority within 72 hours may be required [6].</w:t>
      </w:r>
    </w:p>
    <w:p w14:paraId="7161AF05" w14:textId="77777777" w:rsidR="0051439B" w:rsidRDefault="0051439B" w:rsidP="0051439B">
      <w:pPr>
        <w:pStyle w:val="Heading1"/>
        <w:spacing w:before="380" w:after="180"/>
      </w:pPr>
      <w:bookmarkStart w:id="8" w:name="_Toc237436417"/>
      <w:r>
        <w:rPr>
          <w:color w:val="1F3864"/>
          <w:sz w:val="28"/>
          <w:szCs w:val="28"/>
        </w:rPr>
        <w:t>6. Training and Awareness</w:t>
      </w:r>
      <w:bookmarkEnd w:id="8"/>
    </w:p>
    <w:p w14:paraId="4B84375F" w14:textId="77777777" w:rsidR="0051439B" w:rsidRDefault="0051439B" w:rsidP="0051439B">
      <w:pPr>
        <w:spacing w:after="200" w:line="300" w:lineRule="auto"/>
        <w:jc w:val="both"/>
      </w:pPr>
      <w:r>
        <w:t>Because procurement staff have already been targeted by phishing, SFM's training programme should be risk-based rather than one-size-fits-all, in line with SANS Institute [8] guidance.</w:t>
      </w:r>
    </w:p>
    <w:p w14:paraId="2A4D085C" w14:textId="77777777" w:rsidR="0051439B" w:rsidRDefault="0051439B" w:rsidP="0051439B">
      <w:pPr>
        <w:pStyle w:val="ListParagraph"/>
        <w:numPr>
          <w:ilvl w:val="0"/>
          <w:numId w:val="2"/>
        </w:numPr>
        <w:spacing w:after="120" w:line="290" w:lineRule="auto"/>
        <w:contextualSpacing w:val="0"/>
        <w:jc w:val="both"/>
      </w:pPr>
      <w:r>
        <w:t>Role-based phishing simulations, run more frequently for procurement, finance and any staff with system administration rights than for the wider workforce.</w:t>
      </w:r>
    </w:p>
    <w:p w14:paraId="68468AE2" w14:textId="77777777" w:rsidR="0051439B" w:rsidRDefault="0051439B" w:rsidP="0051439B">
      <w:pPr>
        <w:pStyle w:val="ListParagraph"/>
        <w:numPr>
          <w:ilvl w:val="0"/>
          <w:numId w:val="2"/>
        </w:numPr>
        <w:spacing w:after="120" w:line="290" w:lineRule="auto"/>
        <w:contextualSpacing w:val="0"/>
        <w:jc w:val="both"/>
      </w:pPr>
      <w:r>
        <w:t>Micro-learning delivered within 24 hours of a failed simulation, which SANS Institute [8] identifies as the highest-leverage design choice for changing employee behaviour.</w:t>
      </w:r>
    </w:p>
    <w:p w14:paraId="754AFBA8" w14:textId="77777777" w:rsidR="0051439B" w:rsidRDefault="0051439B" w:rsidP="0051439B">
      <w:pPr>
        <w:pStyle w:val="ListParagraph"/>
        <w:numPr>
          <w:ilvl w:val="0"/>
          <w:numId w:val="2"/>
        </w:numPr>
        <w:spacing w:after="120" w:line="290" w:lineRule="auto"/>
        <w:contextualSpacing w:val="0"/>
        <w:jc w:val="both"/>
      </w:pPr>
      <w:r>
        <w:t>Security induction for all new starters, covering acceptable use, password hygiene and how to report suspicious activity without fear of blame.</w:t>
      </w:r>
    </w:p>
    <w:p w14:paraId="58A54A06" w14:textId="77777777" w:rsidR="0051439B" w:rsidRDefault="0051439B" w:rsidP="0051439B">
      <w:pPr>
        <w:pStyle w:val="ListParagraph"/>
        <w:numPr>
          <w:ilvl w:val="0"/>
          <w:numId w:val="2"/>
        </w:numPr>
        <w:spacing w:after="120" w:line="290" w:lineRule="auto"/>
        <w:contextualSpacing w:val="0"/>
        <w:jc w:val="both"/>
      </w:pPr>
      <w:r>
        <w:t>OT-specific awareness training for machine operators and engineers, covering the physical and safety risks of connecting unauthorised devices to production equipment.</w:t>
      </w:r>
    </w:p>
    <w:p w14:paraId="5815BAE5" w14:textId="77777777" w:rsidR="0051439B" w:rsidRDefault="0051439B" w:rsidP="0051439B">
      <w:pPr>
        <w:pStyle w:val="ListParagraph"/>
        <w:numPr>
          <w:ilvl w:val="0"/>
          <w:numId w:val="2"/>
        </w:numPr>
        <w:spacing w:after="120" w:line="290" w:lineRule="auto"/>
        <w:contextualSpacing w:val="0"/>
        <w:jc w:val="both"/>
      </w:pPr>
      <w:r>
        <w:t>Tabletop incident-response exercises with senior management at least twice a year, rehearsing the lifecycle in Figure 2 before a real incident occurs.</w:t>
      </w:r>
    </w:p>
    <w:p w14:paraId="54AFC08D" w14:textId="77777777" w:rsidR="0051439B" w:rsidRDefault="0051439B" w:rsidP="0051439B">
      <w:pPr>
        <w:spacing w:after="200" w:line="300" w:lineRule="auto"/>
        <w:jc w:val="both"/>
      </w:pPr>
      <w:r>
        <w:t>Industry benchmarking shows that sustained, continuous training of this kind can reduce phishing susceptibility (“phish-prone rate”) by roughly 80–86% over twelve months, compared with untrained staff [8], giving the board a measurable target against which to track the programme's success.</w:t>
      </w:r>
    </w:p>
    <w:p w14:paraId="757AC77F" w14:textId="77777777" w:rsidR="0051439B" w:rsidRDefault="0051439B" w:rsidP="0051439B">
      <w:pPr>
        <w:pStyle w:val="Heading1"/>
        <w:spacing w:before="380" w:after="180"/>
      </w:pPr>
      <w:bookmarkStart w:id="9" w:name="_Toc237436418"/>
      <w:r>
        <w:rPr>
          <w:color w:val="1F3864"/>
          <w:sz w:val="28"/>
          <w:szCs w:val="28"/>
        </w:rPr>
        <w:lastRenderedPageBreak/>
        <w:t>7. Conclusion</w:t>
      </w:r>
      <w:bookmarkEnd w:id="9"/>
    </w:p>
    <w:p w14:paraId="02445105" w14:textId="77777777" w:rsidR="0051439B" w:rsidRDefault="0051439B" w:rsidP="0051439B">
      <w:pPr>
        <w:spacing w:after="200" w:line="300" w:lineRule="auto"/>
        <w:jc w:val="both"/>
      </w:pPr>
      <w:r>
        <w:t>SFM's adoption of smart manufacturing technology has brought clear productivity benefits but has also created new routes for ransomware, espionage and supply-chain compromise to reach its production environment. The layered approach recommended in this report – governed by clear policies aligned with ISO/IEC 27001:2022 and NIST CSF 2.0, supported by practical technical mitigations, continuous monitoring, a rehearsed incident response plan and risk-based staff training – gives the board a realistic and phased path to a materially stronger security posture. No single control eliminates risk; the priority for the next six to twelve months should be network segmentation, MFA and offline backups, since these three measures alone would have prevented or significantly reduced the impact of the incidents SFM has already experienced.</w:t>
      </w:r>
    </w:p>
    <w:p w14:paraId="11E4E64A" w14:textId="77777777" w:rsidR="0051439B" w:rsidRDefault="0051439B" w:rsidP="0051439B">
      <w:r>
        <w:br w:type="page"/>
      </w:r>
    </w:p>
    <w:p w14:paraId="15636494" w14:textId="77777777" w:rsidR="0051439B" w:rsidRDefault="0051439B" w:rsidP="0051439B">
      <w:pPr>
        <w:pStyle w:val="Heading1"/>
        <w:spacing w:before="380" w:after="180"/>
      </w:pPr>
      <w:bookmarkStart w:id="10" w:name="_Toc237436419"/>
      <w:r>
        <w:rPr>
          <w:color w:val="1F3864"/>
          <w:sz w:val="28"/>
          <w:szCs w:val="28"/>
        </w:rPr>
        <w:lastRenderedPageBreak/>
        <w:t>References</w:t>
      </w:r>
      <w:bookmarkEnd w:id="10"/>
    </w:p>
    <w:p w14:paraId="21163505" w14:textId="77777777" w:rsidR="0051439B" w:rsidRDefault="0051439B" w:rsidP="0051439B">
      <w:pPr>
        <w:spacing w:after="200" w:line="276" w:lineRule="auto"/>
        <w:ind w:left="576" w:hanging="576"/>
        <w:jc w:val="both"/>
      </w:pPr>
      <w:r>
        <w:rPr>
          <w:sz w:val="21"/>
          <w:szCs w:val="21"/>
        </w:rPr>
        <w:t>[1] International Organization for Standardization, ISO/IEC 27001:2022 – Information Security, Cybersecurity and Privacy Protection – Information Security Management Systems – Requirements. Geneva, Switzerland: ISO, 2022.</w:t>
      </w:r>
    </w:p>
    <w:p w14:paraId="6BFCBD95" w14:textId="77777777" w:rsidR="0051439B" w:rsidRDefault="0051439B" w:rsidP="0051439B">
      <w:pPr>
        <w:spacing w:after="200" w:line="276" w:lineRule="auto"/>
        <w:ind w:left="576" w:hanging="576"/>
        <w:jc w:val="both"/>
      </w:pPr>
      <w:r>
        <w:rPr>
          <w:sz w:val="21"/>
          <w:szCs w:val="21"/>
        </w:rPr>
        <w:t>[2] C. Pascoe, S. Quinn, and K. Scarfone, "The NIST Cybersecurity Framework (CSF) 2.0," National Institute of Standards and Technology, Gaithersburg, MD, USA, NIST Cybersecurity White Paper (CSWP) NIST CSWP 29, 2024. [Online]. Available: https://doi.org/10.6028/NIST.CSWP.29</w:t>
      </w:r>
    </w:p>
    <w:p w14:paraId="5A01E2E1" w14:textId="77777777" w:rsidR="0051439B" w:rsidRDefault="0051439B" w:rsidP="0051439B">
      <w:pPr>
        <w:spacing w:after="200" w:line="276" w:lineRule="auto"/>
        <w:ind w:left="576" w:hanging="576"/>
        <w:jc w:val="both"/>
      </w:pPr>
      <w:r>
        <w:rPr>
          <w:sz w:val="21"/>
          <w:szCs w:val="21"/>
        </w:rPr>
        <w:t>[3] DNV, "Frontline Insights: The Norsk Hydro Cyberattack – A Reflection on the Importance of Securing Digital Identities," DNV, 2025. [Online]. Available: https://www.dnv.com/cyber/insights/articles/frontline-insights-the-norsk-hydro-cyberattack-a-reflection-on-the-importance-of-securing-digital-identities/ [Accessed: Aug. 12, 2026].</w:t>
      </w:r>
    </w:p>
    <w:p w14:paraId="1569C55B" w14:textId="77777777" w:rsidR="0051439B" w:rsidRDefault="0051439B" w:rsidP="0051439B">
      <w:pPr>
        <w:spacing w:after="200" w:line="276" w:lineRule="auto"/>
        <w:ind w:left="576" w:hanging="576"/>
        <w:jc w:val="both"/>
      </w:pPr>
      <w:r>
        <w:rPr>
          <w:sz w:val="21"/>
          <w:szCs w:val="21"/>
        </w:rPr>
        <w:t>[4] Verizon, 2024 Data Breach Investigations Report. New York, NY, USA: Verizon Business, 2024.</w:t>
      </w:r>
    </w:p>
    <w:p w14:paraId="15C4F1F4" w14:textId="77777777" w:rsidR="0051439B" w:rsidRDefault="0051439B" w:rsidP="0051439B">
      <w:pPr>
        <w:spacing w:after="200" w:line="276" w:lineRule="auto"/>
        <w:ind w:left="576" w:hanging="576"/>
        <w:jc w:val="both"/>
      </w:pPr>
      <w:r>
        <w:rPr>
          <w:sz w:val="21"/>
          <w:szCs w:val="21"/>
        </w:rPr>
        <w:t>[5] European Union Agency for Cybersecurity, ENISA Threat Landscape 2025. Athens, Greece: ENISA, 2025.</w:t>
      </w:r>
    </w:p>
    <w:p w14:paraId="3F82D277" w14:textId="77777777" w:rsidR="0051439B" w:rsidRDefault="0051439B" w:rsidP="0051439B">
      <w:pPr>
        <w:spacing w:after="200" w:line="276" w:lineRule="auto"/>
        <w:ind w:left="576" w:hanging="576"/>
        <w:jc w:val="both"/>
      </w:pPr>
      <w:r>
        <w:rPr>
          <w:sz w:val="21"/>
          <w:szCs w:val="21"/>
        </w:rPr>
        <w:t>[6] European Parliament and Council of the European Union, "Regulation (EU) 2016/679 of the European Parliament and of the Council of 27 April 2016 on the Protection of Natural Persons with Regard to the Processing of Personal Data and on the Free Movement of Such Data (General Data Protection Regulation)," Official Journal of the European Union, vol. L119, pp. 1–88, 2016.</w:t>
      </w:r>
    </w:p>
    <w:p w14:paraId="18D0FB3F" w14:textId="77777777" w:rsidR="0051439B" w:rsidRDefault="0051439B" w:rsidP="0051439B">
      <w:pPr>
        <w:spacing w:after="200" w:line="276" w:lineRule="auto"/>
        <w:ind w:left="576" w:hanging="576"/>
        <w:jc w:val="both"/>
      </w:pPr>
      <w:r>
        <w:rPr>
          <w:sz w:val="21"/>
          <w:szCs w:val="21"/>
        </w:rPr>
        <w:t>[7] P. Cichonski, T. Millar, T. Grance, and K. Scarfone, Computer Security Incident Handling Guide, NIST Special Publication 800-61, Revision 2. Gaithersburg, MD, USA: National Institute of Standards and Technology, 2012.</w:t>
      </w:r>
    </w:p>
    <w:p w14:paraId="24435576" w14:textId="77777777" w:rsidR="0051439B" w:rsidRDefault="0051439B" w:rsidP="0051439B">
      <w:pPr>
        <w:spacing w:after="200" w:line="276" w:lineRule="auto"/>
        <w:ind w:left="576" w:hanging="576"/>
        <w:jc w:val="both"/>
      </w:pPr>
      <w:r>
        <w:rPr>
          <w:sz w:val="21"/>
          <w:szCs w:val="21"/>
        </w:rPr>
        <w:t>[8] SANS Institute, 2024 Security Awareness Report: Embedding a Strong Security Culture. Bethesda, MD, USA: SANS Institute, 2024.</w:t>
      </w:r>
    </w:p>
    <w:p w14:paraId="463264D6" w14:textId="77777777" w:rsidR="0051439B" w:rsidRDefault="0051439B" w:rsidP="0051439B">
      <w:r>
        <w:br w:type="page"/>
      </w:r>
    </w:p>
    <w:p w14:paraId="16533ED6" w14:textId="77777777" w:rsidR="0051439B" w:rsidRDefault="0051439B" w:rsidP="0051439B">
      <w:pPr>
        <w:pStyle w:val="Heading1"/>
        <w:spacing w:before="380" w:after="180"/>
      </w:pPr>
      <w:bookmarkStart w:id="11" w:name="_Toc237436420"/>
      <w:r>
        <w:rPr>
          <w:color w:val="1F3864"/>
          <w:sz w:val="28"/>
          <w:szCs w:val="28"/>
        </w:rPr>
        <w:lastRenderedPageBreak/>
        <w:t>Appendix: Board Presentation Slides</w:t>
      </w:r>
      <w:bookmarkEnd w:id="11"/>
    </w:p>
    <w:p w14:paraId="129E4A19" w14:textId="77777777" w:rsidR="0051439B" w:rsidRDefault="0051439B" w:rsidP="0051439B">
      <w:pPr>
        <w:spacing w:after="200" w:line="300" w:lineRule="auto"/>
        <w:jc w:val="both"/>
      </w:pPr>
      <w:r>
        <w:t>The following slides accompany this report and were prepared for a 10-minute presentation to the SFM Board of Directors, summarising the findings and recommendations above.</w:t>
      </w:r>
    </w:p>
    <w:p w14:paraId="5B8A53A1" w14:textId="77777777" w:rsidR="00086E89" w:rsidRDefault="00086E89" w:rsidP="0051439B">
      <w:pPr>
        <w:spacing w:after="200" w:line="300" w:lineRule="auto"/>
        <w:jc w:val="both"/>
      </w:pPr>
    </w:p>
    <w:p w14:paraId="5D8D56F4" w14:textId="77777777" w:rsidR="0051439B" w:rsidRDefault="0051439B" w:rsidP="0051439B">
      <w:pPr>
        <w:spacing w:before="200" w:after="40"/>
        <w:jc w:val="center"/>
      </w:pPr>
      <w:r>
        <w:rPr>
          <w:noProof/>
        </w:rPr>
        <w:drawing>
          <wp:inline distT="0" distB="0" distL="0" distR="0" wp14:anchorId="3BD81BAE" wp14:editId="6CAAAC50">
            <wp:extent cx="4572000" cy="2571750"/>
            <wp:effectExtent l="0" t="0" r="0" b="0"/>
            <wp:docPr id="1698430415" name="Picture 1698430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572000" cy="2571750"/>
                    </a:xfrm>
                    <a:prstGeom prst="rect">
                      <a:avLst/>
                    </a:prstGeom>
                  </pic:spPr>
                </pic:pic>
              </a:graphicData>
            </a:graphic>
          </wp:inline>
        </w:drawing>
      </w:r>
    </w:p>
    <w:p w14:paraId="124DBF7C" w14:textId="77777777" w:rsidR="0051439B" w:rsidRDefault="0051439B" w:rsidP="0051439B">
      <w:pPr>
        <w:spacing w:after="300"/>
        <w:jc w:val="center"/>
        <w:rPr>
          <w:i/>
          <w:iCs/>
          <w:color w:val="666666"/>
          <w:sz w:val="18"/>
          <w:szCs w:val="18"/>
        </w:rPr>
      </w:pPr>
      <w:r>
        <w:rPr>
          <w:i/>
          <w:iCs/>
          <w:color w:val="666666"/>
          <w:sz w:val="18"/>
          <w:szCs w:val="18"/>
        </w:rPr>
        <w:t>Slide 1</w:t>
      </w:r>
    </w:p>
    <w:p w14:paraId="2C9F494E" w14:textId="77777777" w:rsidR="00086E89" w:rsidRDefault="00086E89" w:rsidP="0051439B">
      <w:pPr>
        <w:spacing w:after="300"/>
        <w:jc w:val="center"/>
        <w:rPr>
          <w:i/>
          <w:iCs/>
          <w:color w:val="666666"/>
          <w:sz w:val="18"/>
          <w:szCs w:val="18"/>
        </w:rPr>
      </w:pPr>
    </w:p>
    <w:p w14:paraId="047724E8" w14:textId="77777777" w:rsidR="00086E89" w:rsidRDefault="00086E89" w:rsidP="0051439B">
      <w:pPr>
        <w:spacing w:after="300"/>
        <w:jc w:val="center"/>
        <w:rPr>
          <w:i/>
          <w:iCs/>
          <w:color w:val="666666"/>
          <w:sz w:val="18"/>
          <w:szCs w:val="18"/>
        </w:rPr>
      </w:pPr>
    </w:p>
    <w:p w14:paraId="301BA6C5" w14:textId="77777777" w:rsidR="00086E89" w:rsidRDefault="00086E89" w:rsidP="0051439B">
      <w:pPr>
        <w:spacing w:after="300"/>
        <w:jc w:val="center"/>
        <w:rPr>
          <w:i/>
          <w:iCs/>
          <w:color w:val="666666"/>
          <w:sz w:val="18"/>
          <w:szCs w:val="18"/>
        </w:rPr>
      </w:pPr>
    </w:p>
    <w:p w14:paraId="4D797978" w14:textId="77777777" w:rsidR="00086E89" w:rsidRDefault="00086E89" w:rsidP="0051439B">
      <w:pPr>
        <w:spacing w:after="300"/>
        <w:jc w:val="center"/>
      </w:pPr>
    </w:p>
    <w:p w14:paraId="4BB7C0A7" w14:textId="77777777" w:rsidR="0051439B" w:rsidRDefault="0051439B" w:rsidP="0051439B">
      <w:pPr>
        <w:spacing w:before="200" w:after="40"/>
        <w:jc w:val="center"/>
      </w:pPr>
      <w:r>
        <w:rPr>
          <w:noProof/>
        </w:rPr>
        <w:drawing>
          <wp:inline distT="0" distB="0" distL="0" distR="0" wp14:anchorId="6AA16B8D" wp14:editId="4DA7EF0B">
            <wp:extent cx="4572000" cy="2571750"/>
            <wp:effectExtent l="0" t="0" r="0" b="0"/>
            <wp:docPr id="624997989" name="Picture 624997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572000" cy="2571750"/>
                    </a:xfrm>
                    <a:prstGeom prst="rect">
                      <a:avLst/>
                    </a:prstGeom>
                  </pic:spPr>
                </pic:pic>
              </a:graphicData>
            </a:graphic>
          </wp:inline>
        </w:drawing>
      </w:r>
    </w:p>
    <w:p w14:paraId="6366A0E1" w14:textId="77777777" w:rsidR="0051439B" w:rsidRDefault="0051439B" w:rsidP="0051439B">
      <w:pPr>
        <w:spacing w:after="300"/>
        <w:jc w:val="center"/>
      </w:pPr>
      <w:r>
        <w:rPr>
          <w:i/>
          <w:iCs/>
          <w:color w:val="666666"/>
          <w:sz w:val="18"/>
          <w:szCs w:val="18"/>
        </w:rPr>
        <w:t>Slide 2</w:t>
      </w:r>
    </w:p>
    <w:p w14:paraId="7336CC40" w14:textId="77777777" w:rsidR="0051439B" w:rsidRDefault="0051439B" w:rsidP="0051439B">
      <w:pPr>
        <w:spacing w:before="200" w:after="40"/>
        <w:jc w:val="center"/>
      </w:pPr>
      <w:r>
        <w:rPr>
          <w:noProof/>
        </w:rPr>
        <w:lastRenderedPageBreak/>
        <w:drawing>
          <wp:inline distT="0" distB="0" distL="0" distR="0" wp14:anchorId="3E8A4546" wp14:editId="599064D2">
            <wp:extent cx="4572000" cy="2571750"/>
            <wp:effectExtent l="0" t="0" r="0" b="0"/>
            <wp:docPr id="1551338469" name="Picture 1551338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572000" cy="2571750"/>
                    </a:xfrm>
                    <a:prstGeom prst="rect">
                      <a:avLst/>
                    </a:prstGeom>
                  </pic:spPr>
                </pic:pic>
              </a:graphicData>
            </a:graphic>
          </wp:inline>
        </w:drawing>
      </w:r>
    </w:p>
    <w:p w14:paraId="18469E66" w14:textId="77777777" w:rsidR="0051439B" w:rsidRDefault="0051439B" w:rsidP="0051439B">
      <w:pPr>
        <w:spacing w:after="300"/>
        <w:jc w:val="center"/>
        <w:rPr>
          <w:i/>
          <w:iCs/>
          <w:color w:val="666666"/>
          <w:sz w:val="18"/>
          <w:szCs w:val="18"/>
        </w:rPr>
      </w:pPr>
      <w:r>
        <w:rPr>
          <w:i/>
          <w:iCs/>
          <w:color w:val="666666"/>
          <w:sz w:val="18"/>
          <w:szCs w:val="18"/>
        </w:rPr>
        <w:t>Slide 3</w:t>
      </w:r>
    </w:p>
    <w:p w14:paraId="53B7C994" w14:textId="77777777" w:rsidR="00086E89" w:rsidRDefault="00086E89" w:rsidP="0051439B">
      <w:pPr>
        <w:spacing w:after="300"/>
        <w:jc w:val="center"/>
        <w:rPr>
          <w:i/>
          <w:iCs/>
          <w:color w:val="666666"/>
          <w:sz w:val="18"/>
          <w:szCs w:val="18"/>
        </w:rPr>
      </w:pPr>
    </w:p>
    <w:p w14:paraId="0F7BFB3D" w14:textId="77777777" w:rsidR="00086E89" w:rsidRDefault="00086E89" w:rsidP="0051439B">
      <w:pPr>
        <w:spacing w:after="300"/>
        <w:jc w:val="center"/>
        <w:rPr>
          <w:i/>
          <w:iCs/>
          <w:color w:val="666666"/>
          <w:sz w:val="18"/>
          <w:szCs w:val="18"/>
        </w:rPr>
      </w:pPr>
    </w:p>
    <w:p w14:paraId="03A74553" w14:textId="77777777" w:rsidR="00086E89" w:rsidRDefault="00086E89" w:rsidP="0051439B">
      <w:pPr>
        <w:spacing w:after="300"/>
        <w:jc w:val="center"/>
        <w:rPr>
          <w:i/>
          <w:iCs/>
          <w:color w:val="666666"/>
          <w:sz w:val="18"/>
          <w:szCs w:val="18"/>
        </w:rPr>
      </w:pPr>
    </w:p>
    <w:p w14:paraId="249CF8C9" w14:textId="77777777" w:rsidR="00086E89" w:rsidRDefault="00086E89" w:rsidP="0051439B">
      <w:pPr>
        <w:spacing w:after="300"/>
        <w:jc w:val="center"/>
      </w:pPr>
    </w:p>
    <w:p w14:paraId="68377F4D" w14:textId="77777777" w:rsidR="0051439B" w:rsidRDefault="0051439B" w:rsidP="0051439B">
      <w:pPr>
        <w:spacing w:before="200" w:after="40"/>
        <w:jc w:val="center"/>
      </w:pPr>
      <w:r>
        <w:rPr>
          <w:noProof/>
        </w:rPr>
        <w:drawing>
          <wp:inline distT="0" distB="0" distL="0" distR="0" wp14:anchorId="1378B6B1" wp14:editId="19055515">
            <wp:extent cx="4572000" cy="2571750"/>
            <wp:effectExtent l="0" t="0" r="0" b="0"/>
            <wp:docPr id="22495793" name="Picture 22495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572000" cy="2571750"/>
                    </a:xfrm>
                    <a:prstGeom prst="rect">
                      <a:avLst/>
                    </a:prstGeom>
                  </pic:spPr>
                </pic:pic>
              </a:graphicData>
            </a:graphic>
          </wp:inline>
        </w:drawing>
      </w:r>
    </w:p>
    <w:p w14:paraId="341B9B6B" w14:textId="77777777" w:rsidR="0051439B" w:rsidRDefault="0051439B" w:rsidP="0051439B">
      <w:pPr>
        <w:spacing w:after="300"/>
        <w:jc w:val="center"/>
      </w:pPr>
      <w:r>
        <w:rPr>
          <w:i/>
          <w:iCs/>
          <w:color w:val="666666"/>
          <w:sz w:val="18"/>
          <w:szCs w:val="18"/>
        </w:rPr>
        <w:t>Slide 4</w:t>
      </w:r>
    </w:p>
    <w:p w14:paraId="222627AC" w14:textId="77777777" w:rsidR="0051439B" w:rsidRDefault="0051439B" w:rsidP="0051439B">
      <w:pPr>
        <w:spacing w:before="200" w:after="40"/>
        <w:jc w:val="center"/>
      </w:pPr>
      <w:r>
        <w:rPr>
          <w:noProof/>
        </w:rPr>
        <w:lastRenderedPageBreak/>
        <w:drawing>
          <wp:inline distT="0" distB="0" distL="0" distR="0" wp14:anchorId="7C9DC39E" wp14:editId="4B667F0E">
            <wp:extent cx="4572000" cy="2571750"/>
            <wp:effectExtent l="0" t="0" r="0" b="0"/>
            <wp:docPr id="1867786658" name="Picture 1867786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572000" cy="2571750"/>
                    </a:xfrm>
                    <a:prstGeom prst="rect">
                      <a:avLst/>
                    </a:prstGeom>
                  </pic:spPr>
                </pic:pic>
              </a:graphicData>
            </a:graphic>
          </wp:inline>
        </w:drawing>
      </w:r>
    </w:p>
    <w:p w14:paraId="2CCCB61F" w14:textId="77777777" w:rsidR="0051439B" w:rsidRDefault="0051439B" w:rsidP="0051439B">
      <w:pPr>
        <w:spacing w:after="300"/>
        <w:jc w:val="center"/>
        <w:rPr>
          <w:i/>
          <w:iCs/>
          <w:color w:val="666666"/>
          <w:sz w:val="18"/>
          <w:szCs w:val="18"/>
        </w:rPr>
      </w:pPr>
      <w:r>
        <w:rPr>
          <w:i/>
          <w:iCs/>
          <w:color w:val="666666"/>
          <w:sz w:val="18"/>
          <w:szCs w:val="18"/>
        </w:rPr>
        <w:t>Slide 5</w:t>
      </w:r>
    </w:p>
    <w:p w14:paraId="0432E222" w14:textId="77777777" w:rsidR="00086E89" w:rsidRDefault="00086E89" w:rsidP="0051439B">
      <w:pPr>
        <w:spacing w:after="300"/>
        <w:jc w:val="center"/>
        <w:rPr>
          <w:i/>
          <w:iCs/>
          <w:color w:val="666666"/>
          <w:sz w:val="18"/>
          <w:szCs w:val="18"/>
        </w:rPr>
      </w:pPr>
    </w:p>
    <w:p w14:paraId="1005C285" w14:textId="77777777" w:rsidR="00086E89" w:rsidRDefault="00086E89" w:rsidP="0051439B">
      <w:pPr>
        <w:spacing w:after="300"/>
        <w:jc w:val="center"/>
        <w:rPr>
          <w:i/>
          <w:iCs/>
          <w:color w:val="666666"/>
          <w:sz w:val="18"/>
          <w:szCs w:val="18"/>
        </w:rPr>
      </w:pPr>
    </w:p>
    <w:p w14:paraId="5EE4E0DA" w14:textId="77777777" w:rsidR="00086E89" w:rsidRDefault="00086E89" w:rsidP="0051439B">
      <w:pPr>
        <w:spacing w:after="300"/>
        <w:jc w:val="center"/>
      </w:pPr>
    </w:p>
    <w:p w14:paraId="2C27EDD2" w14:textId="77777777" w:rsidR="00086E89" w:rsidRDefault="00086E89" w:rsidP="0051439B">
      <w:pPr>
        <w:spacing w:after="300"/>
        <w:jc w:val="center"/>
      </w:pPr>
    </w:p>
    <w:p w14:paraId="4473856C" w14:textId="77777777" w:rsidR="0051439B" w:rsidRDefault="0051439B" w:rsidP="0051439B">
      <w:pPr>
        <w:spacing w:before="200" w:after="40"/>
        <w:jc w:val="center"/>
      </w:pPr>
      <w:r>
        <w:rPr>
          <w:noProof/>
        </w:rPr>
        <w:drawing>
          <wp:inline distT="0" distB="0" distL="0" distR="0" wp14:anchorId="36252343" wp14:editId="49C69FC0">
            <wp:extent cx="4572000" cy="2571750"/>
            <wp:effectExtent l="0" t="0" r="0" b="0"/>
            <wp:docPr id="1048433532" name="Picture 1048433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572000" cy="2571750"/>
                    </a:xfrm>
                    <a:prstGeom prst="rect">
                      <a:avLst/>
                    </a:prstGeom>
                  </pic:spPr>
                </pic:pic>
              </a:graphicData>
            </a:graphic>
          </wp:inline>
        </w:drawing>
      </w:r>
    </w:p>
    <w:p w14:paraId="1ED268FD" w14:textId="77777777" w:rsidR="0051439B" w:rsidRDefault="0051439B" w:rsidP="0051439B">
      <w:pPr>
        <w:spacing w:after="300"/>
        <w:jc w:val="center"/>
      </w:pPr>
      <w:r>
        <w:rPr>
          <w:i/>
          <w:iCs/>
          <w:color w:val="666666"/>
          <w:sz w:val="18"/>
          <w:szCs w:val="18"/>
        </w:rPr>
        <w:t>Slide 6</w:t>
      </w:r>
    </w:p>
    <w:p w14:paraId="091262D8" w14:textId="77777777" w:rsidR="0051439B" w:rsidRDefault="0051439B" w:rsidP="0051439B">
      <w:pPr>
        <w:spacing w:before="200" w:after="40"/>
        <w:jc w:val="center"/>
      </w:pPr>
      <w:r>
        <w:rPr>
          <w:noProof/>
        </w:rPr>
        <w:lastRenderedPageBreak/>
        <w:drawing>
          <wp:inline distT="0" distB="0" distL="0" distR="0" wp14:anchorId="63EB5D7E" wp14:editId="576E9552">
            <wp:extent cx="4572000" cy="2571750"/>
            <wp:effectExtent l="0" t="0" r="0" b="0"/>
            <wp:docPr id="417931983" name="Picture 417931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572000" cy="2571750"/>
                    </a:xfrm>
                    <a:prstGeom prst="rect">
                      <a:avLst/>
                    </a:prstGeom>
                  </pic:spPr>
                </pic:pic>
              </a:graphicData>
            </a:graphic>
          </wp:inline>
        </w:drawing>
      </w:r>
    </w:p>
    <w:p w14:paraId="21669D09" w14:textId="77777777" w:rsidR="0051439B" w:rsidRDefault="0051439B" w:rsidP="0051439B">
      <w:pPr>
        <w:spacing w:after="300"/>
        <w:jc w:val="center"/>
        <w:rPr>
          <w:i/>
          <w:iCs/>
          <w:color w:val="666666"/>
          <w:sz w:val="18"/>
          <w:szCs w:val="18"/>
        </w:rPr>
      </w:pPr>
      <w:r>
        <w:rPr>
          <w:i/>
          <w:iCs/>
          <w:color w:val="666666"/>
          <w:sz w:val="18"/>
          <w:szCs w:val="18"/>
        </w:rPr>
        <w:t>Slide 7</w:t>
      </w:r>
    </w:p>
    <w:p w14:paraId="572FDE87" w14:textId="77777777" w:rsidR="00086E89" w:rsidRDefault="00086E89" w:rsidP="0051439B">
      <w:pPr>
        <w:spacing w:after="300"/>
        <w:jc w:val="center"/>
        <w:rPr>
          <w:i/>
          <w:iCs/>
          <w:color w:val="666666"/>
          <w:sz w:val="18"/>
          <w:szCs w:val="18"/>
        </w:rPr>
      </w:pPr>
    </w:p>
    <w:p w14:paraId="4D6F78B8" w14:textId="77777777" w:rsidR="00086E89" w:rsidRDefault="00086E89" w:rsidP="0051439B">
      <w:pPr>
        <w:spacing w:after="300"/>
        <w:jc w:val="center"/>
        <w:rPr>
          <w:i/>
          <w:iCs/>
          <w:color w:val="666666"/>
          <w:sz w:val="18"/>
          <w:szCs w:val="18"/>
        </w:rPr>
      </w:pPr>
    </w:p>
    <w:p w14:paraId="5D6A7931" w14:textId="77777777" w:rsidR="00086E89" w:rsidRDefault="00086E89" w:rsidP="0051439B">
      <w:pPr>
        <w:spacing w:after="300"/>
        <w:jc w:val="center"/>
        <w:rPr>
          <w:i/>
          <w:iCs/>
          <w:color w:val="666666"/>
          <w:sz w:val="18"/>
          <w:szCs w:val="18"/>
        </w:rPr>
      </w:pPr>
    </w:p>
    <w:p w14:paraId="1BAD6036" w14:textId="77777777" w:rsidR="00086E89" w:rsidRDefault="00086E89" w:rsidP="0051439B">
      <w:pPr>
        <w:spacing w:after="300"/>
        <w:jc w:val="center"/>
      </w:pPr>
    </w:p>
    <w:p w14:paraId="78A32E52" w14:textId="77777777" w:rsidR="0051439B" w:rsidRDefault="0051439B" w:rsidP="0051439B">
      <w:pPr>
        <w:spacing w:before="200" w:after="40"/>
        <w:jc w:val="center"/>
      </w:pPr>
      <w:r>
        <w:rPr>
          <w:noProof/>
        </w:rPr>
        <w:drawing>
          <wp:inline distT="0" distB="0" distL="0" distR="0" wp14:anchorId="48634FDE" wp14:editId="24FBD2C3">
            <wp:extent cx="4572000" cy="2571750"/>
            <wp:effectExtent l="0" t="0" r="0" b="0"/>
            <wp:docPr id="1124027378" name="Picture 11240273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572000" cy="2571750"/>
                    </a:xfrm>
                    <a:prstGeom prst="rect">
                      <a:avLst/>
                    </a:prstGeom>
                  </pic:spPr>
                </pic:pic>
              </a:graphicData>
            </a:graphic>
          </wp:inline>
        </w:drawing>
      </w:r>
    </w:p>
    <w:p w14:paraId="2734E7A4" w14:textId="77777777" w:rsidR="0051439B" w:rsidRDefault="0051439B" w:rsidP="0051439B">
      <w:pPr>
        <w:spacing w:after="300"/>
        <w:jc w:val="center"/>
      </w:pPr>
      <w:r>
        <w:rPr>
          <w:i/>
          <w:iCs/>
          <w:color w:val="666666"/>
          <w:sz w:val="18"/>
          <w:szCs w:val="18"/>
        </w:rPr>
        <w:t>Slide 8</w:t>
      </w:r>
    </w:p>
    <w:p w14:paraId="33A74F21" w14:textId="77777777" w:rsidR="0051439B" w:rsidRDefault="0051439B" w:rsidP="0051439B">
      <w:pPr>
        <w:spacing w:before="200" w:after="40"/>
        <w:jc w:val="center"/>
      </w:pPr>
      <w:r>
        <w:rPr>
          <w:noProof/>
        </w:rPr>
        <w:lastRenderedPageBreak/>
        <w:drawing>
          <wp:inline distT="0" distB="0" distL="0" distR="0" wp14:anchorId="6BD157E2" wp14:editId="59255929">
            <wp:extent cx="4572000" cy="2571750"/>
            <wp:effectExtent l="0" t="0" r="0" b="0"/>
            <wp:docPr id="151317650" name="Picture 151317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572000" cy="2571750"/>
                    </a:xfrm>
                    <a:prstGeom prst="rect">
                      <a:avLst/>
                    </a:prstGeom>
                  </pic:spPr>
                </pic:pic>
              </a:graphicData>
            </a:graphic>
          </wp:inline>
        </w:drawing>
      </w:r>
    </w:p>
    <w:p w14:paraId="34936295" w14:textId="77777777" w:rsidR="0051439B" w:rsidRDefault="0051439B" w:rsidP="0051439B">
      <w:pPr>
        <w:spacing w:after="300"/>
        <w:jc w:val="center"/>
        <w:rPr>
          <w:i/>
          <w:iCs/>
          <w:color w:val="666666"/>
          <w:sz w:val="18"/>
          <w:szCs w:val="18"/>
        </w:rPr>
      </w:pPr>
      <w:r>
        <w:rPr>
          <w:i/>
          <w:iCs/>
          <w:color w:val="666666"/>
          <w:sz w:val="18"/>
          <w:szCs w:val="18"/>
        </w:rPr>
        <w:t>Slide 9</w:t>
      </w:r>
    </w:p>
    <w:p w14:paraId="63F13BAE" w14:textId="77777777" w:rsidR="00086E89" w:rsidRDefault="00086E89" w:rsidP="0051439B">
      <w:pPr>
        <w:spacing w:after="300"/>
        <w:jc w:val="center"/>
        <w:rPr>
          <w:i/>
          <w:iCs/>
          <w:color w:val="666666"/>
          <w:sz w:val="18"/>
          <w:szCs w:val="18"/>
        </w:rPr>
      </w:pPr>
    </w:p>
    <w:p w14:paraId="58CC8890" w14:textId="77777777" w:rsidR="00086E89" w:rsidRDefault="00086E89" w:rsidP="0051439B">
      <w:pPr>
        <w:spacing w:after="300"/>
        <w:jc w:val="center"/>
        <w:rPr>
          <w:i/>
          <w:iCs/>
          <w:color w:val="666666"/>
          <w:sz w:val="18"/>
          <w:szCs w:val="18"/>
        </w:rPr>
      </w:pPr>
    </w:p>
    <w:p w14:paraId="078D3A46" w14:textId="77777777" w:rsidR="00086E89" w:rsidRDefault="00086E89" w:rsidP="0051439B">
      <w:pPr>
        <w:spacing w:after="300"/>
        <w:jc w:val="center"/>
        <w:rPr>
          <w:i/>
          <w:iCs/>
          <w:color w:val="666666"/>
          <w:sz w:val="18"/>
          <w:szCs w:val="18"/>
        </w:rPr>
      </w:pPr>
    </w:p>
    <w:p w14:paraId="4357AE4E" w14:textId="77777777" w:rsidR="00086E89" w:rsidRDefault="00086E89" w:rsidP="0051439B">
      <w:pPr>
        <w:spacing w:after="300"/>
        <w:jc w:val="center"/>
      </w:pPr>
    </w:p>
    <w:p w14:paraId="1539AD72" w14:textId="77777777" w:rsidR="0051439B" w:rsidRDefault="0051439B" w:rsidP="0051439B">
      <w:pPr>
        <w:spacing w:before="200" w:after="40"/>
        <w:jc w:val="center"/>
      </w:pPr>
      <w:r>
        <w:rPr>
          <w:noProof/>
        </w:rPr>
        <w:drawing>
          <wp:inline distT="0" distB="0" distL="0" distR="0" wp14:anchorId="08DA4EA4" wp14:editId="3A07ADC3">
            <wp:extent cx="4572000" cy="2571750"/>
            <wp:effectExtent l="0" t="0" r="0" b="0"/>
            <wp:docPr id="822507697" name="Picture 822507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572000" cy="2571750"/>
                    </a:xfrm>
                    <a:prstGeom prst="rect">
                      <a:avLst/>
                    </a:prstGeom>
                  </pic:spPr>
                </pic:pic>
              </a:graphicData>
            </a:graphic>
          </wp:inline>
        </w:drawing>
      </w:r>
    </w:p>
    <w:p w14:paraId="60BFB48C" w14:textId="77777777" w:rsidR="0051439B" w:rsidRDefault="0051439B" w:rsidP="0051439B">
      <w:pPr>
        <w:spacing w:after="300"/>
        <w:jc w:val="center"/>
      </w:pPr>
      <w:r>
        <w:rPr>
          <w:i/>
          <w:iCs/>
          <w:color w:val="666666"/>
          <w:sz w:val="18"/>
          <w:szCs w:val="18"/>
        </w:rPr>
        <w:t>Slide 10</w:t>
      </w:r>
    </w:p>
    <w:p w14:paraId="357E394C" w14:textId="77777777" w:rsidR="0051439B" w:rsidRDefault="0051439B" w:rsidP="0051439B">
      <w:pPr>
        <w:spacing w:before="200" w:after="40"/>
        <w:jc w:val="center"/>
      </w:pPr>
      <w:r>
        <w:rPr>
          <w:noProof/>
        </w:rPr>
        <w:lastRenderedPageBreak/>
        <w:drawing>
          <wp:inline distT="0" distB="0" distL="0" distR="0" wp14:anchorId="53A1F6EB" wp14:editId="078A707D">
            <wp:extent cx="4572000" cy="2571750"/>
            <wp:effectExtent l="0" t="0" r="0" b="0"/>
            <wp:docPr id="737076757" name="Picture 7370767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572000" cy="2571750"/>
                    </a:xfrm>
                    <a:prstGeom prst="rect">
                      <a:avLst/>
                    </a:prstGeom>
                  </pic:spPr>
                </pic:pic>
              </a:graphicData>
            </a:graphic>
          </wp:inline>
        </w:drawing>
      </w:r>
    </w:p>
    <w:p w14:paraId="4668FBAA" w14:textId="77777777" w:rsidR="0051439B" w:rsidRDefault="0051439B" w:rsidP="0051439B">
      <w:pPr>
        <w:spacing w:after="300"/>
        <w:jc w:val="center"/>
        <w:rPr>
          <w:i/>
          <w:iCs/>
          <w:color w:val="666666"/>
          <w:sz w:val="18"/>
          <w:szCs w:val="18"/>
        </w:rPr>
      </w:pPr>
      <w:r>
        <w:rPr>
          <w:i/>
          <w:iCs/>
          <w:color w:val="666666"/>
          <w:sz w:val="18"/>
          <w:szCs w:val="18"/>
        </w:rPr>
        <w:t>Slide 11</w:t>
      </w:r>
    </w:p>
    <w:p w14:paraId="06D8383A" w14:textId="77777777" w:rsidR="00086E89" w:rsidRDefault="00086E89" w:rsidP="0051439B">
      <w:pPr>
        <w:spacing w:after="300"/>
        <w:jc w:val="center"/>
        <w:rPr>
          <w:i/>
          <w:iCs/>
          <w:color w:val="666666"/>
          <w:sz w:val="18"/>
          <w:szCs w:val="18"/>
        </w:rPr>
      </w:pPr>
    </w:p>
    <w:p w14:paraId="6922C9C9" w14:textId="77777777" w:rsidR="00086E89" w:rsidRDefault="00086E89" w:rsidP="0051439B">
      <w:pPr>
        <w:spacing w:after="300"/>
        <w:jc w:val="center"/>
        <w:rPr>
          <w:i/>
          <w:iCs/>
          <w:color w:val="666666"/>
          <w:sz w:val="18"/>
          <w:szCs w:val="18"/>
        </w:rPr>
      </w:pPr>
    </w:p>
    <w:p w14:paraId="10930174" w14:textId="77777777" w:rsidR="00086E89" w:rsidRDefault="00086E89" w:rsidP="0051439B">
      <w:pPr>
        <w:spacing w:after="300"/>
        <w:jc w:val="center"/>
        <w:rPr>
          <w:i/>
          <w:iCs/>
          <w:color w:val="666666"/>
          <w:sz w:val="18"/>
          <w:szCs w:val="18"/>
        </w:rPr>
      </w:pPr>
    </w:p>
    <w:p w14:paraId="3755DDB1" w14:textId="77777777" w:rsidR="00086E89" w:rsidRDefault="00086E89" w:rsidP="0051439B">
      <w:pPr>
        <w:spacing w:after="300"/>
        <w:jc w:val="center"/>
      </w:pPr>
    </w:p>
    <w:p w14:paraId="448B878B" w14:textId="77777777" w:rsidR="0051439B" w:rsidRDefault="0051439B" w:rsidP="0051439B">
      <w:pPr>
        <w:spacing w:before="200" w:after="40"/>
        <w:jc w:val="center"/>
      </w:pPr>
      <w:r>
        <w:rPr>
          <w:noProof/>
        </w:rPr>
        <w:drawing>
          <wp:inline distT="0" distB="0" distL="0" distR="0" wp14:anchorId="650A1A17" wp14:editId="4F97C46A">
            <wp:extent cx="4572000" cy="2571750"/>
            <wp:effectExtent l="0" t="0" r="0" b="0"/>
            <wp:docPr id="850319159" name="Picture 850319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572000" cy="2571750"/>
                    </a:xfrm>
                    <a:prstGeom prst="rect">
                      <a:avLst/>
                    </a:prstGeom>
                  </pic:spPr>
                </pic:pic>
              </a:graphicData>
            </a:graphic>
          </wp:inline>
        </w:drawing>
      </w:r>
    </w:p>
    <w:p w14:paraId="37DBB0B8" w14:textId="77777777" w:rsidR="0051439B" w:rsidRDefault="0051439B" w:rsidP="0051439B">
      <w:pPr>
        <w:spacing w:after="300"/>
        <w:jc w:val="center"/>
      </w:pPr>
      <w:r>
        <w:rPr>
          <w:i/>
          <w:iCs/>
          <w:color w:val="666666"/>
          <w:sz w:val="18"/>
          <w:szCs w:val="18"/>
        </w:rPr>
        <w:t>Slide 12</w:t>
      </w:r>
    </w:p>
    <w:p w14:paraId="08E727F1" w14:textId="6F3E5B85" w:rsidR="00CE29F0" w:rsidRDefault="00CE29F0" w:rsidP="0051439B">
      <w:pPr>
        <w:pStyle w:val="Heading1"/>
        <w:spacing w:after="300"/>
      </w:pPr>
    </w:p>
    <w:sectPr w:rsidR="00CE29F0" w:rsidSect="0051439B">
      <w:headerReference w:type="default" r:id="rId21"/>
      <w:footerReference w:type="default" r:id="rId22"/>
      <w:pgSz w:w="11906" w:h="16838"/>
      <w:pgMar w:top="1200" w:right="1200" w:bottom="1200" w:left="12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6A819" w14:textId="77777777" w:rsidR="00B1204A" w:rsidRDefault="00B1204A">
      <w:r>
        <w:separator/>
      </w:r>
    </w:p>
  </w:endnote>
  <w:endnote w:type="continuationSeparator" w:id="0">
    <w:p w14:paraId="114EE3CA" w14:textId="77777777" w:rsidR="00B1204A" w:rsidRDefault="00B120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arajita">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F0369" w14:textId="77777777" w:rsidR="0051439B" w:rsidRDefault="0051439B">
    <w:pPr>
      <w:jc w:val="center"/>
    </w:pPr>
    <w:r>
      <w:rPr>
        <w:color w:val="777777"/>
        <w:sz w:val="18"/>
        <w:szCs w:val="18"/>
      </w:rPr>
      <w:t xml:space="preserve">Page </w:t>
    </w:r>
    <w:r>
      <w:rPr>
        <w:color w:val="777777"/>
        <w:sz w:val="18"/>
        <w:szCs w:val="18"/>
      </w:rPr>
      <w:fldChar w:fldCharType="begin"/>
    </w:r>
    <w:r>
      <w:rPr>
        <w:color w:val="777777"/>
        <w:sz w:val="18"/>
        <w:szCs w:val="18"/>
      </w:rPr>
      <w:instrText>PAGE</w:instrText>
    </w:r>
    <w:r>
      <w:rPr>
        <w:color w:val="777777"/>
        <w:sz w:val="18"/>
        <w:szCs w:val="18"/>
      </w:rPr>
      <w:fldChar w:fldCharType="separate"/>
    </w:r>
    <w:r>
      <w:rPr>
        <w:noProof/>
        <w:color w:val="777777"/>
        <w:sz w:val="18"/>
        <w:szCs w:val="18"/>
      </w:rPr>
      <w:t>1</w:t>
    </w:r>
    <w:r>
      <w:rPr>
        <w:color w:val="777777"/>
        <w:sz w:val="18"/>
        <w:szCs w:val="18"/>
      </w:rPr>
      <w:fldChar w:fldCharType="end"/>
    </w:r>
    <w:r>
      <w:rPr>
        <w:color w:val="777777"/>
        <w:sz w:val="18"/>
        <w:szCs w:val="18"/>
      </w:rPr>
      <w:t xml:space="preserve"> of </w:t>
    </w:r>
    <w:r>
      <w:rPr>
        <w:color w:val="777777"/>
        <w:sz w:val="18"/>
        <w:szCs w:val="18"/>
      </w:rPr>
      <w:fldChar w:fldCharType="begin"/>
    </w:r>
    <w:r>
      <w:rPr>
        <w:color w:val="777777"/>
        <w:sz w:val="18"/>
        <w:szCs w:val="18"/>
      </w:rPr>
      <w:instrText>NUMPAGES</w:instrText>
    </w:r>
    <w:r>
      <w:rPr>
        <w:color w:val="777777"/>
        <w:sz w:val="18"/>
        <w:szCs w:val="18"/>
      </w:rPr>
      <w:fldChar w:fldCharType="separate"/>
    </w:r>
    <w:r>
      <w:rPr>
        <w:noProof/>
        <w:color w:val="777777"/>
        <w:sz w:val="18"/>
        <w:szCs w:val="18"/>
      </w:rPr>
      <w:t>1</w:t>
    </w:r>
    <w:r>
      <w:rPr>
        <w:color w:val="777777"/>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DEA85" w14:textId="77777777" w:rsidR="00B1204A" w:rsidRDefault="00B1204A">
      <w:r>
        <w:separator/>
      </w:r>
    </w:p>
  </w:footnote>
  <w:footnote w:type="continuationSeparator" w:id="0">
    <w:p w14:paraId="6D2777B0" w14:textId="77777777" w:rsidR="00B1204A" w:rsidRDefault="00B120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6EB1B" w14:textId="77777777" w:rsidR="0051439B" w:rsidRDefault="0051439B">
    <w:pPr>
      <w:jc w:val="right"/>
    </w:pPr>
    <w:r>
      <w:rPr>
        <w:color w:val="777777"/>
        <w:sz w:val="16"/>
        <w:szCs w:val="16"/>
      </w:rPr>
      <w:t>ACCA4024 – Networks and Cyber Security Essentials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1668D"/>
    <w:multiLevelType w:val="hybridMultilevel"/>
    <w:tmpl w:val="DBD408C0"/>
    <w:lvl w:ilvl="0" w:tplc="0CBCDDDA">
      <w:start w:val="1"/>
      <w:numFmt w:val="bullet"/>
      <w:lvlText w:val="•"/>
      <w:lvlJc w:val="left"/>
      <w:pPr>
        <w:ind w:left="504" w:hanging="288"/>
      </w:pPr>
    </w:lvl>
    <w:lvl w:ilvl="1" w:tplc="8BDCE1A4">
      <w:numFmt w:val="decimal"/>
      <w:lvlText w:val=""/>
      <w:lvlJc w:val="left"/>
    </w:lvl>
    <w:lvl w:ilvl="2" w:tplc="F5E85DC0">
      <w:numFmt w:val="decimal"/>
      <w:lvlText w:val=""/>
      <w:lvlJc w:val="left"/>
    </w:lvl>
    <w:lvl w:ilvl="3" w:tplc="00AAEA34">
      <w:numFmt w:val="decimal"/>
      <w:lvlText w:val=""/>
      <w:lvlJc w:val="left"/>
    </w:lvl>
    <w:lvl w:ilvl="4" w:tplc="55DC402C">
      <w:numFmt w:val="decimal"/>
      <w:lvlText w:val=""/>
      <w:lvlJc w:val="left"/>
    </w:lvl>
    <w:lvl w:ilvl="5" w:tplc="425C1C12">
      <w:numFmt w:val="decimal"/>
      <w:lvlText w:val=""/>
      <w:lvlJc w:val="left"/>
    </w:lvl>
    <w:lvl w:ilvl="6" w:tplc="6730F192">
      <w:numFmt w:val="decimal"/>
      <w:lvlText w:val=""/>
      <w:lvlJc w:val="left"/>
    </w:lvl>
    <w:lvl w:ilvl="7" w:tplc="2480B7A6">
      <w:numFmt w:val="decimal"/>
      <w:lvlText w:val=""/>
      <w:lvlJc w:val="left"/>
    </w:lvl>
    <w:lvl w:ilvl="8" w:tplc="01E894BE">
      <w:numFmt w:val="decimal"/>
      <w:lvlText w:val=""/>
      <w:lvlJc w:val="left"/>
    </w:lvl>
  </w:abstractNum>
  <w:abstractNum w:abstractNumId="1" w15:restartNumberingAfterBreak="0">
    <w:nsid w:val="20F91EB9"/>
    <w:multiLevelType w:val="hybridMultilevel"/>
    <w:tmpl w:val="A990859A"/>
    <w:lvl w:ilvl="0" w:tplc="F47A72A4">
      <w:start w:val="1"/>
      <w:numFmt w:val="bullet"/>
      <w:lvlText w:val="•"/>
      <w:lvlJc w:val="left"/>
      <w:pPr>
        <w:ind w:left="504" w:hanging="288"/>
      </w:pPr>
    </w:lvl>
    <w:lvl w:ilvl="1" w:tplc="874A8504">
      <w:numFmt w:val="decimal"/>
      <w:lvlText w:val=""/>
      <w:lvlJc w:val="left"/>
    </w:lvl>
    <w:lvl w:ilvl="2" w:tplc="9376C042">
      <w:numFmt w:val="decimal"/>
      <w:lvlText w:val=""/>
      <w:lvlJc w:val="left"/>
    </w:lvl>
    <w:lvl w:ilvl="3" w:tplc="3E6641D2">
      <w:numFmt w:val="decimal"/>
      <w:lvlText w:val=""/>
      <w:lvlJc w:val="left"/>
    </w:lvl>
    <w:lvl w:ilvl="4" w:tplc="84563B9E">
      <w:numFmt w:val="decimal"/>
      <w:lvlText w:val=""/>
      <w:lvlJc w:val="left"/>
    </w:lvl>
    <w:lvl w:ilvl="5" w:tplc="7C148CB8">
      <w:numFmt w:val="decimal"/>
      <w:lvlText w:val=""/>
      <w:lvlJc w:val="left"/>
    </w:lvl>
    <w:lvl w:ilvl="6" w:tplc="D864126E">
      <w:numFmt w:val="decimal"/>
      <w:lvlText w:val=""/>
      <w:lvlJc w:val="left"/>
    </w:lvl>
    <w:lvl w:ilvl="7" w:tplc="7CD2E6FC">
      <w:numFmt w:val="decimal"/>
      <w:lvlText w:val=""/>
      <w:lvlJc w:val="left"/>
    </w:lvl>
    <w:lvl w:ilvl="8" w:tplc="146230A8">
      <w:numFmt w:val="decimal"/>
      <w:lvlText w:val=""/>
      <w:lvlJc w:val="left"/>
    </w:lvl>
  </w:abstractNum>
  <w:num w:numId="1" w16cid:durableId="1567033351">
    <w:abstractNumId w:val="0"/>
    <w:lvlOverride w:ilvl="0">
      <w:startOverride w:val="1"/>
    </w:lvlOverride>
  </w:num>
  <w:num w:numId="2" w16cid:durableId="45687966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9F0"/>
    <w:rsid w:val="00025342"/>
    <w:rsid w:val="00086E89"/>
    <w:rsid w:val="000C6FDE"/>
    <w:rsid w:val="000E39B6"/>
    <w:rsid w:val="001627D6"/>
    <w:rsid w:val="001D5965"/>
    <w:rsid w:val="004B78D9"/>
    <w:rsid w:val="004E2057"/>
    <w:rsid w:val="0051439B"/>
    <w:rsid w:val="005951E6"/>
    <w:rsid w:val="00666B55"/>
    <w:rsid w:val="006E1B0C"/>
    <w:rsid w:val="00727B9D"/>
    <w:rsid w:val="00775C36"/>
    <w:rsid w:val="00776EEB"/>
    <w:rsid w:val="00865471"/>
    <w:rsid w:val="009408AB"/>
    <w:rsid w:val="00987A9F"/>
    <w:rsid w:val="009C7CB6"/>
    <w:rsid w:val="00AA0322"/>
    <w:rsid w:val="00B1204A"/>
    <w:rsid w:val="00BB19D6"/>
    <w:rsid w:val="00BD01CD"/>
    <w:rsid w:val="00CE29F0"/>
    <w:rsid w:val="00E41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2AC03"/>
  <w15:chartTrackingRefBased/>
  <w15:docId w15:val="{7D06D4EC-90EA-4D20-BBA6-10740F52E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9F0"/>
    <w:pPr>
      <w:spacing w:after="0" w:line="240" w:lineRule="auto"/>
    </w:pPr>
    <w:rPr>
      <w:rFonts w:ascii="Calibri" w:eastAsia="Calibri" w:hAnsi="Calibri" w:cs="Calibri"/>
      <w:kern w:val="0"/>
      <w:sz w:val="22"/>
      <w:szCs w:val="22"/>
      <w:lang w:eastAsia="en-GB"/>
      <w14:ligatures w14:val="none"/>
    </w:rPr>
  </w:style>
  <w:style w:type="paragraph" w:styleId="Heading1">
    <w:name w:val="heading 1"/>
    <w:link w:val="Heading1Char"/>
    <w:autoRedefine/>
    <w:uiPriority w:val="9"/>
    <w:qFormat/>
    <w:rsid w:val="001D5965"/>
    <w:pPr>
      <w:pBdr>
        <w:bottom w:val="single" w:sz="6" w:space="1" w:color="2E5D8E"/>
      </w:pBdr>
      <w:spacing w:before="360" w:after="200" w:line="240" w:lineRule="auto"/>
      <w:outlineLvl w:val="0"/>
    </w:pPr>
    <w:rPr>
      <w:rFonts w:ascii="Calibri" w:eastAsia="Calibri" w:hAnsi="Calibri" w:cs="Calibri"/>
      <w:b/>
      <w:bCs/>
      <w:color w:val="156082" w:themeColor="accent1"/>
      <w:kern w:val="0"/>
      <w:sz w:val="32"/>
      <w:szCs w:val="32"/>
      <w:lang w:eastAsia="en-GB"/>
      <w14:ligatures w14:val="none"/>
    </w:rPr>
  </w:style>
  <w:style w:type="paragraph" w:styleId="Heading2">
    <w:name w:val="heading 2"/>
    <w:link w:val="Heading2Char"/>
    <w:autoRedefine/>
    <w:uiPriority w:val="9"/>
    <w:unhideWhenUsed/>
    <w:qFormat/>
    <w:rsid w:val="001D5965"/>
    <w:pPr>
      <w:spacing w:before="280" w:line="240" w:lineRule="auto"/>
      <w:jc w:val="both"/>
      <w:outlineLvl w:val="1"/>
    </w:pPr>
    <w:rPr>
      <w:rFonts w:ascii="Calibri" w:eastAsia="Calibri" w:hAnsi="Calibri" w:cs="Calibri"/>
      <w:bCs/>
      <w:color w:val="2E5D8E"/>
      <w:kern w:val="0"/>
      <w:sz w:val="28"/>
      <w:szCs w:val="28"/>
      <w:lang w:eastAsia="en-GB"/>
      <w14:ligatures w14:val="none"/>
    </w:rPr>
  </w:style>
  <w:style w:type="paragraph" w:styleId="Heading3">
    <w:name w:val="heading 3"/>
    <w:basedOn w:val="Normal"/>
    <w:next w:val="Normal"/>
    <w:link w:val="Heading3Char"/>
    <w:uiPriority w:val="9"/>
    <w:semiHidden/>
    <w:unhideWhenUsed/>
    <w:qFormat/>
    <w:rsid w:val="00CE29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9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9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9F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9F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9F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9F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965"/>
    <w:rPr>
      <w:rFonts w:ascii="Calibri" w:eastAsia="Calibri" w:hAnsi="Calibri" w:cs="Calibri"/>
      <w:b/>
      <w:bCs/>
      <w:color w:val="156082" w:themeColor="accent1"/>
      <w:kern w:val="0"/>
      <w:sz w:val="32"/>
      <w:szCs w:val="32"/>
      <w:lang w:eastAsia="en-GB"/>
      <w14:ligatures w14:val="none"/>
    </w:rPr>
  </w:style>
  <w:style w:type="character" w:customStyle="1" w:styleId="Heading2Char">
    <w:name w:val="Heading 2 Char"/>
    <w:basedOn w:val="DefaultParagraphFont"/>
    <w:link w:val="Heading2"/>
    <w:uiPriority w:val="9"/>
    <w:rsid w:val="001D5965"/>
    <w:rPr>
      <w:rFonts w:ascii="Calibri" w:eastAsia="Calibri" w:hAnsi="Calibri" w:cs="Calibri"/>
      <w:bCs/>
      <w:color w:val="2E5D8E"/>
      <w:kern w:val="0"/>
      <w:sz w:val="28"/>
      <w:szCs w:val="28"/>
      <w:lang w:eastAsia="en-GB"/>
      <w14:ligatures w14:val="none"/>
    </w:rPr>
  </w:style>
  <w:style w:type="character" w:customStyle="1" w:styleId="Heading3Char">
    <w:name w:val="Heading 3 Char"/>
    <w:basedOn w:val="DefaultParagraphFont"/>
    <w:link w:val="Heading3"/>
    <w:uiPriority w:val="9"/>
    <w:semiHidden/>
    <w:rsid w:val="00CE29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9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9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9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9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9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9F0"/>
    <w:rPr>
      <w:rFonts w:eastAsiaTheme="majorEastAsia" w:cstheme="majorBidi"/>
      <w:color w:val="272727" w:themeColor="text1" w:themeTint="D8"/>
    </w:rPr>
  </w:style>
  <w:style w:type="paragraph" w:styleId="Title">
    <w:name w:val="Title"/>
    <w:basedOn w:val="Normal"/>
    <w:next w:val="Normal"/>
    <w:link w:val="TitleChar"/>
    <w:uiPriority w:val="10"/>
    <w:qFormat/>
    <w:rsid w:val="00CE29F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9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9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9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9F0"/>
    <w:pPr>
      <w:spacing w:before="160"/>
      <w:jc w:val="center"/>
    </w:pPr>
    <w:rPr>
      <w:i/>
      <w:iCs/>
      <w:color w:val="404040" w:themeColor="text1" w:themeTint="BF"/>
    </w:rPr>
  </w:style>
  <w:style w:type="character" w:customStyle="1" w:styleId="QuoteChar">
    <w:name w:val="Quote Char"/>
    <w:basedOn w:val="DefaultParagraphFont"/>
    <w:link w:val="Quote"/>
    <w:uiPriority w:val="29"/>
    <w:rsid w:val="00CE29F0"/>
    <w:rPr>
      <w:i/>
      <w:iCs/>
      <w:color w:val="404040" w:themeColor="text1" w:themeTint="BF"/>
    </w:rPr>
  </w:style>
  <w:style w:type="paragraph" w:styleId="ListParagraph">
    <w:name w:val="List Paragraph"/>
    <w:basedOn w:val="Normal"/>
    <w:qFormat/>
    <w:rsid w:val="00CE29F0"/>
    <w:pPr>
      <w:ind w:left="720"/>
      <w:contextualSpacing/>
    </w:pPr>
  </w:style>
  <w:style w:type="character" w:styleId="IntenseEmphasis">
    <w:name w:val="Intense Emphasis"/>
    <w:basedOn w:val="DefaultParagraphFont"/>
    <w:uiPriority w:val="21"/>
    <w:qFormat/>
    <w:rsid w:val="00CE29F0"/>
    <w:rPr>
      <w:i/>
      <w:iCs/>
      <w:color w:val="0F4761" w:themeColor="accent1" w:themeShade="BF"/>
    </w:rPr>
  </w:style>
  <w:style w:type="paragraph" w:styleId="IntenseQuote">
    <w:name w:val="Intense Quote"/>
    <w:basedOn w:val="Normal"/>
    <w:next w:val="Normal"/>
    <w:link w:val="IntenseQuoteChar"/>
    <w:uiPriority w:val="30"/>
    <w:qFormat/>
    <w:rsid w:val="00CE29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9F0"/>
    <w:rPr>
      <w:i/>
      <w:iCs/>
      <w:color w:val="0F4761" w:themeColor="accent1" w:themeShade="BF"/>
    </w:rPr>
  </w:style>
  <w:style w:type="character" w:styleId="IntenseReference">
    <w:name w:val="Intense Reference"/>
    <w:basedOn w:val="DefaultParagraphFont"/>
    <w:uiPriority w:val="32"/>
    <w:qFormat/>
    <w:rsid w:val="00CE29F0"/>
    <w:rPr>
      <w:b/>
      <w:bCs/>
      <w:smallCaps/>
      <w:color w:val="0F4761" w:themeColor="accent1" w:themeShade="BF"/>
      <w:spacing w:val="5"/>
    </w:rPr>
  </w:style>
  <w:style w:type="character" w:styleId="Hyperlink">
    <w:name w:val="Hyperlink"/>
    <w:uiPriority w:val="99"/>
    <w:unhideWhenUsed/>
    <w:rsid w:val="00CE29F0"/>
    <w:rPr>
      <w:color w:val="0563C1"/>
      <w:u w:val="single"/>
    </w:rPr>
  </w:style>
  <w:style w:type="paragraph" w:styleId="TOC1">
    <w:name w:val="toc 1"/>
    <w:basedOn w:val="Normal"/>
    <w:next w:val="Normal"/>
    <w:autoRedefine/>
    <w:uiPriority w:val="39"/>
    <w:unhideWhenUsed/>
    <w:rsid w:val="00CE29F0"/>
    <w:pPr>
      <w:spacing w:after="100"/>
    </w:pPr>
  </w:style>
  <w:style w:type="paragraph" w:styleId="TOC2">
    <w:name w:val="toc 2"/>
    <w:basedOn w:val="Normal"/>
    <w:next w:val="Normal"/>
    <w:autoRedefine/>
    <w:uiPriority w:val="39"/>
    <w:unhideWhenUsed/>
    <w:rsid w:val="00CE29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14</Pages>
  <Words>1866</Words>
  <Characters>10641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Jamile Barbosa Kashif (2514981)</dc:creator>
  <cp:keywords/>
  <dc:description/>
  <cp:lastModifiedBy>Jamile Barbosa Kashif (2514981)</cp:lastModifiedBy>
  <cp:revision>21</cp:revision>
  <dcterms:created xsi:type="dcterms:W3CDTF">2026-08-12T12:49:00Z</dcterms:created>
  <dcterms:modified xsi:type="dcterms:W3CDTF">2026-08-12T13:48:00Z</dcterms:modified>
</cp:coreProperties>
</file>