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72D1" w:rsidRPr="00036302" w:rsidRDefault="00687728" w:rsidP="00687728">
      <w:pPr>
        <w:pStyle w:val="ListParagraph"/>
        <w:numPr>
          <w:ilvl w:val="0"/>
          <w:numId w:val="1"/>
        </w:numPr>
        <w:jc w:val="both"/>
        <w:rPr>
          <w:rFonts w:ascii="Arial" w:hAnsi="Arial" w:cs="Arial"/>
          <w:sz w:val="24"/>
          <w:szCs w:val="24"/>
        </w:rPr>
      </w:pPr>
      <w:r w:rsidRPr="00036302">
        <w:rPr>
          <w:rFonts w:ascii="Arial" w:hAnsi="Arial" w:cs="Arial"/>
          <w:sz w:val="24"/>
          <w:szCs w:val="24"/>
        </w:rPr>
        <w:t xml:space="preserve"> </w:t>
      </w:r>
      <w:r w:rsidR="008502AD" w:rsidRPr="00036302">
        <w:rPr>
          <w:rFonts w:ascii="Arial" w:hAnsi="Arial" w:cs="Arial"/>
          <w:sz w:val="24"/>
          <w:szCs w:val="24"/>
        </w:rPr>
        <w:t xml:space="preserve">The rule of privity of contract is </w:t>
      </w:r>
      <w:r w:rsidR="008502AD" w:rsidRPr="00036302">
        <w:rPr>
          <w:rFonts w:ascii="Arial" w:hAnsi="Arial" w:cs="Arial"/>
          <w:sz w:val="24"/>
          <w:szCs w:val="24"/>
        </w:rPr>
        <w:t>the</w:t>
      </w:r>
      <w:r w:rsidR="008502AD" w:rsidRPr="00036302">
        <w:rPr>
          <w:rFonts w:ascii="Arial" w:hAnsi="Arial" w:cs="Arial"/>
          <w:sz w:val="24"/>
          <w:szCs w:val="24"/>
        </w:rPr>
        <w:t xml:space="preserve"> doctrine that a person who is not</w:t>
      </w:r>
      <w:r w:rsidR="008502AD" w:rsidRPr="00036302">
        <w:rPr>
          <w:rFonts w:ascii="Arial" w:hAnsi="Arial" w:cs="Arial"/>
          <w:sz w:val="24"/>
          <w:szCs w:val="24"/>
        </w:rPr>
        <w:t xml:space="preserve"> </w:t>
      </w:r>
      <w:r w:rsidR="008502AD" w:rsidRPr="00036302">
        <w:rPr>
          <w:rFonts w:ascii="Arial" w:hAnsi="Arial" w:cs="Arial"/>
          <w:sz w:val="24"/>
          <w:szCs w:val="24"/>
        </w:rPr>
        <w:t>a part</w:t>
      </w:r>
      <w:r w:rsidR="008502AD" w:rsidRPr="00036302">
        <w:rPr>
          <w:rFonts w:ascii="Arial" w:hAnsi="Arial" w:cs="Arial"/>
          <w:sz w:val="24"/>
          <w:szCs w:val="24"/>
        </w:rPr>
        <w:t>y</w:t>
      </w:r>
      <w:r w:rsidR="008502AD" w:rsidRPr="00036302">
        <w:rPr>
          <w:rFonts w:ascii="Arial" w:hAnsi="Arial" w:cs="Arial"/>
          <w:sz w:val="24"/>
          <w:szCs w:val="24"/>
        </w:rPr>
        <w:t xml:space="preserve"> to a contract cannot enforce a term of that contract nor be subject to obligations under the contract</w:t>
      </w:r>
      <w:r w:rsidR="008502AD" w:rsidRPr="00036302">
        <w:rPr>
          <w:rFonts w:ascii="Arial" w:hAnsi="Arial" w:cs="Arial"/>
          <w:sz w:val="24"/>
          <w:szCs w:val="24"/>
        </w:rPr>
        <w:t xml:space="preserve"> </w:t>
      </w:r>
      <w:r w:rsidR="008502AD" w:rsidRPr="00036302">
        <w:rPr>
          <w:rFonts w:ascii="Arial" w:hAnsi="Arial" w:cs="Arial"/>
          <w:sz w:val="24"/>
          <w:szCs w:val="24"/>
        </w:rPr>
        <w:t>(Tweddle v Atkinson (1861)), (Dunlop Pneumatic Tyre v Selfridge Co Ltd (1915)).  That means</w:t>
      </w:r>
      <w:r w:rsidR="008502AD" w:rsidRPr="00036302">
        <w:rPr>
          <w:rFonts w:ascii="Arial" w:hAnsi="Arial" w:cs="Arial"/>
          <w:sz w:val="24"/>
          <w:szCs w:val="24"/>
        </w:rPr>
        <w:t xml:space="preserve">, </w:t>
      </w:r>
      <w:r w:rsidR="008502AD" w:rsidRPr="00036302">
        <w:rPr>
          <w:rFonts w:ascii="Arial" w:hAnsi="Arial" w:cs="Arial"/>
          <w:sz w:val="24"/>
          <w:szCs w:val="24"/>
        </w:rPr>
        <w:t>only the parties to the contract can sue and be sued</w:t>
      </w:r>
      <w:r w:rsidR="00C84587" w:rsidRPr="00036302">
        <w:rPr>
          <w:rFonts w:ascii="Arial" w:hAnsi="Arial" w:cs="Arial"/>
          <w:sz w:val="24"/>
          <w:szCs w:val="24"/>
        </w:rPr>
        <w:t xml:space="preserve"> (</w:t>
      </w:r>
      <w:r w:rsidR="008502AD" w:rsidRPr="00036302">
        <w:rPr>
          <w:rFonts w:ascii="Arial" w:hAnsi="Arial" w:cs="Arial"/>
          <w:sz w:val="24"/>
          <w:szCs w:val="24"/>
        </w:rPr>
        <w:t>can bring any claim in contract against the person or company in respect of it</w:t>
      </w:r>
      <w:r w:rsidR="008502AD" w:rsidRPr="00036302">
        <w:rPr>
          <w:rFonts w:ascii="Arial" w:hAnsi="Arial" w:cs="Arial"/>
          <w:sz w:val="24"/>
          <w:szCs w:val="24"/>
        </w:rPr>
        <w:t>)</w:t>
      </w:r>
      <w:r w:rsidR="00C84587" w:rsidRPr="00036302">
        <w:rPr>
          <w:rFonts w:ascii="Arial" w:hAnsi="Arial" w:cs="Arial"/>
          <w:sz w:val="24"/>
          <w:szCs w:val="24"/>
        </w:rPr>
        <w:t xml:space="preserve"> (</w:t>
      </w:r>
      <w:proofErr w:type="spellStart"/>
      <w:r w:rsidR="00C84587" w:rsidRPr="00036302">
        <w:rPr>
          <w:rFonts w:ascii="Arial" w:hAnsi="Arial" w:cs="Arial"/>
          <w:sz w:val="24"/>
          <w:szCs w:val="24"/>
        </w:rPr>
        <w:t>Furmston</w:t>
      </w:r>
      <w:proofErr w:type="spellEnd"/>
      <w:r w:rsidR="00C84587" w:rsidRPr="00036302">
        <w:rPr>
          <w:rFonts w:ascii="Arial" w:hAnsi="Arial" w:cs="Arial"/>
          <w:sz w:val="24"/>
          <w:szCs w:val="24"/>
        </w:rPr>
        <w:t xml:space="preserve">, 2017). </w:t>
      </w:r>
    </w:p>
    <w:p w:rsidR="008502AD" w:rsidRPr="00036302" w:rsidRDefault="008502AD" w:rsidP="004A72D1">
      <w:pPr>
        <w:pStyle w:val="ListParagraph"/>
        <w:jc w:val="both"/>
        <w:rPr>
          <w:rFonts w:ascii="Arial" w:hAnsi="Arial" w:cs="Arial"/>
          <w:sz w:val="24"/>
          <w:szCs w:val="24"/>
        </w:rPr>
      </w:pPr>
      <w:r w:rsidRPr="00036302">
        <w:rPr>
          <w:rFonts w:ascii="Arial" w:hAnsi="Arial" w:cs="Arial"/>
          <w:sz w:val="24"/>
          <w:szCs w:val="24"/>
        </w:rPr>
        <w:t>The Contract (Rights of Third Parties)</w:t>
      </w:r>
      <w:r w:rsidRPr="00036302">
        <w:rPr>
          <w:rFonts w:ascii="Arial" w:hAnsi="Arial" w:cs="Arial"/>
          <w:sz w:val="24"/>
          <w:szCs w:val="24"/>
        </w:rPr>
        <w:t xml:space="preserve"> </w:t>
      </w:r>
      <w:r w:rsidRPr="00036302">
        <w:rPr>
          <w:rFonts w:ascii="Arial" w:hAnsi="Arial" w:cs="Arial"/>
          <w:sz w:val="24"/>
          <w:szCs w:val="24"/>
        </w:rPr>
        <w:t>Act</w:t>
      </w:r>
      <w:r w:rsidRPr="00036302">
        <w:rPr>
          <w:rFonts w:ascii="Arial" w:hAnsi="Arial" w:cs="Arial"/>
          <w:sz w:val="24"/>
          <w:szCs w:val="24"/>
        </w:rPr>
        <w:t xml:space="preserve"> </w:t>
      </w:r>
      <w:r w:rsidRPr="00036302">
        <w:rPr>
          <w:rFonts w:ascii="Arial" w:hAnsi="Arial" w:cs="Arial"/>
          <w:sz w:val="24"/>
          <w:szCs w:val="24"/>
        </w:rPr>
        <w:t>(CRTPA)1999 is an exception to the privity rule of contract.</w:t>
      </w:r>
      <w:r w:rsidRPr="00036302">
        <w:rPr>
          <w:rFonts w:ascii="Arial" w:hAnsi="Arial" w:cs="Arial"/>
          <w:sz w:val="24"/>
          <w:szCs w:val="24"/>
        </w:rPr>
        <w:t xml:space="preserve"> Section 1, CRTPA (1999)</w:t>
      </w:r>
      <w:r w:rsidRPr="00036302">
        <w:rPr>
          <w:rFonts w:ascii="Arial" w:hAnsi="Arial" w:cs="Arial"/>
          <w:sz w:val="24"/>
          <w:szCs w:val="24"/>
        </w:rPr>
        <w:t xml:space="preserve"> allows “a person (a third party) who is not a party to a contract to enforce a term of a contract if the contract expressly provides that they may, or the term purports to confer a benefit on them” (Jackson v Horizon Holidays Ltd 1975). “The third party must be expressly identified in the contract by name, as a member of a class or as answering a particular description”</w:t>
      </w:r>
      <w:r w:rsidR="00C84587" w:rsidRPr="00036302">
        <w:rPr>
          <w:rFonts w:ascii="Arial" w:hAnsi="Arial" w:cs="Arial"/>
          <w:sz w:val="24"/>
          <w:szCs w:val="24"/>
        </w:rPr>
        <w:t xml:space="preserve"> (s.1(3), CRTPA (1999))</w:t>
      </w:r>
      <w:r w:rsidRPr="00036302">
        <w:rPr>
          <w:rFonts w:ascii="Arial" w:hAnsi="Arial" w:cs="Arial"/>
          <w:sz w:val="24"/>
          <w:szCs w:val="24"/>
        </w:rPr>
        <w:t>. Other exceptions are s11</w:t>
      </w:r>
      <w:r w:rsidRPr="00036302">
        <w:rPr>
          <w:rFonts w:ascii="Arial" w:hAnsi="Arial" w:cs="Arial"/>
          <w:sz w:val="24"/>
          <w:szCs w:val="24"/>
        </w:rPr>
        <w:t xml:space="preserve">, </w:t>
      </w:r>
      <w:r w:rsidRPr="00036302">
        <w:rPr>
          <w:rFonts w:ascii="Arial" w:hAnsi="Arial" w:cs="Arial"/>
          <w:sz w:val="24"/>
          <w:szCs w:val="24"/>
        </w:rPr>
        <w:t xml:space="preserve">Married Women’s Property Act </w:t>
      </w:r>
      <w:r w:rsidRPr="00036302">
        <w:rPr>
          <w:rFonts w:ascii="Arial" w:hAnsi="Arial" w:cs="Arial"/>
          <w:sz w:val="24"/>
          <w:szCs w:val="24"/>
        </w:rPr>
        <w:t>(</w:t>
      </w:r>
      <w:r w:rsidRPr="00036302">
        <w:rPr>
          <w:rFonts w:ascii="Arial" w:hAnsi="Arial" w:cs="Arial"/>
          <w:sz w:val="24"/>
          <w:szCs w:val="24"/>
        </w:rPr>
        <w:t>1882</w:t>
      </w:r>
      <w:r w:rsidRPr="00036302">
        <w:rPr>
          <w:rFonts w:ascii="Arial" w:hAnsi="Arial" w:cs="Arial"/>
          <w:sz w:val="24"/>
          <w:szCs w:val="24"/>
        </w:rPr>
        <w:t>)</w:t>
      </w:r>
      <w:r w:rsidRPr="00036302">
        <w:rPr>
          <w:rFonts w:ascii="Arial" w:hAnsi="Arial" w:cs="Arial"/>
          <w:sz w:val="24"/>
          <w:szCs w:val="24"/>
        </w:rPr>
        <w:t>, Road Traffic Act</w:t>
      </w:r>
      <w:r w:rsidR="00C84587" w:rsidRPr="00036302">
        <w:rPr>
          <w:rFonts w:ascii="Arial" w:hAnsi="Arial" w:cs="Arial"/>
          <w:sz w:val="24"/>
          <w:szCs w:val="24"/>
        </w:rPr>
        <w:t xml:space="preserve"> (1988), Road Traffic Act (1991)</w:t>
      </w:r>
      <w:r w:rsidRPr="00036302">
        <w:rPr>
          <w:rFonts w:ascii="Arial" w:hAnsi="Arial" w:cs="Arial"/>
          <w:sz w:val="24"/>
          <w:szCs w:val="24"/>
        </w:rPr>
        <w:t>; Agent (</w:t>
      </w:r>
      <w:proofErr w:type="spellStart"/>
      <w:r w:rsidRPr="00036302">
        <w:rPr>
          <w:rFonts w:ascii="Arial" w:hAnsi="Arial" w:cs="Arial"/>
          <w:sz w:val="24"/>
          <w:szCs w:val="24"/>
        </w:rPr>
        <w:t>Eurymerdon</w:t>
      </w:r>
      <w:proofErr w:type="spellEnd"/>
      <w:r w:rsidRPr="00036302">
        <w:rPr>
          <w:rFonts w:ascii="Arial" w:hAnsi="Arial" w:cs="Arial"/>
          <w:sz w:val="24"/>
          <w:szCs w:val="24"/>
        </w:rPr>
        <w:t xml:space="preserve">, </w:t>
      </w:r>
      <w:r w:rsidRPr="00036302">
        <w:rPr>
          <w:rFonts w:ascii="Arial" w:hAnsi="Arial" w:cs="Arial"/>
          <w:sz w:val="24"/>
          <w:szCs w:val="24"/>
        </w:rPr>
        <w:t>(1975)</w:t>
      </w:r>
      <w:r w:rsidR="00687728" w:rsidRPr="00036302">
        <w:rPr>
          <w:rFonts w:ascii="Arial" w:hAnsi="Arial" w:cs="Arial"/>
          <w:sz w:val="24"/>
          <w:szCs w:val="24"/>
        </w:rPr>
        <w:t xml:space="preserve"> (</w:t>
      </w:r>
      <w:proofErr w:type="spellStart"/>
      <w:r w:rsidR="00687728" w:rsidRPr="00036302">
        <w:rPr>
          <w:rFonts w:ascii="Arial" w:hAnsi="Arial" w:cs="Arial"/>
          <w:sz w:val="24"/>
          <w:szCs w:val="24"/>
        </w:rPr>
        <w:t>Merkin</w:t>
      </w:r>
      <w:proofErr w:type="spellEnd"/>
      <w:r w:rsidR="00687728" w:rsidRPr="00036302">
        <w:rPr>
          <w:rFonts w:ascii="Arial" w:hAnsi="Arial" w:cs="Arial"/>
          <w:sz w:val="24"/>
          <w:szCs w:val="24"/>
        </w:rPr>
        <w:t xml:space="preserve"> and </w:t>
      </w:r>
      <w:proofErr w:type="spellStart"/>
      <w:r w:rsidR="00687728" w:rsidRPr="00036302">
        <w:rPr>
          <w:rFonts w:ascii="Arial" w:hAnsi="Arial" w:cs="Arial"/>
          <w:sz w:val="24"/>
          <w:szCs w:val="24"/>
        </w:rPr>
        <w:t>Saintier</w:t>
      </w:r>
      <w:proofErr w:type="spellEnd"/>
      <w:r w:rsidR="00687728" w:rsidRPr="00036302">
        <w:rPr>
          <w:rFonts w:ascii="Arial" w:hAnsi="Arial" w:cs="Arial"/>
          <w:sz w:val="24"/>
          <w:szCs w:val="24"/>
        </w:rPr>
        <w:t xml:space="preserve"> (2021)</w:t>
      </w:r>
    </w:p>
    <w:p w:rsidR="004A72D1" w:rsidRPr="00036302" w:rsidRDefault="008502AD" w:rsidP="004A72D1">
      <w:pPr>
        <w:pStyle w:val="ListParagraph"/>
        <w:numPr>
          <w:ilvl w:val="0"/>
          <w:numId w:val="1"/>
        </w:numPr>
        <w:jc w:val="both"/>
        <w:rPr>
          <w:rFonts w:ascii="Arial" w:hAnsi="Arial" w:cs="Arial"/>
          <w:sz w:val="24"/>
          <w:szCs w:val="24"/>
        </w:rPr>
      </w:pPr>
      <w:r w:rsidRPr="00036302">
        <w:rPr>
          <w:rFonts w:ascii="Arial" w:hAnsi="Arial" w:cs="Arial"/>
          <w:sz w:val="24"/>
          <w:szCs w:val="24"/>
        </w:rPr>
        <w:t>A promise is enforceable if it is supported by consideration. For example, in the case Tweddle v Atkinson, it was held that the son could not enforce the promise made to his father, as he himself has not actually given consideration for it so he cannot enforce the promise. Therefore, consideration is something of value being offered in exchange for that promise to be enforceable as a contract (Currie v Misa (1874). Consideration must be made at the time the contract is made, and not before (</w:t>
      </w:r>
      <w:proofErr w:type="spellStart"/>
      <w:r w:rsidRPr="00036302">
        <w:rPr>
          <w:rFonts w:ascii="Arial" w:hAnsi="Arial" w:cs="Arial"/>
          <w:sz w:val="24"/>
          <w:szCs w:val="24"/>
        </w:rPr>
        <w:t>Roscorla</w:t>
      </w:r>
      <w:proofErr w:type="spellEnd"/>
      <w:r w:rsidRPr="00036302">
        <w:rPr>
          <w:rFonts w:ascii="Arial" w:hAnsi="Arial" w:cs="Arial"/>
          <w:sz w:val="24"/>
          <w:szCs w:val="24"/>
        </w:rPr>
        <w:t xml:space="preserve"> v Thomas (1842) or after the contract. </w:t>
      </w:r>
    </w:p>
    <w:p w:rsidR="004A72D1" w:rsidRPr="00036302" w:rsidRDefault="008502AD" w:rsidP="004A72D1">
      <w:pPr>
        <w:pStyle w:val="ListParagraph"/>
        <w:jc w:val="both"/>
        <w:rPr>
          <w:rFonts w:ascii="Arial" w:hAnsi="Arial" w:cs="Arial"/>
          <w:sz w:val="24"/>
          <w:szCs w:val="24"/>
        </w:rPr>
      </w:pPr>
      <w:r w:rsidRPr="00036302">
        <w:rPr>
          <w:rFonts w:ascii="Arial" w:hAnsi="Arial" w:cs="Arial"/>
          <w:sz w:val="24"/>
          <w:szCs w:val="24"/>
        </w:rPr>
        <w:t>The general rule is that past consideration (i.e. where a promise is made after the alleged consideration for it was given) is not good consideration</w:t>
      </w:r>
      <w:r w:rsidR="00687728" w:rsidRPr="00036302">
        <w:rPr>
          <w:rFonts w:ascii="Arial" w:hAnsi="Arial" w:cs="Arial"/>
          <w:sz w:val="24"/>
          <w:szCs w:val="24"/>
        </w:rPr>
        <w:t xml:space="preserve"> </w:t>
      </w:r>
      <w:r w:rsidRPr="00036302">
        <w:rPr>
          <w:rFonts w:ascii="Arial" w:hAnsi="Arial" w:cs="Arial"/>
          <w:sz w:val="24"/>
          <w:szCs w:val="24"/>
        </w:rPr>
        <w:t>(Re McArdle (1951). Past consideration is insufficient to form a legally enforceable agreement and therefore cannot be valid in a present contract whereas good consideration is when something of some value is given over a present contract and it is legally permissible (Thomas v Thomas (1842) Thus, past consideration may not amount to good consideration as the consideration is not given in exchange for a later promise</w:t>
      </w:r>
      <w:r w:rsidR="004A72D1" w:rsidRPr="00036302">
        <w:rPr>
          <w:rFonts w:ascii="Arial" w:hAnsi="Arial" w:cs="Arial"/>
          <w:sz w:val="24"/>
          <w:szCs w:val="24"/>
        </w:rPr>
        <w:t xml:space="preserve"> (</w:t>
      </w:r>
      <w:r w:rsidR="004A72D1" w:rsidRPr="00036302">
        <w:rPr>
          <w:rFonts w:ascii="Arial" w:hAnsi="Arial" w:cs="Arial"/>
          <w:sz w:val="24"/>
          <w:szCs w:val="24"/>
        </w:rPr>
        <w:t xml:space="preserve">Pao </w:t>
      </w:r>
      <w:proofErr w:type="gramStart"/>
      <w:r w:rsidR="004A72D1" w:rsidRPr="00036302">
        <w:rPr>
          <w:rFonts w:ascii="Arial" w:hAnsi="Arial" w:cs="Arial"/>
          <w:sz w:val="24"/>
          <w:szCs w:val="24"/>
        </w:rPr>
        <w:t>On</w:t>
      </w:r>
      <w:proofErr w:type="gramEnd"/>
      <w:r w:rsidR="004A72D1" w:rsidRPr="00036302">
        <w:rPr>
          <w:rFonts w:ascii="Arial" w:hAnsi="Arial" w:cs="Arial"/>
          <w:sz w:val="24"/>
          <w:szCs w:val="24"/>
        </w:rPr>
        <w:t xml:space="preserve"> v Lau </w:t>
      </w:r>
      <w:proofErr w:type="spellStart"/>
      <w:r w:rsidR="004A72D1" w:rsidRPr="00036302">
        <w:rPr>
          <w:rFonts w:ascii="Arial" w:hAnsi="Arial" w:cs="Arial"/>
          <w:sz w:val="24"/>
          <w:szCs w:val="24"/>
        </w:rPr>
        <w:t>Yiu</w:t>
      </w:r>
      <w:proofErr w:type="spellEnd"/>
      <w:r w:rsidR="004A72D1" w:rsidRPr="00036302">
        <w:rPr>
          <w:rFonts w:ascii="Arial" w:hAnsi="Arial" w:cs="Arial"/>
          <w:sz w:val="24"/>
          <w:szCs w:val="24"/>
        </w:rPr>
        <w:t xml:space="preserve"> Long (1980)</w:t>
      </w:r>
      <w:r w:rsidR="004A72D1" w:rsidRPr="00036302">
        <w:rPr>
          <w:rFonts w:ascii="Arial" w:hAnsi="Arial" w:cs="Arial"/>
          <w:sz w:val="24"/>
          <w:szCs w:val="24"/>
        </w:rPr>
        <w:t>)</w:t>
      </w:r>
      <w:r w:rsidR="004A72D1" w:rsidRPr="00036302">
        <w:rPr>
          <w:rFonts w:ascii="Arial" w:hAnsi="Arial" w:cs="Arial"/>
          <w:sz w:val="24"/>
          <w:szCs w:val="24"/>
        </w:rPr>
        <w:t>.</w:t>
      </w:r>
      <w:r w:rsidR="004A72D1" w:rsidRPr="00036302">
        <w:rPr>
          <w:rFonts w:ascii="Arial" w:hAnsi="Arial" w:cs="Arial"/>
          <w:sz w:val="24"/>
          <w:szCs w:val="24"/>
        </w:rPr>
        <w:t xml:space="preserve"> </w:t>
      </w:r>
      <w:r w:rsidRPr="00036302">
        <w:rPr>
          <w:rFonts w:ascii="Arial" w:hAnsi="Arial" w:cs="Arial"/>
          <w:sz w:val="24"/>
          <w:szCs w:val="24"/>
        </w:rPr>
        <w:t xml:space="preserve"> </w:t>
      </w:r>
    </w:p>
    <w:p w:rsidR="008502AD" w:rsidRPr="00036302" w:rsidRDefault="008502AD" w:rsidP="004A72D1">
      <w:pPr>
        <w:pStyle w:val="ListParagraph"/>
        <w:jc w:val="both"/>
        <w:rPr>
          <w:rFonts w:ascii="Arial" w:hAnsi="Arial" w:cs="Arial"/>
          <w:sz w:val="24"/>
          <w:szCs w:val="24"/>
        </w:rPr>
      </w:pPr>
      <w:r w:rsidRPr="00036302">
        <w:rPr>
          <w:rFonts w:ascii="Arial" w:hAnsi="Arial" w:cs="Arial"/>
          <w:sz w:val="24"/>
          <w:szCs w:val="24"/>
        </w:rPr>
        <w:t>However, an act or promise in the past may amount to good consideration for a later promise based on the following</w:t>
      </w:r>
      <w:r w:rsidR="004A72D1" w:rsidRPr="00036302">
        <w:rPr>
          <w:rFonts w:ascii="Arial" w:hAnsi="Arial" w:cs="Arial"/>
          <w:sz w:val="24"/>
          <w:szCs w:val="24"/>
        </w:rPr>
        <w:t xml:space="preserve"> (exceptions to the past consideration rule)</w:t>
      </w:r>
      <w:r w:rsidRPr="00036302">
        <w:rPr>
          <w:rFonts w:ascii="Arial" w:hAnsi="Arial" w:cs="Arial"/>
          <w:sz w:val="24"/>
          <w:szCs w:val="24"/>
        </w:rPr>
        <w:t>: the act or promise is done or given at the request of the promisor; it was understood by the parties that payment would be made for the act; the payment would have been legally enforceable had it been promised in advance</w:t>
      </w:r>
      <w:r w:rsidR="004A72D1" w:rsidRPr="00036302">
        <w:rPr>
          <w:rFonts w:ascii="Arial" w:hAnsi="Arial" w:cs="Arial"/>
          <w:sz w:val="24"/>
          <w:szCs w:val="24"/>
        </w:rPr>
        <w:t xml:space="preserve"> (</w:t>
      </w:r>
      <w:proofErr w:type="spellStart"/>
      <w:r w:rsidRPr="00036302">
        <w:rPr>
          <w:rFonts w:ascii="Arial" w:hAnsi="Arial" w:cs="Arial"/>
          <w:sz w:val="24"/>
          <w:szCs w:val="24"/>
        </w:rPr>
        <w:t>Lampleigh</w:t>
      </w:r>
      <w:proofErr w:type="spellEnd"/>
      <w:r w:rsidRPr="00036302">
        <w:rPr>
          <w:rFonts w:ascii="Arial" w:hAnsi="Arial" w:cs="Arial"/>
          <w:sz w:val="24"/>
          <w:szCs w:val="24"/>
        </w:rPr>
        <w:t xml:space="preserve"> v Brathwaite (1965)</w:t>
      </w:r>
      <w:r w:rsidR="004A72D1" w:rsidRPr="00036302">
        <w:rPr>
          <w:rFonts w:ascii="Arial" w:hAnsi="Arial" w:cs="Arial"/>
          <w:sz w:val="24"/>
          <w:szCs w:val="24"/>
        </w:rPr>
        <w:t>)</w:t>
      </w:r>
      <w:r w:rsidRPr="00036302">
        <w:rPr>
          <w:rFonts w:ascii="Arial" w:hAnsi="Arial" w:cs="Arial"/>
          <w:sz w:val="24"/>
          <w:szCs w:val="24"/>
        </w:rPr>
        <w:t xml:space="preserve">, </w:t>
      </w:r>
      <w:r w:rsidR="004A72D1" w:rsidRPr="00036302">
        <w:rPr>
          <w:rFonts w:ascii="Arial" w:hAnsi="Arial" w:cs="Arial"/>
          <w:sz w:val="24"/>
          <w:szCs w:val="24"/>
        </w:rPr>
        <w:t>(</w:t>
      </w:r>
      <w:r w:rsidRPr="00036302">
        <w:rPr>
          <w:rFonts w:ascii="Arial" w:hAnsi="Arial" w:cs="Arial"/>
          <w:sz w:val="24"/>
          <w:szCs w:val="24"/>
        </w:rPr>
        <w:t>Re Casey Patents (1892)</w:t>
      </w:r>
      <w:r w:rsidR="004A72D1" w:rsidRPr="00036302">
        <w:rPr>
          <w:rFonts w:ascii="Arial" w:hAnsi="Arial" w:cs="Arial"/>
          <w:sz w:val="24"/>
          <w:szCs w:val="24"/>
        </w:rPr>
        <w:t>)</w:t>
      </w:r>
      <w:r w:rsidRPr="00036302">
        <w:rPr>
          <w:rFonts w:ascii="Arial" w:hAnsi="Arial" w:cs="Arial"/>
          <w:sz w:val="24"/>
          <w:szCs w:val="24"/>
        </w:rPr>
        <w:t>.</w:t>
      </w:r>
    </w:p>
    <w:p w:rsidR="002C2A9A" w:rsidRPr="00036302" w:rsidRDefault="008502AD" w:rsidP="00687728">
      <w:pPr>
        <w:pStyle w:val="ListParagraph"/>
        <w:numPr>
          <w:ilvl w:val="0"/>
          <w:numId w:val="1"/>
        </w:numPr>
        <w:jc w:val="both"/>
        <w:rPr>
          <w:rFonts w:ascii="Arial" w:hAnsi="Arial" w:cs="Arial"/>
          <w:sz w:val="24"/>
          <w:szCs w:val="24"/>
        </w:rPr>
      </w:pPr>
      <w:r w:rsidRPr="00036302">
        <w:rPr>
          <w:rFonts w:ascii="Arial" w:hAnsi="Arial" w:cs="Arial"/>
          <w:sz w:val="24"/>
          <w:szCs w:val="24"/>
        </w:rPr>
        <w:t xml:space="preserve">The entire performance rule also known as the ‘complete performance rule’ from the case of Cutter v Powell (1795) is the rule that a party’s performance must be complete and exact before they can demand performance of the other party. That is, a party cannot require performance from the other party unless their own performance is precise and exact. In this case, a sailor’s widow could not recover anything from the shipping company after he died during a voyage. Following this judgement, the rule was deemed too harsh and as a result of that, various exceptions have been developed over the years. </w:t>
      </w:r>
    </w:p>
    <w:p w:rsidR="002C2A9A" w:rsidRPr="00036302" w:rsidRDefault="008502AD" w:rsidP="002C2A9A">
      <w:pPr>
        <w:pStyle w:val="ListParagraph"/>
        <w:jc w:val="both"/>
        <w:rPr>
          <w:rFonts w:ascii="Arial" w:hAnsi="Arial" w:cs="Arial"/>
          <w:sz w:val="24"/>
          <w:szCs w:val="24"/>
        </w:rPr>
      </w:pPr>
      <w:r w:rsidRPr="00036302">
        <w:rPr>
          <w:rFonts w:ascii="Arial" w:hAnsi="Arial" w:cs="Arial"/>
          <w:sz w:val="24"/>
          <w:szCs w:val="24"/>
        </w:rPr>
        <w:t>Exceptions to this rule may apply</w:t>
      </w:r>
      <w:r w:rsidR="00162E55" w:rsidRPr="00036302">
        <w:rPr>
          <w:rFonts w:ascii="Arial" w:hAnsi="Arial" w:cs="Arial"/>
          <w:sz w:val="24"/>
          <w:szCs w:val="24"/>
        </w:rPr>
        <w:t>:</w:t>
      </w:r>
      <w:r w:rsidRPr="00036302">
        <w:rPr>
          <w:rFonts w:ascii="Arial" w:hAnsi="Arial" w:cs="Arial"/>
          <w:sz w:val="24"/>
          <w:szCs w:val="24"/>
        </w:rPr>
        <w:t xml:space="preserve"> where there has been substantial performance of a contractual obligations- where it can be proved that the </w:t>
      </w:r>
      <w:r w:rsidRPr="00036302">
        <w:rPr>
          <w:rFonts w:ascii="Arial" w:hAnsi="Arial" w:cs="Arial"/>
          <w:sz w:val="24"/>
          <w:szCs w:val="24"/>
        </w:rPr>
        <w:lastRenderedPageBreak/>
        <w:t>claimant has substantially performed the contract thereby entitled to the agreed price in the contract though some deductions could be made as to the performance that has not been completed</w:t>
      </w:r>
      <w:bookmarkStart w:id="0" w:name="_Hlk96378822"/>
      <w:r w:rsidR="002C2A9A" w:rsidRPr="00036302">
        <w:rPr>
          <w:rFonts w:ascii="Arial" w:hAnsi="Arial" w:cs="Arial"/>
          <w:sz w:val="24"/>
          <w:szCs w:val="24"/>
        </w:rPr>
        <w:t xml:space="preserve">. </w:t>
      </w:r>
      <w:r w:rsidRPr="00036302">
        <w:rPr>
          <w:rFonts w:ascii="Arial" w:hAnsi="Arial" w:cs="Arial"/>
          <w:sz w:val="24"/>
          <w:szCs w:val="24"/>
        </w:rPr>
        <w:t>Bolton v Mahadeva (1972), (Hoeing v Isaac (1952))</w:t>
      </w:r>
      <w:r w:rsidR="002C2A9A" w:rsidRPr="00036302">
        <w:rPr>
          <w:rFonts w:ascii="Arial" w:hAnsi="Arial" w:cs="Arial"/>
          <w:sz w:val="24"/>
          <w:szCs w:val="24"/>
        </w:rPr>
        <w:t>. There were different judgments in these two cases</w:t>
      </w:r>
      <w:r w:rsidR="00162E55" w:rsidRPr="00036302">
        <w:rPr>
          <w:rFonts w:ascii="Arial" w:hAnsi="Arial" w:cs="Arial"/>
          <w:sz w:val="24"/>
          <w:szCs w:val="24"/>
        </w:rPr>
        <w:t>:</w:t>
      </w:r>
      <w:r w:rsidR="002C2A9A" w:rsidRPr="00036302">
        <w:rPr>
          <w:rFonts w:ascii="Arial" w:hAnsi="Arial" w:cs="Arial"/>
          <w:sz w:val="24"/>
          <w:szCs w:val="24"/>
        </w:rPr>
        <w:t xml:space="preserve"> In Bolton v Mahadeva (1972), it was held that </w:t>
      </w:r>
      <w:r w:rsidR="00162E55" w:rsidRPr="00036302">
        <w:rPr>
          <w:rFonts w:ascii="Arial" w:hAnsi="Arial" w:cs="Arial"/>
          <w:sz w:val="24"/>
          <w:szCs w:val="24"/>
        </w:rPr>
        <w:t>the claimant was not entitled to any money because there had been no substantial performance at all, whereas, in Hoeing v Isaac (1952), it was held that where there is substantial performance of the contract, then money must be paid</w:t>
      </w:r>
      <w:bookmarkEnd w:id="0"/>
      <w:r w:rsidR="00162E55" w:rsidRPr="00036302">
        <w:rPr>
          <w:rFonts w:ascii="Arial" w:hAnsi="Arial" w:cs="Arial"/>
          <w:sz w:val="24"/>
          <w:szCs w:val="24"/>
        </w:rPr>
        <w:t>;</w:t>
      </w:r>
    </w:p>
    <w:p w:rsidR="00162E55" w:rsidRPr="00036302" w:rsidRDefault="00162E55" w:rsidP="002C2A9A">
      <w:pPr>
        <w:pStyle w:val="ListParagraph"/>
        <w:jc w:val="both"/>
        <w:rPr>
          <w:rFonts w:ascii="Arial" w:hAnsi="Arial" w:cs="Arial"/>
          <w:sz w:val="24"/>
          <w:szCs w:val="24"/>
        </w:rPr>
      </w:pPr>
      <w:r w:rsidRPr="00036302">
        <w:rPr>
          <w:rFonts w:ascii="Arial" w:hAnsi="Arial" w:cs="Arial"/>
          <w:sz w:val="24"/>
          <w:szCs w:val="24"/>
        </w:rPr>
        <w:t xml:space="preserve">Where there is </w:t>
      </w:r>
      <w:r w:rsidR="002C2A9A" w:rsidRPr="00036302">
        <w:rPr>
          <w:rFonts w:ascii="Arial" w:hAnsi="Arial" w:cs="Arial"/>
          <w:sz w:val="24"/>
          <w:szCs w:val="24"/>
        </w:rPr>
        <w:t>A</w:t>
      </w:r>
      <w:r w:rsidR="008502AD" w:rsidRPr="00036302">
        <w:rPr>
          <w:rFonts w:ascii="Arial" w:hAnsi="Arial" w:cs="Arial"/>
          <w:sz w:val="24"/>
          <w:szCs w:val="24"/>
        </w:rPr>
        <w:t xml:space="preserve">cceptance of partial performance where there was a partial performance of the contract, incompletes and acceptable by one of the parties – </w:t>
      </w:r>
      <w:bookmarkStart w:id="1" w:name="_Hlk96379071"/>
      <w:r w:rsidR="008502AD" w:rsidRPr="00036302">
        <w:rPr>
          <w:rFonts w:ascii="Arial" w:hAnsi="Arial" w:cs="Arial"/>
          <w:sz w:val="24"/>
          <w:szCs w:val="24"/>
        </w:rPr>
        <w:t>Sumpter v Hedges (1898</w:t>
      </w:r>
      <w:bookmarkEnd w:id="1"/>
      <w:r w:rsidRPr="00036302">
        <w:rPr>
          <w:rFonts w:ascii="Arial" w:hAnsi="Arial" w:cs="Arial"/>
          <w:sz w:val="24"/>
          <w:szCs w:val="24"/>
        </w:rPr>
        <w:t>);</w:t>
      </w:r>
    </w:p>
    <w:p w:rsidR="00162E55" w:rsidRPr="00036302" w:rsidRDefault="00162E55" w:rsidP="002C2A9A">
      <w:pPr>
        <w:pStyle w:val="ListParagraph"/>
        <w:jc w:val="both"/>
        <w:rPr>
          <w:rFonts w:ascii="Arial" w:hAnsi="Arial" w:cs="Arial"/>
          <w:sz w:val="24"/>
          <w:szCs w:val="24"/>
        </w:rPr>
      </w:pPr>
      <w:r w:rsidRPr="00036302">
        <w:rPr>
          <w:rFonts w:ascii="Arial" w:hAnsi="Arial" w:cs="Arial"/>
          <w:sz w:val="24"/>
          <w:szCs w:val="24"/>
        </w:rPr>
        <w:t>W</w:t>
      </w:r>
      <w:r w:rsidR="008502AD" w:rsidRPr="00036302">
        <w:rPr>
          <w:rFonts w:ascii="Arial" w:hAnsi="Arial" w:cs="Arial"/>
          <w:sz w:val="24"/>
          <w:szCs w:val="24"/>
        </w:rPr>
        <w:t xml:space="preserve">here one party prevents performance- that is, the promisor could not complete the performance because he was prevented from doing so by the promise- </w:t>
      </w:r>
      <w:bookmarkStart w:id="2" w:name="_Hlk96379159"/>
      <w:r w:rsidR="008502AD" w:rsidRPr="00036302">
        <w:rPr>
          <w:rFonts w:ascii="Arial" w:hAnsi="Arial" w:cs="Arial"/>
          <w:sz w:val="24"/>
          <w:szCs w:val="24"/>
        </w:rPr>
        <w:t>(Multiplex Constructions UK Ltd v Honeywell control Systems Ltd (2007), (</w:t>
      </w:r>
      <w:proofErr w:type="spellStart"/>
      <w:r w:rsidR="008502AD" w:rsidRPr="00036302">
        <w:rPr>
          <w:rFonts w:ascii="Arial" w:hAnsi="Arial" w:cs="Arial"/>
          <w:sz w:val="24"/>
          <w:szCs w:val="24"/>
        </w:rPr>
        <w:t>Planche</w:t>
      </w:r>
      <w:proofErr w:type="spellEnd"/>
      <w:r w:rsidR="008502AD" w:rsidRPr="00036302">
        <w:rPr>
          <w:rFonts w:ascii="Arial" w:hAnsi="Arial" w:cs="Arial"/>
          <w:sz w:val="24"/>
          <w:szCs w:val="24"/>
        </w:rPr>
        <w:t xml:space="preserve"> v Colburn (1831</w:t>
      </w:r>
      <w:bookmarkEnd w:id="2"/>
      <w:r w:rsidR="008502AD" w:rsidRPr="00036302">
        <w:rPr>
          <w:rFonts w:ascii="Arial" w:hAnsi="Arial" w:cs="Arial"/>
          <w:sz w:val="24"/>
          <w:szCs w:val="24"/>
        </w:rPr>
        <w:t>)</w:t>
      </w:r>
      <w:r w:rsidRPr="00036302">
        <w:rPr>
          <w:rFonts w:ascii="Arial" w:hAnsi="Arial" w:cs="Arial"/>
          <w:sz w:val="24"/>
          <w:szCs w:val="24"/>
        </w:rPr>
        <w:t xml:space="preserve">); </w:t>
      </w:r>
    </w:p>
    <w:p w:rsidR="00162E55" w:rsidRPr="00036302" w:rsidRDefault="00162E55" w:rsidP="00162E55">
      <w:pPr>
        <w:pStyle w:val="ListParagraph"/>
        <w:jc w:val="both"/>
        <w:rPr>
          <w:rFonts w:ascii="Arial" w:hAnsi="Arial" w:cs="Arial"/>
          <w:sz w:val="24"/>
          <w:szCs w:val="24"/>
        </w:rPr>
      </w:pPr>
      <w:r w:rsidRPr="00036302">
        <w:rPr>
          <w:rFonts w:ascii="Arial" w:hAnsi="Arial" w:cs="Arial"/>
          <w:sz w:val="24"/>
          <w:szCs w:val="24"/>
        </w:rPr>
        <w:t>W</w:t>
      </w:r>
      <w:r w:rsidR="008502AD" w:rsidRPr="00036302">
        <w:rPr>
          <w:rFonts w:ascii="Arial" w:hAnsi="Arial" w:cs="Arial"/>
          <w:sz w:val="24"/>
          <w:szCs w:val="24"/>
        </w:rPr>
        <w:t>here the obligations under the contracts are divisible or severable</w:t>
      </w:r>
      <w:r w:rsidRPr="00036302">
        <w:rPr>
          <w:rFonts w:ascii="Arial" w:hAnsi="Arial" w:cs="Arial"/>
          <w:sz w:val="24"/>
          <w:szCs w:val="24"/>
        </w:rPr>
        <w:t xml:space="preserve">, </w:t>
      </w:r>
      <w:r w:rsidR="008502AD" w:rsidRPr="00036302">
        <w:rPr>
          <w:rFonts w:ascii="Arial" w:hAnsi="Arial" w:cs="Arial"/>
          <w:sz w:val="24"/>
          <w:szCs w:val="24"/>
        </w:rPr>
        <w:t xml:space="preserve">where it can be proved that there exists an entire contract and the contract could be divided into separate parts at an agreed value per parts of the contract- </w:t>
      </w:r>
      <w:bookmarkStart w:id="3" w:name="_Hlk96379506"/>
      <w:r w:rsidR="008502AD" w:rsidRPr="00036302">
        <w:rPr>
          <w:rFonts w:ascii="Arial" w:hAnsi="Arial" w:cs="Arial"/>
          <w:sz w:val="24"/>
          <w:szCs w:val="24"/>
        </w:rPr>
        <w:t>Ritchie v Atkinson (1808)</w:t>
      </w:r>
      <w:bookmarkEnd w:id="3"/>
      <w:r w:rsidRPr="00036302">
        <w:rPr>
          <w:rFonts w:ascii="Arial" w:hAnsi="Arial" w:cs="Arial"/>
          <w:sz w:val="24"/>
          <w:szCs w:val="24"/>
        </w:rPr>
        <w:t>.</w:t>
      </w:r>
    </w:p>
    <w:p w:rsidR="008502AD" w:rsidRPr="00036302" w:rsidRDefault="008502AD" w:rsidP="00162E55">
      <w:pPr>
        <w:pStyle w:val="ListParagraph"/>
        <w:numPr>
          <w:ilvl w:val="0"/>
          <w:numId w:val="1"/>
        </w:numPr>
        <w:jc w:val="both"/>
        <w:rPr>
          <w:rFonts w:ascii="Arial" w:hAnsi="Arial" w:cs="Arial"/>
          <w:sz w:val="24"/>
          <w:szCs w:val="24"/>
        </w:rPr>
      </w:pPr>
      <w:r w:rsidRPr="00036302">
        <w:rPr>
          <w:rFonts w:ascii="Arial" w:hAnsi="Arial" w:cs="Arial"/>
          <w:sz w:val="24"/>
          <w:szCs w:val="24"/>
        </w:rPr>
        <w:t>In order to establish whether a valid contract exists, there must be agreement, consideration, and an intention to create legal relations. Agreement has to be proved by an offer and an acceptance of that offer. An offer is a clear and certain expression of terms with the intention of becoming legally bound upon acceptance</w:t>
      </w:r>
      <w:r w:rsidR="0057090C">
        <w:rPr>
          <w:rFonts w:ascii="Arial" w:hAnsi="Arial" w:cs="Arial"/>
          <w:sz w:val="24"/>
          <w:szCs w:val="24"/>
        </w:rPr>
        <w:t xml:space="preserve"> (Elliot and Quinn, 2017). </w:t>
      </w:r>
      <w:r w:rsidRPr="00036302">
        <w:rPr>
          <w:rFonts w:ascii="Arial" w:hAnsi="Arial" w:cs="Arial"/>
          <w:sz w:val="24"/>
          <w:szCs w:val="24"/>
        </w:rPr>
        <w:t xml:space="preserve">An offer must be distinguished from an invitation to treat, which is merely an expression of willingness to receive offers and has no legal effect- </w:t>
      </w:r>
      <w:bookmarkStart w:id="4" w:name="_Hlk96379694"/>
      <w:r w:rsidRPr="00036302">
        <w:rPr>
          <w:rFonts w:ascii="Arial" w:hAnsi="Arial" w:cs="Arial"/>
          <w:sz w:val="24"/>
          <w:szCs w:val="24"/>
        </w:rPr>
        <w:t>Gibson v Manchester City Council (1979).</w:t>
      </w:r>
    </w:p>
    <w:bookmarkEnd w:id="4"/>
    <w:p w:rsidR="008502AD" w:rsidRPr="00036302" w:rsidRDefault="008502AD" w:rsidP="008502AD">
      <w:pPr>
        <w:jc w:val="both"/>
        <w:rPr>
          <w:rFonts w:ascii="Arial" w:hAnsi="Arial" w:cs="Arial"/>
          <w:sz w:val="24"/>
          <w:szCs w:val="24"/>
        </w:rPr>
      </w:pPr>
      <w:r w:rsidRPr="00036302">
        <w:rPr>
          <w:rFonts w:ascii="Arial" w:hAnsi="Arial" w:cs="Arial"/>
          <w:sz w:val="24"/>
          <w:szCs w:val="24"/>
        </w:rPr>
        <w:t xml:space="preserve">Arthur posting the advert in the ‘Antique- tickers’ magazine with the clause “open to serious offers” was an invitation to treat- </w:t>
      </w:r>
      <w:bookmarkStart w:id="5" w:name="_Hlk96379805"/>
      <w:r w:rsidRPr="00036302">
        <w:rPr>
          <w:rFonts w:ascii="Arial" w:hAnsi="Arial" w:cs="Arial"/>
          <w:sz w:val="24"/>
          <w:szCs w:val="24"/>
        </w:rPr>
        <w:t xml:space="preserve">Partridge v Crittenden (1968). </w:t>
      </w:r>
      <w:bookmarkEnd w:id="5"/>
      <w:r w:rsidRPr="00036302">
        <w:rPr>
          <w:rFonts w:ascii="Arial" w:hAnsi="Arial" w:cs="Arial"/>
          <w:sz w:val="24"/>
          <w:szCs w:val="24"/>
        </w:rPr>
        <w:t>‘An invitation to treat is merely an invitation for offers or to open negotiations, e.g., Gibson v Manchester City Council (1979). It does not meet the requirements to be an offer, so cannot be accepted so as to give rise to a binding offer’.</w:t>
      </w:r>
    </w:p>
    <w:p w:rsidR="008502AD" w:rsidRPr="00036302" w:rsidRDefault="008502AD" w:rsidP="008502AD">
      <w:pPr>
        <w:jc w:val="both"/>
        <w:rPr>
          <w:rFonts w:ascii="Arial" w:hAnsi="Arial" w:cs="Arial"/>
          <w:sz w:val="24"/>
          <w:szCs w:val="24"/>
        </w:rPr>
      </w:pPr>
      <w:r w:rsidRPr="00036302">
        <w:rPr>
          <w:rFonts w:ascii="Arial" w:hAnsi="Arial" w:cs="Arial"/>
          <w:sz w:val="24"/>
          <w:szCs w:val="24"/>
        </w:rPr>
        <w:t>The general rule suggests that Arthur’s advertisement is merely an invitation to treat. However, the advertisement does appear to contain clear terms (open to serious offers). The fact that Arthur has gone to the trouble of advertising this and also included his contact details which included a postal and email address would suggest that he also has the requisite intention to be bound. While it can be argued that there is some uncertainty, in that it is unclear if the clause ‘open to serious offers’ means it is open for negotiations or only serious buyers. It could be suggested that the advertisement is more likely than not an offer for a unilateral contract.</w:t>
      </w:r>
    </w:p>
    <w:p w:rsidR="009554D8" w:rsidRDefault="008502AD" w:rsidP="008502AD">
      <w:pPr>
        <w:jc w:val="both"/>
        <w:rPr>
          <w:rFonts w:ascii="Arial" w:hAnsi="Arial" w:cs="Arial"/>
          <w:sz w:val="24"/>
          <w:szCs w:val="24"/>
        </w:rPr>
      </w:pPr>
      <w:r w:rsidRPr="00036302">
        <w:rPr>
          <w:rFonts w:ascii="Arial" w:hAnsi="Arial" w:cs="Arial"/>
          <w:sz w:val="24"/>
          <w:szCs w:val="24"/>
        </w:rPr>
        <w:t>Applying this to Ben, Ben made an offer to Arthur through a letter he posted on 4</w:t>
      </w:r>
      <w:r w:rsidRPr="00036302">
        <w:rPr>
          <w:rFonts w:ascii="Arial" w:hAnsi="Arial" w:cs="Arial"/>
          <w:sz w:val="24"/>
          <w:szCs w:val="24"/>
          <w:vertAlign w:val="superscript"/>
        </w:rPr>
        <w:t xml:space="preserve">th </w:t>
      </w:r>
      <w:r w:rsidRPr="00036302">
        <w:rPr>
          <w:rFonts w:ascii="Arial" w:hAnsi="Arial" w:cs="Arial"/>
          <w:sz w:val="24"/>
          <w:szCs w:val="24"/>
        </w:rPr>
        <w:t>May but it cannot be said that the offer was communicated to Arthur as accepting the offer or agreeing to the terms of the offer because the letter did not arrive until 7</w:t>
      </w:r>
      <w:r w:rsidRPr="00036302">
        <w:rPr>
          <w:rFonts w:ascii="Arial" w:hAnsi="Arial" w:cs="Arial"/>
          <w:sz w:val="24"/>
          <w:szCs w:val="24"/>
          <w:vertAlign w:val="superscript"/>
        </w:rPr>
        <w:t>th</w:t>
      </w:r>
      <w:r w:rsidRPr="00036302">
        <w:rPr>
          <w:rFonts w:ascii="Arial" w:hAnsi="Arial" w:cs="Arial"/>
          <w:sz w:val="24"/>
          <w:szCs w:val="24"/>
        </w:rPr>
        <w:t xml:space="preserve"> May. Agreement is one of the crucial factors required for a valid contract to be formed. That is, an offer has to be made by an offeror and accepted by the offeror. This requires one party, the offeror, to have communicated a clear and certain set of terms on which </w:t>
      </w:r>
      <w:r w:rsidRPr="00036302">
        <w:rPr>
          <w:rFonts w:ascii="Arial" w:hAnsi="Arial" w:cs="Arial"/>
          <w:sz w:val="24"/>
          <w:szCs w:val="24"/>
        </w:rPr>
        <w:lastRenderedPageBreak/>
        <w:t>he is willing to be bound; to be met with a ‘mirror-image’ acceptance (</w:t>
      </w:r>
      <w:bookmarkStart w:id="6" w:name="_Hlk96379898"/>
      <w:r w:rsidRPr="00036302">
        <w:rPr>
          <w:rFonts w:ascii="Arial" w:hAnsi="Arial" w:cs="Arial"/>
          <w:sz w:val="24"/>
          <w:szCs w:val="24"/>
        </w:rPr>
        <w:t>Jones v Daniel (1894</w:t>
      </w:r>
      <w:bookmarkEnd w:id="6"/>
      <w:r w:rsidRPr="00036302">
        <w:rPr>
          <w:rFonts w:ascii="Arial" w:hAnsi="Arial" w:cs="Arial"/>
          <w:sz w:val="24"/>
          <w:szCs w:val="24"/>
        </w:rPr>
        <w:t xml:space="preserve">). </w:t>
      </w:r>
    </w:p>
    <w:p w:rsidR="008502AD" w:rsidRPr="00036302" w:rsidRDefault="008502AD" w:rsidP="008502AD">
      <w:pPr>
        <w:jc w:val="both"/>
        <w:rPr>
          <w:rFonts w:ascii="Arial" w:hAnsi="Arial" w:cs="Arial"/>
          <w:sz w:val="24"/>
          <w:szCs w:val="24"/>
        </w:rPr>
      </w:pPr>
      <w:r w:rsidRPr="00036302">
        <w:rPr>
          <w:rFonts w:ascii="Arial" w:hAnsi="Arial" w:cs="Arial"/>
          <w:sz w:val="24"/>
          <w:szCs w:val="24"/>
        </w:rPr>
        <w:t xml:space="preserve">In order for an offer to be accepted, it must first be communicated to the offeree </w:t>
      </w:r>
      <w:bookmarkStart w:id="7" w:name="_Hlk96380129"/>
      <w:r w:rsidRPr="00036302">
        <w:rPr>
          <w:rFonts w:ascii="Arial" w:hAnsi="Arial" w:cs="Arial"/>
          <w:sz w:val="24"/>
          <w:szCs w:val="24"/>
        </w:rPr>
        <w:t>-Taylor v Laird (1856</w:t>
      </w:r>
      <w:bookmarkEnd w:id="7"/>
      <w:r w:rsidRPr="00036302">
        <w:rPr>
          <w:rFonts w:ascii="Arial" w:hAnsi="Arial" w:cs="Arial"/>
          <w:sz w:val="24"/>
          <w:szCs w:val="24"/>
        </w:rPr>
        <w:t>). In any event, for an acceptance to be valid, it must be communicated to the offeror (</w:t>
      </w:r>
      <w:bookmarkStart w:id="8" w:name="_Hlk96380233"/>
      <w:r w:rsidRPr="00036302">
        <w:rPr>
          <w:rFonts w:ascii="Arial" w:hAnsi="Arial" w:cs="Arial"/>
          <w:sz w:val="24"/>
          <w:szCs w:val="24"/>
        </w:rPr>
        <w:t xml:space="preserve">Entores v Miles Far East Corporation (1955). </w:t>
      </w:r>
      <w:bookmarkEnd w:id="8"/>
      <w:r w:rsidRPr="00036302">
        <w:rPr>
          <w:rFonts w:ascii="Arial" w:hAnsi="Arial" w:cs="Arial"/>
          <w:sz w:val="24"/>
          <w:szCs w:val="24"/>
        </w:rPr>
        <w:t>The offer was made through the letter posted on 4</w:t>
      </w:r>
      <w:r w:rsidRPr="00036302">
        <w:rPr>
          <w:rFonts w:ascii="Arial" w:hAnsi="Arial" w:cs="Arial"/>
          <w:sz w:val="24"/>
          <w:szCs w:val="24"/>
          <w:vertAlign w:val="superscript"/>
        </w:rPr>
        <w:t>th</w:t>
      </w:r>
      <w:r w:rsidRPr="00036302">
        <w:rPr>
          <w:rFonts w:ascii="Arial" w:hAnsi="Arial" w:cs="Arial"/>
          <w:sz w:val="24"/>
          <w:szCs w:val="24"/>
        </w:rPr>
        <w:t xml:space="preserve"> May but didn’t arrive until 7</w:t>
      </w:r>
      <w:r w:rsidRPr="00036302">
        <w:rPr>
          <w:rFonts w:ascii="Arial" w:hAnsi="Arial" w:cs="Arial"/>
          <w:sz w:val="24"/>
          <w:szCs w:val="24"/>
          <w:vertAlign w:val="superscript"/>
        </w:rPr>
        <w:t>th</w:t>
      </w:r>
      <w:r w:rsidRPr="00036302">
        <w:rPr>
          <w:rFonts w:ascii="Arial" w:hAnsi="Arial" w:cs="Arial"/>
          <w:sz w:val="24"/>
          <w:szCs w:val="24"/>
        </w:rPr>
        <w:t xml:space="preserve"> May. Here, the postal rule does not apply because it is clear that the postal rule only applies to acceptances (</w:t>
      </w:r>
      <w:bookmarkStart w:id="9" w:name="_Hlk96380319"/>
      <w:r w:rsidRPr="00036302">
        <w:rPr>
          <w:rFonts w:ascii="Arial" w:hAnsi="Arial" w:cs="Arial"/>
          <w:sz w:val="24"/>
          <w:szCs w:val="24"/>
        </w:rPr>
        <w:t xml:space="preserve">Byrne v Van </w:t>
      </w:r>
      <w:proofErr w:type="spellStart"/>
      <w:r w:rsidRPr="00036302">
        <w:rPr>
          <w:rFonts w:ascii="Arial" w:hAnsi="Arial" w:cs="Arial"/>
          <w:sz w:val="24"/>
          <w:szCs w:val="24"/>
        </w:rPr>
        <w:t>Tienhoven</w:t>
      </w:r>
      <w:proofErr w:type="spellEnd"/>
      <w:r w:rsidRPr="00036302">
        <w:rPr>
          <w:rFonts w:ascii="Arial" w:hAnsi="Arial" w:cs="Arial"/>
          <w:sz w:val="24"/>
          <w:szCs w:val="24"/>
        </w:rPr>
        <w:t xml:space="preserve"> (1880). </w:t>
      </w:r>
      <w:bookmarkEnd w:id="9"/>
      <w:r w:rsidRPr="00036302">
        <w:rPr>
          <w:rFonts w:ascii="Arial" w:hAnsi="Arial" w:cs="Arial"/>
          <w:sz w:val="24"/>
          <w:szCs w:val="24"/>
        </w:rPr>
        <w:t>Though it could be argued that Arthur included a postal and email address and that would suggest that he also has the requisite intention to be bound but that would be applicable if he has accepted the offer which was clear he did not as the letter arrived on the 7</w:t>
      </w:r>
      <w:r w:rsidRPr="00036302">
        <w:rPr>
          <w:rFonts w:ascii="Arial" w:hAnsi="Arial" w:cs="Arial"/>
          <w:sz w:val="24"/>
          <w:szCs w:val="24"/>
          <w:vertAlign w:val="superscript"/>
        </w:rPr>
        <w:t>th</w:t>
      </w:r>
      <w:r w:rsidRPr="00036302">
        <w:rPr>
          <w:rFonts w:ascii="Arial" w:hAnsi="Arial" w:cs="Arial"/>
          <w:sz w:val="24"/>
          <w:szCs w:val="24"/>
        </w:rPr>
        <w:t xml:space="preserve"> May. Thus, while Ben made an offer to Arthur through a letter he posted on 4</w:t>
      </w:r>
      <w:r w:rsidRPr="00036302">
        <w:rPr>
          <w:rFonts w:ascii="Arial" w:hAnsi="Arial" w:cs="Arial"/>
          <w:sz w:val="24"/>
          <w:szCs w:val="24"/>
          <w:vertAlign w:val="superscript"/>
        </w:rPr>
        <w:t xml:space="preserve">th </w:t>
      </w:r>
      <w:r w:rsidRPr="00036302">
        <w:rPr>
          <w:rFonts w:ascii="Arial" w:hAnsi="Arial" w:cs="Arial"/>
          <w:sz w:val="24"/>
          <w:szCs w:val="24"/>
        </w:rPr>
        <w:t>May, Arthur has not accepted the offer as the letter did not arrive until 7</w:t>
      </w:r>
      <w:r w:rsidRPr="00036302">
        <w:rPr>
          <w:rFonts w:ascii="Arial" w:hAnsi="Arial" w:cs="Arial"/>
          <w:sz w:val="24"/>
          <w:szCs w:val="24"/>
          <w:vertAlign w:val="superscript"/>
        </w:rPr>
        <w:t>th</w:t>
      </w:r>
      <w:r w:rsidRPr="00036302">
        <w:rPr>
          <w:rFonts w:ascii="Arial" w:hAnsi="Arial" w:cs="Arial"/>
          <w:sz w:val="24"/>
          <w:szCs w:val="24"/>
        </w:rPr>
        <w:t xml:space="preserve"> May. Unfortunately for Ben, that means that he has no contract with Arthur and thus no valid contract exists between the two.</w:t>
      </w:r>
    </w:p>
    <w:p w:rsidR="008502AD" w:rsidRPr="00036302" w:rsidRDefault="008502AD" w:rsidP="008502AD">
      <w:pPr>
        <w:jc w:val="both"/>
        <w:rPr>
          <w:rFonts w:ascii="Arial" w:hAnsi="Arial" w:cs="Arial"/>
          <w:sz w:val="24"/>
          <w:szCs w:val="24"/>
        </w:rPr>
      </w:pPr>
      <w:r w:rsidRPr="00036302">
        <w:rPr>
          <w:rFonts w:ascii="Arial" w:hAnsi="Arial" w:cs="Arial"/>
          <w:sz w:val="24"/>
          <w:szCs w:val="24"/>
        </w:rPr>
        <w:t>Turning to Christine, to establish the legal status of the emails, Christine’s first email to Arthur is a request for information if the watch was still available. A request for information does not have the effect of rejecting the offer, as it is to enable the offeree to decide whether to accept the offer or not. Arthur’s offer, therefore, remains open at this point. (Christine’s email does not alter the terms of Arthur’s offer but merely seeks clarification upon them, making it a request for further information which has no effect on the validity of the offer) (</w:t>
      </w:r>
      <w:bookmarkStart w:id="10" w:name="_Hlk96380398"/>
      <w:r w:rsidRPr="00036302">
        <w:rPr>
          <w:rFonts w:ascii="Arial" w:hAnsi="Arial" w:cs="Arial"/>
          <w:sz w:val="24"/>
          <w:szCs w:val="24"/>
        </w:rPr>
        <w:t xml:space="preserve">Stevenson, </w:t>
      </w:r>
      <w:proofErr w:type="spellStart"/>
      <w:r w:rsidRPr="00036302">
        <w:rPr>
          <w:rFonts w:ascii="Arial" w:hAnsi="Arial" w:cs="Arial"/>
          <w:sz w:val="24"/>
          <w:szCs w:val="24"/>
        </w:rPr>
        <w:t>Jaques</w:t>
      </w:r>
      <w:proofErr w:type="spellEnd"/>
      <w:r w:rsidRPr="00036302">
        <w:rPr>
          <w:rFonts w:ascii="Arial" w:hAnsi="Arial" w:cs="Arial"/>
          <w:sz w:val="24"/>
          <w:szCs w:val="24"/>
        </w:rPr>
        <w:t xml:space="preserve"> &amp; Co v McLean (1880). </w:t>
      </w:r>
      <w:bookmarkEnd w:id="10"/>
      <w:r w:rsidRPr="00036302">
        <w:rPr>
          <w:rFonts w:ascii="Arial" w:hAnsi="Arial" w:cs="Arial"/>
          <w:sz w:val="24"/>
          <w:szCs w:val="24"/>
        </w:rPr>
        <w:t xml:space="preserve">She also made a counter-proposal which is different from a counter-offer. The offer of £11,000 cannot be said to be a counter-offer as there is no binding contract between them or no agreement exists in the first place or can be said to have been made; </w:t>
      </w:r>
      <w:bookmarkStart w:id="11" w:name="_Hlk96380601"/>
      <w:r w:rsidRPr="00036302">
        <w:rPr>
          <w:rFonts w:ascii="Arial" w:hAnsi="Arial" w:cs="Arial"/>
          <w:sz w:val="24"/>
          <w:szCs w:val="24"/>
        </w:rPr>
        <w:t xml:space="preserve">(Hyde v Wrench (1840). </w:t>
      </w:r>
      <w:bookmarkEnd w:id="11"/>
      <w:r w:rsidRPr="00036302">
        <w:rPr>
          <w:rFonts w:ascii="Arial" w:hAnsi="Arial" w:cs="Arial"/>
          <w:sz w:val="24"/>
          <w:szCs w:val="24"/>
        </w:rPr>
        <w:t>Remember that we had established that the advertisement is an invitation to treat; an invitation for offers or to open negotiations. Arthur response with a counter offer too showed that he did not accept the offer made by Christine. Here, Christine has become the offeror and Arthur chose not to accept this new offer.</w:t>
      </w:r>
    </w:p>
    <w:p w:rsidR="008502AD" w:rsidRPr="00036302" w:rsidRDefault="008502AD" w:rsidP="008502AD">
      <w:pPr>
        <w:jc w:val="both"/>
        <w:rPr>
          <w:rFonts w:ascii="Arial" w:hAnsi="Arial" w:cs="Arial"/>
          <w:sz w:val="24"/>
          <w:szCs w:val="24"/>
        </w:rPr>
      </w:pPr>
      <w:r w:rsidRPr="00036302">
        <w:rPr>
          <w:rFonts w:ascii="Arial" w:hAnsi="Arial" w:cs="Arial"/>
          <w:sz w:val="24"/>
          <w:szCs w:val="24"/>
        </w:rPr>
        <w:t>Though it could be argued that Arthur shows a willingness to contract, stating that he ‘would accept £13,000’ for the watch and could be bound if Christine accepts the offer. That statement is insufficient to say that he has accepted the offer made by Christine because they are both still negotiating for the price. That is, the term of the proposal is insufficient to bind Arthur. Also, Christine coming up with a counter-proposal has refuted any offer Arthur might have made to her.</w:t>
      </w:r>
    </w:p>
    <w:p w:rsidR="008502AD" w:rsidRPr="00036302" w:rsidRDefault="008502AD" w:rsidP="008502AD">
      <w:pPr>
        <w:jc w:val="both"/>
        <w:rPr>
          <w:rFonts w:ascii="Arial" w:hAnsi="Arial" w:cs="Arial"/>
          <w:sz w:val="24"/>
          <w:szCs w:val="24"/>
        </w:rPr>
      </w:pPr>
      <w:r w:rsidRPr="00036302">
        <w:rPr>
          <w:rFonts w:ascii="Arial" w:hAnsi="Arial" w:cs="Arial"/>
          <w:sz w:val="24"/>
          <w:szCs w:val="24"/>
        </w:rPr>
        <w:t xml:space="preserve">Christine’s second email is a final and unqualified assent to the terms of Arthur’s offer. She clearly does not intend to buy the watch on the terms stated as she came up with a part-payment plan. Consideration cannot be considered here because Arthur has not made any promise to her. </w:t>
      </w:r>
    </w:p>
    <w:p w:rsidR="008502AD" w:rsidRPr="00036302" w:rsidRDefault="008502AD" w:rsidP="008502AD">
      <w:pPr>
        <w:jc w:val="both"/>
        <w:rPr>
          <w:rFonts w:ascii="Arial" w:hAnsi="Arial" w:cs="Arial"/>
          <w:sz w:val="24"/>
          <w:szCs w:val="24"/>
        </w:rPr>
      </w:pPr>
      <w:r w:rsidRPr="00036302">
        <w:rPr>
          <w:rFonts w:ascii="Arial" w:hAnsi="Arial" w:cs="Arial"/>
          <w:sz w:val="24"/>
          <w:szCs w:val="24"/>
        </w:rPr>
        <w:t>Christine’s third email to Arthur at 2.00pm on 6</w:t>
      </w:r>
      <w:r w:rsidRPr="00036302">
        <w:rPr>
          <w:rFonts w:ascii="Arial" w:hAnsi="Arial" w:cs="Arial"/>
          <w:sz w:val="24"/>
          <w:szCs w:val="24"/>
          <w:vertAlign w:val="superscript"/>
        </w:rPr>
        <w:t xml:space="preserve">th </w:t>
      </w:r>
      <w:r w:rsidRPr="00036302">
        <w:rPr>
          <w:rFonts w:ascii="Arial" w:hAnsi="Arial" w:cs="Arial"/>
          <w:sz w:val="24"/>
          <w:szCs w:val="24"/>
        </w:rPr>
        <w:t>May shows clearly that she is now ready to accept Arthur’s terms.</w:t>
      </w:r>
      <w:r w:rsidR="00A62311">
        <w:rPr>
          <w:rFonts w:ascii="Arial" w:hAnsi="Arial" w:cs="Arial"/>
          <w:sz w:val="24"/>
          <w:szCs w:val="24"/>
        </w:rPr>
        <w:t xml:space="preserve"> </w:t>
      </w:r>
      <w:r w:rsidRPr="00036302">
        <w:rPr>
          <w:rFonts w:ascii="Arial" w:hAnsi="Arial" w:cs="Arial"/>
          <w:sz w:val="24"/>
          <w:szCs w:val="24"/>
        </w:rPr>
        <w:t>The general rule requires acceptance to be communicated to be effective. In the case of instantaneous communication, this may be determined by the intentions of the parties, sound business practice and/or judging where the risk lies</w:t>
      </w:r>
      <w:bookmarkStart w:id="12" w:name="_Hlk96380768"/>
      <w:r w:rsidR="00A62311">
        <w:rPr>
          <w:rFonts w:ascii="Arial" w:hAnsi="Arial" w:cs="Arial"/>
          <w:sz w:val="24"/>
          <w:szCs w:val="24"/>
        </w:rPr>
        <w:t xml:space="preserve"> (</w:t>
      </w:r>
      <w:proofErr w:type="spellStart"/>
      <w:r w:rsidRPr="00036302">
        <w:rPr>
          <w:rFonts w:ascii="Arial" w:hAnsi="Arial" w:cs="Arial"/>
          <w:sz w:val="24"/>
          <w:szCs w:val="24"/>
        </w:rPr>
        <w:t>Brinkibon</w:t>
      </w:r>
      <w:proofErr w:type="spellEnd"/>
      <w:r w:rsidRPr="00036302">
        <w:rPr>
          <w:rFonts w:ascii="Arial" w:hAnsi="Arial" w:cs="Arial"/>
          <w:sz w:val="24"/>
          <w:szCs w:val="24"/>
        </w:rPr>
        <w:t xml:space="preserve"> v </w:t>
      </w:r>
      <w:proofErr w:type="spellStart"/>
      <w:r w:rsidRPr="00036302">
        <w:rPr>
          <w:rFonts w:ascii="Arial" w:hAnsi="Arial" w:cs="Arial"/>
          <w:sz w:val="24"/>
          <w:szCs w:val="24"/>
        </w:rPr>
        <w:t>Stahag</w:t>
      </w:r>
      <w:proofErr w:type="spellEnd"/>
      <w:r w:rsidRPr="00036302">
        <w:rPr>
          <w:rFonts w:ascii="Arial" w:hAnsi="Arial" w:cs="Arial"/>
          <w:sz w:val="24"/>
          <w:szCs w:val="24"/>
        </w:rPr>
        <w:t xml:space="preserve"> Stahl (1983)</w:t>
      </w:r>
      <w:r w:rsidR="00A62311">
        <w:rPr>
          <w:rFonts w:ascii="Arial" w:hAnsi="Arial" w:cs="Arial"/>
          <w:sz w:val="24"/>
          <w:szCs w:val="24"/>
        </w:rPr>
        <w:t>)</w:t>
      </w:r>
      <w:r w:rsidRPr="00036302">
        <w:rPr>
          <w:rFonts w:ascii="Arial" w:hAnsi="Arial" w:cs="Arial"/>
          <w:sz w:val="24"/>
          <w:szCs w:val="24"/>
        </w:rPr>
        <w:t xml:space="preserve">.  </w:t>
      </w:r>
      <w:bookmarkEnd w:id="12"/>
      <w:r w:rsidRPr="00036302">
        <w:rPr>
          <w:rFonts w:ascii="Arial" w:hAnsi="Arial" w:cs="Arial"/>
          <w:sz w:val="24"/>
          <w:szCs w:val="24"/>
        </w:rPr>
        <w:t xml:space="preserve">There </w:t>
      </w:r>
      <w:r w:rsidR="00A62311" w:rsidRPr="00036302">
        <w:rPr>
          <w:rFonts w:ascii="Arial" w:hAnsi="Arial" w:cs="Arial"/>
          <w:sz w:val="24"/>
          <w:szCs w:val="24"/>
        </w:rPr>
        <w:t>are</w:t>
      </w:r>
      <w:r w:rsidRPr="00036302">
        <w:rPr>
          <w:rFonts w:ascii="Arial" w:hAnsi="Arial" w:cs="Arial"/>
          <w:sz w:val="24"/>
          <w:szCs w:val="24"/>
        </w:rPr>
        <w:t xml:space="preserve"> no set rules for emails but as the parties have been corresponding by mail, it may be that they intend that </w:t>
      </w:r>
      <w:r w:rsidRPr="00036302">
        <w:rPr>
          <w:rFonts w:ascii="Arial" w:hAnsi="Arial" w:cs="Arial"/>
          <w:sz w:val="24"/>
          <w:szCs w:val="24"/>
        </w:rPr>
        <w:lastRenderedPageBreak/>
        <w:t>they should be treated as communicated when they are received by the other party, irrespective of whether they are read or not.</w:t>
      </w:r>
      <w:r w:rsidR="00A62311">
        <w:rPr>
          <w:rFonts w:ascii="Arial" w:hAnsi="Arial" w:cs="Arial"/>
          <w:sz w:val="24"/>
          <w:szCs w:val="24"/>
        </w:rPr>
        <w:t xml:space="preserve"> Which means a valid contract exists (</w:t>
      </w:r>
      <w:r w:rsidR="00A62311" w:rsidRPr="00036302">
        <w:rPr>
          <w:rFonts w:ascii="Arial" w:hAnsi="Arial" w:cs="Arial"/>
          <w:sz w:val="24"/>
          <w:szCs w:val="24"/>
        </w:rPr>
        <w:t>Ramsgate Victoria Hotel v Montefiore (1866).</w:t>
      </w:r>
      <w:r w:rsidR="00A62311">
        <w:rPr>
          <w:rFonts w:ascii="Arial" w:hAnsi="Arial" w:cs="Arial"/>
          <w:sz w:val="24"/>
          <w:szCs w:val="24"/>
        </w:rPr>
        <w:t xml:space="preserve"> </w:t>
      </w:r>
      <w:r w:rsidRPr="00036302">
        <w:rPr>
          <w:rFonts w:ascii="Arial" w:hAnsi="Arial" w:cs="Arial"/>
          <w:sz w:val="24"/>
          <w:szCs w:val="24"/>
        </w:rPr>
        <w:t>It is likely, therefore, that Arthur has accepted the offer at 2.00pm.</w:t>
      </w:r>
      <w:r w:rsidR="00A62311">
        <w:rPr>
          <w:rFonts w:ascii="Arial" w:hAnsi="Arial" w:cs="Arial"/>
          <w:sz w:val="24"/>
          <w:szCs w:val="24"/>
        </w:rPr>
        <w:t xml:space="preserve"> as Christine emailed him at 2.00pm.</w:t>
      </w:r>
      <w:r w:rsidRPr="00036302">
        <w:rPr>
          <w:rFonts w:ascii="Arial" w:hAnsi="Arial" w:cs="Arial"/>
          <w:sz w:val="24"/>
          <w:szCs w:val="24"/>
        </w:rPr>
        <w:t xml:space="preserve"> </w:t>
      </w:r>
      <w:r w:rsidR="00A62311">
        <w:rPr>
          <w:rFonts w:ascii="Arial" w:hAnsi="Arial" w:cs="Arial"/>
          <w:sz w:val="24"/>
          <w:szCs w:val="24"/>
        </w:rPr>
        <w:t>Therefore,</w:t>
      </w:r>
      <w:r w:rsidRPr="00036302">
        <w:rPr>
          <w:rFonts w:ascii="Arial" w:hAnsi="Arial" w:cs="Arial"/>
          <w:sz w:val="24"/>
          <w:szCs w:val="24"/>
        </w:rPr>
        <w:t xml:space="preserve"> the </w:t>
      </w:r>
      <w:r w:rsidR="00A62311" w:rsidRPr="00036302">
        <w:rPr>
          <w:rFonts w:ascii="Arial" w:hAnsi="Arial" w:cs="Arial"/>
          <w:sz w:val="24"/>
          <w:szCs w:val="24"/>
        </w:rPr>
        <w:t xml:space="preserve">email </w:t>
      </w:r>
      <w:r w:rsidR="00A62311">
        <w:rPr>
          <w:rFonts w:ascii="Arial" w:hAnsi="Arial" w:cs="Arial"/>
          <w:sz w:val="24"/>
          <w:szCs w:val="24"/>
        </w:rPr>
        <w:t xml:space="preserve">shall be </w:t>
      </w:r>
      <w:r w:rsidRPr="00036302">
        <w:rPr>
          <w:rFonts w:ascii="Arial" w:hAnsi="Arial" w:cs="Arial"/>
          <w:sz w:val="24"/>
          <w:szCs w:val="24"/>
        </w:rPr>
        <w:t>treated as communicated</w:t>
      </w:r>
      <w:r w:rsidR="00A62311">
        <w:rPr>
          <w:rFonts w:ascii="Arial" w:hAnsi="Arial" w:cs="Arial"/>
          <w:sz w:val="24"/>
          <w:szCs w:val="24"/>
        </w:rPr>
        <w:t xml:space="preserve"> even if it </w:t>
      </w:r>
      <w:r w:rsidRPr="00036302">
        <w:rPr>
          <w:rFonts w:ascii="Arial" w:hAnsi="Arial" w:cs="Arial"/>
          <w:sz w:val="24"/>
          <w:szCs w:val="24"/>
        </w:rPr>
        <w:t>i</w:t>
      </w:r>
      <w:r w:rsidR="00A62311">
        <w:rPr>
          <w:rFonts w:ascii="Arial" w:hAnsi="Arial" w:cs="Arial"/>
          <w:sz w:val="24"/>
          <w:szCs w:val="24"/>
        </w:rPr>
        <w:t>s not</w:t>
      </w:r>
      <w:r w:rsidRPr="00036302">
        <w:rPr>
          <w:rFonts w:ascii="Arial" w:hAnsi="Arial" w:cs="Arial"/>
          <w:sz w:val="24"/>
          <w:szCs w:val="24"/>
        </w:rPr>
        <w:t xml:space="preserve"> read</w:t>
      </w:r>
      <w:r w:rsidR="00582ACF">
        <w:rPr>
          <w:rFonts w:ascii="Arial" w:hAnsi="Arial" w:cs="Arial"/>
          <w:sz w:val="24"/>
          <w:szCs w:val="24"/>
        </w:rPr>
        <w:t xml:space="preserve"> as an offer</w:t>
      </w:r>
      <w:r w:rsidRPr="00036302">
        <w:rPr>
          <w:rFonts w:ascii="Arial" w:hAnsi="Arial" w:cs="Arial"/>
          <w:sz w:val="24"/>
          <w:szCs w:val="24"/>
        </w:rPr>
        <w:t xml:space="preserve"> lapses at 5.00pm when the office is assumed to have been closed</w:t>
      </w:r>
      <w:bookmarkStart w:id="13" w:name="_Hlk96380914"/>
      <w:r w:rsidR="00582ACF">
        <w:rPr>
          <w:rFonts w:ascii="Arial" w:hAnsi="Arial" w:cs="Arial"/>
          <w:sz w:val="24"/>
          <w:szCs w:val="24"/>
        </w:rPr>
        <w:t>.</w:t>
      </w:r>
      <w:bookmarkStart w:id="14" w:name="_GoBack"/>
      <w:bookmarkEnd w:id="14"/>
    </w:p>
    <w:bookmarkEnd w:id="13"/>
    <w:p w:rsidR="009F5599" w:rsidRDefault="008502AD" w:rsidP="008502AD">
      <w:pPr>
        <w:jc w:val="both"/>
        <w:rPr>
          <w:rFonts w:ascii="Arial" w:hAnsi="Arial" w:cs="Arial"/>
          <w:sz w:val="24"/>
          <w:szCs w:val="24"/>
        </w:rPr>
      </w:pPr>
      <w:r w:rsidRPr="00036302">
        <w:rPr>
          <w:rFonts w:ascii="Arial" w:hAnsi="Arial" w:cs="Arial"/>
          <w:sz w:val="24"/>
          <w:szCs w:val="24"/>
        </w:rPr>
        <w:t>Dennis email on the 6</w:t>
      </w:r>
      <w:r w:rsidRPr="00036302">
        <w:rPr>
          <w:rFonts w:ascii="Arial" w:hAnsi="Arial" w:cs="Arial"/>
          <w:sz w:val="24"/>
          <w:szCs w:val="24"/>
          <w:vertAlign w:val="superscript"/>
        </w:rPr>
        <w:t>th</w:t>
      </w:r>
      <w:r w:rsidRPr="00036302">
        <w:rPr>
          <w:rFonts w:ascii="Arial" w:hAnsi="Arial" w:cs="Arial"/>
          <w:sz w:val="24"/>
          <w:szCs w:val="24"/>
        </w:rPr>
        <w:t xml:space="preserve"> May at 11.00am</w:t>
      </w:r>
      <w:r w:rsidR="009F5599">
        <w:rPr>
          <w:rFonts w:ascii="Arial" w:hAnsi="Arial" w:cs="Arial"/>
          <w:sz w:val="24"/>
          <w:szCs w:val="24"/>
        </w:rPr>
        <w:t xml:space="preserve"> was</w:t>
      </w:r>
      <w:r w:rsidRPr="00036302">
        <w:rPr>
          <w:rFonts w:ascii="Arial" w:hAnsi="Arial" w:cs="Arial"/>
          <w:sz w:val="24"/>
          <w:szCs w:val="24"/>
        </w:rPr>
        <w:t xml:space="preserve"> an</w:t>
      </w:r>
      <w:r w:rsidR="009F5599">
        <w:rPr>
          <w:rFonts w:ascii="Arial" w:hAnsi="Arial" w:cs="Arial"/>
          <w:sz w:val="24"/>
          <w:szCs w:val="24"/>
        </w:rPr>
        <w:t xml:space="preserve"> expression of interest</w:t>
      </w:r>
      <w:r w:rsidRPr="00036302">
        <w:rPr>
          <w:rFonts w:ascii="Arial" w:hAnsi="Arial" w:cs="Arial"/>
          <w:sz w:val="24"/>
          <w:szCs w:val="24"/>
        </w:rPr>
        <w:t>.</w:t>
      </w:r>
      <w:r w:rsidR="009F5599">
        <w:rPr>
          <w:rFonts w:ascii="Arial" w:hAnsi="Arial" w:cs="Arial"/>
          <w:sz w:val="24"/>
          <w:szCs w:val="24"/>
        </w:rPr>
        <w:t xml:space="preserve"> Arthur</w:t>
      </w:r>
      <w:r w:rsidRPr="00036302">
        <w:rPr>
          <w:rFonts w:ascii="Arial" w:hAnsi="Arial" w:cs="Arial"/>
          <w:sz w:val="24"/>
          <w:szCs w:val="24"/>
        </w:rPr>
        <w:t xml:space="preserve"> made an offer of £13,000 to Dennis and at 5pm on that same day, 6</w:t>
      </w:r>
      <w:r w:rsidRPr="00036302">
        <w:rPr>
          <w:rFonts w:ascii="Arial" w:hAnsi="Arial" w:cs="Arial"/>
          <w:sz w:val="24"/>
          <w:szCs w:val="24"/>
          <w:vertAlign w:val="superscript"/>
        </w:rPr>
        <w:t>th</w:t>
      </w:r>
      <w:r w:rsidRPr="00036302">
        <w:rPr>
          <w:rFonts w:ascii="Arial" w:hAnsi="Arial" w:cs="Arial"/>
          <w:sz w:val="24"/>
          <w:szCs w:val="24"/>
        </w:rPr>
        <w:t xml:space="preserve"> May, Dennis replied agreeing to pay the £13,000 as requested.</w:t>
      </w:r>
      <w:r w:rsidR="009F5599">
        <w:rPr>
          <w:rFonts w:ascii="Arial" w:hAnsi="Arial" w:cs="Arial"/>
          <w:sz w:val="24"/>
          <w:szCs w:val="24"/>
        </w:rPr>
        <w:t xml:space="preserve"> That was acceptance. The general rule of a contract is that, </w:t>
      </w:r>
      <w:r w:rsidRPr="00036302">
        <w:rPr>
          <w:rFonts w:ascii="Arial" w:hAnsi="Arial" w:cs="Arial"/>
          <w:sz w:val="24"/>
          <w:szCs w:val="24"/>
        </w:rPr>
        <w:t xml:space="preserve"> </w:t>
      </w:r>
    </w:p>
    <w:p w:rsidR="008502AD" w:rsidRPr="00036302" w:rsidRDefault="008502AD" w:rsidP="009F5599">
      <w:pPr>
        <w:jc w:val="both"/>
        <w:rPr>
          <w:rFonts w:ascii="Arial" w:hAnsi="Arial" w:cs="Arial"/>
          <w:sz w:val="24"/>
          <w:szCs w:val="24"/>
        </w:rPr>
      </w:pPr>
      <w:r w:rsidRPr="00036302">
        <w:rPr>
          <w:rFonts w:ascii="Arial" w:hAnsi="Arial" w:cs="Arial"/>
          <w:sz w:val="24"/>
          <w:szCs w:val="24"/>
        </w:rPr>
        <w:t>It</w:t>
      </w:r>
      <w:r w:rsidR="009F5599">
        <w:rPr>
          <w:rFonts w:ascii="Arial" w:hAnsi="Arial" w:cs="Arial"/>
          <w:sz w:val="24"/>
          <w:szCs w:val="24"/>
        </w:rPr>
        <w:t xml:space="preserve"> could be argued </w:t>
      </w:r>
      <w:r w:rsidRPr="00036302">
        <w:rPr>
          <w:rFonts w:ascii="Arial" w:hAnsi="Arial" w:cs="Arial"/>
          <w:sz w:val="24"/>
          <w:szCs w:val="24"/>
        </w:rPr>
        <w:t>that Arthur</w:t>
      </w:r>
      <w:r w:rsidR="009F5599">
        <w:rPr>
          <w:rFonts w:ascii="Arial" w:hAnsi="Arial" w:cs="Arial"/>
          <w:sz w:val="24"/>
          <w:szCs w:val="24"/>
        </w:rPr>
        <w:t xml:space="preserve"> may not </w:t>
      </w:r>
      <w:r w:rsidRPr="00036302">
        <w:rPr>
          <w:rFonts w:ascii="Arial" w:hAnsi="Arial" w:cs="Arial"/>
          <w:sz w:val="24"/>
          <w:szCs w:val="24"/>
        </w:rPr>
        <w:t>see, receive or read the email at 5.00pm.</w:t>
      </w:r>
      <w:r w:rsidR="009F5599">
        <w:rPr>
          <w:rFonts w:ascii="Arial" w:hAnsi="Arial" w:cs="Arial"/>
          <w:sz w:val="24"/>
          <w:szCs w:val="24"/>
        </w:rPr>
        <w:t xml:space="preserve"> </w:t>
      </w:r>
      <w:r w:rsidRPr="00036302">
        <w:rPr>
          <w:rFonts w:ascii="Arial" w:hAnsi="Arial" w:cs="Arial"/>
          <w:sz w:val="24"/>
          <w:szCs w:val="24"/>
        </w:rPr>
        <w:t xml:space="preserve">Arthur </w:t>
      </w:r>
      <w:r w:rsidR="009F5599">
        <w:rPr>
          <w:rFonts w:ascii="Arial" w:hAnsi="Arial" w:cs="Arial"/>
          <w:sz w:val="24"/>
          <w:szCs w:val="24"/>
        </w:rPr>
        <w:t xml:space="preserve">may </w:t>
      </w:r>
      <w:r w:rsidRPr="00036302">
        <w:rPr>
          <w:rFonts w:ascii="Arial" w:hAnsi="Arial" w:cs="Arial"/>
          <w:sz w:val="24"/>
          <w:szCs w:val="24"/>
        </w:rPr>
        <w:t>ha</w:t>
      </w:r>
      <w:r w:rsidR="009F5599">
        <w:rPr>
          <w:rFonts w:ascii="Arial" w:hAnsi="Arial" w:cs="Arial"/>
          <w:sz w:val="24"/>
          <w:szCs w:val="24"/>
        </w:rPr>
        <w:t>ve</w:t>
      </w:r>
      <w:r w:rsidRPr="00036302">
        <w:rPr>
          <w:rFonts w:ascii="Arial" w:hAnsi="Arial" w:cs="Arial"/>
          <w:sz w:val="24"/>
          <w:szCs w:val="24"/>
        </w:rPr>
        <w:t xml:space="preserve"> logged out from his computer having closed work for the day then the email</w:t>
      </w:r>
      <w:r w:rsidR="009F5599">
        <w:rPr>
          <w:rFonts w:ascii="Arial" w:hAnsi="Arial" w:cs="Arial"/>
          <w:sz w:val="24"/>
          <w:szCs w:val="24"/>
        </w:rPr>
        <w:t>.</w:t>
      </w:r>
      <w:r w:rsidRPr="00036302">
        <w:rPr>
          <w:rFonts w:ascii="Arial" w:hAnsi="Arial" w:cs="Arial"/>
          <w:sz w:val="24"/>
          <w:szCs w:val="24"/>
        </w:rPr>
        <w:t xml:space="preserve"> In effect,</w:t>
      </w:r>
      <w:r w:rsidR="009F5599">
        <w:rPr>
          <w:rFonts w:ascii="Arial" w:hAnsi="Arial" w:cs="Arial"/>
          <w:sz w:val="24"/>
          <w:szCs w:val="24"/>
        </w:rPr>
        <w:t xml:space="preserve"> this does not still mean that a valid contract has not been formed</w:t>
      </w:r>
      <w:r w:rsidRPr="00036302">
        <w:rPr>
          <w:rFonts w:ascii="Arial" w:hAnsi="Arial" w:cs="Arial"/>
          <w:sz w:val="24"/>
          <w:szCs w:val="24"/>
        </w:rPr>
        <w:t>. The agreement is concluded at the time the acceptance is received by the offero</w:t>
      </w:r>
      <w:r w:rsidR="009F5599">
        <w:rPr>
          <w:rFonts w:ascii="Arial" w:hAnsi="Arial" w:cs="Arial"/>
          <w:sz w:val="24"/>
          <w:szCs w:val="24"/>
        </w:rPr>
        <w:t>r</w:t>
      </w:r>
      <w:r w:rsidRPr="00036302">
        <w:rPr>
          <w:rFonts w:ascii="Arial" w:hAnsi="Arial" w:cs="Arial"/>
          <w:sz w:val="24"/>
          <w:szCs w:val="24"/>
        </w:rPr>
        <w:t>. Therefore, it could be concluded from the foregoing that</w:t>
      </w:r>
      <w:r w:rsidR="009F5599">
        <w:rPr>
          <w:rFonts w:ascii="Arial" w:hAnsi="Arial" w:cs="Arial"/>
          <w:sz w:val="24"/>
          <w:szCs w:val="24"/>
        </w:rPr>
        <w:t xml:space="preserve"> a valid</w:t>
      </w:r>
      <w:r w:rsidRPr="00036302">
        <w:rPr>
          <w:rFonts w:ascii="Arial" w:hAnsi="Arial" w:cs="Arial"/>
          <w:sz w:val="24"/>
          <w:szCs w:val="24"/>
        </w:rPr>
        <w:t xml:space="preserve"> contract </w:t>
      </w:r>
      <w:r w:rsidR="009F5599">
        <w:rPr>
          <w:rFonts w:ascii="Arial" w:hAnsi="Arial" w:cs="Arial"/>
          <w:sz w:val="24"/>
          <w:szCs w:val="24"/>
        </w:rPr>
        <w:t>exists or has</w:t>
      </w:r>
      <w:r w:rsidRPr="00036302">
        <w:rPr>
          <w:rFonts w:ascii="Arial" w:hAnsi="Arial" w:cs="Arial"/>
          <w:sz w:val="24"/>
          <w:szCs w:val="24"/>
        </w:rPr>
        <w:t xml:space="preserve"> been formed between Arthur and all the participants.</w:t>
      </w: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57090C" w:rsidRDefault="0057090C" w:rsidP="008502AD">
      <w:pPr>
        <w:jc w:val="center"/>
        <w:rPr>
          <w:rFonts w:ascii="Arial" w:hAnsi="Arial" w:cs="Arial"/>
          <w:sz w:val="24"/>
          <w:szCs w:val="24"/>
        </w:rPr>
      </w:pPr>
    </w:p>
    <w:p w:rsidR="0057090C" w:rsidRDefault="0057090C" w:rsidP="008502AD">
      <w:pPr>
        <w:jc w:val="center"/>
        <w:rPr>
          <w:rFonts w:ascii="Arial" w:hAnsi="Arial" w:cs="Arial"/>
          <w:sz w:val="24"/>
          <w:szCs w:val="24"/>
        </w:rPr>
      </w:pPr>
    </w:p>
    <w:p w:rsidR="0057090C" w:rsidRDefault="0057090C" w:rsidP="008502AD">
      <w:pPr>
        <w:jc w:val="center"/>
        <w:rPr>
          <w:rFonts w:ascii="Arial" w:hAnsi="Arial" w:cs="Arial"/>
          <w:sz w:val="24"/>
          <w:szCs w:val="24"/>
        </w:rPr>
      </w:pPr>
    </w:p>
    <w:p w:rsidR="0057090C" w:rsidRDefault="0057090C" w:rsidP="008502AD">
      <w:pPr>
        <w:jc w:val="center"/>
        <w:rPr>
          <w:rFonts w:ascii="Arial" w:hAnsi="Arial" w:cs="Arial"/>
          <w:sz w:val="24"/>
          <w:szCs w:val="24"/>
        </w:rPr>
      </w:pPr>
    </w:p>
    <w:p w:rsidR="0057090C" w:rsidRDefault="0057090C" w:rsidP="008502AD">
      <w:pPr>
        <w:jc w:val="center"/>
        <w:rPr>
          <w:rFonts w:ascii="Arial" w:hAnsi="Arial" w:cs="Arial"/>
          <w:sz w:val="24"/>
          <w:szCs w:val="24"/>
        </w:rPr>
      </w:pPr>
    </w:p>
    <w:p w:rsidR="0057090C" w:rsidRDefault="0057090C" w:rsidP="008502AD">
      <w:pPr>
        <w:jc w:val="center"/>
        <w:rPr>
          <w:rFonts w:ascii="Arial" w:hAnsi="Arial" w:cs="Arial"/>
          <w:sz w:val="24"/>
          <w:szCs w:val="24"/>
        </w:rPr>
      </w:pPr>
    </w:p>
    <w:p w:rsidR="008502AD" w:rsidRPr="00036302" w:rsidRDefault="008502AD" w:rsidP="008502AD">
      <w:pPr>
        <w:jc w:val="center"/>
        <w:rPr>
          <w:rFonts w:ascii="Arial" w:hAnsi="Arial" w:cs="Arial"/>
          <w:sz w:val="24"/>
          <w:szCs w:val="24"/>
        </w:rPr>
      </w:pPr>
      <w:r w:rsidRPr="00036302">
        <w:rPr>
          <w:rFonts w:ascii="Arial" w:hAnsi="Arial" w:cs="Arial"/>
          <w:sz w:val="24"/>
          <w:szCs w:val="24"/>
        </w:rPr>
        <w:t>REFERENCES</w:t>
      </w:r>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lang w:val="en-US"/>
        </w:rPr>
        <w:t xml:space="preserve">Anson’s Law of Contract (30th </w:t>
      </w:r>
      <w:proofErr w:type="spellStart"/>
      <w:r w:rsidRPr="00036302">
        <w:rPr>
          <w:rFonts w:ascii="Arial" w:hAnsi="Arial" w:cs="Arial"/>
          <w:color w:val="1D2228"/>
          <w:lang w:val="en-US"/>
        </w:rPr>
        <w:t>edn</w:t>
      </w:r>
      <w:proofErr w:type="spellEnd"/>
      <w:r w:rsidRPr="00036302">
        <w:rPr>
          <w:rFonts w:ascii="Arial" w:hAnsi="Arial" w:cs="Arial"/>
          <w:color w:val="1D2228"/>
          <w:lang w:val="en-US"/>
        </w:rPr>
        <w:t>, Oxford University Press, 2016, J Beatson, A Burrows, and J Cartwright (eds)</w:t>
      </w:r>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t>Beatson, J. Burrows, A. and Cartwright (eds) (2016) Anson’s Law of Contract 30</w:t>
      </w:r>
      <w:r w:rsidRPr="00036302">
        <w:rPr>
          <w:rFonts w:ascii="Arial" w:hAnsi="Arial" w:cs="Arial"/>
          <w:color w:val="1D2228"/>
          <w:vertAlign w:val="superscript"/>
        </w:rPr>
        <w:t>th</w:t>
      </w:r>
      <w:r w:rsidRPr="00036302">
        <w:rPr>
          <w:rFonts w:ascii="Arial" w:hAnsi="Arial" w:cs="Arial"/>
          <w:color w:val="1D2228"/>
        </w:rPr>
        <w:t> </w:t>
      </w:r>
      <w:proofErr w:type="spellStart"/>
      <w:r w:rsidRPr="00036302">
        <w:rPr>
          <w:rFonts w:ascii="Arial" w:hAnsi="Arial" w:cs="Arial"/>
          <w:color w:val="1D2228"/>
        </w:rPr>
        <w:t>edn</w:t>
      </w:r>
      <w:proofErr w:type="spellEnd"/>
      <w:r w:rsidRPr="00036302">
        <w:rPr>
          <w:rFonts w:ascii="Arial" w:hAnsi="Arial" w:cs="Arial"/>
          <w:color w:val="1D2228"/>
        </w:rPr>
        <w:t xml:space="preserve"> Oxford: Oxford University Press 2016</w:t>
      </w:r>
    </w:p>
    <w:p w:rsidR="008502AD"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t>Burrows, A. and Cartwright, J. (eds) (2016) Anson’s law of Contract 30</w:t>
      </w:r>
      <w:r w:rsidRPr="00036302">
        <w:rPr>
          <w:rFonts w:ascii="Arial" w:hAnsi="Arial" w:cs="Arial"/>
          <w:color w:val="1D2228"/>
          <w:vertAlign w:val="superscript"/>
        </w:rPr>
        <w:t>th</w:t>
      </w:r>
      <w:r w:rsidRPr="00036302">
        <w:rPr>
          <w:rFonts w:ascii="Arial" w:hAnsi="Arial" w:cs="Arial"/>
          <w:color w:val="1D2228"/>
        </w:rPr>
        <w:t> </w:t>
      </w:r>
      <w:proofErr w:type="spellStart"/>
      <w:r w:rsidRPr="00036302">
        <w:rPr>
          <w:rFonts w:ascii="Arial" w:hAnsi="Arial" w:cs="Arial"/>
          <w:color w:val="1D2228"/>
        </w:rPr>
        <w:t>edn</w:t>
      </w:r>
      <w:proofErr w:type="spellEnd"/>
      <w:r w:rsidRPr="00036302">
        <w:rPr>
          <w:rFonts w:ascii="Arial" w:hAnsi="Arial" w:cs="Arial"/>
          <w:color w:val="1D2228"/>
        </w:rPr>
        <w:t>. Oxford: Oxford University Press</w:t>
      </w:r>
    </w:p>
    <w:p w:rsidR="0057090C" w:rsidRPr="00036302" w:rsidRDefault="0057090C" w:rsidP="008502AD">
      <w:pPr>
        <w:pStyle w:val="yiv5119947351ydp990a897dmsonormal"/>
        <w:shd w:val="clear" w:color="auto" w:fill="FFFFFF"/>
        <w:rPr>
          <w:rFonts w:ascii="Arial" w:hAnsi="Arial" w:cs="Arial"/>
          <w:color w:val="1D2228"/>
        </w:rPr>
      </w:pPr>
      <w:r>
        <w:rPr>
          <w:rFonts w:ascii="Arial" w:hAnsi="Arial" w:cs="Arial"/>
          <w:color w:val="1D2228"/>
        </w:rPr>
        <w:t xml:space="preserve">Elliot, C., Quinn, F. (2017) </w:t>
      </w:r>
      <w:r w:rsidRPr="0057090C">
        <w:rPr>
          <w:rFonts w:ascii="Arial" w:hAnsi="Arial" w:cs="Arial"/>
          <w:i/>
          <w:color w:val="1D2228"/>
        </w:rPr>
        <w:t>Contract Law</w:t>
      </w:r>
      <w:r>
        <w:rPr>
          <w:rFonts w:ascii="Arial" w:hAnsi="Arial" w:cs="Arial"/>
          <w:color w:val="1D2228"/>
        </w:rPr>
        <w:t>. 11</w:t>
      </w:r>
      <w:r w:rsidRPr="0057090C">
        <w:rPr>
          <w:rFonts w:ascii="Arial" w:hAnsi="Arial" w:cs="Arial"/>
          <w:color w:val="1D2228"/>
          <w:vertAlign w:val="superscript"/>
        </w:rPr>
        <w:t>th</w:t>
      </w:r>
      <w:r>
        <w:rPr>
          <w:rFonts w:ascii="Arial" w:hAnsi="Arial" w:cs="Arial"/>
          <w:color w:val="1D2228"/>
        </w:rPr>
        <w:t xml:space="preserve"> </w:t>
      </w:r>
      <w:proofErr w:type="spellStart"/>
      <w:r>
        <w:rPr>
          <w:rFonts w:ascii="Arial" w:hAnsi="Arial" w:cs="Arial"/>
          <w:color w:val="1D2228"/>
        </w:rPr>
        <w:t>edn</w:t>
      </w:r>
      <w:proofErr w:type="spellEnd"/>
      <w:r>
        <w:rPr>
          <w:rFonts w:ascii="Arial" w:hAnsi="Arial" w:cs="Arial"/>
          <w:color w:val="1D2228"/>
        </w:rPr>
        <w:t xml:space="preserve">. London: Pearson </w:t>
      </w:r>
    </w:p>
    <w:p w:rsidR="008502AD" w:rsidRPr="00036302" w:rsidRDefault="008502AD" w:rsidP="008502AD">
      <w:pPr>
        <w:pStyle w:val="yiv5119947351ydp990a897dmsonormal"/>
        <w:shd w:val="clear" w:color="auto" w:fill="FFFFFF"/>
        <w:rPr>
          <w:rFonts w:ascii="Arial" w:hAnsi="Arial" w:cs="Arial"/>
          <w:color w:val="1D2228"/>
        </w:rPr>
      </w:pPr>
      <w:proofErr w:type="spellStart"/>
      <w:r w:rsidRPr="00036302">
        <w:rPr>
          <w:rFonts w:ascii="Arial" w:hAnsi="Arial" w:cs="Arial"/>
          <w:color w:val="1D2228"/>
        </w:rPr>
        <w:t>Furmston</w:t>
      </w:r>
      <w:proofErr w:type="spellEnd"/>
      <w:r w:rsidRPr="00036302">
        <w:rPr>
          <w:rFonts w:ascii="Arial" w:hAnsi="Arial" w:cs="Arial"/>
          <w:color w:val="1D2228"/>
        </w:rPr>
        <w:t xml:space="preserve">, M. (2017) </w:t>
      </w:r>
      <w:r w:rsidRPr="00036302">
        <w:rPr>
          <w:rFonts w:ascii="Arial" w:hAnsi="Arial" w:cs="Arial"/>
          <w:i/>
          <w:color w:val="1D2228"/>
        </w:rPr>
        <w:t xml:space="preserve">Cheshire, </w:t>
      </w:r>
      <w:proofErr w:type="spellStart"/>
      <w:r w:rsidRPr="00036302">
        <w:rPr>
          <w:rFonts w:ascii="Arial" w:hAnsi="Arial" w:cs="Arial"/>
          <w:i/>
          <w:color w:val="1D2228"/>
        </w:rPr>
        <w:t>Fifoot</w:t>
      </w:r>
      <w:proofErr w:type="spellEnd"/>
      <w:r w:rsidRPr="00036302">
        <w:rPr>
          <w:rFonts w:ascii="Arial" w:hAnsi="Arial" w:cs="Arial"/>
          <w:i/>
          <w:color w:val="1D2228"/>
        </w:rPr>
        <w:t xml:space="preserve">, &amp; </w:t>
      </w:r>
      <w:proofErr w:type="spellStart"/>
      <w:r w:rsidRPr="00036302">
        <w:rPr>
          <w:rFonts w:ascii="Arial" w:hAnsi="Arial" w:cs="Arial"/>
          <w:i/>
          <w:color w:val="1D2228"/>
        </w:rPr>
        <w:t>Furmston’s</w:t>
      </w:r>
      <w:proofErr w:type="spellEnd"/>
      <w:r w:rsidRPr="00036302">
        <w:rPr>
          <w:rFonts w:ascii="Arial" w:hAnsi="Arial" w:cs="Arial"/>
          <w:i/>
          <w:color w:val="1D2228"/>
        </w:rPr>
        <w:t xml:space="preserve"> Law of Contract</w:t>
      </w:r>
      <w:r w:rsidRPr="00036302">
        <w:rPr>
          <w:rFonts w:ascii="Arial" w:hAnsi="Arial" w:cs="Arial"/>
          <w:color w:val="1D2228"/>
        </w:rPr>
        <w:t>. 17</w:t>
      </w:r>
      <w:r w:rsidRPr="00036302">
        <w:rPr>
          <w:rFonts w:ascii="Arial" w:hAnsi="Arial" w:cs="Arial"/>
          <w:color w:val="1D2228"/>
          <w:vertAlign w:val="superscript"/>
        </w:rPr>
        <w:t>th</w:t>
      </w:r>
      <w:r w:rsidRPr="00036302">
        <w:rPr>
          <w:rFonts w:ascii="Arial" w:hAnsi="Arial" w:cs="Arial"/>
          <w:color w:val="1D2228"/>
        </w:rPr>
        <w:t xml:space="preserve"> </w:t>
      </w:r>
      <w:proofErr w:type="spellStart"/>
      <w:r w:rsidRPr="00036302">
        <w:rPr>
          <w:rFonts w:ascii="Arial" w:hAnsi="Arial" w:cs="Arial"/>
          <w:color w:val="1D2228"/>
        </w:rPr>
        <w:t>edn</w:t>
      </w:r>
      <w:proofErr w:type="spellEnd"/>
      <w:r w:rsidRPr="00036302">
        <w:rPr>
          <w:rFonts w:ascii="Arial" w:hAnsi="Arial" w:cs="Arial"/>
          <w:color w:val="1D2228"/>
        </w:rPr>
        <w:t>. Oxford: Oxford University Press</w:t>
      </w:r>
    </w:p>
    <w:p w:rsidR="00C84587" w:rsidRPr="00036302" w:rsidRDefault="00C84587" w:rsidP="00C84587">
      <w:pPr>
        <w:pStyle w:val="yiv5119947351ydp990a897dmsonormal"/>
        <w:shd w:val="clear" w:color="auto" w:fill="FFFFFF"/>
        <w:ind w:left="720" w:hanging="720"/>
        <w:rPr>
          <w:rFonts w:ascii="Arial" w:hAnsi="Arial" w:cs="Arial"/>
          <w:color w:val="1D2228"/>
        </w:rPr>
      </w:pPr>
      <w:proofErr w:type="spellStart"/>
      <w:r w:rsidRPr="00036302">
        <w:rPr>
          <w:rFonts w:ascii="Arial" w:hAnsi="Arial" w:cs="Arial"/>
          <w:color w:val="1D2228"/>
        </w:rPr>
        <w:t>Merkin</w:t>
      </w:r>
      <w:proofErr w:type="spellEnd"/>
      <w:r w:rsidRPr="00036302">
        <w:rPr>
          <w:rFonts w:ascii="Arial" w:hAnsi="Arial" w:cs="Arial"/>
          <w:color w:val="1D2228"/>
        </w:rPr>
        <w:t xml:space="preserve">, R., </w:t>
      </w:r>
      <w:proofErr w:type="spellStart"/>
      <w:r w:rsidRPr="00036302">
        <w:rPr>
          <w:rFonts w:ascii="Arial" w:hAnsi="Arial" w:cs="Arial"/>
          <w:color w:val="1D2228"/>
        </w:rPr>
        <w:t>Saintier</w:t>
      </w:r>
      <w:proofErr w:type="spellEnd"/>
      <w:r w:rsidRPr="00036302">
        <w:rPr>
          <w:rFonts w:ascii="Arial" w:hAnsi="Arial" w:cs="Arial"/>
          <w:color w:val="1D2228"/>
        </w:rPr>
        <w:t>, S. (2021) Poole’s Textbook on Contract Law 15</w:t>
      </w:r>
      <w:r w:rsidRPr="00036302">
        <w:rPr>
          <w:rFonts w:ascii="Arial" w:hAnsi="Arial" w:cs="Arial"/>
          <w:color w:val="1D2228"/>
          <w:vertAlign w:val="superscript"/>
        </w:rPr>
        <w:t>th</w:t>
      </w:r>
      <w:r w:rsidRPr="00036302">
        <w:rPr>
          <w:rFonts w:ascii="Arial" w:hAnsi="Arial" w:cs="Arial"/>
          <w:color w:val="1D2228"/>
        </w:rPr>
        <w:t xml:space="preserve"> </w:t>
      </w:r>
      <w:proofErr w:type="spellStart"/>
      <w:r w:rsidRPr="00036302">
        <w:rPr>
          <w:rFonts w:ascii="Arial" w:hAnsi="Arial" w:cs="Arial"/>
          <w:color w:val="1D2228"/>
        </w:rPr>
        <w:t>edn</w:t>
      </w:r>
      <w:proofErr w:type="spellEnd"/>
      <w:r w:rsidRPr="00036302">
        <w:rPr>
          <w:rFonts w:ascii="Arial" w:hAnsi="Arial" w:cs="Arial"/>
          <w:color w:val="1D2228"/>
        </w:rPr>
        <w:t xml:space="preserve">. </w:t>
      </w:r>
      <w:proofErr w:type="spellStart"/>
      <w:proofErr w:type="gramStart"/>
      <w:r w:rsidRPr="00036302">
        <w:rPr>
          <w:rFonts w:ascii="Arial" w:hAnsi="Arial" w:cs="Arial"/>
          <w:color w:val="1D2228"/>
        </w:rPr>
        <w:t>Oxford:Oxford</w:t>
      </w:r>
      <w:proofErr w:type="spellEnd"/>
      <w:proofErr w:type="gramEnd"/>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lastRenderedPageBreak/>
        <w:t xml:space="preserve">Taylor and Francis Privity of </w:t>
      </w:r>
      <w:proofErr w:type="spellStart"/>
      <w:r w:rsidRPr="00036302">
        <w:rPr>
          <w:rFonts w:ascii="Arial" w:hAnsi="Arial" w:cs="Arial"/>
          <w:color w:val="1D2228"/>
        </w:rPr>
        <w:t>Contrats</w:t>
      </w:r>
      <w:proofErr w:type="spellEnd"/>
      <w:r w:rsidRPr="00036302">
        <w:rPr>
          <w:rFonts w:ascii="Arial" w:hAnsi="Arial" w:cs="Arial"/>
          <w:color w:val="1D2228"/>
        </w:rPr>
        <w:t xml:space="preserve"> (2013)</w:t>
      </w:r>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t xml:space="preserve">Privity of Contract Routledge, edited by Robert </w:t>
      </w:r>
      <w:proofErr w:type="spellStart"/>
      <w:r w:rsidRPr="00036302">
        <w:rPr>
          <w:rFonts w:ascii="Arial" w:hAnsi="Arial" w:cs="Arial"/>
          <w:color w:val="1D2228"/>
        </w:rPr>
        <w:t>Merkin</w:t>
      </w:r>
      <w:proofErr w:type="spellEnd"/>
    </w:p>
    <w:p w:rsidR="008502AD" w:rsidRPr="00036302" w:rsidRDefault="008502AD" w:rsidP="008502AD">
      <w:pPr>
        <w:pStyle w:val="yiv5119947351ydp990a897dmsonormal"/>
        <w:shd w:val="clear" w:color="auto" w:fill="FFFFFF"/>
        <w:rPr>
          <w:rFonts w:ascii="Arial" w:hAnsi="Arial" w:cs="Arial"/>
          <w:color w:val="1D2228"/>
        </w:rPr>
      </w:pPr>
      <w:proofErr w:type="spellStart"/>
      <w:r w:rsidRPr="00036302">
        <w:rPr>
          <w:rFonts w:ascii="Arial" w:hAnsi="Arial" w:cs="Arial"/>
          <w:color w:val="1D2228"/>
        </w:rPr>
        <w:t>Merkin</w:t>
      </w:r>
      <w:proofErr w:type="spellEnd"/>
      <w:r w:rsidRPr="00036302">
        <w:rPr>
          <w:rFonts w:ascii="Arial" w:hAnsi="Arial" w:cs="Arial"/>
          <w:color w:val="1D2228"/>
        </w:rPr>
        <w:t>, P. (2013) Privity of Contract Taylor and Francis</w:t>
      </w:r>
    </w:p>
    <w:p w:rsidR="008502AD" w:rsidRPr="00036302" w:rsidRDefault="008502AD" w:rsidP="008502AD">
      <w:pPr>
        <w:pStyle w:val="yiv5119947351ydp990a897dmsonormal"/>
        <w:shd w:val="clear" w:color="auto" w:fill="FFFFFF"/>
        <w:rPr>
          <w:rFonts w:ascii="Arial" w:hAnsi="Arial" w:cs="Arial"/>
          <w:color w:val="1D2228"/>
        </w:rPr>
      </w:pPr>
      <w:proofErr w:type="spellStart"/>
      <w:r w:rsidRPr="00036302">
        <w:rPr>
          <w:rFonts w:ascii="Arial" w:hAnsi="Arial" w:cs="Arial"/>
          <w:color w:val="1D2228"/>
        </w:rPr>
        <w:t>Merkin</w:t>
      </w:r>
      <w:proofErr w:type="spellEnd"/>
      <w:r w:rsidRPr="00036302">
        <w:rPr>
          <w:rFonts w:ascii="Arial" w:hAnsi="Arial" w:cs="Arial"/>
          <w:color w:val="1D2228"/>
        </w:rPr>
        <w:t xml:space="preserve">, R. and </w:t>
      </w:r>
      <w:proofErr w:type="spellStart"/>
      <w:r w:rsidRPr="00036302">
        <w:rPr>
          <w:rFonts w:ascii="Arial" w:hAnsi="Arial" w:cs="Arial"/>
          <w:color w:val="1D2228"/>
        </w:rPr>
        <w:t>Saintier</w:t>
      </w:r>
      <w:proofErr w:type="spellEnd"/>
      <w:r w:rsidRPr="00036302">
        <w:rPr>
          <w:rFonts w:ascii="Arial" w:hAnsi="Arial" w:cs="Arial"/>
          <w:color w:val="1D2228"/>
        </w:rPr>
        <w:t xml:space="preserve">, S. (2014) </w:t>
      </w:r>
      <w:r w:rsidRPr="00036302">
        <w:rPr>
          <w:rFonts w:ascii="Arial" w:hAnsi="Arial" w:cs="Arial"/>
          <w:i/>
          <w:color w:val="1D2228"/>
        </w:rPr>
        <w:t>Poole’s Textbook on CONTRACT LAW</w:t>
      </w:r>
      <w:r w:rsidRPr="00036302">
        <w:rPr>
          <w:rFonts w:ascii="Arial" w:hAnsi="Arial" w:cs="Arial"/>
          <w:color w:val="1D2228"/>
        </w:rPr>
        <w:t xml:space="preserve"> 15</w:t>
      </w:r>
      <w:r w:rsidRPr="00036302">
        <w:rPr>
          <w:rFonts w:ascii="Arial" w:hAnsi="Arial" w:cs="Arial"/>
          <w:color w:val="1D2228"/>
          <w:vertAlign w:val="superscript"/>
        </w:rPr>
        <w:t xml:space="preserve">th </w:t>
      </w:r>
      <w:proofErr w:type="spellStart"/>
      <w:r w:rsidRPr="00036302">
        <w:rPr>
          <w:rFonts w:ascii="Arial" w:hAnsi="Arial" w:cs="Arial"/>
          <w:color w:val="1D2228"/>
        </w:rPr>
        <w:t>edn</w:t>
      </w:r>
      <w:proofErr w:type="spellEnd"/>
      <w:r w:rsidRPr="00036302">
        <w:rPr>
          <w:rFonts w:ascii="Arial" w:hAnsi="Arial" w:cs="Arial"/>
          <w:color w:val="1D2228"/>
        </w:rPr>
        <w:t>. Oxford: Oxford University Press</w:t>
      </w:r>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t xml:space="preserve">Peel, E. (2015) </w:t>
      </w:r>
      <w:proofErr w:type="spellStart"/>
      <w:r w:rsidRPr="00036302">
        <w:rPr>
          <w:rFonts w:ascii="Arial" w:hAnsi="Arial" w:cs="Arial"/>
          <w:color w:val="1D2228"/>
        </w:rPr>
        <w:t>edn</w:t>
      </w:r>
      <w:proofErr w:type="spellEnd"/>
      <w:r w:rsidRPr="00036302">
        <w:rPr>
          <w:rFonts w:ascii="Arial" w:hAnsi="Arial" w:cs="Arial"/>
          <w:color w:val="1D2228"/>
        </w:rPr>
        <w:t xml:space="preserve"> </w:t>
      </w:r>
      <w:proofErr w:type="spellStart"/>
      <w:r w:rsidRPr="00036302">
        <w:rPr>
          <w:rFonts w:ascii="Arial" w:hAnsi="Arial" w:cs="Arial"/>
          <w:color w:val="1D2228"/>
        </w:rPr>
        <w:t>Treitel</w:t>
      </w:r>
      <w:proofErr w:type="spellEnd"/>
      <w:r w:rsidRPr="00036302">
        <w:rPr>
          <w:rFonts w:ascii="Arial" w:hAnsi="Arial" w:cs="Arial"/>
          <w:color w:val="1D2228"/>
        </w:rPr>
        <w:t xml:space="preserve"> on the Law of Contract 14</w:t>
      </w:r>
      <w:r w:rsidRPr="00036302">
        <w:rPr>
          <w:rFonts w:ascii="Arial" w:hAnsi="Arial" w:cs="Arial"/>
          <w:color w:val="1D2228"/>
          <w:vertAlign w:val="superscript"/>
        </w:rPr>
        <w:t>th</w:t>
      </w:r>
      <w:r w:rsidRPr="00036302">
        <w:rPr>
          <w:rFonts w:ascii="Arial" w:hAnsi="Arial" w:cs="Arial"/>
          <w:color w:val="1D2228"/>
        </w:rPr>
        <w:t> </w:t>
      </w:r>
      <w:proofErr w:type="spellStart"/>
      <w:r w:rsidRPr="00036302">
        <w:rPr>
          <w:rFonts w:ascii="Arial" w:hAnsi="Arial" w:cs="Arial"/>
          <w:color w:val="1D2228"/>
        </w:rPr>
        <w:t>edn</w:t>
      </w:r>
      <w:proofErr w:type="spellEnd"/>
      <w:r w:rsidRPr="00036302">
        <w:rPr>
          <w:rFonts w:ascii="Arial" w:hAnsi="Arial" w:cs="Arial"/>
          <w:color w:val="1D2228"/>
        </w:rPr>
        <w:t xml:space="preserve"> Sweet and Maxwell</w:t>
      </w:r>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t xml:space="preserve">Rose, T. (eds) (2020) </w:t>
      </w:r>
      <w:r w:rsidRPr="00036302">
        <w:rPr>
          <w:rFonts w:ascii="Arial" w:hAnsi="Arial" w:cs="Arial"/>
          <w:i/>
          <w:color w:val="1D2228"/>
        </w:rPr>
        <w:t>Blackstone’s Statues on</w:t>
      </w:r>
      <w:r w:rsidRPr="00036302">
        <w:rPr>
          <w:rFonts w:ascii="Arial" w:hAnsi="Arial" w:cs="Arial"/>
          <w:color w:val="1D2228"/>
        </w:rPr>
        <w:t xml:space="preserve"> </w:t>
      </w:r>
      <w:r w:rsidRPr="00036302">
        <w:rPr>
          <w:rFonts w:ascii="Arial" w:hAnsi="Arial" w:cs="Arial"/>
          <w:i/>
          <w:color w:val="1D2228"/>
        </w:rPr>
        <w:t>Contract, Tort &amp; Restitution 2020-2021 31</w:t>
      </w:r>
      <w:r w:rsidRPr="00036302">
        <w:rPr>
          <w:rFonts w:ascii="Arial" w:hAnsi="Arial" w:cs="Arial"/>
          <w:i/>
          <w:color w:val="1D2228"/>
          <w:vertAlign w:val="superscript"/>
        </w:rPr>
        <w:t>st</w:t>
      </w:r>
      <w:r w:rsidRPr="00036302">
        <w:rPr>
          <w:rFonts w:ascii="Arial" w:hAnsi="Arial" w:cs="Arial"/>
          <w:i/>
          <w:color w:val="1D2228"/>
        </w:rPr>
        <w:t xml:space="preserve"> </w:t>
      </w:r>
      <w:proofErr w:type="spellStart"/>
      <w:r w:rsidRPr="00036302">
        <w:rPr>
          <w:rFonts w:ascii="Arial" w:hAnsi="Arial" w:cs="Arial"/>
          <w:i/>
          <w:color w:val="1D2228"/>
        </w:rPr>
        <w:t>edn</w:t>
      </w:r>
      <w:proofErr w:type="spellEnd"/>
      <w:r w:rsidRPr="00036302">
        <w:rPr>
          <w:rFonts w:ascii="Arial" w:hAnsi="Arial" w:cs="Arial"/>
          <w:i/>
          <w:color w:val="1D2228"/>
        </w:rPr>
        <w:t xml:space="preserve">. </w:t>
      </w:r>
      <w:r w:rsidRPr="00036302">
        <w:rPr>
          <w:rFonts w:ascii="Arial" w:hAnsi="Arial" w:cs="Arial"/>
          <w:color w:val="1D2228"/>
        </w:rPr>
        <w:t>Oxford: Oxford University Press</w:t>
      </w:r>
    </w:p>
    <w:p w:rsidR="008502AD" w:rsidRPr="00036302" w:rsidRDefault="008502AD" w:rsidP="008502AD">
      <w:pPr>
        <w:pStyle w:val="yiv5119947351ydp990a897dmsonormal"/>
        <w:shd w:val="clear" w:color="auto" w:fill="FFFFFF"/>
        <w:rPr>
          <w:rFonts w:ascii="Arial" w:hAnsi="Arial" w:cs="Arial"/>
          <w:color w:val="1D2228"/>
        </w:rPr>
      </w:pPr>
      <w:proofErr w:type="spellStart"/>
      <w:r w:rsidRPr="00036302">
        <w:rPr>
          <w:rFonts w:ascii="Arial" w:hAnsi="Arial" w:cs="Arial"/>
          <w:color w:val="1D2228"/>
        </w:rPr>
        <w:t>Treitel</w:t>
      </w:r>
      <w:proofErr w:type="spellEnd"/>
      <w:r w:rsidRPr="00036302">
        <w:rPr>
          <w:rFonts w:ascii="Arial" w:hAnsi="Arial" w:cs="Arial"/>
          <w:color w:val="1D2228"/>
        </w:rPr>
        <w:t xml:space="preserve"> on the Law of Contract Peel, E. (</w:t>
      </w:r>
      <w:proofErr w:type="spellStart"/>
      <w:r w:rsidRPr="00036302">
        <w:rPr>
          <w:rFonts w:ascii="Arial" w:hAnsi="Arial" w:cs="Arial"/>
          <w:color w:val="1D2228"/>
        </w:rPr>
        <w:t>edns</w:t>
      </w:r>
      <w:proofErr w:type="spellEnd"/>
      <w:r w:rsidRPr="00036302">
        <w:rPr>
          <w:rFonts w:ascii="Arial" w:hAnsi="Arial" w:cs="Arial"/>
          <w:color w:val="1D2228"/>
        </w:rPr>
        <w:t>) (2105) A 14</w:t>
      </w:r>
      <w:r w:rsidRPr="00036302">
        <w:rPr>
          <w:rFonts w:ascii="Arial" w:hAnsi="Arial" w:cs="Arial"/>
          <w:color w:val="1D2228"/>
          <w:vertAlign w:val="superscript"/>
        </w:rPr>
        <w:t>th</w:t>
      </w:r>
      <w:r w:rsidRPr="00036302">
        <w:rPr>
          <w:rFonts w:ascii="Arial" w:hAnsi="Arial" w:cs="Arial"/>
          <w:color w:val="1D2228"/>
        </w:rPr>
        <w:t> </w:t>
      </w:r>
      <w:proofErr w:type="spellStart"/>
      <w:r w:rsidRPr="00036302">
        <w:rPr>
          <w:rFonts w:ascii="Arial" w:hAnsi="Arial" w:cs="Arial"/>
          <w:color w:val="1D2228"/>
        </w:rPr>
        <w:t>edn</w:t>
      </w:r>
      <w:proofErr w:type="spellEnd"/>
      <w:r w:rsidRPr="00036302">
        <w:rPr>
          <w:rFonts w:ascii="Arial" w:hAnsi="Arial" w:cs="Arial"/>
          <w:color w:val="1D2228"/>
        </w:rPr>
        <w:t xml:space="preserve"> Sweet and Maxwell</w:t>
      </w:r>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rPr>
        <w:t xml:space="preserve">Smith and Thomas </w:t>
      </w:r>
      <w:proofErr w:type="gramStart"/>
      <w:r w:rsidRPr="00036302">
        <w:rPr>
          <w:rFonts w:ascii="Arial" w:hAnsi="Arial" w:cs="Arial"/>
          <w:color w:val="1D2228"/>
        </w:rPr>
        <w:t>A</w:t>
      </w:r>
      <w:proofErr w:type="gramEnd"/>
      <w:r w:rsidRPr="00036302">
        <w:rPr>
          <w:rFonts w:ascii="Arial" w:hAnsi="Arial" w:cs="Arial"/>
          <w:color w:val="1D2228"/>
        </w:rPr>
        <w:t xml:space="preserve"> Casebook on Contract Roger </w:t>
      </w:r>
      <w:proofErr w:type="spellStart"/>
      <w:r w:rsidRPr="00036302">
        <w:rPr>
          <w:rFonts w:ascii="Arial" w:hAnsi="Arial" w:cs="Arial"/>
          <w:color w:val="1D2228"/>
        </w:rPr>
        <w:t>Bronsword</w:t>
      </w:r>
      <w:proofErr w:type="spellEnd"/>
    </w:p>
    <w:p w:rsidR="008502AD" w:rsidRPr="00036302" w:rsidRDefault="008502AD" w:rsidP="008502AD">
      <w:pPr>
        <w:pStyle w:val="yiv5119947351ydp990a897dmsonormal"/>
        <w:shd w:val="clear" w:color="auto" w:fill="FFFFFF"/>
        <w:rPr>
          <w:rFonts w:ascii="Arial" w:hAnsi="Arial" w:cs="Arial"/>
          <w:color w:val="1D2228"/>
        </w:rPr>
      </w:pPr>
      <w:r w:rsidRPr="00036302">
        <w:rPr>
          <w:rFonts w:ascii="Arial" w:hAnsi="Arial" w:cs="Arial"/>
          <w:color w:val="1D2228"/>
          <w:lang w:val="en-US"/>
        </w:rPr>
        <w:t xml:space="preserve">The Law of Contract (edited by Edwin Peel, 14th </w:t>
      </w:r>
      <w:proofErr w:type="spellStart"/>
      <w:r w:rsidRPr="00036302">
        <w:rPr>
          <w:rFonts w:ascii="Arial" w:hAnsi="Arial" w:cs="Arial"/>
          <w:color w:val="1D2228"/>
          <w:lang w:val="en-US"/>
        </w:rPr>
        <w:t>edn</w:t>
      </w:r>
      <w:proofErr w:type="spellEnd"/>
      <w:r w:rsidRPr="00036302">
        <w:rPr>
          <w:rFonts w:ascii="Arial" w:hAnsi="Arial" w:cs="Arial"/>
          <w:color w:val="1D2228"/>
          <w:lang w:val="en-US"/>
        </w:rPr>
        <w:t>, Sweet &amp; Maxwell, 2015</w:t>
      </w:r>
    </w:p>
    <w:p w:rsidR="008502AD" w:rsidRPr="00036302" w:rsidRDefault="008502AD" w:rsidP="008502AD">
      <w:pPr>
        <w:pStyle w:val="yiv5119947351ydp990a897dmsonormal"/>
        <w:shd w:val="clear" w:color="auto" w:fill="FFFFFF"/>
        <w:rPr>
          <w:rFonts w:ascii="Arial" w:hAnsi="Arial" w:cs="Arial"/>
          <w:color w:val="1D2228"/>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center"/>
        <w:rPr>
          <w:rFonts w:ascii="Arial" w:hAnsi="Arial" w:cs="Arial"/>
          <w:sz w:val="24"/>
          <w:szCs w:val="24"/>
        </w:rPr>
      </w:pPr>
      <w:r w:rsidRPr="00036302">
        <w:rPr>
          <w:rFonts w:ascii="Arial" w:hAnsi="Arial" w:cs="Arial"/>
          <w:sz w:val="24"/>
          <w:szCs w:val="24"/>
        </w:rPr>
        <w:t>CASE LAWS</w:t>
      </w:r>
    </w:p>
    <w:p w:rsidR="008502AD" w:rsidRPr="00036302" w:rsidRDefault="008502AD" w:rsidP="008502AD">
      <w:pPr>
        <w:jc w:val="both"/>
        <w:rPr>
          <w:rFonts w:ascii="Arial" w:hAnsi="Arial" w:cs="Arial"/>
          <w:sz w:val="24"/>
          <w:szCs w:val="24"/>
        </w:rPr>
      </w:pPr>
      <w:proofErr w:type="spellStart"/>
      <w:r w:rsidRPr="00036302">
        <w:rPr>
          <w:rFonts w:ascii="Arial" w:hAnsi="Arial" w:cs="Arial"/>
          <w:sz w:val="24"/>
          <w:szCs w:val="24"/>
        </w:rPr>
        <w:t>Lampleigh</w:t>
      </w:r>
      <w:proofErr w:type="spellEnd"/>
      <w:r w:rsidRPr="00036302">
        <w:rPr>
          <w:rFonts w:ascii="Arial" w:hAnsi="Arial" w:cs="Arial"/>
          <w:sz w:val="24"/>
          <w:szCs w:val="24"/>
        </w:rPr>
        <w:t xml:space="preserve"> v Brathwaite [1615] EWHC KB J 17</w:t>
      </w:r>
    </w:p>
    <w:p w:rsidR="008502AD" w:rsidRPr="00036302" w:rsidRDefault="008502AD" w:rsidP="008502AD">
      <w:pPr>
        <w:rPr>
          <w:rFonts w:ascii="Arial" w:hAnsi="Arial" w:cs="Arial"/>
          <w:sz w:val="24"/>
          <w:szCs w:val="24"/>
        </w:rPr>
      </w:pPr>
      <w:r w:rsidRPr="00036302">
        <w:rPr>
          <w:rFonts w:ascii="Arial" w:hAnsi="Arial" w:cs="Arial"/>
          <w:sz w:val="24"/>
          <w:szCs w:val="24"/>
        </w:rPr>
        <w:t>Cutter v Powell [1795]</w:t>
      </w:r>
    </w:p>
    <w:p w:rsidR="008502AD" w:rsidRPr="00036302" w:rsidRDefault="008502AD" w:rsidP="008502AD">
      <w:pPr>
        <w:jc w:val="both"/>
        <w:rPr>
          <w:rFonts w:ascii="Arial" w:hAnsi="Arial" w:cs="Arial"/>
          <w:sz w:val="24"/>
          <w:szCs w:val="24"/>
        </w:rPr>
      </w:pPr>
      <w:r w:rsidRPr="00036302">
        <w:rPr>
          <w:rFonts w:ascii="Arial" w:hAnsi="Arial" w:cs="Arial"/>
          <w:sz w:val="24"/>
          <w:szCs w:val="24"/>
        </w:rPr>
        <w:t>Ritchie v Atkinson [1808] 10 EAST 295</w:t>
      </w:r>
    </w:p>
    <w:p w:rsidR="008502AD" w:rsidRPr="00036302" w:rsidRDefault="008502AD" w:rsidP="008502AD">
      <w:pPr>
        <w:rPr>
          <w:rFonts w:ascii="Arial" w:hAnsi="Arial" w:cs="Arial"/>
          <w:sz w:val="24"/>
          <w:szCs w:val="24"/>
        </w:rPr>
      </w:pPr>
      <w:r w:rsidRPr="00036302">
        <w:rPr>
          <w:rFonts w:ascii="Arial" w:hAnsi="Arial" w:cs="Arial"/>
          <w:sz w:val="24"/>
          <w:szCs w:val="24"/>
        </w:rPr>
        <w:t>(</w:t>
      </w:r>
      <w:proofErr w:type="spellStart"/>
      <w:r w:rsidRPr="00036302">
        <w:rPr>
          <w:rFonts w:ascii="Arial" w:hAnsi="Arial" w:cs="Arial"/>
          <w:sz w:val="24"/>
          <w:szCs w:val="24"/>
        </w:rPr>
        <w:t>Planche</w:t>
      </w:r>
      <w:proofErr w:type="spellEnd"/>
      <w:r w:rsidRPr="00036302">
        <w:rPr>
          <w:rFonts w:ascii="Arial" w:hAnsi="Arial" w:cs="Arial"/>
          <w:sz w:val="24"/>
          <w:szCs w:val="24"/>
        </w:rPr>
        <w:t xml:space="preserve"> v Colburn [1831] EWHC KB J56</w:t>
      </w:r>
    </w:p>
    <w:p w:rsidR="008502AD" w:rsidRPr="00036302" w:rsidRDefault="008502AD" w:rsidP="008502AD">
      <w:pPr>
        <w:rPr>
          <w:rFonts w:ascii="Arial" w:hAnsi="Arial" w:cs="Arial"/>
          <w:sz w:val="24"/>
          <w:szCs w:val="24"/>
        </w:rPr>
      </w:pPr>
      <w:r w:rsidRPr="00036302">
        <w:rPr>
          <w:rFonts w:ascii="Arial" w:hAnsi="Arial" w:cs="Arial"/>
          <w:sz w:val="24"/>
          <w:szCs w:val="24"/>
        </w:rPr>
        <w:t>(Hyde v Wrench [1840] EWHS Ch J90</w:t>
      </w:r>
    </w:p>
    <w:p w:rsidR="008502AD" w:rsidRPr="00036302" w:rsidRDefault="008502AD" w:rsidP="008502AD">
      <w:pPr>
        <w:rPr>
          <w:rFonts w:ascii="Arial" w:hAnsi="Arial" w:cs="Arial"/>
          <w:sz w:val="24"/>
          <w:szCs w:val="24"/>
        </w:rPr>
      </w:pPr>
      <w:r w:rsidRPr="00036302">
        <w:rPr>
          <w:rFonts w:ascii="Arial" w:hAnsi="Arial" w:cs="Arial"/>
          <w:sz w:val="24"/>
          <w:szCs w:val="24"/>
        </w:rPr>
        <w:t>Thomas v Thomas [1842] 2 QB 852</w:t>
      </w:r>
    </w:p>
    <w:p w:rsidR="008502AD" w:rsidRPr="00036302" w:rsidRDefault="008502AD" w:rsidP="008502AD">
      <w:pPr>
        <w:rPr>
          <w:rFonts w:ascii="Arial" w:hAnsi="Arial" w:cs="Arial"/>
          <w:sz w:val="24"/>
          <w:szCs w:val="24"/>
        </w:rPr>
      </w:pPr>
      <w:r w:rsidRPr="00036302">
        <w:rPr>
          <w:rFonts w:ascii="Arial" w:hAnsi="Arial" w:cs="Arial"/>
          <w:sz w:val="24"/>
          <w:szCs w:val="24"/>
        </w:rPr>
        <w:t>Taylor v Laird [1856] LJ Ex 329</w:t>
      </w:r>
    </w:p>
    <w:p w:rsidR="008502AD" w:rsidRPr="00036302" w:rsidRDefault="008502AD" w:rsidP="008502AD">
      <w:pPr>
        <w:rPr>
          <w:rFonts w:ascii="Arial" w:hAnsi="Arial" w:cs="Arial"/>
          <w:sz w:val="24"/>
          <w:szCs w:val="24"/>
        </w:rPr>
      </w:pPr>
      <w:r w:rsidRPr="00036302">
        <w:rPr>
          <w:rFonts w:ascii="Arial" w:hAnsi="Arial" w:cs="Arial"/>
          <w:sz w:val="24"/>
          <w:szCs w:val="24"/>
        </w:rPr>
        <w:t>Tweddle v Atkinson [1861] WHC J57 (QB)</w:t>
      </w:r>
    </w:p>
    <w:p w:rsidR="008502AD" w:rsidRPr="00036302" w:rsidRDefault="008502AD" w:rsidP="008502AD">
      <w:pPr>
        <w:rPr>
          <w:rFonts w:ascii="Arial" w:hAnsi="Arial" w:cs="Arial"/>
          <w:sz w:val="24"/>
          <w:szCs w:val="24"/>
        </w:rPr>
      </w:pPr>
      <w:r w:rsidRPr="00036302">
        <w:rPr>
          <w:rFonts w:ascii="Arial" w:hAnsi="Arial" w:cs="Arial"/>
          <w:sz w:val="24"/>
          <w:szCs w:val="24"/>
        </w:rPr>
        <w:t>Ramsgate Victoria Hotel v Montefiore [1866] LR 1 Ex 109</w:t>
      </w:r>
    </w:p>
    <w:p w:rsidR="008502AD" w:rsidRPr="00036302" w:rsidRDefault="008502AD" w:rsidP="008502AD">
      <w:pPr>
        <w:rPr>
          <w:rFonts w:ascii="Arial" w:hAnsi="Arial" w:cs="Arial"/>
          <w:sz w:val="24"/>
          <w:szCs w:val="24"/>
        </w:rPr>
      </w:pPr>
      <w:r w:rsidRPr="00036302">
        <w:rPr>
          <w:rFonts w:ascii="Arial" w:hAnsi="Arial" w:cs="Arial"/>
          <w:sz w:val="24"/>
          <w:szCs w:val="24"/>
        </w:rPr>
        <w:t>Currie v Misa [1875] LR 10 Ex 153 [1875-76] LR 1 APP Cas 554</w:t>
      </w:r>
    </w:p>
    <w:p w:rsidR="008502AD" w:rsidRPr="00036302" w:rsidRDefault="008502AD" w:rsidP="008502AD">
      <w:pPr>
        <w:rPr>
          <w:rFonts w:ascii="Arial" w:hAnsi="Arial" w:cs="Arial"/>
          <w:sz w:val="24"/>
          <w:szCs w:val="24"/>
        </w:rPr>
      </w:pPr>
      <w:r w:rsidRPr="00036302">
        <w:rPr>
          <w:rFonts w:ascii="Arial" w:hAnsi="Arial" w:cs="Arial"/>
          <w:sz w:val="24"/>
          <w:szCs w:val="24"/>
        </w:rPr>
        <w:t xml:space="preserve">Byrne v Van </w:t>
      </w:r>
      <w:proofErr w:type="spellStart"/>
      <w:r w:rsidRPr="00036302">
        <w:rPr>
          <w:rFonts w:ascii="Arial" w:hAnsi="Arial" w:cs="Arial"/>
          <w:sz w:val="24"/>
          <w:szCs w:val="24"/>
        </w:rPr>
        <w:t>Tienhoven</w:t>
      </w:r>
      <w:proofErr w:type="spellEnd"/>
      <w:r w:rsidRPr="00036302">
        <w:rPr>
          <w:rFonts w:ascii="Arial" w:hAnsi="Arial" w:cs="Arial"/>
          <w:sz w:val="24"/>
          <w:szCs w:val="24"/>
        </w:rPr>
        <w:t xml:space="preserve"> [1880] CPD 344</w:t>
      </w:r>
    </w:p>
    <w:p w:rsidR="008502AD" w:rsidRPr="00036302" w:rsidRDefault="008502AD" w:rsidP="008502AD">
      <w:pPr>
        <w:rPr>
          <w:rFonts w:ascii="Arial" w:hAnsi="Arial" w:cs="Arial"/>
          <w:sz w:val="24"/>
          <w:szCs w:val="24"/>
        </w:rPr>
      </w:pPr>
      <w:r w:rsidRPr="00036302">
        <w:rPr>
          <w:rFonts w:ascii="Arial" w:hAnsi="Arial" w:cs="Arial"/>
          <w:sz w:val="24"/>
          <w:szCs w:val="24"/>
        </w:rPr>
        <w:t xml:space="preserve">Stevenson, </w:t>
      </w:r>
      <w:proofErr w:type="spellStart"/>
      <w:r w:rsidRPr="00036302">
        <w:rPr>
          <w:rFonts w:ascii="Arial" w:hAnsi="Arial" w:cs="Arial"/>
          <w:sz w:val="24"/>
          <w:szCs w:val="24"/>
        </w:rPr>
        <w:t>Jaques</w:t>
      </w:r>
      <w:proofErr w:type="spellEnd"/>
      <w:r w:rsidRPr="00036302">
        <w:rPr>
          <w:rFonts w:ascii="Arial" w:hAnsi="Arial" w:cs="Arial"/>
          <w:sz w:val="24"/>
          <w:szCs w:val="24"/>
        </w:rPr>
        <w:t xml:space="preserve"> &amp; Co v McLean [1880] 5 QBD 346</w:t>
      </w:r>
    </w:p>
    <w:p w:rsidR="008502AD" w:rsidRPr="00036302" w:rsidRDefault="008502AD" w:rsidP="008502AD">
      <w:pPr>
        <w:jc w:val="both"/>
        <w:rPr>
          <w:rFonts w:ascii="Arial" w:hAnsi="Arial" w:cs="Arial"/>
          <w:sz w:val="24"/>
          <w:szCs w:val="24"/>
        </w:rPr>
      </w:pPr>
      <w:r w:rsidRPr="00036302">
        <w:rPr>
          <w:rFonts w:ascii="Arial" w:hAnsi="Arial" w:cs="Arial"/>
          <w:sz w:val="24"/>
          <w:szCs w:val="24"/>
        </w:rPr>
        <w:t>Re Casey Patents [1892] 1 Ch 104</w:t>
      </w:r>
    </w:p>
    <w:p w:rsidR="008502AD" w:rsidRPr="00036302" w:rsidRDefault="008502AD" w:rsidP="008502AD">
      <w:pPr>
        <w:jc w:val="both"/>
        <w:rPr>
          <w:rFonts w:ascii="Arial" w:hAnsi="Arial" w:cs="Arial"/>
          <w:sz w:val="24"/>
          <w:szCs w:val="24"/>
        </w:rPr>
      </w:pPr>
      <w:r w:rsidRPr="00036302">
        <w:rPr>
          <w:rFonts w:ascii="Arial" w:hAnsi="Arial" w:cs="Arial"/>
          <w:sz w:val="24"/>
          <w:szCs w:val="24"/>
        </w:rPr>
        <w:t>Carlill v Carbolic Smoke Ball Co [1893] 1 QB 256</w:t>
      </w:r>
    </w:p>
    <w:p w:rsidR="008502AD" w:rsidRPr="00036302" w:rsidRDefault="008502AD" w:rsidP="008502AD">
      <w:pPr>
        <w:jc w:val="both"/>
        <w:rPr>
          <w:rFonts w:ascii="Arial" w:hAnsi="Arial" w:cs="Arial"/>
          <w:sz w:val="24"/>
          <w:szCs w:val="24"/>
        </w:rPr>
      </w:pPr>
      <w:r w:rsidRPr="00036302">
        <w:rPr>
          <w:rFonts w:ascii="Arial" w:hAnsi="Arial" w:cs="Arial"/>
          <w:sz w:val="24"/>
          <w:szCs w:val="24"/>
        </w:rPr>
        <w:lastRenderedPageBreak/>
        <w:t>Jones v Daniel [1894] Ch 332</w:t>
      </w:r>
    </w:p>
    <w:p w:rsidR="008502AD" w:rsidRPr="00036302" w:rsidRDefault="008502AD" w:rsidP="008502AD">
      <w:pPr>
        <w:jc w:val="both"/>
        <w:rPr>
          <w:rFonts w:ascii="Arial" w:hAnsi="Arial" w:cs="Arial"/>
          <w:sz w:val="24"/>
          <w:szCs w:val="24"/>
        </w:rPr>
      </w:pPr>
      <w:r w:rsidRPr="00036302">
        <w:rPr>
          <w:rFonts w:ascii="Arial" w:hAnsi="Arial" w:cs="Arial"/>
          <w:sz w:val="24"/>
          <w:szCs w:val="24"/>
        </w:rPr>
        <w:t>Sumpter v Hedges [1898] QB 673</w:t>
      </w:r>
    </w:p>
    <w:p w:rsidR="008502AD" w:rsidRPr="00036302" w:rsidRDefault="008502AD" w:rsidP="008502AD">
      <w:pPr>
        <w:rPr>
          <w:rFonts w:ascii="Arial" w:hAnsi="Arial" w:cs="Arial"/>
          <w:sz w:val="24"/>
          <w:szCs w:val="24"/>
        </w:rPr>
      </w:pPr>
      <w:r w:rsidRPr="00036302">
        <w:rPr>
          <w:rFonts w:ascii="Arial" w:hAnsi="Arial" w:cs="Arial"/>
          <w:sz w:val="24"/>
          <w:szCs w:val="24"/>
        </w:rPr>
        <w:t>Dunlop Pneumatic Tyre v Selfridge Co Ltd [1915] UKHL, 1, [1915] AC 847</w:t>
      </w:r>
    </w:p>
    <w:p w:rsidR="008502AD" w:rsidRPr="00036302" w:rsidRDefault="008502AD" w:rsidP="008502AD">
      <w:pPr>
        <w:rPr>
          <w:rFonts w:ascii="Arial" w:hAnsi="Arial" w:cs="Arial"/>
          <w:sz w:val="24"/>
          <w:szCs w:val="24"/>
        </w:rPr>
      </w:pPr>
      <w:r w:rsidRPr="00036302">
        <w:rPr>
          <w:rFonts w:ascii="Arial" w:hAnsi="Arial" w:cs="Arial"/>
          <w:sz w:val="24"/>
          <w:szCs w:val="24"/>
        </w:rPr>
        <w:t>Re McArdle [1951] Ch 669</w:t>
      </w:r>
    </w:p>
    <w:p w:rsidR="008502AD" w:rsidRPr="00036302" w:rsidRDefault="008502AD" w:rsidP="008502AD">
      <w:pPr>
        <w:rPr>
          <w:rFonts w:ascii="Arial" w:hAnsi="Arial" w:cs="Arial"/>
          <w:sz w:val="24"/>
          <w:szCs w:val="24"/>
        </w:rPr>
      </w:pPr>
      <w:r w:rsidRPr="00036302">
        <w:rPr>
          <w:rFonts w:ascii="Arial" w:hAnsi="Arial" w:cs="Arial"/>
          <w:sz w:val="24"/>
          <w:szCs w:val="24"/>
        </w:rPr>
        <w:t xml:space="preserve">Hoeing v Isaac [1952] ECWA </w:t>
      </w:r>
      <w:proofErr w:type="spellStart"/>
      <w:r w:rsidRPr="00036302">
        <w:rPr>
          <w:rFonts w:ascii="Arial" w:hAnsi="Arial" w:cs="Arial"/>
          <w:sz w:val="24"/>
          <w:szCs w:val="24"/>
        </w:rPr>
        <w:t>Civ</w:t>
      </w:r>
      <w:proofErr w:type="spellEnd"/>
      <w:r w:rsidRPr="00036302">
        <w:rPr>
          <w:rFonts w:ascii="Arial" w:hAnsi="Arial" w:cs="Arial"/>
          <w:sz w:val="24"/>
          <w:szCs w:val="24"/>
        </w:rPr>
        <w:t xml:space="preserve"> 6</w:t>
      </w:r>
    </w:p>
    <w:p w:rsidR="008502AD" w:rsidRPr="00036302" w:rsidRDefault="008502AD" w:rsidP="008502AD">
      <w:pPr>
        <w:rPr>
          <w:rFonts w:ascii="Arial" w:hAnsi="Arial" w:cs="Arial"/>
          <w:sz w:val="24"/>
          <w:szCs w:val="24"/>
        </w:rPr>
      </w:pPr>
      <w:r w:rsidRPr="00036302">
        <w:rPr>
          <w:rFonts w:ascii="Arial" w:hAnsi="Arial" w:cs="Arial"/>
          <w:sz w:val="24"/>
          <w:szCs w:val="24"/>
        </w:rPr>
        <w:t xml:space="preserve">Entores v Miles Far East Corporation [1955] ECWA </w:t>
      </w:r>
      <w:proofErr w:type="spellStart"/>
      <w:r w:rsidRPr="00036302">
        <w:rPr>
          <w:rFonts w:ascii="Arial" w:hAnsi="Arial" w:cs="Arial"/>
          <w:sz w:val="24"/>
          <w:szCs w:val="24"/>
        </w:rPr>
        <w:t>Civ</w:t>
      </w:r>
      <w:proofErr w:type="spellEnd"/>
      <w:r w:rsidRPr="00036302">
        <w:rPr>
          <w:rFonts w:ascii="Arial" w:hAnsi="Arial" w:cs="Arial"/>
          <w:sz w:val="24"/>
          <w:szCs w:val="24"/>
        </w:rPr>
        <w:t xml:space="preserve"> 3</w:t>
      </w:r>
    </w:p>
    <w:p w:rsidR="008502AD" w:rsidRPr="00036302" w:rsidRDefault="008502AD" w:rsidP="008502AD">
      <w:pPr>
        <w:rPr>
          <w:rFonts w:ascii="Arial" w:hAnsi="Arial" w:cs="Arial"/>
          <w:sz w:val="24"/>
          <w:szCs w:val="24"/>
        </w:rPr>
      </w:pPr>
      <w:r w:rsidRPr="00036302">
        <w:rPr>
          <w:rFonts w:ascii="Arial" w:hAnsi="Arial" w:cs="Arial"/>
          <w:sz w:val="24"/>
          <w:szCs w:val="24"/>
        </w:rPr>
        <w:t>Partridge v Crittenden [1968] 1 WLR 1204</w:t>
      </w:r>
    </w:p>
    <w:p w:rsidR="008502AD" w:rsidRPr="00036302" w:rsidRDefault="008502AD" w:rsidP="008502AD">
      <w:pPr>
        <w:rPr>
          <w:rFonts w:ascii="Arial" w:hAnsi="Arial" w:cs="Arial"/>
          <w:sz w:val="24"/>
          <w:szCs w:val="24"/>
        </w:rPr>
      </w:pPr>
      <w:r w:rsidRPr="00036302">
        <w:rPr>
          <w:rFonts w:ascii="Arial" w:hAnsi="Arial" w:cs="Arial"/>
          <w:sz w:val="24"/>
          <w:szCs w:val="24"/>
        </w:rPr>
        <w:t>Bolton v Mahadeva [1972] 2 AII ER 1322</w:t>
      </w:r>
    </w:p>
    <w:p w:rsidR="008502AD" w:rsidRPr="00036302" w:rsidRDefault="008502AD" w:rsidP="008502AD">
      <w:pPr>
        <w:rPr>
          <w:rFonts w:ascii="Arial" w:hAnsi="Arial" w:cs="Arial"/>
          <w:sz w:val="24"/>
          <w:szCs w:val="24"/>
        </w:rPr>
      </w:pPr>
      <w:r w:rsidRPr="00036302">
        <w:rPr>
          <w:rFonts w:ascii="Arial" w:hAnsi="Arial" w:cs="Arial"/>
          <w:sz w:val="24"/>
          <w:szCs w:val="24"/>
        </w:rPr>
        <w:t>Jackson v Horizon Holidays Ltd [1975] 1 WLR 1468</w:t>
      </w:r>
    </w:p>
    <w:p w:rsidR="008502AD" w:rsidRPr="00036302" w:rsidRDefault="008502AD" w:rsidP="008502AD">
      <w:pPr>
        <w:rPr>
          <w:rFonts w:ascii="Arial" w:hAnsi="Arial" w:cs="Arial"/>
          <w:sz w:val="24"/>
          <w:szCs w:val="24"/>
        </w:rPr>
      </w:pPr>
      <w:r w:rsidRPr="00036302">
        <w:rPr>
          <w:rFonts w:ascii="Arial" w:hAnsi="Arial" w:cs="Arial"/>
          <w:sz w:val="24"/>
          <w:szCs w:val="24"/>
        </w:rPr>
        <w:t>New Zealand Shipping Co. Ltd. V. A. M.  Satterthwaite &amp; Co. Ltd. (</w:t>
      </w:r>
      <w:proofErr w:type="spellStart"/>
      <w:r w:rsidRPr="00036302">
        <w:rPr>
          <w:rFonts w:ascii="Arial" w:hAnsi="Arial" w:cs="Arial"/>
          <w:sz w:val="24"/>
          <w:szCs w:val="24"/>
        </w:rPr>
        <w:t>Eurymerdon</w:t>
      </w:r>
      <w:proofErr w:type="spellEnd"/>
      <w:r w:rsidRPr="00036302">
        <w:rPr>
          <w:rFonts w:ascii="Arial" w:hAnsi="Arial" w:cs="Arial"/>
          <w:sz w:val="24"/>
          <w:szCs w:val="24"/>
        </w:rPr>
        <w:t>) [1975] AC 154</w:t>
      </w:r>
    </w:p>
    <w:p w:rsidR="008502AD" w:rsidRPr="00036302" w:rsidRDefault="008502AD" w:rsidP="008502AD">
      <w:pPr>
        <w:jc w:val="both"/>
        <w:rPr>
          <w:rFonts w:ascii="Arial" w:hAnsi="Arial" w:cs="Arial"/>
          <w:sz w:val="24"/>
          <w:szCs w:val="24"/>
        </w:rPr>
      </w:pPr>
      <w:r w:rsidRPr="00036302">
        <w:rPr>
          <w:rFonts w:ascii="Arial" w:hAnsi="Arial" w:cs="Arial"/>
          <w:sz w:val="24"/>
          <w:szCs w:val="24"/>
        </w:rPr>
        <w:t>Gibson v Manchester City Council [1979] UKHL 6</w:t>
      </w:r>
    </w:p>
    <w:p w:rsidR="008502AD" w:rsidRPr="00036302" w:rsidRDefault="008502AD" w:rsidP="008502AD">
      <w:pPr>
        <w:rPr>
          <w:rFonts w:ascii="Arial" w:hAnsi="Arial" w:cs="Arial"/>
          <w:sz w:val="24"/>
          <w:szCs w:val="24"/>
        </w:rPr>
      </w:pPr>
      <w:r w:rsidRPr="00036302">
        <w:rPr>
          <w:rFonts w:ascii="Arial" w:hAnsi="Arial" w:cs="Arial"/>
          <w:sz w:val="24"/>
          <w:szCs w:val="24"/>
        </w:rPr>
        <w:t xml:space="preserve">Pao </w:t>
      </w:r>
      <w:proofErr w:type="gramStart"/>
      <w:r w:rsidRPr="00036302">
        <w:rPr>
          <w:rFonts w:ascii="Arial" w:hAnsi="Arial" w:cs="Arial"/>
          <w:sz w:val="24"/>
          <w:szCs w:val="24"/>
        </w:rPr>
        <w:t>On</w:t>
      </w:r>
      <w:proofErr w:type="gramEnd"/>
      <w:r w:rsidRPr="00036302">
        <w:rPr>
          <w:rFonts w:ascii="Arial" w:hAnsi="Arial" w:cs="Arial"/>
          <w:sz w:val="24"/>
          <w:szCs w:val="24"/>
        </w:rPr>
        <w:t xml:space="preserve"> v Lau </w:t>
      </w:r>
      <w:proofErr w:type="spellStart"/>
      <w:r w:rsidRPr="00036302">
        <w:rPr>
          <w:rFonts w:ascii="Arial" w:hAnsi="Arial" w:cs="Arial"/>
          <w:sz w:val="24"/>
          <w:szCs w:val="24"/>
        </w:rPr>
        <w:t>Yiu</w:t>
      </w:r>
      <w:proofErr w:type="spellEnd"/>
      <w:r w:rsidRPr="00036302">
        <w:rPr>
          <w:rFonts w:ascii="Arial" w:hAnsi="Arial" w:cs="Arial"/>
          <w:sz w:val="24"/>
          <w:szCs w:val="24"/>
        </w:rPr>
        <w:t xml:space="preserve"> Long [1980] AC 614</w:t>
      </w:r>
    </w:p>
    <w:p w:rsidR="008502AD" w:rsidRPr="00036302" w:rsidRDefault="008502AD" w:rsidP="008502AD">
      <w:pPr>
        <w:rPr>
          <w:rFonts w:ascii="Arial" w:hAnsi="Arial" w:cs="Arial"/>
          <w:sz w:val="24"/>
          <w:szCs w:val="24"/>
        </w:rPr>
      </w:pPr>
      <w:proofErr w:type="spellStart"/>
      <w:r w:rsidRPr="00036302">
        <w:rPr>
          <w:rFonts w:ascii="Arial" w:hAnsi="Arial" w:cs="Arial"/>
          <w:sz w:val="24"/>
          <w:szCs w:val="24"/>
        </w:rPr>
        <w:t>Brinkibon</w:t>
      </w:r>
      <w:proofErr w:type="spellEnd"/>
      <w:r w:rsidRPr="00036302">
        <w:rPr>
          <w:rFonts w:ascii="Arial" w:hAnsi="Arial" w:cs="Arial"/>
          <w:sz w:val="24"/>
          <w:szCs w:val="24"/>
        </w:rPr>
        <w:t xml:space="preserve"> v </w:t>
      </w:r>
      <w:proofErr w:type="spellStart"/>
      <w:r w:rsidRPr="00036302">
        <w:rPr>
          <w:rFonts w:ascii="Arial" w:hAnsi="Arial" w:cs="Arial"/>
          <w:sz w:val="24"/>
          <w:szCs w:val="24"/>
        </w:rPr>
        <w:t>Stahag</w:t>
      </w:r>
      <w:proofErr w:type="spellEnd"/>
      <w:r w:rsidRPr="00036302">
        <w:rPr>
          <w:rFonts w:ascii="Arial" w:hAnsi="Arial" w:cs="Arial"/>
          <w:sz w:val="24"/>
          <w:szCs w:val="24"/>
        </w:rPr>
        <w:t xml:space="preserve"> Stahl [1983] 2 AC 34 </w:t>
      </w:r>
    </w:p>
    <w:p w:rsidR="008502AD" w:rsidRPr="00036302" w:rsidRDefault="008502AD" w:rsidP="008502AD">
      <w:pPr>
        <w:rPr>
          <w:rFonts w:ascii="Arial" w:hAnsi="Arial" w:cs="Arial"/>
          <w:sz w:val="24"/>
          <w:szCs w:val="24"/>
        </w:rPr>
      </w:pPr>
      <w:r w:rsidRPr="00036302">
        <w:rPr>
          <w:rFonts w:ascii="Arial" w:hAnsi="Arial" w:cs="Arial"/>
          <w:sz w:val="24"/>
          <w:szCs w:val="24"/>
        </w:rPr>
        <w:t>(Multiplex Constructions UK Ltd v Honeywell control Systems Ltd [2007] EWHC 447 (TCC)</w:t>
      </w: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jc w:val="center"/>
        <w:rPr>
          <w:rFonts w:ascii="Arial" w:hAnsi="Arial" w:cs="Arial"/>
          <w:sz w:val="24"/>
          <w:szCs w:val="24"/>
        </w:rPr>
      </w:pPr>
      <w:r w:rsidRPr="00036302">
        <w:rPr>
          <w:rFonts w:ascii="Arial" w:hAnsi="Arial" w:cs="Arial"/>
          <w:sz w:val="24"/>
          <w:szCs w:val="24"/>
        </w:rPr>
        <w:t>STATUES</w:t>
      </w:r>
    </w:p>
    <w:p w:rsidR="008502AD" w:rsidRPr="00036302" w:rsidRDefault="008502AD" w:rsidP="008502AD">
      <w:pPr>
        <w:rPr>
          <w:rFonts w:ascii="Arial" w:hAnsi="Arial" w:cs="Arial"/>
          <w:sz w:val="24"/>
          <w:szCs w:val="24"/>
        </w:rPr>
      </w:pPr>
      <w:r w:rsidRPr="00036302">
        <w:rPr>
          <w:rFonts w:ascii="Arial" w:hAnsi="Arial" w:cs="Arial"/>
          <w:sz w:val="24"/>
          <w:szCs w:val="24"/>
        </w:rPr>
        <w:t>Married Women’s Property Act 1882</w:t>
      </w:r>
    </w:p>
    <w:p w:rsidR="008502AD" w:rsidRPr="00036302" w:rsidRDefault="008502AD" w:rsidP="008502AD">
      <w:pPr>
        <w:rPr>
          <w:rFonts w:ascii="Arial" w:hAnsi="Arial" w:cs="Arial"/>
          <w:sz w:val="24"/>
          <w:szCs w:val="24"/>
        </w:rPr>
      </w:pPr>
      <w:r w:rsidRPr="00036302">
        <w:rPr>
          <w:rFonts w:ascii="Arial" w:hAnsi="Arial" w:cs="Arial"/>
          <w:sz w:val="24"/>
          <w:szCs w:val="24"/>
        </w:rPr>
        <w:t>Misrepresentation Act 1967</w:t>
      </w:r>
    </w:p>
    <w:p w:rsidR="008502AD" w:rsidRPr="00036302" w:rsidRDefault="008502AD" w:rsidP="008502AD">
      <w:pPr>
        <w:rPr>
          <w:rFonts w:ascii="Arial" w:hAnsi="Arial" w:cs="Arial"/>
          <w:sz w:val="24"/>
          <w:szCs w:val="24"/>
        </w:rPr>
      </w:pPr>
      <w:r w:rsidRPr="00036302">
        <w:rPr>
          <w:rFonts w:ascii="Arial" w:hAnsi="Arial" w:cs="Arial"/>
          <w:sz w:val="24"/>
          <w:szCs w:val="24"/>
        </w:rPr>
        <w:t>Trade Descriptions Act 1968</w:t>
      </w:r>
    </w:p>
    <w:p w:rsidR="008502AD" w:rsidRPr="00036302" w:rsidRDefault="008502AD" w:rsidP="008502AD">
      <w:pPr>
        <w:rPr>
          <w:rFonts w:ascii="Arial" w:hAnsi="Arial" w:cs="Arial"/>
          <w:sz w:val="24"/>
          <w:szCs w:val="24"/>
        </w:rPr>
      </w:pPr>
      <w:r w:rsidRPr="00036302">
        <w:rPr>
          <w:rFonts w:ascii="Arial" w:hAnsi="Arial" w:cs="Arial"/>
          <w:sz w:val="24"/>
          <w:szCs w:val="24"/>
        </w:rPr>
        <w:t>Consumer Credit Act 1974</w:t>
      </w:r>
    </w:p>
    <w:p w:rsidR="008502AD" w:rsidRPr="00036302" w:rsidRDefault="008502AD" w:rsidP="008502AD">
      <w:pPr>
        <w:rPr>
          <w:rFonts w:ascii="Arial" w:hAnsi="Arial" w:cs="Arial"/>
          <w:sz w:val="24"/>
          <w:szCs w:val="24"/>
        </w:rPr>
      </w:pPr>
      <w:r w:rsidRPr="00036302">
        <w:rPr>
          <w:rFonts w:ascii="Arial" w:hAnsi="Arial" w:cs="Arial"/>
          <w:sz w:val="24"/>
          <w:szCs w:val="24"/>
        </w:rPr>
        <w:t>Unfair Contract Term 1977</w:t>
      </w:r>
    </w:p>
    <w:p w:rsidR="008502AD" w:rsidRPr="00036302" w:rsidRDefault="008502AD" w:rsidP="008502AD">
      <w:pPr>
        <w:rPr>
          <w:rFonts w:ascii="Arial" w:hAnsi="Arial" w:cs="Arial"/>
          <w:sz w:val="24"/>
          <w:szCs w:val="24"/>
        </w:rPr>
      </w:pPr>
      <w:r w:rsidRPr="00036302">
        <w:rPr>
          <w:rFonts w:ascii="Arial" w:hAnsi="Arial" w:cs="Arial"/>
          <w:sz w:val="24"/>
          <w:szCs w:val="24"/>
        </w:rPr>
        <w:t>Sale of Goods Act 1979</w:t>
      </w:r>
    </w:p>
    <w:p w:rsidR="008502AD" w:rsidRPr="00036302" w:rsidRDefault="008502AD" w:rsidP="008502AD">
      <w:pPr>
        <w:rPr>
          <w:rFonts w:ascii="Arial" w:hAnsi="Arial" w:cs="Arial"/>
          <w:sz w:val="24"/>
          <w:szCs w:val="24"/>
        </w:rPr>
      </w:pPr>
      <w:r w:rsidRPr="00036302">
        <w:rPr>
          <w:rFonts w:ascii="Arial" w:hAnsi="Arial" w:cs="Arial"/>
          <w:sz w:val="24"/>
          <w:szCs w:val="24"/>
        </w:rPr>
        <w:t>Road Traffic Act 1988</w:t>
      </w:r>
    </w:p>
    <w:p w:rsidR="008502AD" w:rsidRPr="00036302" w:rsidRDefault="008502AD" w:rsidP="008502AD">
      <w:pPr>
        <w:rPr>
          <w:rFonts w:ascii="Arial" w:hAnsi="Arial" w:cs="Arial"/>
          <w:sz w:val="24"/>
          <w:szCs w:val="24"/>
        </w:rPr>
      </w:pPr>
      <w:r w:rsidRPr="00036302">
        <w:rPr>
          <w:rFonts w:ascii="Arial" w:hAnsi="Arial" w:cs="Arial"/>
          <w:sz w:val="24"/>
          <w:szCs w:val="24"/>
        </w:rPr>
        <w:t>Road Traffic Act 1991</w:t>
      </w:r>
    </w:p>
    <w:p w:rsidR="008502AD" w:rsidRPr="00036302" w:rsidRDefault="008502AD" w:rsidP="008502AD">
      <w:pPr>
        <w:rPr>
          <w:rFonts w:ascii="Arial" w:hAnsi="Arial" w:cs="Arial"/>
          <w:sz w:val="24"/>
          <w:szCs w:val="24"/>
        </w:rPr>
      </w:pPr>
      <w:r w:rsidRPr="00036302">
        <w:rPr>
          <w:rFonts w:ascii="Arial" w:hAnsi="Arial" w:cs="Arial"/>
          <w:sz w:val="24"/>
          <w:szCs w:val="24"/>
        </w:rPr>
        <w:t>Contract (Rights of Third Parties) Act 1999</w:t>
      </w:r>
    </w:p>
    <w:p w:rsidR="008502AD" w:rsidRPr="00036302" w:rsidRDefault="008502AD" w:rsidP="008502AD">
      <w:pPr>
        <w:rPr>
          <w:rFonts w:ascii="Arial" w:hAnsi="Arial" w:cs="Arial"/>
          <w:sz w:val="24"/>
          <w:szCs w:val="24"/>
        </w:rPr>
      </w:pPr>
      <w:r w:rsidRPr="00036302">
        <w:rPr>
          <w:rFonts w:ascii="Arial" w:hAnsi="Arial" w:cs="Arial"/>
          <w:sz w:val="24"/>
          <w:szCs w:val="24"/>
        </w:rPr>
        <w:t>Consumer Protection Distance Selling Regulations 2000</w:t>
      </w:r>
    </w:p>
    <w:p w:rsidR="008502AD" w:rsidRPr="00036302" w:rsidRDefault="008502AD" w:rsidP="008502AD">
      <w:pPr>
        <w:rPr>
          <w:rFonts w:ascii="Arial" w:hAnsi="Arial" w:cs="Arial"/>
          <w:sz w:val="24"/>
          <w:szCs w:val="24"/>
        </w:rPr>
      </w:pPr>
      <w:r w:rsidRPr="00036302">
        <w:rPr>
          <w:rFonts w:ascii="Arial" w:hAnsi="Arial" w:cs="Arial"/>
          <w:sz w:val="24"/>
          <w:szCs w:val="24"/>
        </w:rPr>
        <w:t>Consumer Right Act 2015</w:t>
      </w: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8502AD" w:rsidRPr="00036302" w:rsidRDefault="008502AD" w:rsidP="008502AD">
      <w:pPr>
        <w:jc w:val="both"/>
        <w:rPr>
          <w:rFonts w:ascii="Arial" w:hAnsi="Arial" w:cs="Arial"/>
          <w:sz w:val="24"/>
          <w:szCs w:val="24"/>
        </w:rPr>
      </w:pPr>
    </w:p>
    <w:p w:rsidR="003F0A90" w:rsidRPr="00036302" w:rsidRDefault="001D5BCC">
      <w:pPr>
        <w:rPr>
          <w:rFonts w:ascii="Arial" w:hAnsi="Arial" w:cs="Arial"/>
          <w:sz w:val="24"/>
          <w:szCs w:val="24"/>
        </w:rPr>
      </w:pPr>
    </w:p>
    <w:sectPr w:rsidR="003F0A90" w:rsidRPr="00036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45D7D"/>
    <w:multiLevelType w:val="hybridMultilevel"/>
    <w:tmpl w:val="423A08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AD"/>
    <w:rsid w:val="00036302"/>
    <w:rsid w:val="00162E55"/>
    <w:rsid w:val="001D5BCC"/>
    <w:rsid w:val="002C2A9A"/>
    <w:rsid w:val="0030648E"/>
    <w:rsid w:val="004A72D1"/>
    <w:rsid w:val="0057090C"/>
    <w:rsid w:val="00582ACF"/>
    <w:rsid w:val="00687728"/>
    <w:rsid w:val="007F3D55"/>
    <w:rsid w:val="008502AD"/>
    <w:rsid w:val="009554D8"/>
    <w:rsid w:val="009F5599"/>
    <w:rsid w:val="00A62311"/>
    <w:rsid w:val="00C84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9D0A7"/>
  <w15:chartTrackingRefBased/>
  <w15:docId w15:val="{1C293628-E3D1-452D-A667-39EB97D1D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02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5119947351ydp990a897dmsonormal">
    <w:name w:val="yiv5119947351ydp990a897dmsonormal"/>
    <w:basedOn w:val="Normal"/>
    <w:rsid w:val="008502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502AD"/>
    <w:rPr>
      <w:color w:val="0000FF"/>
      <w:u w:val="single"/>
    </w:rPr>
  </w:style>
  <w:style w:type="paragraph" w:styleId="ListParagraph">
    <w:name w:val="List Paragraph"/>
    <w:basedOn w:val="Normal"/>
    <w:uiPriority w:val="34"/>
    <w:qFormat/>
    <w:rsid w:val="006877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8</Pages>
  <Words>2180</Words>
  <Characters>12428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Bunmi Olaniyan (2018882)</dc:creator>
  <cp:keywords/>
  <dc:description/>
  <cp:lastModifiedBy>Funmilayo Bunmi Olaniyan (2018882)</cp:lastModifiedBy>
  <cp:revision>3</cp:revision>
  <dcterms:created xsi:type="dcterms:W3CDTF">2022-03-18T13:46:00Z</dcterms:created>
  <dcterms:modified xsi:type="dcterms:W3CDTF">2022-03-18T23:42:00Z</dcterms:modified>
</cp:coreProperties>
</file>