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CE8121" w14:textId="77777777" w:rsidR="005C14A6" w:rsidRPr="00321519" w:rsidRDefault="005C14A6" w:rsidP="005C14A6">
      <w:pPr>
        <w:pStyle w:val="NormalWeb"/>
        <w:shd w:val="clear" w:color="auto" w:fill="FFFFFF"/>
        <w:spacing w:line="360" w:lineRule="auto"/>
        <w:jc w:val="both"/>
        <w:rPr>
          <w:rFonts w:asciiTheme="minorHAnsi" w:hAnsiTheme="minorHAnsi" w:cstheme="minorHAnsi"/>
          <w:b/>
          <w:bCs/>
          <w:sz w:val="22"/>
          <w:szCs w:val="22"/>
        </w:rPr>
      </w:pPr>
      <w:r w:rsidRPr="00321519">
        <w:rPr>
          <w:rFonts w:asciiTheme="minorHAnsi" w:hAnsiTheme="minorHAnsi" w:cstheme="minorHAnsi"/>
          <w:b/>
          <w:bCs/>
          <w:sz w:val="22"/>
          <w:szCs w:val="22"/>
        </w:rPr>
        <w:t xml:space="preserve">ECAD6008 </w:t>
      </w:r>
    </w:p>
    <w:p w14:paraId="053CBEC9" w14:textId="77777777" w:rsidR="005C14A6" w:rsidRPr="00321519" w:rsidRDefault="005C14A6" w:rsidP="005C14A6">
      <w:pPr>
        <w:pStyle w:val="NormalWeb"/>
        <w:shd w:val="clear" w:color="auto" w:fill="FFFFFF"/>
        <w:spacing w:line="360" w:lineRule="auto"/>
        <w:jc w:val="both"/>
        <w:rPr>
          <w:rFonts w:asciiTheme="minorHAnsi" w:hAnsiTheme="minorHAnsi" w:cstheme="minorHAnsi"/>
          <w:b/>
          <w:bCs/>
          <w:sz w:val="22"/>
          <w:szCs w:val="22"/>
        </w:rPr>
      </w:pPr>
      <w:r w:rsidRPr="00321519">
        <w:rPr>
          <w:rFonts w:asciiTheme="minorHAnsi" w:hAnsiTheme="minorHAnsi" w:cstheme="minorHAnsi"/>
          <w:b/>
          <w:bCs/>
          <w:sz w:val="22"/>
          <w:szCs w:val="22"/>
        </w:rPr>
        <w:t>Student Number: 2105331</w:t>
      </w:r>
    </w:p>
    <w:p w14:paraId="066FD8CC" w14:textId="77777777" w:rsidR="005C14A6" w:rsidRPr="00520CC6" w:rsidRDefault="005C14A6" w:rsidP="005C14A6">
      <w:pPr>
        <w:pStyle w:val="NormalWeb"/>
        <w:shd w:val="clear" w:color="auto" w:fill="FFFFFF"/>
        <w:spacing w:line="360" w:lineRule="auto"/>
        <w:jc w:val="center"/>
        <w:rPr>
          <w:rFonts w:asciiTheme="minorHAnsi" w:hAnsiTheme="minorHAnsi" w:cstheme="minorHAnsi"/>
          <w:sz w:val="22"/>
          <w:szCs w:val="22"/>
          <w:u w:val="single"/>
        </w:rPr>
      </w:pPr>
      <w:r w:rsidRPr="00520CC6">
        <w:rPr>
          <w:rFonts w:asciiTheme="minorHAnsi" w:hAnsiTheme="minorHAnsi" w:cstheme="minorHAnsi"/>
          <w:sz w:val="22"/>
          <w:szCs w:val="22"/>
          <w:u w:val="single"/>
        </w:rPr>
        <w:t xml:space="preserve">Critically reflect on your progress in planning, </w:t>
      </w:r>
      <w:proofErr w:type="gramStart"/>
      <w:r w:rsidRPr="00520CC6">
        <w:rPr>
          <w:rFonts w:asciiTheme="minorHAnsi" w:hAnsiTheme="minorHAnsi" w:cstheme="minorHAnsi"/>
          <w:sz w:val="22"/>
          <w:szCs w:val="22"/>
          <w:u w:val="single"/>
        </w:rPr>
        <w:t>preparing</w:t>
      </w:r>
      <w:proofErr w:type="gramEnd"/>
      <w:r w:rsidRPr="00520CC6">
        <w:rPr>
          <w:rFonts w:asciiTheme="minorHAnsi" w:hAnsiTheme="minorHAnsi" w:cstheme="minorHAnsi"/>
          <w:sz w:val="22"/>
          <w:szCs w:val="22"/>
          <w:u w:val="single"/>
        </w:rPr>
        <w:t xml:space="preserve"> and teaching lessons that incorporate specific pedagogical principles. (This evidence should be taken from you Professional Learning Passport –PLP.) Identify one of these pedagogical principles as an area for development and justify the next steps in your development.</w:t>
      </w:r>
    </w:p>
    <w:p w14:paraId="0BDCD14B" w14:textId="77777777" w:rsidR="005C14A6" w:rsidRPr="00520CC6" w:rsidRDefault="005C14A6" w:rsidP="005C14A6">
      <w:pPr>
        <w:pStyle w:val="NormalWeb"/>
        <w:shd w:val="clear" w:color="auto" w:fill="FFFFFF"/>
        <w:spacing w:line="360" w:lineRule="auto"/>
        <w:jc w:val="both"/>
        <w:rPr>
          <w:rFonts w:asciiTheme="minorHAnsi" w:hAnsiTheme="minorHAnsi" w:cstheme="minorHAnsi"/>
          <w:sz w:val="22"/>
          <w:szCs w:val="22"/>
          <w:u w:val="single"/>
        </w:rPr>
      </w:pPr>
      <w:r w:rsidRPr="00520CC6">
        <w:rPr>
          <w:rFonts w:asciiTheme="minorHAnsi" w:hAnsiTheme="minorHAnsi" w:cstheme="minorHAnsi"/>
          <w:sz w:val="22"/>
          <w:szCs w:val="22"/>
          <w:u w:val="single"/>
        </w:rPr>
        <w:t>Introduction</w:t>
      </w:r>
    </w:p>
    <w:p w14:paraId="3155F327" w14:textId="77777777" w:rsidR="005C14A6" w:rsidRPr="00321519" w:rsidRDefault="005C14A6" w:rsidP="005C14A6">
      <w:pPr>
        <w:pStyle w:val="NormalWeb"/>
        <w:shd w:val="clear" w:color="auto" w:fill="FFFFFF"/>
        <w:spacing w:line="360" w:lineRule="auto"/>
        <w:jc w:val="both"/>
        <w:rPr>
          <w:rFonts w:asciiTheme="minorHAnsi" w:hAnsiTheme="minorHAnsi" w:cstheme="minorHAnsi"/>
          <w:sz w:val="22"/>
          <w:szCs w:val="22"/>
        </w:rPr>
      </w:pPr>
      <w:r w:rsidRPr="00321519">
        <w:rPr>
          <w:rFonts w:asciiTheme="minorHAnsi" w:hAnsiTheme="minorHAnsi" w:cstheme="minorHAnsi"/>
          <w:sz w:val="22"/>
          <w:szCs w:val="22"/>
        </w:rPr>
        <w:t xml:space="preserve">In this paper I will critically discuss </w:t>
      </w:r>
      <w:r>
        <w:rPr>
          <w:rFonts w:asciiTheme="minorHAnsi" w:hAnsiTheme="minorHAnsi" w:cstheme="minorHAnsi"/>
          <w:sz w:val="22"/>
          <w:szCs w:val="22"/>
        </w:rPr>
        <w:t>the</w:t>
      </w:r>
      <w:r w:rsidRPr="00321519">
        <w:rPr>
          <w:rFonts w:asciiTheme="minorHAnsi" w:hAnsiTheme="minorHAnsi" w:cstheme="minorHAnsi"/>
          <w:sz w:val="22"/>
          <w:szCs w:val="22"/>
        </w:rPr>
        <w:t xml:space="preserve"> use of Assessment for Learning (AfL)</w:t>
      </w:r>
      <w:r>
        <w:rPr>
          <w:rFonts w:asciiTheme="minorHAnsi" w:hAnsiTheme="minorHAnsi" w:cstheme="minorHAnsi"/>
          <w:sz w:val="22"/>
          <w:szCs w:val="22"/>
        </w:rPr>
        <w:t xml:space="preserve"> techniques, specifically the use of questioning and feedback</w:t>
      </w:r>
      <w:r w:rsidRPr="00321519">
        <w:rPr>
          <w:rFonts w:asciiTheme="minorHAnsi" w:hAnsiTheme="minorHAnsi" w:cstheme="minorHAnsi"/>
          <w:sz w:val="22"/>
          <w:szCs w:val="22"/>
        </w:rPr>
        <w:t xml:space="preserve">. Having made use of the strategy, as evidenced in Part 1 of this assignment, I will discuss the theory behind its conception and practice with a view to informing and improving my future teaching practice. </w:t>
      </w:r>
    </w:p>
    <w:p w14:paraId="495DEEE4" w14:textId="77777777" w:rsidR="005C14A6" w:rsidRDefault="005C14A6" w:rsidP="005C14A6">
      <w:pPr>
        <w:pStyle w:val="NormalWeb"/>
        <w:shd w:val="clear" w:color="auto" w:fill="FFFFFF"/>
        <w:spacing w:line="360" w:lineRule="auto"/>
        <w:jc w:val="both"/>
        <w:rPr>
          <w:rFonts w:asciiTheme="minorHAnsi" w:hAnsiTheme="minorHAnsi" w:cstheme="minorHAnsi"/>
          <w:sz w:val="22"/>
          <w:szCs w:val="22"/>
        </w:rPr>
      </w:pPr>
      <w:r w:rsidRPr="00321519">
        <w:rPr>
          <w:rFonts w:asciiTheme="minorHAnsi" w:hAnsiTheme="minorHAnsi" w:cstheme="minorHAnsi"/>
          <w:sz w:val="22"/>
          <w:szCs w:val="22"/>
        </w:rPr>
        <w:t>AfL is a way of improving learner outcomes made popular after the research of Wiliam &amp; Black in Inside the Black Box</w:t>
      </w:r>
      <w:r>
        <w:rPr>
          <w:rFonts w:asciiTheme="minorHAnsi" w:hAnsiTheme="minorHAnsi" w:cstheme="minorHAnsi"/>
          <w:sz w:val="22"/>
          <w:szCs w:val="22"/>
        </w:rPr>
        <w:t xml:space="preserve"> (Black &amp; Wiliam, 1998)</w:t>
      </w:r>
      <w:r w:rsidRPr="00321519">
        <w:rPr>
          <w:rFonts w:asciiTheme="minorHAnsi" w:hAnsiTheme="minorHAnsi" w:cstheme="minorHAnsi"/>
          <w:sz w:val="22"/>
          <w:szCs w:val="22"/>
        </w:rPr>
        <w:t>.</w:t>
      </w:r>
      <w:r>
        <w:rPr>
          <w:rFonts w:asciiTheme="minorHAnsi" w:hAnsiTheme="minorHAnsi" w:cstheme="minorHAnsi"/>
          <w:sz w:val="22"/>
          <w:szCs w:val="22"/>
        </w:rPr>
        <w:t xml:space="preserve"> </w:t>
      </w:r>
      <w:r w:rsidRPr="00321519">
        <w:rPr>
          <w:rFonts w:asciiTheme="minorHAnsi" w:hAnsiTheme="minorHAnsi" w:cstheme="minorHAnsi"/>
          <w:sz w:val="22"/>
          <w:szCs w:val="22"/>
        </w:rPr>
        <w:t>Formative Assessment</w:t>
      </w:r>
      <w:r>
        <w:rPr>
          <w:rFonts w:asciiTheme="minorHAnsi" w:hAnsiTheme="minorHAnsi" w:cstheme="minorHAnsi"/>
          <w:sz w:val="22"/>
          <w:szCs w:val="22"/>
        </w:rPr>
        <w:t xml:space="preserve"> (another term for Assessment for Learning)</w:t>
      </w:r>
      <w:r w:rsidRPr="00321519">
        <w:rPr>
          <w:rFonts w:asciiTheme="minorHAnsi" w:hAnsiTheme="minorHAnsi" w:cstheme="minorHAnsi"/>
          <w:sz w:val="22"/>
          <w:szCs w:val="22"/>
        </w:rPr>
        <w:t xml:space="preserve"> </w:t>
      </w:r>
      <w:r>
        <w:rPr>
          <w:rFonts w:asciiTheme="minorHAnsi" w:hAnsiTheme="minorHAnsi" w:cstheme="minorHAnsi"/>
          <w:sz w:val="22"/>
          <w:szCs w:val="22"/>
        </w:rPr>
        <w:t>contrasts with</w:t>
      </w:r>
      <w:r w:rsidRPr="00321519">
        <w:rPr>
          <w:rFonts w:asciiTheme="minorHAnsi" w:hAnsiTheme="minorHAnsi" w:cstheme="minorHAnsi"/>
          <w:sz w:val="22"/>
          <w:szCs w:val="22"/>
        </w:rPr>
        <w:t xml:space="preserve"> Summative Assessment, which concerns </w:t>
      </w:r>
      <w:r>
        <w:rPr>
          <w:rFonts w:asciiTheme="minorHAnsi" w:hAnsiTheme="minorHAnsi" w:cstheme="minorHAnsi"/>
          <w:sz w:val="22"/>
          <w:szCs w:val="22"/>
        </w:rPr>
        <w:t>placing</w:t>
      </w:r>
      <w:r w:rsidRPr="00321519">
        <w:rPr>
          <w:rFonts w:asciiTheme="minorHAnsi" w:hAnsiTheme="minorHAnsi" w:cstheme="minorHAnsi"/>
          <w:sz w:val="22"/>
          <w:szCs w:val="22"/>
        </w:rPr>
        <w:t xml:space="preserve"> learner progression and understanding </w:t>
      </w:r>
      <w:r w:rsidRPr="00321519">
        <w:rPr>
          <w:rFonts w:asciiTheme="minorHAnsi" w:hAnsiTheme="minorHAnsi" w:cstheme="minorHAnsi"/>
          <w:i/>
          <w:iCs/>
          <w:sz w:val="22"/>
          <w:szCs w:val="22"/>
        </w:rPr>
        <w:t>after</w:t>
      </w:r>
      <w:r w:rsidRPr="00321519">
        <w:rPr>
          <w:rFonts w:asciiTheme="minorHAnsi" w:hAnsiTheme="minorHAnsi" w:cstheme="minorHAnsi"/>
          <w:sz w:val="22"/>
          <w:szCs w:val="22"/>
        </w:rPr>
        <w:t xml:space="preserve"> a fixed period of teaching. This would be in the form of an exam, test, or other controlled and benchmarked task. </w:t>
      </w:r>
      <w:r>
        <w:rPr>
          <w:rFonts w:asciiTheme="minorHAnsi" w:hAnsiTheme="minorHAnsi" w:cstheme="minorHAnsi"/>
          <w:sz w:val="22"/>
          <w:szCs w:val="22"/>
        </w:rPr>
        <w:t>Formative Assessment is ongoing, conducted at regular and repeated stages of the teaching cycle. Therefore “</w:t>
      </w:r>
      <w:r w:rsidRPr="00530971">
        <w:rPr>
          <w:rFonts w:asciiTheme="minorHAnsi" w:hAnsiTheme="minorHAnsi" w:cstheme="minorHAnsi"/>
          <w:sz w:val="22"/>
          <w:szCs w:val="22"/>
        </w:rPr>
        <w:t>assessment becomes formative assessment when the evidence is actually used to adapt the teaching work to meet the learning needs</w:t>
      </w:r>
      <w:r>
        <w:rPr>
          <w:rFonts w:asciiTheme="minorHAnsi" w:hAnsiTheme="minorHAnsi" w:cstheme="minorHAnsi"/>
          <w:sz w:val="22"/>
          <w:szCs w:val="22"/>
        </w:rPr>
        <w:t xml:space="preserve">” (Black et al, 2003). There are four main areas of formative practice, namely: questioning, feedback through marking, peer- and self-assessment by students and the formative use of summative tests. (Black et al, 2003, p.31). </w:t>
      </w:r>
    </w:p>
    <w:p w14:paraId="33A284DC" w14:textId="77777777" w:rsidR="005C14A6" w:rsidRPr="00321519" w:rsidRDefault="005C14A6" w:rsidP="005C14A6">
      <w:pPr>
        <w:pStyle w:val="NormalWeb"/>
        <w:shd w:val="clear" w:color="auto" w:fill="FFFFFF"/>
        <w:spacing w:line="360" w:lineRule="auto"/>
        <w:jc w:val="both"/>
        <w:rPr>
          <w:rFonts w:asciiTheme="minorHAnsi" w:hAnsiTheme="minorHAnsi" w:cstheme="minorHAnsi"/>
          <w:sz w:val="22"/>
          <w:szCs w:val="22"/>
        </w:rPr>
      </w:pPr>
      <w:r>
        <w:rPr>
          <w:rFonts w:asciiTheme="minorHAnsi" w:hAnsiTheme="minorHAnsi" w:cstheme="minorHAnsi"/>
          <w:sz w:val="22"/>
          <w:szCs w:val="22"/>
        </w:rPr>
        <w:t>I have chosen to focus on AfL for two reasons. Firstly, it can be embedded across all subject areas as a tool to move learning forward. It is flexible and helps to empower learners which is something I want to discover more about. As a mature student on this PGCE I still remember didactic, teacher led lessons, where if you didn’t ‘get it’, it was your own fault. As such, I like the idea of employing a more collaborative teaching style. Secondly, AfL is deeply embedding in the incoming</w:t>
      </w:r>
      <w:r w:rsidRPr="00321519">
        <w:rPr>
          <w:rFonts w:asciiTheme="minorHAnsi" w:hAnsiTheme="minorHAnsi" w:cstheme="minorHAnsi"/>
          <w:sz w:val="22"/>
          <w:szCs w:val="22"/>
        </w:rPr>
        <w:t xml:space="preserve"> Welsh Curriculum</w:t>
      </w:r>
      <w:r>
        <w:rPr>
          <w:rFonts w:asciiTheme="minorHAnsi" w:hAnsiTheme="minorHAnsi" w:cstheme="minorHAnsi"/>
          <w:sz w:val="22"/>
          <w:szCs w:val="22"/>
        </w:rPr>
        <w:t>,</w:t>
      </w:r>
      <w:r w:rsidRPr="00321519">
        <w:rPr>
          <w:rFonts w:asciiTheme="minorHAnsi" w:hAnsiTheme="minorHAnsi" w:cstheme="minorHAnsi"/>
          <w:sz w:val="22"/>
          <w:szCs w:val="22"/>
        </w:rPr>
        <w:t xml:space="preserve"> reflected in its insistence that:</w:t>
      </w:r>
    </w:p>
    <w:p w14:paraId="7CCFB234" w14:textId="77777777" w:rsidR="005C14A6" w:rsidRPr="000B14C1" w:rsidRDefault="005C14A6" w:rsidP="005C14A6">
      <w:pPr>
        <w:pStyle w:val="NormalWeb"/>
        <w:numPr>
          <w:ilvl w:val="0"/>
          <w:numId w:val="2"/>
        </w:numPr>
        <w:shd w:val="clear" w:color="auto" w:fill="FFFFFF"/>
        <w:spacing w:line="360" w:lineRule="auto"/>
        <w:jc w:val="both"/>
        <w:rPr>
          <w:rFonts w:asciiTheme="minorHAnsi" w:hAnsiTheme="minorHAnsi" w:cstheme="minorHAnsi"/>
          <w:sz w:val="18"/>
          <w:szCs w:val="18"/>
        </w:rPr>
      </w:pPr>
      <w:r w:rsidRPr="000B14C1">
        <w:rPr>
          <w:rFonts w:asciiTheme="minorHAnsi" w:hAnsiTheme="minorHAnsi" w:cstheme="minorHAnsi"/>
          <w:sz w:val="18"/>
          <w:szCs w:val="18"/>
        </w:rPr>
        <w:t>“Assessment should be an ongoing process that is embedded within day-to-day practice and is fundamental to the learning process.</w:t>
      </w:r>
    </w:p>
    <w:p w14:paraId="46F45D44" w14:textId="77777777" w:rsidR="005C14A6" w:rsidRDefault="005C14A6" w:rsidP="005C14A6">
      <w:pPr>
        <w:pStyle w:val="NormalWeb"/>
        <w:numPr>
          <w:ilvl w:val="0"/>
          <w:numId w:val="2"/>
        </w:numPr>
        <w:shd w:val="clear" w:color="auto" w:fill="FFFFFF"/>
        <w:spacing w:line="360" w:lineRule="auto"/>
        <w:jc w:val="both"/>
        <w:rPr>
          <w:rFonts w:asciiTheme="minorHAnsi" w:hAnsiTheme="minorHAnsi" w:cstheme="minorHAnsi"/>
          <w:sz w:val="18"/>
          <w:szCs w:val="18"/>
        </w:rPr>
      </w:pPr>
      <w:r w:rsidRPr="000B14C1">
        <w:rPr>
          <w:rFonts w:asciiTheme="minorHAnsi" w:hAnsiTheme="minorHAnsi" w:cstheme="minorHAnsi"/>
          <w:sz w:val="18"/>
          <w:szCs w:val="18"/>
        </w:rPr>
        <w:lastRenderedPageBreak/>
        <w:t>Progression in learning is a process of increasing sophistication, rather than being about a body of content to be covered.</w:t>
      </w:r>
    </w:p>
    <w:p w14:paraId="27AAD498" w14:textId="77777777" w:rsidR="005C14A6" w:rsidRPr="000B14C1" w:rsidRDefault="005C14A6" w:rsidP="005C14A6">
      <w:pPr>
        <w:pStyle w:val="NormalWeb"/>
        <w:numPr>
          <w:ilvl w:val="0"/>
          <w:numId w:val="2"/>
        </w:numPr>
        <w:shd w:val="clear" w:color="auto" w:fill="FFFFFF"/>
        <w:spacing w:line="360" w:lineRule="auto"/>
        <w:jc w:val="both"/>
        <w:rPr>
          <w:rFonts w:asciiTheme="minorHAnsi" w:hAnsiTheme="minorHAnsi" w:cstheme="minorHAnsi"/>
          <w:sz w:val="18"/>
          <w:szCs w:val="18"/>
        </w:rPr>
      </w:pPr>
      <w:r w:rsidRPr="000B14C1">
        <w:rPr>
          <w:rFonts w:asciiTheme="minorHAnsi" w:hAnsiTheme="minorHAnsi" w:cstheme="minorHAnsi"/>
          <w:sz w:val="18"/>
          <w:szCs w:val="18"/>
        </w:rPr>
        <w:t xml:space="preserve">Progression is not linear and different learners are likely to progress in markedly different ways. Assessment, built into the school curriculum, should recognise </w:t>
      </w:r>
      <w:proofErr w:type="gramStart"/>
      <w:r w:rsidRPr="000B14C1">
        <w:rPr>
          <w:rFonts w:asciiTheme="minorHAnsi" w:hAnsiTheme="minorHAnsi" w:cstheme="minorHAnsi"/>
          <w:sz w:val="18"/>
          <w:szCs w:val="18"/>
        </w:rPr>
        <w:t>this</w:t>
      </w:r>
      <w:proofErr w:type="gramEnd"/>
      <w:r w:rsidRPr="000B14C1">
        <w:rPr>
          <w:rFonts w:asciiTheme="minorHAnsi" w:hAnsiTheme="minorHAnsi" w:cstheme="minorHAnsi"/>
          <w:sz w:val="18"/>
          <w:szCs w:val="18"/>
        </w:rPr>
        <w:t xml:space="preserve"> and allow for a variety of diversions, stops and spurts in a learner’s journey. </w:t>
      </w:r>
    </w:p>
    <w:p w14:paraId="5FAA8B5B" w14:textId="77777777" w:rsidR="005C14A6" w:rsidRPr="000B14C1" w:rsidRDefault="005C14A6" w:rsidP="005C14A6">
      <w:pPr>
        <w:pStyle w:val="NormalWeb"/>
        <w:numPr>
          <w:ilvl w:val="0"/>
          <w:numId w:val="2"/>
        </w:numPr>
        <w:shd w:val="clear" w:color="auto" w:fill="FFFFFF"/>
        <w:spacing w:line="360" w:lineRule="auto"/>
        <w:jc w:val="both"/>
        <w:rPr>
          <w:rFonts w:asciiTheme="minorHAnsi" w:hAnsiTheme="minorHAnsi" w:cstheme="minorHAnsi"/>
          <w:sz w:val="18"/>
          <w:szCs w:val="18"/>
        </w:rPr>
      </w:pPr>
      <w:r w:rsidRPr="000B14C1">
        <w:rPr>
          <w:rFonts w:asciiTheme="minorHAnsi" w:hAnsiTheme="minorHAnsi" w:cstheme="minorHAnsi"/>
          <w:sz w:val="18"/>
          <w:szCs w:val="18"/>
        </w:rPr>
        <w:t>Assessment is key to supporting ‘deep’ learning and should be used to identify whether a learner needs to consolidate learning, whether further support is needed and/or whether the learner can progress to the next steps in learning.</w:t>
      </w:r>
    </w:p>
    <w:p w14:paraId="2CB10E7B" w14:textId="77777777" w:rsidR="005C14A6" w:rsidRPr="000B14C1" w:rsidRDefault="005C14A6" w:rsidP="005C14A6">
      <w:pPr>
        <w:pStyle w:val="NormalWeb"/>
        <w:numPr>
          <w:ilvl w:val="0"/>
          <w:numId w:val="2"/>
        </w:numPr>
        <w:shd w:val="clear" w:color="auto" w:fill="FFFFFF"/>
        <w:spacing w:line="360" w:lineRule="auto"/>
        <w:jc w:val="both"/>
        <w:rPr>
          <w:rFonts w:asciiTheme="minorHAnsi" w:hAnsiTheme="minorHAnsi" w:cstheme="minorHAnsi"/>
          <w:sz w:val="18"/>
          <w:szCs w:val="18"/>
        </w:rPr>
      </w:pPr>
      <w:r w:rsidRPr="000B14C1">
        <w:rPr>
          <w:rFonts w:asciiTheme="minorHAnsi" w:hAnsiTheme="minorHAnsi" w:cstheme="minorHAnsi"/>
          <w:sz w:val="18"/>
          <w:szCs w:val="18"/>
        </w:rPr>
        <w:t xml:space="preserve">Observational assessment should be </w:t>
      </w:r>
      <w:proofErr w:type="gramStart"/>
      <w:r w:rsidRPr="000B14C1">
        <w:rPr>
          <w:rFonts w:asciiTheme="minorHAnsi" w:hAnsiTheme="minorHAnsi" w:cstheme="minorHAnsi"/>
          <w:sz w:val="18"/>
          <w:szCs w:val="18"/>
        </w:rPr>
        <w:t>used</w:t>
      </w:r>
      <w:proofErr w:type="gramEnd"/>
      <w:r w:rsidRPr="000B14C1">
        <w:rPr>
          <w:rFonts w:asciiTheme="minorHAnsi" w:hAnsiTheme="minorHAnsi" w:cstheme="minorHAnsi"/>
          <w:sz w:val="18"/>
          <w:szCs w:val="18"/>
        </w:rPr>
        <w:t xml:space="preserve"> and practitioners should look for evidence of embedded learning to assess what a learner can do consistently and independently in a range of learning experiences. This should be informed by a good understanding of child development.”</w:t>
      </w:r>
    </w:p>
    <w:p w14:paraId="1F855828" w14:textId="77777777" w:rsidR="005C14A6" w:rsidRPr="000543EB" w:rsidRDefault="005C14A6" w:rsidP="005C14A6">
      <w:pPr>
        <w:pStyle w:val="NormalWeb"/>
        <w:shd w:val="clear" w:color="auto" w:fill="FFFFFF"/>
        <w:spacing w:line="360" w:lineRule="auto"/>
        <w:jc w:val="right"/>
        <w:rPr>
          <w:rFonts w:asciiTheme="minorHAnsi" w:hAnsiTheme="minorHAnsi" w:cstheme="minorHAnsi"/>
          <w:sz w:val="22"/>
          <w:szCs w:val="22"/>
        </w:rPr>
      </w:pPr>
      <w:r>
        <w:rPr>
          <w:rFonts w:asciiTheme="minorHAnsi" w:hAnsiTheme="minorHAnsi" w:cstheme="minorHAnsi"/>
          <w:sz w:val="22"/>
          <w:szCs w:val="22"/>
        </w:rPr>
        <w:t>(Welsh Govt Hwb, 2020)</w:t>
      </w:r>
    </w:p>
    <w:p w14:paraId="5993B758" w14:textId="77777777" w:rsidR="005C14A6" w:rsidRDefault="005C14A6" w:rsidP="005C14A6">
      <w:pPr>
        <w:pStyle w:val="NormalWeb"/>
        <w:shd w:val="clear" w:color="auto" w:fill="FFFFFF"/>
        <w:spacing w:line="360" w:lineRule="auto"/>
        <w:jc w:val="both"/>
        <w:rPr>
          <w:rFonts w:asciiTheme="minorHAnsi" w:hAnsiTheme="minorHAnsi" w:cstheme="minorHAnsi"/>
          <w:sz w:val="22"/>
          <w:szCs w:val="22"/>
        </w:rPr>
      </w:pPr>
      <w:r w:rsidRPr="00321519">
        <w:rPr>
          <w:rFonts w:asciiTheme="minorHAnsi" w:hAnsiTheme="minorHAnsi" w:cstheme="minorHAnsi"/>
          <w:sz w:val="22"/>
          <w:szCs w:val="22"/>
        </w:rPr>
        <w:t>These are central tenets of a productive AfL strategy</w:t>
      </w:r>
      <w:r>
        <w:rPr>
          <w:rFonts w:asciiTheme="minorHAnsi" w:hAnsiTheme="minorHAnsi" w:cstheme="minorHAnsi"/>
          <w:sz w:val="22"/>
          <w:szCs w:val="22"/>
        </w:rPr>
        <w:t xml:space="preserve"> and reinforced in Curriculum for Wales.</w:t>
      </w:r>
      <w:r w:rsidRPr="00321519">
        <w:rPr>
          <w:rFonts w:asciiTheme="minorHAnsi" w:hAnsiTheme="minorHAnsi" w:cstheme="minorHAnsi"/>
          <w:sz w:val="22"/>
          <w:szCs w:val="22"/>
        </w:rPr>
        <w:t xml:space="preserve"> </w:t>
      </w:r>
      <w:r>
        <w:rPr>
          <w:rFonts w:asciiTheme="minorHAnsi" w:hAnsiTheme="minorHAnsi" w:cstheme="minorHAnsi"/>
          <w:sz w:val="22"/>
          <w:szCs w:val="22"/>
        </w:rPr>
        <w:t>They</w:t>
      </w:r>
      <w:r w:rsidRPr="00321519">
        <w:rPr>
          <w:rFonts w:asciiTheme="minorHAnsi" w:hAnsiTheme="minorHAnsi" w:cstheme="minorHAnsi"/>
          <w:sz w:val="22"/>
          <w:szCs w:val="22"/>
        </w:rPr>
        <w:t xml:space="preserve"> recognise the focus on the complexity of a journey (formative assessment) rather than the singularity of a destination (summative assessment).</w:t>
      </w:r>
      <w:r>
        <w:rPr>
          <w:rFonts w:asciiTheme="minorHAnsi" w:hAnsiTheme="minorHAnsi" w:cstheme="minorHAnsi"/>
          <w:sz w:val="22"/>
          <w:szCs w:val="22"/>
        </w:rPr>
        <w:t xml:space="preserve"> I will discuss in more detail the areas of Questioning and Feedback, as I feel questioning is the most accessible AfL strategy and the most ubiquitous of teacher tools. Similarly, feedback is something that is unavoidable as a teacher – being through marking or teacher comments, so is a second area that I will focus on in this piece in how it can be used as an AfL strategy. </w:t>
      </w:r>
    </w:p>
    <w:p w14:paraId="12ED8962" w14:textId="77777777" w:rsidR="005C14A6" w:rsidRDefault="005C14A6" w:rsidP="005C14A6">
      <w:pPr>
        <w:pStyle w:val="NormalWeb"/>
        <w:shd w:val="clear" w:color="auto" w:fill="FFFFFF"/>
        <w:spacing w:line="360" w:lineRule="auto"/>
        <w:jc w:val="both"/>
        <w:rPr>
          <w:rFonts w:asciiTheme="minorHAnsi" w:hAnsiTheme="minorHAnsi" w:cstheme="minorHAnsi"/>
          <w:sz w:val="22"/>
          <w:szCs w:val="22"/>
        </w:rPr>
      </w:pPr>
      <w:r>
        <w:rPr>
          <w:rFonts w:asciiTheme="minorHAnsi" w:hAnsiTheme="minorHAnsi" w:cstheme="minorHAnsi"/>
          <w:sz w:val="22"/>
          <w:szCs w:val="22"/>
        </w:rPr>
        <w:t>I will review the theory and literature that underpins these areas to help me identify my next steps as teacher.</w:t>
      </w:r>
    </w:p>
    <w:p w14:paraId="3DBC22FC" w14:textId="77777777" w:rsidR="005C14A6" w:rsidRPr="00E07DC6" w:rsidRDefault="005C14A6" w:rsidP="005C14A6">
      <w:pPr>
        <w:pStyle w:val="NormalWeb"/>
        <w:shd w:val="clear" w:color="auto" w:fill="FFFFFF"/>
        <w:spacing w:line="360" w:lineRule="auto"/>
        <w:jc w:val="both"/>
        <w:rPr>
          <w:rFonts w:asciiTheme="minorHAnsi" w:hAnsiTheme="minorHAnsi" w:cstheme="minorHAnsi"/>
          <w:sz w:val="22"/>
          <w:szCs w:val="22"/>
          <w:u w:val="single"/>
        </w:rPr>
      </w:pPr>
      <w:r w:rsidRPr="00E07DC6">
        <w:rPr>
          <w:rFonts w:asciiTheme="minorHAnsi" w:hAnsiTheme="minorHAnsi" w:cstheme="minorHAnsi"/>
          <w:sz w:val="22"/>
          <w:szCs w:val="22"/>
          <w:u w:val="single"/>
        </w:rPr>
        <w:t>Literature review</w:t>
      </w:r>
    </w:p>
    <w:p w14:paraId="7596E1BB" w14:textId="77777777" w:rsidR="005C14A6" w:rsidRPr="001B3F55" w:rsidRDefault="005C14A6" w:rsidP="005C14A6">
      <w:pPr>
        <w:pStyle w:val="NormalWeb"/>
        <w:spacing w:line="360" w:lineRule="auto"/>
        <w:jc w:val="both"/>
        <w:rPr>
          <w:rFonts w:asciiTheme="minorHAnsi" w:hAnsiTheme="minorHAnsi" w:cstheme="minorHAnsi"/>
          <w:sz w:val="22"/>
          <w:szCs w:val="22"/>
        </w:rPr>
      </w:pPr>
      <w:r w:rsidRPr="001B3F55">
        <w:rPr>
          <w:rFonts w:asciiTheme="minorHAnsi" w:hAnsiTheme="minorHAnsi" w:cstheme="minorHAnsi"/>
          <w:sz w:val="22"/>
          <w:szCs w:val="22"/>
        </w:rPr>
        <w:t xml:space="preserve">Questioning is perhaps the most accessible form of AfL and can be practised very often </w:t>
      </w:r>
      <w:r>
        <w:rPr>
          <w:rFonts w:asciiTheme="minorHAnsi" w:hAnsiTheme="minorHAnsi" w:cstheme="minorHAnsi"/>
          <w:sz w:val="22"/>
          <w:szCs w:val="22"/>
        </w:rPr>
        <w:t>(</w:t>
      </w:r>
      <w:r w:rsidRPr="001B3F55">
        <w:rPr>
          <w:rFonts w:asciiTheme="minorHAnsi" w:hAnsiTheme="minorHAnsi" w:cstheme="minorHAnsi"/>
          <w:sz w:val="22"/>
          <w:szCs w:val="22"/>
        </w:rPr>
        <w:t>‘… not more than once every minute!” (Wiliam 201</w:t>
      </w:r>
      <w:r>
        <w:rPr>
          <w:rFonts w:asciiTheme="minorHAnsi" w:hAnsiTheme="minorHAnsi" w:cstheme="minorHAnsi"/>
          <w:sz w:val="22"/>
          <w:szCs w:val="22"/>
        </w:rPr>
        <w:t>8)</w:t>
      </w:r>
      <w:r w:rsidRPr="001B3F55">
        <w:rPr>
          <w:rFonts w:asciiTheme="minorHAnsi" w:hAnsiTheme="minorHAnsi" w:cstheme="minorHAnsi"/>
          <w:sz w:val="22"/>
          <w:szCs w:val="22"/>
        </w:rPr>
        <w:t>, in the teaching cycle to gauge learner understanding and to judge when to move on in the teaching.  “Questioning is the driving force of developing thinking and assessment for learning in the classroom. High quality questions lead to high quality talk.” (Welsh Gov 2010</w:t>
      </w:r>
      <w:r>
        <w:rPr>
          <w:rFonts w:asciiTheme="minorHAnsi" w:hAnsiTheme="minorHAnsi" w:cstheme="minorHAnsi"/>
          <w:sz w:val="22"/>
          <w:szCs w:val="22"/>
        </w:rPr>
        <w:t>, p.16</w:t>
      </w:r>
      <w:r w:rsidRPr="001B3F55">
        <w:rPr>
          <w:rFonts w:asciiTheme="minorHAnsi" w:hAnsiTheme="minorHAnsi" w:cstheme="minorHAnsi"/>
          <w:sz w:val="22"/>
          <w:szCs w:val="22"/>
        </w:rPr>
        <w:t>). So, what is a high-quality question and how does it improve student learning?</w:t>
      </w:r>
      <w:r>
        <w:rPr>
          <w:rFonts w:asciiTheme="minorHAnsi" w:hAnsiTheme="minorHAnsi" w:cstheme="minorHAnsi"/>
          <w:sz w:val="22"/>
          <w:szCs w:val="22"/>
        </w:rPr>
        <w:t xml:space="preserve">  Moreover, how do we avoid “</w:t>
      </w:r>
      <w:r w:rsidRPr="00935814">
        <w:rPr>
          <w:rFonts w:asciiTheme="minorHAnsi" w:hAnsiTheme="minorHAnsi" w:cstheme="minorHAnsi"/>
          <w:sz w:val="22"/>
          <w:szCs w:val="22"/>
        </w:rPr>
        <w:t xml:space="preserve">Poorly constructed questions </w:t>
      </w:r>
      <w:r>
        <w:rPr>
          <w:rFonts w:asciiTheme="minorHAnsi" w:hAnsiTheme="minorHAnsi" w:cstheme="minorHAnsi"/>
          <w:sz w:val="22"/>
          <w:szCs w:val="22"/>
        </w:rPr>
        <w:t>[that]</w:t>
      </w:r>
      <w:r w:rsidRPr="00935814">
        <w:rPr>
          <w:rFonts w:asciiTheme="minorHAnsi" w:hAnsiTheme="minorHAnsi" w:cstheme="minorHAnsi"/>
          <w:sz w:val="22"/>
          <w:szCs w:val="22"/>
        </w:rPr>
        <w:t>can stifle learning by creating confusion, intimidating students, and limiting creative thinking.</w:t>
      </w:r>
      <w:r>
        <w:rPr>
          <w:rFonts w:asciiTheme="minorHAnsi" w:hAnsiTheme="minorHAnsi" w:cstheme="minorHAnsi"/>
          <w:sz w:val="22"/>
          <w:szCs w:val="22"/>
        </w:rPr>
        <w:t>” (</w:t>
      </w:r>
      <w:proofErr w:type="spellStart"/>
      <w:r w:rsidRPr="00935814">
        <w:rPr>
          <w:rFonts w:asciiTheme="minorHAnsi" w:hAnsiTheme="minorHAnsi" w:cstheme="minorHAnsi"/>
          <w:sz w:val="22"/>
          <w:szCs w:val="22"/>
        </w:rPr>
        <w:t>Tofade</w:t>
      </w:r>
      <w:proofErr w:type="spellEnd"/>
      <w:r>
        <w:rPr>
          <w:rFonts w:asciiTheme="minorHAnsi" w:hAnsiTheme="minorHAnsi" w:cstheme="minorHAnsi"/>
          <w:sz w:val="22"/>
          <w:szCs w:val="22"/>
        </w:rPr>
        <w:t xml:space="preserve"> et al </w:t>
      </w:r>
      <w:r w:rsidRPr="00935814">
        <w:rPr>
          <w:rFonts w:asciiTheme="minorHAnsi" w:hAnsiTheme="minorHAnsi" w:cstheme="minorHAnsi"/>
          <w:sz w:val="22"/>
          <w:szCs w:val="22"/>
        </w:rPr>
        <w:t>2013)</w:t>
      </w:r>
    </w:p>
    <w:p w14:paraId="385EA803" w14:textId="77777777" w:rsidR="005C14A6" w:rsidRPr="001B3F55" w:rsidRDefault="005C14A6" w:rsidP="005C14A6">
      <w:pPr>
        <w:pStyle w:val="NormalWeb"/>
        <w:spacing w:line="360" w:lineRule="auto"/>
        <w:jc w:val="both"/>
        <w:rPr>
          <w:rFonts w:asciiTheme="minorHAnsi" w:hAnsiTheme="minorHAnsi" w:cstheme="minorHAnsi"/>
          <w:sz w:val="22"/>
          <w:szCs w:val="22"/>
        </w:rPr>
      </w:pPr>
      <w:r w:rsidRPr="001B3F55">
        <w:rPr>
          <w:rFonts w:asciiTheme="minorHAnsi" w:hAnsiTheme="minorHAnsi" w:cstheme="minorHAnsi"/>
          <w:sz w:val="22"/>
          <w:szCs w:val="22"/>
        </w:rPr>
        <w:t xml:space="preserve">“I suggest there are only two good reasons to ask questions in class: </w:t>
      </w:r>
      <w:r>
        <w:rPr>
          <w:rFonts w:asciiTheme="minorHAnsi" w:hAnsiTheme="minorHAnsi" w:cstheme="minorHAnsi"/>
          <w:sz w:val="22"/>
          <w:szCs w:val="22"/>
        </w:rPr>
        <w:t>(1)</w:t>
      </w:r>
      <w:r w:rsidRPr="001B3F55">
        <w:rPr>
          <w:rFonts w:asciiTheme="minorHAnsi" w:hAnsiTheme="minorHAnsi" w:cstheme="minorHAnsi"/>
          <w:sz w:val="22"/>
          <w:szCs w:val="22"/>
        </w:rPr>
        <w:t xml:space="preserve"> to cause thinking and</w:t>
      </w:r>
      <w:r>
        <w:rPr>
          <w:rFonts w:asciiTheme="minorHAnsi" w:hAnsiTheme="minorHAnsi" w:cstheme="minorHAnsi"/>
          <w:sz w:val="22"/>
          <w:szCs w:val="22"/>
        </w:rPr>
        <w:t xml:space="preserve"> (2)</w:t>
      </w:r>
      <w:r w:rsidRPr="001B3F55">
        <w:rPr>
          <w:rFonts w:asciiTheme="minorHAnsi" w:hAnsiTheme="minorHAnsi" w:cstheme="minorHAnsi"/>
          <w:sz w:val="22"/>
          <w:szCs w:val="22"/>
        </w:rPr>
        <w:t xml:space="preserve"> to provide information for the teacher about what to do next.” (Wiliam</w:t>
      </w:r>
      <w:r>
        <w:rPr>
          <w:rFonts w:asciiTheme="minorHAnsi" w:hAnsiTheme="minorHAnsi" w:cstheme="minorHAnsi"/>
          <w:sz w:val="22"/>
          <w:szCs w:val="22"/>
        </w:rPr>
        <w:t>, 2018 p.90</w:t>
      </w:r>
      <w:r w:rsidRPr="001B3F55">
        <w:rPr>
          <w:rFonts w:asciiTheme="minorHAnsi" w:hAnsiTheme="minorHAnsi" w:cstheme="minorHAnsi"/>
          <w:sz w:val="22"/>
          <w:szCs w:val="22"/>
        </w:rPr>
        <w:t xml:space="preserve">). In an analysis of over a thousand teacher questions over half were classroom management, a third requested the recall of </w:t>
      </w:r>
      <w:r w:rsidRPr="001B3F55">
        <w:rPr>
          <w:rFonts w:asciiTheme="minorHAnsi" w:hAnsiTheme="minorHAnsi" w:cstheme="minorHAnsi"/>
          <w:sz w:val="22"/>
          <w:szCs w:val="22"/>
        </w:rPr>
        <w:lastRenderedPageBreak/>
        <w:t>previous knowledge and only 8% required students to infer, analyse or generalise i.e., create new learning. (</w:t>
      </w:r>
      <w:r>
        <w:rPr>
          <w:rFonts w:asciiTheme="minorHAnsi" w:hAnsiTheme="minorHAnsi" w:cstheme="minorHAnsi"/>
          <w:sz w:val="22"/>
          <w:szCs w:val="22"/>
        </w:rPr>
        <w:t>B</w:t>
      </w:r>
      <w:r w:rsidRPr="001B3F55">
        <w:rPr>
          <w:rFonts w:asciiTheme="minorHAnsi" w:hAnsiTheme="minorHAnsi" w:cstheme="minorHAnsi"/>
          <w:sz w:val="22"/>
          <w:szCs w:val="22"/>
        </w:rPr>
        <w:t xml:space="preserve">rown and </w:t>
      </w:r>
      <w:r>
        <w:rPr>
          <w:rFonts w:asciiTheme="minorHAnsi" w:hAnsiTheme="minorHAnsi" w:cstheme="minorHAnsi"/>
          <w:sz w:val="22"/>
          <w:szCs w:val="22"/>
        </w:rPr>
        <w:t>W</w:t>
      </w:r>
      <w:r w:rsidRPr="001B3F55">
        <w:rPr>
          <w:rFonts w:asciiTheme="minorHAnsi" w:hAnsiTheme="minorHAnsi" w:cstheme="minorHAnsi"/>
          <w:sz w:val="22"/>
          <w:szCs w:val="22"/>
        </w:rPr>
        <w:t>ragg 1993</w:t>
      </w:r>
      <w:r>
        <w:rPr>
          <w:rFonts w:asciiTheme="minorHAnsi" w:hAnsiTheme="minorHAnsi" w:cstheme="minorHAnsi"/>
          <w:sz w:val="22"/>
          <w:szCs w:val="22"/>
        </w:rPr>
        <w:t xml:space="preserve">, as cited in </w:t>
      </w:r>
      <w:r w:rsidRPr="001B3F55">
        <w:rPr>
          <w:rFonts w:asciiTheme="minorHAnsi" w:hAnsiTheme="minorHAnsi" w:cstheme="minorHAnsi"/>
          <w:sz w:val="22"/>
          <w:szCs w:val="22"/>
        </w:rPr>
        <w:t>William 201</w:t>
      </w:r>
      <w:r>
        <w:rPr>
          <w:rFonts w:asciiTheme="minorHAnsi" w:hAnsiTheme="minorHAnsi" w:cstheme="minorHAnsi"/>
          <w:sz w:val="22"/>
          <w:szCs w:val="22"/>
        </w:rPr>
        <w:t>8, p90</w:t>
      </w:r>
      <w:r w:rsidRPr="001B3F55">
        <w:rPr>
          <w:rFonts w:asciiTheme="minorHAnsi" w:hAnsiTheme="minorHAnsi" w:cstheme="minorHAnsi"/>
          <w:sz w:val="22"/>
          <w:szCs w:val="22"/>
        </w:rPr>
        <w:t xml:space="preserve">). Wiliam goes on to point out that improving questioning and specifically asking high quality questions that cause higher order thinking </w:t>
      </w:r>
      <w:proofErr w:type="gramStart"/>
      <w:r w:rsidRPr="001B3F55">
        <w:rPr>
          <w:rFonts w:asciiTheme="minorHAnsi" w:hAnsiTheme="minorHAnsi" w:cstheme="minorHAnsi"/>
          <w:sz w:val="22"/>
          <w:szCs w:val="22"/>
        </w:rPr>
        <w:t>i.e.</w:t>
      </w:r>
      <w:proofErr w:type="gramEnd"/>
      <w:r w:rsidRPr="001B3F55">
        <w:rPr>
          <w:rFonts w:asciiTheme="minorHAnsi" w:hAnsiTheme="minorHAnsi" w:cstheme="minorHAnsi"/>
          <w:sz w:val="22"/>
          <w:szCs w:val="22"/>
        </w:rPr>
        <w:t xml:space="preserve"> thinking that enables criticism, knowledge transfer and problem solving </w:t>
      </w:r>
      <w:r w:rsidRPr="008A42F7">
        <w:rPr>
          <w:rFonts w:asciiTheme="minorHAnsi" w:hAnsiTheme="minorHAnsi" w:cstheme="minorHAnsi"/>
          <w:sz w:val="22"/>
          <w:szCs w:val="22"/>
        </w:rPr>
        <w:t>(</w:t>
      </w:r>
      <w:proofErr w:type="spellStart"/>
      <w:r w:rsidRPr="008A42F7">
        <w:rPr>
          <w:rFonts w:asciiTheme="minorHAnsi" w:hAnsiTheme="minorHAnsi" w:cstheme="minorHAnsi"/>
          <w:sz w:val="22"/>
          <w:szCs w:val="22"/>
        </w:rPr>
        <w:t>Brookhard</w:t>
      </w:r>
      <w:proofErr w:type="spellEnd"/>
      <w:r w:rsidRPr="008A42F7">
        <w:rPr>
          <w:rFonts w:asciiTheme="minorHAnsi" w:hAnsiTheme="minorHAnsi" w:cstheme="minorHAnsi"/>
          <w:sz w:val="22"/>
          <w:szCs w:val="22"/>
        </w:rPr>
        <w:t>, 2010 p.5)</w:t>
      </w:r>
      <w:r>
        <w:rPr>
          <w:rFonts w:asciiTheme="minorHAnsi" w:hAnsiTheme="minorHAnsi" w:cstheme="minorHAnsi"/>
          <w:b/>
          <w:bCs/>
          <w:sz w:val="22"/>
          <w:szCs w:val="22"/>
        </w:rPr>
        <w:t>,</w:t>
      </w:r>
      <w:r w:rsidRPr="001B3F55">
        <w:rPr>
          <w:rFonts w:asciiTheme="minorHAnsi" w:hAnsiTheme="minorHAnsi" w:cstheme="minorHAnsi"/>
          <w:sz w:val="22"/>
          <w:szCs w:val="22"/>
        </w:rPr>
        <w:t xml:space="preserve"> is an easy win in terms of improving learning outcomes for children. </w:t>
      </w:r>
    </w:p>
    <w:p w14:paraId="22605648" w14:textId="77777777" w:rsidR="005C14A6" w:rsidRPr="00243B83" w:rsidRDefault="005C14A6" w:rsidP="005C14A6">
      <w:pPr>
        <w:spacing w:line="360" w:lineRule="auto"/>
        <w:jc w:val="both"/>
        <w:rPr>
          <w:sz w:val="22"/>
          <w:szCs w:val="22"/>
        </w:rPr>
      </w:pPr>
      <w:r w:rsidRPr="001B3F55">
        <w:rPr>
          <w:rFonts w:cstheme="minorHAnsi"/>
          <w:sz w:val="22"/>
          <w:szCs w:val="22"/>
        </w:rPr>
        <w:t xml:space="preserve">Questions </w:t>
      </w:r>
      <w:r>
        <w:rPr>
          <w:rFonts w:cstheme="minorHAnsi"/>
          <w:sz w:val="22"/>
          <w:szCs w:val="22"/>
        </w:rPr>
        <w:t>could</w:t>
      </w:r>
      <w:r w:rsidRPr="001B3F55">
        <w:rPr>
          <w:rFonts w:cstheme="minorHAnsi"/>
          <w:sz w:val="22"/>
          <w:szCs w:val="22"/>
        </w:rPr>
        <w:t xml:space="preserve"> be designed to achieve the </w:t>
      </w:r>
      <w:proofErr w:type="gramStart"/>
      <w:r w:rsidRPr="001B3F55">
        <w:rPr>
          <w:rFonts w:cstheme="minorHAnsi"/>
          <w:sz w:val="22"/>
          <w:szCs w:val="22"/>
        </w:rPr>
        <w:t>various different</w:t>
      </w:r>
      <w:proofErr w:type="gramEnd"/>
      <w:r w:rsidRPr="001B3F55">
        <w:rPr>
          <w:rFonts w:cstheme="minorHAnsi"/>
          <w:sz w:val="22"/>
          <w:szCs w:val="22"/>
        </w:rPr>
        <w:t xml:space="preserve"> strata of educational objectives: Knowledge, Comprehension, Application, Analysis, Synthesis and Evaluation (Bloom</w:t>
      </w:r>
      <w:r>
        <w:rPr>
          <w:rFonts w:cstheme="minorHAnsi"/>
          <w:sz w:val="22"/>
          <w:szCs w:val="22"/>
        </w:rPr>
        <w:t xml:space="preserve"> 1956</w:t>
      </w:r>
      <w:r w:rsidRPr="001B3F55">
        <w:rPr>
          <w:rFonts w:cstheme="minorHAnsi"/>
          <w:sz w:val="22"/>
          <w:szCs w:val="22"/>
        </w:rPr>
        <w:t xml:space="preserve">) and </w:t>
      </w:r>
      <w:r>
        <w:rPr>
          <w:rFonts w:cstheme="minorHAnsi"/>
          <w:sz w:val="22"/>
          <w:szCs w:val="22"/>
        </w:rPr>
        <w:t>“</w:t>
      </w:r>
      <w:r w:rsidRPr="001B3F55">
        <w:rPr>
          <w:rFonts w:cstheme="minorHAnsi"/>
          <w:sz w:val="22"/>
          <w:szCs w:val="22"/>
        </w:rPr>
        <w:t>the best questions… get you thinking about thinking (metacognition)’ (</w:t>
      </w:r>
      <w:r>
        <w:rPr>
          <w:rFonts w:cstheme="minorHAnsi"/>
          <w:sz w:val="22"/>
          <w:szCs w:val="22"/>
        </w:rPr>
        <w:t>W</w:t>
      </w:r>
      <w:r w:rsidRPr="001B3F55">
        <w:rPr>
          <w:rFonts w:cstheme="minorHAnsi"/>
          <w:sz w:val="22"/>
          <w:szCs w:val="22"/>
        </w:rPr>
        <w:t>iliam</w:t>
      </w:r>
      <w:r>
        <w:rPr>
          <w:rFonts w:cstheme="minorHAnsi"/>
          <w:sz w:val="22"/>
          <w:szCs w:val="22"/>
        </w:rPr>
        <w:t>,</w:t>
      </w:r>
      <w:r w:rsidRPr="001B3F55">
        <w:rPr>
          <w:rFonts w:cstheme="minorHAnsi"/>
          <w:sz w:val="22"/>
          <w:szCs w:val="22"/>
        </w:rPr>
        <w:t xml:space="preserve"> </w:t>
      </w:r>
      <w:r w:rsidRPr="001B3F55">
        <w:rPr>
          <w:sz w:val="22"/>
          <w:szCs w:val="22"/>
        </w:rPr>
        <w:t xml:space="preserve">YouTube </w:t>
      </w:r>
      <w:r w:rsidRPr="001B3F55">
        <w:rPr>
          <w:rFonts w:cstheme="minorHAnsi"/>
          <w:sz w:val="22"/>
          <w:szCs w:val="22"/>
        </w:rPr>
        <w:t>201</w:t>
      </w:r>
      <w:r>
        <w:rPr>
          <w:rFonts w:cstheme="minorHAnsi"/>
          <w:sz w:val="22"/>
          <w:szCs w:val="22"/>
        </w:rPr>
        <w:t>5</w:t>
      </w:r>
      <w:r w:rsidRPr="001B3F55">
        <w:rPr>
          <w:rFonts w:cstheme="minorHAnsi"/>
          <w:sz w:val="22"/>
          <w:szCs w:val="22"/>
        </w:rPr>
        <w:t xml:space="preserve">). A </w:t>
      </w:r>
      <w:r>
        <w:rPr>
          <w:rFonts w:cstheme="minorHAnsi"/>
          <w:sz w:val="22"/>
          <w:szCs w:val="22"/>
        </w:rPr>
        <w:t xml:space="preserve">perhaps </w:t>
      </w:r>
      <w:r w:rsidRPr="001B3F55">
        <w:rPr>
          <w:rFonts w:cstheme="minorHAnsi"/>
          <w:sz w:val="22"/>
          <w:szCs w:val="22"/>
        </w:rPr>
        <w:t>overly reductive way to think about this is “open question good, closed question bad but, “</w:t>
      </w:r>
      <w:r>
        <w:rPr>
          <w:rFonts w:cstheme="minorHAnsi"/>
          <w:sz w:val="22"/>
          <w:szCs w:val="22"/>
        </w:rPr>
        <w:t>i</w:t>
      </w:r>
      <w:r w:rsidRPr="001B3F55">
        <w:rPr>
          <w:sz w:val="22"/>
          <w:szCs w:val="22"/>
        </w:rPr>
        <w:t>f you know what you’re looking for then closed questions are good. If you don’t know what you’re looking for then open questions are good” (Wiliam, YouTube 201</w:t>
      </w:r>
      <w:r>
        <w:rPr>
          <w:sz w:val="22"/>
          <w:szCs w:val="22"/>
        </w:rPr>
        <w:t>5</w:t>
      </w:r>
      <w:r w:rsidRPr="001B3F55">
        <w:rPr>
          <w:sz w:val="22"/>
          <w:szCs w:val="22"/>
        </w:rPr>
        <w:t xml:space="preserve">). If a teacher wants the answer to scientific question to impact and move the learning on or to check understanding, then that is a good reason to ask a closed question. But if a teacher wishes to encourage higher order </w:t>
      </w:r>
      <w:proofErr w:type="gramStart"/>
      <w:r w:rsidRPr="001B3F55">
        <w:rPr>
          <w:sz w:val="22"/>
          <w:szCs w:val="22"/>
        </w:rPr>
        <w:t>thinking</w:t>
      </w:r>
      <w:proofErr w:type="gramEnd"/>
      <w:r w:rsidRPr="001B3F55">
        <w:rPr>
          <w:sz w:val="22"/>
          <w:szCs w:val="22"/>
        </w:rPr>
        <w:t xml:space="preserve"> then the construction of the questions needs to be moulded to that outcome. Welsh Gov (2010) in its handbook for developing thinking and assessment for learning in the classroom provides 5 sections of sentence stems in its that probe for different reasons such as clarification, reason and evidence, alternative views, test implications and consequences, and furthering discussion. Wiliam (2011) also suggest ‘Question Shells’ as a way of turning a simple yes/no or retrieval question such as “Is 23 </w:t>
      </w:r>
      <w:proofErr w:type="gramStart"/>
      <w:r w:rsidRPr="001B3F55">
        <w:rPr>
          <w:sz w:val="22"/>
          <w:szCs w:val="22"/>
        </w:rPr>
        <w:t>prime</w:t>
      </w:r>
      <w:proofErr w:type="gramEnd"/>
      <w:r>
        <w:rPr>
          <w:sz w:val="22"/>
          <w:szCs w:val="22"/>
        </w:rPr>
        <w:t>?</w:t>
      </w:r>
      <w:r w:rsidRPr="001B3F55">
        <w:rPr>
          <w:sz w:val="22"/>
          <w:szCs w:val="22"/>
        </w:rPr>
        <w:t>”, to a higher order thinking question – “Why is 23 prime</w:t>
      </w:r>
      <w:r>
        <w:rPr>
          <w:sz w:val="22"/>
          <w:szCs w:val="22"/>
        </w:rPr>
        <w:t>?</w:t>
      </w:r>
      <w:r w:rsidRPr="001B3F55">
        <w:rPr>
          <w:sz w:val="22"/>
          <w:szCs w:val="22"/>
        </w:rPr>
        <w:t>” (Wiliam 2011). This simple addition allows the learner to employ what they already know to the problem posed and it therefore opens an entire stream of possible analysis and related topics that can advance their learning.</w:t>
      </w:r>
      <w:r>
        <w:rPr>
          <w:sz w:val="22"/>
          <w:szCs w:val="22"/>
        </w:rPr>
        <w:t xml:space="preserve">  Another strategy for avoiding simple recall questions is disseminated as follows: “</w:t>
      </w:r>
      <w:r w:rsidRPr="00595B7C">
        <w:rPr>
          <w:sz w:val="22"/>
          <w:szCs w:val="22"/>
        </w:rPr>
        <w:t>Brown and Wragg attribute teachers’ failure to move beyond recall questions to an over- reliance on questions arising spontaneously. They therefore suggest planning sequences in advance, to ensure that students reach the highest cognitive levels (1993, p.14).</w:t>
      </w:r>
      <w:r>
        <w:rPr>
          <w:sz w:val="22"/>
          <w:szCs w:val="22"/>
        </w:rPr>
        <w:t xml:space="preserve">” (Vale 2018 p.25). </w:t>
      </w:r>
    </w:p>
    <w:p w14:paraId="64DABDCE" w14:textId="77777777" w:rsidR="005C14A6" w:rsidRDefault="005C14A6" w:rsidP="005C14A6">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If questioning is to be a tool to increase learning and help students engage in more critical thinking, then the ‘how’ of questioning (and, </w:t>
      </w:r>
      <w:proofErr w:type="gramStart"/>
      <w:r>
        <w:rPr>
          <w:rFonts w:asciiTheme="minorHAnsi" w:hAnsiTheme="minorHAnsi" w:cstheme="minorHAnsi"/>
          <w:sz w:val="22"/>
          <w:szCs w:val="22"/>
        </w:rPr>
        <w:t>by definition answering</w:t>
      </w:r>
      <w:proofErr w:type="gramEnd"/>
      <w:r>
        <w:rPr>
          <w:rFonts w:asciiTheme="minorHAnsi" w:hAnsiTheme="minorHAnsi" w:cstheme="minorHAnsi"/>
          <w:sz w:val="22"/>
          <w:szCs w:val="22"/>
        </w:rPr>
        <w:t xml:space="preserve"> too) becomes more important and indeed worthy of analysis. The first suggested thing to recognise is that if we are asking questions that require high order thinking and thus new learning then “you’ve got to give appropriate wait time… research on wait time shows that teachers typically give 0.9 seconds for student responses” (Wiliam, </w:t>
      </w:r>
      <w:proofErr w:type="spellStart"/>
      <w:r>
        <w:rPr>
          <w:rFonts w:asciiTheme="minorHAnsi" w:hAnsiTheme="minorHAnsi" w:cstheme="minorHAnsi"/>
          <w:sz w:val="22"/>
          <w:szCs w:val="22"/>
        </w:rPr>
        <w:t>Youtube</w:t>
      </w:r>
      <w:proofErr w:type="spellEnd"/>
      <w:r>
        <w:rPr>
          <w:rFonts w:asciiTheme="minorHAnsi" w:hAnsiTheme="minorHAnsi" w:cstheme="minorHAnsi"/>
          <w:sz w:val="22"/>
          <w:szCs w:val="22"/>
        </w:rPr>
        <w:t>, 2015). Cognition takes time as discussed in Mary Budd Rowe’s ground-breaking research. She posits that “</w:t>
      </w:r>
      <w:r w:rsidRPr="00A2436B">
        <w:rPr>
          <w:rFonts w:asciiTheme="minorHAnsi" w:hAnsiTheme="minorHAnsi" w:cstheme="minorHAnsi"/>
          <w:sz w:val="22"/>
          <w:szCs w:val="22"/>
        </w:rPr>
        <w:t xml:space="preserve">To </w:t>
      </w:r>
      <w:r>
        <w:rPr>
          <w:rFonts w:asciiTheme="minorHAnsi" w:hAnsiTheme="minorHAnsi" w:cstheme="minorHAnsi"/>
          <w:sz w:val="22"/>
          <w:szCs w:val="22"/>
        </w:rPr>
        <w:t>grow</w:t>
      </w:r>
      <w:r w:rsidRPr="00A2436B">
        <w:rPr>
          <w:rFonts w:asciiTheme="minorHAnsi" w:hAnsiTheme="minorHAnsi" w:cstheme="minorHAnsi"/>
          <w:sz w:val="22"/>
          <w:szCs w:val="22"/>
        </w:rPr>
        <w:t xml:space="preserve"> a complex thought system requires a great deal of shared experience and conversation</w:t>
      </w:r>
      <w:r>
        <w:rPr>
          <w:rFonts w:asciiTheme="minorHAnsi" w:hAnsiTheme="minorHAnsi" w:cstheme="minorHAnsi"/>
          <w:sz w:val="22"/>
          <w:szCs w:val="22"/>
        </w:rPr>
        <w:t xml:space="preserve">. It is in talking about what we have done and observed, and in arguing about what we make our </w:t>
      </w:r>
      <w:r>
        <w:rPr>
          <w:rFonts w:asciiTheme="minorHAnsi" w:hAnsiTheme="minorHAnsi" w:cstheme="minorHAnsi"/>
          <w:sz w:val="22"/>
          <w:szCs w:val="22"/>
        </w:rPr>
        <w:lastRenderedPageBreak/>
        <w:t xml:space="preserve">experiences, that ideas multiply, become refined, and finally produce new questions and further explorations” (Rowe 1986). Her work on analysing wait time to for teacher questioning unearthed the that increasing waiting time after a student response to a question could increase the length of student responses by “between </w:t>
      </w:r>
      <w:r w:rsidRPr="0034485C">
        <w:rPr>
          <w:rFonts w:asciiTheme="minorHAnsi" w:hAnsiTheme="minorHAnsi" w:cstheme="minorHAnsi"/>
          <w:sz w:val="22"/>
          <w:szCs w:val="22"/>
        </w:rPr>
        <w:t>300%</w:t>
      </w:r>
      <w:r>
        <w:rPr>
          <w:rFonts w:asciiTheme="minorHAnsi" w:hAnsiTheme="minorHAnsi" w:cstheme="minorHAnsi"/>
          <w:sz w:val="22"/>
          <w:szCs w:val="22"/>
        </w:rPr>
        <w:t xml:space="preserve"> </w:t>
      </w:r>
      <w:r w:rsidRPr="0034485C">
        <w:rPr>
          <w:rFonts w:asciiTheme="minorHAnsi" w:hAnsiTheme="minorHAnsi" w:cstheme="minorHAnsi"/>
          <w:sz w:val="22"/>
          <w:szCs w:val="22"/>
        </w:rPr>
        <w:t>and</w:t>
      </w:r>
      <w:r>
        <w:rPr>
          <w:rFonts w:asciiTheme="minorHAnsi" w:hAnsiTheme="minorHAnsi" w:cstheme="minorHAnsi"/>
          <w:sz w:val="22"/>
          <w:szCs w:val="22"/>
        </w:rPr>
        <w:t xml:space="preserve"> </w:t>
      </w:r>
      <w:r w:rsidRPr="0034485C">
        <w:rPr>
          <w:rFonts w:asciiTheme="minorHAnsi" w:hAnsiTheme="minorHAnsi" w:cstheme="minorHAnsi"/>
          <w:sz w:val="22"/>
          <w:szCs w:val="22"/>
        </w:rPr>
        <w:t>700%, in some cases more, depending on the study.</w:t>
      </w:r>
      <w:r>
        <w:rPr>
          <w:rFonts w:asciiTheme="minorHAnsi" w:hAnsiTheme="minorHAnsi" w:cstheme="minorHAnsi"/>
          <w:sz w:val="22"/>
          <w:szCs w:val="22"/>
        </w:rPr>
        <w:t>” (Rowe 1986) Her findings continue, “under the usual 1 second average wait times, responses tend to consist of short phrases and rarely involve explanations of any complexity. [longer wait times are] …particularly powerful for increasing probability of elaboration” (Rowe 1986). So, a simple way to improve questioning method is just to wait a little more time after a student responds to allow them to expand their idea.</w:t>
      </w:r>
    </w:p>
    <w:p w14:paraId="36B063C6" w14:textId="77777777" w:rsidR="005C14A6" w:rsidRDefault="005C14A6" w:rsidP="005C14A6">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Other benefits of this simple approach can be found in Rowe’s game model of the classroom. (Rowe 1986) Classroom interactions are seen as the ‘moves’ of Structuring; Soliciting; Responding and Reaction. Increasing wait time acts as a precursor to one of the ‘Key element of AfL… [that we are] </w:t>
      </w:r>
      <w:r w:rsidRPr="002F5BED">
        <w:rPr>
          <w:rFonts w:asciiTheme="minorHAnsi" w:hAnsiTheme="minorHAnsi" w:cstheme="minorHAnsi"/>
          <w:sz w:val="22"/>
          <w:szCs w:val="22"/>
        </w:rPr>
        <w:t>developing learners as owners of their own learning.</w:t>
      </w:r>
      <w:r>
        <w:rPr>
          <w:rFonts w:asciiTheme="minorHAnsi" w:hAnsiTheme="minorHAnsi" w:cstheme="minorHAnsi"/>
          <w:sz w:val="22"/>
          <w:szCs w:val="22"/>
        </w:rPr>
        <w:t>’ (Welsh Gov 2013) By increasing waiting times it allows the learner more agency over more of the classroom ‘moves’ as “…</w:t>
      </w:r>
      <w:r w:rsidRPr="00D23AA3">
        <w:rPr>
          <w:rFonts w:asciiTheme="minorHAnsi" w:hAnsiTheme="minorHAnsi" w:cstheme="minorHAnsi"/>
          <w:sz w:val="22"/>
          <w:szCs w:val="22"/>
        </w:rPr>
        <w:t>we find that under a 3-second</w:t>
      </w:r>
      <w:r>
        <w:rPr>
          <w:rFonts w:asciiTheme="minorHAnsi" w:hAnsiTheme="minorHAnsi" w:cstheme="minorHAnsi"/>
          <w:sz w:val="22"/>
          <w:szCs w:val="22"/>
        </w:rPr>
        <w:t xml:space="preserve"> </w:t>
      </w:r>
      <w:r w:rsidRPr="00D23AA3">
        <w:rPr>
          <w:rFonts w:asciiTheme="minorHAnsi" w:hAnsiTheme="minorHAnsi" w:cstheme="minorHAnsi"/>
          <w:sz w:val="22"/>
          <w:szCs w:val="22"/>
        </w:rPr>
        <w:t>wait time regimen, students actually get to practice all four of</w:t>
      </w:r>
      <w:r>
        <w:rPr>
          <w:rFonts w:asciiTheme="minorHAnsi" w:hAnsiTheme="minorHAnsi" w:cstheme="minorHAnsi"/>
          <w:sz w:val="22"/>
          <w:szCs w:val="22"/>
        </w:rPr>
        <w:t xml:space="preserve"> </w:t>
      </w:r>
      <w:r w:rsidRPr="00D23AA3">
        <w:rPr>
          <w:rFonts w:asciiTheme="minorHAnsi" w:hAnsiTheme="minorHAnsi" w:cstheme="minorHAnsi"/>
          <w:sz w:val="22"/>
          <w:szCs w:val="22"/>
        </w:rPr>
        <w:t xml:space="preserve">the moves: </w:t>
      </w:r>
      <w:proofErr w:type="gramStart"/>
      <w:r w:rsidRPr="00D23AA3">
        <w:rPr>
          <w:rFonts w:asciiTheme="minorHAnsi" w:hAnsiTheme="minorHAnsi" w:cstheme="minorHAnsi"/>
          <w:sz w:val="22"/>
          <w:szCs w:val="22"/>
        </w:rPr>
        <w:t>they</w:t>
      </w:r>
      <w:r>
        <w:rPr>
          <w:rFonts w:asciiTheme="minorHAnsi" w:hAnsiTheme="minorHAnsi" w:cstheme="minorHAnsi"/>
          <w:sz w:val="22"/>
          <w:szCs w:val="22"/>
        </w:rPr>
        <w:t xml:space="preserve">  </w:t>
      </w:r>
      <w:r w:rsidRPr="00D23AA3">
        <w:rPr>
          <w:rFonts w:asciiTheme="minorHAnsi" w:hAnsiTheme="minorHAnsi" w:cstheme="minorHAnsi"/>
          <w:sz w:val="22"/>
          <w:szCs w:val="22"/>
        </w:rPr>
        <w:t>do</w:t>
      </w:r>
      <w:proofErr w:type="gramEnd"/>
      <w:r w:rsidRPr="00D23AA3">
        <w:rPr>
          <w:rFonts w:asciiTheme="minorHAnsi" w:hAnsiTheme="minorHAnsi" w:cstheme="minorHAnsi"/>
          <w:sz w:val="22"/>
          <w:szCs w:val="22"/>
        </w:rPr>
        <w:t xml:space="preserve"> more questioning</w:t>
      </w:r>
      <w:r>
        <w:rPr>
          <w:rFonts w:asciiTheme="minorHAnsi" w:hAnsiTheme="minorHAnsi" w:cstheme="minorHAnsi"/>
          <w:sz w:val="22"/>
          <w:szCs w:val="22"/>
        </w:rPr>
        <w:t xml:space="preserve"> </w:t>
      </w:r>
      <w:r w:rsidRPr="00D23AA3">
        <w:rPr>
          <w:rFonts w:asciiTheme="minorHAnsi" w:hAnsiTheme="minorHAnsi" w:cstheme="minorHAnsi"/>
          <w:sz w:val="22"/>
          <w:szCs w:val="22"/>
        </w:rPr>
        <w:t>of</w:t>
      </w:r>
      <w:r>
        <w:rPr>
          <w:rFonts w:asciiTheme="minorHAnsi" w:hAnsiTheme="minorHAnsi" w:cstheme="minorHAnsi"/>
          <w:sz w:val="22"/>
          <w:szCs w:val="22"/>
        </w:rPr>
        <w:t xml:space="preserve"> </w:t>
      </w:r>
      <w:r w:rsidRPr="00D23AA3">
        <w:rPr>
          <w:rFonts w:asciiTheme="minorHAnsi" w:hAnsiTheme="minorHAnsi" w:cstheme="minorHAnsi"/>
          <w:sz w:val="22"/>
          <w:szCs w:val="22"/>
        </w:rPr>
        <w:t>each other as well</w:t>
      </w:r>
      <w:r w:rsidRPr="008F7DBF">
        <w:rPr>
          <w:rFonts w:asciiTheme="minorHAnsi" w:hAnsiTheme="minorHAnsi" w:cstheme="minorHAnsi"/>
          <w:sz w:val="22"/>
          <w:szCs w:val="22"/>
        </w:rPr>
        <w:t xml:space="preserve"> </w:t>
      </w:r>
      <w:r w:rsidRPr="00D23AA3">
        <w:rPr>
          <w:rFonts w:asciiTheme="minorHAnsi" w:hAnsiTheme="minorHAnsi" w:cstheme="minorHAnsi"/>
          <w:sz w:val="22"/>
          <w:szCs w:val="22"/>
        </w:rPr>
        <w:t>as the teacher and they do more reacting and structuring</w:t>
      </w:r>
      <w:r>
        <w:rPr>
          <w:rFonts w:asciiTheme="minorHAnsi" w:hAnsiTheme="minorHAnsi" w:cstheme="minorHAnsi"/>
          <w:sz w:val="22"/>
          <w:szCs w:val="22"/>
        </w:rPr>
        <w:t>” (Rowe 1986). A further benefit from Rowe’s study seems to be that of increased classroom discipline. Whilst pacing and continuous interaction may intuitively lead us to think of an engaged classroom, this fast-paced tactic could actually encourage ‘restlessness and inattentiveness’ (Rowe 1986)</w:t>
      </w:r>
      <w:r w:rsidRPr="00D23AA3">
        <w:rPr>
          <w:rFonts w:asciiTheme="minorHAnsi" w:hAnsiTheme="minorHAnsi" w:cstheme="minorHAnsi"/>
          <w:sz w:val="22"/>
          <w:szCs w:val="22"/>
        </w:rPr>
        <w:t>.</w:t>
      </w:r>
      <w:r>
        <w:rPr>
          <w:rFonts w:asciiTheme="minorHAnsi" w:hAnsiTheme="minorHAnsi" w:cstheme="minorHAnsi"/>
          <w:sz w:val="22"/>
          <w:szCs w:val="22"/>
        </w:rPr>
        <w:t xml:space="preserve"> However, a subsequent study into differing wait times in lessons with children who exhibit challenging behaviour found that the reverse was true. Giving increased opportunities to respond with shorter wait times for children with challenging behaviour reduced disruptive behaviour (</w:t>
      </w:r>
      <w:proofErr w:type="spellStart"/>
      <w:r w:rsidRPr="002C2CE6">
        <w:rPr>
          <w:rFonts w:asciiTheme="minorHAnsi" w:hAnsiTheme="minorHAnsi" w:cstheme="minorHAnsi"/>
          <w:sz w:val="22"/>
          <w:szCs w:val="22"/>
        </w:rPr>
        <w:t>Tincani</w:t>
      </w:r>
      <w:proofErr w:type="spellEnd"/>
      <w:r>
        <w:rPr>
          <w:rFonts w:asciiTheme="minorHAnsi" w:hAnsiTheme="minorHAnsi" w:cstheme="minorHAnsi"/>
          <w:sz w:val="22"/>
          <w:szCs w:val="22"/>
        </w:rPr>
        <w:t xml:space="preserve"> &amp; Crozier 2008). </w:t>
      </w:r>
    </w:p>
    <w:p w14:paraId="27F077E6" w14:textId="77777777" w:rsidR="005C14A6" w:rsidRDefault="005C14A6" w:rsidP="005C14A6">
      <w:pPr>
        <w:pStyle w:val="NormalWeb"/>
        <w:spacing w:line="360" w:lineRule="auto"/>
        <w:jc w:val="both"/>
        <w:rPr>
          <w:rFonts w:asciiTheme="minorHAnsi" w:hAnsiTheme="minorHAnsi" w:cstheme="minorHAnsi"/>
          <w:sz w:val="22"/>
          <w:szCs w:val="22"/>
        </w:rPr>
      </w:pPr>
    </w:p>
    <w:p w14:paraId="4F348BA5" w14:textId="77777777" w:rsidR="005C14A6" w:rsidRDefault="005C14A6" w:rsidP="005C14A6">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There are criticisms of the way questioning is used as part of an AfL strategy and this will be addressed later in the essay along with criticisms of the next topic of discussion – Feedback. Feedback takes many forms in the classroom including “</w:t>
      </w:r>
      <w:r w:rsidRPr="004A576E">
        <w:rPr>
          <w:rFonts w:asciiTheme="minorHAnsi" w:hAnsiTheme="minorHAnsi" w:cstheme="minorHAnsi"/>
          <w:sz w:val="22"/>
          <w:szCs w:val="22"/>
        </w:rPr>
        <w:t>oral, written, informal, formal, descriptive, evaluative, peer and self-assessed feedback</w:t>
      </w:r>
      <w:r>
        <w:rPr>
          <w:rFonts w:asciiTheme="minorHAnsi" w:hAnsiTheme="minorHAnsi" w:cstheme="minorHAnsi"/>
          <w:sz w:val="22"/>
          <w:szCs w:val="22"/>
        </w:rPr>
        <w:t>”. (NSW Govt, 2021) We will limit the scope of this review to teacher oral and written feedback.</w:t>
      </w:r>
    </w:p>
    <w:p w14:paraId="2DDE11A8" w14:textId="77777777" w:rsidR="005C14A6" w:rsidRDefault="005C14A6" w:rsidP="005C14A6">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Bloom and his students searched for a way of making whole class instruction as effective as what was seen as the “gold standard” of education, one-to-one tutoring. (Bloom 1984, as cited in Wiliam 2011) One of the reasons that it is so effective is that the learner </w:t>
      </w:r>
      <w:proofErr w:type="gramStart"/>
      <w:r>
        <w:rPr>
          <w:rFonts w:asciiTheme="minorHAnsi" w:hAnsiTheme="minorHAnsi" w:cstheme="minorHAnsi"/>
          <w:sz w:val="22"/>
          <w:szCs w:val="22"/>
        </w:rPr>
        <w:t>is able to</w:t>
      </w:r>
      <w:proofErr w:type="gramEnd"/>
      <w:r>
        <w:rPr>
          <w:rFonts w:asciiTheme="minorHAnsi" w:hAnsiTheme="minorHAnsi" w:cstheme="minorHAnsi"/>
          <w:sz w:val="22"/>
          <w:szCs w:val="22"/>
        </w:rPr>
        <w:t xml:space="preserve"> receive personalised guidance from the instructor that can be then revised and implemented immediately. (</w:t>
      </w:r>
      <w:proofErr w:type="spellStart"/>
      <w:r>
        <w:rPr>
          <w:rFonts w:asciiTheme="minorHAnsi" w:hAnsiTheme="minorHAnsi" w:cstheme="minorHAnsi"/>
          <w:sz w:val="22"/>
          <w:szCs w:val="22"/>
        </w:rPr>
        <w:t>Gusky</w:t>
      </w:r>
      <w:proofErr w:type="spellEnd"/>
      <w:r>
        <w:rPr>
          <w:rFonts w:asciiTheme="minorHAnsi" w:hAnsiTheme="minorHAnsi" w:cstheme="minorHAnsi"/>
          <w:sz w:val="22"/>
          <w:szCs w:val="22"/>
        </w:rPr>
        <w:t xml:space="preserve"> 2010, as cited in </w:t>
      </w:r>
      <w:r>
        <w:rPr>
          <w:rFonts w:asciiTheme="minorHAnsi" w:hAnsiTheme="minorHAnsi" w:cstheme="minorHAnsi"/>
          <w:sz w:val="22"/>
          <w:szCs w:val="22"/>
        </w:rPr>
        <w:lastRenderedPageBreak/>
        <w:t xml:space="preserve">Wiliam 2011). Feedback doesn’t mean the giving of information after a task has been completed, as it is often mistakenly understood, instead it concerns identifying the gap between ‘actual and desired performance’ and giving key information to bridge that gap. This feedback then is relevant to progression because it explicitly suggests a way to improve student learning (Wiliam 2011, </w:t>
      </w:r>
      <w:r w:rsidRPr="003D5B36">
        <w:rPr>
          <w:rFonts w:asciiTheme="minorHAnsi" w:hAnsiTheme="minorHAnsi" w:cstheme="minorHAnsi"/>
          <w:sz w:val="22"/>
          <w:szCs w:val="22"/>
        </w:rPr>
        <w:t>as cited in</w:t>
      </w:r>
      <w:r>
        <w:rPr>
          <w:rFonts w:asciiTheme="minorHAnsi" w:hAnsiTheme="minorHAnsi" w:cstheme="minorHAnsi"/>
          <w:sz w:val="22"/>
          <w:szCs w:val="22"/>
        </w:rPr>
        <w:t xml:space="preserve"> </w:t>
      </w:r>
      <w:proofErr w:type="spellStart"/>
      <w:r w:rsidRPr="003F19EE">
        <w:rPr>
          <w:rFonts w:asciiTheme="minorHAnsi" w:hAnsiTheme="minorHAnsi" w:cstheme="minorHAnsi"/>
          <w:sz w:val="22"/>
          <w:szCs w:val="22"/>
        </w:rPr>
        <w:t>Ramaprasad</w:t>
      </w:r>
      <w:proofErr w:type="spellEnd"/>
      <w:r>
        <w:rPr>
          <w:rFonts w:asciiTheme="minorHAnsi" w:hAnsiTheme="minorHAnsi" w:cstheme="minorHAnsi"/>
          <w:sz w:val="22"/>
          <w:szCs w:val="22"/>
        </w:rPr>
        <w:t xml:space="preserve"> 1983). </w:t>
      </w:r>
      <w:proofErr w:type="gramStart"/>
      <w:r>
        <w:rPr>
          <w:rFonts w:asciiTheme="minorHAnsi" w:hAnsiTheme="minorHAnsi" w:cstheme="minorHAnsi"/>
          <w:sz w:val="22"/>
          <w:szCs w:val="22"/>
        </w:rPr>
        <w:t>So</w:t>
      </w:r>
      <w:proofErr w:type="gramEnd"/>
      <w:r>
        <w:rPr>
          <w:rFonts w:asciiTheme="minorHAnsi" w:hAnsiTheme="minorHAnsi" w:cstheme="minorHAnsi"/>
          <w:sz w:val="22"/>
          <w:szCs w:val="22"/>
        </w:rPr>
        <w:t xml:space="preserve"> to </w:t>
      </w:r>
      <w:r w:rsidRPr="00A015A0">
        <w:rPr>
          <w:rFonts w:asciiTheme="minorHAnsi" w:hAnsiTheme="minorHAnsi" w:cstheme="minorHAnsi"/>
          <w:sz w:val="22"/>
          <w:szCs w:val="22"/>
        </w:rPr>
        <w:t>‘[move] learners forward’—</w:t>
      </w:r>
      <w:r>
        <w:rPr>
          <w:rFonts w:asciiTheme="minorHAnsi" w:hAnsiTheme="minorHAnsi" w:cstheme="minorHAnsi"/>
          <w:sz w:val="22"/>
          <w:szCs w:val="22"/>
        </w:rPr>
        <w:t xml:space="preserve">feedback must identify </w:t>
      </w:r>
      <w:r w:rsidRPr="00A015A0">
        <w:rPr>
          <w:rFonts w:asciiTheme="minorHAnsi" w:hAnsiTheme="minorHAnsi" w:cstheme="minorHAnsi"/>
          <w:sz w:val="22"/>
          <w:szCs w:val="22"/>
        </w:rPr>
        <w:t xml:space="preserve">where ‘learners are in their learning,’ ‘where they are going,’ and ‘what needs to be done to get them there’ (pp. 7–8). </w:t>
      </w:r>
      <w:r>
        <w:rPr>
          <w:rFonts w:asciiTheme="minorHAnsi" w:hAnsiTheme="minorHAnsi" w:cstheme="minorHAnsi"/>
          <w:sz w:val="22"/>
          <w:szCs w:val="22"/>
        </w:rPr>
        <w:t>(</w:t>
      </w:r>
      <w:r w:rsidRPr="00A015A0">
        <w:rPr>
          <w:rFonts w:asciiTheme="minorHAnsi" w:hAnsiTheme="minorHAnsi" w:cstheme="minorHAnsi"/>
          <w:sz w:val="22"/>
          <w:szCs w:val="22"/>
        </w:rPr>
        <w:t>Black and Wiliam 1998</w:t>
      </w:r>
      <w:r>
        <w:rPr>
          <w:rFonts w:asciiTheme="minorHAnsi" w:hAnsiTheme="minorHAnsi" w:cstheme="minorHAnsi"/>
          <w:sz w:val="22"/>
          <w:szCs w:val="22"/>
        </w:rPr>
        <w:t>). Another good representation of this is found in “</w:t>
      </w:r>
      <w:r w:rsidRPr="004832A2">
        <w:rPr>
          <w:rFonts w:asciiTheme="minorHAnsi" w:hAnsiTheme="minorHAnsi" w:cstheme="minorHAnsi"/>
          <w:sz w:val="22"/>
          <w:szCs w:val="22"/>
        </w:rPr>
        <w:t>Hattie and Timperley’s (2007) model</w:t>
      </w:r>
      <w:r>
        <w:rPr>
          <w:rFonts w:asciiTheme="minorHAnsi" w:hAnsiTheme="minorHAnsi" w:cstheme="minorHAnsi"/>
          <w:sz w:val="22"/>
          <w:szCs w:val="22"/>
        </w:rPr>
        <w:t xml:space="preserve"> (that)</w:t>
      </w:r>
      <w:r w:rsidRPr="004832A2">
        <w:rPr>
          <w:rFonts w:asciiTheme="minorHAnsi" w:hAnsiTheme="minorHAnsi" w:cstheme="minorHAnsi"/>
          <w:sz w:val="22"/>
          <w:szCs w:val="22"/>
        </w:rPr>
        <w:t xml:space="preserve"> posits three feedback questions from the learner’s point of view: Where am I going? (</w:t>
      </w:r>
      <w:proofErr w:type="gramStart"/>
      <w:r w:rsidRPr="004832A2">
        <w:rPr>
          <w:rFonts w:asciiTheme="minorHAnsi" w:hAnsiTheme="minorHAnsi" w:cstheme="minorHAnsi"/>
          <w:sz w:val="22"/>
          <w:szCs w:val="22"/>
        </w:rPr>
        <w:t>feeding</w:t>
      </w:r>
      <w:proofErr w:type="gramEnd"/>
      <w:r w:rsidRPr="004832A2">
        <w:rPr>
          <w:rFonts w:asciiTheme="minorHAnsi" w:hAnsiTheme="minorHAnsi" w:cstheme="minorHAnsi"/>
          <w:sz w:val="22"/>
          <w:szCs w:val="22"/>
        </w:rPr>
        <w:t xml:space="preserve"> up); How am I going? (</w:t>
      </w:r>
      <w:proofErr w:type="gramStart"/>
      <w:r w:rsidRPr="004832A2">
        <w:rPr>
          <w:rFonts w:asciiTheme="minorHAnsi" w:hAnsiTheme="minorHAnsi" w:cstheme="minorHAnsi"/>
          <w:sz w:val="22"/>
          <w:szCs w:val="22"/>
        </w:rPr>
        <w:t>feeding</w:t>
      </w:r>
      <w:proofErr w:type="gramEnd"/>
      <w:r w:rsidRPr="004832A2">
        <w:rPr>
          <w:rFonts w:asciiTheme="minorHAnsi" w:hAnsiTheme="minorHAnsi" w:cstheme="minorHAnsi"/>
          <w:sz w:val="22"/>
          <w:szCs w:val="22"/>
        </w:rPr>
        <w:t xml:space="preserve"> back); and, Where to next? (</w:t>
      </w:r>
      <w:proofErr w:type="gramStart"/>
      <w:r w:rsidRPr="004832A2">
        <w:rPr>
          <w:rFonts w:asciiTheme="minorHAnsi" w:hAnsiTheme="minorHAnsi" w:cstheme="minorHAnsi"/>
          <w:sz w:val="22"/>
          <w:szCs w:val="22"/>
        </w:rPr>
        <w:t>feeding</w:t>
      </w:r>
      <w:proofErr w:type="gramEnd"/>
      <w:r w:rsidRPr="004832A2">
        <w:rPr>
          <w:rFonts w:asciiTheme="minorHAnsi" w:hAnsiTheme="minorHAnsi" w:cstheme="minorHAnsi"/>
          <w:sz w:val="22"/>
          <w:szCs w:val="22"/>
        </w:rPr>
        <w:t xml:space="preserve"> forward). The notion here is that for feedback to be effective, each of these questions must be answered by the learner</w:t>
      </w:r>
      <w:r>
        <w:rPr>
          <w:rFonts w:asciiTheme="minorHAnsi" w:hAnsiTheme="minorHAnsi" w:cstheme="minorHAnsi"/>
          <w:sz w:val="22"/>
          <w:szCs w:val="22"/>
        </w:rPr>
        <w:t>. (Brooks et al, 2019)</w:t>
      </w:r>
    </w:p>
    <w:p w14:paraId="3B583645" w14:textId="77777777" w:rsidR="005C14A6" w:rsidRDefault="005C14A6" w:rsidP="005C14A6">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At the beginning of Butler’s (1987) study exploring written feedback techniques and grade free marking to further student learning, most comments were of a general evaluative nature. “Examples included: ‘Good, ‘Well Done’, ‘Space out questions on the page’…” (Black et al 2007, p.44). It was also noted that when students were given a </w:t>
      </w:r>
      <w:proofErr w:type="gramStart"/>
      <w:r>
        <w:rPr>
          <w:rFonts w:asciiTheme="minorHAnsi" w:hAnsiTheme="minorHAnsi" w:cstheme="minorHAnsi"/>
          <w:sz w:val="22"/>
          <w:szCs w:val="22"/>
        </w:rPr>
        <w:t>grade</w:t>
      </w:r>
      <w:proofErr w:type="gramEnd"/>
      <w:r>
        <w:rPr>
          <w:rFonts w:asciiTheme="minorHAnsi" w:hAnsiTheme="minorHAnsi" w:cstheme="minorHAnsi"/>
          <w:sz w:val="22"/>
          <w:szCs w:val="22"/>
        </w:rPr>
        <w:t xml:space="preserve"> they “rarely read comments, preferring to </w:t>
      </w:r>
      <w:r w:rsidRPr="002976AB">
        <w:rPr>
          <w:rFonts w:asciiTheme="minorHAnsi" w:hAnsiTheme="minorHAnsi" w:cstheme="minorHAnsi"/>
          <w:sz w:val="22"/>
          <w:szCs w:val="22"/>
        </w:rPr>
        <w:t xml:space="preserve">compare marks with peers as their first reaction on getting work back” (Black et al 2007, p.43). This type of feedback will not help the learner as it does not meet the requirements above. It is non-contextual and is merely </w:t>
      </w:r>
      <w:r>
        <w:rPr>
          <w:rFonts w:asciiTheme="minorHAnsi" w:hAnsiTheme="minorHAnsi" w:cstheme="minorHAnsi"/>
          <w:sz w:val="22"/>
          <w:szCs w:val="22"/>
        </w:rPr>
        <w:t>““</w:t>
      </w:r>
      <w:r w:rsidRPr="002976AB">
        <w:rPr>
          <w:rFonts w:asciiTheme="minorHAnsi" w:hAnsiTheme="minorHAnsi" w:cstheme="minorHAnsi"/>
          <w:sz w:val="22"/>
          <w:szCs w:val="22"/>
        </w:rPr>
        <w:t>dangling data’’ substituted for effective feedback.</w:t>
      </w:r>
      <w:r>
        <w:rPr>
          <w:rFonts w:asciiTheme="minorHAnsi" w:hAnsiTheme="minorHAnsi" w:cstheme="minorHAnsi"/>
          <w:sz w:val="22"/>
          <w:szCs w:val="22"/>
        </w:rPr>
        <w:t>”</w:t>
      </w:r>
      <w:r w:rsidRPr="002976AB">
        <w:rPr>
          <w:rFonts w:asciiTheme="minorHAnsi" w:hAnsiTheme="minorHAnsi" w:cstheme="minorHAnsi"/>
          <w:sz w:val="22"/>
          <w:szCs w:val="22"/>
        </w:rPr>
        <w:t xml:space="preserve"> (</w:t>
      </w:r>
      <w:r>
        <w:rPr>
          <w:rFonts w:asciiTheme="minorHAnsi" w:hAnsiTheme="minorHAnsi" w:cstheme="minorHAnsi"/>
          <w:sz w:val="22"/>
          <w:szCs w:val="22"/>
        </w:rPr>
        <w:t xml:space="preserve">Sadler 1989, </w:t>
      </w:r>
      <w:r w:rsidRPr="002976AB">
        <w:rPr>
          <w:rFonts w:asciiTheme="minorHAnsi" w:hAnsiTheme="minorHAnsi" w:cstheme="minorHAnsi"/>
          <w:sz w:val="22"/>
          <w:szCs w:val="22"/>
        </w:rPr>
        <w:t>p. 121</w:t>
      </w:r>
      <w:r>
        <w:rPr>
          <w:rFonts w:asciiTheme="minorHAnsi" w:hAnsiTheme="minorHAnsi" w:cstheme="minorHAnsi"/>
          <w:sz w:val="22"/>
          <w:szCs w:val="22"/>
        </w:rPr>
        <w:t>, as cited in Wiliam 2011</w:t>
      </w:r>
      <w:r w:rsidRPr="002976AB">
        <w:rPr>
          <w:rFonts w:asciiTheme="minorHAnsi" w:hAnsiTheme="minorHAnsi" w:cstheme="minorHAnsi"/>
          <w:sz w:val="22"/>
          <w:szCs w:val="22"/>
        </w:rPr>
        <w:t>)</w:t>
      </w:r>
      <w:r>
        <w:rPr>
          <w:rFonts w:asciiTheme="minorHAnsi" w:hAnsiTheme="minorHAnsi" w:cstheme="minorHAnsi"/>
          <w:sz w:val="22"/>
          <w:szCs w:val="22"/>
        </w:rPr>
        <w:t>.</w:t>
      </w:r>
    </w:p>
    <w:p w14:paraId="4226BF8C" w14:textId="77777777" w:rsidR="005C14A6" w:rsidRDefault="005C14A6" w:rsidP="005C14A6">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Feedback should operate as part of a “supportive classroom environment” (Coe et al 2020, p</w:t>
      </w:r>
      <w:proofErr w:type="gramStart"/>
      <w:r>
        <w:rPr>
          <w:rFonts w:asciiTheme="minorHAnsi" w:hAnsiTheme="minorHAnsi" w:cstheme="minorHAnsi"/>
          <w:sz w:val="22"/>
          <w:szCs w:val="22"/>
        </w:rPr>
        <w:t>24 )</w:t>
      </w:r>
      <w:proofErr w:type="gramEnd"/>
      <w:r>
        <w:rPr>
          <w:rFonts w:asciiTheme="minorHAnsi" w:hAnsiTheme="minorHAnsi" w:cstheme="minorHAnsi"/>
          <w:sz w:val="22"/>
          <w:szCs w:val="22"/>
        </w:rPr>
        <w:t xml:space="preserve">, one that encourages motivation. It should be task specific rather than person specific. Butler (1987) found that grade or written praise as feedback, tended to trigger an </w:t>
      </w:r>
      <w:proofErr w:type="gramStart"/>
      <w:r>
        <w:rPr>
          <w:rFonts w:asciiTheme="minorHAnsi" w:hAnsiTheme="minorHAnsi" w:cstheme="minorHAnsi"/>
          <w:sz w:val="22"/>
          <w:szCs w:val="22"/>
        </w:rPr>
        <w:t>ego based</w:t>
      </w:r>
      <w:proofErr w:type="gramEnd"/>
      <w:r>
        <w:rPr>
          <w:rFonts w:asciiTheme="minorHAnsi" w:hAnsiTheme="minorHAnsi" w:cstheme="minorHAnsi"/>
          <w:sz w:val="22"/>
          <w:szCs w:val="22"/>
        </w:rPr>
        <w:t xml:space="preserve"> response to engagement and was not as good for motivation or indeed achievement as task specific feedback. (Butler 1987, as cited in</w:t>
      </w:r>
      <w:r w:rsidRPr="002A445E">
        <w:rPr>
          <w:rFonts w:asciiTheme="minorHAnsi" w:hAnsiTheme="minorHAnsi" w:cstheme="minorHAnsi"/>
          <w:sz w:val="22"/>
          <w:szCs w:val="22"/>
        </w:rPr>
        <w:t xml:space="preserve"> </w:t>
      </w:r>
      <w:r>
        <w:rPr>
          <w:rFonts w:asciiTheme="minorHAnsi" w:hAnsiTheme="minorHAnsi" w:cstheme="minorHAnsi"/>
          <w:sz w:val="22"/>
          <w:szCs w:val="22"/>
        </w:rPr>
        <w:t xml:space="preserve">Wiliam 2011). This ties into </w:t>
      </w:r>
      <w:r w:rsidRPr="00BA0793">
        <w:rPr>
          <w:rFonts w:asciiTheme="minorHAnsi" w:hAnsiTheme="minorHAnsi" w:cstheme="minorHAnsi"/>
          <w:sz w:val="22"/>
          <w:szCs w:val="22"/>
        </w:rPr>
        <w:t>Deci and Ryan’s (2008) self- determination theory (SDT)</w:t>
      </w:r>
      <w:r>
        <w:rPr>
          <w:rFonts w:asciiTheme="minorHAnsi" w:hAnsiTheme="minorHAnsi" w:cstheme="minorHAnsi"/>
          <w:sz w:val="22"/>
          <w:szCs w:val="22"/>
        </w:rPr>
        <w:t xml:space="preserve"> as a motivational force in that giving student’s autonomy through task specific feedback, competence through clear instruction on how to improve and connection and relatedness with the teacher through the personal interaction should encourage the pupil to grow independently. (Coe et al 2020).</w:t>
      </w:r>
    </w:p>
    <w:p w14:paraId="638F2677" w14:textId="77777777" w:rsidR="005C14A6" w:rsidRDefault="005C14A6" w:rsidP="005C14A6">
      <w:pPr>
        <w:pStyle w:val="NormalWeb"/>
        <w:spacing w:line="360" w:lineRule="auto"/>
        <w:jc w:val="both"/>
        <w:rPr>
          <w:rFonts w:asciiTheme="minorHAnsi" w:hAnsiTheme="minorHAnsi" w:cstheme="minorHAnsi"/>
          <w:sz w:val="22"/>
          <w:szCs w:val="22"/>
        </w:rPr>
      </w:pPr>
    </w:p>
    <w:p w14:paraId="05C37D73" w14:textId="77777777" w:rsidR="005C14A6" w:rsidRDefault="005C14A6" w:rsidP="005C14A6">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Webb &amp; Jones (2009) found two stars and wish to be an excellent starting point for feedback in their study of developing primary AfL where the students themselves reported that </w:t>
      </w:r>
      <w:proofErr w:type="gramStart"/>
      <w:r>
        <w:rPr>
          <w:rFonts w:asciiTheme="minorHAnsi" w:hAnsiTheme="minorHAnsi" w:cstheme="minorHAnsi"/>
          <w:sz w:val="22"/>
          <w:szCs w:val="22"/>
        </w:rPr>
        <w:t xml:space="preserve">“ </w:t>
      </w:r>
      <w:r w:rsidRPr="00C00E50">
        <w:rPr>
          <w:rFonts w:asciiTheme="minorHAnsi" w:hAnsiTheme="minorHAnsi" w:cstheme="minorHAnsi"/>
          <w:sz w:val="22"/>
          <w:szCs w:val="22"/>
        </w:rPr>
        <w:t>‘</w:t>
      </w:r>
      <w:proofErr w:type="gramEnd"/>
      <w:r w:rsidRPr="00C00E50">
        <w:rPr>
          <w:rFonts w:asciiTheme="minorHAnsi" w:hAnsiTheme="minorHAnsi" w:cstheme="minorHAnsi"/>
          <w:sz w:val="22"/>
          <w:szCs w:val="22"/>
        </w:rPr>
        <w:t>two stars and a wish’ served as a useful instrument</w:t>
      </w:r>
      <w:r>
        <w:rPr>
          <w:rFonts w:asciiTheme="minorHAnsi" w:hAnsiTheme="minorHAnsi" w:cstheme="minorHAnsi"/>
          <w:sz w:val="22"/>
          <w:szCs w:val="22"/>
        </w:rPr>
        <w:t xml:space="preserve">” (Webb &amp; Jones 2009). Dweck’s work on growth mindset which played a strong role in influencing Black &amp; </w:t>
      </w:r>
      <w:proofErr w:type="spellStart"/>
      <w:r>
        <w:rPr>
          <w:rFonts w:asciiTheme="minorHAnsi" w:hAnsiTheme="minorHAnsi" w:cstheme="minorHAnsi"/>
          <w:sz w:val="22"/>
          <w:szCs w:val="22"/>
        </w:rPr>
        <w:t>Wiliam’s</w:t>
      </w:r>
      <w:proofErr w:type="spellEnd"/>
      <w:r>
        <w:rPr>
          <w:rFonts w:asciiTheme="minorHAnsi" w:hAnsiTheme="minorHAnsi" w:cstheme="minorHAnsi"/>
          <w:sz w:val="22"/>
          <w:szCs w:val="22"/>
        </w:rPr>
        <w:t xml:space="preserve"> original work on AfL supports this idea that feedback </w:t>
      </w:r>
      <w:r>
        <w:rPr>
          <w:rFonts w:asciiTheme="minorHAnsi" w:hAnsiTheme="minorHAnsi" w:cstheme="minorHAnsi"/>
          <w:sz w:val="22"/>
          <w:szCs w:val="22"/>
        </w:rPr>
        <w:lastRenderedPageBreak/>
        <w:t>should be focused on the task rather than the person as a motivating factor and needs to be specific and constructive to help the pupil grow. As Wiliam puts it: “</w:t>
      </w:r>
      <w:r w:rsidRPr="003E5807">
        <w:rPr>
          <w:rFonts w:asciiTheme="minorHAnsi" w:hAnsiTheme="minorHAnsi" w:cstheme="minorHAnsi"/>
          <w:sz w:val="22"/>
          <w:szCs w:val="22"/>
        </w:rPr>
        <w:t xml:space="preserve">Therefore, what we as teachers need to do is ensure that the </w:t>
      </w:r>
      <w:proofErr w:type="gramStart"/>
      <w:r w:rsidRPr="003E5807">
        <w:rPr>
          <w:rFonts w:asciiTheme="minorHAnsi" w:hAnsiTheme="minorHAnsi" w:cstheme="minorHAnsi"/>
          <w:sz w:val="22"/>
          <w:szCs w:val="22"/>
        </w:rPr>
        <w:t>feedback</w:t>
      </w:r>
      <w:proofErr w:type="gramEnd"/>
      <w:r w:rsidRPr="003E5807">
        <w:rPr>
          <w:rFonts w:asciiTheme="minorHAnsi" w:hAnsiTheme="minorHAnsi" w:cstheme="minorHAnsi"/>
          <w:sz w:val="22"/>
          <w:szCs w:val="22"/>
        </w:rPr>
        <w:t xml:space="preserve"> we give students supports a view of ability as incremental rather than fixed—making sure they under- stand that by working, they’re getting smarter</w:t>
      </w:r>
      <w:r>
        <w:rPr>
          <w:rFonts w:asciiTheme="minorHAnsi" w:hAnsiTheme="minorHAnsi" w:cstheme="minorHAnsi"/>
          <w:sz w:val="22"/>
          <w:szCs w:val="22"/>
        </w:rPr>
        <w:t>”. (Dweck 2006 as cited in Wiliam 2011).</w:t>
      </w:r>
    </w:p>
    <w:p w14:paraId="37B04C91" w14:textId="77777777" w:rsidR="005C14A6" w:rsidRDefault="005C14A6" w:rsidP="005C14A6">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Assessment for Learning was supposed to herald a new epoch in the educational landscape. It was well received and by Government and teachers so much so that today its practice in education today in the United Kingdom is ubiquitous. (Christodoulou 2016, p.19). In practice this hasn’t always been the case and we will point to areas of concern for the future practice of AfL.</w:t>
      </w:r>
    </w:p>
    <w:p w14:paraId="01761B77" w14:textId="77777777" w:rsidR="005C14A6" w:rsidRDefault="005C14A6" w:rsidP="005C14A6">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Owing to the high pressure that is placed on schools’ on data sets and external judgement on key summative assessments such as SATs and GCSE’s, </w:t>
      </w:r>
      <w:proofErr w:type="spellStart"/>
      <w:r>
        <w:rPr>
          <w:rFonts w:asciiTheme="minorHAnsi" w:hAnsiTheme="minorHAnsi" w:cstheme="minorHAnsi"/>
          <w:sz w:val="22"/>
          <w:szCs w:val="22"/>
        </w:rPr>
        <w:t>Christodolou</w:t>
      </w:r>
      <w:proofErr w:type="spellEnd"/>
      <w:r>
        <w:rPr>
          <w:rFonts w:asciiTheme="minorHAnsi" w:hAnsiTheme="minorHAnsi" w:cstheme="minorHAnsi"/>
          <w:sz w:val="22"/>
          <w:szCs w:val="22"/>
        </w:rPr>
        <w:t xml:space="preserve"> (2016) cites the OECD (2013) findings that “all assessment systems struggle with competing formative and summative functions of assessment” (</w:t>
      </w:r>
      <w:proofErr w:type="spellStart"/>
      <w:r>
        <w:rPr>
          <w:rFonts w:asciiTheme="minorHAnsi" w:hAnsiTheme="minorHAnsi" w:cstheme="minorHAnsi"/>
          <w:sz w:val="22"/>
          <w:szCs w:val="22"/>
        </w:rPr>
        <w:t>Christodolou</w:t>
      </w:r>
      <w:proofErr w:type="spellEnd"/>
      <w:r>
        <w:rPr>
          <w:rFonts w:asciiTheme="minorHAnsi" w:hAnsiTheme="minorHAnsi" w:cstheme="minorHAnsi"/>
          <w:sz w:val="22"/>
          <w:szCs w:val="22"/>
        </w:rPr>
        <w:t xml:space="preserve"> </w:t>
      </w:r>
      <w:proofErr w:type="gramStart"/>
      <w:r>
        <w:rPr>
          <w:rFonts w:asciiTheme="minorHAnsi" w:hAnsiTheme="minorHAnsi" w:cstheme="minorHAnsi"/>
          <w:sz w:val="22"/>
          <w:szCs w:val="22"/>
        </w:rPr>
        <w:t>2016,p.</w:t>
      </w:r>
      <w:proofErr w:type="gramEnd"/>
      <w:r>
        <w:rPr>
          <w:rFonts w:asciiTheme="minorHAnsi" w:hAnsiTheme="minorHAnsi" w:cstheme="minorHAnsi"/>
          <w:sz w:val="22"/>
          <w:szCs w:val="22"/>
        </w:rPr>
        <w:t>21). If feedback and questioning is used to promote the student solely to the criteria, as opposed to further learning as a holistic idea, then a good example of this tension is summed up here: “</w:t>
      </w:r>
      <w:r w:rsidRPr="00DB6B46">
        <w:rPr>
          <w:rFonts w:asciiTheme="minorHAnsi" w:hAnsiTheme="minorHAnsi" w:cstheme="minorHAnsi"/>
          <w:sz w:val="22"/>
          <w:szCs w:val="22"/>
        </w:rPr>
        <w:t xml:space="preserve">Torrance (2007) has coined the precise term “criteria compliance” (p. 282) to capture these practical problems. He suggests that “criteria compliance” has come to replace the teaching and learning experience, because assessment procedures have </w:t>
      </w:r>
      <w:r>
        <w:rPr>
          <w:rFonts w:asciiTheme="minorHAnsi" w:hAnsiTheme="minorHAnsi" w:cstheme="minorHAnsi"/>
          <w:sz w:val="22"/>
          <w:szCs w:val="22"/>
        </w:rPr>
        <w:t xml:space="preserve">This misplaced use of Summative Assessment as Formative assessment is summed up by Wiliam succinctly when he says it was a “really big mistake </w:t>
      </w:r>
      <w:r w:rsidRPr="00C515E2">
        <w:rPr>
          <w:rFonts w:asciiTheme="minorHAnsi" w:hAnsiTheme="minorHAnsi" w:cstheme="minorHAnsi"/>
          <w:sz w:val="22"/>
          <w:szCs w:val="22"/>
        </w:rPr>
        <w:t>calling formative assessment formative assessment rather than something like "responsive teaching"</w:t>
      </w:r>
      <w:r>
        <w:rPr>
          <w:rFonts w:asciiTheme="minorHAnsi" w:hAnsiTheme="minorHAnsi" w:cstheme="minorHAnsi"/>
          <w:sz w:val="22"/>
          <w:szCs w:val="22"/>
        </w:rPr>
        <w:t>” (Wiliam 2013).</w:t>
      </w:r>
    </w:p>
    <w:p w14:paraId="2B084DF8" w14:textId="77777777" w:rsidR="005C14A6" w:rsidRDefault="005C14A6" w:rsidP="005C14A6">
      <w:pPr>
        <w:pStyle w:val="NormalWeb"/>
        <w:spacing w:line="360" w:lineRule="auto"/>
        <w:jc w:val="both"/>
        <w:rPr>
          <w:rFonts w:asciiTheme="minorHAnsi" w:hAnsiTheme="minorHAnsi" w:cstheme="minorHAnsi"/>
          <w:sz w:val="22"/>
          <w:szCs w:val="22"/>
        </w:rPr>
      </w:pPr>
      <w:proofErr w:type="spellStart"/>
      <w:r>
        <w:rPr>
          <w:rFonts w:asciiTheme="minorHAnsi" w:hAnsiTheme="minorHAnsi" w:cstheme="minorHAnsi"/>
          <w:sz w:val="22"/>
          <w:szCs w:val="22"/>
        </w:rPr>
        <w:t>Christodolou</w:t>
      </w:r>
      <w:proofErr w:type="spellEnd"/>
      <w:r>
        <w:rPr>
          <w:rFonts w:asciiTheme="minorHAnsi" w:hAnsiTheme="minorHAnsi" w:cstheme="minorHAnsi"/>
          <w:sz w:val="22"/>
          <w:szCs w:val="22"/>
        </w:rPr>
        <w:t xml:space="preserve"> (2016), discusses the way memory, specifically the idea of Cognitive Architecture (</w:t>
      </w:r>
      <w:proofErr w:type="spellStart"/>
      <w:r>
        <w:rPr>
          <w:rFonts w:asciiTheme="minorHAnsi" w:hAnsiTheme="minorHAnsi" w:cstheme="minorHAnsi"/>
          <w:sz w:val="22"/>
          <w:szCs w:val="22"/>
        </w:rPr>
        <w:t>Sweller</w:t>
      </w:r>
      <w:proofErr w:type="spellEnd"/>
      <w:r>
        <w:rPr>
          <w:rFonts w:asciiTheme="minorHAnsi" w:hAnsiTheme="minorHAnsi" w:cstheme="minorHAnsi"/>
          <w:sz w:val="22"/>
          <w:szCs w:val="22"/>
        </w:rPr>
        <w:t xml:space="preserve"> et al 1998 as cited in </w:t>
      </w:r>
      <w:proofErr w:type="spellStart"/>
      <w:r>
        <w:rPr>
          <w:rFonts w:asciiTheme="minorHAnsi" w:hAnsiTheme="minorHAnsi" w:cstheme="minorHAnsi"/>
          <w:sz w:val="22"/>
          <w:szCs w:val="22"/>
        </w:rPr>
        <w:t>Christodolou</w:t>
      </w:r>
      <w:proofErr w:type="spellEnd"/>
      <w:r>
        <w:rPr>
          <w:rFonts w:asciiTheme="minorHAnsi" w:hAnsiTheme="minorHAnsi" w:cstheme="minorHAnsi"/>
          <w:sz w:val="22"/>
          <w:szCs w:val="22"/>
        </w:rPr>
        <w:t xml:space="preserve"> 2016, p.35). There is a tension between trying to introduce new learning whilst activating existing learning and not overloading the working memory. Too much questioning without prior fact-based knowledge creates a problem-solving task. This places a strain on the working memory, which is based around existing schema (maps) of what we already know. If too much of this is overworked, then information cannot be transferred to long term memory – which is where new learning is stored. New learning takes place when what we already know is stretch just enough to expand the schema, not distort it with too many possibilities. </w:t>
      </w:r>
      <w:proofErr w:type="gramStart"/>
      <w:r>
        <w:rPr>
          <w:rFonts w:asciiTheme="minorHAnsi" w:hAnsiTheme="minorHAnsi" w:cstheme="minorHAnsi"/>
          <w:sz w:val="22"/>
          <w:szCs w:val="22"/>
        </w:rPr>
        <w:t>So</w:t>
      </w:r>
      <w:proofErr w:type="gramEnd"/>
      <w:r>
        <w:rPr>
          <w:rFonts w:asciiTheme="minorHAnsi" w:hAnsiTheme="minorHAnsi" w:cstheme="minorHAnsi"/>
          <w:sz w:val="22"/>
          <w:szCs w:val="22"/>
        </w:rPr>
        <w:t xml:space="preserve"> whilst simply asking children what they already know at the beginning of a lesson may give them a sense of ownership over their learning, if they don’t know enough it could overwhelm, and stunt the possible learning before it has begun. </w:t>
      </w:r>
    </w:p>
    <w:p w14:paraId="78A3DD3C" w14:textId="77777777" w:rsidR="005C14A6" w:rsidRDefault="005C14A6" w:rsidP="005C14A6">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lastRenderedPageBreak/>
        <w:t>A possible reverse implication of this is that of the teachers working memory and ability to teach the class. In an already overloaded curriculum (</w:t>
      </w:r>
      <w:proofErr w:type="spellStart"/>
      <w:r>
        <w:rPr>
          <w:rFonts w:asciiTheme="minorHAnsi" w:hAnsiTheme="minorHAnsi" w:cstheme="minorHAnsi"/>
          <w:sz w:val="22"/>
          <w:szCs w:val="22"/>
        </w:rPr>
        <w:t>Majoni</w:t>
      </w:r>
      <w:proofErr w:type="spellEnd"/>
      <w:r>
        <w:rPr>
          <w:rFonts w:asciiTheme="minorHAnsi" w:hAnsiTheme="minorHAnsi" w:cstheme="minorHAnsi"/>
          <w:sz w:val="22"/>
          <w:szCs w:val="22"/>
        </w:rPr>
        <w:t xml:space="preserve"> 2017) it is also suggested that teachers pre-plan question sequences that they might ask (Brown &amp; Wragg, as cited in Vale 2018) to avoid being stuck in simple questions and engage higher order thinking. Good feedback in formative assessment also demands individual and specifically structured feedback to move each student forward. However, “</w:t>
      </w:r>
      <w:r w:rsidRPr="009201EF">
        <w:rPr>
          <w:rFonts w:asciiTheme="minorHAnsi" w:hAnsiTheme="minorHAnsi" w:cstheme="minorHAnsi"/>
          <w:sz w:val="22"/>
          <w:szCs w:val="22"/>
        </w:rPr>
        <w:t xml:space="preserve">The attempt to attend to the needs and </w:t>
      </w:r>
      <w:proofErr w:type="spellStart"/>
      <w:r w:rsidRPr="009201EF">
        <w:rPr>
          <w:rFonts w:asciiTheme="minorHAnsi" w:hAnsiTheme="minorHAnsi" w:cstheme="minorHAnsi"/>
          <w:sz w:val="22"/>
          <w:szCs w:val="22"/>
        </w:rPr>
        <w:t>behaviors</w:t>
      </w:r>
      <w:proofErr w:type="spellEnd"/>
      <w:r w:rsidRPr="009201EF">
        <w:rPr>
          <w:rFonts w:asciiTheme="minorHAnsi" w:hAnsiTheme="minorHAnsi" w:cstheme="minorHAnsi"/>
          <w:sz w:val="22"/>
          <w:szCs w:val="22"/>
        </w:rPr>
        <w:t xml:space="preserve"> of an entire classroom while also trying to remember and implement a lesson plan inundates their available cognitive resources. Therefore, this cognitive overload limits the abilities of novice teachers to adapt effectively to complex classroom dynamics (Doyle 1986</w:t>
      </w:r>
      <w:r>
        <w:rPr>
          <w:rFonts w:asciiTheme="minorHAnsi" w:hAnsiTheme="minorHAnsi" w:cstheme="minorHAnsi"/>
          <w:sz w:val="22"/>
          <w:szCs w:val="22"/>
        </w:rPr>
        <w:t xml:space="preserve">, as cited in </w:t>
      </w:r>
      <w:proofErr w:type="spellStart"/>
      <w:r>
        <w:rPr>
          <w:rFonts w:asciiTheme="minorHAnsi" w:hAnsiTheme="minorHAnsi" w:cstheme="minorHAnsi"/>
          <w:sz w:val="22"/>
          <w:szCs w:val="22"/>
        </w:rPr>
        <w:t>Feldon</w:t>
      </w:r>
      <w:proofErr w:type="spellEnd"/>
      <w:r>
        <w:rPr>
          <w:rFonts w:asciiTheme="minorHAnsi" w:hAnsiTheme="minorHAnsi" w:cstheme="minorHAnsi"/>
          <w:sz w:val="22"/>
          <w:szCs w:val="22"/>
        </w:rPr>
        <w:t xml:space="preserve"> 2007</w:t>
      </w:r>
      <w:r w:rsidRPr="009201EF">
        <w:rPr>
          <w:rFonts w:asciiTheme="minorHAnsi" w:hAnsiTheme="minorHAnsi" w:cstheme="minorHAnsi"/>
          <w:sz w:val="22"/>
          <w:szCs w:val="22"/>
        </w:rPr>
        <w:t>)</w:t>
      </w:r>
      <w:r>
        <w:rPr>
          <w:rFonts w:asciiTheme="minorHAnsi" w:hAnsiTheme="minorHAnsi" w:cstheme="minorHAnsi"/>
          <w:sz w:val="22"/>
          <w:szCs w:val="22"/>
        </w:rPr>
        <w:t>. Although this study mentions novice teachers, there is no real indication in the profession in general of when this ‘novice’ phase ends. It’s worth noting a main advertising pull toward teaching training is around phrases like “No two days are the same” and “Every day is so different” (DfE 2022).</w:t>
      </w:r>
    </w:p>
    <w:p w14:paraId="416B50B4" w14:textId="77777777" w:rsidR="005C14A6" w:rsidRDefault="005C14A6" w:rsidP="005C14A6">
      <w:pPr>
        <w:pStyle w:val="NormalWeb"/>
        <w:spacing w:line="360" w:lineRule="auto"/>
        <w:jc w:val="both"/>
        <w:rPr>
          <w:rFonts w:asciiTheme="minorHAnsi" w:hAnsiTheme="minorHAnsi" w:cstheme="minorHAnsi"/>
          <w:sz w:val="22"/>
          <w:szCs w:val="22"/>
        </w:rPr>
      </w:pPr>
    </w:p>
    <w:p w14:paraId="4D03DC09" w14:textId="77777777" w:rsidR="005C14A6" w:rsidRDefault="005C14A6" w:rsidP="005C14A6">
      <w:pPr>
        <w:pStyle w:val="NormalWeb"/>
        <w:spacing w:line="360" w:lineRule="auto"/>
        <w:jc w:val="both"/>
        <w:rPr>
          <w:rFonts w:asciiTheme="minorHAnsi" w:hAnsiTheme="minorHAnsi" w:cstheme="minorHAnsi"/>
          <w:sz w:val="22"/>
          <w:szCs w:val="22"/>
          <w:u w:val="single"/>
        </w:rPr>
      </w:pPr>
      <w:r w:rsidRPr="00E07DC6">
        <w:rPr>
          <w:rFonts w:asciiTheme="minorHAnsi" w:hAnsiTheme="minorHAnsi" w:cstheme="minorHAnsi"/>
          <w:sz w:val="22"/>
          <w:szCs w:val="22"/>
          <w:u w:val="single"/>
        </w:rPr>
        <w:t>Conclusions and implications for my teaching practice</w:t>
      </w:r>
    </w:p>
    <w:p w14:paraId="281D2C86" w14:textId="77777777" w:rsidR="005C14A6" w:rsidRDefault="005C14A6" w:rsidP="005C14A6">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I chose to focus on questioning and feedback as they are two of the most universal teaching practices and rooted in the traditions of AfL. The way I choose to employ these practices and evolve them as I go will have a huge impact on me as an educational practitioner. As mentioned earlier I was interested in the pedagogy behind the change in teaching styles that I have witnessed since I was at school. My schooling was a very much ‘open your books and get on with it’ style that was good for repetition and incremental skill building, but very bad if there was something I didn’t understand. I remember tending to get stuck for long periods. We also received summative grades at the end of each exercise. Ticks, crosses, and marks with little to know feedback and certainly little in the way of personalised comments with instruction for moving the learning forward. This isn’t a treatise on how bad my primary schooling was (as I think I have turned out ok!), merely a reflection on what I experienced, what I have seen and researched on what works today what I would like to bring into my classrooms as a primary school teacher. </w:t>
      </w:r>
    </w:p>
    <w:p w14:paraId="0241CFB3" w14:textId="77777777" w:rsidR="005C14A6" w:rsidRDefault="005C14A6" w:rsidP="005C14A6">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The pedagogy of questioning in AfL, as discussed above, is clear that we use it to elicit higher order thinking and to give ownership and classroom agency to pupils. Basketball questioning the question is passed from pupil to pupil for elaboration, as opposed to just back to the teacher is a strategy that I would use. I am wary of think, pair, share or talk to your partner. In my use of it in the classroom in working at in Year 5 it posed several problems. Firstly, in terms of the levels of differentiation within the classroom, it was very difficult to pitch a question where a class of 30 children could confidently </w:t>
      </w:r>
      <w:r>
        <w:rPr>
          <w:rFonts w:asciiTheme="minorHAnsi" w:hAnsiTheme="minorHAnsi" w:cstheme="minorHAnsi"/>
          <w:sz w:val="22"/>
          <w:szCs w:val="22"/>
        </w:rPr>
        <w:lastRenderedPageBreak/>
        <w:t>discuss the same topic at the same level that considered, English as an Additional Language (EAL), Special Educational Needs (SEN) and a general wide gap of abilities. It also added a behavioural management aspect that could be difficult to juggle. I would use the strategy but, especially in my formative years of teaching, limit it to topics that were not too cognitively taxing for the children so all could feel involved. The main precursor to classroom discussion activities would be to limit it to topics where the children had previously received sufficient fact-based instruction so that they had a strong enough schema to build on and thus produce new learning.</w:t>
      </w:r>
    </w:p>
    <w:p w14:paraId="31C9B04A" w14:textId="77777777" w:rsidR="005C14A6" w:rsidRDefault="005C14A6" w:rsidP="005C14A6">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Feedback and marking are inevitable. As an AfL strategy they need to be used formatively to “</w:t>
      </w:r>
      <w:r w:rsidRPr="00427B22">
        <w:rPr>
          <w:rFonts w:asciiTheme="minorHAnsi" w:hAnsiTheme="minorHAnsi" w:cstheme="minorHAnsi"/>
          <w:sz w:val="22"/>
          <w:szCs w:val="22"/>
        </w:rPr>
        <w:t>close a gap between the current and desired state of a student's understanding</w:t>
      </w:r>
      <w:r>
        <w:rPr>
          <w:rFonts w:asciiTheme="minorHAnsi" w:hAnsiTheme="minorHAnsi" w:cstheme="minorHAnsi"/>
          <w:sz w:val="22"/>
          <w:szCs w:val="22"/>
        </w:rPr>
        <w:t>”</w:t>
      </w:r>
      <w:r w:rsidRPr="00427B22">
        <w:rPr>
          <w:rFonts w:asciiTheme="minorHAnsi" w:hAnsiTheme="minorHAnsi" w:cstheme="minorHAnsi"/>
          <w:sz w:val="22"/>
          <w:szCs w:val="22"/>
        </w:rPr>
        <w:t xml:space="preserve"> (Black &amp; Wiliam, 2009</w:t>
      </w:r>
      <w:r>
        <w:rPr>
          <w:rFonts w:asciiTheme="minorHAnsi" w:hAnsiTheme="minorHAnsi" w:cstheme="minorHAnsi"/>
          <w:sz w:val="22"/>
          <w:szCs w:val="22"/>
        </w:rPr>
        <w:t xml:space="preserve"> as cited in </w:t>
      </w:r>
      <w:proofErr w:type="spellStart"/>
      <w:r w:rsidRPr="00427B22">
        <w:rPr>
          <w:rFonts w:asciiTheme="minorHAnsi" w:hAnsiTheme="minorHAnsi" w:cstheme="minorHAnsi"/>
          <w:sz w:val="22"/>
          <w:szCs w:val="22"/>
        </w:rPr>
        <w:t>Egelandsdal</w:t>
      </w:r>
      <w:proofErr w:type="spellEnd"/>
      <w:r>
        <w:rPr>
          <w:rFonts w:asciiTheme="minorHAnsi" w:hAnsiTheme="minorHAnsi" w:cstheme="minorHAnsi"/>
          <w:sz w:val="22"/>
          <w:szCs w:val="22"/>
        </w:rPr>
        <w:t xml:space="preserve"> &amp;</w:t>
      </w:r>
      <w:r w:rsidRPr="00427B22">
        <w:t xml:space="preserve"> </w:t>
      </w:r>
      <w:proofErr w:type="spellStart"/>
      <w:r w:rsidRPr="00427B22">
        <w:rPr>
          <w:rFonts w:asciiTheme="minorHAnsi" w:hAnsiTheme="minorHAnsi" w:cstheme="minorHAnsi"/>
          <w:sz w:val="22"/>
          <w:szCs w:val="22"/>
        </w:rPr>
        <w:t>Riese</w:t>
      </w:r>
      <w:proofErr w:type="spellEnd"/>
      <w:r>
        <w:rPr>
          <w:rFonts w:asciiTheme="minorHAnsi" w:hAnsiTheme="minorHAnsi" w:cstheme="minorHAnsi"/>
          <w:sz w:val="22"/>
          <w:szCs w:val="22"/>
        </w:rPr>
        <w:t xml:space="preserve"> 2020</w:t>
      </w:r>
      <w:r w:rsidRPr="00427B22">
        <w:rPr>
          <w:rFonts w:asciiTheme="minorHAnsi" w:hAnsiTheme="minorHAnsi" w:cstheme="minorHAnsi"/>
          <w:sz w:val="22"/>
          <w:szCs w:val="22"/>
        </w:rPr>
        <w:t>)</w:t>
      </w:r>
      <w:r>
        <w:rPr>
          <w:rFonts w:asciiTheme="minorHAnsi" w:hAnsiTheme="minorHAnsi" w:cstheme="minorHAnsi"/>
          <w:sz w:val="22"/>
          <w:szCs w:val="22"/>
        </w:rPr>
        <w:t xml:space="preserve">. Whilst the evidence and pedagogy of formative evaluation supports its regular use, in day-to-day practice it can be difficult to employ. Teacher workloads are huge, and in primary schools especially interruptions to the teaching be it through visitors, trips or whole school projects are frequent. I would therefore question whether on a cost/benefit analysis, consistent formative feedback is the best use of time as an early-stage teacher. I would indeed into my teaching as I become more confident with the curriculum and planning. As seen on Hattie’s effect scale, questioning, and providing formative evaluation are both at 0.48, and feedback is at 0.7, above the hinge point. However, deliberate practice (0.79) and rehearsal and memorization (0.73) are both higher. (Visible Learning Plus, 2017) These would therefore be more time efficient strategies to concentrate on </w:t>
      </w:r>
      <w:proofErr w:type="spellStart"/>
      <w:r>
        <w:rPr>
          <w:rFonts w:asciiTheme="minorHAnsi" w:hAnsiTheme="minorHAnsi" w:cstheme="minorHAnsi"/>
          <w:sz w:val="22"/>
          <w:szCs w:val="22"/>
        </w:rPr>
        <w:t>on</w:t>
      </w:r>
      <w:proofErr w:type="spellEnd"/>
      <w:r>
        <w:rPr>
          <w:rFonts w:asciiTheme="minorHAnsi" w:hAnsiTheme="minorHAnsi" w:cstheme="minorHAnsi"/>
          <w:sz w:val="22"/>
          <w:szCs w:val="22"/>
        </w:rPr>
        <w:t xml:space="preserve"> a regular basis. Whilst being aware that when feedback is given, some formative strategies such as the avoidance of giving grades and instead focusing on learning criteria, would be better for the development of new learning. </w:t>
      </w:r>
    </w:p>
    <w:p w14:paraId="217CCB72" w14:textId="77777777" w:rsidR="005C14A6" w:rsidRDefault="005C14A6" w:rsidP="005C14A6">
      <w:pPr>
        <w:pStyle w:val="NormalWeb"/>
        <w:spacing w:line="360" w:lineRule="auto"/>
        <w:jc w:val="both"/>
        <w:rPr>
          <w:rFonts w:asciiTheme="minorHAnsi" w:hAnsiTheme="minorHAnsi" w:cstheme="minorHAnsi"/>
          <w:sz w:val="22"/>
          <w:szCs w:val="22"/>
        </w:rPr>
      </w:pPr>
      <w:r>
        <w:rPr>
          <w:rFonts w:asciiTheme="minorHAnsi" w:hAnsiTheme="minorHAnsi" w:cstheme="minorHAnsi"/>
          <w:sz w:val="22"/>
          <w:szCs w:val="22"/>
        </w:rPr>
        <w:t>Word count: 3494 (assignment 5000 +/- 10%)</w:t>
      </w:r>
    </w:p>
    <w:p w14:paraId="4E51ADC9" w14:textId="77777777" w:rsidR="00B71141" w:rsidRDefault="00B71141"/>
    <w:sectPr w:rsidR="00B711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8044B"/>
    <w:multiLevelType w:val="multilevel"/>
    <w:tmpl w:val="C8781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CA702F"/>
    <w:multiLevelType w:val="multilevel"/>
    <w:tmpl w:val="1DD0F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6240F93"/>
    <w:multiLevelType w:val="multilevel"/>
    <w:tmpl w:val="56D6C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4A6"/>
    <w:rsid w:val="005C14A6"/>
    <w:rsid w:val="00A63762"/>
    <w:rsid w:val="00B71141"/>
    <w:rsid w:val="00BF7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BB3C57"/>
  <w15:chartTrackingRefBased/>
  <w15:docId w15:val="{B573728F-15B5-D849-8378-1A5E42A64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14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C14A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5C14A6"/>
    <w:rPr>
      <w:color w:val="0563C1" w:themeColor="hyperlink"/>
      <w:u w:val="single"/>
    </w:rPr>
  </w:style>
  <w:style w:type="character" w:styleId="UnresolvedMention">
    <w:name w:val="Unresolved Mention"/>
    <w:basedOn w:val="DefaultParagraphFont"/>
    <w:uiPriority w:val="99"/>
    <w:semiHidden/>
    <w:unhideWhenUsed/>
    <w:rsid w:val="005C14A6"/>
    <w:rPr>
      <w:color w:val="605E5C"/>
      <w:shd w:val="clear" w:color="auto" w:fill="E1DFDD"/>
    </w:rPr>
  </w:style>
  <w:style w:type="character" w:customStyle="1" w:styleId="apple-converted-space">
    <w:name w:val="apple-converted-space"/>
    <w:basedOn w:val="DefaultParagraphFont"/>
    <w:rsid w:val="005C14A6"/>
  </w:style>
  <w:style w:type="character" w:styleId="Emphasis">
    <w:name w:val="Emphasis"/>
    <w:basedOn w:val="DefaultParagraphFont"/>
    <w:uiPriority w:val="20"/>
    <w:qFormat/>
    <w:rsid w:val="005C14A6"/>
    <w:rPr>
      <w:i/>
      <w:iCs/>
    </w:rPr>
  </w:style>
  <w:style w:type="character" w:customStyle="1" w:styleId="authors">
    <w:name w:val="authors"/>
    <w:basedOn w:val="DefaultParagraphFont"/>
    <w:rsid w:val="005C14A6"/>
  </w:style>
  <w:style w:type="character" w:customStyle="1" w:styleId="date">
    <w:name w:val="date"/>
    <w:basedOn w:val="DefaultParagraphFont"/>
    <w:rsid w:val="005C14A6"/>
  </w:style>
  <w:style w:type="character" w:customStyle="1" w:styleId="arttitle">
    <w:name w:val="art_title"/>
    <w:basedOn w:val="DefaultParagraphFont"/>
    <w:rsid w:val="005C14A6"/>
  </w:style>
  <w:style w:type="character" w:customStyle="1" w:styleId="serialtitle">
    <w:name w:val="serial_title"/>
    <w:basedOn w:val="DefaultParagraphFont"/>
    <w:rsid w:val="005C14A6"/>
  </w:style>
  <w:style w:type="character" w:customStyle="1" w:styleId="volumeissue">
    <w:name w:val="volume_issue"/>
    <w:basedOn w:val="DefaultParagraphFont"/>
    <w:rsid w:val="005C14A6"/>
  </w:style>
  <w:style w:type="character" w:customStyle="1" w:styleId="pagerange">
    <w:name w:val="page_range"/>
    <w:basedOn w:val="DefaultParagraphFont"/>
    <w:rsid w:val="005C14A6"/>
  </w:style>
  <w:style w:type="character" w:styleId="FollowedHyperlink">
    <w:name w:val="FollowedHyperlink"/>
    <w:basedOn w:val="DefaultParagraphFont"/>
    <w:uiPriority w:val="99"/>
    <w:semiHidden/>
    <w:unhideWhenUsed/>
    <w:rsid w:val="005C14A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3248</Words>
  <Characters>18515</Characters>
  <Application>Microsoft Office Word</Application>
  <DocSecurity>0</DocSecurity>
  <Lines>154</Lines>
  <Paragraphs>43</Paragraphs>
  <ScaleCrop>false</ScaleCrop>
  <Company/>
  <LinksUpToDate>false</LinksUpToDate>
  <CharactersWithSpaces>21720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M</dc:creator>
  <cp:keywords/>
  <dc:description/>
  <cp:lastModifiedBy>Adam M</cp:lastModifiedBy>
  <cp:revision>1</cp:revision>
  <dcterms:created xsi:type="dcterms:W3CDTF">2022-01-04T16:47:00Z</dcterms:created>
  <dcterms:modified xsi:type="dcterms:W3CDTF">2022-01-04T16:48:00Z</dcterms:modified>
</cp:coreProperties>
</file>